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(zur Plenarsitzung am</w:t>
      </w:r>
      <w:r w:rsidR="00555FF4">
        <w:rPr>
          <w:b/>
        </w:rPr>
        <w:t xml:space="preserve"> 11. Dezember 2018</w:t>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p w:rsidR="000F3417" w:rsidRDefault="000F3417" w:rsidP="00F00864">
      <w:pPr>
        <w:pStyle w:val="LTGrundtext"/>
        <w:tabs>
          <w:tab w:val="right" w:pos="7655"/>
        </w:tabs>
      </w:pPr>
      <w:r>
        <w:t>Abgeordnete</w:t>
      </w:r>
      <w:r>
        <w:tab/>
        <w:t>Seitenzahl</w:t>
      </w:r>
    </w:p>
    <w:p w:rsidR="00D63E48" w:rsidRDefault="00BA4558" w:rsidP="00293F06">
      <w:pPr>
        <w:pStyle w:val="Index1"/>
        <w:rPr>
          <w:noProof/>
        </w:rPr>
        <w:sectPr w:rsidR="00D63E48" w:rsidSect="00D63E48">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r>
        <w:fldChar w:fldCharType="begin"/>
      </w:r>
      <w:r>
        <w:instrText xml:space="preserve"> INDEX \e " " \c "1" \z "1031" </w:instrText>
      </w:r>
      <w:r>
        <w:fldChar w:fldCharType="separate"/>
      </w:r>
    </w:p>
    <w:p w:rsidR="00D63E48" w:rsidRDefault="00D63E48">
      <w:pPr>
        <w:pStyle w:val="Index1"/>
        <w:tabs>
          <w:tab w:val="right" w:leader="dot" w:pos="7644"/>
        </w:tabs>
        <w:rPr>
          <w:noProof/>
        </w:rPr>
      </w:pPr>
      <w:r>
        <w:rPr>
          <w:noProof/>
        </w:rPr>
        <w:t>Adelt, Klaus (SPD)</w:t>
      </w:r>
    </w:p>
    <w:p w:rsidR="00D63E48" w:rsidRDefault="00D63E48" w:rsidP="00082CBD">
      <w:pPr>
        <w:pStyle w:val="Index2"/>
      </w:pPr>
      <w:r>
        <w:t xml:space="preserve">Verzögerungen beim Ausbau der Bahnstrecke Hof </w:t>
      </w:r>
      <w:r w:rsidR="00082CBD">
        <w:t>–</w:t>
      </w:r>
      <w:r>
        <w:t xml:space="preserve"> Regensburg</w:t>
      </w:r>
      <w:r w:rsidR="00082CBD">
        <w:tab/>
      </w:r>
      <w:r>
        <w:t xml:space="preserve"> 10</w:t>
      </w:r>
    </w:p>
    <w:p w:rsidR="00D63E48" w:rsidRDefault="00D63E48">
      <w:pPr>
        <w:pStyle w:val="Index1"/>
        <w:tabs>
          <w:tab w:val="right" w:leader="dot" w:pos="7644"/>
        </w:tabs>
        <w:rPr>
          <w:noProof/>
        </w:rPr>
      </w:pPr>
      <w:r>
        <w:rPr>
          <w:noProof/>
        </w:rPr>
        <w:t>Aures, Inge (SPD)</w:t>
      </w:r>
    </w:p>
    <w:p w:rsidR="00D63E48" w:rsidRDefault="00D63E48" w:rsidP="00082CBD">
      <w:pPr>
        <w:pStyle w:val="Index2"/>
      </w:pPr>
      <w:r>
        <w:t xml:space="preserve">Zukunft der Kontrollbehörde für Lebensmittelsicherheit und </w:t>
      </w:r>
      <w:r w:rsidR="00082CBD">
        <w:br/>
      </w:r>
      <w:r>
        <w:t xml:space="preserve">Veterinärwesen (KBLV) </w:t>
      </w:r>
      <w:r w:rsidR="00082CBD">
        <w:tab/>
      </w:r>
      <w:r>
        <w:t>30</w:t>
      </w:r>
    </w:p>
    <w:p w:rsidR="00D63E48" w:rsidRDefault="00D63E48">
      <w:pPr>
        <w:pStyle w:val="Index1"/>
        <w:tabs>
          <w:tab w:val="right" w:leader="dot" w:pos="7644"/>
        </w:tabs>
        <w:rPr>
          <w:noProof/>
        </w:rPr>
      </w:pPr>
      <w:r>
        <w:rPr>
          <w:noProof/>
        </w:rPr>
        <w:t>Becher, Johannes (BÜNDNIS 90/DIE GRÜNEN)</w:t>
      </w:r>
    </w:p>
    <w:p w:rsidR="00D63E48" w:rsidRDefault="00D63E48" w:rsidP="00082CBD">
      <w:pPr>
        <w:pStyle w:val="Index2"/>
      </w:pPr>
      <w:r>
        <w:t xml:space="preserve">Höhe der Elternbeiträge in bayerischen Kitas </w:t>
      </w:r>
      <w:r w:rsidR="00082CBD">
        <w:tab/>
      </w:r>
      <w:r>
        <w:t>39</w:t>
      </w:r>
    </w:p>
    <w:p w:rsidR="00D63E48" w:rsidRDefault="00D63E48">
      <w:pPr>
        <w:pStyle w:val="Index1"/>
        <w:tabs>
          <w:tab w:val="right" w:leader="dot" w:pos="7644"/>
        </w:tabs>
        <w:rPr>
          <w:noProof/>
        </w:rPr>
      </w:pPr>
      <w:r>
        <w:rPr>
          <w:noProof/>
        </w:rPr>
        <w:t>Büchler, Dr., Markus (BÜNDNIS 90/DIE GRÜNEN)</w:t>
      </w:r>
    </w:p>
    <w:p w:rsidR="00D63E48" w:rsidRDefault="00D63E48" w:rsidP="00082CBD">
      <w:pPr>
        <w:pStyle w:val="Index2"/>
      </w:pPr>
      <w:r>
        <w:t xml:space="preserve">Experimentierklausel im Bayerischen Kinderbildungs- und </w:t>
      </w:r>
      <w:r w:rsidR="00082CBD">
        <w:t>-</w:t>
      </w:r>
      <w:r>
        <w:t xml:space="preserve">betreuungsgesetz (BayKiBiG) </w:t>
      </w:r>
      <w:r w:rsidR="00082CBD">
        <w:tab/>
      </w:r>
      <w:r>
        <w:t>39</w:t>
      </w:r>
    </w:p>
    <w:p w:rsidR="00D63E48" w:rsidRDefault="00D63E48">
      <w:pPr>
        <w:pStyle w:val="Index1"/>
        <w:tabs>
          <w:tab w:val="right" w:leader="dot" w:pos="7644"/>
        </w:tabs>
        <w:rPr>
          <w:noProof/>
        </w:rPr>
      </w:pPr>
      <w:r>
        <w:rPr>
          <w:noProof/>
        </w:rPr>
        <w:t>Celina, Kerstin (BÜNDNIS 90/DIE GRÜNEN)</w:t>
      </w:r>
    </w:p>
    <w:p w:rsidR="00D63E48" w:rsidRDefault="00D63E48" w:rsidP="00082CBD">
      <w:pPr>
        <w:pStyle w:val="Index2"/>
      </w:pPr>
      <w:r>
        <w:t xml:space="preserve">Ausschluss von Pflegefamilien beim Familiengeld </w:t>
      </w:r>
      <w:r w:rsidR="00082CBD">
        <w:tab/>
      </w:r>
      <w:r>
        <w:t>40</w:t>
      </w:r>
    </w:p>
    <w:p w:rsidR="00D63E48" w:rsidRDefault="00D63E48">
      <w:pPr>
        <w:pStyle w:val="Index1"/>
        <w:tabs>
          <w:tab w:val="right" w:leader="dot" w:pos="7644"/>
        </w:tabs>
        <w:rPr>
          <w:noProof/>
        </w:rPr>
      </w:pPr>
      <w:r>
        <w:rPr>
          <w:noProof/>
        </w:rPr>
        <w:t>Deisenhofer, Maximilian (BÜNDNIS 90/DIE GRÜNEN)</w:t>
      </w:r>
    </w:p>
    <w:p w:rsidR="00D63E48" w:rsidRDefault="00D63E48" w:rsidP="00082CBD">
      <w:pPr>
        <w:pStyle w:val="Index2"/>
      </w:pPr>
      <w:r>
        <w:t xml:space="preserve">Brennelementeverschiebung in Gundremmingen </w:t>
      </w:r>
      <w:r w:rsidR="00082CBD">
        <w:tab/>
      </w:r>
      <w:r>
        <w:t>30</w:t>
      </w:r>
    </w:p>
    <w:p w:rsidR="00D63E48" w:rsidRDefault="00D63E48">
      <w:pPr>
        <w:pStyle w:val="Index1"/>
        <w:tabs>
          <w:tab w:val="right" w:leader="dot" w:pos="7644"/>
        </w:tabs>
        <w:rPr>
          <w:noProof/>
        </w:rPr>
      </w:pPr>
      <w:r>
        <w:rPr>
          <w:noProof/>
        </w:rPr>
        <w:t>Demirel, Gülseren (BÜNDNIS 90/DIE GRÜNEN)</w:t>
      </w:r>
    </w:p>
    <w:p w:rsidR="00D63E48" w:rsidRDefault="00D63E48" w:rsidP="00082CBD">
      <w:pPr>
        <w:pStyle w:val="Index2"/>
      </w:pPr>
      <w:r>
        <w:t xml:space="preserve">Situation von Lehrbeauftragten in Bayern </w:t>
      </w:r>
      <w:r w:rsidR="00082CBD">
        <w:tab/>
      </w:r>
      <w:r>
        <w:t>19</w:t>
      </w:r>
    </w:p>
    <w:p w:rsidR="00D63E48" w:rsidRDefault="00D63E48">
      <w:pPr>
        <w:pStyle w:val="Index1"/>
        <w:tabs>
          <w:tab w:val="right" w:leader="dot" w:pos="7644"/>
        </w:tabs>
        <w:rPr>
          <w:noProof/>
        </w:rPr>
      </w:pPr>
      <w:r>
        <w:rPr>
          <w:noProof/>
        </w:rPr>
        <w:t>Fehlner, Martina (SPD)</w:t>
      </w:r>
    </w:p>
    <w:p w:rsidR="00D63E48" w:rsidRDefault="00D63E48" w:rsidP="00082CBD">
      <w:pPr>
        <w:pStyle w:val="Index2"/>
      </w:pPr>
      <w:r>
        <w:t>WLAN-Zugang in bayerischen Flüchtlingsunterkünften</w:t>
      </w:r>
      <w:r w:rsidR="00082CBD">
        <w:tab/>
      </w:r>
      <w:r>
        <w:t xml:space="preserve"> 1</w:t>
      </w:r>
    </w:p>
    <w:p w:rsidR="00D63E48" w:rsidRDefault="00D63E48">
      <w:pPr>
        <w:pStyle w:val="Index1"/>
        <w:tabs>
          <w:tab w:val="right" w:leader="dot" w:pos="7644"/>
        </w:tabs>
        <w:rPr>
          <w:noProof/>
        </w:rPr>
      </w:pPr>
      <w:r>
        <w:rPr>
          <w:noProof/>
        </w:rPr>
        <w:t>Fischbach, Matthias (FDP)</w:t>
      </w:r>
    </w:p>
    <w:p w:rsidR="00D63E48" w:rsidRDefault="00D63E48" w:rsidP="00082CBD">
      <w:pPr>
        <w:pStyle w:val="Index2"/>
      </w:pPr>
      <w:r>
        <w:t xml:space="preserve">Erfolgsbilanz der </w:t>
      </w:r>
      <w:r w:rsidR="00082CBD">
        <w:t xml:space="preserve">Bayerischen </w:t>
      </w:r>
      <w:r>
        <w:t xml:space="preserve">Grenzpolizei </w:t>
      </w:r>
      <w:r w:rsidR="00082CBD">
        <w:tab/>
      </w:r>
      <w:r>
        <w:t>1</w:t>
      </w:r>
    </w:p>
    <w:p w:rsidR="00D63E48" w:rsidRDefault="00D63E48">
      <w:pPr>
        <w:pStyle w:val="Index1"/>
        <w:tabs>
          <w:tab w:val="right" w:leader="dot" w:pos="7644"/>
        </w:tabs>
        <w:rPr>
          <w:noProof/>
        </w:rPr>
      </w:pPr>
      <w:r>
        <w:rPr>
          <w:noProof/>
        </w:rPr>
        <w:lastRenderedPageBreak/>
        <w:t>Flisek, Christian (SPD)</w:t>
      </w:r>
    </w:p>
    <w:p w:rsidR="00D63E48" w:rsidRDefault="00D63E48" w:rsidP="00082CBD">
      <w:pPr>
        <w:pStyle w:val="Index2"/>
      </w:pPr>
      <w:r>
        <w:t xml:space="preserve">Auswirkung der geplanten Streichung der Polder Bertoldsheim und </w:t>
      </w:r>
      <w:r w:rsidR="00082CBD">
        <w:br/>
      </w:r>
      <w:r>
        <w:t xml:space="preserve">Eltheim/Wörthof laut Koalitionsvertrag </w:t>
      </w:r>
      <w:r w:rsidR="00082CBD">
        <w:tab/>
      </w:r>
      <w:r>
        <w:t>31</w:t>
      </w:r>
    </w:p>
    <w:p w:rsidR="00D63E48" w:rsidRDefault="00D63E48">
      <w:pPr>
        <w:pStyle w:val="Index1"/>
        <w:tabs>
          <w:tab w:val="right" w:leader="dot" w:pos="7644"/>
        </w:tabs>
        <w:rPr>
          <w:noProof/>
        </w:rPr>
      </w:pPr>
      <w:r>
        <w:rPr>
          <w:noProof/>
        </w:rPr>
        <w:t>Franke, Anne (BÜNDNIS 90/DIE GRÜNEN)</w:t>
      </w:r>
    </w:p>
    <w:p w:rsidR="00D63E48" w:rsidRDefault="00D63E48" w:rsidP="00082CBD">
      <w:pPr>
        <w:pStyle w:val="Index2"/>
      </w:pPr>
      <w:r>
        <w:t>Verzögerte Auszahlung von Fördergeldern für Flüchtlingsberatung</w:t>
      </w:r>
      <w:r w:rsidR="00082CBD">
        <w:tab/>
      </w:r>
      <w:r>
        <w:t xml:space="preserve"> 4</w:t>
      </w:r>
    </w:p>
    <w:p w:rsidR="00D63E48" w:rsidRDefault="00D63E48">
      <w:pPr>
        <w:pStyle w:val="Index1"/>
        <w:tabs>
          <w:tab w:val="right" w:leader="dot" w:pos="7644"/>
        </w:tabs>
        <w:rPr>
          <w:noProof/>
        </w:rPr>
      </w:pPr>
      <w:r>
        <w:rPr>
          <w:noProof/>
        </w:rPr>
        <w:t>Friedl, Patrick (BÜNDNIS 90/DIE GRÜNEN)</w:t>
      </w:r>
    </w:p>
    <w:p w:rsidR="00D63E48" w:rsidRDefault="00D63E48" w:rsidP="00082CBD">
      <w:pPr>
        <w:pStyle w:val="Index2"/>
      </w:pPr>
      <w:r>
        <w:t>Klimaschutz im Grundgesetz verankern</w:t>
      </w:r>
      <w:r w:rsidR="00082CBD">
        <w:tab/>
      </w:r>
      <w:r>
        <w:t xml:space="preserve"> 31</w:t>
      </w:r>
    </w:p>
    <w:p w:rsidR="00D63E48" w:rsidRDefault="00D63E48">
      <w:pPr>
        <w:pStyle w:val="Index1"/>
        <w:tabs>
          <w:tab w:val="right" w:leader="dot" w:pos="7644"/>
        </w:tabs>
        <w:rPr>
          <w:noProof/>
        </w:rPr>
      </w:pPr>
      <w:r>
        <w:rPr>
          <w:noProof/>
        </w:rPr>
        <w:t>Ganserer, Markus (BÜNDNIS 90/DIE GRÜNEN)</w:t>
      </w:r>
    </w:p>
    <w:p w:rsidR="00D63E48" w:rsidRDefault="00D63E48" w:rsidP="00082CBD">
      <w:pPr>
        <w:pStyle w:val="Index2"/>
      </w:pPr>
      <w:r>
        <w:t xml:space="preserve">Transidente Beschäftigte im öffentlichen Dienst </w:t>
      </w:r>
      <w:r w:rsidR="00082CBD">
        <w:tab/>
      </w:r>
      <w:r>
        <w:t>24</w:t>
      </w:r>
    </w:p>
    <w:p w:rsidR="00D63E48" w:rsidRDefault="00D63E48">
      <w:pPr>
        <w:pStyle w:val="Index1"/>
        <w:tabs>
          <w:tab w:val="right" w:leader="dot" w:pos="7644"/>
        </w:tabs>
        <w:rPr>
          <w:noProof/>
        </w:rPr>
      </w:pPr>
      <w:r>
        <w:rPr>
          <w:noProof/>
        </w:rPr>
        <w:t>Gehring, Thomas (BÜNDNIS 90/DIE GRÜNEN)</w:t>
      </w:r>
    </w:p>
    <w:p w:rsidR="00D63E48" w:rsidRDefault="00D63E48" w:rsidP="00082CBD">
      <w:pPr>
        <w:pStyle w:val="Index2"/>
      </w:pPr>
      <w:r>
        <w:t>Rücknahme der Änderung</w:t>
      </w:r>
      <w:r w:rsidR="00082CBD">
        <w:t>en</w:t>
      </w:r>
      <w:r>
        <w:t xml:space="preserve"> im Alpenplan</w:t>
      </w:r>
      <w:r w:rsidR="00082CBD">
        <w:tab/>
      </w:r>
      <w:r>
        <w:t xml:space="preserve"> 26</w:t>
      </w:r>
    </w:p>
    <w:p w:rsidR="00D63E48" w:rsidRDefault="00D63E48">
      <w:pPr>
        <w:pStyle w:val="Index1"/>
        <w:tabs>
          <w:tab w:val="right" w:leader="dot" w:pos="7644"/>
        </w:tabs>
        <w:rPr>
          <w:noProof/>
        </w:rPr>
      </w:pPr>
      <w:r>
        <w:rPr>
          <w:noProof/>
        </w:rPr>
        <w:t>Güller, Harald (SPD)</w:t>
      </w:r>
    </w:p>
    <w:p w:rsidR="00D63E48" w:rsidRDefault="00D63E48" w:rsidP="00082CBD">
      <w:pPr>
        <w:pStyle w:val="Index2"/>
      </w:pPr>
      <w:r>
        <w:t xml:space="preserve">Mittelausreichung aus </w:t>
      </w:r>
      <w:r w:rsidR="00082CBD">
        <w:t>dem Masterplan BAYERN DIGITAL</w:t>
      </w:r>
      <w:r>
        <w:t xml:space="preserve"> II </w:t>
      </w:r>
      <w:r w:rsidR="00082CBD">
        <w:tab/>
      </w:r>
      <w:r>
        <w:t>15</w:t>
      </w:r>
    </w:p>
    <w:p w:rsidR="00D63E48" w:rsidRDefault="00D63E48">
      <w:pPr>
        <w:pStyle w:val="Index1"/>
        <w:tabs>
          <w:tab w:val="right" w:leader="dot" w:pos="7644"/>
        </w:tabs>
        <w:rPr>
          <w:noProof/>
        </w:rPr>
      </w:pPr>
      <w:r>
        <w:rPr>
          <w:noProof/>
        </w:rPr>
        <w:t>Halbleib, Volkmar (SPD)</w:t>
      </w:r>
    </w:p>
    <w:p w:rsidR="00D63E48" w:rsidRDefault="00D63E48" w:rsidP="00082CBD">
      <w:pPr>
        <w:pStyle w:val="Index2"/>
      </w:pPr>
      <w:r>
        <w:t>Grundstückskauf für die Uniklinik Würzburg</w:t>
      </w:r>
      <w:r w:rsidR="00082CBD">
        <w:tab/>
      </w:r>
      <w:r>
        <w:t xml:space="preserve"> 11</w:t>
      </w:r>
    </w:p>
    <w:p w:rsidR="00D63E48" w:rsidRDefault="00D63E48">
      <w:pPr>
        <w:pStyle w:val="Index1"/>
        <w:tabs>
          <w:tab w:val="right" w:leader="dot" w:pos="7644"/>
        </w:tabs>
        <w:rPr>
          <w:noProof/>
        </w:rPr>
      </w:pPr>
      <w:r>
        <w:rPr>
          <w:noProof/>
        </w:rPr>
        <w:t>Hartmann, Ludwig (BÜNDNIS 90/DIE GRÜNEN)</w:t>
      </w:r>
    </w:p>
    <w:p w:rsidR="00D63E48" w:rsidRDefault="00D63E48" w:rsidP="00082CBD">
      <w:pPr>
        <w:pStyle w:val="Index2"/>
      </w:pPr>
      <w:r>
        <w:t>Nachfrage bezüglich dieselbetriebener Polizeiautos</w:t>
      </w:r>
      <w:r w:rsidR="00082CBD">
        <w:tab/>
      </w:r>
      <w:r>
        <w:t xml:space="preserve"> 5</w:t>
      </w:r>
    </w:p>
    <w:p w:rsidR="00D63E48" w:rsidRDefault="00D63E48">
      <w:pPr>
        <w:pStyle w:val="Index1"/>
        <w:tabs>
          <w:tab w:val="right" w:leader="dot" w:pos="7644"/>
        </w:tabs>
        <w:rPr>
          <w:noProof/>
        </w:rPr>
      </w:pPr>
      <w:r>
        <w:rPr>
          <w:noProof/>
        </w:rPr>
        <w:t>Hierneis, Christian (BÜNDNIS 90/DIE GRÜNEN)</w:t>
      </w:r>
    </w:p>
    <w:p w:rsidR="00D63E48" w:rsidRDefault="00D63E48" w:rsidP="00082CBD">
      <w:pPr>
        <w:pStyle w:val="Index2"/>
      </w:pPr>
      <w:r>
        <w:t xml:space="preserve">Herdenschutzmaßnahmen </w:t>
      </w:r>
      <w:r w:rsidR="00082CBD">
        <w:tab/>
      </w:r>
      <w:r>
        <w:t>32</w:t>
      </w:r>
    </w:p>
    <w:p w:rsidR="00D63E48" w:rsidRDefault="00D63E48">
      <w:pPr>
        <w:pStyle w:val="Index1"/>
        <w:tabs>
          <w:tab w:val="right" w:leader="dot" w:pos="7644"/>
        </w:tabs>
        <w:rPr>
          <w:noProof/>
        </w:rPr>
      </w:pPr>
      <w:r>
        <w:rPr>
          <w:noProof/>
        </w:rPr>
        <w:t>Hiersemann, Alexandra (SPD)</w:t>
      </w:r>
    </w:p>
    <w:p w:rsidR="00D63E48" w:rsidRDefault="00D63E48" w:rsidP="00082CBD">
      <w:pPr>
        <w:pStyle w:val="Index2"/>
      </w:pPr>
      <w:r>
        <w:t xml:space="preserve">Landesamt für Asyl und Rückführungen </w:t>
      </w:r>
      <w:r w:rsidR="00082CBD">
        <w:t>–</w:t>
      </w:r>
      <w:r>
        <w:t xml:space="preserve"> Vollzug von aufenthaltsrechtlichen Freiheitsentziehungen</w:t>
      </w:r>
      <w:r w:rsidR="00082CBD">
        <w:tab/>
      </w:r>
      <w:r>
        <w:t xml:space="preserve"> 6</w:t>
      </w:r>
    </w:p>
    <w:p w:rsidR="00D63E48" w:rsidRDefault="00D63E48">
      <w:pPr>
        <w:pStyle w:val="Index1"/>
        <w:tabs>
          <w:tab w:val="right" w:leader="dot" w:pos="7644"/>
        </w:tabs>
        <w:rPr>
          <w:noProof/>
        </w:rPr>
      </w:pPr>
      <w:r>
        <w:rPr>
          <w:noProof/>
        </w:rPr>
        <w:t>Kaltenhauser, Dr., Helmut (FDP)</w:t>
      </w:r>
    </w:p>
    <w:p w:rsidR="00D63E48" w:rsidRDefault="00D63E48" w:rsidP="00082CBD">
      <w:pPr>
        <w:pStyle w:val="Index2"/>
      </w:pPr>
      <w:r>
        <w:t xml:space="preserve">Hochschule Aschaffenburg </w:t>
      </w:r>
      <w:r w:rsidR="00082CBD">
        <w:t>–</w:t>
      </w:r>
      <w:r>
        <w:t xml:space="preserve"> Informatik-Studiengang </w:t>
      </w:r>
      <w:r w:rsidR="00082CBD">
        <w:tab/>
      </w:r>
      <w:r>
        <w:t>20</w:t>
      </w:r>
    </w:p>
    <w:p w:rsidR="00D63E48" w:rsidRDefault="00D63E48">
      <w:pPr>
        <w:pStyle w:val="Index1"/>
        <w:tabs>
          <w:tab w:val="right" w:leader="dot" w:pos="7644"/>
        </w:tabs>
        <w:rPr>
          <w:noProof/>
        </w:rPr>
      </w:pPr>
      <w:r>
        <w:rPr>
          <w:noProof/>
        </w:rPr>
        <w:t>Karl, Annette (SPD)</w:t>
      </w:r>
    </w:p>
    <w:p w:rsidR="00D63E48" w:rsidRDefault="00D63E48" w:rsidP="00082CBD">
      <w:pPr>
        <w:pStyle w:val="Index2"/>
      </w:pPr>
      <w:r>
        <w:t xml:space="preserve">Ausschluss aus gesetzlichen Krankenkassen </w:t>
      </w:r>
      <w:r w:rsidR="00082CBD">
        <w:tab/>
      </w:r>
      <w:r>
        <w:t>45</w:t>
      </w:r>
    </w:p>
    <w:p w:rsidR="00D63E48" w:rsidRDefault="00D63E48">
      <w:pPr>
        <w:pStyle w:val="Index1"/>
        <w:tabs>
          <w:tab w:val="right" w:leader="dot" w:pos="7644"/>
        </w:tabs>
        <w:rPr>
          <w:noProof/>
        </w:rPr>
      </w:pPr>
      <w:r>
        <w:rPr>
          <w:noProof/>
        </w:rPr>
        <w:t>Knoblach, Paul (BÜNDNIS 90/DIE GRÜNEN)</w:t>
      </w:r>
    </w:p>
    <w:p w:rsidR="00D63E48" w:rsidRDefault="00D63E48" w:rsidP="00082CBD">
      <w:pPr>
        <w:pStyle w:val="Index2"/>
      </w:pPr>
      <w:r>
        <w:t xml:space="preserve">Schutz der Atomanlagen Grafenrheinfeld im Katastrophenfall </w:t>
      </w:r>
      <w:r w:rsidR="00082CBD">
        <w:tab/>
      </w:r>
      <w:r>
        <w:t>33</w:t>
      </w:r>
    </w:p>
    <w:p w:rsidR="00D63E48" w:rsidRDefault="00D63E48">
      <w:pPr>
        <w:pStyle w:val="Index1"/>
        <w:tabs>
          <w:tab w:val="right" w:leader="dot" w:pos="7644"/>
        </w:tabs>
        <w:rPr>
          <w:noProof/>
        </w:rPr>
      </w:pPr>
      <w:r>
        <w:rPr>
          <w:noProof/>
        </w:rPr>
        <w:t>Köhler, Claudia (BÜNDNIS 90/DIE GRÜNEN)</w:t>
      </w:r>
    </w:p>
    <w:p w:rsidR="00D63E48" w:rsidRDefault="00D63E48" w:rsidP="00082CBD">
      <w:pPr>
        <w:pStyle w:val="Index2"/>
      </w:pPr>
      <w:r>
        <w:t xml:space="preserve">Anrechnung des Familiengeldes auf Leistungen der wirtschaftlichen Jugendhilfe nach dem Sozialgesetzbuch (SGB) Achtes Buch (VIII) </w:t>
      </w:r>
      <w:r w:rsidR="00082CBD">
        <w:tab/>
      </w:r>
      <w:r>
        <w:t>41</w:t>
      </w:r>
    </w:p>
    <w:p w:rsidR="00D63E48" w:rsidRDefault="00D63E48">
      <w:pPr>
        <w:pStyle w:val="Index1"/>
        <w:tabs>
          <w:tab w:val="right" w:leader="dot" w:pos="7644"/>
        </w:tabs>
        <w:rPr>
          <w:noProof/>
        </w:rPr>
      </w:pPr>
      <w:r>
        <w:rPr>
          <w:noProof/>
        </w:rPr>
        <w:t>Kohnen, Natascha (SPD)</w:t>
      </w:r>
    </w:p>
    <w:p w:rsidR="00D63E48" w:rsidRDefault="00D63E48" w:rsidP="00082CBD">
      <w:pPr>
        <w:pStyle w:val="Index2"/>
      </w:pPr>
      <w:r>
        <w:t xml:space="preserve">Strafzinsen für BayernHeim-Neugründung </w:t>
      </w:r>
      <w:r w:rsidR="00082CBD">
        <w:tab/>
      </w:r>
      <w:r>
        <w:t>11</w:t>
      </w:r>
    </w:p>
    <w:p w:rsidR="00D63E48" w:rsidRDefault="00D63E48">
      <w:pPr>
        <w:pStyle w:val="Index1"/>
        <w:tabs>
          <w:tab w:val="right" w:leader="dot" w:pos="7644"/>
        </w:tabs>
        <w:rPr>
          <w:noProof/>
        </w:rPr>
      </w:pPr>
      <w:r>
        <w:rPr>
          <w:noProof/>
        </w:rPr>
        <w:t>Krahl, Andreas (BÜNDNIS 90/DIE GRÜNEN)</w:t>
      </w:r>
    </w:p>
    <w:p w:rsidR="00D63E48" w:rsidRDefault="00D63E48" w:rsidP="00082CBD">
      <w:pPr>
        <w:pStyle w:val="Index2"/>
      </w:pPr>
      <w:r>
        <w:t xml:space="preserve">Landespflegegeld </w:t>
      </w:r>
      <w:r w:rsidR="00082CBD">
        <w:tab/>
      </w:r>
      <w:r>
        <w:t>24</w:t>
      </w:r>
    </w:p>
    <w:p w:rsidR="00D63E48" w:rsidRDefault="00D63E48">
      <w:pPr>
        <w:pStyle w:val="Index1"/>
        <w:tabs>
          <w:tab w:val="right" w:leader="dot" w:pos="7644"/>
        </w:tabs>
        <w:rPr>
          <w:noProof/>
        </w:rPr>
      </w:pPr>
      <w:r>
        <w:rPr>
          <w:noProof/>
        </w:rPr>
        <w:t>Kurz, Susanne (BÜNDNIS 90/DIE GRÜNEN)</w:t>
      </w:r>
    </w:p>
    <w:p w:rsidR="00D63E48" w:rsidRDefault="00D63E48" w:rsidP="00082CBD">
      <w:pPr>
        <w:pStyle w:val="Index2"/>
      </w:pPr>
      <w:r>
        <w:t xml:space="preserve">Zielvereinbarungen mit Kunsthochschulen </w:t>
      </w:r>
      <w:r w:rsidR="00082CBD">
        <w:tab/>
      </w:r>
      <w:r>
        <w:t>20</w:t>
      </w:r>
    </w:p>
    <w:p w:rsidR="00D63E48" w:rsidRDefault="00D63E48">
      <w:pPr>
        <w:pStyle w:val="Index1"/>
        <w:tabs>
          <w:tab w:val="right" w:leader="dot" w:pos="7644"/>
        </w:tabs>
        <w:rPr>
          <w:noProof/>
        </w:rPr>
      </w:pPr>
      <w:r>
        <w:rPr>
          <w:noProof/>
        </w:rPr>
        <w:t>Mistol, Jürgen (BÜNDNIS 90/DIE GRÜNEN)</w:t>
      </w:r>
    </w:p>
    <w:p w:rsidR="00D63E48" w:rsidRPr="00082CBD" w:rsidRDefault="00D63E48" w:rsidP="00082CBD">
      <w:pPr>
        <w:pStyle w:val="Index2"/>
      </w:pPr>
      <w:r w:rsidRPr="00082CBD">
        <w:t xml:space="preserve">365-Euro-Ticket für Schülerinnen bzw. Schüler, Auszubildende und Studierende </w:t>
      </w:r>
      <w:r w:rsidR="00082CBD" w:rsidRPr="00082CBD">
        <w:tab/>
      </w:r>
      <w:r w:rsidRPr="00082CBD">
        <w:t>12</w:t>
      </w:r>
    </w:p>
    <w:p w:rsidR="00D63E48" w:rsidRDefault="00D63E48">
      <w:pPr>
        <w:pStyle w:val="Index1"/>
        <w:tabs>
          <w:tab w:val="right" w:leader="dot" w:pos="7644"/>
        </w:tabs>
        <w:rPr>
          <w:noProof/>
        </w:rPr>
      </w:pPr>
      <w:r>
        <w:rPr>
          <w:noProof/>
        </w:rPr>
        <w:t>Müller, Ruth (SPD)</w:t>
      </w:r>
    </w:p>
    <w:p w:rsidR="00D63E48" w:rsidRDefault="00D63E48" w:rsidP="00082CBD">
      <w:pPr>
        <w:pStyle w:val="Index2"/>
      </w:pPr>
      <w:r>
        <w:t xml:space="preserve">Lagerung von Atommüll in Niederbayern - keine Gefährdung unserer Bevölkerung akzeptieren! </w:t>
      </w:r>
      <w:r w:rsidR="00082CBD">
        <w:tab/>
      </w:r>
      <w:r>
        <w:t>34</w:t>
      </w:r>
    </w:p>
    <w:p w:rsidR="00D63E48" w:rsidRDefault="00D63E48">
      <w:pPr>
        <w:pStyle w:val="Index1"/>
        <w:tabs>
          <w:tab w:val="right" w:leader="dot" w:pos="7644"/>
        </w:tabs>
        <w:rPr>
          <w:noProof/>
        </w:rPr>
      </w:pPr>
      <w:r>
        <w:rPr>
          <w:noProof/>
        </w:rPr>
        <w:t>Muthmann, Alexander (FDP)</w:t>
      </w:r>
    </w:p>
    <w:p w:rsidR="00D63E48" w:rsidRDefault="00D63E48" w:rsidP="00082CBD">
      <w:pPr>
        <w:pStyle w:val="Index2"/>
      </w:pPr>
      <w:r>
        <w:t>Trainingszentrum für Spezialeinheiten in Freyung</w:t>
      </w:r>
      <w:r w:rsidR="00082CBD">
        <w:tab/>
      </w:r>
      <w:r>
        <w:t xml:space="preserve"> 6</w:t>
      </w:r>
    </w:p>
    <w:p w:rsidR="00D63E48" w:rsidRDefault="00D63E48">
      <w:pPr>
        <w:pStyle w:val="Index1"/>
        <w:tabs>
          <w:tab w:val="right" w:leader="dot" w:pos="7644"/>
        </w:tabs>
        <w:rPr>
          <w:noProof/>
        </w:rPr>
      </w:pPr>
      <w:r>
        <w:rPr>
          <w:noProof/>
        </w:rPr>
        <w:t>Osgyan, Verena (BÜNDNIS 90/DIE GRÜNEN)</w:t>
      </w:r>
    </w:p>
    <w:p w:rsidR="00D63E48" w:rsidRDefault="00082CBD" w:rsidP="00082CBD">
      <w:pPr>
        <w:pStyle w:val="Index2"/>
      </w:pPr>
      <w:r>
        <w:rPr>
          <w:rFonts w:cs="Arial"/>
        </w:rPr>
        <w:t>„</w:t>
      </w:r>
      <w:r w:rsidR="00D63E48">
        <w:t>Erklärung  zur wirtschaftlichen Unabhängigkeit“ für Lehrbeauftragte</w:t>
      </w:r>
      <w:r>
        <w:tab/>
      </w:r>
      <w:r w:rsidR="00D63E48">
        <w:t xml:space="preserve"> 21</w:t>
      </w:r>
    </w:p>
    <w:p w:rsidR="00D63E48" w:rsidRDefault="00D63E48">
      <w:pPr>
        <w:pStyle w:val="Index1"/>
        <w:tabs>
          <w:tab w:val="right" w:leader="dot" w:pos="7644"/>
        </w:tabs>
        <w:rPr>
          <w:noProof/>
        </w:rPr>
      </w:pPr>
      <w:r>
        <w:rPr>
          <w:noProof/>
        </w:rPr>
        <w:t>Pargent, Tim (BÜNDNIS 90/DIE GRÜNEN)</w:t>
      </w:r>
    </w:p>
    <w:p w:rsidR="00D63E48" w:rsidRDefault="00D63E48" w:rsidP="00082CBD">
      <w:pPr>
        <w:pStyle w:val="Index2"/>
      </w:pPr>
      <w:r>
        <w:t xml:space="preserve">Baumfällungen im Hohen Buchener </w:t>
      </w:r>
      <w:r w:rsidR="00082CBD">
        <w:t>Wald</w:t>
      </w:r>
      <w:r>
        <w:t xml:space="preserve"> </w:t>
      </w:r>
      <w:r w:rsidR="00082CBD">
        <w:tab/>
      </w:r>
      <w:r>
        <w:t>36</w:t>
      </w:r>
    </w:p>
    <w:p w:rsidR="00D63E48" w:rsidRDefault="00D63E48">
      <w:pPr>
        <w:pStyle w:val="Index1"/>
        <w:tabs>
          <w:tab w:val="right" w:leader="dot" w:pos="7644"/>
        </w:tabs>
        <w:rPr>
          <w:noProof/>
        </w:rPr>
      </w:pPr>
      <w:r>
        <w:rPr>
          <w:noProof/>
        </w:rPr>
        <w:t>Rinderspacher, Markus (SPD)</w:t>
      </w:r>
    </w:p>
    <w:p w:rsidR="00D63E48" w:rsidRDefault="00D63E48" w:rsidP="00082CBD">
      <w:pPr>
        <w:pStyle w:val="Index2"/>
      </w:pPr>
      <w:r>
        <w:t xml:space="preserve">EU-Mittel für Bayern </w:t>
      </w:r>
      <w:r w:rsidR="00082CBD">
        <w:tab/>
      </w:r>
      <w:r>
        <w:t>26</w:t>
      </w:r>
    </w:p>
    <w:p w:rsidR="00D63E48" w:rsidRDefault="00D63E48">
      <w:pPr>
        <w:pStyle w:val="Index1"/>
        <w:tabs>
          <w:tab w:val="right" w:leader="dot" w:pos="7644"/>
        </w:tabs>
        <w:rPr>
          <w:noProof/>
        </w:rPr>
      </w:pPr>
      <w:r>
        <w:rPr>
          <w:noProof/>
        </w:rPr>
        <w:t>Ritter, Florian (SPD)</w:t>
      </w:r>
    </w:p>
    <w:p w:rsidR="00D63E48" w:rsidRDefault="00D63E48" w:rsidP="00082CBD">
      <w:pPr>
        <w:pStyle w:val="Index2"/>
      </w:pPr>
      <w:r>
        <w:t>Uniter e. V.</w:t>
      </w:r>
      <w:r w:rsidR="00082CBD">
        <w:tab/>
      </w:r>
      <w:r>
        <w:t xml:space="preserve"> 7</w:t>
      </w:r>
    </w:p>
    <w:p w:rsidR="00D63E48" w:rsidRDefault="00D63E48">
      <w:pPr>
        <w:pStyle w:val="Index1"/>
        <w:tabs>
          <w:tab w:val="right" w:leader="dot" w:pos="7644"/>
        </w:tabs>
        <w:rPr>
          <w:noProof/>
        </w:rPr>
      </w:pPr>
      <w:r>
        <w:rPr>
          <w:noProof/>
        </w:rPr>
        <w:t>Runge, Dr., Martin (BÜNDNIS 90/DIE GRÜNEN)</w:t>
      </w:r>
    </w:p>
    <w:p w:rsidR="00D63E48" w:rsidRDefault="00D63E48" w:rsidP="00082CBD">
      <w:pPr>
        <w:pStyle w:val="Index2"/>
      </w:pPr>
      <w:r>
        <w:t xml:space="preserve">Antrag auf Kreisfreiheit der Stadt Neu-Ulm </w:t>
      </w:r>
      <w:r w:rsidR="00082CBD">
        <w:tab/>
      </w:r>
      <w:r>
        <w:t>7</w:t>
      </w:r>
    </w:p>
    <w:p w:rsidR="00D63E48" w:rsidRDefault="00D63E48">
      <w:pPr>
        <w:pStyle w:val="Index1"/>
        <w:tabs>
          <w:tab w:val="right" w:leader="dot" w:pos="7644"/>
        </w:tabs>
        <w:rPr>
          <w:noProof/>
        </w:rPr>
      </w:pPr>
      <w:r>
        <w:rPr>
          <w:noProof/>
        </w:rPr>
        <w:t>Sandt, Julika (FDP)</w:t>
      </w:r>
    </w:p>
    <w:p w:rsidR="00D63E48" w:rsidRDefault="00D63E48" w:rsidP="00082CBD">
      <w:pPr>
        <w:pStyle w:val="Index2"/>
      </w:pPr>
      <w:r>
        <w:t xml:space="preserve">Kitaplätze: Ausbau mit Fokus auf Bedarf und Qualität? </w:t>
      </w:r>
      <w:r w:rsidR="00082CBD">
        <w:tab/>
      </w:r>
      <w:r>
        <w:t>41</w:t>
      </w:r>
    </w:p>
    <w:p w:rsidR="00D63E48" w:rsidRDefault="00D63E48">
      <w:pPr>
        <w:pStyle w:val="Index1"/>
        <w:tabs>
          <w:tab w:val="right" w:leader="dot" w:pos="7644"/>
        </w:tabs>
        <w:rPr>
          <w:noProof/>
        </w:rPr>
      </w:pPr>
      <w:r>
        <w:rPr>
          <w:noProof/>
        </w:rPr>
        <w:t>Schuhknecht, Stephanie (BÜNDNIS 90/DIE GRÜNEN)</w:t>
      </w:r>
    </w:p>
    <w:p w:rsidR="00D63E48" w:rsidRDefault="00D63E48" w:rsidP="00082CBD">
      <w:pPr>
        <w:pStyle w:val="Index2"/>
      </w:pPr>
      <w:r>
        <w:t>Proble</w:t>
      </w:r>
      <w:r w:rsidR="00082CBD">
        <w:t xml:space="preserve">me beim Fuggerexpress, Vergabe </w:t>
      </w:r>
      <w:r w:rsidR="00082CBD">
        <w:rPr>
          <w:rFonts w:cs="Arial"/>
        </w:rPr>
        <w:t>„</w:t>
      </w:r>
      <w:r>
        <w:t xml:space="preserve">Augsburger Netze“ </w:t>
      </w:r>
      <w:r w:rsidR="00082CBD">
        <w:tab/>
      </w:r>
      <w:r>
        <w:t>13</w:t>
      </w:r>
    </w:p>
    <w:p w:rsidR="00D63E48" w:rsidRDefault="00D63E48">
      <w:pPr>
        <w:pStyle w:val="Index1"/>
        <w:tabs>
          <w:tab w:val="right" w:leader="dot" w:pos="7644"/>
        </w:tabs>
        <w:rPr>
          <w:noProof/>
        </w:rPr>
      </w:pPr>
      <w:r>
        <w:rPr>
          <w:noProof/>
        </w:rPr>
        <w:t>Schulze, Katharina (BÜNDNIS 90/DIE GRÜNEN)</w:t>
      </w:r>
    </w:p>
    <w:p w:rsidR="00D63E48" w:rsidRDefault="00D63E48" w:rsidP="00082CBD">
      <w:pPr>
        <w:pStyle w:val="Index2"/>
      </w:pPr>
      <w:r>
        <w:t>Internationale Razzia gegen Mitglieder der 'Ndrangheta in Bayern</w:t>
      </w:r>
      <w:r w:rsidR="00082CBD">
        <w:tab/>
      </w:r>
      <w:r>
        <w:t xml:space="preserve"> 8</w:t>
      </w:r>
    </w:p>
    <w:p w:rsidR="00D63E48" w:rsidRDefault="00D63E48">
      <w:pPr>
        <w:pStyle w:val="Index1"/>
        <w:tabs>
          <w:tab w:val="right" w:leader="dot" w:pos="7644"/>
        </w:tabs>
        <w:rPr>
          <w:noProof/>
        </w:rPr>
      </w:pPr>
      <w:r>
        <w:rPr>
          <w:noProof/>
        </w:rPr>
        <w:t>Schuster, Stefan (SPD)</w:t>
      </w:r>
    </w:p>
    <w:p w:rsidR="00D63E48" w:rsidRDefault="00D63E48" w:rsidP="00082CBD">
      <w:pPr>
        <w:pStyle w:val="Index2"/>
      </w:pPr>
      <w:r>
        <w:t xml:space="preserve">Mobile und Integrierte Lehrerreserve </w:t>
      </w:r>
      <w:r w:rsidR="00082CBD">
        <w:tab/>
      </w:r>
      <w:r>
        <w:t>16</w:t>
      </w:r>
    </w:p>
    <w:p w:rsidR="00D63E48" w:rsidRDefault="00D63E48">
      <w:pPr>
        <w:pStyle w:val="Index1"/>
        <w:tabs>
          <w:tab w:val="right" w:leader="dot" w:pos="7644"/>
        </w:tabs>
        <w:rPr>
          <w:noProof/>
        </w:rPr>
      </w:pPr>
      <w:r>
        <w:rPr>
          <w:noProof/>
        </w:rPr>
        <w:t>Sengl, Gisela (BÜNDNIS 90/DIE GRÜNEN)</w:t>
      </w:r>
    </w:p>
    <w:p w:rsidR="00D63E48" w:rsidRDefault="00D63E48" w:rsidP="00082CBD">
      <w:pPr>
        <w:pStyle w:val="Index2"/>
      </w:pPr>
      <w:r>
        <w:t xml:space="preserve">Schäden durch Maikäfer bzw. Engerlinge </w:t>
      </w:r>
      <w:r w:rsidR="00082CBD">
        <w:tab/>
      </w:r>
      <w:r>
        <w:t>37</w:t>
      </w:r>
    </w:p>
    <w:p w:rsidR="00D63E48" w:rsidRDefault="00D63E48">
      <w:pPr>
        <w:pStyle w:val="Index1"/>
        <w:tabs>
          <w:tab w:val="right" w:leader="dot" w:pos="7644"/>
        </w:tabs>
        <w:rPr>
          <w:noProof/>
        </w:rPr>
      </w:pPr>
      <w:r>
        <w:rPr>
          <w:noProof/>
        </w:rPr>
        <w:t>Siekmann, Florian (BÜNDNIS 90/DIE GRÜNEN)</w:t>
      </w:r>
    </w:p>
    <w:p w:rsidR="00D63E48" w:rsidRDefault="00D63E48" w:rsidP="00082CBD">
      <w:pPr>
        <w:pStyle w:val="Index2"/>
      </w:pPr>
      <w:r>
        <w:t>Förderung von Jugendaustauschprogrammen</w:t>
      </w:r>
      <w:r w:rsidR="00082CBD">
        <w:tab/>
      </w:r>
      <w:r>
        <w:t xml:space="preserve"> 42</w:t>
      </w:r>
    </w:p>
    <w:p w:rsidR="00D63E48" w:rsidRDefault="00D63E48">
      <w:pPr>
        <w:pStyle w:val="Index1"/>
        <w:tabs>
          <w:tab w:val="right" w:leader="dot" w:pos="7644"/>
        </w:tabs>
        <w:rPr>
          <w:noProof/>
        </w:rPr>
      </w:pPr>
      <w:r>
        <w:rPr>
          <w:noProof/>
        </w:rPr>
        <w:t>Spitzer, Dr., Dominik (FDP)</w:t>
      </w:r>
    </w:p>
    <w:p w:rsidR="00D63E48" w:rsidRDefault="00D63E48" w:rsidP="00082CBD">
      <w:pPr>
        <w:pStyle w:val="Index2"/>
      </w:pPr>
      <w:r>
        <w:t xml:space="preserve">Studienplätze </w:t>
      </w:r>
      <w:r w:rsidR="00082CBD">
        <w:tab/>
      </w:r>
      <w:r>
        <w:t>22</w:t>
      </w:r>
    </w:p>
    <w:p w:rsidR="00D63E48" w:rsidRDefault="00D63E48">
      <w:pPr>
        <w:pStyle w:val="Index1"/>
        <w:tabs>
          <w:tab w:val="right" w:leader="dot" w:pos="7644"/>
        </w:tabs>
        <w:rPr>
          <w:noProof/>
        </w:rPr>
      </w:pPr>
      <w:r>
        <w:rPr>
          <w:noProof/>
        </w:rPr>
        <w:t>Stachowitz, Diana (SPD)</w:t>
      </w:r>
    </w:p>
    <w:p w:rsidR="00D63E48" w:rsidRDefault="00D63E48" w:rsidP="00082CBD">
      <w:pPr>
        <w:pStyle w:val="Index2"/>
      </w:pPr>
      <w:r>
        <w:t xml:space="preserve">Förderung kommunaler Schwimmbäder </w:t>
      </w:r>
      <w:r w:rsidR="00082CBD">
        <w:tab/>
      </w:r>
      <w:r>
        <w:t>14</w:t>
      </w:r>
    </w:p>
    <w:p w:rsidR="00D63E48" w:rsidRDefault="00D63E48">
      <w:pPr>
        <w:pStyle w:val="Index1"/>
        <w:tabs>
          <w:tab w:val="right" w:leader="dot" w:pos="7644"/>
        </w:tabs>
        <w:rPr>
          <w:noProof/>
        </w:rPr>
      </w:pPr>
      <w:r>
        <w:rPr>
          <w:noProof/>
        </w:rPr>
        <w:t>Steinberger, Rosi (BÜNDNIS 90/DIE GRÜNEN)</w:t>
      </w:r>
    </w:p>
    <w:p w:rsidR="00D63E48" w:rsidRDefault="00D63E48" w:rsidP="00082CBD">
      <w:pPr>
        <w:pStyle w:val="Index2"/>
      </w:pPr>
      <w:r>
        <w:t xml:space="preserve">Vermarktung heimischer Produkte unter Einhaltung der entsprechenden EU-Verordnung (EU-Verordnung EG Nr. 510/2006) zum Schutz von geografischen Angaben und Ursprungsbezeichnungen für Agrarerzeugnisse und Lebensmittel </w:t>
      </w:r>
      <w:r w:rsidR="00082CBD">
        <w:tab/>
      </w:r>
      <w:r>
        <w:t>34</w:t>
      </w:r>
    </w:p>
    <w:p w:rsidR="00D63E48" w:rsidRDefault="00D63E48">
      <w:pPr>
        <w:pStyle w:val="Index1"/>
        <w:tabs>
          <w:tab w:val="right" w:leader="dot" w:pos="7644"/>
        </w:tabs>
        <w:rPr>
          <w:noProof/>
        </w:rPr>
      </w:pPr>
      <w:r>
        <w:rPr>
          <w:noProof/>
        </w:rPr>
        <w:t>Strohmayr, Dr., Simone (SPD)</w:t>
      </w:r>
    </w:p>
    <w:p w:rsidR="00D63E48" w:rsidRDefault="00D63E48" w:rsidP="00082CBD">
      <w:pPr>
        <w:pStyle w:val="Index2"/>
      </w:pPr>
      <w:r>
        <w:t xml:space="preserve">Übernachtungsmöglichkeiten bei der Kinderbetreuung </w:t>
      </w:r>
      <w:r w:rsidR="00082CBD">
        <w:tab/>
      </w:r>
      <w:r>
        <w:t>43</w:t>
      </w:r>
    </w:p>
    <w:p w:rsidR="00D63E48" w:rsidRDefault="00D63E48">
      <w:pPr>
        <w:pStyle w:val="Index1"/>
        <w:tabs>
          <w:tab w:val="right" w:leader="dot" w:pos="7644"/>
        </w:tabs>
        <w:rPr>
          <w:noProof/>
        </w:rPr>
      </w:pPr>
      <w:r>
        <w:rPr>
          <w:noProof/>
        </w:rPr>
        <w:t>Stümpfig, Martin (BÜNDNIS 90/DIE GRÜNEN)</w:t>
      </w:r>
    </w:p>
    <w:p w:rsidR="00D63E48" w:rsidRDefault="00D63E48" w:rsidP="00082CBD">
      <w:pPr>
        <w:pStyle w:val="Index2"/>
      </w:pPr>
      <w:r>
        <w:t xml:space="preserve">EEG-Novelle Photovoltaik </w:t>
      </w:r>
      <w:r w:rsidR="00082CBD">
        <w:tab/>
      </w:r>
      <w:r>
        <w:t>28</w:t>
      </w:r>
    </w:p>
    <w:p w:rsidR="00D63E48" w:rsidRDefault="00D63E48">
      <w:pPr>
        <w:pStyle w:val="Index1"/>
        <w:tabs>
          <w:tab w:val="right" w:leader="dot" w:pos="7644"/>
        </w:tabs>
        <w:rPr>
          <w:noProof/>
        </w:rPr>
      </w:pPr>
      <w:r>
        <w:rPr>
          <w:noProof/>
        </w:rPr>
        <w:t>Ta</w:t>
      </w:r>
      <w:r w:rsidR="00082CBD">
        <w:rPr>
          <w:rFonts w:cs="Arial"/>
          <w:noProof/>
        </w:rPr>
        <w:t>ş</w:t>
      </w:r>
      <w:r>
        <w:rPr>
          <w:noProof/>
        </w:rPr>
        <w:t>delen, Arif (SPD)</w:t>
      </w:r>
    </w:p>
    <w:p w:rsidR="00D63E48" w:rsidRDefault="00D63E48" w:rsidP="00082CBD">
      <w:pPr>
        <w:pStyle w:val="Index2"/>
      </w:pPr>
      <w:r>
        <w:t xml:space="preserve">Verfassungswidrige Absenkung der Eingangsbesoldung </w:t>
      </w:r>
      <w:r w:rsidR="00082CBD">
        <w:tab/>
      </w:r>
      <w:r>
        <w:t>25</w:t>
      </w:r>
    </w:p>
    <w:p w:rsidR="00D63E48" w:rsidRDefault="00D63E48">
      <w:pPr>
        <w:pStyle w:val="Index1"/>
        <w:tabs>
          <w:tab w:val="right" w:leader="dot" w:pos="7644"/>
        </w:tabs>
        <w:rPr>
          <w:noProof/>
        </w:rPr>
      </w:pPr>
      <w:r>
        <w:rPr>
          <w:noProof/>
        </w:rPr>
        <w:t>Toman, Anna (BÜNDNIS 90/DIE GRÜNEN)</w:t>
      </w:r>
    </w:p>
    <w:p w:rsidR="00D63E48" w:rsidRDefault="00D63E48" w:rsidP="00082CBD">
      <w:pPr>
        <w:pStyle w:val="Index2"/>
      </w:pPr>
      <w:r>
        <w:t xml:space="preserve">Umsetzung der UN-Behindertenrechtskonvention im ÖPNV und Finanzierung </w:t>
      </w:r>
      <w:r w:rsidR="00082CBD">
        <w:tab/>
      </w:r>
      <w:r>
        <w:t>43</w:t>
      </w:r>
    </w:p>
    <w:p w:rsidR="00D63E48" w:rsidRDefault="00D63E48">
      <w:pPr>
        <w:pStyle w:val="Index1"/>
        <w:tabs>
          <w:tab w:val="right" w:leader="dot" w:pos="7644"/>
        </w:tabs>
        <w:rPr>
          <w:noProof/>
        </w:rPr>
      </w:pPr>
      <w:r>
        <w:rPr>
          <w:noProof/>
        </w:rPr>
        <w:t>Triebel, Gabriele (BÜNDNIS 90/DIE GRÜNEN)</w:t>
      </w:r>
    </w:p>
    <w:p w:rsidR="00D63E48" w:rsidRDefault="00D63E48" w:rsidP="00082CBD">
      <w:pPr>
        <w:pStyle w:val="Index2"/>
      </w:pPr>
      <w:r>
        <w:t xml:space="preserve">Befristete Verträge im Schuldienst </w:t>
      </w:r>
      <w:r w:rsidR="00082CBD">
        <w:tab/>
      </w:r>
      <w:r>
        <w:t>16</w:t>
      </w:r>
    </w:p>
    <w:p w:rsidR="00D63E48" w:rsidRDefault="00D63E48">
      <w:pPr>
        <w:pStyle w:val="Index1"/>
        <w:tabs>
          <w:tab w:val="right" w:leader="dot" w:pos="7644"/>
        </w:tabs>
        <w:rPr>
          <w:noProof/>
        </w:rPr>
      </w:pPr>
      <w:r>
        <w:rPr>
          <w:noProof/>
        </w:rPr>
        <w:t>Urban, Hans (BÜNDNIS 90/DIE GRÜNEN)</w:t>
      </w:r>
    </w:p>
    <w:p w:rsidR="00D63E48" w:rsidRDefault="00D63E48" w:rsidP="00082CBD">
      <w:pPr>
        <w:pStyle w:val="Index2"/>
      </w:pPr>
      <w:r>
        <w:t>Wasserschutzzone Reisach-Gotzing-Thalham</w:t>
      </w:r>
      <w:r w:rsidR="00082CBD">
        <w:tab/>
      </w:r>
      <w:r>
        <w:t xml:space="preserve"> 35</w:t>
      </w:r>
    </w:p>
    <w:p w:rsidR="00D63E48" w:rsidRDefault="00D63E48">
      <w:pPr>
        <w:pStyle w:val="Index1"/>
        <w:tabs>
          <w:tab w:val="right" w:leader="dot" w:pos="7644"/>
        </w:tabs>
        <w:rPr>
          <w:noProof/>
        </w:rPr>
      </w:pPr>
      <w:r>
        <w:rPr>
          <w:noProof/>
        </w:rPr>
        <w:t>Waldmann, Ruth (SPD)</w:t>
      </w:r>
    </w:p>
    <w:p w:rsidR="00D63E48" w:rsidRDefault="00D63E48" w:rsidP="00082CBD">
      <w:pPr>
        <w:pStyle w:val="Index2"/>
      </w:pPr>
      <w:r>
        <w:t>Mangel an Grippe-Impfstoff</w:t>
      </w:r>
      <w:r w:rsidR="00082CBD">
        <w:tab/>
      </w:r>
      <w:r>
        <w:t xml:space="preserve"> 45</w:t>
      </w:r>
    </w:p>
    <w:p w:rsidR="00D63E48" w:rsidRDefault="00D63E48">
      <w:pPr>
        <w:pStyle w:val="Index1"/>
        <w:tabs>
          <w:tab w:val="right" w:leader="dot" w:pos="7644"/>
        </w:tabs>
        <w:rPr>
          <w:noProof/>
        </w:rPr>
      </w:pPr>
      <w:r>
        <w:rPr>
          <w:noProof/>
        </w:rPr>
        <w:t>Wild, Margit (SPD)</w:t>
      </w:r>
    </w:p>
    <w:p w:rsidR="00D63E48" w:rsidRDefault="00D63E48" w:rsidP="00082CBD">
      <w:pPr>
        <w:pStyle w:val="Index2"/>
      </w:pPr>
      <w:r>
        <w:t>Unterlaufen des Tarifvertrags an der Universität Regensburg</w:t>
      </w:r>
      <w:r w:rsidR="00082CBD">
        <w:tab/>
      </w:r>
      <w:r>
        <w:t xml:space="preserve"> 23</w:t>
      </w:r>
    </w:p>
    <w:p w:rsidR="00D63E48" w:rsidRDefault="00D63E48">
      <w:pPr>
        <w:pStyle w:val="Index1"/>
        <w:tabs>
          <w:tab w:val="right" w:leader="dot" w:pos="7644"/>
        </w:tabs>
        <w:rPr>
          <w:noProof/>
        </w:rPr>
      </w:pPr>
      <w:r>
        <w:rPr>
          <w:noProof/>
        </w:rPr>
        <w:t>Zwanziger, Christian (BÜNDNIS 90/DIE GRÜNEN)</w:t>
      </w:r>
    </w:p>
    <w:p w:rsidR="00D63E48" w:rsidRDefault="00D63E48" w:rsidP="00082CBD">
      <w:pPr>
        <w:pStyle w:val="Index2"/>
      </w:pPr>
      <w:r>
        <w:t>Novellierung des Landesentwicklungsprogramms</w:t>
      </w:r>
      <w:r w:rsidR="00082CBD">
        <w:tab/>
      </w:r>
      <w:r>
        <w:t xml:space="preserve"> 29</w:t>
      </w:r>
    </w:p>
    <w:p w:rsidR="00D63E48" w:rsidRDefault="00D63E48" w:rsidP="00293F06">
      <w:pPr>
        <w:pStyle w:val="Index1"/>
        <w:rPr>
          <w:noProof/>
        </w:rPr>
        <w:sectPr w:rsidR="00D63E48" w:rsidSect="00D63E48">
          <w:type w:val="continuous"/>
          <w:pgSz w:w="11906" w:h="16838" w:code="9"/>
          <w:pgMar w:top="1418" w:right="2126" w:bottom="964" w:left="2126" w:header="1418" w:footer="567" w:gutter="0"/>
          <w:pgNumType w:fmt="upperRoman"/>
          <w:cols w:space="720"/>
          <w:titlePg/>
          <w:docGrid w:linePitch="360"/>
        </w:sectPr>
      </w:pPr>
    </w:p>
    <w:p w:rsidR="000F3417" w:rsidRPr="00E06311" w:rsidRDefault="00BA4558" w:rsidP="00293F06">
      <w:pPr>
        <w:pStyle w:val="Index1"/>
      </w:pPr>
      <w:r>
        <w:rPr>
          <w:b w:val="0"/>
          <w:bCs/>
          <w:noProof/>
        </w:rPr>
        <w:fldChar w:fldCharType="end"/>
      </w:r>
    </w:p>
    <w:p w:rsidR="006B0212" w:rsidRPr="008C3EAF" w:rsidRDefault="006B0212" w:rsidP="008C3EAF">
      <w:pPr>
        <w:pStyle w:val="LTAnfrageText"/>
      </w:pPr>
    </w:p>
    <w:p w:rsidR="00A5482B" w:rsidRPr="008C3EAF" w:rsidRDefault="00A5482B" w:rsidP="008C3EAF">
      <w:pPr>
        <w:pStyle w:val="LTAnfrageText"/>
        <w:sectPr w:rsidR="00A5482B" w:rsidRPr="008C3EAF" w:rsidSect="00D63E48">
          <w:type w:val="continuous"/>
          <w:pgSz w:w="11906" w:h="16838" w:code="9"/>
          <w:pgMar w:top="1418" w:right="2126" w:bottom="964" w:left="2126" w:header="1418" w:footer="567" w:gutter="0"/>
          <w:pgNumType w:fmt="upperRoman"/>
          <w:cols w:space="708"/>
          <w:titlePg/>
          <w:docGrid w:linePitch="360"/>
        </w:sectPr>
      </w:pPr>
    </w:p>
    <w:p w:rsidR="00BB3E7A" w:rsidRDefault="009D008C" w:rsidP="009D008C">
      <w:pPr>
        <w:pStyle w:val="LTUeberschrRessort"/>
      </w:pPr>
      <w:r>
        <w:t xml:space="preserve">Geschäftsbereich des Staatsministeriums </w:t>
      </w:r>
      <w:r w:rsidR="009D771C">
        <w:t>des Innern</w:t>
      </w:r>
      <w:r>
        <w:t>, für Sport und Integration</w:t>
      </w:r>
      <w:r>
        <w:fldChar w:fldCharType="begin"/>
      </w:r>
      <w:r>
        <w:instrText xml:space="preserve"> TC </w:instrText>
      </w:r>
      <w:r w:rsidR="006321CE">
        <w:instrText>„</w:instrText>
      </w:r>
      <w:r>
        <w:instrText>Geschäftsbereich d</w:instrText>
      </w:r>
      <w:r w:rsidR="009D771C">
        <w:instrText>es Staatsministeriums des Innern</w:instrText>
      </w:r>
      <w:r>
        <w:instrText>, für Sport und Integration</w:instrText>
      </w:r>
      <w:r w:rsidR="006321CE">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4"/>
        <w:gridCol w:w="5852"/>
      </w:tblGrid>
      <w:tr w:rsidR="009D008C" w:rsidTr="009D008C">
        <w:tc>
          <w:tcPr>
            <w:tcW w:w="2050" w:type="dxa"/>
            <w:shd w:val="clear" w:color="auto" w:fill="auto"/>
          </w:tcPr>
          <w:p w:rsidR="009D008C" w:rsidRPr="009D008C" w:rsidRDefault="009D008C" w:rsidP="009D008C">
            <w:pPr>
              <w:pStyle w:val="LTAnfrageIni1"/>
            </w:pPr>
            <w:r w:rsidRPr="009D008C">
              <w:t>Abgeordnete</w:t>
            </w:r>
            <w:r w:rsidRPr="009D008C">
              <w:br/>
            </w:r>
            <w:r w:rsidRPr="009D008C">
              <w:rPr>
                <w:b/>
              </w:rPr>
              <w:t>Martina</w:t>
            </w:r>
            <w:r w:rsidRPr="009D008C">
              <w:rPr>
                <w:b/>
              </w:rPr>
              <w:br/>
              <w:t>Fehlner</w:t>
            </w:r>
            <w:r w:rsidRPr="009D008C">
              <w:rPr>
                <w:b/>
              </w:rPr>
              <w:br/>
            </w:r>
            <w:r w:rsidRPr="009D008C">
              <w:t>(SPD)</w:t>
            </w:r>
            <w:r>
              <w:fldChar w:fldCharType="begin"/>
            </w:r>
            <w:r>
              <w:instrText xml:space="preserve"> XE </w:instrText>
            </w:r>
            <w:r w:rsidR="006321CE">
              <w:instrText>„</w:instrText>
            </w:r>
            <w:r>
              <w:instrText xml:space="preserve">Fehlner, Martina (SPD):WLAN-Zugang in bayerischen Flüchtlingsunterkünften </w:instrText>
            </w:r>
            <w:r>
              <w:fldChar w:fldCharType="end"/>
            </w:r>
            <w:r>
              <w:fldChar w:fldCharType="begin"/>
            </w:r>
            <w:r>
              <w:instrText xml:space="preserve"> TC </w:instrText>
            </w:r>
            <w:r w:rsidR="006321CE">
              <w:instrText>„</w:instrText>
            </w:r>
            <w:r>
              <w:instrText>Fehlner, Martina (SPD)</w:instrText>
            </w:r>
            <w:r>
              <w:br/>
              <w:instrText xml:space="preserve">WLAN-Zugang in bayerischen Flüchtlingsunterkünften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 xml:space="preserve">Ich frage die Staatsregierung, wie viele Flüchtlingsunterkünfte in </w:t>
            </w:r>
            <w:r w:rsidR="009D771C">
              <w:t>Bayern verfügen (unter anderem B</w:t>
            </w:r>
            <w:r>
              <w:t>ezug</w:t>
            </w:r>
            <w:r w:rsidR="009D771C">
              <w:t xml:space="preserve"> </w:t>
            </w:r>
            <w:r>
              <w:t>nehmend auf den Beschluss Drs. 17/12499) aktuell über einen WLAN-Zugang, wie werden Bewohnerinnen bzw. Bewohner, Betreiber und ggf. sonstige Akteure an den Kosten beteiligt und wie unterstützt die Staatsregierung diese hierbei?</w:t>
            </w:r>
          </w:p>
          <w:p w:rsidR="009D008C" w:rsidRDefault="009D008C" w:rsidP="009D008C">
            <w:pPr>
              <w:pStyle w:val="LTAnfrageText"/>
            </w:pPr>
          </w:p>
        </w:tc>
      </w:tr>
    </w:tbl>
    <w:p w:rsidR="009D008C" w:rsidRDefault="009D008C" w:rsidP="009D008C">
      <w:pPr>
        <w:pStyle w:val="LTUeberschrAntwortRessort"/>
      </w:pPr>
      <w:r>
        <w:t xml:space="preserve">Antwort des Staatsministeriums </w:t>
      </w:r>
      <w:r w:rsidR="009D771C">
        <w:t>des Innern</w:t>
      </w:r>
      <w:r>
        <w:t>, für Sport und Integration</w:t>
      </w:r>
    </w:p>
    <w:p w:rsidR="009D008C" w:rsidRDefault="009D008C" w:rsidP="009D008C">
      <w:pPr>
        <w:pStyle w:val="LTAntwortRessortText"/>
      </w:pPr>
      <w:r>
        <w:t>WLAN wird zur Deckung des Bedarfs an Nachrichtenübermi</w:t>
      </w:r>
      <w:r w:rsidR="006321CE">
        <w:t>ttlung im Rahmen des soziokultu</w:t>
      </w:r>
      <w:r>
        <w:t xml:space="preserve">rellen Existenzminimums nach dem Asylbewerberleistungsgesetz bereitgestellt. Daher ist das sog. Taschengeld der asylbewerberleistungsberechtigten Bewohner um einen entsprechenden Betrag zu kürzen. Ob ein Internetzugang bereitgestellt wird, kann, auch in technischer Hinsicht, nur anhand der Umstände des Einzelfalls vor Ort entschieden </w:t>
      </w:r>
      <w:r w:rsidR="006321CE">
        <w:t>werden. Die Ausstattung der ein</w:t>
      </w:r>
      <w:r>
        <w:t>zelnen Unterkünfte konnte im Rahmen der für die Anfrage zur Verfügung stehenden Zeit nicht ermittelt werden.</w:t>
      </w:r>
    </w:p>
    <w:p w:rsidR="009D008C" w:rsidRDefault="009D008C" w:rsidP="009D008C">
      <w:pPr>
        <w:pStyle w:val="LTAntwortRessortText"/>
      </w:pPr>
      <w:r>
        <w:t xml:space="preserve">Im Rahmen der Umsetzung des Sachleistungsprinzips wird derzeit an der Einrichtung von WLAN und konkreten Nutzungsmöglichkeiten insbesondere in den ANKER-Einrichtungen gearbeitet. Zum Stand November </w:t>
      </w:r>
      <w:r w:rsidR="006321CE">
        <w:t>2018</w:t>
      </w:r>
      <w:r>
        <w:t xml:space="preserve"> ist die Ausstattung mit WLAN in Bamberg, Regensburg und Zirndorf erfolgt. Zudem wird i</w:t>
      </w:r>
      <w:r w:rsidR="006321CE">
        <w:t>n den ANKER-Einrichtungen in In</w:t>
      </w:r>
      <w:r>
        <w:t>golstadt/Manching und Donauwörth die Einrichtung von WLAN vorangetrieben.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2"/>
        <w:gridCol w:w="5804"/>
      </w:tblGrid>
      <w:tr w:rsidR="009D008C" w:rsidTr="009D008C">
        <w:tc>
          <w:tcPr>
            <w:tcW w:w="2050" w:type="dxa"/>
            <w:shd w:val="clear" w:color="auto" w:fill="auto"/>
          </w:tcPr>
          <w:p w:rsidR="009D008C" w:rsidRPr="009D008C" w:rsidRDefault="009D008C" w:rsidP="009D008C">
            <w:pPr>
              <w:pStyle w:val="LTAnfrageIni1"/>
            </w:pPr>
            <w:r w:rsidRPr="009D008C">
              <w:t>Abgeordneter</w:t>
            </w:r>
            <w:r w:rsidRPr="009D008C">
              <w:br/>
            </w:r>
            <w:r w:rsidRPr="009D008C">
              <w:rPr>
                <w:b/>
              </w:rPr>
              <w:t>Matthias</w:t>
            </w:r>
            <w:r w:rsidRPr="009D008C">
              <w:rPr>
                <w:b/>
              </w:rPr>
              <w:br/>
              <w:t>Fischbach</w:t>
            </w:r>
            <w:r w:rsidRPr="009D008C">
              <w:rPr>
                <w:b/>
              </w:rPr>
              <w:br/>
            </w:r>
            <w:r w:rsidRPr="009D008C">
              <w:t>(FDP)</w:t>
            </w:r>
            <w:r>
              <w:fldChar w:fldCharType="begin"/>
            </w:r>
            <w:r>
              <w:instrText xml:space="preserve"> XE </w:instrText>
            </w:r>
            <w:r w:rsidR="006321CE">
              <w:instrText>„</w:instrText>
            </w:r>
            <w:r>
              <w:instrText xml:space="preserve">Fischbach, Matthias (FDP):Erfolgsbilanz der Grenzpolizei </w:instrText>
            </w:r>
            <w:r>
              <w:fldChar w:fldCharType="end"/>
            </w:r>
            <w:r>
              <w:fldChar w:fldCharType="begin"/>
            </w:r>
            <w:r>
              <w:instrText xml:space="preserve"> TC </w:instrText>
            </w:r>
            <w:r w:rsidR="006321CE">
              <w:instrText>„</w:instrText>
            </w:r>
            <w:r>
              <w:instrText>Fischbach, Matthias (FDP)</w:instrText>
            </w:r>
            <w:r>
              <w:br/>
              <w:instrText xml:space="preserve">Erfolgsbilanz der Grenzpolizei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Ich frage die Staatsregierung zu den vom damaligen Staatsminister des Innern und für Integration, Joachim Herrmann, am 27.08.2018 publ</w:t>
            </w:r>
            <w:r w:rsidR="009D771C">
              <w:t>izierten Fahndungserfolgen der B</w:t>
            </w:r>
            <w:r>
              <w:t>ayerischen Grenzpolizei von 500 Fahndungstreffern, 220 unerlaubten Einreisen, 475 Verstößen gegen das Betäubungsmittelgesetz, 100 Waffenfunden, 125 Passfälschungen und 640 Verkehrsdelikten innerhalb der ersten Wochen, wie diese in einem vergleichbaren Zeitraum (Juli bis August) in den Jahren zuvor (von 2014 bis 2017) für die in die Grenzpolizei aufgegangenen Fahndungseinheiten aussahen und wie die Staatsregierung den Erfolg der Grenzpolizei vor diesem Hintergrund bewertet?</w:t>
            </w:r>
          </w:p>
          <w:p w:rsidR="009D008C" w:rsidRDefault="009D008C" w:rsidP="009D008C">
            <w:pPr>
              <w:pStyle w:val="LTAnfrageText"/>
            </w:pPr>
          </w:p>
        </w:tc>
      </w:tr>
    </w:tbl>
    <w:p w:rsidR="009D008C" w:rsidRDefault="009D008C" w:rsidP="009D008C">
      <w:pPr>
        <w:pStyle w:val="LTUeberschrAntwortRessort"/>
      </w:pPr>
      <w:r>
        <w:t xml:space="preserve">Antwort des Staatsministeriums </w:t>
      </w:r>
      <w:r w:rsidR="009D771C">
        <w:t>des Innern</w:t>
      </w:r>
      <w:r>
        <w:t>, für Sport und Integration</w:t>
      </w:r>
    </w:p>
    <w:p w:rsidR="009D008C" w:rsidRDefault="009D008C" w:rsidP="009D008C">
      <w:pPr>
        <w:pStyle w:val="LTAntwortRessortText"/>
      </w:pPr>
      <w:r>
        <w:t>Die Bayerische Grenzpolizei hat sich außerordentlich bewährt. Sie sorgt im grenznahen Raum für eine deutliche Erhöhung der Kontrolldichte und der sichtbaren polizeilichen Präsenz. Dabei geht es nicht nur um die Bekämpfung der illegalen Migration und von menschenverachtenden Schleuserbanden, sondern vor allem auch um die Bekämpfun</w:t>
      </w:r>
      <w:r w:rsidR="006321CE">
        <w:t>g der grenzüberschreitenden Kri</w:t>
      </w:r>
      <w:r>
        <w:t>minalität insgesamt.</w:t>
      </w:r>
    </w:p>
    <w:p w:rsidR="009D008C" w:rsidRDefault="009D008C" w:rsidP="009D008C">
      <w:pPr>
        <w:pStyle w:val="LTAntwortRessortText"/>
      </w:pPr>
      <w:r>
        <w:t xml:space="preserve">Eine Vergleichsdarstellung der Zahl der erstellten Anzeigen </w:t>
      </w:r>
      <w:r w:rsidR="006321CE">
        <w:t>„</w:t>
      </w:r>
      <w:r>
        <w:t>im jetzigen Zuständigkeitsbereich der Bayerischen Grenzpolizei</w:t>
      </w:r>
      <w:r w:rsidR="006321CE">
        <w:t>“</w:t>
      </w:r>
      <w:r>
        <w:t xml:space="preserve"> zu den Phänomenbereichen</w:t>
      </w:r>
    </w:p>
    <w:p w:rsidR="009D008C" w:rsidRDefault="009D008C" w:rsidP="006321CE">
      <w:pPr>
        <w:pStyle w:val="LTAntwortRessortText"/>
        <w:numPr>
          <w:ilvl w:val="0"/>
          <w:numId w:val="24"/>
        </w:numPr>
        <w:spacing w:before="120"/>
        <w:ind w:left="1054" w:hanging="357"/>
      </w:pPr>
      <w:r>
        <w:t>Unerlaubte Einreise von Ausländern in das Bundesgebiet,</w:t>
      </w:r>
    </w:p>
    <w:p w:rsidR="009D008C" w:rsidRDefault="009D008C" w:rsidP="006321CE">
      <w:pPr>
        <w:pStyle w:val="LTAntwortRessortText"/>
        <w:numPr>
          <w:ilvl w:val="0"/>
          <w:numId w:val="24"/>
        </w:numPr>
        <w:spacing w:before="120"/>
        <w:ind w:left="1054" w:hanging="357"/>
      </w:pPr>
      <w:r>
        <w:t>Verstöße gegen das Betäubungsmittelgesetz,</w:t>
      </w:r>
    </w:p>
    <w:p w:rsidR="009D008C" w:rsidRDefault="009D008C" w:rsidP="006321CE">
      <w:pPr>
        <w:pStyle w:val="LTAntwortRessortText"/>
        <w:numPr>
          <w:ilvl w:val="0"/>
          <w:numId w:val="24"/>
        </w:numPr>
        <w:spacing w:before="120"/>
        <w:ind w:left="1054" w:hanging="357"/>
      </w:pPr>
      <w:r>
        <w:t>Verstöße gegen das Waffengesetz,</w:t>
      </w:r>
    </w:p>
    <w:p w:rsidR="009D008C" w:rsidRDefault="009D008C" w:rsidP="006321CE">
      <w:pPr>
        <w:pStyle w:val="LTAntwortRessortText"/>
        <w:numPr>
          <w:ilvl w:val="0"/>
          <w:numId w:val="24"/>
        </w:numPr>
        <w:spacing w:before="120"/>
        <w:ind w:left="1054" w:hanging="357"/>
      </w:pPr>
      <w:r>
        <w:t>Urkundsdelikte sowie</w:t>
      </w:r>
    </w:p>
    <w:p w:rsidR="009D008C" w:rsidRDefault="009D008C" w:rsidP="006321CE">
      <w:pPr>
        <w:pStyle w:val="LTAntwortRessortText"/>
        <w:numPr>
          <w:ilvl w:val="0"/>
          <w:numId w:val="24"/>
        </w:numPr>
        <w:spacing w:before="120"/>
        <w:ind w:left="1054" w:hanging="357"/>
      </w:pPr>
      <w:r>
        <w:t>Verkehrsdelikte und</w:t>
      </w:r>
    </w:p>
    <w:p w:rsidR="009D008C" w:rsidRDefault="009D008C" w:rsidP="006321CE">
      <w:pPr>
        <w:pStyle w:val="LTAntwortRessortText"/>
        <w:numPr>
          <w:ilvl w:val="0"/>
          <w:numId w:val="24"/>
        </w:numPr>
        <w:spacing w:before="120"/>
        <w:ind w:left="1054" w:hanging="357"/>
      </w:pPr>
      <w:r>
        <w:t>Fahndungstreffer</w:t>
      </w:r>
      <w:r w:rsidR="006321CE">
        <w:t xml:space="preserve"> </w:t>
      </w:r>
    </w:p>
    <w:p w:rsidR="009D008C" w:rsidRDefault="009D008C" w:rsidP="009D008C">
      <w:pPr>
        <w:pStyle w:val="LTAntwortRessortText"/>
      </w:pPr>
      <w:r>
        <w:t xml:space="preserve">ist aufgrund technischer und organisatorischer Anpassungen zur Gründung der Bayerischen Grenzpolizei zum </w:t>
      </w:r>
      <w:r w:rsidR="006321CE">
        <w:t>01.07.</w:t>
      </w:r>
      <w:r>
        <w:t>2018 nur bedingt darstellbar, womit auch nur eine bedingte V</w:t>
      </w:r>
      <w:r w:rsidR="006321CE">
        <w:t>er</w:t>
      </w:r>
      <w:r>
        <w:t>gleichbarkeit mit den Vorjahreswerten besteht.</w:t>
      </w:r>
    </w:p>
    <w:p w:rsidR="009D008C" w:rsidRDefault="009D008C" w:rsidP="000F6EE0">
      <w:pPr>
        <w:pStyle w:val="LTAntwortRessortText"/>
        <w:spacing w:before="360"/>
      </w:pPr>
      <w:r>
        <w:t>De</w:t>
      </w:r>
      <w:r w:rsidR="006321CE">
        <w:t>nn vor der Errichtung der Bayerischen</w:t>
      </w:r>
      <w:r>
        <w:t xml:space="preserve"> Grenzpolizei waren die </w:t>
      </w:r>
      <w:r w:rsidR="006321CE">
        <w:t>damaligen Fahndungsgruppen (ent</w:t>
      </w:r>
      <w:r>
        <w:t>lang der Ostgrenze Bayerns zu Tschechien) organisatorisch und auch EDV-technisch in die Aufbauorganisation der jeweiligen Polizeiinspektion eingeb</w:t>
      </w:r>
      <w:r w:rsidR="006321CE">
        <w:t>unden. Die Möglichkeit einer de</w:t>
      </w:r>
      <w:r>
        <w:t>tailgenauen Auswertung der Vorgänge dieser Grenzpolizeig</w:t>
      </w:r>
      <w:r w:rsidR="006321CE">
        <w:t>ruppen wurde mit einem sogenann</w:t>
      </w:r>
      <w:r>
        <w:t>ten Organisationsschlüssel erst zur Gründung der Bayerisc</w:t>
      </w:r>
      <w:r w:rsidR="006321CE">
        <w:t>hen Grenzpolizei umgesetzt. Ent</w:t>
      </w:r>
      <w:r>
        <w:t>sprechende Vergleichszahlen weisen auch aufgrund modifizierter Abfrageparameter somit eine statistische Unschärfe auf.</w:t>
      </w:r>
    </w:p>
    <w:p w:rsidR="009D008C" w:rsidRDefault="009D008C" w:rsidP="000F6EE0">
      <w:pPr>
        <w:pStyle w:val="LTAntwortRessortText"/>
        <w:spacing w:before="360"/>
      </w:pPr>
      <w:r>
        <w:t>Eine Auswertung der angefragten Deliktsbereiche für einzelne Monate in den Jahren 2014 bis 2017, im jetzigen Zuständigkeitsbereich der Bayerischen Grenzpolizei, ist auf Grundlage der polizeilichen Kriminalitätsstatistik (PKS) nicht möglich. Hilfsweise wurden die nachfolgenden Vergleichszahlen der polizeilichen Vorgangsverwaltung (IGVP) entnommen, die grundsätzlich nicht für die Erhebung und Darstellung detaillierter Statistiken entwickelt bzw. vorgesehen ist. Die Vergleichszahlen können daher lediglich zur grundsätzlichen Darstellung einer Tendenz dienen.</w:t>
      </w:r>
    </w:p>
    <w:p w:rsidR="009D008C" w:rsidRDefault="009D008C" w:rsidP="000F6EE0">
      <w:pPr>
        <w:pStyle w:val="LTAntwortRessortText"/>
        <w:spacing w:before="360"/>
      </w:pPr>
      <w:r>
        <w:t xml:space="preserve">Im Rahmen einer aktuellen Recherche wurden Vergleichszahlen für die in Rede stehenden Zeiträume </w:t>
      </w:r>
      <w:r w:rsidR="006321CE">
        <w:t>–</w:t>
      </w:r>
      <w:r>
        <w:t xml:space="preserve"> jeweils Juli und August </w:t>
      </w:r>
      <w:r w:rsidR="006321CE">
        <w:t>–</w:t>
      </w:r>
      <w:r>
        <w:t xml:space="preserve"> erhoben. Die daraus resultierenden Werte für die Jahre 2014 bis 2018 sind in der nachfolgenden Tabelle dargestellt.</w:t>
      </w:r>
    </w:p>
    <w:p w:rsidR="00AF399C" w:rsidRDefault="00AF399C" w:rsidP="000F6EE0">
      <w:pPr>
        <w:pStyle w:val="LTAntwortRessortText"/>
        <w:spacing w:before="360"/>
      </w:pPr>
    </w:p>
    <w:p w:rsidR="00AF399C" w:rsidRDefault="00AF399C" w:rsidP="000F6EE0">
      <w:pPr>
        <w:pStyle w:val="LTAntwortRessortText"/>
        <w:spacing w:before="360"/>
      </w:pPr>
    </w:p>
    <w:p w:rsidR="000F6EE0" w:rsidRDefault="000F6EE0" w:rsidP="000F6EE0">
      <w:pPr>
        <w:pStyle w:val="LTAntwortRessortText"/>
        <w:spacing w:before="360"/>
      </w:pPr>
    </w:p>
    <w:p w:rsidR="009D008C" w:rsidRDefault="009D008C" w:rsidP="000F6EE0">
      <w:pPr>
        <w:pStyle w:val="LTAntwortRessortText"/>
        <w:spacing w:before="360"/>
      </w:pPr>
    </w:p>
    <w:tbl>
      <w:tblPr>
        <w:tblStyle w:val="TableNormal"/>
        <w:tblW w:w="7848" w:type="dxa"/>
        <w:tblInd w:w="278" w:type="dxa"/>
        <w:tblLayout w:type="fixed"/>
        <w:tblLook w:val="01E0" w:firstRow="1" w:lastRow="1" w:firstColumn="1" w:lastColumn="1" w:noHBand="0" w:noVBand="0"/>
      </w:tblPr>
      <w:tblGrid>
        <w:gridCol w:w="3503"/>
        <w:gridCol w:w="816"/>
        <w:gridCol w:w="922"/>
        <w:gridCol w:w="845"/>
        <w:gridCol w:w="835"/>
        <w:gridCol w:w="927"/>
      </w:tblGrid>
      <w:tr w:rsidR="006321CE" w:rsidRPr="00CB03E4" w:rsidTr="00BB55A3">
        <w:trPr>
          <w:trHeight w:hRule="exact" w:val="522"/>
        </w:trPr>
        <w:tc>
          <w:tcPr>
            <w:tcW w:w="3503" w:type="dxa"/>
            <w:tcBorders>
              <w:top w:val="single" w:sz="5" w:space="0" w:color="000000"/>
              <w:left w:val="single" w:sz="5" w:space="0" w:color="000000"/>
              <w:bottom w:val="single" w:sz="5" w:space="0" w:color="000000"/>
              <w:right w:val="single" w:sz="5" w:space="0" w:color="000000"/>
            </w:tcBorders>
            <w:shd w:val="clear" w:color="auto" w:fill="FAD3B4"/>
          </w:tcPr>
          <w:p w:rsidR="006321CE" w:rsidRPr="000F6EE0" w:rsidRDefault="006321CE" w:rsidP="006321CE">
            <w:pPr>
              <w:pStyle w:val="TableParagraph"/>
              <w:spacing w:before="43"/>
              <w:ind w:left="104"/>
              <w:rPr>
                <w:rFonts w:ascii="Times New Roman" w:eastAsia="Times New Roman" w:hAnsi="Times New Roman" w:cs="Times New Roman"/>
                <w:b/>
                <w:sz w:val="20"/>
                <w:szCs w:val="20"/>
              </w:rPr>
            </w:pPr>
            <w:r w:rsidRPr="000F6EE0">
              <w:rPr>
                <w:rFonts w:ascii="Times New Roman"/>
                <w:b/>
                <w:sz w:val="20"/>
                <w:szCs w:val="20"/>
              </w:rPr>
              <w:t>Jahr</w:t>
            </w:r>
          </w:p>
        </w:tc>
        <w:tc>
          <w:tcPr>
            <w:tcW w:w="816" w:type="dxa"/>
            <w:tcBorders>
              <w:top w:val="single" w:sz="5" w:space="0" w:color="000000"/>
              <w:left w:val="single" w:sz="5" w:space="0" w:color="000000"/>
              <w:bottom w:val="single" w:sz="5" w:space="0" w:color="000000"/>
              <w:right w:val="single" w:sz="5" w:space="0" w:color="000000"/>
            </w:tcBorders>
            <w:shd w:val="clear" w:color="auto" w:fill="FAD3B4"/>
          </w:tcPr>
          <w:p w:rsidR="006321CE" w:rsidRPr="000F6EE0" w:rsidRDefault="006321CE" w:rsidP="006321CE">
            <w:pPr>
              <w:pStyle w:val="TableParagraph"/>
              <w:spacing w:before="43"/>
              <w:ind w:left="102"/>
              <w:rPr>
                <w:rFonts w:ascii="Times New Roman" w:eastAsia="Times New Roman" w:hAnsi="Times New Roman" w:cs="Times New Roman"/>
                <w:b/>
                <w:sz w:val="20"/>
                <w:szCs w:val="20"/>
              </w:rPr>
            </w:pPr>
            <w:r w:rsidRPr="000F6EE0">
              <w:rPr>
                <w:rFonts w:ascii="Times New Roman"/>
                <w:b/>
                <w:sz w:val="20"/>
                <w:szCs w:val="20"/>
              </w:rPr>
              <w:t>2014</w:t>
            </w:r>
          </w:p>
        </w:tc>
        <w:tc>
          <w:tcPr>
            <w:tcW w:w="922" w:type="dxa"/>
            <w:tcBorders>
              <w:top w:val="single" w:sz="5" w:space="0" w:color="000000"/>
              <w:left w:val="single" w:sz="5" w:space="0" w:color="000000"/>
              <w:bottom w:val="single" w:sz="5" w:space="0" w:color="000000"/>
              <w:right w:val="single" w:sz="5" w:space="0" w:color="000000"/>
            </w:tcBorders>
            <w:shd w:val="clear" w:color="auto" w:fill="FAD3B4"/>
          </w:tcPr>
          <w:p w:rsidR="006321CE" w:rsidRPr="000F6EE0" w:rsidRDefault="006321CE" w:rsidP="006321CE">
            <w:pPr>
              <w:pStyle w:val="TableParagraph"/>
              <w:spacing w:before="43"/>
              <w:ind w:left="102"/>
              <w:rPr>
                <w:rFonts w:ascii="Times New Roman" w:eastAsia="Times New Roman" w:hAnsi="Times New Roman" w:cs="Times New Roman"/>
                <w:b/>
                <w:sz w:val="20"/>
                <w:szCs w:val="20"/>
              </w:rPr>
            </w:pPr>
            <w:r w:rsidRPr="000F6EE0">
              <w:rPr>
                <w:rFonts w:ascii="Times New Roman"/>
                <w:b/>
                <w:sz w:val="20"/>
                <w:szCs w:val="20"/>
              </w:rPr>
              <w:t>2015</w:t>
            </w:r>
          </w:p>
        </w:tc>
        <w:tc>
          <w:tcPr>
            <w:tcW w:w="845" w:type="dxa"/>
            <w:tcBorders>
              <w:top w:val="single" w:sz="5" w:space="0" w:color="000000"/>
              <w:left w:val="single" w:sz="5" w:space="0" w:color="000000"/>
              <w:bottom w:val="single" w:sz="5" w:space="0" w:color="000000"/>
              <w:right w:val="single" w:sz="5" w:space="0" w:color="000000"/>
            </w:tcBorders>
            <w:shd w:val="clear" w:color="auto" w:fill="FAD3B4"/>
          </w:tcPr>
          <w:p w:rsidR="006321CE" w:rsidRPr="000F6EE0" w:rsidRDefault="006321CE" w:rsidP="006321CE">
            <w:pPr>
              <w:pStyle w:val="TableParagraph"/>
              <w:spacing w:before="43"/>
              <w:ind w:left="102"/>
              <w:rPr>
                <w:rFonts w:ascii="Times New Roman" w:eastAsia="Times New Roman" w:hAnsi="Times New Roman" w:cs="Times New Roman"/>
                <w:b/>
                <w:sz w:val="20"/>
                <w:szCs w:val="20"/>
              </w:rPr>
            </w:pPr>
            <w:r w:rsidRPr="000F6EE0">
              <w:rPr>
                <w:rFonts w:ascii="Times New Roman"/>
                <w:b/>
                <w:sz w:val="20"/>
                <w:szCs w:val="20"/>
              </w:rPr>
              <w:t>2016</w:t>
            </w:r>
          </w:p>
        </w:tc>
        <w:tc>
          <w:tcPr>
            <w:tcW w:w="835" w:type="dxa"/>
            <w:tcBorders>
              <w:top w:val="single" w:sz="5" w:space="0" w:color="000000"/>
              <w:left w:val="single" w:sz="5" w:space="0" w:color="000000"/>
              <w:bottom w:val="single" w:sz="5" w:space="0" w:color="000000"/>
              <w:right w:val="single" w:sz="5" w:space="0" w:color="000000"/>
            </w:tcBorders>
            <w:shd w:val="clear" w:color="auto" w:fill="FAD3B4"/>
          </w:tcPr>
          <w:p w:rsidR="006321CE" w:rsidRPr="000F6EE0" w:rsidRDefault="006321CE" w:rsidP="006321CE">
            <w:pPr>
              <w:pStyle w:val="TableParagraph"/>
              <w:spacing w:before="43"/>
              <w:ind w:left="102"/>
              <w:rPr>
                <w:rFonts w:ascii="Times New Roman" w:eastAsia="Times New Roman" w:hAnsi="Times New Roman" w:cs="Times New Roman"/>
                <w:b/>
                <w:sz w:val="20"/>
                <w:szCs w:val="20"/>
              </w:rPr>
            </w:pPr>
            <w:r w:rsidRPr="000F6EE0">
              <w:rPr>
                <w:rFonts w:ascii="Times New Roman"/>
                <w:b/>
                <w:sz w:val="20"/>
                <w:szCs w:val="20"/>
              </w:rPr>
              <w:t>2017</w:t>
            </w:r>
          </w:p>
        </w:tc>
        <w:tc>
          <w:tcPr>
            <w:tcW w:w="927" w:type="dxa"/>
            <w:tcBorders>
              <w:top w:val="single" w:sz="5" w:space="0" w:color="000000"/>
              <w:left w:val="single" w:sz="5" w:space="0" w:color="000000"/>
              <w:bottom w:val="single" w:sz="5" w:space="0" w:color="000000"/>
              <w:right w:val="single" w:sz="5" w:space="0" w:color="000000"/>
            </w:tcBorders>
            <w:shd w:val="clear" w:color="auto" w:fill="FAD3B4"/>
          </w:tcPr>
          <w:p w:rsidR="006321CE" w:rsidRPr="000F6EE0" w:rsidRDefault="006321CE" w:rsidP="006321CE">
            <w:pPr>
              <w:pStyle w:val="TableParagraph"/>
              <w:spacing w:before="43"/>
              <w:ind w:left="104"/>
              <w:rPr>
                <w:rFonts w:ascii="Times New Roman" w:eastAsia="Times New Roman" w:hAnsi="Times New Roman" w:cs="Times New Roman"/>
                <w:b/>
                <w:sz w:val="20"/>
                <w:szCs w:val="20"/>
              </w:rPr>
            </w:pPr>
            <w:r w:rsidRPr="000F6EE0">
              <w:rPr>
                <w:rFonts w:ascii="Times New Roman"/>
                <w:b/>
                <w:sz w:val="20"/>
                <w:szCs w:val="20"/>
              </w:rPr>
              <w:t>2018</w:t>
            </w:r>
          </w:p>
        </w:tc>
      </w:tr>
      <w:tr w:rsidR="006321CE" w:rsidRPr="00CB03E4" w:rsidTr="000F6EE0">
        <w:trPr>
          <w:trHeight w:hRule="exact" w:val="495"/>
        </w:trPr>
        <w:tc>
          <w:tcPr>
            <w:tcW w:w="3503" w:type="dxa"/>
            <w:tcBorders>
              <w:top w:val="single" w:sz="5" w:space="0" w:color="000000"/>
              <w:left w:val="single" w:sz="5" w:space="0" w:color="000000"/>
              <w:bottom w:val="single" w:sz="5" w:space="0" w:color="000000"/>
              <w:right w:val="single" w:sz="5" w:space="0" w:color="000000"/>
            </w:tcBorders>
            <w:shd w:val="clear" w:color="auto" w:fill="E7E6E6"/>
          </w:tcPr>
          <w:p w:rsidR="006321CE" w:rsidRPr="00CB03E4" w:rsidRDefault="006321CE" w:rsidP="006321CE">
            <w:pPr>
              <w:pStyle w:val="TableParagraph"/>
              <w:spacing w:line="359" w:lineRule="auto"/>
              <w:ind w:left="104" w:right="367"/>
              <w:rPr>
                <w:rFonts w:ascii="Times New Roman" w:eastAsia="Times New Roman" w:hAnsi="Times New Roman" w:cs="Times New Roman"/>
                <w:sz w:val="20"/>
                <w:szCs w:val="20"/>
              </w:rPr>
            </w:pPr>
            <w:r w:rsidRPr="00CB03E4">
              <w:rPr>
                <w:rFonts w:ascii="Times New Roman"/>
                <w:spacing w:val="-1"/>
                <w:sz w:val="20"/>
                <w:szCs w:val="20"/>
              </w:rPr>
              <w:t>Unerl.</w:t>
            </w:r>
            <w:r w:rsidRPr="00CB03E4">
              <w:rPr>
                <w:rFonts w:ascii="Times New Roman"/>
                <w:spacing w:val="-8"/>
                <w:sz w:val="20"/>
                <w:szCs w:val="20"/>
              </w:rPr>
              <w:t xml:space="preserve"> </w:t>
            </w:r>
            <w:r w:rsidRPr="00CB03E4">
              <w:rPr>
                <w:rFonts w:ascii="Times New Roman"/>
                <w:spacing w:val="-1"/>
                <w:sz w:val="20"/>
                <w:szCs w:val="20"/>
              </w:rPr>
              <w:t>Einreise</w:t>
            </w:r>
            <w:r w:rsidRPr="00CB03E4">
              <w:rPr>
                <w:rFonts w:ascii="Times New Roman"/>
                <w:spacing w:val="-7"/>
                <w:sz w:val="20"/>
                <w:szCs w:val="20"/>
              </w:rPr>
              <w:t xml:space="preserve"> </w:t>
            </w:r>
            <w:r w:rsidRPr="00CB03E4">
              <w:rPr>
                <w:rFonts w:ascii="Times New Roman"/>
                <w:sz w:val="20"/>
                <w:szCs w:val="20"/>
              </w:rPr>
              <w:t>(inkl.</w:t>
            </w:r>
            <w:r w:rsidRPr="00CB03E4">
              <w:rPr>
                <w:rFonts w:ascii="Times New Roman"/>
                <w:spacing w:val="29"/>
                <w:w w:val="99"/>
                <w:sz w:val="20"/>
                <w:szCs w:val="20"/>
              </w:rPr>
              <w:t xml:space="preserve"> </w:t>
            </w:r>
            <w:r w:rsidRPr="00CB03E4">
              <w:rPr>
                <w:rFonts w:ascii="Times New Roman"/>
                <w:spacing w:val="-1"/>
                <w:sz w:val="20"/>
                <w:szCs w:val="20"/>
              </w:rPr>
              <w:t>Versuch)</w:t>
            </w:r>
          </w:p>
        </w:tc>
        <w:tc>
          <w:tcPr>
            <w:tcW w:w="816" w:type="dxa"/>
            <w:tcBorders>
              <w:top w:val="single" w:sz="5" w:space="0" w:color="000000"/>
              <w:left w:val="single" w:sz="5" w:space="0" w:color="000000"/>
              <w:bottom w:val="single" w:sz="5" w:space="0" w:color="000000"/>
              <w:right w:val="single" w:sz="5" w:space="0" w:color="000000"/>
            </w:tcBorders>
            <w:vAlign w:val="center"/>
          </w:tcPr>
          <w:p w:rsidR="006321CE" w:rsidRPr="00CB03E4" w:rsidRDefault="006321CE" w:rsidP="000F6EE0">
            <w:pPr>
              <w:pStyle w:val="TableParagraph"/>
              <w:spacing w:line="269" w:lineRule="exact"/>
              <w:ind w:left="102"/>
              <w:jc w:val="center"/>
              <w:rPr>
                <w:rFonts w:ascii="Times New Roman" w:eastAsia="Times New Roman" w:hAnsi="Times New Roman" w:cs="Times New Roman"/>
                <w:sz w:val="20"/>
                <w:szCs w:val="20"/>
              </w:rPr>
            </w:pPr>
            <w:r w:rsidRPr="00CB03E4">
              <w:rPr>
                <w:rFonts w:ascii="Times New Roman"/>
                <w:sz w:val="20"/>
                <w:szCs w:val="20"/>
              </w:rPr>
              <w:t>723</w:t>
            </w:r>
          </w:p>
        </w:tc>
        <w:tc>
          <w:tcPr>
            <w:tcW w:w="922" w:type="dxa"/>
            <w:tcBorders>
              <w:top w:val="single" w:sz="5" w:space="0" w:color="000000"/>
              <w:left w:val="single" w:sz="5" w:space="0" w:color="000000"/>
              <w:bottom w:val="single" w:sz="5" w:space="0" w:color="000000"/>
              <w:right w:val="single" w:sz="5" w:space="0" w:color="000000"/>
            </w:tcBorders>
            <w:vAlign w:val="center"/>
          </w:tcPr>
          <w:p w:rsidR="006321CE" w:rsidRPr="00CB03E4" w:rsidRDefault="006321CE" w:rsidP="000F6EE0">
            <w:pPr>
              <w:pStyle w:val="TableParagraph"/>
              <w:spacing w:line="269" w:lineRule="exact"/>
              <w:ind w:left="102"/>
              <w:jc w:val="center"/>
              <w:rPr>
                <w:rFonts w:ascii="Times New Roman" w:eastAsia="Times New Roman" w:hAnsi="Times New Roman" w:cs="Times New Roman"/>
                <w:sz w:val="20"/>
                <w:szCs w:val="20"/>
              </w:rPr>
            </w:pPr>
            <w:r w:rsidRPr="00CB03E4">
              <w:rPr>
                <w:rFonts w:ascii="Times New Roman"/>
                <w:sz w:val="20"/>
                <w:szCs w:val="20"/>
              </w:rPr>
              <w:t>11.340</w:t>
            </w:r>
          </w:p>
        </w:tc>
        <w:tc>
          <w:tcPr>
            <w:tcW w:w="845" w:type="dxa"/>
            <w:tcBorders>
              <w:top w:val="single" w:sz="5" w:space="0" w:color="000000"/>
              <w:left w:val="single" w:sz="5" w:space="0" w:color="000000"/>
              <w:bottom w:val="single" w:sz="5" w:space="0" w:color="000000"/>
              <w:right w:val="single" w:sz="5" w:space="0" w:color="000000"/>
            </w:tcBorders>
            <w:vAlign w:val="center"/>
          </w:tcPr>
          <w:p w:rsidR="006321CE" w:rsidRPr="00CB03E4" w:rsidRDefault="006321CE" w:rsidP="000F6EE0">
            <w:pPr>
              <w:pStyle w:val="TableParagraph"/>
              <w:spacing w:line="269" w:lineRule="exact"/>
              <w:ind w:left="102"/>
              <w:jc w:val="center"/>
              <w:rPr>
                <w:rFonts w:ascii="Times New Roman" w:eastAsia="Times New Roman" w:hAnsi="Times New Roman" w:cs="Times New Roman"/>
                <w:sz w:val="20"/>
                <w:szCs w:val="20"/>
              </w:rPr>
            </w:pPr>
            <w:r w:rsidRPr="00CB03E4">
              <w:rPr>
                <w:rFonts w:ascii="Times New Roman"/>
                <w:sz w:val="20"/>
                <w:szCs w:val="20"/>
              </w:rPr>
              <w:t>309</w:t>
            </w:r>
          </w:p>
        </w:tc>
        <w:tc>
          <w:tcPr>
            <w:tcW w:w="835" w:type="dxa"/>
            <w:tcBorders>
              <w:top w:val="single" w:sz="5" w:space="0" w:color="000000"/>
              <w:left w:val="single" w:sz="5" w:space="0" w:color="000000"/>
              <w:bottom w:val="single" w:sz="5" w:space="0" w:color="000000"/>
              <w:right w:val="single" w:sz="5" w:space="0" w:color="000000"/>
            </w:tcBorders>
            <w:vAlign w:val="center"/>
          </w:tcPr>
          <w:p w:rsidR="006321CE" w:rsidRPr="00CB03E4" w:rsidRDefault="006321CE" w:rsidP="000F6EE0">
            <w:pPr>
              <w:pStyle w:val="TableParagraph"/>
              <w:spacing w:line="269" w:lineRule="exact"/>
              <w:ind w:left="102"/>
              <w:jc w:val="center"/>
              <w:rPr>
                <w:rFonts w:ascii="Times New Roman" w:eastAsia="Times New Roman" w:hAnsi="Times New Roman" w:cs="Times New Roman"/>
                <w:sz w:val="20"/>
                <w:szCs w:val="20"/>
              </w:rPr>
            </w:pPr>
            <w:r w:rsidRPr="00CB03E4">
              <w:rPr>
                <w:rFonts w:ascii="Times New Roman"/>
                <w:sz w:val="20"/>
                <w:szCs w:val="20"/>
              </w:rPr>
              <w:t>261</w:t>
            </w:r>
          </w:p>
        </w:tc>
        <w:tc>
          <w:tcPr>
            <w:tcW w:w="927" w:type="dxa"/>
            <w:tcBorders>
              <w:top w:val="single" w:sz="5" w:space="0" w:color="000000"/>
              <w:left w:val="single" w:sz="5" w:space="0" w:color="000000"/>
              <w:bottom w:val="single" w:sz="5" w:space="0" w:color="000000"/>
              <w:right w:val="single" w:sz="5" w:space="0" w:color="000000"/>
            </w:tcBorders>
            <w:vAlign w:val="center"/>
          </w:tcPr>
          <w:p w:rsidR="006321CE" w:rsidRPr="00CB03E4" w:rsidRDefault="006321CE" w:rsidP="000F6EE0">
            <w:pPr>
              <w:pStyle w:val="TableParagraph"/>
              <w:spacing w:line="269" w:lineRule="exact"/>
              <w:ind w:left="104"/>
              <w:jc w:val="center"/>
              <w:rPr>
                <w:rFonts w:ascii="Times New Roman" w:eastAsia="Times New Roman" w:hAnsi="Times New Roman" w:cs="Times New Roman"/>
                <w:sz w:val="20"/>
                <w:szCs w:val="20"/>
              </w:rPr>
            </w:pPr>
            <w:r w:rsidRPr="00CB03E4">
              <w:rPr>
                <w:rFonts w:ascii="Times New Roman"/>
                <w:sz w:val="20"/>
                <w:szCs w:val="20"/>
              </w:rPr>
              <w:t>211</w:t>
            </w:r>
          </w:p>
        </w:tc>
      </w:tr>
      <w:tr w:rsidR="006321CE" w:rsidRPr="00CB03E4" w:rsidTr="000F6EE0">
        <w:trPr>
          <w:trHeight w:hRule="exact" w:val="573"/>
        </w:trPr>
        <w:tc>
          <w:tcPr>
            <w:tcW w:w="3503" w:type="dxa"/>
            <w:tcBorders>
              <w:top w:val="single" w:sz="5" w:space="0" w:color="000000"/>
              <w:left w:val="single" w:sz="5" w:space="0" w:color="000000"/>
              <w:bottom w:val="single" w:sz="5" w:space="0" w:color="000000"/>
              <w:right w:val="single" w:sz="5" w:space="0" w:color="000000"/>
            </w:tcBorders>
            <w:shd w:val="clear" w:color="auto" w:fill="E7E6E6"/>
          </w:tcPr>
          <w:p w:rsidR="006321CE" w:rsidRPr="00CB03E4" w:rsidRDefault="006321CE" w:rsidP="006321CE">
            <w:pPr>
              <w:pStyle w:val="TableParagraph"/>
              <w:ind w:left="104" w:right="103"/>
              <w:rPr>
                <w:rFonts w:ascii="Times New Roman" w:eastAsia="Times New Roman" w:hAnsi="Times New Roman" w:cs="Times New Roman"/>
                <w:sz w:val="20"/>
                <w:szCs w:val="20"/>
              </w:rPr>
            </w:pPr>
            <w:r w:rsidRPr="00CB03E4">
              <w:rPr>
                <w:rFonts w:ascii="Times New Roman" w:hAnsi="Times New Roman"/>
                <w:spacing w:val="-1"/>
                <w:sz w:val="20"/>
                <w:szCs w:val="20"/>
              </w:rPr>
              <w:t>Verstöße</w:t>
            </w:r>
            <w:r w:rsidRPr="00CB03E4">
              <w:rPr>
                <w:rFonts w:ascii="Times New Roman" w:hAnsi="Times New Roman"/>
                <w:spacing w:val="-5"/>
                <w:sz w:val="20"/>
                <w:szCs w:val="20"/>
              </w:rPr>
              <w:t xml:space="preserve"> </w:t>
            </w:r>
            <w:r w:rsidRPr="00CB03E4">
              <w:rPr>
                <w:rFonts w:ascii="Times New Roman" w:hAnsi="Times New Roman"/>
                <w:spacing w:val="-1"/>
                <w:sz w:val="20"/>
                <w:szCs w:val="20"/>
              </w:rPr>
              <w:t>gegen</w:t>
            </w:r>
            <w:r w:rsidRPr="00CB03E4">
              <w:rPr>
                <w:rFonts w:ascii="Times New Roman" w:hAnsi="Times New Roman"/>
                <w:spacing w:val="-6"/>
                <w:sz w:val="20"/>
                <w:szCs w:val="20"/>
              </w:rPr>
              <w:t xml:space="preserve"> </w:t>
            </w:r>
            <w:r w:rsidRPr="00CB03E4">
              <w:rPr>
                <w:rFonts w:ascii="Times New Roman" w:hAnsi="Times New Roman"/>
                <w:spacing w:val="-1"/>
                <w:sz w:val="20"/>
                <w:szCs w:val="20"/>
              </w:rPr>
              <w:t>das</w:t>
            </w:r>
            <w:r w:rsidRPr="00CB03E4">
              <w:rPr>
                <w:rFonts w:ascii="Times New Roman" w:hAnsi="Times New Roman"/>
                <w:spacing w:val="30"/>
                <w:sz w:val="20"/>
                <w:szCs w:val="20"/>
              </w:rPr>
              <w:t xml:space="preserve"> </w:t>
            </w:r>
            <w:r w:rsidR="00BB55A3">
              <w:rPr>
                <w:rFonts w:ascii="Times New Roman" w:hAnsi="Times New Roman"/>
                <w:spacing w:val="-1"/>
                <w:sz w:val="20"/>
                <w:szCs w:val="20"/>
              </w:rPr>
              <w:t>Betäubungs</w:t>
            </w:r>
            <w:r w:rsidRPr="00CB03E4">
              <w:rPr>
                <w:rFonts w:ascii="Times New Roman" w:hAnsi="Times New Roman"/>
                <w:spacing w:val="-1"/>
                <w:sz w:val="20"/>
                <w:szCs w:val="20"/>
              </w:rPr>
              <w:t>mittel</w:t>
            </w:r>
            <w:r w:rsidR="00BB55A3">
              <w:rPr>
                <w:rFonts w:ascii="Times New Roman" w:hAnsi="Times New Roman"/>
                <w:spacing w:val="-1"/>
                <w:sz w:val="20"/>
                <w:szCs w:val="20"/>
              </w:rPr>
              <w:t>-</w:t>
            </w:r>
            <w:r w:rsidR="00BB55A3">
              <w:rPr>
                <w:rFonts w:ascii="Times New Roman" w:hAnsi="Times New Roman"/>
                <w:spacing w:val="-1"/>
                <w:sz w:val="20"/>
                <w:szCs w:val="20"/>
              </w:rPr>
              <w:br/>
            </w:r>
            <w:r w:rsidRPr="00CB03E4">
              <w:rPr>
                <w:rFonts w:ascii="Times New Roman" w:hAnsi="Times New Roman"/>
                <w:spacing w:val="-1"/>
                <w:sz w:val="20"/>
                <w:szCs w:val="20"/>
              </w:rPr>
              <w:t>gesetz</w:t>
            </w:r>
          </w:p>
        </w:tc>
        <w:tc>
          <w:tcPr>
            <w:tcW w:w="816" w:type="dxa"/>
            <w:tcBorders>
              <w:top w:val="single" w:sz="5" w:space="0" w:color="000000"/>
              <w:left w:val="single" w:sz="5" w:space="0" w:color="000000"/>
              <w:bottom w:val="single" w:sz="5" w:space="0" w:color="000000"/>
              <w:right w:val="single" w:sz="5" w:space="0" w:color="000000"/>
            </w:tcBorders>
            <w:vAlign w:val="center"/>
          </w:tcPr>
          <w:p w:rsidR="006321CE" w:rsidRPr="00CB03E4" w:rsidRDefault="006321CE" w:rsidP="000F6EE0">
            <w:pPr>
              <w:pStyle w:val="TableParagraph"/>
              <w:spacing w:line="269" w:lineRule="exact"/>
              <w:ind w:left="102"/>
              <w:jc w:val="center"/>
              <w:rPr>
                <w:rFonts w:ascii="Times New Roman" w:eastAsia="Times New Roman" w:hAnsi="Times New Roman" w:cs="Times New Roman"/>
                <w:sz w:val="20"/>
                <w:szCs w:val="20"/>
              </w:rPr>
            </w:pPr>
            <w:r w:rsidRPr="00CB03E4">
              <w:rPr>
                <w:rFonts w:ascii="Times New Roman"/>
                <w:sz w:val="20"/>
                <w:szCs w:val="20"/>
              </w:rPr>
              <w:t>459</w:t>
            </w:r>
          </w:p>
        </w:tc>
        <w:tc>
          <w:tcPr>
            <w:tcW w:w="922" w:type="dxa"/>
            <w:tcBorders>
              <w:top w:val="single" w:sz="5" w:space="0" w:color="000000"/>
              <w:left w:val="single" w:sz="5" w:space="0" w:color="000000"/>
              <w:bottom w:val="single" w:sz="5" w:space="0" w:color="000000"/>
              <w:right w:val="single" w:sz="5" w:space="0" w:color="000000"/>
            </w:tcBorders>
            <w:vAlign w:val="center"/>
          </w:tcPr>
          <w:p w:rsidR="006321CE" w:rsidRPr="00CB03E4" w:rsidRDefault="006321CE" w:rsidP="000F6EE0">
            <w:pPr>
              <w:pStyle w:val="TableParagraph"/>
              <w:spacing w:line="269" w:lineRule="exact"/>
              <w:ind w:left="102"/>
              <w:jc w:val="center"/>
              <w:rPr>
                <w:rFonts w:ascii="Times New Roman" w:eastAsia="Times New Roman" w:hAnsi="Times New Roman" w:cs="Times New Roman"/>
                <w:sz w:val="20"/>
                <w:szCs w:val="20"/>
              </w:rPr>
            </w:pPr>
            <w:r w:rsidRPr="00CB03E4">
              <w:rPr>
                <w:rFonts w:ascii="Times New Roman"/>
                <w:sz w:val="20"/>
                <w:szCs w:val="20"/>
              </w:rPr>
              <w:t>310</w:t>
            </w:r>
          </w:p>
        </w:tc>
        <w:tc>
          <w:tcPr>
            <w:tcW w:w="845" w:type="dxa"/>
            <w:tcBorders>
              <w:top w:val="single" w:sz="5" w:space="0" w:color="000000"/>
              <w:left w:val="single" w:sz="5" w:space="0" w:color="000000"/>
              <w:bottom w:val="single" w:sz="5" w:space="0" w:color="000000"/>
              <w:right w:val="single" w:sz="5" w:space="0" w:color="000000"/>
            </w:tcBorders>
            <w:vAlign w:val="center"/>
          </w:tcPr>
          <w:p w:rsidR="006321CE" w:rsidRPr="00CB03E4" w:rsidRDefault="006321CE" w:rsidP="000F6EE0">
            <w:pPr>
              <w:pStyle w:val="TableParagraph"/>
              <w:spacing w:line="269" w:lineRule="exact"/>
              <w:ind w:left="102"/>
              <w:jc w:val="center"/>
              <w:rPr>
                <w:rFonts w:ascii="Times New Roman" w:eastAsia="Times New Roman" w:hAnsi="Times New Roman" w:cs="Times New Roman"/>
                <w:sz w:val="20"/>
                <w:szCs w:val="20"/>
              </w:rPr>
            </w:pPr>
            <w:r w:rsidRPr="00CB03E4">
              <w:rPr>
                <w:rFonts w:ascii="Times New Roman"/>
                <w:sz w:val="20"/>
                <w:szCs w:val="20"/>
              </w:rPr>
              <w:t>514</w:t>
            </w:r>
          </w:p>
        </w:tc>
        <w:tc>
          <w:tcPr>
            <w:tcW w:w="835" w:type="dxa"/>
            <w:tcBorders>
              <w:top w:val="single" w:sz="5" w:space="0" w:color="000000"/>
              <w:left w:val="single" w:sz="5" w:space="0" w:color="000000"/>
              <w:bottom w:val="single" w:sz="5" w:space="0" w:color="000000"/>
              <w:right w:val="single" w:sz="5" w:space="0" w:color="000000"/>
            </w:tcBorders>
            <w:vAlign w:val="center"/>
          </w:tcPr>
          <w:p w:rsidR="006321CE" w:rsidRPr="00CB03E4" w:rsidRDefault="006321CE" w:rsidP="000F6EE0">
            <w:pPr>
              <w:pStyle w:val="TableParagraph"/>
              <w:spacing w:line="269" w:lineRule="exact"/>
              <w:ind w:left="102"/>
              <w:jc w:val="center"/>
              <w:rPr>
                <w:rFonts w:ascii="Times New Roman" w:eastAsia="Times New Roman" w:hAnsi="Times New Roman" w:cs="Times New Roman"/>
                <w:sz w:val="20"/>
                <w:szCs w:val="20"/>
              </w:rPr>
            </w:pPr>
            <w:r w:rsidRPr="00CB03E4">
              <w:rPr>
                <w:rFonts w:ascii="Times New Roman"/>
                <w:sz w:val="20"/>
                <w:szCs w:val="20"/>
              </w:rPr>
              <w:t>488</w:t>
            </w:r>
          </w:p>
        </w:tc>
        <w:tc>
          <w:tcPr>
            <w:tcW w:w="927" w:type="dxa"/>
            <w:tcBorders>
              <w:top w:val="single" w:sz="5" w:space="0" w:color="000000"/>
              <w:left w:val="single" w:sz="5" w:space="0" w:color="000000"/>
              <w:bottom w:val="single" w:sz="5" w:space="0" w:color="000000"/>
              <w:right w:val="single" w:sz="5" w:space="0" w:color="000000"/>
            </w:tcBorders>
            <w:vAlign w:val="center"/>
          </w:tcPr>
          <w:p w:rsidR="006321CE" w:rsidRPr="00CB03E4" w:rsidRDefault="006321CE" w:rsidP="000F6EE0">
            <w:pPr>
              <w:pStyle w:val="TableParagraph"/>
              <w:spacing w:line="269" w:lineRule="exact"/>
              <w:ind w:left="104"/>
              <w:jc w:val="center"/>
              <w:rPr>
                <w:rFonts w:ascii="Times New Roman" w:eastAsia="Times New Roman" w:hAnsi="Times New Roman" w:cs="Times New Roman"/>
                <w:sz w:val="20"/>
                <w:szCs w:val="20"/>
              </w:rPr>
            </w:pPr>
            <w:r w:rsidRPr="00CB03E4">
              <w:rPr>
                <w:rFonts w:ascii="Times New Roman"/>
                <w:sz w:val="20"/>
                <w:szCs w:val="20"/>
              </w:rPr>
              <w:t>564</w:t>
            </w:r>
          </w:p>
        </w:tc>
      </w:tr>
      <w:tr w:rsidR="006321CE" w:rsidRPr="00CB03E4" w:rsidTr="000F6EE0">
        <w:trPr>
          <w:trHeight w:hRule="exact" w:val="425"/>
        </w:trPr>
        <w:tc>
          <w:tcPr>
            <w:tcW w:w="3503" w:type="dxa"/>
            <w:tcBorders>
              <w:top w:val="single" w:sz="5" w:space="0" w:color="000000"/>
              <w:left w:val="single" w:sz="5" w:space="0" w:color="000000"/>
              <w:bottom w:val="single" w:sz="5" w:space="0" w:color="000000"/>
              <w:right w:val="single" w:sz="5" w:space="0" w:color="000000"/>
            </w:tcBorders>
            <w:shd w:val="clear" w:color="auto" w:fill="E7E6E6"/>
          </w:tcPr>
          <w:p w:rsidR="006321CE" w:rsidRPr="00CB03E4" w:rsidRDefault="006321CE" w:rsidP="006321CE">
            <w:pPr>
              <w:pStyle w:val="TableParagraph"/>
              <w:ind w:left="104" w:right="516"/>
              <w:rPr>
                <w:rFonts w:ascii="Times New Roman" w:eastAsia="Times New Roman" w:hAnsi="Times New Roman" w:cs="Times New Roman"/>
                <w:sz w:val="20"/>
                <w:szCs w:val="20"/>
              </w:rPr>
            </w:pPr>
            <w:r w:rsidRPr="00CB03E4">
              <w:rPr>
                <w:rFonts w:ascii="Times New Roman" w:hAnsi="Times New Roman"/>
                <w:spacing w:val="-1"/>
                <w:sz w:val="20"/>
                <w:szCs w:val="20"/>
              </w:rPr>
              <w:t>Verstöße</w:t>
            </w:r>
            <w:r w:rsidRPr="00CB03E4">
              <w:rPr>
                <w:rFonts w:ascii="Times New Roman" w:hAnsi="Times New Roman"/>
                <w:spacing w:val="-5"/>
                <w:sz w:val="20"/>
                <w:szCs w:val="20"/>
              </w:rPr>
              <w:t xml:space="preserve"> </w:t>
            </w:r>
            <w:r w:rsidRPr="00CB03E4">
              <w:rPr>
                <w:rFonts w:ascii="Times New Roman" w:hAnsi="Times New Roman"/>
                <w:spacing w:val="-1"/>
                <w:sz w:val="20"/>
                <w:szCs w:val="20"/>
              </w:rPr>
              <w:t>gegen</w:t>
            </w:r>
            <w:r w:rsidRPr="00CB03E4">
              <w:rPr>
                <w:rFonts w:ascii="Times New Roman" w:hAnsi="Times New Roman"/>
                <w:spacing w:val="-6"/>
                <w:sz w:val="20"/>
                <w:szCs w:val="20"/>
              </w:rPr>
              <w:t xml:space="preserve"> </w:t>
            </w:r>
            <w:r w:rsidRPr="00CB03E4">
              <w:rPr>
                <w:rFonts w:ascii="Times New Roman" w:hAnsi="Times New Roman"/>
                <w:spacing w:val="-1"/>
                <w:sz w:val="20"/>
                <w:szCs w:val="20"/>
              </w:rPr>
              <w:t>das</w:t>
            </w:r>
            <w:r w:rsidRPr="00CB03E4">
              <w:rPr>
                <w:rFonts w:ascii="Times New Roman" w:hAnsi="Times New Roman"/>
                <w:spacing w:val="30"/>
                <w:sz w:val="20"/>
                <w:szCs w:val="20"/>
              </w:rPr>
              <w:t xml:space="preserve"> </w:t>
            </w:r>
            <w:r w:rsidRPr="00CB03E4">
              <w:rPr>
                <w:rFonts w:ascii="Times New Roman" w:hAnsi="Times New Roman"/>
                <w:spacing w:val="-1"/>
                <w:sz w:val="20"/>
                <w:szCs w:val="20"/>
              </w:rPr>
              <w:t>Waffengesetz</w:t>
            </w:r>
          </w:p>
        </w:tc>
        <w:tc>
          <w:tcPr>
            <w:tcW w:w="816" w:type="dxa"/>
            <w:tcBorders>
              <w:top w:val="single" w:sz="5" w:space="0" w:color="000000"/>
              <w:left w:val="single" w:sz="5" w:space="0" w:color="000000"/>
              <w:bottom w:val="single" w:sz="5" w:space="0" w:color="000000"/>
              <w:right w:val="single" w:sz="5" w:space="0" w:color="000000"/>
            </w:tcBorders>
            <w:vAlign w:val="center"/>
          </w:tcPr>
          <w:p w:rsidR="006321CE" w:rsidRPr="00CB03E4" w:rsidRDefault="006321CE" w:rsidP="000F6EE0">
            <w:pPr>
              <w:pStyle w:val="TableParagraph"/>
              <w:spacing w:line="269" w:lineRule="exact"/>
              <w:ind w:left="102"/>
              <w:jc w:val="center"/>
              <w:rPr>
                <w:rFonts w:ascii="Times New Roman" w:eastAsia="Times New Roman" w:hAnsi="Times New Roman" w:cs="Times New Roman"/>
                <w:sz w:val="20"/>
                <w:szCs w:val="20"/>
              </w:rPr>
            </w:pPr>
            <w:r w:rsidRPr="00CB03E4">
              <w:rPr>
                <w:rFonts w:ascii="Times New Roman"/>
                <w:sz w:val="20"/>
                <w:szCs w:val="20"/>
              </w:rPr>
              <w:t>72</w:t>
            </w:r>
          </w:p>
        </w:tc>
        <w:tc>
          <w:tcPr>
            <w:tcW w:w="922" w:type="dxa"/>
            <w:tcBorders>
              <w:top w:val="single" w:sz="5" w:space="0" w:color="000000"/>
              <w:left w:val="single" w:sz="5" w:space="0" w:color="000000"/>
              <w:bottom w:val="single" w:sz="5" w:space="0" w:color="000000"/>
              <w:right w:val="single" w:sz="5" w:space="0" w:color="000000"/>
            </w:tcBorders>
            <w:vAlign w:val="center"/>
          </w:tcPr>
          <w:p w:rsidR="006321CE" w:rsidRPr="00CB03E4" w:rsidRDefault="006321CE" w:rsidP="000F6EE0">
            <w:pPr>
              <w:pStyle w:val="TableParagraph"/>
              <w:spacing w:line="269" w:lineRule="exact"/>
              <w:ind w:left="102"/>
              <w:jc w:val="center"/>
              <w:rPr>
                <w:rFonts w:ascii="Times New Roman" w:eastAsia="Times New Roman" w:hAnsi="Times New Roman" w:cs="Times New Roman"/>
                <w:sz w:val="20"/>
                <w:szCs w:val="20"/>
              </w:rPr>
            </w:pPr>
            <w:r w:rsidRPr="00CB03E4">
              <w:rPr>
                <w:rFonts w:ascii="Times New Roman"/>
                <w:sz w:val="20"/>
                <w:szCs w:val="20"/>
              </w:rPr>
              <w:t>89</w:t>
            </w:r>
          </w:p>
        </w:tc>
        <w:tc>
          <w:tcPr>
            <w:tcW w:w="845" w:type="dxa"/>
            <w:tcBorders>
              <w:top w:val="single" w:sz="5" w:space="0" w:color="000000"/>
              <w:left w:val="single" w:sz="5" w:space="0" w:color="000000"/>
              <w:bottom w:val="single" w:sz="5" w:space="0" w:color="000000"/>
              <w:right w:val="single" w:sz="5" w:space="0" w:color="000000"/>
            </w:tcBorders>
            <w:vAlign w:val="center"/>
          </w:tcPr>
          <w:p w:rsidR="006321CE" w:rsidRPr="00CB03E4" w:rsidRDefault="006321CE" w:rsidP="000F6EE0">
            <w:pPr>
              <w:pStyle w:val="TableParagraph"/>
              <w:spacing w:line="269" w:lineRule="exact"/>
              <w:ind w:left="102"/>
              <w:jc w:val="center"/>
              <w:rPr>
                <w:rFonts w:ascii="Times New Roman" w:eastAsia="Times New Roman" w:hAnsi="Times New Roman" w:cs="Times New Roman"/>
                <w:sz w:val="20"/>
                <w:szCs w:val="20"/>
              </w:rPr>
            </w:pPr>
            <w:r w:rsidRPr="00CB03E4">
              <w:rPr>
                <w:rFonts w:ascii="Times New Roman"/>
                <w:sz w:val="20"/>
                <w:szCs w:val="20"/>
              </w:rPr>
              <w:t>81</w:t>
            </w:r>
          </w:p>
        </w:tc>
        <w:tc>
          <w:tcPr>
            <w:tcW w:w="835" w:type="dxa"/>
            <w:tcBorders>
              <w:top w:val="single" w:sz="5" w:space="0" w:color="000000"/>
              <w:left w:val="single" w:sz="5" w:space="0" w:color="000000"/>
              <w:bottom w:val="single" w:sz="5" w:space="0" w:color="000000"/>
              <w:right w:val="single" w:sz="5" w:space="0" w:color="000000"/>
            </w:tcBorders>
            <w:vAlign w:val="center"/>
          </w:tcPr>
          <w:p w:rsidR="006321CE" w:rsidRPr="00CB03E4" w:rsidRDefault="006321CE" w:rsidP="000F6EE0">
            <w:pPr>
              <w:pStyle w:val="TableParagraph"/>
              <w:spacing w:line="269" w:lineRule="exact"/>
              <w:ind w:left="102"/>
              <w:jc w:val="center"/>
              <w:rPr>
                <w:rFonts w:ascii="Times New Roman" w:eastAsia="Times New Roman" w:hAnsi="Times New Roman" w:cs="Times New Roman"/>
                <w:sz w:val="20"/>
                <w:szCs w:val="20"/>
              </w:rPr>
            </w:pPr>
            <w:r w:rsidRPr="00CB03E4">
              <w:rPr>
                <w:rFonts w:ascii="Times New Roman"/>
                <w:sz w:val="20"/>
                <w:szCs w:val="20"/>
              </w:rPr>
              <w:t>81</w:t>
            </w:r>
          </w:p>
        </w:tc>
        <w:tc>
          <w:tcPr>
            <w:tcW w:w="927" w:type="dxa"/>
            <w:tcBorders>
              <w:top w:val="single" w:sz="5" w:space="0" w:color="000000"/>
              <w:left w:val="single" w:sz="5" w:space="0" w:color="000000"/>
              <w:bottom w:val="single" w:sz="5" w:space="0" w:color="000000"/>
              <w:right w:val="single" w:sz="5" w:space="0" w:color="000000"/>
            </w:tcBorders>
            <w:vAlign w:val="center"/>
          </w:tcPr>
          <w:p w:rsidR="006321CE" w:rsidRPr="00CB03E4" w:rsidRDefault="006321CE" w:rsidP="000F6EE0">
            <w:pPr>
              <w:pStyle w:val="TableParagraph"/>
              <w:spacing w:line="269" w:lineRule="exact"/>
              <w:ind w:left="104"/>
              <w:jc w:val="center"/>
              <w:rPr>
                <w:rFonts w:ascii="Times New Roman" w:eastAsia="Times New Roman" w:hAnsi="Times New Roman" w:cs="Times New Roman"/>
                <w:sz w:val="20"/>
                <w:szCs w:val="20"/>
              </w:rPr>
            </w:pPr>
            <w:r w:rsidRPr="00CB03E4">
              <w:rPr>
                <w:rFonts w:ascii="Times New Roman"/>
                <w:sz w:val="20"/>
                <w:szCs w:val="20"/>
              </w:rPr>
              <w:t>103</w:t>
            </w:r>
          </w:p>
        </w:tc>
      </w:tr>
      <w:tr w:rsidR="006321CE" w:rsidRPr="00CB03E4" w:rsidTr="000F6EE0">
        <w:trPr>
          <w:trHeight w:hRule="exact" w:val="425"/>
        </w:trPr>
        <w:tc>
          <w:tcPr>
            <w:tcW w:w="3503" w:type="dxa"/>
            <w:tcBorders>
              <w:top w:val="single" w:sz="5" w:space="0" w:color="000000"/>
              <w:left w:val="single" w:sz="5" w:space="0" w:color="000000"/>
              <w:bottom w:val="single" w:sz="5" w:space="0" w:color="000000"/>
              <w:right w:val="single" w:sz="5" w:space="0" w:color="000000"/>
            </w:tcBorders>
            <w:shd w:val="clear" w:color="auto" w:fill="E7E6E6"/>
          </w:tcPr>
          <w:p w:rsidR="006321CE" w:rsidRPr="00CB03E4" w:rsidRDefault="006321CE" w:rsidP="006321CE">
            <w:pPr>
              <w:pStyle w:val="TableParagraph"/>
              <w:spacing w:line="269" w:lineRule="exact"/>
              <w:ind w:left="104"/>
              <w:rPr>
                <w:rFonts w:ascii="Times New Roman" w:eastAsia="Times New Roman" w:hAnsi="Times New Roman" w:cs="Times New Roman"/>
                <w:sz w:val="20"/>
                <w:szCs w:val="20"/>
              </w:rPr>
            </w:pPr>
            <w:r w:rsidRPr="00CB03E4">
              <w:rPr>
                <w:rFonts w:ascii="Times New Roman"/>
                <w:spacing w:val="-1"/>
                <w:sz w:val="20"/>
                <w:szCs w:val="20"/>
              </w:rPr>
              <w:t>Urkundendelikte</w:t>
            </w:r>
          </w:p>
        </w:tc>
        <w:tc>
          <w:tcPr>
            <w:tcW w:w="816" w:type="dxa"/>
            <w:tcBorders>
              <w:top w:val="single" w:sz="5" w:space="0" w:color="000000"/>
              <w:left w:val="single" w:sz="5" w:space="0" w:color="000000"/>
              <w:bottom w:val="single" w:sz="5" w:space="0" w:color="000000"/>
              <w:right w:val="single" w:sz="5" w:space="0" w:color="000000"/>
            </w:tcBorders>
            <w:vAlign w:val="center"/>
          </w:tcPr>
          <w:p w:rsidR="006321CE" w:rsidRPr="00CB03E4" w:rsidRDefault="006321CE" w:rsidP="000F6EE0">
            <w:pPr>
              <w:pStyle w:val="TableParagraph"/>
              <w:spacing w:line="269" w:lineRule="exact"/>
              <w:ind w:left="102"/>
              <w:jc w:val="center"/>
              <w:rPr>
                <w:rFonts w:ascii="Times New Roman" w:eastAsia="Times New Roman" w:hAnsi="Times New Roman" w:cs="Times New Roman"/>
                <w:sz w:val="20"/>
                <w:szCs w:val="20"/>
              </w:rPr>
            </w:pPr>
            <w:r w:rsidRPr="00CB03E4">
              <w:rPr>
                <w:rFonts w:ascii="Times New Roman"/>
                <w:sz w:val="20"/>
                <w:szCs w:val="20"/>
              </w:rPr>
              <w:t>162</w:t>
            </w:r>
          </w:p>
        </w:tc>
        <w:tc>
          <w:tcPr>
            <w:tcW w:w="922" w:type="dxa"/>
            <w:tcBorders>
              <w:top w:val="single" w:sz="5" w:space="0" w:color="000000"/>
              <w:left w:val="single" w:sz="5" w:space="0" w:color="000000"/>
              <w:bottom w:val="single" w:sz="5" w:space="0" w:color="000000"/>
              <w:right w:val="single" w:sz="5" w:space="0" w:color="000000"/>
            </w:tcBorders>
            <w:vAlign w:val="center"/>
          </w:tcPr>
          <w:p w:rsidR="006321CE" w:rsidRPr="00CB03E4" w:rsidRDefault="006321CE" w:rsidP="000F6EE0">
            <w:pPr>
              <w:pStyle w:val="TableParagraph"/>
              <w:spacing w:line="269" w:lineRule="exact"/>
              <w:ind w:left="102"/>
              <w:jc w:val="center"/>
              <w:rPr>
                <w:rFonts w:ascii="Times New Roman" w:eastAsia="Times New Roman" w:hAnsi="Times New Roman" w:cs="Times New Roman"/>
                <w:sz w:val="20"/>
                <w:szCs w:val="20"/>
              </w:rPr>
            </w:pPr>
            <w:r w:rsidRPr="00CB03E4">
              <w:rPr>
                <w:rFonts w:ascii="Times New Roman"/>
                <w:sz w:val="20"/>
                <w:szCs w:val="20"/>
              </w:rPr>
              <w:t>144</w:t>
            </w:r>
          </w:p>
        </w:tc>
        <w:tc>
          <w:tcPr>
            <w:tcW w:w="845" w:type="dxa"/>
            <w:tcBorders>
              <w:top w:val="single" w:sz="5" w:space="0" w:color="000000"/>
              <w:left w:val="single" w:sz="5" w:space="0" w:color="000000"/>
              <w:bottom w:val="single" w:sz="5" w:space="0" w:color="000000"/>
              <w:right w:val="single" w:sz="5" w:space="0" w:color="000000"/>
            </w:tcBorders>
            <w:vAlign w:val="center"/>
          </w:tcPr>
          <w:p w:rsidR="006321CE" w:rsidRPr="00CB03E4" w:rsidRDefault="006321CE" w:rsidP="000F6EE0">
            <w:pPr>
              <w:pStyle w:val="TableParagraph"/>
              <w:spacing w:line="269" w:lineRule="exact"/>
              <w:ind w:left="102"/>
              <w:jc w:val="center"/>
              <w:rPr>
                <w:rFonts w:ascii="Times New Roman" w:eastAsia="Times New Roman" w:hAnsi="Times New Roman" w:cs="Times New Roman"/>
                <w:sz w:val="20"/>
                <w:szCs w:val="20"/>
              </w:rPr>
            </w:pPr>
            <w:r w:rsidRPr="00CB03E4">
              <w:rPr>
                <w:rFonts w:ascii="Times New Roman"/>
                <w:sz w:val="20"/>
                <w:szCs w:val="20"/>
              </w:rPr>
              <w:t>159</w:t>
            </w:r>
          </w:p>
        </w:tc>
        <w:tc>
          <w:tcPr>
            <w:tcW w:w="835" w:type="dxa"/>
            <w:tcBorders>
              <w:top w:val="single" w:sz="5" w:space="0" w:color="000000"/>
              <w:left w:val="single" w:sz="5" w:space="0" w:color="000000"/>
              <w:bottom w:val="single" w:sz="5" w:space="0" w:color="000000"/>
              <w:right w:val="single" w:sz="5" w:space="0" w:color="000000"/>
            </w:tcBorders>
            <w:vAlign w:val="center"/>
          </w:tcPr>
          <w:p w:rsidR="006321CE" w:rsidRPr="00CB03E4" w:rsidRDefault="006321CE" w:rsidP="000F6EE0">
            <w:pPr>
              <w:pStyle w:val="TableParagraph"/>
              <w:spacing w:line="269" w:lineRule="exact"/>
              <w:ind w:left="102"/>
              <w:jc w:val="center"/>
              <w:rPr>
                <w:rFonts w:ascii="Times New Roman" w:eastAsia="Times New Roman" w:hAnsi="Times New Roman" w:cs="Times New Roman"/>
                <w:sz w:val="20"/>
                <w:szCs w:val="20"/>
              </w:rPr>
            </w:pPr>
            <w:r w:rsidRPr="00CB03E4">
              <w:rPr>
                <w:rFonts w:ascii="Times New Roman"/>
                <w:sz w:val="20"/>
                <w:szCs w:val="20"/>
              </w:rPr>
              <w:t>227</w:t>
            </w:r>
          </w:p>
        </w:tc>
        <w:tc>
          <w:tcPr>
            <w:tcW w:w="927" w:type="dxa"/>
            <w:tcBorders>
              <w:top w:val="single" w:sz="5" w:space="0" w:color="000000"/>
              <w:left w:val="single" w:sz="5" w:space="0" w:color="000000"/>
              <w:bottom w:val="single" w:sz="5" w:space="0" w:color="000000"/>
              <w:right w:val="single" w:sz="5" w:space="0" w:color="000000"/>
            </w:tcBorders>
            <w:vAlign w:val="center"/>
          </w:tcPr>
          <w:p w:rsidR="006321CE" w:rsidRPr="00CB03E4" w:rsidRDefault="006321CE" w:rsidP="000F6EE0">
            <w:pPr>
              <w:pStyle w:val="TableParagraph"/>
              <w:spacing w:line="269" w:lineRule="exact"/>
              <w:ind w:left="104"/>
              <w:jc w:val="center"/>
              <w:rPr>
                <w:rFonts w:ascii="Times New Roman" w:eastAsia="Times New Roman" w:hAnsi="Times New Roman" w:cs="Times New Roman"/>
                <w:sz w:val="20"/>
                <w:szCs w:val="20"/>
              </w:rPr>
            </w:pPr>
            <w:r w:rsidRPr="00CB03E4">
              <w:rPr>
                <w:rFonts w:ascii="Times New Roman"/>
                <w:sz w:val="20"/>
                <w:szCs w:val="20"/>
              </w:rPr>
              <w:t>343</w:t>
            </w:r>
          </w:p>
        </w:tc>
      </w:tr>
      <w:tr w:rsidR="006321CE" w:rsidRPr="00CB03E4" w:rsidTr="000F6EE0">
        <w:trPr>
          <w:trHeight w:hRule="exact" w:val="422"/>
        </w:trPr>
        <w:tc>
          <w:tcPr>
            <w:tcW w:w="3503" w:type="dxa"/>
            <w:tcBorders>
              <w:top w:val="single" w:sz="5" w:space="0" w:color="000000"/>
              <w:left w:val="single" w:sz="5" w:space="0" w:color="000000"/>
              <w:bottom w:val="single" w:sz="5" w:space="0" w:color="000000"/>
              <w:right w:val="single" w:sz="5" w:space="0" w:color="000000"/>
            </w:tcBorders>
            <w:shd w:val="clear" w:color="auto" w:fill="E7E6E6"/>
          </w:tcPr>
          <w:p w:rsidR="006321CE" w:rsidRPr="00CB03E4" w:rsidRDefault="006321CE" w:rsidP="006321CE">
            <w:pPr>
              <w:pStyle w:val="TableParagraph"/>
              <w:spacing w:line="269" w:lineRule="exact"/>
              <w:ind w:left="104"/>
              <w:rPr>
                <w:rFonts w:ascii="Times New Roman" w:eastAsia="Times New Roman" w:hAnsi="Times New Roman" w:cs="Times New Roman"/>
                <w:sz w:val="20"/>
                <w:szCs w:val="20"/>
              </w:rPr>
            </w:pPr>
            <w:r w:rsidRPr="00CB03E4">
              <w:rPr>
                <w:rFonts w:ascii="Times New Roman"/>
                <w:spacing w:val="-1"/>
                <w:sz w:val="20"/>
                <w:szCs w:val="20"/>
              </w:rPr>
              <w:t>Verkehrsdelikte</w:t>
            </w:r>
          </w:p>
        </w:tc>
        <w:tc>
          <w:tcPr>
            <w:tcW w:w="816" w:type="dxa"/>
            <w:tcBorders>
              <w:top w:val="single" w:sz="5" w:space="0" w:color="000000"/>
              <w:left w:val="single" w:sz="5" w:space="0" w:color="000000"/>
              <w:bottom w:val="single" w:sz="5" w:space="0" w:color="000000"/>
              <w:right w:val="single" w:sz="5" w:space="0" w:color="000000"/>
            </w:tcBorders>
            <w:vAlign w:val="center"/>
          </w:tcPr>
          <w:p w:rsidR="006321CE" w:rsidRPr="00CB03E4" w:rsidRDefault="006321CE" w:rsidP="000F6EE0">
            <w:pPr>
              <w:pStyle w:val="TableParagraph"/>
              <w:spacing w:line="269" w:lineRule="exact"/>
              <w:ind w:left="102"/>
              <w:jc w:val="center"/>
              <w:rPr>
                <w:rFonts w:ascii="Times New Roman" w:eastAsia="Times New Roman" w:hAnsi="Times New Roman" w:cs="Times New Roman"/>
                <w:sz w:val="20"/>
                <w:szCs w:val="20"/>
              </w:rPr>
            </w:pPr>
            <w:r w:rsidRPr="00CB03E4">
              <w:rPr>
                <w:rFonts w:ascii="Times New Roman"/>
                <w:sz w:val="20"/>
                <w:szCs w:val="20"/>
              </w:rPr>
              <w:t>436</w:t>
            </w:r>
          </w:p>
        </w:tc>
        <w:tc>
          <w:tcPr>
            <w:tcW w:w="922" w:type="dxa"/>
            <w:tcBorders>
              <w:top w:val="single" w:sz="5" w:space="0" w:color="000000"/>
              <w:left w:val="single" w:sz="5" w:space="0" w:color="000000"/>
              <w:bottom w:val="single" w:sz="5" w:space="0" w:color="000000"/>
              <w:right w:val="single" w:sz="5" w:space="0" w:color="000000"/>
            </w:tcBorders>
            <w:vAlign w:val="center"/>
          </w:tcPr>
          <w:p w:rsidR="006321CE" w:rsidRPr="00CB03E4" w:rsidRDefault="006321CE" w:rsidP="000F6EE0">
            <w:pPr>
              <w:pStyle w:val="TableParagraph"/>
              <w:spacing w:line="269" w:lineRule="exact"/>
              <w:ind w:left="102"/>
              <w:jc w:val="center"/>
              <w:rPr>
                <w:rFonts w:ascii="Times New Roman" w:eastAsia="Times New Roman" w:hAnsi="Times New Roman" w:cs="Times New Roman"/>
                <w:sz w:val="20"/>
                <w:szCs w:val="20"/>
              </w:rPr>
            </w:pPr>
            <w:r w:rsidRPr="00CB03E4">
              <w:rPr>
                <w:rFonts w:ascii="Times New Roman"/>
                <w:sz w:val="20"/>
                <w:szCs w:val="20"/>
              </w:rPr>
              <w:t>417</w:t>
            </w:r>
          </w:p>
        </w:tc>
        <w:tc>
          <w:tcPr>
            <w:tcW w:w="845" w:type="dxa"/>
            <w:tcBorders>
              <w:top w:val="single" w:sz="5" w:space="0" w:color="000000"/>
              <w:left w:val="single" w:sz="5" w:space="0" w:color="000000"/>
              <w:bottom w:val="single" w:sz="5" w:space="0" w:color="000000"/>
              <w:right w:val="single" w:sz="5" w:space="0" w:color="000000"/>
            </w:tcBorders>
            <w:vAlign w:val="center"/>
          </w:tcPr>
          <w:p w:rsidR="006321CE" w:rsidRPr="00CB03E4" w:rsidRDefault="006321CE" w:rsidP="000F6EE0">
            <w:pPr>
              <w:pStyle w:val="TableParagraph"/>
              <w:spacing w:line="269" w:lineRule="exact"/>
              <w:ind w:left="102"/>
              <w:jc w:val="center"/>
              <w:rPr>
                <w:rFonts w:ascii="Times New Roman" w:eastAsia="Times New Roman" w:hAnsi="Times New Roman" w:cs="Times New Roman"/>
                <w:sz w:val="20"/>
                <w:szCs w:val="20"/>
              </w:rPr>
            </w:pPr>
            <w:r w:rsidRPr="00CB03E4">
              <w:rPr>
                <w:rFonts w:ascii="Times New Roman"/>
                <w:sz w:val="20"/>
                <w:szCs w:val="20"/>
              </w:rPr>
              <w:t>612</w:t>
            </w:r>
          </w:p>
        </w:tc>
        <w:tc>
          <w:tcPr>
            <w:tcW w:w="835" w:type="dxa"/>
            <w:tcBorders>
              <w:top w:val="single" w:sz="5" w:space="0" w:color="000000"/>
              <w:left w:val="single" w:sz="5" w:space="0" w:color="000000"/>
              <w:bottom w:val="single" w:sz="5" w:space="0" w:color="000000"/>
              <w:right w:val="single" w:sz="5" w:space="0" w:color="000000"/>
            </w:tcBorders>
            <w:vAlign w:val="center"/>
          </w:tcPr>
          <w:p w:rsidR="006321CE" w:rsidRPr="00CB03E4" w:rsidRDefault="006321CE" w:rsidP="000F6EE0">
            <w:pPr>
              <w:pStyle w:val="TableParagraph"/>
              <w:spacing w:line="269" w:lineRule="exact"/>
              <w:ind w:left="102"/>
              <w:jc w:val="center"/>
              <w:rPr>
                <w:rFonts w:ascii="Times New Roman" w:eastAsia="Times New Roman" w:hAnsi="Times New Roman" w:cs="Times New Roman"/>
                <w:sz w:val="20"/>
                <w:szCs w:val="20"/>
              </w:rPr>
            </w:pPr>
            <w:r w:rsidRPr="00CB03E4">
              <w:rPr>
                <w:rFonts w:ascii="Times New Roman"/>
                <w:sz w:val="20"/>
                <w:szCs w:val="20"/>
              </w:rPr>
              <w:t>616</w:t>
            </w:r>
          </w:p>
        </w:tc>
        <w:tc>
          <w:tcPr>
            <w:tcW w:w="927" w:type="dxa"/>
            <w:tcBorders>
              <w:top w:val="single" w:sz="5" w:space="0" w:color="000000"/>
              <w:left w:val="single" w:sz="5" w:space="0" w:color="000000"/>
              <w:bottom w:val="single" w:sz="5" w:space="0" w:color="000000"/>
              <w:right w:val="single" w:sz="5" w:space="0" w:color="000000"/>
            </w:tcBorders>
            <w:vAlign w:val="center"/>
          </w:tcPr>
          <w:p w:rsidR="006321CE" w:rsidRPr="00CB03E4" w:rsidRDefault="006321CE" w:rsidP="000F6EE0">
            <w:pPr>
              <w:pStyle w:val="TableParagraph"/>
              <w:spacing w:line="269" w:lineRule="exact"/>
              <w:ind w:left="104"/>
              <w:jc w:val="center"/>
              <w:rPr>
                <w:rFonts w:ascii="Times New Roman" w:eastAsia="Times New Roman" w:hAnsi="Times New Roman" w:cs="Times New Roman"/>
                <w:sz w:val="20"/>
                <w:szCs w:val="20"/>
              </w:rPr>
            </w:pPr>
            <w:r w:rsidRPr="00CB03E4">
              <w:rPr>
                <w:rFonts w:ascii="Times New Roman"/>
                <w:sz w:val="20"/>
                <w:szCs w:val="20"/>
              </w:rPr>
              <w:t>823</w:t>
            </w:r>
          </w:p>
        </w:tc>
      </w:tr>
      <w:tr w:rsidR="006321CE" w:rsidRPr="00CB03E4" w:rsidTr="000F6EE0">
        <w:trPr>
          <w:trHeight w:hRule="exact" w:val="854"/>
        </w:trPr>
        <w:tc>
          <w:tcPr>
            <w:tcW w:w="3503" w:type="dxa"/>
            <w:tcBorders>
              <w:top w:val="single" w:sz="5" w:space="0" w:color="000000"/>
              <w:left w:val="single" w:sz="5" w:space="0" w:color="000000"/>
              <w:bottom w:val="single" w:sz="5" w:space="0" w:color="000000"/>
              <w:right w:val="single" w:sz="5" w:space="0" w:color="000000"/>
            </w:tcBorders>
            <w:shd w:val="clear" w:color="auto" w:fill="E7E6E6"/>
          </w:tcPr>
          <w:p w:rsidR="006321CE" w:rsidRPr="00CB03E4" w:rsidRDefault="006321CE" w:rsidP="006321CE">
            <w:pPr>
              <w:pStyle w:val="TableParagraph"/>
              <w:ind w:left="104" w:right="621"/>
              <w:rPr>
                <w:rFonts w:ascii="Times New Roman" w:eastAsia="Times New Roman" w:hAnsi="Times New Roman" w:cs="Times New Roman"/>
                <w:sz w:val="20"/>
                <w:szCs w:val="20"/>
              </w:rPr>
            </w:pPr>
            <w:r w:rsidRPr="00CB03E4">
              <w:rPr>
                <w:rFonts w:ascii="Times New Roman"/>
                <w:spacing w:val="-1"/>
                <w:sz w:val="20"/>
                <w:szCs w:val="20"/>
              </w:rPr>
              <w:t>Fahndungstreffer</w:t>
            </w:r>
            <w:r w:rsidRPr="00CB03E4">
              <w:rPr>
                <w:rFonts w:ascii="Times New Roman"/>
                <w:spacing w:val="30"/>
                <w:sz w:val="20"/>
                <w:szCs w:val="20"/>
              </w:rPr>
              <w:t xml:space="preserve"> </w:t>
            </w:r>
            <w:r w:rsidRPr="00CB03E4">
              <w:rPr>
                <w:rFonts w:ascii="Times New Roman"/>
                <w:spacing w:val="-1"/>
                <w:sz w:val="20"/>
                <w:szCs w:val="20"/>
              </w:rPr>
              <w:t>(Aufgriffe</w:t>
            </w:r>
            <w:r w:rsidRPr="00CB03E4">
              <w:rPr>
                <w:rFonts w:ascii="Times New Roman"/>
                <w:spacing w:val="-5"/>
                <w:sz w:val="20"/>
                <w:szCs w:val="20"/>
              </w:rPr>
              <w:t xml:space="preserve"> </w:t>
            </w:r>
            <w:r w:rsidRPr="00CB03E4">
              <w:rPr>
                <w:rFonts w:ascii="Times New Roman"/>
                <w:sz w:val="20"/>
                <w:szCs w:val="20"/>
              </w:rPr>
              <w:t>von</w:t>
            </w:r>
            <w:r w:rsidRPr="00CB03E4">
              <w:rPr>
                <w:rFonts w:ascii="Times New Roman"/>
                <w:spacing w:val="-3"/>
                <w:sz w:val="20"/>
                <w:szCs w:val="20"/>
              </w:rPr>
              <w:t xml:space="preserve"> </w:t>
            </w:r>
            <w:r w:rsidRPr="00CB03E4">
              <w:rPr>
                <w:rFonts w:ascii="Times New Roman"/>
                <w:sz w:val="20"/>
                <w:szCs w:val="20"/>
              </w:rPr>
              <w:t>zur</w:t>
            </w:r>
            <w:r w:rsidR="00CB03E4" w:rsidRPr="00CB03E4">
              <w:rPr>
                <w:rFonts w:ascii="Times New Roman"/>
                <w:sz w:val="20"/>
                <w:szCs w:val="20"/>
              </w:rPr>
              <w:t xml:space="preserve"> Fahndung ausgeschriebenen Personen</w:t>
            </w:r>
            <w:r w:rsidR="00CB03E4" w:rsidRPr="00CB03E4">
              <w:rPr>
                <w:rStyle w:val="Funotenzeichen"/>
                <w:rFonts w:ascii="Times New Roman"/>
                <w:sz w:val="20"/>
                <w:szCs w:val="20"/>
              </w:rPr>
              <w:footnoteReference w:id="1"/>
            </w:r>
            <w:r w:rsidR="00CB03E4" w:rsidRPr="00CB03E4">
              <w:rPr>
                <w:rFonts w:ascii="Times New Roman"/>
                <w:sz w:val="20"/>
                <w:szCs w:val="20"/>
              </w:rPr>
              <w:t xml:space="preserve"> oder Sachen</w:t>
            </w:r>
            <w:r w:rsidR="00CB03E4" w:rsidRPr="00CB03E4">
              <w:rPr>
                <w:rStyle w:val="Funotenzeichen"/>
                <w:rFonts w:ascii="Times New Roman"/>
                <w:sz w:val="20"/>
                <w:szCs w:val="20"/>
              </w:rPr>
              <w:footnoteReference w:id="2"/>
            </w:r>
            <w:r w:rsidR="00CB03E4" w:rsidRPr="00CB03E4">
              <w:rPr>
                <w:rFonts w:ascii="Times New Roman"/>
                <w:sz w:val="20"/>
                <w:szCs w:val="20"/>
              </w:rPr>
              <w:t>)</w:t>
            </w:r>
          </w:p>
        </w:tc>
        <w:tc>
          <w:tcPr>
            <w:tcW w:w="816" w:type="dxa"/>
            <w:tcBorders>
              <w:top w:val="single" w:sz="5" w:space="0" w:color="000000"/>
              <w:left w:val="single" w:sz="5" w:space="0" w:color="000000"/>
              <w:bottom w:val="single" w:sz="5" w:space="0" w:color="000000"/>
              <w:right w:val="single" w:sz="5" w:space="0" w:color="000000"/>
            </w:tcBorders>
            <w:vAlign w:val="center"/>
          </w:tcPr>
          <w:p w:rsidR="006321CE" w:rsidRPr="00CB03E4" w:rsidRDefault="006321CE" w:rsidP="000F6EE0">
            <w:pPr>
              <w:pStyle w:val="TableParagraph"/>
              <w:spacing w:line="269" w:lineRule="exact"/>
              <w:ind w:left="102"/>
              <w:jc w:val="center"/>
              <w:rPr>
                <w:rFonts w:ascii="Times New Roman" w:eastAsia="Times New Roman" w:hAnsi="Times New Roman" w:cs="Times New Roman"/>
                <w:sz w:val="20"/>
                <w:szCs w:val="20"/>
              </w:rPr>
            </w:pPr>
            <w:r w:rsidRPr="00CB03E4">
              <w:rPr>
                <w:rFonts w:ascii="Times New Roman"/>
                <w:sz w:val="20"/>
                <w:szCs w:val="20"/>
              </w:rPr>
              <w:t>1.991</w:t>
            </w:r>
          </w:p>
        </w:tc>
        <w:tc>
          <w:tcPr>
            <w:tcW w:w="922" w:type="dxa"/>
            <w:tcBorders>
              <w:top w:val="single" w:sz="5" w:space="0" w:color="000000"/>
              <w:left w:val="single" w:sz="5" w:space="0" w:color="000000"/>
              <w:bottom w:val="single" w:sz="5" w:space="0" w:color="000000"/>
              <w:right w:val="single" w:sz="5" w:space="0" w:color="000000"/>
            </w:tcBorders>
            <w:vAlign w:val="center"/>
          </w:tcPr>
          <w:p w:rsidR="006321CE" w:rsidRPr="00CB03E4" w:rsidRDefault="006321CE" w:rsidP="000F6EE0">
            <w:pPr>
              <w:pStyle w:val="TableParagraph"/>
              <w:spacing w:line="269" w:lineRule="exact"/>
              <w:ind w:left="102"/>
              <w:jc w:val="center"/>
              <w:rPr>
                <w:rFonts w:ascii="Times New Roman" w:eastAsia="Times New Roman" w:hAnsi="Times New Roman" w:cs="Times New Roman"/>
                <w:sz w:val="20"/>
                <w:szCs w:val="20"/>
              </w:rPr>
            </w:pPr>
            <w:r w:rsidRPr="00CB03E4">
              <w:rPr>
                <w:rFonts w:ascii="Times New Roman"/>
                <w:sz w:val="20"/>
                <w:szCs w:val="20"/>
              </w:rPr>
              <w:t>5.070</w:t>
            </w:r>
          </w:p>
        </w:tc>
        <w:tc>
          <w:tcPr>
            <w:tcW w:w="845" w:type="dxa"/>
            <w:tcBorders>
              <w:top w:val="single" w:sz="5" w:space="0" w:color="000000"/>
              <w:left w:val="single" w:sz="5" w:space="0" w:color="000000"/>
              <w:bottom w:val="single" w:sz="5" w:space="0" w:color="000000"/>
              <w:right w:val="single" w:sz="5" w:space="0" w:color="000000"/>
            </w:tcBorders>
            <w:vAlign w:val="center"/>
          </w:tcPr>
          <w:p w:rsidR="006321CE" w:rsidRPr="00CB03E4" w:rsidRDefault="006321CE" w:rsidP="000F6EE0">
            <w:pPr>
              <w:pStyle w:val="TableParagraph"/>
              <w:spacing w:line="269" w:lineRule="exact"/>
              <w:ind w:left="102"/>
              <w:jc w:val="center"/>
              <w:rPr>
                <w:rFonts w:ascii="Times New Roman" w:eastAsia="Times New Roman" w:hAnsi="Times New Roman" w:cs="Times New Roman"/>
                <w:sz w:val="20"/>
                <w:szCs w:val="20"/>
              </w:rPr>
            </w:pPr>
            <w:r w:rsidRPr="00CB03E4">
              <w:rPr>
                <w:rFonts w:ascii="Times New Roman"/>
                <w:sz w:val="20"/>
                <w:szCs w:val="20"/>
              </w:rPr>
              <w:t>1.938</w:t>
            </w:r>
          </w:p>
        </w:tc>
        <w:tc>
          <w:tcPr>
            <w:tcW w:w="835" w:type="dxa"/>
            <w:tcBorders>
              <w:top w:val="single" w:sz="5" w:space="0" w:color="000000"/>
              <w:left w:val="single" w:sz="5" w:space="0" w:color="000000"/>
              <w:bottom w:val="single" w:sz="5" w:space="0" w:color="000000"/>
              <w:right w:val="single" w:sz="5" w:space="0" w:color="000000"/>
            </w:tcBorders>
            <w:vAlign w:val="center"/>
          </w:tcPr>
          <w:p w:rsidR="006321CE" w:rsidRPr="00CB03E4" w:rsidRDefault="006321CE" w:rsidP="000F6EE0">
            <w:pPr>
              <w:pStyle w:val="TableParagraph"/>
              <w:spacing w:line="269" w:lineRule="exact"/>
              <w:ind w:left="102"/>
              <w:jc w:val="center"/>
              <w:rPr>
                <w:rFonts w:ascii="Times New Roman" w:eastAsia="Times New Roman" w:hAnsi="Times New Roman" w:cs="Times New Roman"/>
                <w:sz w:val="20"/>
                <w:szCs w:val="20"/>
              </w:rPr>
            </w:pPr>
            <w:r w:rsidRPr="00CB03E4">
              <w:rPr>
                <w:rFonts w:ascii="Times New Roman"/>
                <w:sz w:val="20"/>
                <w:szCs w:val="20"/>
              </w:rPr>
              <w:t>1.603</w:t>
            </w:r>
          </w:p>
        </w:tc>
        <w:tc>
          <w:tcPr>
            <w:tcW w:w="927" w:type="dxa"/>
            <w:tcBorders>
              <w:top w:val="single" w:sz="5" w:space="0" w:color="000000"/>
              <w:left w:val="single" w:sz="5" w:space="0" w:color="000000"/>
              <w:bottom w:val="single" w:sz="5" w:space="0" w:color="000000"/>
              <w:right w:val="single" w:sz="5" w:space="0" w:color="000000"/>
            </w:tcBorders>
            <w:vAlign w:val="center"/>
          </w:tcPr>
          <w:p w:rsidR="006321CE" w:rsidRPr="00CB03E4" w:rsidRDefault="006321CE" w:rsidP="000F6EE0">
            <w:pPr>
              <w:pStyle w:val="TableParagraph"/>
              <w:spacing w:line="269" w:lineRule="exact"/>
              <w:ind w:left="104"/>
              <w:jc w:val="center"/>
              <w:rPr>
                <w:rFonts w:ascii="Times New Roman" w:eastAsia="Times New Roman" w:hAnsi="Times New Roman" w:cs="Times New Roman"/>
                <w:sz w:val="20"/>
                <w:szCs w:val="20"/>
              </w:rPr>
            </w:pPr>
            <w:r w:rsidRPr="00CB03E4">
              <w:rPr>
                <w:rFonts w:ascii="Times New Roman"/>
                <w:sz w:val="20"/>
                <w:szCs w:val="20"/>
              </w:rPr>
              <w:t>2.083</w:t>
            </w:r>
          </w:p>
        </w:tc>
      </w:tr>
    </w:tbl>
    <w:p w:rsidR="009D008C" w:rsidRDefault="009D008C" w:rsidP="00AF399C">
      <w:pPr>
        <w:pStyle w:val="LTAntwortRessortText"/>
        <w:spacing w:before="360"/>
      </w:pPr>
      <w:r>
        <w:t>Lässt man die migrationsspezifischen Sondereffekte der krisenhaften Jahre 2015 und 2016</w:t>
      </w:r>
      <w:r w:rsidR="00CB03E4">
        <w:t xml:space="preserve"> un</w:t>
      </w:r>
      <w:r>
        <w:t>berücksichtigt, so ergeben sich für das Jahr 2018 im Vergleic</w:t>
      </w:r>
      <w:r w:rsidR="00CB03E4">
        <w:t>h zu anderen Jahren deutlich hö</w:t>
      </w:r>
      <w:r>
        <w:t>here Aufgriffs- und Feststellungszahlen.</w:t>
      </w:r>
    </w:p>
    <w:p w:rsidR="00AF399C" w:rsidRDefault="00AF399C" w:rsidP="00AF399C">
      <w:pPr>
        <w:pStyle w:val="LTAntwortRessortText"/>
        <w:spacing w:before="360"/>
      </w:pPr>
    </w:p>
    <w:p w:rsidR="000F6EE0" w:rsidRDefault="000F6EE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6"/>
        <w:gridCol w:w="5820"/>
      </w:tblGrid>
      <w:tr w:rsidR="009D008C" w:rsidTr="00CB03E4">
        <w:tc>
          <w:tcPr>
            <w:tcW w:w="1796" w:type="dxa"/>
            <w:shd w:val="clear" w:color="auto" w:fill="auto"/>
          </w:tcPr>
          <w:p w:rsidR="009D008C" w:rsidRPr="009D008C" w:rsidRDefault="009D008C" w:rsidP="009D008C">
            <w:pPr>
              <w:pStyle w:val="LTAnfrageIni1"/>
            </w:pPr>
            <w:r w:rsidRPr="009D008C">
              <w:t>Abgeordnete</w:t>
            </w:r>
            <w:r w:rsidRPr="009D008C">
              <w:br/>
            </w:r>
            <w:r w:rsidRPr="009D008C">
              <w:rPr>
                <w:b/>
              </w:rPr>
              <w:t>Anne</w:t>
            </w:r>
            <w:r w:rsidRPr="009D008C">
              <w:rPr>
                <w:b/>
              </w:rPr>
              <w:br/>
              <w:t>Franke</w:t>
            </w:r>
            <w:r w:rsidRPr="009D008C">
              <w:rPr>
                <w:b/>
              </w:rPr>
              <w:br/>
            </w:r>
            <w:r w:rsidRPr="009D008C">
              <w:t>(BÜNDNIS 90/DIE GRÜNEN)</w:t>
            </w:r>
            <w:r>
              <w:fldChar w:fldCharType="begin"/>
            </w:r>
            <w:r>
              <w:instrText xml:space="preserve"> XE </w:instrText>
            </w:r>
            <w:r w:rsidR="006321CE">
              <w:instrText>„</w:instrText>
            </w:r>
            <w:r>
              <w:instrText xml:space="preserve">Franke, Anne (BÜNDNIS 90/DIE GRÜNEN):Verzögerte Auszahlung von Fördergeldern für Flüchtlingsberatung </w:instrText>
            </w:r>
            <w:r>
              <w:fldChar w:fldCharType="end"/>
            </w:r>
            <w:r>
              <w:fldChar w:fldCharType="begin"/>
            </w:r>
            <w:r>
              <w:instrText xml:space="preserve"> TC </w:instrText>
            </w:r>
            <w:r w:rsidR="006321CE">
              <w:instrText>„</w:instrText>
            </w:r>
            <w:r>
              <w:instrText>Franke, Anne (BÜNDNIS 90/DIE GRÜNEN)</w:instrText>
            </w:r>
            <w:r>
              <w:br/>
              <w:instrText xml:space="preserve">Verzögerte Auszahlung von Fördergeldern für Flüchtlingsberatung </w:instrText>
            </w:r>
            <w:r w:rsidR="006321CE">
              <w:instrText>„</w:instrText>
            </w:r>
            <w:r>
              <w:instrText xml:space="preserve"> \l 2 </w:instrText>
            </w:r>
            <w:r>
              <w:fldChar w:fldCharType="end"/>
            </w:r>
          </w:p>
        </w:tc>
        <w:tc>
          <w:tcPr>
            <w:tcW w:w="5820" w:type="dxa"/>
            <w:shd w:val="clear" w:color="auto" w:fill="auto"/>
          </w:tcPr>
          <w:p w:rsidR="009D008C" w:rsidRDefault="009D008C" w:rsidP="009D008C">
            <w:pPr>
              <w:pStyle w:val="LTAnfrageText"/>
            </w:pPr>
            <w:r>
              <w:t xml:space="preserve">Ich frage die Staatsregierung, warum verzögert der Freistaat Bayern die Auszahlung der bereits genehmigten staatlichen Fördergelder an den Verein </w:t>
            </w:r>
            <w:r w:rsidR="006321CE">
              <w:t>„</w:t>
            </w:r>
            <w:r>
              <w:t>Hilfe von Mensch zu Mensch</w:t>
            </w:r>
            <w:r w:rsidR="006321CE">
              <w:t>“</w:t>
            </w:r>
            <w:r>
              <w:t>, der in den Landkreisen Starnberg, Bad Tölz-Wolfratshausen und Miesbach die hauptamtliche Flüchtlings- und Integrationsberatung durchführt, sodass der Verein sich gezwungen sieht, einige Mitarbeiter zu entlassen, weil er nicht in der Lage ist, den fehlenden Betrag von 1 Mio. Euro vorzufinanzieren?</w:t>
            </w:r>
          </w:p>
          <w:p w:rsidR="009D008C" w:rsidRDefault="009D008C" w:rsidP="009D008C">
            <w:pPr>
              <w:pStyle w:val="LTAnfrageText"/>
            </w:pPr>
          </w:p>
        </w:tc>
      </w:tr>
    </w:tbl>
    <w:p w:rsidR="009D008C" w:rsidRDefault="009D008C" w:rsidP="00AF399C">
      <w:pPr>
        <w:pStyle w:val="LTUeberschrAntwortRessort"/>
        <w:spacing w:before="0"/>
      </w:pPr>
      <w:r>
        <w:t xml:space="preserve">Antwort des Staatsministeriums </w:t>
      </w:r>
      <w:r w:rsidR="009D771C">
        <w:t>des Innern</w:t>
      </w:r>
      <w:r>
        <w:t>, für Sport und Integration</w:t>
      </w:r>
    </w:p>
    <w:p w:rsidR="009D008C" w:rsidRDefault="009D008C" w:rsidP="009D008C">
      <w:pPr>
        <w:pStyle w:val="LTAntwortRessortText"/>
      </w:pPr>
      <w:r>
        <w:t>Die Auszahlung durch den Freistaat Bayern erfolgt nicht verzögert.</w:t>
      </w:r>
    </w:p>
    <w:p w:rsidR="009D008C" w:rsidRDefault="009D008C" w:rsidP="009D008C">
      <w:pPr>
        <w:pStyle w:val="LTAntwortRessortText"/>
      </w:pPr>
      <w:r>
        <w:t xml:space="preserve">Der Verein </w:t>
      </w:r>
      <w:r w:rsidR="006321CE">
        <w:t>„</w:t>
      </w:r>
      <w:r>
        <w:t>Hilfe von Mensch zu Mensch e.</w:t>
      </w:r>
      <w:r w:rsidR="00A011D8">
        <w:t xml:space="preserve"> </w:t>
      </w:r>
      <w:r>
        <w:t>V.</w:t>
      </w:r>
      <w:r w:rsidR="006321CE">
        <w:t>“</w:t>
      </w:r>
      <w:r>
        <w:t xml:space="preserve"> erhält für die </w:t>
      </w:r>
      <w:r w:rsidR="00A011D8">
        <w:t>Flüchtlings- und Integrationsbe</w:t>
      </w:r>
      <w:r>
        <w:t>ratung auf der Grundlage der am 1. Januar 2018 in Kraft getr</w:t>
      </w:r>
      <w:r w:rsidR="00A011D8">
        <w:t>etenen Richtlinie für die Förde</w:t>
      </w:r>
      <w:r>
        <w:t>rung der sozialen Beratung, Betreuung und Integration von Mensch</w:t>
      </w:r>
      <w:r w:rsidR="00A011D8">
        <w:t>en mit Migrationshinter</w:t>
      </w:r>
      <w:r>
        <w:t>grund (sog. Beratungs- und Integrationsrichtlinie</w:t>
      </w:r>
      <w:r w:rsidR="00A011D8">
        <w:t xml:space="preserve"> –</w:t>
      </w:r>
      <w:r>
        <w:t xml:space="preserve"> BIR) staatliche Fördermittel.</w:t>
      </w:r>
    </w:p>
    <w:p w:rsidR="009D008C" w:rsidRDefault="009D008C" w:rsidP="009D008C">
      <w:pPr>
        <w:pStyle w:val="LTAntwortRessortText"/>
      </w:pPr>
      <w:r>
        <w:t>Die Zuwendung wird als Anteilfinanzierung im Rahmen ein</w:t>
      </w:r>
      <w:r w:rsidR="00A011D8">
        <w:t>er Projektförderung gewährt. Be</w:t>
      </w:r>
      <w:r>
        <w:t>willigungszeitraum ist die Zeit vom 1. Januar bis 31. Dezember eines jeweiligen Jahres. Die Förderung wird also nicht fortlaufend aufgrund einmaliger Bewilligung gewährt, sondern ist für das kommende Kalenderjahr zum 15. November des Vor</w:t>
      </w:r>
      <w:r w:rsidR="00A011D8">
        <w:t>jahres neu zu beantragen und an</w:t>
      </w:r>
      <w:r>
        <w:t>schließend zu prüfen und zu verbescheiden.</w:t>
      </w:r>
    </w:p>
    <w:p w:rsidR="009D008C" w:rsidRDefault="009D008C" w:rsidP="009D008C">
      <w:pPr>
        <w:pStyle w:val="LTAntwortRessortText"/>
      </w:pPr>
      <w:r>
        <w:t xml:space="preserve">Für das Förderjahr 2018 hat der Verein </w:t>
      </w:r>
      <w:r w:rsidR="006321CE">
        <w:t>„</w:t>
      </w:r>
      <w:r>
        <w:t>Hilfe von Mensch zu Mensch e.</w:t>
      </w:r>
      <w:r w:rsidR="00A011D8">
        <w:t xml:space="preserve"> </w:t>
      </w:r>
      <w:r>
        <w:t>V.</w:t>
      </w:r>
      <w:r w:rsidR="006321CE">
        <w:t>“</w:t>
      </w:r>
      <w:r w:rsidR="00A011D8">
        <w:t xml:space="preserve"> zwei Abschlags</w:t>
      </w:r>
      <w:r>
        <w:t>zahlungen beantragt. Die entsprechenden Auszahlungen sind bereits erfolgt.</w:t>
      </w:r>
    </w:p>
    <w:p w:rsidR="009D008C" w:rsidRDefault="009D008C" w:rsidP="009D008C">
      <w:pPr>
        <w:pStyle w:val="LTAntwortRessortText"/>
      </w:pPr>
      <w:r>
        <w:t xml:space="preserve">Für das Förderjahr 2019 hat der Verein </w:t>
      </w:r>
      <w:r w:rsidR="006321CE">
        <w:t>„</w:t>
      </w:r>
      <w:r>
        <w:t>Hilfe von Mensch zu Mensch e.</w:t>
      </w:r>
      <w:r w:rsidR="00A011D8">
        <w:t xml:space="preserve"> </w:t>
      </w:r>
      <w:r>
        <w:t>V.</w:t>
      </w:r>
      <w:r w:rsidR="006321CE">
        <w:t>“</w:t>
      </w:r>
      <w:r w:rsidR="00A011D8">
        <w:t xml:space="preserve"> bereits eine Zusa</w:t>
      </w:r>
      <w:r>
        <w:t>ge für eine erste Abschlagszahlung bis spätestens Februar 2019 erhalten.</w:t>
      </w:r>
    </w:p>
    <w:p w:rsidR="009D008C" w:rsidRDefault="009D008C" w:rsidP="009D008C">
      <w:pPr>
        <w:pStyle w:val="LTAntwortRessortText"/>
      </w:pPr>
      <w:r>
        <w:t xml:space="preserve">Einzelne Aussagen des Vereins </w:t>
      </w:r>
      <w:r w:rsidR="006321CE">
        <w:t>„</w:t>
      </w:r>
      <w:r>
        <w:t>Hilfe von Mensch zu Mensch e.</w:t>
      </w:r>
      <w:r w:rsidR="00A011D8">
        <w:t xml:space="preserve"> </w:t>
      </w:r>
      <w:r>
        <w:t>V.</w:t>
      </w:r>
      <w:r w:rsidR="006321CE">
        <w:t>“</w:t>
      </w:r>
      <w:r>
        <w:t xml:space="preserve"> erwecken den Eindruck, dass der von ihm angebotenen Flüchtlings- und Integrationsberatung durch Änderungen im</w:t>
      </w:r>
      <w:r w:rsidR="00A011D8">
        <w:t xml:space="preserve"> </w:t>
      </w:r>
      <w:r>
        <w:t>Förderverfahren kurzfristig die Finanzierungsgrundlage entzogen wurde. Dies ist unzutreffend. Das Verfahren zur Auszahlung der Fördergelder besteht vielm</w:t>
      </w:r>
      <w:r w:rsidR="00A011D8">
        <w:t>ehr seit Inkrafttreten der Bera</w:t>
      </w:r>
      <w:r>
        <w:t>tungs- und Integrationsrichtlinie Anfang 2018. Aktuell auf den Weg gebrachte Anpassungen wirken ausschließlich zum Vorteil der Antragssteller. So hat das Staatsministerium des Innern, für Sport und Integration</w:t>
      </w:r>
      <w:r w:rsidR="00A011D8">
        <w:t xml:space="preserve"> </w:t>
      </w:r>
      <w:r>
        <w:t xml:space="preserve">jüngst </w:t>
      </w:r>
      <w:r w:rsidR="00A011D8">
        <w:t>–</w:t>
      </w:r>
      <w:r>
        <w:t xml:space="preserve"> in enger Abstimmung mit den öffentlichen und freien Trägern </w:t>
      </w:r>
      <w:r w:rsidR="00AC62A8">
        <w:t>–</w:t>
      </w:r>
      <w:r>
        <w:t xml:space="preserve"> eine Anpassung des Antrags- und Auszahlungsverfahrens angest</w:t>
      </w:r>
      <w:r w:rsidR="00AC62A8">
        <w:t>oßen. Neben weiteren Ver</w:t>
      </w:r>
      <w:r>
        <w:t>fahrensvereinfachungen sollen die öffentlichen und freien Träger infolge dessen noch früher Planungssicherheit hinsichtlich des Fördervolumens erhalten, gleichzeitig aber auch schneller in den Genuss einer ersten Auszahlung kommen. Hierdurch soll der Vorfinanzierungszeitraum zugunsten der Antragssteller weiter verkürzt werden. Angesichts dessen und der schon für Februar 2019 zugesagten Abschlagszahlung verwundert es, wenn der Verein jetzt seine Beratung in Bad Tölz-Wolfratshausen, Starnberg und Miesbach zum Ende des Jahres</w:t>
      </w:r>
      <w:r w:rsidR="00AC62A8">
        <w:t xml:space="preserve"> 2018</w:t>
      </w:r>
      <w:r>
        <w:t xml:space="preserve"> einstellen möchte.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2"/>
        <w:gridCol w:w="5844"/>
      </w:tblGrid>
      <w:tr w:rsidR="009D008C" w:rsidTr="009D008C">
        <w:tc>
          <w:tcPr>
            <w:tcW w:w="2050" w:type="dxa"/>
            <w:shd w:val="clear" w:color="auto" w:fill="auto"/>
          </w:tcPr>
          <w:p w:rsidR="009D008C" w:rsidRPr="009D008C" w:rsidRDefault="009D008C" w:rsidP="009D008C">
            <w:pPr>
              <w:pStyle w:val="LTAnfrageIni1"/>
            </w:pPr>
            <w:r w:rsidRPr="009D008C">
              <w:t>Abgeordneter</w:t>
            </w:r>
            <w:r w:rsidRPr="009D008C">
              <w:br/>
            </w:r>
            <w:r w:rsidRPr="009D008C">
              <w:rPr>
                <w:b/>
              </w:rPr>
              <w:t>Ludwig</w:t>
            </w:r>
            <w:r w:rsidRPr="009D008C">
              <w:rPr>
                <w:b/>
              </w:rPr>
              <w:br/>
              <w:t>Hartmann</w:t>
            </w:r>
            <w:r w:rsidRPr="009D008C">
              <w:rPr>
                <w:b/>
              </w:rPr>
              <w:br/>
            </w:r>
            <w:r w:rsidRPr="009D008C">
              <w:t>(BÜNDNIS 90/DIE GRÜNEN)</w:t>
            </w:r>
            <w:r>
              <w:fldChar w:fldCharType="begin"/>
            </w:r>
            <w:r>
              <w:instrText xml:space="preserve"> XE </w:instrText>
            </w:r>
            <w:r w:rsidR="006321CE">
              <w:instrText>„</w:instrText>
            </w:r>
            <w:r>
              <w:instrText xml:space="preserve">Hartmann, Ludwig (BÜNDNIS 90/DIE GRÜNEN):Nachfrage bezüglich dieselbetriebener Polizeiautos </w:instrText>
            </w:r>
            <w:r>
              <w:fldChar w:fldCharType="end"/>
            </w:r>
            <w:r>
              <w:fldChar w:fldCharType="begin"/>
            </w:r>
            <w:r>
              <w:instrText xml:space="preserve"> TC </w:instrText>
            </w:r>
            <w:r w:rsidR="006321CE">
              <w:instrText>„</w:instrText>
            </w:r>
            <w:r>
              <w:instrText>Hartmann, Ludwig (BÜNDNIS 90/DIE GRÜNEN)</w:instrText>
            </w:r>
            <w:r>
              <w:br/>
              <w:instrText xml:space="preserve">Nachfrage bezüglich dieselbetriebener Polizeiautos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Bezüglich der Antwort des Staatsministers Joachim Herrmann auf meine Anfrage zum Plenum in der 15. KW 2018 (Drs.</w:t>
            </w:r>
            <w:r w:rsidR="0011462D">
              <w:t> </w:t>
            </w:r>
            <w:r>
              <w:t>17/21674), frage ich die Staatsregierung, wie die dort benannte Einigung zwischen der VW AG und dem damaligen Staatsministerium des Innern, für Bau und Verkehr bezüglich der von Umrüstung betroffenen bayerischen Polizeiautos konkret ausgestaltet wurde, ob dabei eine Hardware- oder Soft</w:t>
            </w:r>
            <w:r w:rsidR="009D771C">
              <w:t>w</w:t>
            </w:r>
            <w:r>
              <w:t>are</w:t>
            </w:r>
            <w:r w:rsidR="009D771C">
              <w:t>-N</w:t>
            </w:r>
            <w:r>
              <w:t>achrüstung durchgeführt wurde und wie die Staatsregierung die Einigung vor dem Hintergrund der nun von der Bundesregierung angestrebten Maßnahmen für private Diesel-Pkws beurteilt?</w:t>
            </w:r>
          </w:p>
          <w:p w:rsidR="009D008C" w:rsidRDefault="009D008C" w:rsidP="009D008C">
            <w:pPr>
              <w:pStyle w:val="LTAnfrageText"/>
            </w:pPr>
          </w:p>
        </w:tc>
      </w:tr>
    </w:tbl>
    <w:p w:rsidR="009D008C" w:rsidRDefault="009D008C" w:rsidP="00AF399C">
      <w:pPr>
        <w:pStyle w:val="LTUeberschrAntwortRessort"/>
        <w:spacing w:before="960"/>
      </w:pPr>
      <w:r>
        <w:t xml:space="preserve">Antwort des Staatsministeriums </w:t>
      </w:r>
      <w:r w:rsidR="009D771C">
        <w:t>des Innern</w:t>
      </w:r>
      <w:r>
        <w:t>, für Sport und Integration</w:t>
      </w:r>
    </w:p>
    <w:p w:rsidR="009D008C" w:rsidRDefault="009D008C" w:rsidP="00AF399C">
      <w:pPr>
        <w:pStyle w:val="LTAntwortRessortText"/>
        <w:spacing w:before="360"/>
      </w:pPr>
      <w:r>
        <w:t>Die Mitte 2017 getroffene Einigung mit der VW AG regelt</w:t>
      </w:r>
      <w:r w:rsidR="0011462D">
        <w:t>, wie die Durchführung des Soft</w:t>
      </w:r>
      <w:r>
        <w:t>wareupdates und der Hardwarenachrüstung bei den betroffe</w:t>
      </w:r>
      <w:r w:rsidR="0011462D">
        <w:t>nen VW-Dieselfahrzeugen der Bay</w:t>
      </w:r>
      <w:r>
        <w:t>erischen Polizei in organisatorischer und praktischer Sicht ablaufen soll, ohne dass dabei der Dienstbetrieb nachhaltig gestört wird. Es handelte sich dabei um die gleiche vom Kraftfahrt-Bundesamt angeordnete Umrüstung wie bei Privatfahrzeug</w:t>
      </w:r>
      <w:r w:rsidR="0011462D">
        <w:t>en. Eine weitergehende Vereinba</w:t>
      </w:r>
      <w:r>
        <w:t>rung wurde nicht getroffen, da die VW AG erklärt hat, dass</w:t>
      </w:r>
      <w:r w:rsidR="0011462D">
        <w:t xml:space="preserve"> durch die Umrüstung keine Nach</w:t>
      </w:r>
      <w:r>
        <w:t>teile an den Fahrzeugen entstehen. Sollten nach der Umrüst</w:t>
      </w:r>
      <w:r w:rsidR="0011462D">
        <w:t>ung Fragen oder Beschwerden auf</w:t>
      </w:r>
      <w:r>
        <w:t>treten, wird die VW AG diese im Einzelfall aufgreifen und eine individuelle Lösung prüfen. Bislang sind im Rahmen der im Januar 2018 abgeschlossenen Umrüstung keine nennenswerten Probleme aufgetreten.</w:t>
      </w:r>
    </w:p>
    <w:p w:rsidR="009D008C" w:rsidRDefault="009D008C" w:rsidP="00AF399C">
      <w:pPr>
        <w:pStyle w:val="LTAntwortRessortText"/>
        <w:spacing w:before="360"/>
      </w:pPr>
      <w:r>
        <w:t xml:space="preserve">Direkte Berührungspunkte der auf dieser Grundlage durchgeführten Umrüstungen zu den </w:t>
      </w:r>
      <w:r w:rsidR="006321CE">
        <w:t>„</w:t>
      </w:r>
      <w:r>
        <w:t>Eckpunkten der Bundesregierung vom 24.10.2018 zur Umsetzung des Konzepts für saubere Luft und die Sicherung der individuellen Mobilität in unseren Städten</w:t>
      </w:r>
      <w:r w:rsidR="006321CE">
        <w:t>“</w:t>
      </w:r>
      <w:r>
        <w:t xml:space="preserve"> sind nicht ersichtlich. Die dort unter Ziffer 2 beabsichtigten Maßnahmen z</w:t>
      </w:r>
      <w:r w:rsidR="009D771C">
        <w:t>ur Hardwareumrüstung von Euro-5-</w:t>
      </w:r>
      <w:r>
        <w:t>Diesel-Pkw stellen ein gesondertes Programm dar. Inwieweit die Polizeifahrzeuge hiervon betroffen sein werden, kann erst nach Vorliegen der rechtlichen und t</w:t>
      </w:r>
      <w:r w:rsidR="0011462D">
        <w:t>echnischen Voraussetzungen beu</w:t>
      </w:r>
      <w:r w:rsidR="00AF399C">
        <w:t>r</w:t>
      </w:r>
      <w:r>
        <w:t>teilt werden.</w:t>
      </w:r>
    </w:p>
    <w:p w:rsidR="00AF399C" w:rsidRDefault="00AF399C">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1"/>
        <w:gridCol w:w="5835"/>
      </w:tblGrid>
      <w:tr w:rsidR="009D008C" w:rsidTr="00AF399C">
        <w:tc>
          <w:tcPr>
            <w:tcW w:w="1781" w:type="dxa"/>
            <w:shd w:val="clear" w:color="auto" w:fill="auto"/>
          </w:tcPr>
          <w:p w:rsidR="009D008C" w:rsidRPr="009D008C" w:rsidRDefault="009D008C" w:rsidP="009D008C">
            <w:pPr>
              <w:pStyle w:val="LTAnfrageIni1"/>
            </w:pPr>
            <w:r w:rsidRPr="009D008C">
              <w:t>Abgeordnete</w:t>
            </w:r>
            <w:r w:rsidRPr="009D008C">
              <w:br/>
            </w:r>
            <w:r w:rsidRPr="009D008C">
              <w:rPr>
                <w:b/>
              </w:rPr>
              <w:t>Alexandra</w:t>
            </w:r>
            <w:r w:rsidRPr="009D008C">
              <w:rPr>
                <w:b/>
              </w:rPr>
              <w:br/>
              <w:t>Hiersemann</w:t>
            </w:r>
            <w:r w:rsidRPr="009D008C">
              <w:rPr>
                <w:b/>
              </w:rPr>
              <w:br/>
            </w:r>
            <w:r w:rsidRPr="009D008C">
              <w:t>(SPD)</w:t>
            </w:r>
            <w:r>
              <w:fldChar w:fldCharType="begin"/>
            </w:r>
            <w:r>
              <w:instrText xml:space="preserve"> XE </w:instrText>
            </w:r>
            <w:r w:rsidR="006321CE">
              <w:instrText>„</w:instrText>
            </w:r>
            <w:r>
              <w:instrText xml:space="preserve">Hiersemann, Alexandra (SPD):Landesamt für Asyl und Rückführungen - Vollzug von aufenthaltsrechtlichen Freiheitsentziehungen </w:instrText>
            </w:r>
            <w:r>
              <w:fldChar w:fldCharType="end"/>
            </w:r>
            <w:r>
              <w:fldChar w:fldCharType="begin"/>
            </w:r>
            <w:r>
              <w:instrText xml:space="preserve"> TC </w:instrText>
            </w:r>
            <w:r w:rsidR="006321CE">
              <w:instrText>„</w:instrText>
            </w:r>
            <w:r>
              <w:instrText>Hiersemann, Alexandra (SPD)</w:instrText>
            </w:r>
            <w:r>
              <w:br/>
              <w:instrText xml:space="preserve">Landesamt für Asyl und Rückführungen - Vollzug von aufenthaltsrechtlichen Freiheitsentziehungen </w:instrText>
            </w:r>
            <w:r w:rsidR="006321CE">
              <w:instrText>„</w:instrText>
            </w:r>
            <w:r>
              <w:instrText xml:space="preserve"> \l 2 </w:instrText>
            </w:r>
            <w:r>
              <w:fldChar w:fldCharType="end"/>
            </w:r>
          </w:p>
        </w:tc>
        <w:tc>
          <w:tcPr>
            <w:tcW w:w="5835" w:type="dxa"/>
            <w:shd w:val="clear" w:color="auto" w:fill="auto"/>
          </w:tcPr>
          <w:p w:rsidR="009D008C" w:rsidRDefault="009D008C" w:rsidP="009D008C">
            <w:pPr>
              <w:pStyle w:val="LTAnfrageText"/>
            </w:pPr>
            <w:r>
              <w:t xml:space="preserve">Im Hinblick auf den Vollzug des Art. 2a Ausführungsgesetz-Aufenthaltsgesetz (AGAufenthG) i. V. m. § 4 Abs. 2 Satz 1 Nr. 3 Zuständigkeitsverordnung Ausländerrecht (ZustVAuslR) frage ich die Staatsregierung, wo bzw. an/in welchen Einrichtungen in Bayern die weiteren speziellen Hafteinrichtungen nach Art. 2a Abs. 1 AGAufenthG bereits eingerichtet wurden/werden, um Zurückweisungshaft nach § 15 Aufenthaltsgesetz (AufenthG), Abschiebungshaft nach § 62 AufenthG und Ausreisegewahrsam nach § 62b AufenthG auch außerhalb der hierfür als spezielle Hafteinrichtungen bestimmten Justizvollzugsanstalten vollziehen zu können, an wie vielen Personen seit dem 01.08.2018 in diesen weiteren speziellen Hafteinrichtungen Zurückweisungshaft, Abschiebungshaft oder Ausreisegewahrsam vollzogen wurde und welcher Beauftragten nach Art. 2a Abs. 2 Satz 2 </w:t>
            </w:r>
            <w:r w:rsidR="000A14A8">
              <w:br/>
            </w:r>
            <w:r>
              <w:t>AGAufenthG sich das Landesamt für Asyl und Rückführungen zur Unterstützung des Vollzugs aufenthaltsrechtlicher Freiheitsentziehungen in den weiteren speziellen Hafteinrichtungen nach Art. 2a Abs. 1 AGAufenthG bedient?</w:t>
            </w:r>
          </w:p>
          <w:p w:rsidR="009D008C" w:rsidRDefault="009D008C" w:rsidP="009D008C">
            <w:pPr>
              <w:pStyle w:val="LTAnfrageText"/>
            </w:pPr>
          </w:p>
        </w:tc>
      </w:tr>
    </w:tbl>
    <w:p w:rsidR="009D008C" w:rsidRDefault="009D008C" w:rsidP="009D008C">
      <w:pPr>
        <w:pStyle w:val="LTUeberschrAntwortRessort"/>
      </w:pPr>
      <w:r>
        <w:t xml:space="preserve">Antwort des Staatsministeriums </w:t>
      </w:r>
      <w:r w:rsidR="009D771C">
        <w:t>des Innern</w:t>
      </w:r>
      <w:r>
        <w:t>, für Sport und Integration</w:t>
      </w:r>
    </w:p>
    <w:p w:rsidR="009D008C" w:rsidRDefault="009D008C" w:rsidP="009D008C">
      <w:pPr>
        <w:pStyle w:val="LTAntwortRessortText"/>
      </w:pPr>
      <w:r>
        <w:t xml:space="preserve">In Bayern wurde neben den speziellen Hafteinrichtungen im Sinne des § 62a </w:t>
      </w:r>
      <w:r w:rsidR="009A2080">
        <w:t>Aufenthaltsgesetzes (</w:t>
      </w:r>
      <w:r>
        <w:t>AufenthG</w:t>
      </w:r>
      <w:r w:rsidR="009A2080">
        <w:t>) (Justiz</w:t>
      </w:r>
      <w:r>
        <w:t xml:space="preserve">vollzugsanstalt Eichstätt </w:t>
      </w:r>
      <w:r w:rsidR="009A2080">
        <w:t>–</w:t>
      </w:r>
      <w:r>
        <w:t xml:space="preserve"> Einrichtung für Abschiebungshaft und Justizvollzugsanstalt Erding </w:t>
      </w:r>
      <w:r w:rsidR="009A2080">
        <w:t>–</w:t>
      </w:r>
      <w:r>
        <w:t xml:space="preserve"> Einrichtung für Abschiebungshaft) die Abschiebungshafteinrichtung am Flughafen München (AHE) als </w:t>
      </w:r>
      <w:r w:rsidR="006321CE">
        <w:t>„</w:t>
      </w:r>
      <w:r>
        <w:t>weitere spezielle Hafteinrichtung</w:t>
      </w:r>
      <w:r w:rsidR="006321CE">
        <w:t>“</w:t>
      </w:r>
      <w:r>
        <w:t xml:space="preserve"> im Sinne des Art. 2a </w:t>
      </w:r>
      <w:r w:rsidR="009A2080">
        <w:t>Ausführungsgesetz-Aufenthaltsgesetz (</w:t>
      </w:r>
      <w:r>
        <w:t>AGAufenthG</w:t>
      </w:r>
      <w:r w:rsidR="009A2080">
        <w:t>)</w:t>
      </w:r>
      <w:r>
        <w:t xml:space="preserve"> errichtet. Seit Inbetriebnahme Mitte September 2018 wurde die richterlich angeordnete Freiheitsentziehung von insgesamt 40 Personen in der AHE vollzogen. Das La</w:t>
      </w:r>
      <w:r w:rsidR="009A2080">
        <w:t>ndesamt für Asyl und Rückführun</w:t>
      </w:r>
      <w:r>
        <w:t>gen bedient sich dabei gemäß Art. 2a Abs. 2 Satz 2 AGAufenthG für die Bereiche Sicherung und medizinische Betreuung der Unterstützung beauftragter Dienstleister, die aber nicht mit hoheitlichen Befugnissen ausgestattet sind. Darüber hinaus leistet die Polizei Vollzugshilfe, da das Landesamt noch nicht über eigenes Vollzugspersonal verfügt.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0"/>
        <w:gridCol w:w="5856"/>
      </w:tblGrid>
      <w:tr w:rsidR="009D008C" w:rsidTr="009D008C">
        <w:tc>
          <w:tcPr>
            <w:tcW w:w="2050" w:type="dxa"/>
            <w:shd w:val="clear" w:color="auto" w:fill="auto"/>
          </w:tcPr>
          <w:p w:rsidR="009D008C" w:rsidRPr="009D008C" w:rsidRDefault="009D008C" w:rsidP="009D008C">
            <w:pPr>
              <w:pStyle w:val="LTAnfrageIni1"/>
            </w:pPr>
            <w:r w:rsidRPr="009D008C">
              <w:t>Abgeordneter</w:t>
            </w:r>
            <w:r w:rsidRPr="009D008C">
              <w:br/>
            </w:r>
            <w:r w:rsidRPr="009D008C">
              <w:rPr>
                <w:b/>
              </w:rPr>
              <w:t>Alexander</w:t>
            </w:r>
            <w:r w:rsidRPr="009D008C">
              <w:rPr>
                <w:b/>
              </w:rPr>
              <w:br/>
              <w:t>Muthmann</w:t>
            </w:r>
            <w:r w:rsidRPr="009D008C">
              <w:rPr>
                <w:b/>
              </w:rPr>
              <w:br/>
            </w:r>
            <w:r w:rsidRPr="009D008C">
              <w:t>(FDP)</w:t>
            </w:r>
            <w:r>
              <w:fldChar w:fldCharType="begin"/>
            </w:r>
            <w:r>
              <w:instrText xml:space="preserve"> XE </w:instrText>
            </w:r>
            <w:r w:rsidR="006321CE">
              <w:instrText>„</w:instrText>
            </w:r>
            <w:r>
              <w:instrText xml:space="preserve">Muthmann, Alexander (FDP):Trainingszentrum für Spezialeinheiten in Freyung </w:instrText>
            </w:r>
            <w:r>
              <w:fldChar w:fldCharType="end"/>
            </w:r>
            <w:r>
              <w:fldChar w:fldCharType="begin"/>
            </w:r>
            <w:r>
              <w:instrText xml:space="preserve"> TC </w:instrText>
            </w:r>
            <w:r w:rsidR="006321CE">
              <w:instrText>„</w:instrText>
            </w:r>
            <w:r>
              <w:instrText>Muthmann, Alexander (FDP)</w:instrText>
            </w:r>
            <w:r>
              <w:br/>
              <w:instrText xml:space="preserve">Trainingszentrum für Spezialeinheiten in Freyung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Nachdem die Staatsregierung bereits am 30.07.2016 beschlossen hat, dass in Freyung ein Trainingszentrum für alle Spezialeinheiten der Bayerischen Polizei errichtet werden soll, welches mittelfristig auch für die Ausbildung neuer Polizeianwärterinnen und -anwärter ausgebaut werden soll, frage ich die Staatsregierung, wie der gegenwärtige Planungsstand des Projekts Trainingszentrum/Ausbildungsstandort ist, in welchen weiteren Schritten die Realisierung des Projekts geplant ist (bitte unter Angabe des genauen künftigen Zeitplans) und welches Ressort innerhalb der Staatsregierung die Federführung bzw. Gesamtverantwortung für dieses Projekt hat?</w:t>
            </w:r>
          </w:p>
          <w:p w:rsidR="009D008C" w:rsidRDefault="009D008C" w:rsidP="009D008C">
            <w:pPr>
              <w:pStyle w:val="LTAnfrageText"/>
            </w:pPr>
          </w:p>
        </w:tc>
      </w:tr>
    </w:tbl>
    <w:p w:rsidR="009D008C" w:rsidRDefault="009D008C" w:rsidP="009D008C">
      <w:pPr>
        <w:pStyle w:val="LTUeberschrAntwortRessort"/>
      </w:pPr>
      <w:r>
        <w:t xml:space="preserve">Antwort des Staatsministeriums </w:t>
      </w:r>
      <w:r w:rsidR="009D771C">
        <w:t>des Innern</w:t>
      </w:r>
      <w:r>
        <w:t>, für Sport und Integration</w:t>
      </w:r>
    </w:p>
    <w:p w:rsidR="009D008C" w:rsidRDefault="009D008C" w:rsidP="009D008C">
      <w:pPr>
        <w:pStyle w:val="LTAntwortRessortText"/>
      </w:pPr>
      <w:r>
        <w:t>Am Standort Freyung wird ein Trainingszentrum für alle Spezialeinheiten der Bayerischen Polizei errichtet. In einem nächsten Schritt soll das Traini</w:t>
      </w:r>
      <w:r w:rsidR="006C0EBB">
        <w:t>ngszentrum um einen Ausbildungs</w:t>
      </w:r>
      <w:r>
        <w:t>standort der Bayerischen Bereitschaftspolizei für die Ausb</w:t>
      </w:r>
      <w:r w:rsidR="006C0EBB">
        <w:t>ildung von Anwärtern der Bayeri</w:t>
      </w:r>
      <w:r>
        <w:t xml:space="preserve">schen Polizei erweitert werden. Dieses Vorhaben ist ein Projekt der </w:t>
      </w:r>
      <w:r w:rsidR="006C0EBB">
        <w:t>Staatsregie</w:t>
      </w:r>
      <w:r>
        <w:t xml:space="preserve">rung, dessen Umsetzung nach dem Ressortprinzip unter Federführung des </w:t>
      </w:r>
      <w:r w:rsidR="006C0EBB">
        <w:t>Staatsministeriums des Innern, für Sport und Integration mit Unterstützung des Staatsministeriums für Wohnen, Bau und Verkehr</w:t>
      </w:r>
      <w:r>
        <w:t xml:space="preserve"> und der Immobilien Freistaat Bayern erfolgen wird.</w:t>
      </w:r>
    </w:p>
    <w:p w:rsidR="009D008C" w:rsidRDefault="009D008C" w:rsidP="009D008C">
      <w:pPr>
        <w:pStyle w:val="LTAntwortRessortText"/>
      </w:pPr>
      <w:r>
        <w:t>Zur Umsetzung der Planungen wurde ein Errichtungskonzept erarbeitet, wodurch der konkrete Grundstücksbedarf abgeleitet werden konnte.</w:t>
      </w:r>
    </w:p>
    <w:p w:rsidR="009D008C" w:rsidRDefault="009D008C" w:rsidP="009D008C">
      <w:pPr>
        <w:pStyle w:val="LTAntwortRessortText"/>
      </w:pPr>
      <w:r>
        <w:t>Derzeit laufen intensive Prüfungen zum Erwerb der benöt</w:t>
      </w:r>
      <w:r w:rsidR="006C0EBB">
        <w:t>igten Grundstücke. Im Nachtrags</w:t>
      </w:r>
      <w:r>
        <w:t>haushalt 2018 wurde ein Planungstitel für das Trainingszentrum Freyung vorgesehen (vgl. Kap.</w:t>
      </w:r>
      <w:r w:rsidR="009D771C">
        <w:t xml:space="preserve"> </w:t>
      </w:r>
      <w:r>
        <w:t>0320 Tit. 720 01). Der Grundstückserwerb ist entscheide</w:t>
      </w:r>
      <w:r w:rsidR="006C0EBB">
        <w:t>nd für die weitere zeitliche Ab</w:t>
      </w:r>
      <w:r>
        <w:t>folge der Realisierungsschritte. Das Projekt soll so rasch wie möglich verwirklicht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4"/>
        <w:gridCol w:w="5842"/>
      </w:tblGrid>
      <w:tr w:rsidR="009D008C" w:rsidTr="009D008C">
        <w:tc>
          <w:tcPr>
            <w:tcW w:w="2050" w:type="dxa"/>
            <w:shd w:val="clear" w:color="auto" w:fill="auto"/>
          </w:tcPr>
          <w:p w:rsidR="009D008C" w:rsidRPr="009D008C" w:rsidRDefault="009D008C" w:rsidP="009D008C">
            <w:pPr>
              <w:pStyle w:val="LTAnfrageIni1"/>
            </w:pPr>
            <w:r w:rsidRPr="009D008C">
              <w:t>Abgeordneter</w:t>
            </w:r>
            <w:r w:rsidRPr="009D008C">
              <w:br/>
            </w:r>
            <w:r w:rsidRPr="009D008C">
              <w:rPr>
                <w:b/>
              </w:rPr>
              <w:t>Florian</w:t>
            </w:r>
            <w:r w:rsidRPr="009D008C">
              <w:rPr>
                <w:b/>
              </w:rPr>
              <w:br/>
              <w:t>Ritter</w:t>
            </w:r>
            <w:r w:rsidRPr="009D008C">
              <w:rPr>
                <w:b/>
              </w:rPr>
              <w:br/>
            </w:r>
            <w:r w:rsidRPr="009D008C">
              <w:t>(SPD)</w:t>
            </w:r>
            <w:r>
              <w:fldChar w:fldCharType="begin"/>
            </w:r>
            <w:r>
              <w:instrText xml:space="preserve"> XE </w:instrText>
            </w:r>
            <w:r w:rsidR="006321CE">
              <w:instrText>„</w:instrText>
            </w:r>
            <w:r>
              <w:instrText xml:space="preserve">Ritter, Florian (SPD):Uniter e. V. </w:instrText>
            </w:r>
            <w:r>
              <w:fldChar w:fldCharType="end"/>
            </w:r>
            <w:r>
              <w:fldChar w:fldCharType="begin"/>
            </w:r>
            <w:r>
              <w:instrText xml:space="preserve"> TC </w:instrText>
            </w:r>
            <w:r w:rsidR="006321CE">
              <w:instrText>„</w:instrText>
            </w:r>
            <w:r>
              <w:instrText>Ritter, Florian (SPD)</w:instrText>
            </w:r>
            <w:r>
              <w:br/>
              <w:instrText xml:space="preserve">Uniter e. V.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Ich frage die Staatsregierung, waren oder sind</w:t>
            </w:r>
            <w:r w:rsidR="006321CE">
              <w:t xml:space="preserve"> </w:t>
            </w:r>
            <w:r>
              <w:t>Personen, die vom Landesamt für Verfassungsschutz</w:t>
            </w:r>
            <w:r w:rsidR="006321CE">
              <w:t xml:space="preserve"> </w:t>
            </w:r>
            <w:r>
              <w:t>beobachtet werden, Mitglied bei Uniter e. V., einem Verein für ehemalige Elitensoldaten und Personen aus Sicherheitsbehörden; wenn ja, wie viele und aus welchen</w:t>
            </w:r>
            <w:r w:rsidR="006321CE">
              <w:t xml:space="preserve"> </w:t>
            </w:r>
            <w:r>
              <w:t>Phänomenbereichen stammen sie?</w:t>
            </w:r>
          </w:p>
          <w:p w:rsidR="009D008C" w:rsidRDefault="009D008C" w:rsidP="009D008C">
            <w:pPr>
              <w:pStyle w:val="LTAnfrageText"/>
            </w:pPr>
          </w:p>
        </w:tc>
      </w:tr>
    </w:tbl>
    <w:p w:rsidR="009D008C" w:rsidRDefault="009D008C" w:rsidP="009D008C">
      <w:pPr>
        <w:pStyle w:val="LTUeberschrAntwortRessort"/>
      </w:pPr>
      <w:r>
        <w:t xml:space="preserve">Antwort des Staatsministeriums </w:t>
      </w:r>
      <w:r w:rsidR="009D771C">
        <w:t>des Innern</w:t>
      </w:r>
      <w:r>
        <w:t>, für Sport und Integration</w:t>
      </w:r>
    </w:p>
    <w:p w:rsidR="009D008C" w:rsidRDefault="009D008C" w:rsidP="009D008C">
      <w:pPr>
        <w:pStyle w:val="LTAntwortRessortText"/>
      </w:pPr>
      <w:r>
        <w:t>Der angefragte Sachverhalt ist Gegenstand von Ermittlungen des Generalbundesanwaltes. Von dort veranlasste Überprüfungen haben derzeit keine Erkenntnis</w:t>
      </w:r>
      <w:r w:rsidR="00087A79">
        <w:t>se über die Existenz extremisti</w:t>
      </w:r>
      <w:r>
        <w:t>scher Bestrebungen mit Bezügen nach Bayern ergeben.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1"/>
        <w:gridCol w:w="5815"/>
      </w:tblGrid>
      <w:tr w:rsidR="009D008C" w:rsidTr="009D008C">
        <w:tc>
          <w:tcPr>
            <w:tcW w:w="2050" w:type="dxa"/>
            <w:shd w:val="clear" w:color="auto" w:fill="auto"/>
          </w:tcPr>
          <w:p w:rsidR="009D008C" w:rsidRPr="009D008C" w:rsidRDefault="009D008C" w:rsidP="009D008C">
            <w:pPr>
              <w:pStyle w:val="LTAnfrageIni1"/>
            </w:pPr>
            <w:r w:rsidRPr="009D008C">
              <w:t>Abgeordneter</w:t>
            </w:r>
            <w:r w:rsidRPr="009D008C">
              <w:br/>
            </w:r>
            <w:r w:rsidRPr="009D008C">
              <w:rPr>
                <w:b/>
              </w:rPr>
              <w:t>Dr. Martin</w:t>
            </w:r>
            <w:r w:rsidRPr="009D008C">
              <w:rPr>
                <w:b/>
              </w:rPr>
              <w:br/>
              <w:t>Runge</w:t>
            </w:r>
            <w:r w:rsidRPr="009D008C">
              <w:rPr>
                <w:b/>
              </w:rPr>
              <w:br/>
            </w:r>
            <w:r w:rsidRPr="009D008C">
              <w:t>(BÜNDNIS 90/DIE GRÜNEN)</w:t>
            </w:r>
            <w:r>
              <w:fldChar w:fldCharType="begin"/>
            </w:r>
            <w:r>
              <w:instrText xml:space="preserve"> XE </w:instrText>
            </w:r>
            <w:r w:rsidR="006321CE">
              <w:instrText>„</w:instrText>
            </w:r>
            <w:r>
              <w:instrText xml:space="preserve">Runge, Dr., Martin (BÜNDNIS 90/DIE GRÜNEN):Antrag auf Kreisfreiheit der Stadt Neu-Ulm </w:instrText>
            </w:r>
            <w:r>
              <w:fldChar w:fldCharType="end"/>
            </w:r>
            <w:r>
              <w:fldChar w:fldCharType="begin"/>
            </w:r>
            <w:r>
              <w:instrText xml:space="preserve"> TC </w:instrText>
            </w:r>
            <w:r w:rsidR="006321CE">
              <w:instrText>„</w:instrText>
            </w:r>
            <w:r>
              <w:instrText>Dr. Runge, Martin (BÜNDNIS 90/DIE GRÜNEN)</w:instrText>
            </w:r>
            <w:r>
              <w:br/>
              <w:instrText xml:space="preserve">Antrag auf Kreisfreiheit der Stadt Neu-Ulm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Ich frage die Staatsregierung, wie ist der aktuelle Sachstand bezüglich des Antrags auf Kreisfreiheit der Stadt Neu-Ulm, wie sieht der Zeitplan zur Bearbeitung der weiteren Schritte des Antrags aus und welche Position hat die Staatsregierung zum Antrag der Stadt Neu-Ulm?</w:t>
            </w:r>
          </w:p>
          <w:p w:rsidR="009D008C" w:rsidRDefault="009D008C" w:rsidP="009D008C">
            <w:pPr>
              <w:pStyle w:val="LTAnfrageText"/>
            </w:pPr>
          </w:p>
        </w:tc>
      </w:tr>
    </w:tbl>
    <w:p w:rsidR="009D008C" w:rsidRDefault="009D008C" w:rsidP="009D008C">
      <w:pPr>
        <w:pStyle w:val="LTUeberschrAntwortRessort"/>
      </w:pPr>
      <w:r>
        <w:t xml:space="preserve">Antwort des Staatsministeriums </w:t>
      </w:r>
      <w:r w:rsidR="009D771C">
        <w:t>des Innern</w:t>
      </w:r>
      <w:r>
        <w:t>, für Sport und Integration</w:t>
      </w:r>
    </w:p>
    <w:p w:rsidR="009D008C" w:rsidRDefault="009D008C" w:rsidP="009D008C">
      <w:pPr>
        <w:pStyle w:val="LTAntwortRessortText"/>
      </w:pPr>
      <w:r>
        <w:t xml:space="preserve">Der Stadtrat der Großen Kreisstadt Neu-Ulm hat am 21.03.2018 beschlossen, die Kreisfreiheit gemäß Art. 5 Abs. 3 Gemeindeordnung </w:t>
      </w:r>
      <w:r w:rsidR="00087A79">
        <w:t xml:space="preserve">(GO) </w:t>
      </w:r>
      <w:r>
        <w:t>zu beantragen. Der Antrag ist am 23.03.2018 beim damaligen Staatsministerium des Innern und für Integration eingegangen. Das Staatsmin</w:t>
      </w:r>
      <w:r w:rsidR="00087A79">
        <w:t>isteri</w:t>
      </w:r>
      <w:r>
        <w:t>um des Innern, für Sport und Integration führt derzeit mit Unterstützung der Regierung von Schwaben das vorbereitende Verfahren durch.</w:t>
      </w:r>
    </w:p>
    <w:p w:rsidR="009D008C" w:rsidRDefault="009D008C" w:rsidP="009D008C">
      <w:pPr>
        <w:pStyle w:val="LTAntwortRessortText"/>
      </w:pPr>
      <w:r>
        <w:t>Die Regierung von Schwaben hat der Stadt Neu-Ulm zuletzt</w:t>
      </w:r>
      <w:r w:rsidR="00087A79">
        <w:t xml:space="preserve"> die Stellungnahme des Landkrei</w:t>
      </w:r>
      <w:r>
        <w:t xml:space="preserve">ses, der gemäß Art. 5 Abs. 3 </w:t>
      </w:r>
      <w:r w:rsidR="00087A79">
        <w:t>GO</w:t>
      </w:r>
      <w:r>
        <w:t xml:space="preserve"> anzuhören ist, zugeleitet. Der Kreistag des Landkreises Neu-Ulm hat in der Sitzung am 19.10.2018 im Rahmen der Anhörung durch die Regierung eine Stellungnahme verabschiedet und zudem beschlossen, die zuständigen Stellen sowie den Landtag zu bitten, den Antrag der Sta</w:t>
      </w:r>
      <w:r w:rsidR="00087A79">
        <w:t>dt Neu-Ulm auf Kreisfreiheit ab</w:t>
      </w:r>
      <w:r>
        <w:t>zulehnen. Die Regierung hat in ihrem Schreiben vom 14.11.2018 darauf hingewiesen, dass es eine wesentliche Voraussetzung für die Erklärung der Kreisfreiheit sei, dass die Stadt d</w:t>
      </w:r>
      <w:r w:rsidR="00087A79">
        <w:t>ie prak</w:t>
      </w:r>
      <w:r>
        <w:t>tische Bewältigung der neu auf sie zukommenden Aufgaben sicherstellt. Es liege nun bei der Stadt Neu-Ulm, hierzu auch in Verhandlungen mit dem Landkreis Neu-Ulm über konkrete Umorganisationsmaßnahmen und deren Modalitäten einzutreten. Die Stadt wurde gebeten, die Regierung über den Fortgang der Entwicklung ab Beginn d</w:t>
      </w:r>
      <w:r w:rsidR="00087A79">
        <w:t>es Jahres 2019 regelmäßig zu in</w:t>
      </w:r>
      <w:r>
        <w:t>formieren.</w:t>
      </w:r>
    </w:p>
    <w:p w:rsidR="009D008C" w:rsidRDefault="009D008C" w:rsidP="009D008C">
      <w:pPr>
        <w:pStyle w:val="LTAntwortRessortText"/>
      </w:pPr>
      <w:r>
        <w:t>Da es seit der Gebietsreform keinen Fall einer Erklärung zur kreisfreien Gemeinde gegeben hat, kann auf Erfahrungswerte nicht zurückgegriffen werden. Der Zeitplan für das Verfahren auf Erklärung der Kreisfreiheit wird maßgeblich davon ab</w:t>
      </w:r>
      <w:r w:rsidR="00087A79">
        <w:t>hängen, wann und mit welchem Er</w:t>
      </w:r>
      <w:r>
        <w:t>gebnis die beteiligten Gebietskörperschaften ihre Verhandlunge</w:t>
      </w:r>
      <w:r w:rsidR="00087A79">
        <w:t>n über die bilateral zu treffen</w:t>
      </w:r>
      <w:r>
        <w:t>den Übereinkünfte betreffend ihre vermögensrechtlichen Verhältnisse abschließen. Der Staat</w:t>
      </w:r>
      <w:r w:rsidR="00087A79">
        <w:t xml:space="preserve"> </w:t>
      </w:r>
      <w:r>
        <w:t xml:space="preserve">hat darauf keinen Einfluss. Im Hinblick auf die Vielzahl der </w:t>
      </w:r>
      <w:r w:rsidR="00087A79">
        <w:t>zwischen den Gebietskörperschaf</w:t>
      </w:r>
      <w:r>
        <w:t>ten noch bilateral zu regelnden Fragen und des damit verbundenen Konfliktpotentials ist aktuell eine Prognose über einen Zeitplan nicht seriös möglich.</w:t>
      </w:r>
    </w:p>
    <w:p w:rsidR="009D008C" w:rsidRDefault="009D008C" w:rsidP="009D008C">
      <w:pPr>
        <w:pStyle w:val="LTAntwortRessortText"/>
      </w:pPr>
      <w:r>
        <w:t>Die Staatsregierung wird den Antrag auf Erklärung der Kreisfreiheit am Maßstab der in der Gemeindeordnung geregelten Voraussetzungen objektiv und ergebnisoffen prüfen.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1"/>
        <w:gridCol w:w="5805"/>
      </w:tblGrid>
      <w:tr w:rsidR="009D008C" w:rsidTr="009D008C">
        <w:tc>
          <w:tcPr>
            <w:tcW w:w="2050" w:type="dxa"/>
            <w:shd w:val="clear" w:color="auto" w:fill="auto"/>
          </w:tcPr>
          <w:p w:rsidR="009D008C" w:rsidRPr="009D008C" w:rsidRDefault="009D008C" w:rsidP="009D008C">
            <w:pPr>
              <w:pStyle w:val="LTAnfrageIni1"/>
            </w:pPr>
            <w:r w:rsidRPr="009D008C">
              <w:t>Abgeordnete</w:t>
            </w:r>
            <w:r w:rsidRPr="009D008C">
              <w:br/>
            </w:r>
            <w:r w:rsidRPr="009D008C">
              <w:rPr>
                <w:b/>
              </w:rPr>
              <w:t>Katharina</w:t>
            </w:r>
            <w:r w:rsidRPr="009D008C">
              <w:rPr>
                <w:b/>
              </w:rPr>
              <w:br/>
              <w:t>Schulze</w:t>
            </w:r>
            <w:r w:rsidRPr="009D008C">
              <w:rPr>
                <w:b/>
              </w:rPr>
              <w:br/>
            </w:r>
            <w:r w:rsidRPr="009D008C">
              <w:t>(BÜNDNIS 90/DIE GRÜNEN)</w:t>
            </w:r>
            <w:r>
              <w:fldChar w:fldCharType="begin"/>
            </w:r>
            <w:r>
              <w:instrText xml:space="preserve"> XE </w:instrText>
            </w:r>
            <w:r w:rsidR="006321CE">
              <w:instrText>„</w:instrText>
            </w:r>
            <w:r>
              <w:instrText xml:space="preserve">Schulze, Katharina (BÜNDNIS 90/DIE GRÜNEN):Internationale Razzia gegen Mitglieder der 'Ndrangheta in Bayern </w:instrText>
            </w:r>
            <w:r>
              <w:fldChar w:fldCharType="end"/>
            </w:r>
            <w:r>
              <w:fldChar w:fldCharType="begin"/>
            </w:r>
            <w:r>
              <w:instrText xml:space="preserve"> TC </w:instrText>
            </w:r>
            <w:r w:rsidR="006321CE">
              <w:instrText>„</w:instrText>
            </w:r>
            <w:r>
              <w:instrText>Schulze, Katharina (BÜNDNIS 90/DIE GRÜNEN)</w:instrText>
            </w:r>
            <w:r>
              <w:br/>
              <w:instrText xml:space="preserve">Internationale Razzia gegen Mitglieder der 'Ndrangheta in Bayern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 xml:space="preserve">Vor dem Hintergrund der in der vergangenen Woche europaweit durch internationale Sicherheitsbehörden erfolgreich durchgeführten Razzien gegen die Mafia in der Aktion </w:t>
            </w:r>
            <w:r w:rsidR="006321CE">
              <w:t>„</w:t>
            </w:r>
            <w:r>
              <w:t>Pollino</w:t>
            </w:r>
            <w:r w:rsidR="006321CE">
              <w:t>“</w:t>
            </w:r>
            <w:r>
              <w:t>, bei der laut Ermittlern auch in Bayern zwei Objekte von mutmaßlichen Mafia-Angehörigen durchsucht worden sind, frage ich die Staatsregierung, welche Ziele in Bayern durch welche sicherheitsbehördlichen Einheiten mit welchem Ergebnis (bitte aufgeschlüsselt nach Art und Anzahl der eingeleiteten Ermittlungsverfahren sowie Gegenständen der Beschlagnahme) durchsucht worden sind?</w:t>
            </w:r>
          </w:p>
          <w:p w:rsidR="009D008C" w:rsidRDefault="009D008C" w:rsidP="009D008C">
            <w:pPr>
              <w:pStyle w:val="LTAnfrageText"/>
            </w:pPr>
          </w:p>
        </w:tc>
      </w:tr>
    </w:tbl>
    <w:p w:rsidR="009D008C" w:rsidRDefault="009D008C" w:rsidP="009D008C">
      <w:pPr>
        <w:pStyle w:val="LTUeberschrAntwortRessort"/>
      </w:pPr>
      <w:r>
        <w:t xml:space="preserve">Antwort des Staatsministeriums </w:t>
      </w:r>
      <w:r w:rsidR="009D771C">
        <w:t>des Innern</w:t>
      </w:r>
      <w:r>
        <w:t>, für Sport und Integration</w:t>
      </w:r>
    </w:p>
    <w:p w:rsidR="009D008C" w:rsidRDefault="009D008C" w:rsidP="009D008C">
      <w:pPr>
        <w:pStyle w:val="LTAntwortRessortText"/>
      </w:pPr>
      <w:r>
        <w:t>Das Bundeskriminalamt (BKA) ging am 05.12.2018 bundes</w:t>
      </w:r>
      <w:r w:rsidR="00087A79">
        <w:t>weit mit Festnahmen und Durchsu</w:t>
      </w:r>
      <w:r>
        <w:t>chungsmaßnahmen gegen mutmaßliche Angehörige der italien</w:t>
      </w:r>
      <w:r w:rsidR="009D771C">
        <w:t xml:space="preserve">ischen kriminellen Gruppierung </w:t>
      </w:r>
      <w:r w:rsidR="009D771C">
        <w:rPr>
          <w:rFonts w:cs="Arial"/>
        </w:rPr>
        <w:t>’</w:t>
      </w:r>
      <w:r>
        <w:t>Ndrangheta wegen des Vorwurfs des bandenmäßigen Handels mit Betäubungsmitteln, der Geldwäsche sowie wegen Mitgliedschaft in einer ausländischen kriminellen Vereinigung vor. Die Operation war Teil eines internationalen polizeilichen Gro</w:t>
      </w:r>
      <w:r w:rsidR="00087A79">
        <w:t>ßeinsatzes, der von der europäi</w:t>
      </w:r>
      <w:r>
        <w:t>schen Justizbehörde Eurojust koordiniert wurde.</w:t>
      </w:r>
    </w:p>
    <w:p w:rsidR="009D008C" w:rsidRDefault="009D008C" w:rsidP="009D008C">
      <w:pPr>
        <w:pStyle w:val="LTAntwortRessortText"/>
      </w:pPr>
      <w:r>
        <w:t>Unter der Sachleitung des BKA waren in Bayern kriminalpol</w:t>
      </w:r>
      <w:r w:rsidR="00087A79">
        <w:t>izeiliche Fachkräfte des Bayeri</w:t>
      </w:r>
      <w:r>
        <w:t>schen Landeskriminalamts und des Polizeipräsidiums München sowie weitere Unterstützun</w:t>
      </w:r>
      <w:r w:rsidR="00087A79">
        <w:t>gs</w:t>
      </w:r>
      <w:r>
        <w:t>kräfte des Polizeipräsidium</w:t>
      </w:r>
      <w:r w:rsidR="00087A79">
        <w:t xml:space="preserve">s München im Wege der Amtshilfe bzw. </w:t>
      </w:r>
      <w:r>
        <w:t>Vollzugshilfe beteiligt. Im Münchner Osten wurden drei Objekte (eine Wohnung, ein Restaurant und ein Lagerraum) durchsucht.</w:t>
      </w:r>
    </w:p>
    <w:p w:rsidR="009D008C" w:rsidRDefault="009D008C" w:rsidP="009D008C">
      <w:pPr>
        <w:pStyle w:val="LTAntwortRessortText"/>
      </w:pPr>
      <w:r>
        <w:t xml:space="preserve">Vom BKA wurden Datenträger sichergestellt, deren Auswertung dort noch </w:t>
      </w:r>
      <w:r w:rsidR="00087A79">
        <w:t>andauert; Festnah</w:t>
      </w:r>
      <w:r>
        <w:t>men wurden nach hiesiger Kenntnis in Bayern nicht durch</w:t>
      </w:r>
      <w:r w:rsidR="00087A79">
        <w:t>geführt. Mangels eigener Ermitt</w:t>
      </w:r>
      <w:r>
        <w:t>lungshoheit bayerischer Polizeibehörden können zu dem Ver</w:t>
      </w:r>
      <w:r w:rsidR="00087A79">
        <w:t>fahrenskomplex von hier aus kei</w:t>
      </w:r>
      <w:r>
        <w:t>ne weiteren Auskünfte erteilt werden.</w:t>
      </w:r>
    </w:p>
    <w:p w:rsidR="009D771C" w:rsidRDefault="009D771C">
      <w:pPr>
        <w:rPr>
          <w:rFonts w:cs="Arial"/>
          <w:b/>
          <w:sz w:val="22"/>
          <w:szCs w:val="22"/>
        </w:rPr>
      </w:pPr>
      <w:r>
        <w:br w:type="page"/>
      </w:r>
    </w:p>
    <w:p w:rsidR="009D008C" w:rsidRDefault="009D008C" w:rsidP="009D008C">
      <w:pPr>
        <w:pStyle w:val="LTUeberschrRessort"/>
      </w:pPr>
      <w:r>
        <w:t>Geschäftsbereich des Staatsministeriums für Wohnen, Bau und Verkehr</w:t>
      </w:r>
      <w:r>
        <w:fldChar w:fldCharType="begin"/>
      </w:r>
      <w:r>
        <w:instrText xml:space="preserve"> TC </w:instrText>
      </w:r>
      <w:r w:rsidR="006321CE">
        <w:instrText>„</w:instrText>
      </w:r>
      <w:r>
        <w:instrText>Geschäftsbereich des Staatsministeriums für Wohnen, Bau und Verkehr</w:instrText>
      </w:r>
      <w:r w:rsidR="006321CE">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5845"/>
      </w:tblGrid>
      <w:tr w:rsidR="009D008C" w:rsidTr="009D008C">
        <w:tc>
          <w:tcPr>
            <w:tcW w:w="2050" w:type="dxa"/>
            <w:shd w:val="clear" w:color="auto" w:fill="auto"/>
          </w:tcPr>
          <w:p w:rsidR="009D008C" w:rsidRPr="009D008C" w:rsidRDefault="009D008C" w:rsidP="009D008C">
            <w:pPr>
              <w:pStyle w:val="LTAnfrageIni1"/>
            </w:pPr>
            <w:r w:rsidRPr="009D008C">
              <w:t>Abgeordneter</w:t>
            </w:r>
            <w:r w:rsidRPr="009D008C">
              <w:br/>
            </w:r>
            <w:r w:rsidRPr="009D008C">
              <w:rPr>
                <w:b/>
              </w:rPr>
              <w:t>Klaus</w:t>
            </w:r>
            <w:r w:rsidRPr="009D008C">
              <w:rPr>
                <w:b/>
              </w:rPr>
              <w:br/>
              <w:t>Adelt</w:t>
            </w:r>
            <w:r w:rsidRPr="009D008C">
              <w:rPr>
                <w:b/>
              </w:rPr>
              <w:br/>
            </w:r>
            <w:r w:rsidRPr="009D008C">
              <w:t>(SPD)</w:t>
            </w:r>
            <w:r>
              <w:fldChar w:fldCharType="begin"/>
            </w:r>
            <w:r>
              <w:instrText xml:space="preserve"> XE </w:instrText>
            </w:r>
            <w:r w:rsidR="006321CE">
              <w:instrText>„</w:instrText>
            </w:r>
            <w:r>
              <w:instrText xml:space="preserve">Adelt, Klaus (SPD):Verzögerungen beim Ausbau der Bahnstrecke Hof - Regensburg </w:instrText>
            </w:r>
            <w:r>
              <w:fldChar w:fldCharType="end"/>
            </w:r>
            <w:r>
              <w:fldChar w:fldCharType="begin"/>
            </w:r>
            <w:r>
              <w:instrText xml:space="preserve"> TC </w:instrText>
            </w:r>
            <w:r w:rsidR="006321CE">
              <w:instrText>„</w:instrText>
            </w:r>
            <w:r>
              <w:instrText>Adelt, Klaus (SPD)</w:instrText>
            </w:r>
            <w:r>
              <w:br/>
              <w:instrText xml:space="preserve">Verzögerungen beim Ausbau der Bahnstrecke Hof - Regensburg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Ich frage die Staatsregierung, stimmt es, dass aufgrund der durch einen Ministererlass notwendig gewordenen Lärmschutzmaßnahmen die vollständige Elektrifizierung der Strecke Hof - Regensburg um weitere zwei Jahre bis 2037 verzögert wird, aus welchen konkreten Gründen kommt es dadurch zu einer Verzögerung und welche Maßnahmen gedenkt die Staatsregierung einzuleiten, um Verzögerungen zu verhindern?</w:t>
            </w:r>
          </w:p>
          <w:p w:rsidR="009D008C" w:rsidRDefault="009D008C" w:rsidP="009D008C">
            <w:pPr>
              <w:pStyle w:val="LTAnfrageText"/>
            </w:pPr>
          </w:p>
        </w:tc>
      </w:tr>
    </w:tbl>
    <w:p w:rsidR="009D008C" w:rsidRDefault="009D008C" w:rsidP="00AF399C">
      <w:pPr>
        <w:pStyle w:val="LTUeberschrAntwortRessort"/>
        <w:spacing w:before="960"/>
      </w:pPr>
      <w:r>
        <w:t>Antwort des Staatsministeriums für Wohnen, Bau und Verkehr</w:t>
      </w:r>
    </w:p>
    <w:p w:rsidR="009D008C" w:rsidRDefault="009D008C" w:rsidP="00AF399C">
      <w:pPr>
        <w:pStyle w:val="LTAntwortRessortText"/>
        <w:spacing w:before="360"/>
      </w:pPr>
      <w:r>
        <w:t xml:space="preserve">Der Ausbau der Bahnstrecke Hof </w:t>
      </w:r>
      <w:r w:rsidR="00170290">
        <w:t>–</w:t>
      </w:r>
      <w:r>
        <w:t xml:space="preserve"> Regensburg (</w:t>
      </w:r>
      <w:r w:rsidR="00170290">
        <w:t>–</w:t>
      </w:r>
      <w:r>
        <w:t xml:space="preserve"> Obertraubli</w:t>
      </w:r>
      <w:r w:rsidR="00170290">
        <w:t>ng) ist ein Schieneninfrastruk</w:t>
      </w:r>
      <w:r>
        <w:t xml:space="preserve">turprojekt, das die </w:t>
      </w:r>
      <w:r w:rsidR="00170290">
        <w:t>Deutsche Bahn (</w:t>
      </w:r>
      <w:r>
        <w:t>DB</w:t>
      </w:r>
      <w:r w:rsidR="00170290">
        <w:t>)</w:t>
      </w:r>
      <w:r>
        <w:t xml:space="preserve"> Netz AG im Auftrag des Bundes umse</w:t>
      </w:r>
      <w:r w:rsidR="00170290">
        <w:t>tzt und das sich im Vordringli</w:t>
      </w:r>
      <w:r>
        <w:t>chen Bedarf des Bedarfsplans Schiene zum Bundesschienenwegeausbaugesetz befindet.</w:t>
      </w:r>
    </w:p>
    <w:p w:rsidR="009D008C" w:rsidRDefault="009D008C" w:rsidP="00AF399C">
      <w:pPr>
        <w:pStyle w:val="LTAntwortRessortText"/>
        <w:spacing w:before="360"/>
      </w:pPr>
      <w:r>
        <w:t xml:space="preserve">Die Entscheidung des damaligen </w:t>
      </w:r>
      <w:r w:rsidR="00170290">
        <w:t>B</w:t>
      </w:r>
      <w:r w:rsidR="00170290">
        <w:rPr>
          <w:rStyle w:val="st"/>
        </w:rPr>
        <w:t>undesministers für Verkehr und digitale Infrastruktur</w:t>
      </w:r>
      <w:r w:rsidR="00170290">
        <w:t xml:space="preserve"> Alexander </w:t>
      </w:r>
      <w:r>
        <w:t>D</w:t>
      </w:r>
      <w:r w:rsidR="00170290">
        <w:t>obrindt im Juli 2017, den Lärm</w:t>
      </w:r>
      <w:r>
        <w:t>schutz bei diesem Streckenausbau wie bei einem Neubau zu di</w:t>
      </w:r>
      <w:r w:rsidR="00170290">
        <w:t>mensionieren, hat für den Stre</w:t>
      </w:r>
      <w:r>
        <w:t xml:space="preserve">ckenabschnitt Hof </w:t>
      </w:r>
      <w:r w:rsidR="00170290">
        <w:t xml:space="preserve">– </w:t>
      </w:r>
      <w:r>
        <w:t>Marktredwitz eine grundlegende Überarbei</w:t>
      </w:r>
      <w:r w:rsidR="00170290">
        <w:t>tung der damals bereits fortge</w:t>
      </w:r>
      <w:r>
        <w:t>schrittene</w:t>
      </w:r>
      <w:r w:rsidR="009D771C">
        <w:t>n</w:t>
      </w:r>
      <w:r>
        <w:t xml:space="preserve"> Planungen ausgelöst.</w:t>
      </w:r>
    </w:p>
    <w:p w:rsidR="009D008C" w:rsidRDefault="009D008C" w:rsidP="00AF399C">
      <w:pPr>
        <w:pStyle w:val="LTAntwortRessortText"/>
        <w:spacing w:before="360"/>
      </w:pPr>
      <w:r>
        <w:t xml:space="preserve">Für den Zeitplan der Elektrifizierung zwischen Marktredwitz und Regensburg ergeben sich durch die Ministerentscheidung keine Verzögerungen, da die DB </w:t>
      </w:r>
      <w:r w:rsidR="00170290">
        <w:t xml:space="preserve">AG </w:t>
      </w:r>
      <w:r>
        <w:t>mit den Planungen erst im Jahr 2018 begonnen hat und von vorneherein dabei eine Lä</w:t>
      </w:r>
      <w:r w:rsidR="00170290">
        <w:t>rmvorsorge wie bei Streckenneu</w:t>
      </w:r>
      <w:r>
        <w:t>bauten zugrunde gelegt wird.</w:t>
      </w:r>
    </w:p>
    <w:p w:rsidR="009D008C" w:rsidRDefault="009D008C" w:rsidP="00AF399C">
      <w:pPr>
        <w:pStyle w:val="LTAntwortRessortText"/>
        <w:spacing w:before="360"/>
      </w:pPr>
      <w:r>
        <w:t xml:space="preserve">Der Staatsregierung ist keine offizielle Inbetriebnahme-Prognose der DB </w:t>
      </w:r>
      <w:r w:rsidR="00170290">
        <w:t>AG bekannt. Vor Erlan</w:t>
      </w:r>
      <w:r>
        <w:t>gung des Baurechts ist eine solche Prognose auch nicht seriös. Die Staatsregierung ist jedoch zuversichtlich, dass durch den umfassenderen Lärmschutz d</w:t>
      </w:r>
      <w:r w:rsidR="00170290">
        <w:t xml:space="preserve">ie Wahrscheinlichkeit von Klagen </w:t>
      </w:r>
      <w:r>
        <w:t xml:space="preserve">gegen den Ausbau und damit von Verzögerungen reduziert werden kann. Zusätzlich hat die Staatregierung mit ihrer Zustimmung im Bundesrat zum Gesetzesentwurf zur </w:t>
      </w:r>
      <w:r w:rsidR="006321CE">
        <w:t>„</w:t>
      </w:r>
      <w:r>
        <w:t>Beschleunigung von Planungs- und Genehmigungsverfahren im Verkehrsbereich</w:t>
      </w:r>
      <w:r w:rsidR="006321CE">
        <w:t>“</w:t>
      </w:r>
      <w:r w:rsidR="00170290">
        <w:t xml:space="preserve"> ein weiteres Instrument un</w:t>
      </w:r>
      <w:r>
        <w:t>terstützt, das sich auch positiv auf den Zeitplan zur Umsetzung dieses Eisenbahn-Großprojekts auswirken sollte.</w:t>
      </w:r>
    </w:p>
    <w:p w:rsidR="00AF399C" w:rsidRDefault="00AF399C">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0"/>
        <w:gridCol w:w="5856"/>
      </w:tblGrid>
      <w:tr w:rsidR="009D008C" w:rsidTr="00AF399C">
        <w:tc>
          <w:tcPr>
            <w:tcW w:w="1760" w:type="dxa"/>
            <w:shd w:val="clear" w:color="auto" w:fill="auto"/>
          </w:tcPr>
          <w:p w:rsidR="009D008C" w:rsidRPr="009D008C" w:rsidRDefault="009D008C" w:rsidP="009D008C">
            <w:pPr>
              <w:pStyle w:val="LTAnfrageIni1"/>
            </w:pPr>
            <w:r w:rsidRPr="009D008C">
              <w:t>Abgeordneter</w:t>
            </w:r>
            <w:r w:rsidRPr="009D008C">
              <w:br/>
            </w:r>
            <w:r w:rsidRPr="009D008C">
              <w:rPr>
                <w:b/>
              </w:rPr>
              <w:t>Volkmar</w:t>
            </w:r>
            <w:r w:rsidRPr="009D008C">
              <w:rPr>
                <w:b/>
              </w:rPr>
              <w:br/>
              <w:t>Halbleib</w:t>
            </w:r>
            <w:r w:rsidRPr="009D008C">
              <w:rPr>
                <w:b/>
              </w:rPr>
              <w:br/>
            </w:r>
            <w:r w:rsidRPr="009D008C">
              <w:t>(SPD)</w:t>
            </w:r>
            <w:r>
              <w:fldChar w:fldCharType="begin"/>
            </w:r>
            <w:r>
              <w:instrText xml:space="preserve"> XE </w:instrText>
            </w:r>
            <w:r w:rsidR="006321CE">
              <w:instrText>„</w:instrText>
            </w:r>
            <w:r>
              <w:instrText xml:space="preserve">Halbleib, Volkmar (SPD):Grundstückskauf für die Uniklinik Würzburg </w:instrText>
            </w:r>
            <w:r>
              <w:fldChar w:fldCharType="end"/>
            </w:r>
            <w:r>
              <w:fldChar w:fldCharType="begin"/>
            </w:r>
            <w:r>
              <w:instrText xml:space="preserve"> TC </w:instrText>
            </w:r>
            <w:r w:rsidR="006321CE">
              <w:instrText>„</w:instrText>
            </w:r>
            <w:r>
              <w:instrText>Halbleib, Volkmar (SPD)</w:instrText>
            </w:r>
            <w:r>
              <w:br/>
              <w:instrText xml:space="preserve">Grundstückskauf für die Uniklinik Würzburg </w:instrText>
            </w:r>
            <w:r w:rsidR="006321CE">
              <w:instrText>„</w:instrText>
            </w:r>
            <w:r>
              <w:instrText xml:space="preserve"> \l 2 </w:instrText>
            </w:r>
            <w:r>
              <w:fldChar w:fldCharType="end"/>
            </w:r>
          </w:p>
        </w:tc>
        <w:tc>
          <w:tcPr>
            <w:tcW w:w="5856" w:type="dxa"/>
            <w:shd w:val="clear" w:color="auto" w:fill="auto"/>
          </w:tcPr>
          <w:p w:rsidR="009D008C" w:rsidRDefault="009D008C" w:rsidP="009D008C">
            <w:pPr>
              <w:pStyle w:val="LTAnfrageText"/>
            </w:pPr>
            <w:r>
              <w:t xml:space="preserve">Im Hinblick auf die Berichtserstattung der </w:t>
            </w:r>
            <w:r w:rsidR="006321CE">
              <w:t>„</w:t>
            </w:r>
            <w:r>
              <w:t xml:space="preserve">Main-Post </w:t>
            </w:r>
            <w:r w:rsidR="006321CE">
              <w:t>„</w:t>
            </w:r>
            <w:r>
              <w:t xml:space="preserve">vom 12.09.2017 </w:t>
            </w:r>
            <w:r w:rsidR="006321CE">
              <w:t>„</w:t>
            </w:r>
            <w:r>
              <w:t>Freistaat kauft 22 Hektar für Uniklinik</w:t>
            </w:r>
            <w:r w:rsidR="006321CE">
              <w:t>“</w:t>
            </w:r>
            <w:r>
              <w:t xml:space="preserve"> (Online-Ausgabe), wonach der Freistaat Bayern für das Uniklinikum Würzburg 22 Hektar zwischen Klinikgelände und Rotkreuzhof in Würzburg von der Stiftung Juliusspital kauft, um auf dem Grundstück die neue Kopfklinik, das Frauen- Mutter-Kind-Zentrum und eine neue Energiezentrale mit einem Finanzvolumen von ca. 750 Mio. Euro zu errichten, frage ich die Staatsregierung, wie der Sachstand beim Grundstückskauf ist, von welchem Zeitplan sie derzeit bei der Umsetzung der Projekte ausgeht und was geplant ist, um die Realisierung im Entwurf des kommenden Doppelhaushalts 2019/2020 haushaltspolitisch abzusichern?</w:t>
            </w:r>
          </w:p>
          <w:p w:rsidR="009D008C" w:rsidRDefault="009D008C" w:rsidP="009D008C">
            <w:pPr>
              <w:pStyle w:val="LTAnfrageText"/>
            </w:pPr>
          </w:p>
        </w:tc>
      </w:tr>
    </w:tbl>
    <w:p w:rsidR="009D008C" w:rsidRDefault="009D008C" w:rsidP="009D008C">
      <w:pPr>
        <w:pStyle w:val="LTUeberschrAntwortRessort"/>
      </w:pPr>
      <w:r>
        <w:t>Antwort des Staatsministeriums für Wohnen, Bau und Verkehr</w:t>
      </w:r>
    </w:p>
    <w:p w:rsidR="009D008C" w:rsidRDefault="009D008C" w:rsidP="009D008C">
      <w:pPr>
        <w:pStyle w:val="LTAntwortRessortText"/>
      </w:pPr>
      <w:r>
        <w:t>Derzeit laufen Grundstücksverhandlungen mit dem Juliusspita</w:t>
      </w:r>
      <w:r w:rsidR="00610976">
        <w:t>l. Das Ergebnis bleibt abzuwar</w:t>
      </w:r>
      <w:r>
        <w:t xml:space="preserve">ten. Die Staatsregierung </w:t>
      </w:r>
      <w:r w:rsidR="00610976">
        <w:t>kann, sofern die Interessenten-, Bieter- bzw. Vertragspartei dies nicht aus</w:t>
      </w:r>
      <w:r>
        <w:t>drücklich anders wünscht und keine staatlichen Interessen entgegenstehen, keine Auskünfte an Dritte über die Abwicklung von Grundstücksgeschäften erte</w:t>
      </w:r>
      <w:r w:rsidR="00610976">
        <w:t>ilen. Durch die übliche Behand</w:t>
      </w:r>
      <w:r>
        <w:t>lung in nichtöffentlicher Sitzung des Ausschusses für Staatshaushalt und Finanzfragen des Landtages wird diesem Schutzgedanken auch im Rahmen der parlamentarischen Befassung Rechnung getragen. Eine weiter gehende Auskunft kann deshalb im Rahmen des vom Fragesteller gewählten Informationsinstruments nicht erteilt werden.</w:t>
      </w:r>
    </w:p>
    <w:p w:rsidR="009D008C" w:rsidRDefault="009D008C" w:rsidP="009D008C">
      <w:pPr>
        <w:pStyle w:val="LTAntwortRessortText"/>
      </w:pPr>
      <w:r>
        <w:t>Angaben zur zeitlichen Realisierbarkeit des Gesamtp</w:t>
      </w:r>
      <w:r w:rsidR="00B02BDF">
        <w:t>rojekts können seitens des Staatsministeriums für Wissenschaft und Kunst</w:t>
      </w:r>
      <w:r>
        <w:t xml:space="preserve"> erst gemacht werden, wenn der Doppelhaushalt 2019/2020 verabschiedet wurde und die Ansätze in der Anlage S des Einzelplans 15 bekannt sind.</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5"/>
        <w:gridCol w:w="5841"/>
      </w:tblGrid>
      <w:tr w:rsidR="009D008C" w:rsidTr="009D008C">
        <w:tc>
          <w:tcPr>
            <w:tcW w:w="2050" w:type="dxa"/>
            <w:shd w:val="clear" w:color="auto" w:fill="auto"/>
          </w:tcPr>
          <w:p w:rsidR="009D008C" w:rsidRPr="009D008C" w:rsidRDefault="009D008C" w:rsidP="009D008C">
            <w:pPr>
              <w:pStyle w:val="LTAnfrageIni1"/>
            </w:pPr>
            <w:r w:rsidRPr="009D008C">
              <w:t>Abgeordnete</w:t>
            </w:r>
            <w:r w:rsidRPr="009D008C">
              <w:br/>
            </w:r>
            <w:r w:rsidRPr="009D008C">
              <w:rPr>
                <w:b/>
              </w:rPr>
              <w:t>Natascha</w:t>
            </w:r>
            <w:r w:rsidRPr="009D008C">
              <w:rPr>
                <w:b/>
              </w:rPr>
              <w:br/>
              <w:t>Kohnen</w:t>
            </w:r>
            <w:r w:rsidRPr="009D008C">
              <w:rPr>
                <w:b/>
              </w:rPr>
              <w:br/>
            </w:r>
            <w:r w:rsidRPr="009D008C">
              <w:t>(SPD)</w:t>
            </w:r>
            <w:r>
              <w:fldChar w:fldCharType="begin"/>
            </w:r>
            <w:r>
              <w:instrText xml:space="preserve"> XE </w:instrText>
            </w:r>
            <w:r w:rsidR="006321CE">
              <w:instrText>„</w:instrText>
            </w:r>
            <w:r>
              <w:instrText xml:space="preserve">Kohnen, Natascha (SPD):Strafzinsen für BayernHeim-Neugründung </w:instrText>
            </w:r>
            <w:r>
              <w:fldChar w:fldCharType="end"/>
            </w:r>
            <w:r>
              <w:fldChar w:fldCharType="begin"/>
            </w:r>
            <w:r>
              <w:instrText xml:space="preserve"> TC </w:instrText>
            </w:r>
            <w:r w:rsidR="006321CE">
              <w:instrText>„</w:instrText>
            </w:r>
            <w:r>
              <w:instrText>Kohnen, Natascha (SPD)</w:instrText>
            </w:r>
            <w:r>
              <w:br/>
              <w:instrText xml:space="preserve">Strafzinsen für BayernHeim-Neugründung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 xml:space="preserve">Nachdem Ministerpräsident Dr. Markus Söder im Januar 2018 in seinem 10-Punkte-Programm für Bayern die Gründung einer staatlichen Wohnungsbaugesellschaft angekündigt hat, um bis 2025 10.000 bezahlbare Wohnungen zu schaffen und der Landtag im 2. Nachtragshaushalt 2018  500 Mio. Euro bereitgestellt hat, </w:t>
            </w:r>
            <w:r w:rsidR="009D771C">
              <w:t>frage ich die Staatsregierung, B</w:t>
            </w:r>
            <w:r>
              <w:t>ezug</w:t>
            </w:r>
            <w:r w:rsidR="009D771C">
              <w:t xml:space="preserve"> </w:t>
            </w:r>
            <w:r>
              <w:t xml:space="preserve">nehmend auf die Presseberichterstattung des </w:t>
            </w:r>
            <w:r w:rsidR="006321CE">
              <w:t>„</w:t>
            </w:r>
            <w:r>
              <w:t>Münchner Merkurs</w:t>
            </w:r>
            <w:r w:rsidR="006321CE">
              <w:t>“</w:t>
            </w:r>
            <w:r>
              <w:t xml:space="preserve"> vom 20.11.2018, aufgrund welcher Versäumnisse und in welcher Höhe bereits Strafzinsen auf das Stammkapital von 50 Mio. Euro für die im August 2018 gegründete staatliche Wohnungsbaugesellschaft BayernHeim </w:t>
            </w:r>
            <w:r w:rsidR="0000703E">
              <w:t xml:space="preserve">GmbH </w:t>
            </w:r>
            <w:r>
              <w:t>angefallen sind und was die Staatsregierung konkret unternimmt, damit künftig keine Strafzinsen mehr fällig werden?</w:t>
            </w:r>
          </w:p>
          <w:p w:rsidR="009D008C" w:rsidRDefault="009D008C" w:rsidP="009D008C">
            <w:pPr>
              <w:pStyle w:val="LTAnfrageText"/>
            </w:pPr>
          </w:p>
        </w:tc>
      </w:tr>
    </w:tbl>
    <w:p w:rsidR="009D008C" w:rsidRDefault="009D008C" w:rsidP="009D008C">
      <w:pPr>
        <w:pStyle w:val="LTUeberschrAntwortRessort"/>
      </w:pPr>
      <w:r>
        <w:t>Antwort des Staatsministeriums für Wohnen, Bau und Verkehr</w:t>
      </w:r>
    </w:p>
    <w:p w:rsidR="009D008C" w:rsidRDefault="009D008C" w:rsidP="009D008C">
      <w:pPr>
        <w:pStyle w:val="LTAntwortRessortText"/>
      </w:pPr>
      <w:r>
        <w:t>Um die Ge</w:t>
      </w:r>
      <w:r w:rsidR="009B09C3">
        <w:t>sellschaft gerade in der Aufbauphase handlungsfähig z</w:t>
      </w:r>
      <w:r>
        <w:t>u machen</w:t>
      </w:r>
      <w:r w:rsidR="009D771C">
        <w:t>,</w:t>
      </w:r>
      <w:r>
        <w:t xml:space="preserve"> sind 50</w:t>
      </w:r>
      <w:r w:rsidR="009B09C3">
        <w:t> Mio. Euro Stammkap</w:t>
      </w:r>
      <w:r>
        <w:t>ita</w:t>
      </w:r>
      <w:r w:rsidR="009B09C3">
        <w:t>l bereitgestellt worden. Das Kap</w:t>
      </w:r>
      <w:r>
        <w:t xml:space="preserve">ital wird </w:t>
      </w:r>
      <w:r w:rsidR="009B09C3">
        <w:t>zur Projektentwicklung und kurz</w:t>
      </w:r>
      <w:r>
        <w:t>fristigen Handlungsfähigkeit am Grundstücks- und Immobili</w:t>
      </w:r>
      <w:r w:rsidR="009B09C3">
        <w:t>enmarkt benötigt. Verwahrgebühren werden derz</w:t>
      </w:r>
      <w:r>
        <w:t xml:space="preserve">eit im Regelfall durch die Banken ab 100.000 </w:t>
      </w:r>
      <w:r w:rsidR="006321CE">
        <w:t>Euro</w:t>
      </w:r>
      <w:r w:rsidR="009B09C3">
        <w:t xml:space="preserve"> Einlage erhoben. Die Ver</w:t>
      </w:r>
      <w:r>
        <w:t>wahrgebühr betrug bei Gründung 0,40</w:t>
      </w:r>
      <w:r w:rsidR="009D771C">
        <w:t xml:space="preserve"> </w:t>
      </w:r>
      <w:r w:rsidR="009B09C3">
        <w:t>Prozent jährlich, inz</w:t>
      </w:r>
      <w:r>
        <w:t>wischen ist d</w:t>
      </w:r>
      <w:r w:rsidR="009B09C3">
        <w:t>ie Verwahrgebühr sogar auf bis z</w:t>
      </w:r>
      <w:r>
        <w:t>u 0,33</w:t>
      </w:r>
      <w:r w:rsidR="009D771C">
        <w:t xml:space="preserve"> </w:t>
      </w:r>
      <w:r w:rsidR="006321CE">
        <w:t xml:space="preserve">Prozent </w:t>
      </w:r>
      <w:r>
        <w:t xml:space="preserve">gesunken. Die BayernHeim GmbH befindet sich weiterhin in Verhandlungen um neue Anlageformen </w:t>
      </w:r>
      <w:r w:rsidR="009B09C3">
        <w:t>zu nutzen</w:t>
      </w:r>
      <w:r>
        <w:t xml:space="preserve">, um Verwahrgebühren </w:t>
      </w:r>
      <w:r w:rsidR="009B09C3">
        <w:t>zu</w:t>
      </w:r>
      <w:r>
        <w:t xml:space="preserve"> minimieren. Im Hinblick auf die Höhe der Verwahrgebühren wird auf die Vertraulichkeit von unternehmensinternen Informationen hingewiesen.</w:t>
      </w:r>
    </w:p>
    <w:p w:rsidR="00AF399C" w:rsidRDefault="00AF399C" w:rsidP="009D008C">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9D008C" w:rsidTr="009D008C">
        <w:tc>
          <w:tcPr>
            <w:tcW w:w="2050" w:type="dxa"/>
            <w:shd w:val="clear" w:color="auto" w:fill="auto"/>
          </w:tcPr>
          <w:p w:rsidR="009D008C" w:rsidRPr="009D008C" w:rsidRDefault="009D008C" w:rsidP="009D008C">
            <w:pPr>
              <w:pStyle w:val="LTAnfrageIni1"/>
            </w:pPr>
            <w:r w:rsidRPr="009D008C">
              <w:t>Abgeordneter</w:t>
            </w:r>
            <w:r w:rsidRPr="009D008C">
              <w:br/>
            </w:r>
            <w:r w:rsidRPr="009D008C">
              <w:rPr>
                <w:b/>
              </w:rPr>
              <w:t>Jürgen</w:t>
            </w:r>
            <w:r w:rsidRPr="009D008C">
              <w:rPr>
                <w:b/>
              </w:rPr>
              <w:br/>
              <w:t>Mistol</w:t>
            </w:r>
            <w:r w:rsidRPr="009D008C">
              <w:rPr>
                <w:b/>
              </w:rPr>
              <w:br/>
            </w:r>
            <w:r w:rsidRPr="009D008C">
              <w:t>(BÜNDNIS 90/DIE GRÜNEN)</w:t>
            </w:r>
            <w:r>
              <w:fldChar w:fldCharType="begin"/>
            </w:r>
            <w:r>
              <w:instrText xml:space="preserve"> XE </w:instrText>
            </w:r>
            <w:r w:rsidR="006321CE">
              <w:instrText>„</w:instrText>
            </w:r>
            <w:r>
              <w:instrText xml:space="preserve">Mistol, Jürgen (BÜNDNIS 90/DIE GRÜNEN):365-Euro-Ticket für Schülerinnen bzw. Schüler, Auszubildende und Studierende </w:instrText>
            </w:r>
            <w:r>
              <w:fldChar w:fldCharType="end"/>
            </w:r>
            <w:r>
              <w:fldChar w:fldCharType="begin"/>
            </w:r>
            <w:r>
              <w:instrText xml:space="preserve"> TC </w:instrText>
            </w:r>
            <w:r w:rsidR="006321CE">
              <w:instrText>„</w:instrText>
            </w:r>
            <w:r>
              <w:instrText>Mistol, Jürgen (BÜNDNIS 90/DIE GRÜNEN)</w:instrText>
            </w:r>
            <w:r>
              <w:br/>
              <w:instrText xml:space="preserve">365-Euro-Ticket für Schülerinnen bzw. Schüler, Auszubildende und Studierende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Angesichts der Überlegungen des Freistaats zur Einführung eines 365-Euro-Tickets für Schülerinnen bzw. Schüler, Auszubildende und Studierende bis Ende 2020, frage ich die Staatsregierung, inwiefern bestehende günstigere Angebote wie Schüler- und Semestertickets von dem Vorhaben tangiert sind, ob diese dann angerechnet werden sollen und ob unterschiedliche Geltungsbereiche bzw. Tarifzonen angeglichen werden?</w:t>
            </w:r>
          </w:p>
          <w:p w:rsidR="009D008C" w:rsidRDefault="009D008C" w:rsidP="009D008C">
            <w:pPr>
              <w:pStyle w:val="LTAnfrageText"/>
            </w:pPr>
          </w:p>
        </w:tc>
      </w:tr>
    </w:tbl>
    <w:p w:rsidR="009D008C" w:rsidRDefault="009D008C" w:rsidP="00AF399C">
      <w:pPr>
        <w:pStyle w:val="LTUeberschrAntwortRessort"/>
        <w:spacing w:before="960"/>
      </w:pPr>
      <w:r>
        <w:t>Antwort des Staatsministeriums für Wohnen, Bau und Verkehr</w:t>
      </w:r>
    </w:p>
    <w:p w:rsidR="0000703E" w:rsidRDefault="009D008C" w:rsidP="009D008C">
      <w:pPr>
        <w:pStyle w:val="LTAntwortRessortText"/>
      </w:pPr>
      <w:r>
        <w:t>Das 365-Euro-Jahresticket soll nach derzeitigem Stand Schülerinnen, Schülern und Auszubildenden angeboten werden. Die Semestertickets der Studierenden bleiben von diesem Angebot unberührt.</w:t>
      </w:r>
      <w:r w:rsidR="0000703E">
        <w:t xml:space="preserve"> </w:t>
      </w:r>
    </w:p>
    <w:p w:rsidR="009D008C" w:rsidRDefault="009D008C" w:rsidP="009D008C">
      <w:pPr>
        <w:pStyle w:val="LTAntwortRessortText"/>
      </w:pPr>
      <w:r>
        <w:t>In den Fällen, in denen Schülerinnen, Schüler und Auszubildende für ihr Ticket weniger als 365 Euro jährlich bezahlen, soll nach bisherigen Überlegungen das günstige Angebot bestehen bleiben. Diesen Schülerinnen, Schülern und Auszubildenden soll ein fakultatives Zusatzticket angeboten werden. Der räumliche Geltungsbereich dieses Zusatztickets wird im Rahmen der konkreten Ausgestaltung des 365-Euro-Tickets für Schülerinnen, Schüler und Auszubildende festgelegt.</w:t>
      </w:r>
    </w:p>
    <w:p w:rsidR="00AF399C" w:rsidRDefault="00AF399C">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0"/>
        <w:gridCol w:w="5826"/>
      </w:tblGrid>
      <w:tr w:rsidR="009D008C" w:rsidTr="00AF399C">
        <w:tc>
          <w:tcPr>
            <w:tcW w:w="1790" w:type="dxa"/>
            <w:shd w:val="clear" w:color="auto" w:fill="auto"/>
          </w:tcPr>
          <w:p w:rsidR="009D008C" w:rsidRPr="009D008C" w:rsidRDefault="009D008C" w:rsidP="009D008C">
            <w:pPr>
              <w:pStyle w:val="LTAnfrageIni1"/>
            </w:pPr>
            <w:r w:rsidRPr="009D008C">
              <w:t>Abgeordnete</w:t>
            </w:r>
            <w:r w:rsidRPr="009D008C">
              <w:br/>
            </w:r>
            <w:r w:rsidRPr="009D008C">
              <w:rPr>
                <w:b/>
              </w:rPr>
              <w:t>Stephanie</w:t>
            </w:r>
            <w:r w:rsidRPr="009D008C">
              <w:rPr>
                <w:b/>
              </w:rPr>
              <w:br/>
              <w:t>Schuhknecht</w:t>
            </w:r>
            <w:r w:rsidRPr="009D008C">
              <w:rPr>
                <w:b/>
              </w:rPr>
              <w:br/>
            </w:r>
            <w:r w:rsidRPr="009D008C">
              <w:t>(BÜNDNIS 90/DIE GRÜNEN)</w:t>
            </w:r>
            <w:r>
              <w:fldChar w:fldCharType="begin"/>
            </w:r>
            <w:r>
              <w:instrText xml:space="preserve"> XE </w:instrText>
            </w:r>
            <w:r w:rsidR="006321CE">
              <w:instrText>„</w:instrText>
            </w:r>
            <w:r>
              <w:instrText>Schuhknecht, Stephanie (BÜNDNIS 90/DIE GRÜNEN):Probleme beim Fuggerexpress, Vergabe \</w:instrText>
            </w:r>
            <w:r w:rsidR="006321CE">
              <w:instrText>“</w:instrText>
            </w:r>
            <w:r>
              <w:instrText>Augsburger Netze\</w:instrText>
            </w:r>
            <w:r w:rsidR="006321CE">
              <w:instrText>“</w:instrText>
            </w:r>
            <w:r>
              <w:instrText xml:space="preserve"> </w:instrText>
            </w:r>
            <w:r>
              <w:fldChar w:fldCharType="end"/>
            </w:r>
            <w:r>
              <w:fldChar w:fldCharType="begin"/>
            </w:r>
            <w:r>
              <w:instrText xml:space="preserve"> TC </w:instrText>
            </w:r>
            <w:r w:rsidR="006321CE">
              <w:instrText>„</w:instrText>
            </w:r>
            <w:r>
              <w:instrText>Schuhknecht, Stephanie (BÜNDNIS 90/DIE GRÜNEN)</w:instrText>
            </w:r>
            <w:r>
              <w:br/>
              <w:instrText>Probleme beim Fuggerexpress, Vergabe \</w:instrText>
            </w:r>
            <w:r w:rsidR="006321CE">
              <w:instrText>“</w:instrText>
            </w:r>
            <w:r>
              <w:instrText>Augsburger Netze\</w:instrText>
            </w:r>
            <w:r w:rsidR="006321CE">
              <w:instrText>“</w:instrText>
            </w:r>
            <w:r>
              <w:instrText xml:space="preserve"> </w:instrText>
            </w:r>
            <w:r w:rsidR="006321CE">
              <w:instrText>„</w:instrText>
            </w:r>
            <w:r>
              <w:instrText xml:space="preserve"> \l 2 </w:instrText>
            </w:r>
            <w:r>
              <w:fldChar w:fldCharType="end"/>
            </w:r>
          </w:p>
        </w:tc>
        <w:tc>
          <w:tcPr>
            <w:tcW w:w="5826" w:type="dxa"/>
            <w:shd w:val="clear" w:color="auto" w:fill="auto"/>
          </w:tcPr>
          <w:p w:rsidR="009D008C" w:rsidRDefault="009D008C" w:rsidP="009D008C">
            <w:pPr>
              <w:pStyle w:val="LTAnfrageText"/>
            </w:pPr>
            <w:r>
              <w:t xml:space="preserve">Aufgrund von erneuten Zugausfällen und fehlenden Wagenteilen beim Fuggerexpress zwischen Mai und Oktober 2018 frage ich die Staatsregierung, wie bei der anstehenden Direktvergabe der </w:t>
            </w:r>
            <w:r w:rsidR="006321CE">
              <w:t>„</w:t>
            </w:r>
            <w:r>
              <w:t>Augsburger Netze</w:t>
            </w:r>
            <w:r w:rsidR="006321CE">
              <w:t>“</w:t>
            </w:r>
            <w:r>
              <w:t xml:space="preserve">- Übergang für 2019 bis 2021 mit den Bewerberinnen und Bewerbern über Notfallreserven bzw. Ersatzkapazitäten verhandelt wurde, um solche Vorkommnisse zukünftig zu vermeiden, welche Eventualpositionen zum Zuge kommen, wenn die Vergabe der Lose 1 und 2 für die </w:t>
            </w:r>
            <w:r w:rsidR="006321CE">
              <w:t>„</w:t>
            </w:r>
            <w:r>
              <w:t>Augsburger Netze</w:t>
            </w:r>
            <w:r w:rsidR="006321CE">
              <w:t>“</w:t>
            </w:r>
            <w:r>
              <w:t xml:space="preserve"> ab 2021, wie von der Bayerischen Eisenbahngesellschaft mbH (BEG) am 07.12.2018 veröffentlicht, an die Go-Ahead Verkehrsgesellschaft Deutschland GmbH und an die Bayerische Regiobahn GmbH gehen, welche Maßnahmen sie treffen wird bzw. bereits getroffen hat, um beim Los 1 der </w:t>
            </w:r>
            <w:r w:rsidR="006321CE">
              <w:t>„</w:t>
            </w:r>
            <w:r>
              <w:t>Augsburger Netze</w:t>
            </w:r>
            <w:r w:rsidR="006321CE">
              <w:t>“</w:t>
            </w:r>
            <w:r>
              <w:t xml:space="preserve"> Zugausfälle und Schienenersatzverkehre (wie jetzt beim alex im Allgäu) vor und nach dem Betreiberwechsel wegen Mangel an Fahrpersonal von vornherein zu vermeiden?</w:t>
            </w:r>
          </w:p>
          <w:p w:rsidR="009D008C" w:rsidRDefault="009D008C" w:rsidP="009D008C">
            <w:pPr>
              <w:pStyle w:val="LTAnfrageText"/>
            </w:pPr>
          </w:p>
        </w:tc>
      </w:tr>
    </w:tbl>
    <w:p w:rsidR="009D008C" w:rsidRDefault="009D008C" w:rsidP="009D008C">
      <w:pPr>
        <w:pStyle w:val="LTUeberschrAntwortRessort"/>
      </w:pPr>
      <w:r>
        <w:t>Antwort des Staatsministeriums für Wohnen, Bau und Verkehr</w:t>
      </w:r>
    </w:p>
    <w:p w:rsidR="009D008C" w:rsidRDefault="009D008C" w:rsidP="009D008C">
      <w:pPr>
        <w:pStyle w:val="LTAntwortRessortText"/>
      </w:pPr>
      <w:r>
        <w:t xml:space="preserve">In allen Verkehrsdurchführungsverträgen, die von der für Planung und Bestellung </w:t>
      </w:r>
      <w:r w:rsidR="0000703E">
        <w:t>des Schie</w:t>
      </w:r>
      <w:r>
        <w:t xml:space="preserve">nenpersonennahverkehrs im Freistaat </w:t>
      </w:r>
      <w:r w:rsidR="0000703E">
        <w:t>Bayern z</w:t>
      </w:r>
      <w:r>
        <w:t xml:space="preserve">uständigen Bayerischen Eisenbahngesellschaft mbH (BEG) mit den Eisenbahnverkehrsunternehmen abgeschlossen </w:t>
      </w:r>
      <w:r w:rsidR="0000703E">
        <w:t>werden, ist eine Fahrzeugreser</w:t>
      </w:r>
      <w:r>
        <w:t xml:space="preserve">ve in angemessenem Umfang verpflichtend vorgegeben. Dies wird auch in </w:t>
      </w:r>
      <w:r w:rsidR="0000703E">
        <w:t>der Übergangsvereinbarung für das E-Netz</w:t>
      </w:r>
      <w:r>
        <w:t xml:space="preserve"> Augsburg für den Zeitraum ab 12/2019</w:t>
      </w:r>
      <w:r w:rsidR="0000703E">
        <w:t xml:space="preserve"> der Fall sein. Das hierfür erforderliche Fahrzeugkonzept wird derzeit z</w:t>
      </w:r>
      <w:r>
        <w:t>wischen der BEG und dem Eisenbahnverkehrsunternehmen abgestimmt. Hierbei wird auch intensiv geprüft, wi</w:t>
      </w:r>
      <w:r w:rsidR="0000703E">
        <w:t>e hoch die notwendige Fahrz</w:t>
      </w:r>
      <w:r>
        <w:t>eugreserve sein muss.</w:t>
      </w:r>
    </w:p>
    <w:p w:rsidR="009D008C" w:rsidRDefault="009D008C" w:rsidP="009D008C">
      <w:pPr>
        <w:pStyle w:val="LTAntwortRessortText"/>
      </w:pPr>
      <w:r>
        <w:t xml:space="preserve">Folgende Eventualpositionen sind </w:t>
      </w:r>
      <w:r w:rsidR="0000703E">
        <w:t>zur</w:t>
      </w:r>
      <w:r>
        <w:t xml:space="preserve"> Bestellung ab 2021 vorgesehen:</w:t>
      </w:r>
    </w:p>
    <w:p w:rsidR="009D008C" w:rsidRDefault="0000703E" w:rsidP="0000703E">
      <w:pPr>
        <w:pStyle w:val="LTAntwortRessortText"/>
        <w:numPr>
          <w:ilvl w:val="0"/>
          <w:numId w:val="26"/>
        </w:numPr>
        <w:spacing w:before="120"/>
        <w:ind w:left="709" w:hanging="283"/>
      </w:pPr>
      <w:r>
        <w:t>Los 1: ganz</w:t>
      </w:r>
      <w:r w:rsidR="009D008C">
        <w:t xml:space="preserve">tägiger Halbstundentakt auch an Samstagen von Augsburg nach Dinkelscherben (jeweils von ca. </w:t>
      </w:r>
      <w:r>
        <w:t>08.00 Uhr bis ca. 21.</w:t>
      </w:r>
      <w:r w:rsidR="009D008C">
        <w:t>00 Uhr)</w:t>
      </w:r>
    </w:p>
    <w:p w:rsidR="009D008C" w:rsidRDefault="009D008C" w:rsidP="0000703E">
      <w:pPr>
        <w:pStyle w:val="LTAntwortRessortText"/>
        <w:numPr>
          <w:ilvl w:val="0"/>
          <w:numId w:val="26"/>
        </w:numPr>
        <w:spacing w:before="120"/>
        <w:ind w:left="709" w:hanging="283"/>
      </w:pPr>
      <w:r>
        <w:t>L</w:t>
      </w:r>
      <w:r w:rsidR="0000703E">
        <w:t>os 2: ganz</w:t>
      </w:r>
      <w:r>
        <w:t>tägiger Halbstundentakt auch an Samstagen</w:t>
      </w:r>
      <w:r w:rsidR="0000703E">
        <w:t xml:space="preserve"> von Augsburg nach Aichach (je</w:t>
      </w:r>
      <w:r>
        <w:t xml:space="preserve">weils von ca. </w:t>
      </w:r>
      <w:r w:rsidR="0000703E">
        <w:t>05.30 Uhr bis ca. 20.</w:t>
      </w:r>
      <w:r>
        <w:t>30 Uhr).</w:t>
      </w:r>
    </w:p>
    <w:p w:rsidR="009D008C" w:rsidRDefault="009D008C" w:rsidP="009D008C">
      <w:pPr>
        <w:pStyle w:val="LTAntwortRessortText"/>
      </w:pPr>
      <w:r>
        <w:t>Generell fällt es in die unternehmerische Verantwortung des</w:t>
      </w:r>
      <w:r w:rsidR="0000703E">
        <w:t xml:space="preserve"> beauftragten Eisenbahnverkehrs</w:t>
      </w:r>
      <w:r>
        <w:t xml:space="preserve">unternehmens, im Vorfeld einer Betriebsaufnahme ausreichend Personal für die </w:t>
      </w:r>
      <w:r w:rsidR="0000703E">
        <w:t>zu übernehmenden Leistungen einz</w:t>
      </w:r>
      <w:r>
        <w:t xml:space="preserve">ustellen und </w:t>
      </w:r>
      <w:r w:rsidR="0000703E">
        <w:t>zu qualifiz</w:t>
      </w:r>
      <w:r>
        <w:t xml:space="preserve">ieren. Unabhängig davon verpflichtet die BEG bei einem Betreiberwechsel den neuen Betreiber die Arbeitnehmerinnen und Arbeitnehmer, die beim bisherigen Betreiber </w:t>
      </w:r>
      <w:r w:rsidR="0000703E">
        <w:t>zur</w:t>
      </w:r>
      <w:r>
        <w:t xml:space="preserve"> Erbringung dieser Verkehrsleist</w:t>
      </w:r>
      <w:r w:rsidR="0000703E">
        <w:t>ung beschäftigt waren, ein ver</w:t>
      </w:r>
      <w:r>
        <w:t xml:space="preserve">bindliches Übernahmeangebot </w:t>
      </w:r>
      <w:r w:rsidR="0000703E">
        <w:t>zu</w:t>
      </w:r>
      <w:r>
        <w:t xml:space="preserve"> gleichen Konditionen wie beim vorherigen Arbeitgeber </w:t>
      </w:r>
      <w:r w:rsidR="0000703E">
        <w:t>zu</w:t>
      </w:r>
      <w:r>
        <w:t xml:space="preserve"> unterbreiten. Darüber hinaus engagiert sich der Freistaat Bayern gemeinsam mit den Eisen- bahnverkehrsunternehmen und der Bundesagentur für Arbeit in regelmäßigen Arbeitsgruppen der </w:t>
      </w:r>
      <w:r w:rsidR="006321CE">
        <w:t>„</w:t>
      </w:r>
      <w:r>
        <w:t>Fachkräfteoffensive Bahn Bayern</w:t>
      </w:r>
      <w:r w:rsidR="006321CE">
        <w:t>“</w:t>
      </w:r>
      <w:r w:rsidR="009D771C">
        <w:t>, um Personalmangel entgegen</w:t>
      </w:r>
      <w:r w:rsidR="0000703E">
        <w:t>zu</w:t>
      </w:r>
      <w:r>
        <w:t>wirken.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9"/>
        <w:gridCol w:w="5817"/>
      </w:tblGrid>
      <w:tr w:rsidR="009D008C" w:rsidTr="009D008C">
        <w:tc>
          <w:tcPr>
            <w:tcW w:w="2050" w:type="dxa"/>
            <w:shd w:val="clear" w:color="auto" w:fill="auto"/>
          </w:tcPr>
          <w:p w:rsidR="009D008C" w:rsidRPr="009D008C" w:rsidRDefault="009D008C" w:rsidP="009D008C">
            <w:pPr>
              <w:pStyle w:val="LTAnfrageIni1"/>
            </w:pPr>
            <w:r w:rsidRPr="009D008C">
              <w:t>Abgeordnete</w:t>
            </w:r>
            <w:r w:rsidRPr="009D008C">
              <w:br/>
            </w:r>
            <w:r w:rsidRPr="009D008C">
              <w:rPr>
                <w:b/>
              </w:rPr>
              <w:t>Diana</w:t>
            </w:r>
            <w:r w:rsidRPr="009D008C">
              <w:rPr>
                <w:b/>
              </w:rPr>
              <w:br/>
              <w:t>Stachowitz</w:t>
            </w:r>
            <w:r w:rsidRPr="009D008C">
              <w:rPr>
                <w:b/>
              </w:rPr>
              <w:br/>
            </w:r>
            <w:r w:rsidRPr="009D008C">
              <w:t>(SPD)</w:t>
            </w:r>
            <w:r>
              <w:fldChar w:fldCharType="begin"/>
            </w:r>
            <w:r>
              <w:instrText xml:space="preserve"> XE </w:instrText>
            </w:r>
            <w:r w:rsidR="006321CE">
              <w:instrText>„</w:instrText>
            </w:r>
            <w:r>
              <w:instrText xml:space="preserve">Stachowitz, Diana (SPD):Förderung kommunaler Schwimmbäder </w:instrText>
            </w:r>
            <w:r>
              <w:fldChar w:fldCharType="end"/>
            </w:r>
            <w:r>
              <w:fldChar w:fldCharType="begin"/>
            </w:r>
            <w:r>
              <w:instrText xml:space="preserve"> TC </w:instrText>
            </w:r>
            <w:r w:rsidR="006321CE">
              <w:instrText>„</w:instrText>
            </w:r>
            <w:r>
              <w:instrText>Stachowitz, Diana (SPD)</w:instrText>
            </w:r>
            <w:r>
              <w:br/>
              <w:instrText xml:space="preserve">Förderung kommunaler Schwimmbäder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Ich frage die Staatsregierung, wie gestalten sich nach gegenwärtigem Sachstand der Arbeitsgruppe von Staatsregierung und kommunalen Spitzenverbänden die Inhalte der Förderrichtlinie für die Sanierung kommunaler Schwimmbäder, wie hoch soll die Förderung ausfallen und wie sehen die Fördermodalitäten nach gegenwärtigem Stand der Dinge aus?</w:t>
            </w:r>
            <w:r w:rsidR="006321CE">
              <w:t xml:space="preserve"> </w:t>
            </w:r>
          </w:p>
          <w:p w:rsidR="009D008C" w:rsidRDefault="009D008C" w:rsidP="009D008C">
            <w:pPr>
              <w:pStyle w:val="LTAnfrageText"/>
            </w:pPr>
          </w:p>
        </w:tc>
      </w:tr>
    </w:tbl>
    <w:p w:rsidR="009D008C" w:rsidRDefault="009D008C" w:rsidP="009D008C">
      <w:pPr>
        <w:pStyle w:val="LTUeberschrAntwortRessort"/>
      </w:pPr>
      <w:r>
        <w:t>Antwort des Staatsministeriums für Wohnen, Bau und Verkehr</w:t>
      </w:r>
    </w:p>
    <w:p w:rsidR="009D008C" w:rsidRDefault="009D008C" w:rsidP="009D008C">
      <w:pPr>
        <w:pStyle w:val="LTAntwortRessortText"/>
      </w:pPr>
      <w:r>
        <w:t xml:space="preserve">Die schwierige Situation vieler kommunaler Bäder ist der </w:t>
      </w:r>
      <w:r w:rsidR="0000703E">
        <w:t>Staatsregierung bew</w:t>
      </w:r>
      <w:r>
        <w:t>usst. Sie hat daher im Zuge der Verhandlungen zum kommunalen Finanzausgleich 2018 mit den kommunalen Spitzenverbänden die Einrichtung einer interministeriellen Arbeitsgruppe Schwimmbadförderung vereinbart, die bis zur Aufstellung des Doppelhaushalts 2019/2020 Fördermöglichkeiten für die Sanierung kommunaler Bäder ausloten soll. Hintergrund dieser Überlegungen ist das Ziel, die kommunalen Bäder als grundlegende Voraussetzung für den Erwerb der Schwimmfähigkeit der Kinder und Jugendlichen zu erhalten.</w:t>
      </w:r>
    </w:p>
    <w:p w:rsidR="009D008C" w:rsidRDefault="009D008C" w:rsidP="009D008C">
      <w:pPr>
        <w:pStyle w:val="LTAntwortRessortText"/>
      </w:pPr>
      <w:r>
        <w:t xml:space="preserve">Die Arbeit der Arbeitsgruppe ist noch nicht abgeschlossen. Zu möglichen Inhalten einer ggf. aufzustellenden Förderrichtlinie wie Höhe der Förderung oder Fördermodalitäten sind daher noch keine Aussagen möglich. Die endgültige Entscheidung, </w:t>
      </w:r>
      <w:r w:rsidR="0000703E">
        <w:t>ob und ggf. in welcher Höhe Mit</w:t>
      </w:r>
      <w:r>
        <w:t>tel für die Schwimmbadförderung bereitgestellt werden, trifft der Landtag mit dem Beschluss des Doppelhaushalts 2019/2020.</w:t>
      </w:r>
    </w:p>
    <w:p w:rsidR="00100C5B" w:rsidRDefault="00100C5B">
      <w:pPr>
        <w:rPr>
          <w:rFonts w:cs="Arial"/>
          <w:b/>
          <w:sz w:val="22"/>
          <w:szCs w:val="22"/>
        </w:rPr>
      </w:pPr>
      <w:r>
        <w:br w:type="page"/>
      </w:r>
    </w:p>
    <w:p w:rsidR="009D008C" w:rsidRDefault="009D008C" w:rsidP="009D008C">
      <w:pPr>
        <w:pStyle w:val="LTUeberschrRessort"/>
      </w:pPr>
      <w:r>
        <w:t>Geschäftsbereich des Staatsministeriums für Unterricht und Kultus</w:t>
      </w:r>
      <w:r>
        <w:fldChar w:fldCharType="begin"/>
      </w:r>
      <w:r>
        <w:instrText xml:space="preserve"> TC </w:instrText>
      </w:r>
      <w:r w:rsidR="006321CE">
        <w:instrText>„</w:instrText>
      </w:r>
      <w:r>
        <w:instrText>Geschäftsbereich des Staatsministeriums für Unterricht und Kultus</w:instrText>
      </w:r>
      <w:r w:rsidR="006321CE">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0"/>
        <w:gridCol w:w="5856"/>
      </w:tblGrid>
      <w:tr w:rsidR="009D008C" w:rsidTr="009D008C">
        <w:tc>
          <w:tcPr>
            <w:tcW w:w="2050" w:type="dxa"/>
            <w:shd w:val="clear" w:color="auto" w:fill="auto"/>
          </w:tcPr>
          <w:p w:rsidR="009D008C" w:rsidRPr="009D008C" w:rsidRDefault="009D008C" w:rsidP="009D008C">
            <w:pPr>
              <w:pStyle w:val="LTAnfrageIni1"/>
            </w:pPr>
            <w:r w:rsidRPr="009D008C">
              <w:t>Abgeordneter</w:t>
            </w:r>
            <w:r w:rsidRPr="009D008C">
              <w:br/>
            </w:r>
            <w:r w:rsidRPr="009D008C">
              <w:rPr>
                <w:b/>
              </w:rPr>
              <w:t>Harald</w:t>
            </w:r>
            <w:r w:rsidRPr="009D008C">
              <w:rPr>
                <w:b/>
              </w:rPr>
              <w:br/>
              <w:t>Güller</w:t>
            </w:r>
            <w:r w:rsidRPr="009D008C">
              <w:rPr>
                <w:b/>
              </w:rPr>
              <w:br/>
            </w:r>
            <w:r w:rsidRPr="009D008C">
              <w:t>(SPD)</w:t>
            </w:r>
            <w:r>
              <w:fldChar w:fldCharType="begin"/>
            </w:r>
            <w:r>
              <w:instrText xml:space="preserve"> XE </w:instrText>
            </w:r>
            <w:r w:rsidR="006321CE">
              <w:instrText>„</w:instrText>
            </w:r>
            <w:r>
              <w:instrText xml:space="preserve">Güller, Harald (SPD):Mittelausreichung aus DigitalPakt II </w:instrText>
            </w:r>
            <w:r>
              <w:fldChar w:fldCharType="end"/>
            </w:r>
            <w:r>
              <w:fldChar w:fldCharType="begin"/>
            </w:r>
            <w:r>
              <w:instrText xml:space="preserve"> TC </w:instrText>
            </w:r>
            <w:r w:rsidR="006321CE">
              <w:instrText>„</w:instrText>
            </w:r>
            <w:r>
              <w:instrText>Güller, Harald (SPD)</w:instrText>
            </w:r>
            <w:r>
              <w:br/>
              <w:instrText xml:space="preserve">Mittelausreichung aus DigitalPakt II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 xml:space="preserve">Ich frage die Staatsregierung, wie viele Anträge mit jeweils welchem finanziellen Volumen wurden von Kommunen im Rahmen des </w:t>
            </w:r>
            <w:r w:rsidR="001A5196">
              <w:t>Masterplans BAYERN DIGITAL</w:t>
            </w:r>
            <w:r>
              <w:t xml:space="preserve"> II seit Maßnahmebeginn am 01.03.2018 für die digitale Ausstattung an Bayerns Schulen gestellt und</w:t>
            </w:r>
            <w:r w:rsidR="006321CE">
              <w:t xml:space="preserve"> </w:t>
            </w:r>
            <w:r>
              <w:t>wie viele Anträge wurden davon bereits genehmigt?</w:t>
            </w:r>
          </w:p>
          <w:p w:rsidR="009D008C" w:rsidRDefault="009D008C" w:rsidP="009D008C">
            <w:pPr>
              <w:pStyle w:val="LTAnfrageText"/>
            </w:pPr>
          </w:p>
        </w:tc>
      </w:tr>
    </w:tbl>
    <w:p w:rsidR="009D008C" w:rsidRDefault="009D008C" w:rsidP="009D008C">
      <w:pPr>
        <w:pStyle w:val="LTUeberschrAntwortRessort"/>
      </w:pPr>
      <w:r>
        <w:t>Antwort des Staatsministeriums für Unterricht und Kultus</w:t>
      </w:r>
    </w:p>
    <w:p w:rsidR="009D008C" w:rsidRDefault="009D008C" w:rsidP="009D008C">
      <w:pPr>
        <w:pStyle w:val="LTAntwortRessortText"/>
      </w:pPr>
      <w:r>
        <w:t>Mit Schreiben vom 10. Juli 2018 (Az. I.4-BO1371.</w:t>
      </w:r>
      <w:r w:rsidR="00012D49">
        <w:t>0/44/40) wurden die Sachaufwand</w:t>
      </w:r>
      <w:r>
        <w:t>sträger öffentlicher Schulen sowie die Träger staatlich anerkannter und genehmigter Ersatzschulen über die Veröffentlichung der Richtlinien zu den Förderprogrammen des Staatsministeriums für Unterricht und Kultus</w:t>
      </w:r>
      <w:r w:rsidR="00012D49">
        <w:t xml:space="preserve"> (StMUK)</w:t>
      </w:r>
      <w:r>
        <w:t xml:space="preserve"> zum </w:t>
      </w:r>
      <w:r w:rsidR="006321CE">
        <w:t>„</w:t>
      </w:r>
      <w:r>
        <w:t>Digitalbudget für das digitale Klassenzimmer</w:t>
      </w:r>
      <w:r w:rsidR="006321CE">
        <w:t>“</w:t>
      </w:r>
      <w:r>
        <w:t xml:space="preserve"> (Digitalbudget) und zum </w:t>
      </w:r>
      <w:r w:rsidR="006321CE">
        <w:t>„</w:t>
      </w:r>
      <w:r w:rsidR="00012D49">
        <w:t>Budget für integrierte Fachun</w:t>
      </w:r>
      <w:r>
        <w:t>terrichtsräume an berufsqualifizierenden Schulen</w:t>
      </w:r>
      <w:r w:rsidR="006321CE">
        <w:t>“</w:t>
      </w:r>
      <w:r>
        <w:t xml:space="preserve"> (iFU-Budget) im Rahmen der Maßnahmen des Masterplans BAYERN DIGITAL II informiert.</w:t>
      </w:r>
    </w:p>
    <w:p w:rsidR="009D008C" w:rsidRDefault="009D008C" w:rsidP="009D008C">
      <w:pPr>
        <w:pStyle w:val="LTAntwortRessortText"/>
      </w:pPr>
      <w:r>
        <w:t>Seitdem ist die folgende Anzahl an Anträgen bei den mit dem Vollzug der Förderpro-gramme beauftragten Sachgebieten der Regierungen eingegangen und bearbeitet worden (Stand: 10.12.2018):</w:t>
      </w:r>
    </w:p>
    <w:p w:rsidR="009D008C" w:rsidRDefault="009D008C" w:rsidP="009D008C">
      <w:pPr>
        <w:pStyle w:val="LTAntwortRessortText"/>
      </w:pPr>
    </w:p>
    <w:tbl>
      <w:tblPr>
        <w:tblW w:w="0" w:type="auto"/>
        <w:tblInd w:w="113" w:type="dxa"/>
        <w:tblLayout w:type="fixed"/>
        <w:tblCellMar>
          <w:left w:w="0" w:type="dxa"/>
          <w:right w:w="0" w:type="dxa"/>
        </w:tblCellMar>
        <w:tblLook w:val="0000" w:firstRow="0" w:lastRow="0" w:firstColumn="0" w:lastColumn="0" w:noHBand="0" w:noVBand="0"/>
      </w:tblPr>
      <w:tblGrid>
        <w:gridCol w:w="1999"/>
        <w:gridCol w:w="1966"/>
        <w:gridCol w:w="1966"/>
        <w:gridCol w:w="1966"/>
      </w:tblGrid>
      <w:tr w:rsidR="00012D49" w:rsidRPr="00012D49" w:rsidTr="002412B0">
        <w:trPr>
          <w:trHeight w:hRule="exact" w:val="883"/>
        </w:trPr>
        <w:tc>
          <w:tcPr>
            <w:tcW w:w="1999" w:type="dxa"/>
            <w:tcBorders>
              <w:top w:val="nil"/>
              <w:left w:val="nil"/>
              <w:bottom w:val="single" w:sz="4" w:space="0" w:color="000000"/>
              <w:right w:val="single" w:sz="4" w:space="0" w:color="000000"/>
            </w:tcBorders>
          </w:tcPr>
          <w:p w:rsidR="00012D49" w:rsidRPr="00012D49" w:rsidRDefault="00012D49" w:rsidP="002412B0">
            <w:pPr>
              <w:rPr>
                <w:szCs w:val="20"/>
              </w:rPr>
            </w:pPr>
          </w:p>
        </w:tc>
        <w:tc>
          <w:tcPr>
            <w:tcW w:w="1966" w:type="dxa"/>
            <w:tcBorders>
              <w:top w:val="single" w:sz="4" w:space="0" w:color="000000"/>
              <w:left w:val="single" w:sz="4" w:space="0" w:color="000000"/>
              <w:bottom w:val="single" w:sz="4" w:space="0" w:color="000000"/>
              <w:right w:val="single" w:sz="4" w:space="0" w:color="000000"/>
            </w:tcBorders>
          </w:tcPr>
          <w:p w:rsidR="00012D49" w:rsidRPr="00012D49" w:rsidRDefault="00012D49" w:rsidP="002412B0">
            <w:pPr>
              <w:pStyle w:val="TableParagraph"/>
              <w:kinsoku w:val="0"/>
              <w:overflowPunct w:val="0"/>
              <w:rPr>
                <w:rFonts w:ascii="Arial" w:hAnsi="Arial" w:cs="Arial"/>
                <w:sz w:val="20"/>
                <w:szCs w:val="20"/>
              </w:rPr>
            </w:pPr>
          </w:p>
          <w:p w:rsidR="00012D49" w:rsidRPr="00012D49" w:rsidRDefault="00012D49" w:rsidP="002412B0">
            <w:pPr>
              <w:pStyle w:val="TableParagraph"/>
              <w:kinsoku w:val="0"/>
              <w:overflowPunct w:val="0"/>
              <w:ind w:left="560"/>
              <w:rPr>
                <w:sz w:val="20"/>
                <w:szCs w:val="20"/>
              </w:rPr>
            </w:pPr>
            <w:r w:rsidRPr="00012D49">
              <w:rPr>
                <w:rFonts w:ascii="Arial" w:hAnsi="Arial" w:cs="Arial"/>
                <w:b/>
                <w:bCs/>
                <w:spacing w:val="-2"/>
                <w:sz w:val="20"/>
                <w:szCs w:val="20"/>
              </w:rPr>
              <w:t>Anträge</w:t>
            </w:r>
          </w:p>
        </w:tc>
        <w:tc>
          <w:tcPr>
            <w:tcW w:w="1966" w:type="dxa"/>
            <w:tcBorders>
              <w:top w:val="single" w:sz="4" w:space="0" w:color="000000"/>
              <w:left w:val="single" w:sz="4" w:space="0" w:color="000000"/>
              <w:bottom w:val="single" w:sz="4" w:space="0" w:color="000000"/>
              <w:right w:val="single" w:sz="4" w:space="0" w:color="000000"/>
            </w:tcBorders>
          </w:tcPr>
          <w:p w:rsidR="00012D49" w:rsidRPr="00012D49" w:rsidRDefault="00012D49" w:rsidP="002412B0">
            <w:pPr>
              <w:pStyle w:val="TableParagraph"/>
              <w:kinsoku w:val="0"/>
              <w:overflowPunct w:val="0"/>
              <w:spacing w:before="107" w:line="361" w:lineRule="auto"/>
              <w:ind w:left="435" w:right="261" w:hanging="178"/>
              <w:rPr>
                <w:sz w:val="20"/>
                <w:szCs w:val="20"/>
              </w:rPr>
            </w:pPr>
            <w:r w:rsidRPr="00012D49">
              <w:rPr>
                <w:rFonts w:ascii="Arial" w:hAnsi="Arial" w:cs="Arial"/>
                <w:b/>
                <w:bCs/>
                <w:spacing w:val="-1"/>
                <w:sz w:val="20"/>
                <w:szCs w:val="20"/>
              </w:rPr>
              <w:t>Zuwendungs-</w:t>
            </w:r>
            <w:r w:rsidRPr="00012D49">
              <w:rPr>
                <w:rFonts w:ascii="Arial" w:hAnsi="Arial" w:cs="Arial"/>
                <w:b/>
                <w:bCs/>
                <w:spacing w:val="25"/>
                <w:sz w:val="20"/>
                <w:szCs w:val="20"/>
              </w:rPr>
              <w:t xml:space="preserve"> </w:t>
            </w:r>
            <w:r w:rsidRPr="00012D49">
              <w:rPr>
                <w:rFonts w:ascii="Arial" w:hAnsi="Arial" w:cs="Arial"/>
                <w:b/>
                <w:bCs/>
                <w:spacing w:val="-1"/>
                <w:sz w:val="20"/>
                <w:szCs w:val="20"/>
              </w:rPr>
              <w:t>bescheide</w:t>
            </w:r>
          </w:p>
        </w:tc>
        <w:tc>
          <w:tcPr>
            <w:tcW w:w="1966" w:type="dxa"/>
            <w:tcBorders>
              <w:top w:val="single" w:sz="4" w:space="0" w:color="000000"/>
              <w:left w:val="single" w:sz="4" w:space="0" w:color="000000"/>
              <w:bottom w:val="single" w:sz="4" w:space="0" w:color="000000"/>
              <w:right w:val="single" w:sz="4" w:space="0" w:color="000000"/>
            </w:tcBorders>
          </w:tcPr>
          <w:p w:rsidR="00012D49" w:rsidRPr="00012D49" w:rsidRDefault="00012D49" w:rsidP="002412B0">
            <w:pPr>
              <w:pStyle w:val="TableParagraph"/>
              <w:kinsoku w:val="0"/>
              <w:overflowPunct w:val="0"/>
              <w:spacing w:before="107" w:line="361" w:lineRule="auto"/>
              <w:ind w:left="205" w:right="204" w:firstLine="196"/>
              <w:rPr>
                <w:sz w:val="20"/>
                <w:szCs w:val="20"/>
              </w:rPr>
            </w:pPr>
            <w:r w:rsidRPr="00012D49">
              <w:rPr>
                <w:rFonts w:ascii="Arial" w:hAnsi="Arial" w:cs="Arial"/>
                <w:b/>
                <w:bCs/>
                <w:spacing w:val="-1"/>
                <w:sz w:val="20"/>
                <w:szCs w:val="20"/>
              </w:rPr>
              <w:t>Bewilligtes</w:t>
            </w:r>
            <w:r w:rsidRPr="00012D49">
              <w:rPr>
                <w:rFonts w:ascii="Arial" w:hAnsi="Arial" w:cs="Arial"/>
                <w:b/>
                <w:bCs/>
                <w:spacing w:val="26"/>
                <w:sz w:val="20"/>
                <w:szCs w:val="20"/>
              </w:rPr>
              <w:t xml:space="preserve"> </w:t>
            </w:r>
            <w:r w:rsidRPr="00012D49">
              <w:rPr>
                <w:rFonts w:ascii="Arial" w:hAnsi="Arial" w:cs="Arial"/>
                <w:b/>
                <w:bCs/>
                <w:spacing w:val="-1"/>
                <w:sz w:val="20"/>
                <w:szCs w:val="20"/>
              </w:rPr>
              <w:t>Gesamtbudget</w:t>
            </w:r>
          </w:p>
        </w:tc>
      </w:tr>
      <w:tr w:rsidR="00012D49" w:rsidRPr="00012D49" w:rsidTr="002412B0">
        <w:trPr>
          <w:trHeight w:hRule="exact" w:val="502"/>
        </w:trPr>
        <w:tc>
          <w:tcPr>
            <w:tcW w:w="1999" w:type="dxa"/>
            <w:tcBorders>
              <w:top w:val="single" w:sz="4" w:space="0" w:color="000000"/>
              <w:left w:val="single" w:sz="4" w:space="0" w:color="000000"/>
              <w:bottom w:val="single" w:sz="4" w:space="0" w:color="000000"/>
              <w:right w:val="single" w:sz="4" w:space="0" w:color="000000"/>
            </w:tcBorders>
          </w:tcPr>
          <w:p w:rsidR="00012D49" w:rsidRPr="00012D49" w:rsidRDefault="00012D49" w:rsidP="002412B0">
            <w:pPr>
              <w:pStyle w:val="TableParagraph"/>
              <w:kinsoku w:val="0"/>
              <w:overflowPunct w:val="0"/>
              <w:spacing w:before="107"/>
              <w:ind w:left="102"/>
              <w:rPr>
                <w:sz w:val="20"/>
                <w:szCs w:val="20"/>
              </w:rPr>
            </w:pPr>
            <w:r w:rsidRPr="00012D49">
              <w:rPr>
                <w:rFonts w:ascii="Arial" w:hAnsi="Arial" w:cs="Arial"/>
                <w:b/>
                <w:bCs/>
                <w:spacing w:val="-1"/>
                <w:sz w:val="20"/>
                <w:szCs w:val="20"/>
              </w:rPr>
              <w:t>Digitalbudget</w:t>
            </w:r>
          </w:p>
        </w:tc>
        <w:tc>
          <w:tcPr>
            <w:tcW w:w="1966" w:type="dxa"/>
            <w:tcBorders>
              <w:top w:val="single" w:sz="4" w:space="0" w:color="000000"/>
              <w:left w:val="single" w:sz="4" w:space="0" w:color="000000"/>
              <w:bottom w:val="single" w:sz="4" w:space="0" w:color="000000"/>
              <w:right w:val="single" w:sz="4" w:space="0" w:color="000000"/>
            </w:tcBorders>
          </w:tcPr>
          <w:p w:rsidR="00012D49" w:rsidRPr="00012D49" w:rsidRDefault="00012D49" w:rsidP="002412B0">
            <w:pPr>
              <w:pStyle w:val="TableParagraph"/>
              <w:kinsoku w:val="0"/>
              <w:overflowPunct w:val="0"/>
              <w:spacing w:before="110"/>
              <w:ind w:right="1"/>
              <w:jc w:val="center"/>
              <w:rPr>
                <w:sz w:val="20"/>
                <w:szCs w:val="20"/>
              </w:rPr>
            </w:pPr>
            <w:r w:rsidRPr="00012D49">
              <w:rPr>
                <w:rFonts w:ascii="Arial" w:hAnsi="Arial" w:cs="Arial"/>
                <w:spacing w:val="-1"/>
                <w:sz w:val="20"/>
                <w:szCs w:val="20"/>
              </w:rPr>
              <w:t>1937</w:t>
            </w:r>
          </w:p>
        </w:tc>
        <w:tc>
          <w:tcPr>
            <w:tcW w:w="1966" w:type="dxa"/>
            <w:tcBorders>
              <w:top w:val="single" w:sz="4" w:space="0" w:color="000000"/>
              <w:left w:val="single" w:sz="4" w:space="0" w:color="000000"/>
              <w:bottom w:val="single" w:sz="4" w:space="0" w:color="000000"/>
              <w:right w:val="single" w:sz="4" w:space="0" w:color="000000"/>
            </w:tcBorders>
          </w:tcPr>
          <w:p w:rsidR="00012D49" w:rsidRPr="00012D49" w:rsidRDefault="00012D49" w:rsidP="002412B0">
            <w:pPr>
              <w:pStyle w:val="TableParagraph"/>
              <w:kinsoku w:val="0"/>
              <w:overflowPunct w:val="0"/>
              <w:spacing w:before="110"/>
              <w:ind w:right="5"/>
              <w:jc w:val="center"/>
              <w:rPr>
                <w:sz w:val="20"/>
                <w:szCs w:val="20"/>
              </w:rPr>
            </w:pPr>
            <w:r w:rsidRPr="00012D49">
              <w:rPr>
                <w:rFonts w:ascii="Arial" w:hAnsi="Arial" w:cs="Arial"/>
                <w:spacing w:val="-1"/>
                <w:sz w:val="20"/>
                <w:szCs w:val="20"/>
              </w:rPr>
              <w:t>1377</w:t>
            </w:r>
          </w:p>
        </w:tc>
        <w:tc>
          <w:tcPr>
            <w:tcW w:w="1966" w:type="dxa"/>
            <w:tcBorders>
              <w:top w:val="single" w:sz="4" w:space="0" w:color="000000"/>
              <w:left w:val="single" w:sz="4" w:space="0" w:color="000000"/>
              <w:bottom w:val="single" w:sz="4" w:space="0" w:color="000000"/>
              <w:right w:val="single" w:sz="4" w:space="0" w:color="000000"/>
            </w:tcBorders>
          </w:tcPr>
          <w:p w:rsidR="00012D49" w:rsidRPr="00012D49" w:rsidRDefault="00012D49" w:rsidP="002412B0">
            <w:pPr>
              <w:pStyle w:val="TableParagraph"/>
              <w:kinsoku w:val="0"/>
              <w:overflowPunct w:val="0"/>
              <w:spacing w:before="110"/>
              <w:ind w:left="260"/>
              <w:rPr>
                <w:sz w:val="20"/>
                <w:szCs w:val="20"/>
              </w:rPr>
            </w:pPr>
            <w:r w:rsidRPr="00012D49">
              <w:rPr>
                <w:rFonts w:ascii="Arial" w:hAnsi="Arial" w:cs="Arial"/>
                <w:spacing w:val="-1"/>
                <w:sz w:val="20"/>
                <w:szCs w:val="20"/>
              </w:rPr>
              <w:t>74,8</w:t>
            </w:r>
            <w:r w:rsidRPr="00012D49">
              <w:rPr>
                <w:rFonts w:ascii="Arial" w:hAnsi="Arial" w:cs="Arial"/>
                <w:sz w:val="20"/>
                <w:szCs w:val="20"/>
              </w:rPr>
              <w:t xml:space="preserve"> </w:t>
            </w:r>
            <w:r w:rsidRPr="00012D49">
              <w:rPr>
                <w:rFonts w:ascii="Arial" w:hAnsi="Arial" w:cs="Arial"/>
                <w:spacing w:val="-2"/>
                <w:sz w:val="20"/>
                <w:szCs w:val="20"/>
              </w:rPr>
              <w:t>Mio.</w:t>
            </w:r>
            <w:r w:rsidRPr="00012D49">
              <w:rPr>
                <w:rFonts w:ascii="Arial" w:hAnsi="Arial" w:cs="Arial"/>
                <w:spacing w:val="1"/>
                <w:sz w:val="20"/>
                <w:szCs w:val="20"/>
              </w:rPr>
              <w:t xml:space="preserve"> </w:t>
            </w:r>
            <w:r w:rsidRPr="00012D49">
              <w:rPr>
                <w:rFonts w:ascii="Arial" w:hAnsi="Arial" w:cs="Arial"/>
                <w:spacing w:val="-1"/>
                <w:sz w:val="20"/>
                <w:szCs w:val="20"/>
              </w:rPr>
              <w:t>EUR</w:t>
            </w:r>
          </w:p>
        </w:tc>
      </w:tr>
      <w:tr w:rsidR="00012D49" w:rsidRPr="00012D49" w:rsidTr="002412B0">
        <w:trPr>
          <w:trHeight w:hRule="exact" w:val="504"/>
        </w:trPr>
        <w:tc>
          <w:tcPr>
            <w:tcW w:w="1999" w:type="dxa"/>
            <w:tcBorders>
              <w:top w:val="single" w:sz="4" w:space="0" w:color="000000"/>
              <w:left w:val="single" w:sz="4" w:space="0" w:color="000000"/>
              <w:bottom w:val="single" w:sz="4" w:space="0" w:color="000000"/>
              <w:right w:val="single" w:sz="4" w:space="0" w:color="000000"/>
            </w:tcBorders>
          </w:tcPr>
          <w:p w:rsidR="00012D49" w:rsidRPr="00012D49" w:rsidRDefault="00012D49" w:rsidP="002412B0">
            <w:pPr>
              <w:pStyle w:val="TableParagraph"/>
              <w:kinsoku w:val="0"/>
              <w:overflowPunct w:val="0"/>
              <w:spacing w:before="107"/>
              <w:ind w:left="102"/>
              <w:rPr>
                <w:sz w:val="20"/>
                <w:szCs w:val="20"/>
              </w:rPr>
            </w:pPr>
            <w:r w:rsidRPr="00012D49">
              <w:rPr>
                <w:rFonts w:ascii="Arial" w:hAnsi="Arial" w:cs="Arial"/>
                <w:b/>
                <w:bCs/>
                <w:spacing w:val="-1"/>
                <w:sz w:val="20"/>
                <w:szCs w:val="20"/>
              </w:rPr>
              <w:t>iFU-Budget</w:t>
            </w:r>
          </w:p>
        </w:tc>
        <w:tc>
          <w:tcPr>
            <w:tcW w:w="1966" w:type="dxa"/>
            <w:tcBorders>
              <w:top w:val="single" w:sz="4" w:space="0" w:color="000000"/>
              <w:left w:val="single" w:sz="4" w:space="0" w:color="000000"/>
              <w:bottom w:val="single" w:sz="4" w:space="0" w:color="000000"/>
              <w:right w:val="single" w:sz="4" w:space="0" w:color="000000"/>
            </w:tcBorders>
          </w:tcPr>
          <w:p w:rsidR="00012D49" w:rsidRPr="00012D49" w:rsidRDefault="00012D49" w:rsidP="002412B0">
            <w:pPr>
              <w:pStyle w:val="TableParagraph"/>
              <w:kinsoku w:val="0"/>
              <w:overflowPunct w:val="0"/>
              <w:spacing w:before="109"/>
              <w:jc w:val="center"/>
              <w:rPr>
                <w:sz w:val="20"/>
                <w:szCs w:val="20"/>
              </w:rPr>
            </w:pPr>
            <w:r w:rsidRPr="00012D49">
              <w:rPr>
                <w:rFonts w:ascii="Arial" w:hAnsi="Arial" w:cs="Arial"/>
                <w:spacing w:val="-1"/>
                <w:sz w:val="20"/>
                <w:szCs w:val="20"/>
              </w:rPr>
              <w:t>266</w:t>
            </w:r>
          </w:p>
        </w:tc>
        <w:tc>
          <w:tcPr>
            <w:tcW w:w="1966" w:type="dxa"/>
            <w:tcBorders>
              <w:top w:val="single" w:sz="4" w:space="0" w:color="000000"/>
              <w:left w:val="single" w:sz="4" w:space="0" w:color="000000"/>
              <w:bottom w:val="single" w:sz="4" w:space="0" w:color="000000"/>
              <w:right w:val="single" w:sz="4" w:space="0" w:color="000000"/>
            </w:tcBorders>
          </w:tcPr>
          <w:p w:rsidR="00012D49" w:rsidRPr="00012D49" w:rsidRDefault="00012D49" w:rsidP="002412B0">
            <w:pPr>
              <w:pStyle w:val="TableParagraph"/>
              <w:kinsoku w:val="0"/>
              <w:overflowPunct w:val="0"/>
              <w:spacing w:before="109"/>
              <w:ind w:right="3"/>
              <w:jc w:val="center"/>
              <w:rPr>
                <w:sz w:val="20"/>
                <w:szCs w:val="20"/>
              </w:rPr>
            </w:pPr>
            <w:r w:rsidRPr="00012D49">
              <w:rPr>
                <w:rFonts w:ascii="Arial" w:hAnsi="Arial" w:cs="Arial"/>
                <w:spacing w:val="-1"/>
                <w:sz w:val="20"/>
                <w:szCs w:val="20"/>
              </w:rPr>
              <w:t>137</w:t>
            </w:r>
          </w:p>
        </w:tc>
        <w:tc>
          <w:tcPr>
            <w:tcW w:w="1966" w:type="dxa"/>
            <w:tcBorders>
              <w:top w:val="single" w:sz="4" w:space="0" w:color="000000"/>
              <w:left w:val="single" w:sz="4" w:space="0" w:color="000000"/>
              <w:bottom w:val="single" w:sz="4" w:space="0" w:color="000000"/>
              <w:right w:val="single" w:sz="4" w:space="0" w:color="000000"/>
            </w:tcBorders>
          </w:tcPr>
          <w:p w:rsidR="00012D49" w:rsidRPr="00012D49" w:rsidRDefault="00012D49" w:rsidP="002412B0">
            <w:pPr>
              <w:pStyle w:val="TableParagraph"/>
              <w:kinsoku w:val="0"/>
              <w:overflowPunct w:val="0"/>
              <w:spacing w:before="109"/>
              <w:ind w:left="260"/>
              <w:rPr>
                <w:sz w:val="20"/>
                <w:szCs w:val="20"/>
              </w:rPr>
            </w:pPr>
            <w:r w:rsidRPr="00012D49">
              <w:rPr>
                <w:rFonts w:ascii="Arial" w:hAnsi="Arial" w:cs="Arial"/>
                <w:spacing w:val="-1"/>
                <w:sz w:val="20"/>
                <w:szCs w:val="20"/>
              </w:rPr>
              <w:t>16,2</w:t>
            </w:r>
            <w:r w:rsidRPr="00012D49">
              <w:rPr>
                <w:rFonts w:ascii="Arial" w:hAnsi="Arial" w:cs="Arial"/>
                <w:sz w:val="20"/>
                <w:szCs w:val="20"/>
              </w:rPr>
              <w:t xml:space="preserve"> </w:t>
            </w:r>
            <w:r w:rsidRPr="00012D49">
              <w:rPr>
                <w:rFonts w:ascii="Arial" w:hAnsi="Arial" w:cs="Arial"/>
                <w:spacing w:val="-2"/>
                <w:sz w:val="20"/>
                <w:szCs w:val="20"/>
              </w:rPr>
              <w:t>Mio.</w:t>
            </w:r>
            <w:r w:rsidRPr="00012D49">
              <w:rPr>
                <w:rFonts w:ascii="Arial" w:hAnsi="Arial" w:cs="Arial"/>
                <w:spacing w:val="1"/>
                <w:sz w:val="20"/>
                <w:szCs w:val="20"/>
              </w:rPr>
              <w:t xml:space="preserve"> </w:t>
            </w:r>
            <w:r w:rsidRPr="00012D49">
              <w:rPr>
                <w:rFonts w:ascii="Arial" w:hAnsi="Arial" w:cs="Arial"/>
                <w:spacing w:val="-1"/>
                <w:sz w:val="20"/>
                <w:szCs w:val="20"/>
              </w:rPr>
              <w:t>EUR</w:t>
            </w:r>
          </w:p>
        </w:tc>
      </w:tr>
    </w:tbl>
    <w:p w:rsidR="009D008C" w:rsidRDefault="009D008C" w:rsidP="009D008C">
      <w:pPr>
        <w:pStyle w:val="LTAntwortRessortText"/>
      </w:pPr>
      <w:r>
        <w:t xml:space="preserve">Die Förderprogramme des </w:t>
      </w:r>
      <w:r w:rsidR="00012D49">
        <w:t>StMUK sind träger</w:t>
      </w:r>
      <w:r>
        <w:t>neutral. Oben genannte Zahlen beziehen sich somit</w:t>
      </w:r>
      <w:r w:rsidR="00012D49">
        <w:t xml:space="preserve"> auf die Sachaufwandsträger öf</w:t>
      </w:r>
      <w:r>
        <w:t>fentlicher Schulen sowie die Träger staatlich aner</w:t>
      </w:r>
      <w:r w:rsidR="001A5196">
        <w:t>kannter und genehmigter Ersatz</w:t>
      </w:r>
      <w:r>
        <w:t>schulen. Eine Ausdifferenzierung nach Trägern war in der für die Beantwortung einer Anfrage zum Plenum gegebenen Frist nicht möglich.</w:t>
      </w:r>
    </w:p>
    <w:p w:rsidR="009D008C" w:rsidRDefault="009D008C" w:rsidP="009D008C">
      <w:pPr>
        <w:pStyle w:val="LTAntwortRessortText"/>
      </w:pPr>
      <w:r>
        <w:t>Im Digitalbudget haben damit bisher knapp 80</w:t>
      </w:r>
      <w:r w:rsidR="00012D49">
        <w:t xml:space="preserve"> </w:t>
      </w:r>
      <w:r w:rsidR="006321CE">
        <w:t xml:space="preserve">Prozent </w:t>
      </w:r>
      <w:r>
        <w:t>der Sachaufwandsträger</w:t>
      </w:r>
      <w:r w:rsidR="00012D49">
        <w:t xml:space="preserve"> einen An</w:t>
      </w:r>
      <w:r>
        <w:t>trag auf Zuweisung des Digitalbudgets gestellt, im iFU-Budget knapp 70</w:t>
      </w:r>
      <w:r w:rsidR="00012D49">
        <w:t xml:space="preserve"> Prozent</w:t>
      </w:r>
      <w:r>
        <w:t>. Die Höhe der bewilligten Gesamtbudgets bezieht sich a</w:t>
      </w:r>
      <w:r w:rsidR="00012D49">
        <w:t>uf die bereits ergangenen Zuwen</w:t>
      </w:r>
      <w:r>
        <w:t xml:space="preserve">dungsbescheide, da dort die Höhe der jeweiligen Budgets mitgeteilt wird. </w:t>
      </w:r>
      <w:r w:rsidRPr="00E47E61">
        <w:rPr>
          <w:u w:val="single"/>
        </w:rPr>
        <w:t xml:space="preserve">Diese </w:t>
      </w:r>
      <w:r w:rsidR="00012D49" w:rsidRPr="00E47E61">
        <w:rPr>
          <w:u w:val="single"/>
        </w:rPr>
        <w:t>Zah</w:t>
      </w:r>
      <w:r w:rsidRPr="00E47E61">
        <w:rPr>
          <w:u w:val="single"/>
        </w:rPr>
        <w:t>len erhöhen sich mit Verbescheidung der noch vorliegenden und der bis zum 31.12.2018 eingehenden Anträge.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5"/>
        <w:gridCol w:w="5831"/>
      </w:tblGrid>
      <w:tr w:rsidR="009D008C" w:rsidTr="009D008C">
        <w:tc>
          <w:tcPr>
            <w:tcW w:w="2050" w:type="dxa"/>
            <w:shd w:val="clear" w:color="auto" w:fill="auto"/>
          </w:tcPr>
          <w:p w:rsidR="009D008C" w:rsidRPr="009D008C" w:rsidRDefault="009D008C" w:rsidP="009D008C">
            <w:pPr>
              <w:pStyle w:val="LTAnfrageIni1"/>
            </w:pPr>
            <w:r w:rsidRPr="009D008C">
              <w:t>Abgeordneter</w:t>
            </w:r>
            <w:r w:rsidRPr="009D008C">
              <w:br/>
            </w:r>
            <w:r w:rsidRPr="009D008C">
              <w:rPr>
                <w:b/>
              </w:rPr>
              <w:t>Stefan</w:t>
            </w:r>
            <w:r w:rsidRPr="009D008C">
              <w:rPr>
                <w:b/>
              </w:rPr>
              <w:br/>
              <w:t>Schuster</w:t>
            </w:r>
            <w:r w:rsidRPr="009D008C">
              <w:rPr>
                <w:b/>
              </w:rPr>
              <w:br/>
            </w:r>
            <w:r w:rsidRPr="009D008C">
              <w:t>(SPD)</w:t>
            </w:r>
            <w:r>
              <w:fldChar w:fldCharType="begin"/>
            </w:r>
            <w:r>
              <w:instrText xml:space="preserve"> XE </w:instrText>
            </w:r>
            <w:r w:rsidR="006321CE">
              <w:instrText>„</w:instrText>
            </w:r>
            <w:r>
              <w:instrText xml:space="preserve">Schuster, Stefan (SPD):Mobile und Integrierte Lehrerreserve </w:instrText>
            </w:r>
            <w:r>
              <w:fldChar w:fldCharType="end"/>
            </w:r>
            <w:r>
              <w:fldChar w:fldCharType="begin"/>
            </w:r>
            <w:r>
              <w:instrText xml:space="preserve"> TC </w:instrText>
            </w:r>
            <w:r w:rsidR="006321CE">
              <w:instrText>„</w:instrText>
            </w:r>
            <w:r>
              <w:instrText>Schuster, Stefan (SPD)</w:instrText>
            </w:r>
            <w:r>
              <w:br/>
              <w:instrText xml:space="preserve">Mobile und Integrierte Lehrerreserve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Ich frage die Staatsregierung, wie viele Stellen stehen seit Beginn des Schuljahres 2018/2019 für die Mobile Reserve an Grund-, Mittel- und Förderschulen und wie viele Stellen stehen seit Beginn des Schuljahres 2018/2019 für die Integrierte Lehrerreserve an Realschulen und Gymnasien in absoluten Zahlen und als Anteil an der Gesamtlehrerzahl der jeweiligen Schulart zur Verfügung?</w:t>
            </w:r>
          </w:p>
          <w:p w:rsidR="009D008C" w:rsidRDefault="009D008C" w:rsidP="009D008C">
            <w:pPr>
              <w:pStyle w:val="LTAnfrageText"/>
            </w:pPr>
          </w:p>
        </w:tc>
      </w:tr>
    </w:tbl>
    <w:p w:rsidR="009D008C" w:rsidRDefault="009D008C" w:rsidP="009D008C">
      <w:pPr>
        <w:pStyle w:val="LTUeberschrAntwortRessort"/>
      </w:pPr>
      <w:r>
        <w:t>Antwort des Staatsministeriums für Unterricht und Kultus</w:t>
      </w:r>
    </w:p>
    <w:p w:rsidR="009D008C" w:rsidRDefault="009D008C" w:rsidP="009D008C">
      <w:pPr>
        <w:pStyle w:val="LTAntwortRessortText"/>
      </w:pPr>
      <w:r>
        <w:t>Zum Schuljahr 2018/</w:t>
      </w:r>
      <w:r w:rsidR="00012D49">
        <w:t>20</w:t>
      </w:r>
      <w:r>
        <w:t>19 wurden an den jeweiligen Schularten Mobile Reserven bzw. Integrierte Lehrereserven in folgendem Umfang gebildet:</w:t>
      </w:r>
    </w:p>
    <w:p w:rsidR="009D008C" w:rsidRDefault="009D008C" w:rsidP="00012D49">
      <w:pPr>
        <w:pStyle w:val="LTAntwortRessortText"/>
        <w:numPr>
          <w:ilvl w:val="0"/>
          <w:numId w:val="28"/>
        </w:numPr>
        <w:spacing w:before="120"/>
        <w:ind w:left="709" w:hanging="425"/>
      </w:pPr>
      <w:r>
        <w:t>Im Bereich der Grund- und Mittelschulen wurde zum Schuljahr 2018/</w:t>
      </w:r>
      <w:r w:rsidR="00012D49">
        <w:t>2019 eine Mo</w:t>
      </w:r>
      <w:r>
        <w:t>bile Reserve im Umfang von 2.447 Lehrerplanstel</w:t>
      </w:r>
      <w:r w:rsidR="00012D49">
        <w:t>len (Vollzeitkapazitäten) gebil</w:t>
      </w:r>
      <w:r>
        <w:t xml:space="preserve">det, dies entspricht rd. 6,0 </w:t>
      </w:r>
      <w:r w:rsidR="006321CE">
        <w:t xml:space="preserve">Prozent </w:t>
      </w:r>
      <w:r>
        <w:t xml:space="preserve">der für Grund- und </w:t>
      </w:r>
      <w:r w:rsidR="00012D49">
        <w:t>Mittelschulen zur Verfügung ste</w:t>
      </w:r>
      <w:r>
        <w:t>henden Lehrerstellen (Planstellen).</w:t>
      </w:r>
    </w:p>
    <w:p w:rsidR="009D008C" w:rsidRDefault="009D008C" w:rsidP="00012D49">
      <w:pPr>
        <w:pStyle w:val="LTAntwortRessortText"/>
        <w:numPr>
          <w:ilvl w:val="0"/>
          <w:numId w:val="28"/>
        </w:numPr>
        <w:spacing w:before="120"/>
        <w:ind w:left="709" w:hanging="425"/>
      </w:pPr>
      <w:r>
        <w:t>An den Förderschulen und Schulen für Kranke wurde zum Schuljahr 2018/</w:t>
      </w:r>
      <w:r w:rsidR="00B0460C">
        <w:t>20</w:t>
      </w:r>
      <w:r>
        <w:t>19 eine Mobile Reserve im Umfang von 312 Lehrerplanstellen (Voll</w:t>
      </w:r>
      <w:r w:rsidR="00B0460C">
        <w:t>zeitkapazitäten) gebil</w:t>
      </w:r>
      <w:r>
        <w:t xml:space="preserve">det, dies entspricht rd. 3,9 </w:t>
      </w:r>
      <w:r w:rsidR="006321CE">
        <w:t xml:space="preserve">Prozent </w:t>
      </w:r>
      <w:r>
        <w:t>der für die Förderschulen und Schulen für Kranke zur Verfügung stehenden Lehrerstellen (Planstellen).</w:t>
      </w:r>
    </w:p>
    <w:p w:rsidR="009D008C" w:rsidRDefault="009D008C" w:rsidP="00012D49">
      <w:pPr>
        <w:pStyle w:val="LTAntwortRessortText"/>
        <w:numPr>
          <w:ilvl w:val="0"/>
          <w:numId w:val="28"/>
        </w:numPr>
        <w:spacing w:before="120"/>
        <w:ind w:left="709" w:hanging="425"/>
      </w:pPr>
      <w:r>
        <w:t>An den staatlichen Realschulen wurde zum Schuljahr 2018/</w:t>
      </w:r>
      <w:r w:rsidR="00B0460C">
        <w:t>20</w:t>
      </w:r>
      <w:r>
        <w:t>19 eine Integrierte Lehrerreserve im Umfang von 249 Lehrerplanstel</w:t>
      </w:r>
      <w:r w:rsidR="00B0460C">
        <w:t>len (Vollzeitkapazitäten) gebil</w:t>
      </w:r>
      <w:r>
        <w:t xml:space="preserve">det, dies entspricht rd. 2,5 </w:t>
      </w:r>
      <w:r w:rsidR="006321CE">
        <w:t xml:space="preserve">Prozent </w:t>
      </w:r>
      <w:r>
        <w:t>der für die staatlichen Realschulen zur Verfügung stehenden Lehrerstellen (Planstellen).</w:t>
      </w:r>
    </w:p>
    <w:p w:rsidR="009D008C" w:rsidRDefault="009D008C" w:rsidP="00012D49">
      <w:pPr>
        <w:pStyle w:val="LTAntwortRessortText"/>
        <w:numPr>
          <w:ilvl w:val="0"/>
          <w:numId w:val="28"/>
        </w:numPr>
        <w:spacing w:before="120"/>
        <w:ind w:left="709" w:hanging="425"/>
      </w:pPr>
      <w:r>
        <w:t>An den staatlichen Gymnasien wurde zum Schuljahr 2018/</w:t>
      </w:r>
      <w:r w:rsidR="00B0460C">
        <w:t>20</w:t>
      </w:r>
      <w:r>
        <w:t>19 eine Integrierte Lehrerreserve im Umfang von 320 Lehrerplanstell</w:t>
      </w:r>
      <w:r w:rsidR="00AF399C">
        <w:t>en (Vollzeitkapazitäten) und ei</w:t>
      </w:r>
      <w:r>
        <w:t xml:space="preserve">ne Mobile Reserve im Umfang von 165 Lehrerplanstellen (Vollzeitkapazitäten) gebildet, dies entspricht rd. 2,6 </w:t>
      </w:r>
      <w:r w:rsidR="006321CE">
        <w:t xml:space="preserve">Prozent </w:t>
      </w:r>
      <w:r>
        <w:t xml:space="preserve">der für die </w:t>
      </w:r>
      <w:r w:rsidR="00B0460C">
        <w:t>staatlichen Gymnasien zur Verfü</w:t>
      </w:r>
      <w:r>
        <w:t>gung stehenden Lehrerstellen (Planstellen).</w:t>
      </w:r>
    </w:p>
    <w:p w:rsidR="007522B9" w:rsidRDefault="007522B9" w:rsidP="00012D49">
      <w:pPr>
        <w:pStyle w:val="LTAntwortRessortText"/>
        <w:numPr>
          <w:ilvl w:val="0"/>
          <w:numId w:val="28"/>
        </w:numPr>
        <w:spacing w:before="120"/>
        <w:ind w:left="709" w:hanging="425"/>
      </w:pPr>
    </w:p>
    <w:p w:rsidR="00AF399C" w:rsidRDefault="00AF399C" w:rsidP="005B2D24">
      <w:pPr>
        <w:pStyle w:val="LTAntwortRessortText"/>
        <w:spacing w:before="120"/>
        <w:ind w:left="709"/>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2"/>
        <w:gridCol w:w="5824"/>
      </w:tblGrid>
      <w:tr w:rsidR="009D008C" w:rsidTr="009D008C">
        <w:tc>
          <w:tcPr>
            <w:tcW w:w="2050" w:type="dxa"/>
            <w:shd w:val="clear" w:color="auto" w:fill="auto"/>
          </w:tcPr>
          <w:p w:rsidR="009D008C" w:rsidRPr="009D008C" w:rsidRDefault="009D008C" w:rsidP="009D008C">
            <w:pPr>
              <w:pStyle w:val="LTAnfrageIni1"/>
            </w:pPr>
            <w:r w:rsidRPr="009D008C">
              <w:t>Abgeordnete</w:t>
            </w:r>
            <w:r w:rsidRPr="009D008C">
              <w:br/>
            </w:r>
            <w:r w:rsidRPr="009D008C">
              <w:rPr>
                <w:b/>
              </w:rPr>
              <w:t>Gabriele</w:t>
            </w:r>
            <w:r w:rsidRPr="009D008C">
              <w:rPr>
                <w:b/>
              </w:rPr>
              <w:br/>
              <w:t>Triebel</w:t>
            </w:r>
            <w:r w:rsidRPr="009D008C">
              <w:rPr>
                <w:b/>
              </w:rPr>
              <w:br/>
            </w:r>
            <w:r w:rsidRPr="009D008C">
              <w:t>(BÜNDNIS 90/DIE GRÜNEN)</w:t>
            </w:r>
            <w:r>
              <w:fldChar w:fldCharType="begin"/>
            </w:r>
            <w:r>
              <w:instrText xml:space="preserve"> XE </w:instrText>
            </w:r>
            <w:r w:rsidR="006321CE">
              <w:instrText>„</w:instrText>
            </w:r>
            <w:r>
              <w:instrText xml:space="preserve">Triebel, Gabriele (BÜNDNIS 90/DIE GRÜNEN):Befristete Verträge im Schuldienst </w:instrText>
            </w:r>
            <w:r>
              <w:fldChar w:fldCharType="end"/>
            </w:r>
            <w:r>
              <w:fldChar w:fldCharType="begin"/>
            </w:r>
            <w:r>
              <w:instrText xml:space="preserve"> TC </w:instrText>
            </w:r>
            <w:r w:rsidR="006321CE">
              <w:instrText>„</w:instrText>
            </w:r>
            <w:r>
              <w:instrText>Triebel, Gabriele (BÜNDNIS 90/DIE GRÜNEN)</w:instrText>
            </w:r>
            <w:r>
              <w:br/>
              <w:instrText xml:space="preserve">Befristete Verträge im Schuldienst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Ich frage die Staatsregierung, wie viele Lehrkräfte im Schuljahr 2018/2019 (zum Stichtag 01.10.) befristet angestellt arbeiten, wie sich die Anzahl der befristet arbeitenden Lehrerinnen und Lehrer</w:t>
            </w:r>
            <w:r w:rsidR="006321CE">
              <w:t xml:space="preserve"> </w:t>
            </w:r>
            <w:r>
              <w:t xml:space="preserve">auf die einzelnen Schularten verteilt und welche Befristungsgründe </w:t>
            </w:r>
            <w:r w:rsidR="005B2D24">
              <w:t>–</w:t>
            </w:r>
            <w:r>
              <w:t xml:space="preserve"> mit und ohne Sachgrund </w:t>
            </w:r>
            <w:r w:rsidR="005B2D24">
              <w:t>–</w:t>
            </w:r>
            <w:r>
              <w:t xml:space="preserve"> vorliegen?</w:t>
            </w:r>
          </w:p>
          <w:p w:rsidR="009D008C" w:rsidRDefault="009D008C" w:rsidP="009D008C">
            <w:pPr>
              <w:pStyle w:val="LTAnfrageText"/>
            </w:pPr>
          </w:p>
        </w:tc>
      </w:tr>
    </w:tbl>
    <w:p w:rsidR="009D008C" w:rsidRDefault="009D008C" w:rsidP="009D008C">
      <w:pPr>
        <w:pStyle w:val="LTUeberschrAntwortRessort"/>
      </w:pPr>
      <w:r>
        <w:t>Antwort des Staatsministeriums für Unterricht und Kultus</w:t>
      </w:r>
    </w:p>
    <w:p w:rsidR="009D008C" w:rsidRDefault="009D008C" w:rsidP="009D008C">
      <w:pPr>
        <w:pStyle w:val="LTAntwortRessortText"/>
      </w:pPr>
      <w:r>
        <w:t>Die Auswertung erfolgt aus VIVA, dem Bezügesystem des Freistaates Bayern. Aus diesem Grund kann nur eine Antwort für das staatliche Personal gegeben werden, es kann keine Aussage getroffen werden, wie viele Lehrkräfte z.</w:t>
      </w:r>
      <w:r w:rsidR="00C758EE">
        <w:t xml:space="preserve"> </w:t>
      </w:r>
      <w:r>
        <w:t>B. im kommunalen Bereich etc. befristet angestellt waren oder sind. Es wurde bei der Auswertung wie folgt verfahren:</w:t>
      </w:r>
    </w:p>
    <w:p w:rsidR="009D008C" w:rsidRDefault="009D008C" w:rsidP="009D008C">
      <w:pPr>
        <w:pStyle w:val="LTAntwortRessortText"/>
      </w:pPr>
      <w:r>
        <w:t>Aus VIVA wurde</w:t>
      </w:r>
      <w:r w:rsidR="005B2D24">
        <w:t>n alle Personalfälle (insg. 103.</w:t>
      </w:r>
      <w:r>
        <w:t>010, außer Referendare) ausgespielt, die zum Stichtag 01.10.2018 aktiv waren, zur Hauptgruppe 17 und Untergruppe 01 (Lehrkräfte) gehörten und befristet beschäftigt waren.</w:t>
      </w:r>
    </w:p>
    <w:p w:rsidR="009D008C" w:rsidRDefault="009D008C" w:rsidP="009D008C">
      <w:pPr>
        <w:pStyle w:val="LTAntwortRessortText"/>
      </w:pPr>
      <w:r>
        <w:t>Zu jedem betroffenen Personalfall wurden die Schulart und der Befristungsgrund ermittelt.</w:t>
      </w:r>
    </w:p>
    <w:p w:rsidR="009D008C" w:rsidRDefault="009D008C" w:rsidP="009D008C">
      <w:pPr>
        <w:pStyle w:val="LTAntwortRessortText"/>
      </w:pPr>
      <w:r>
        <w:t>Es ergeben sich folgende Zahlen:</w:t>
      </w:r>
    </w:p>
    <w:p w:rsidR="009D008C" w:rsidRPr="00C758EE" w:rsidRDefault="009D008C" w:rsidP="009D008C">
      <w:pPr>
        <w:pStyle w:val="LTAntwortRessortText"/>
        <w:rPr>
          <w:u w:val="single"/>
        </w:rPr>
      </w:pPr>
      <w:r w:rsidRPr="00C758EE">
        <w:rPr>
          <w:u w:val="single"/>
        </w:rPr>
        <w:t>Anzahl von Personalfällen von Angestellten mit befristeten Verträgen nach Sachgrund und Schulart</w:t>
      </w:r>
      <w:r w:rsidR="00C758EE">
        <w:rPr>
          <w:u w:val="single"/>
        </w:rPr>
        <w:t>:</w:t>
      </w:r>
    </w:p>
    <w:p w:rsidR="009D008C" w:rsidRDefault="009D008C" w:rsidP="009D008C">
      <w:pPr>
        <w:pStyle w:val="LTAntwortRessortText"/>
      </w:pPr>
    </w:p>
    <w:tbl>
      <w:tblPr>
        <w:tblStyle w:val="TableNormal"/>
        <w:tblW w:w="10332" w:type="dxa"/>
        <w:tblInd w:w="-861" w:type="dxa"/>
        <w:tblLayout w:type="fixed"/>
        <w:tblLook w:val="01E0" w:firstRow="1" w:lastRow="1" w:firstColumn="1" w:lastColumn="1" w:noHBand="0" w:noVBand="0"/>
      </w:tblPr>
      <w:tblGrid>
        <w:gridCol w:w="1803"/>
        <w:gridCol w:w="1298"/>
        <w:gridCol w:w="1201"/>
        <w:gridCol w:w="1229"/>
        <w:gridCol w:w="1200"/>
        <w:gridCol w:w="1200"/>
        <w:gridCol w:w="1201"/>
        <w:gridCol w:w="1200"/>
      </w:tblGrid>
      <w:tr w:rsidR="00C758EE" w:rsidRPr="00C758EE" w:rsidTr="00C758EE">
        <w:trPr>
          <w:trHeight w:hRule="exact" w:val="286"/>
        </w:trPr>
        <w:tc>
          <w:tcPr>
            <w:tcW w:w="1803" w:type="dxa"/>
            <w:tcBorders>
              <w:top w:val="single" w:sz="8" w:space="0" w:color="000000"/>
              <w:left w:val="single" w:sz="8" w:space="0" w:color="000000"/>
              <w:bottom w:val="single" w:sz="5" w:space="0" w:color="000000"/>
              <w:right w:val="single" w:sz="8" w:space="0" w:color="000000"/>
            </w:tcBorders>
          </w:tcPr>
          <w:p w:rsidR="00C758EE" w:rsidRPr="00C758EE" w:rsidRDefault="00C758EE" w:rsidP="002412B0">
            <w:pPr>
              <w:rPr>
                <w:sz w:val="16"/>
                <w:szCs w:val="16"/>
              </w:rPr>
            </w:pPr>
          </w:p>
        </w:tc>
        <w:tc>
          <w:tcPr>
            <w:tcW w:w="8529" w:type="dxa"/>
            <w:gridSpan w:val="7"/>
            <w:tcBorders>
              <w:top w:val="single" w:sz="8" w:space="0" w:color="000000"/>
              <w:left w:val="single" w:sz="8" w:space="0" w:color="000000"/>
              <w:bottom w:val="single" w:sz="5" w:space="0" w:color="000000"/>
              <w:right w:val="single" w:sz="8" w:space="0" w:color="000000"/>
            </w:tcBorders>
          </w:tcPr>
          <w:p w:rsidR="00C758EE" w:rsidRPr="00C758EE" w:rsidRDefault="00C758EE" w:rsidP="002412B0">
            <w:pPr>
              <w:pStyle w:val="TableParagraph"/>
              <w:ind w:right="1199"/>
              <w:jc w:val="center"/>
              <w:rPr>
                <w:rFonts w:ascii="Calibri" w:eastAsia="Calibri" w:hAnsi="Calibri" w:cs="Calibri"/>
                <w:sz w:val="16"/>
                <w:szCs w:val="16"/>
              </w:rPr>
            </w:pPr>
            <w:r w:rsidRPr="00C758EE">
              <w:rPr>
                <w:rFonts w:ascii="Calibri"/>
                <w:b/>
                <w:spacing w:val="-1"/>
                <w:sz w:val="16"/>
                <w:szCs w:val="16"/>
              </w:rPr>
              <w:t>Schulart</w:t>
            </w:r>
          </w:p>
        </w:tc>
      </w:tr>
      <w:tr w:rsidR="00C758EE" w:rsidRPr="00C758EE" w:rsidTr="00C758EE">
        <w:trPr>
          <w:trHeight w:hRule="exact" w:val="698"/>
        </w:trPr>
        <w:tc>
          <w:tcPr>
            <w:tcW w:w="1803" w:type="dxa"/>
            <w:tcBorders>
              <w:top w:val="single" w:sz="5" w:space="0" w:color="000000"/>
              <w:left w:val="single" w:sz="8" w:space="0" w:color="000000"/>
              <w:bottom w:val="single" w:sz="5" w:space="0" w:color="000000"/>
              <w:right w:val="single" w:sz="8" w:space="0" w:color="000000"/>
            </w:tcBorders>
          </w:tcPr>
          <w:p w:rsidR="00C758EE" w:rsidRPr="00C758EE" w:rsidRDefault="00C758EE" w:rsidP="002412B0">
            <w:pPr>
              <w:pStyle w:val="TableParagraph"/>
              <w:rPr>
                <w:rFonts w:ascii="Calibri" w:eastAsia="Calibri" w:hAnsi="Calibri" w:cs="Calibri"/>
                <w:b/>
                <w:bCs/>
                <w:sz w:val="16"/>
                <w:szCs w:val="16"/>
              </w:rPr>
            </w:pPr>
          </w:p>
          <w:p w:rsidR="00C758EE" w:rsidRPr="00C758EE" w:rsidRDefault="00C758EE" w:rsidP="002412B0">
            <w:pPr>
              <w:pStyle w:val="TableParagraph"/>
              <w:spacing w:before="149"/>
              <w:ind w:left="59"/>
              <w:rPr>
                <w:rFonts w:ascii="Calibri" w:eastAsia="Calibri" w:hAnsi="Calibri" w:cs="Calibri"/>
                <w:sz w:val="16"/>
                <w:szCs w:val="16"/>
              </w:rPr>
            </w:pPr>
            <w:r w:rsidRPr="00C758EE">
              <w:rPr>
                <w:rFonts w:ascii="Calibri"/>
                <w:b/>
                <w:spacing w:val="-1"/>
                <w:sz w:val="16"/>
                <w:szCs w:val="16"/>
              </w:rPr>
              <w:t>Sachgrund</w:t>
            </w:r>
          </w:p>
        </w:tc>
        <w:tc>
          <w:tcPr>
            <w:tcW w:w="1298" w:type="dxa"/>
            <w:tcBorders>
              <w:top w:val="single" w:sz="5" w:space="0" w:color="000000"/>
              <w:left w:val="single" w:sz="8" w:space="0" w:color="000000"/>
              <w:bottom w:val="single" w:sz="5" w:space="0" w:color="000000"/>
              <w:right w:val="single" w:sz="5" w:space="0" w:color="000000"/>
            </w:tcBorders>
          </w:tcPr>
          <w:p w:rsidR="00C758EE" w:rsidRPr="00C758EE" w:rsidRDefault="00C758EE" w:rsidP="002412B0">
            <w:pPr>
              <w:pStyle w:val="TableParagraph"/>
              <w:spacing w:before="149"/>
              <w:ind w:left="58" w:right="73"/>
              <w:rPr>
                <w:rFonts w:ascii="Calibri" w:eastAsia="Calibri" w:hAnsi="Calibri" w:cs="Calibri"/>
                <w:sz w:val="16"/>
                <w:szCs w:val="16"/>
              </w:rPr>
            </w:pPr>
            <w:r w:rsidRPr="00C758EE">
              <w:rPr>
                <w:rFonts w:ascii="Calibri"/>
                <w:b/>
                <w:spacing w:val="-1"/>
                <w:sz w:val="16"/>
                <w:szCs w:val="16"/>
              </w:rPr>
              <w:t>Grund-</w:t>
            </w:r>
            <w:r w:rsidRPr="00C758EE">
              <w:rPr>
                <w:rFonts w:ascii="Calibri"/>
                <w:b/>
                <w:sz w:val="16"/>
                <w:szCs w:val="16"/>
              </w:rPr>
              <w:t xml:space="preserve"> </w:t>
            </w:r>
            <w:r w:rsidRPr="00C758EE">
              <w:rPr>
                <w:rFonts w:ascii="Calibri"/>
                <w:b/>
                <w:spacing w:val="-1"/>
                <w:sz w:val="16"/>
                <w:szCs w:val="16"/>
              </w:rPr>
              <w:t>und</w:t>
            </w:r>
            <w:r w:rsidRPr="00C758EE">
              <w:rPr>
                <w:rFonts w:ascii="Calibri"/>
                <w:b/>
                <w:spacing w:val="23"/>
                <w:sz w:val="16"/>
                <w:szCs w:val="16"/>
              </w:rPr>
              <w:t xml:space="preserve"> </w:t>
            </w:r>
            <w:r w:rsidRPr="00C758EE">
              <w:rPr>
                <w:rFonts w:ascii="Calibri"/>
                <w:b/>
                <w:spacing w:val="-1"/>
                <w:sz w:val="16"/>
                <w:szCs w:val="16"/>
              </w:rPr>
              <w:t>Mittelschule</w:t>
            </w:r>
          </w:p>
        </w:tc>
        <w:tc>
          <w:tcPr>
            <w:tcW w:w="1201"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rPr>
                <w:rFonts w:ascii="Calibri" w:eastAsia="Calibri" w:hAnsi="Calibri" w:cs="Calibri"/>
                <w:b/>
                <w:bCs/>
                <w:sz w:val="16"/>
                <w:szCs w:val="16"/>
              </w:rPr>
            </w:pPr>
          </w:p>
          <w:p w:rsidR="00C758EE" w:rsidRPr="00C758EE" w:rsidRDefault="00C758EE" w:rsidP="002412B0">
            <w:pPr>
              <w:pStyle w:val="TableParagraph"/>
              <w:spacing w:before="149"/>
              <w:ind w:left="63"/>
              <w:rPr>
                <w:rFonts w:ascii="Calibri" w:eastAsia="Calibri" w:hAnsi="Calibri" w:cs="Calibri"/>
                <w:sz w:val="16"/>
                <w:szCs w:val="16"/>
              </w:rPr>
            </w:pPr>
            <w:r w:rsidRPr="00C758EE">
              <w:rPr>
                <w:rFonts w:ascii="Calibri"/>
                <w:b/>
                <w:spacing w:val="-1"/>
                <w:sz w:val="16"/>
                <w:szCs w:val="16"/>
              </w:rPr>
              <w:t>Realschule</w:t>
            </w:r>
          </w:p>
        </w:tc>
        <w:tc>
          <w:tcPr>
            <w:tcW w:w="1229"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rPr>
                <w:rFonts w:ascii="Calibri" w:eastAsia="Calibri" w:hAnsi="Calibri" w:cs="Calibri"/>
                <w:b/>
                <w:bCs/>
                <w:sz w:val="16"/>
                <w:szCs w:val="16"/>
              </w:rPr>
            </w:pPr>
          </w:p>
          <w:p w:rsidR="00C758EE" w:rsidRPr="00C758EE" w:rsidRDefault="00C758EE" w:rsidP="002412B0">
            <w:pPr>
              <w:pStyle w:val="TableParagraph"/>
              <w:spacing w:before="149"/>
              <w:ind w:left="63"/>
              <w:rPr>
                <w:rFonts w:ascii="Calibri" w:eastAsia="Calibri" w:hAnsi="Calibri" w:cs="Calibri"/>
                <w:sz w:val="16"/>
                <w:szCs w:val="16"/>
              </w:rPr>
            </w:pPr>
            <w:r w:rsidRPr="00C758EE">
              <w:rPr>
                <w:rFonts w:ascii="Calibri"/>
                <w:b/>
                <w:spacing w:val="-1"/>
                <w:sz w:val="16"/>
                <w:szCs w:val="16"/>
              </w:rPr>
              <w:t>Gymnasium</w:t>
            </w:r>
          </w:p>
        </w:tc>
        <w:tc>
          <w:tcPr>
            <w:tcW w:w="1200"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rPr>
                <w:rFonts w:ascii="Calibri" w:eastAsia="Calibri" w:hAnsi="Calibri" w:cs="Calibri"/>
                <w:b/>
                <w:bCs/>
                <w:sz w:val="16"/>
                <w:szCs w:val="16"/>
              </w:rPr>
            </w:pPr>
          </w:p>
          <w:p w:rsidR="00C758EE" w:rsidRPr="00C758EE" w:rsidRDefault="00C758EE" w:rsidP="002412B0">
            <w:pPr>
              <w:pStyle w:val="TableParagraph"/>
              <w:spacing w:before="149"/>
              <w:ind w:left="63"/>
              <w:rPr>
                <w:rFonts w:ascii="Calibri" w:eastAsia="Calibri" w:hAnsi="Calibri" w:cs="Calibri"/>
                <w:sz w:val="16"/>
                <w:szCs w:val="16"/>
              </w:rPr>
            </w:pPr>
            <w:r w:rsidRPr="00C758EE">
              <w:rPr>
                <w:rFonts w:ascii="Calibri"/>
                <w:b/>
                <w:spacing w:val="-1"/>
                <w:sz w:val="16"/>
                <w:szCs w:val="16"/>
              </w:rPr>
              <w:t>FOS/BOS</w:t>
            </w:r>
          </w:p>
        </w:tc>
        <w:tc>
          <w:tcPr>
            <w:tcW w:w="1200"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49"/>
              <w:ind w:left="63" w:right="196"/>
              <w:rPr>
                <w:rFonts w:ascii="Calibri" w:eastAsia="Calibri" w:hAnsi="Calibri" w:cs="Calibri"/>
                <w:sz w:val="16"/>
                <w:szCs w:val="16"/>
              </w:rPr>
            </w:pPr>
            <w:r w:rsidRPr="00C758EE">
              <w:rPr>
                <w:rFonts w:ascii="Calibri"/>
                <w:b/>
                <w:spacing w:val="-1"/>
                <w:sz w:val="16"/>
                <w:szCs w:val="16"/>
              </w:rPr>
              <w:t>berufliche</w:t>
            </w:r>
            <w:r w:rsidRPr="00C758EE">
              <w:rPr>
                <w:rFonts w:ascii="Calibri"/>
                <w:b/>
                <w:spacing w:val="26"/>
                <w:sz w:val="16"/>
                <w:szCs w:val="16"/>
              </w:rPr>
              <w:t xml:space="preserve"> </w:t>
            </w:r>
            <w:r w:rsidRPr="00C758EE">
              <w:rPr>
                <w:rFonts w:ascii="Calibri"/>
                <w:b/>
                <w:spacing w:val="-1"/>
                <w:sz w:val="16"/>
                <w:szCs w:val="16"/>
              </w:rPr>
              <w:t>Schulen</w:t>
            </w:r>
          </w:p>
        </w:tc>
        <w:tc>
          <w:tcPr>
            <w:tcW w:w="1201"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49"/>
              <w:ind w:left="63" w:right="450"/>
              <w:rPr>
                <w:rFonts w:ascii="Calibri" w:eastAsia="Calibri" w:hAnsi="Calibri" w:cs="Calibri"/>
                <w:sz w:val="16"/>
                <w:szCs w:val="16"/>
              </w:rPr>
            </w:pPr>
            <w:r w:rsidRPr="00C758EE">
              <w:rPr>
                <w:rFonts w:ascii="Calibri" w:hAnsi="Calibri"/>
                <w:b/>
                <w:spacing w:val="-1"/>
                <w:sz w:val="16"/>
                <w:szCs w:val="16"/>
              </w:rPr>
              <w:t>Förder-</w:t>
            </w:r>
            <w:r w:rsidRPr="00C758EE">
              <w:rPr>
                <w:rFonts w:ascii="Calibri" w:hAnsi="Calibri"/>
                <w:b/>
                <w:spacing w:val="23"/>
                <w:sz w:val="16"/>
                <w:szCs w:val="16"/>
              </w:rPr>
              <w:t xml:space="preserve"> </w:t>
            </w:r>
            <w:r w:rsidRPr="00C758EE">
              <w:rPr>
                <w:rFonts w:ascii="Calibri" w:hAnsi="Calibri"/>
                <w:b/>
                <w:spacing w:val="-1"/>
                <w:sz w:val="16"/>
                <w:szCs w:val="16"/>
              </w:rPr>
              <w:t>schule</w:t>
            </w:r>
          </w:p>
        </w:tc>
        <w:tc>
          <w:tcPr>
            <w:tcW w:w="1200" w:type="dxa"/>
            <w:tcBorders>
              <w:top w:val="single" w:sz="5" w:space="0" w:color="000000"/>
              <w:left w:val="single" w:sz="5" w:space="0" w:color="000000"/>
              <w:bottom w:val="single" w:sz="5" w:space="0" w:color="000000"/>
              <w:right w:val="single" w:sz="8" w:space="0" w:color="000000"/>
            </w:tcBorders>
          </w:tcPr>
          <w:p w:rsidR="00C758EE" w:rsidRPr="00C758EE" w:rsidRDefault="00C758EE" w:rsidP="002412B0">
            <w:pPr>
              <w:pStyle w:val="TableParagraph"/>
              <w:rPr>
                <w:rFonts w:ascii="Calibri" w:eastAsia="Calibri" w:hAnsi="Calibri" w:cs="Calibri"/>
                <w:b/>
                <w:bCs/>
                <w:sz w:val="16"/>
                <w:szCs w:val="16"/>
              </w:rPr>
            </w:pPr>
          </w:p>
          <w:p w:rsidR="00C758EE" w:rsidRPr="00C758EE" w:rsidRDefault="00C758EE" w:rsidP="002412B0">
            <w:pPr>
              <w:pStyle w:val="TableParagraph"/>
              <w:spacing w:before="149"/>
              <w:ind w:left="63"/>
              <w:rPr>
                <w:rFonts w:ascii="Calibri" w:eastAsia="Calibri" w:hAnsi="Calibri" w:cs="Calibri"/>
                <w:sz w:val="16"/>
                <w:szCs w:val="16"/>
              </w:rPr>
            </w:pPr>
            <w:r w:rsidRPr="00C758EE">
              <w:rPr>
                <w:rFonts w:ascii="Calibri"/>
                <w:b/>
                <w:spacing w:val="-1"/>
                <w:sz w:val="16"/>
                <w:szCs w:val="16"/>
              </w:rPr>
              <w:t>Zusammen</w:t>
            </w:r>
          </w:p>
        </w:tc>
      </w:tr>
      <w:tr w:rsidR="00C758EE" w:rsidRPr="00C758EE" w:rsidTr="00C758EE">
        <w:trPr>
          <w:trHeight w:hRule="exact" w:val="770"/>
        </w:trPr>
        <w:tc>
          <w:tcPr>
            <w:tcW w:w="1803" w:type="dxa"/>
            <w:tcBorders>
              <w:top w:val="single" w:sz="5" w:space="0" w:color="000000"/>
              <w:left w:val="single" w:sz="8" w:space="0" w:color="000000"/>
              <w:bottom w:val="single" w:sz="5" w:space="0" w:color="000000"/>
              <w:right w:val="single" w:sz="8" w:space="0" w:color="000000"/>
            </w:tcBorders>
          </w:tcPr>
          <w:p w:rsidR="00C758EE" w:rsidRPr="00C758EE" w:rsidRDefault="00C758EE" w:rsidP="00C758EE">
            <w:pPr>
              <w:pStyle w:val="TableParagraph"/>
              <w:spacing w:before="120"/>
              <w:ind w:left="59"/>
              <w:rPr>
                <w:rFonts w:ascii="Calibri" w:eastAsia="Calibri" w:hAnsi="Calibri" w:cs="Calibri"/>
                <w:sz w:val="16"/>
                <w:szCs w:val="16"/>
              </w:rPr>
            </w:pPr>
            <w:r w:rsidRPr="00C758EE">
              <w:rPr>
                <w:rFonts w:ascii="Calibri" w:eastAsia="Calibri" w:hAnsi="Calibri" w:cs="Calibri"/>
                <w:sz w:val="16"/>
                <w:szCs w:val="16"/>
              </w:rPr>
              <w:t xml:space="preserve">§ </w:t>
            </w:r>
            <w:r w:rsidRPr="00C758EE">
              <w:rPr>
                <w:rFonts w:ascii="Calibri" w:eastAsia="Calibri" w:hAnsi="Calibri" w:cs="Calibri"/>
                <w:spacing w:val="-1"/>
                <w:sz w:val="16"/>
                <w:szCs w:val="16"/>
              </w:rPr>
              <w:t>14</w:t>
            </w:r>
            <w:r w:rsidRPr="00C758EE">
              <w:rPr>
                <w:rFonts w:ascii="Calibri" w:eastAsia="Calibri" w:hAnsi="Calibri" w:cs="Calibri"/>
                <w:sz w:val="16"/>
                <w:szCs w:val="16"/>
              </w:rPr>
              <w:t xml:space="preserve"> </w:t>
            </w:r>
            <w:r w:rsidRPr="00C758EE">
              <w:rPr>
                <w:rFonts w:ascii="Calibri" w:eastAsia="Calibri" w:hAnsi="Calibri" w:cs="Calibri"/>
                <w:spacing w:val="-1"/>
                <w:sz w:val="16"/>
                <w:szCs w:val="16"/>
              </w:rPr>
              <w:t>Abs.</w:t>
            </w:r>
            <w:r w:rsidRPr="00C758EE">
              <w:rPr>
                <w:rFonts w:ascii="Calibri" w:eastAsia="Calibri" w:hAnsi="Calibri" w:cs="Calibri"/>
                <w:spacing w:val="-2"/>
                <w:sz w:val="16"/>
                <w:szCs w:val="16"/>
              </w:rPr>
              <w:t xml:space="preserve"> </w:t>
            </w:r>
            <w:r w:rsidRPr="00C758EE">
              <w:rPr>
                <w:rFonts w:ascii="Calibri" w:eastAsia="Calibri" w:hAnsi="Calibri" w:cs="Calibri"/>
                <w:sz w:val="16"/>
                <w:szCs w:val="16"/>
              </w:rPr>
              <w:t xml:space="preserve">1 </w:t>
            </w:r>
            <w:r w:rsidRPr="00C758EE">
              <w:rPr>
                <w:rFonts w:ascii="Calibri" w:eastAsia="Calibri" w:hAnsi="Calibri" w:cs="Calibri"/>
                <w:spacing w:val="-1"/>
                <w:sz w:val="16"/>
                <w:szCs w:val="16"/>
              </w:rPr>
              <w:t xml:space="preserve">Satz </w:t>
            </w:r>
            <w:r w:rsidRPr="00C758EE">
              <w:rPr>
                <w:rFonts w:ascii="Calibri"/>
                <w:sz w:val="16"/>
                <w:szCs w:val="16"/>
              </w:rPr>
              <w:t xml:space="preserve">2 </w:t>
            </w:r>
            <w:r w:rsidRPr="00C758EE">
              <w:rPr>
                <w:rFonts w:ascii="Calibri"/>
                <w:sz w:val="16"/>
                <w:szCs w:val="16"/>
              </w:rPr>
              <w:br/>
            </w:r>
            <w:r w:rsidRPr="00C758EE">
              <w:rPr>
                <w:rFonts w:ascii="Calibri"/>
                <w:spacing w:val="-1"/>
                <w:sz w:val="16"/>
                <w:szCs w:val="16"/>
              </w:rPr>
              <w:t>Nr.</w:t>
            </w:r>
            <w:r w:rsidRPr="00C758EE">
              <w:rPr>
                <w:rFonts w:ascii="Calibri"/>
                <w:sz w:val="16"/>
                <w:szCs w:val="16"/>
              </w:rPr>
              <w:t xml:space="preserve"> 1</w:t>
            </w:r>
            <w:r w:rsidRPr="00C758EE">
              <w:rPr>
                <w:rFonts w:ascii="Calibri"/>
                <w:spacing w:val="-2"/>
                <w:sz w:val="16"/>
                <w:szCs w:val="16"/>
              </w:rPr>
              <w:t xml:space="preserve"> </w:t>
            </w:r>
            <w:r w:rsidRPr="00C758EE">
              <w:rPr>
                <w:rFonts w:ascii="Calibri"/>
                <w:spacing w:val="-2"/>
                <w:sz w:val="16"/>
                <w:szCs w:val="16"/>
                <w:lang w:val="de-DE"/>
              </w:rPr>
              <w:t>Teilzeit- und Befristungsgesetz (</w:t>
            </w:r>
            <w:r w:rsidRPr="00C758EE">
              <w:rPr>
                <w:rFonts w:ascii="Calibri"/>
                <w:spacing w:val="-1"/>
                <w:sz w:val="16"/>
                <w:szCs w:val="16"/>
              </w:rPr>
              <w:t>TzBfG)</w:t>
            </w:r>
          </w:p>
        </w:tc>
        <w:tc>
          <w:tcPr>
            <w:tcW w:w="1298" w:type="dxa"/>
            <w:tcBorders>
              <w:top w:val="single" w:sz="5" w:space="0" w:color="000000"/>
              <w:left w:val="single" w:sz="8"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ind w:right="1"/>
              <w:jc w:val="center"/>
              <w:rPr>
                <w:rFonts w:ascii="Calibri" w:eastAsia="Calibri" w:hAnsi="Calibri" w:cs="Calibri"/>
                <w:sz w:val="16"/>
                <w:szCs w:val="16"/>
              </w:rPr>
            </w:pPr>
            <w:r w:rsidRPr="00C758EE">
              <w:rPr>
                <w:rFonts w:ascii="Calibri"/>
                <w:spacing w:val="-1"/>
                <w:sz w:val="16"/>
                <w:szCs w:val="16"/>
              </w:rPr>
              <w:t>109</w:t>
            </w:r>
          </w:p>
        </w:tc>
        <w:tc>
          <w:tcPr>
            <w:tcW w:w="1201"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97</w:t>
            </w:r>
          </w:p>
        </w:tc>
        <w:tc>
          <w:tcPr>
            <w:tcW w:w="1229"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ind w:right="1"/>
              <w:jc w:val="center"/>
              <w:rPr>
                <w:rFonts w:ascii="Calibri" w:eastAsia="Calibri" w:hAnsi="Calibri" w:cs="Calibri"/>
                <w:sz w:val="16"/>
                <w:szCs w:val="16"/>
              </w:rPr>
            </w:pPr>
            <w:r w:rsidRPr="00C758EE">
              <w:rPr>
                <w:rFonts w:ascii="Calibri"/>
                <w:spacing w:val="-1"/>
                <w:sz w:val="16"/>
                <w:szCs w:val="16"/>
              </w:rPr>
              <w:t>707</w:t>
            </w:r>
          </w:p>
        </w:tc>
        <w:tc>
          <w:tcPr>
            <w:tcW w:w="1200"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62</w:t>
            </w:r>
          </w:p>
        </w:tc>
        <w:tc>
          <w:tcPr>
            <w:tcW w:w="1200"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ind w:right="1"/>
              <w:jc w:val="center"/>
              <w:rPr>
                <w:rFonts w:ascii="Calibri" w:eastAsia="Calibri" w:hAnsi="Calibri" w:cs="Calibri"/>
                <w:sz w:val="16"/>
                <w:szCs w:val="16"/>
              </w:rPr>
            </w:pPr>
            <w:r w:rsidRPr="00C758EE">
              <w:rPr>
                <w:rFonts w:ascii="Calibri"/>
                <w:spacing w:val="-1"/>
                <w:sz w:val="16"/>
                <w:szCs w:val="16"/>
              </w:rPr>
              <w:t>387</w:t>
            </w:r>
          </w:p>
        </w:tc>
        <w:tc>
          <w:tcPr>
            <w:tcW w:w="1201"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54</w:t>
            </w:r>
          </w:p>
        </w:tc>
        <w:tc>
          <w:tcPr>
            <w:tcW w:w="1200" w:type="dxa"/>
            <w:tcBorders>
              <w:top w:val="single" w:sz="5" w:space="0" w:color="000000"/>
              <w:left w:val="single" w:sz="5" w:space="0" w:color="000000"/>
              <w:bottom w:val="single" w:sz="5" w:space="0" w:color="000000"/>
              <w:right w:val="single" w:sz="8"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ind w:left="371"/>
              <w:rPr>
                <w:rFonts w:ascii="Calibri" w:eastAsia="Calibri" w:hAnsi="Calibri" w:cs="Calibri"/>
                <w:sz w:val="16"/>
                <w:szCs w:val="16"/>
              </w:rPr>
            </w:pPr>
            <w:r w:rsidRPr="00C758EE">
              <w:rPr>
                <w:rFonts w:ascii="Calibri"/>
                <w:spacing w:val="-1"/>
                <w:sz w:val="16"/>
                <w:szCs w:val="16"/>
              </w:rPr>
              <w:t>1</w:t>
            </w:r>
            <w:r w:rsidR="005B2D24">
              <w:rPr>
                <w:rFonts w:ascii="Calibri"/>
                <w:spacing w:val="-1"/>
                <w:sz w:val="16"/>
                <w:szCs w:val="16"/>
              </w:rPr>
              <w:t>.</w:t>
            </w:r>
            <w:r w:rsidRPr="00C758EE">
              <w:rPr>
                <w:rFonts w:ascii="Calibri"/>
                <w:spacing w:val="-1"/>
                <w:sz w:val="16"/>
                <w:szCs w:val="16"/>
              </w:rPr>
              <w:t>416</w:t>
            </w:r>
          </w:p>
        </w:tc>
      </w:tr>
      <w:tr w:rsidR="00C758EE" w:rsidRPr="00C758EE" w:rsidTr="00C758EE">
        <w:trPr>
          <w:trHeight w:hRule="exact" w:val="673"/>
        </w:trPr>
        <w:tc>
          <w:tcPr>
            <w:tcW w:w="1803" w:type="dxa"/>
            <w:tcBorders>
              <w:top w:val="single" w:sz="5" w:space="0" w:color="000000"/>
              <w:left w:val="single" w:sz="8" w:space="0" w:color="000000"/>
              <w:bottom w:val="single" w:sz="5" w:space="0" w:color="000000"/>
              <w:right w:val="single" w:sz="8" w:space="0" w:color="000000"/>
            </w:tcBorders>
          </w:tcPr>
          <w:p w:rsidR="00C758EE" w:rsidRPr="00C758EE" w:rsidRDefault="00C758EE" w:rsidP="00C758EE">
            <w:pPr>
              <w:pStyle w:val="TableParagraph"/>
              <w:spacing w:before="123"/>
              <w:ind w:left="59"/>
              <w:rPr>
                <w:rFonts w:ascii="Calibri" w:eastAsia="Calibri" w:hAnsi="Calibri" w:cs="Calibri"/>
                <w:sz w:val="16"/>
                <w:szCs w:val="16"/>
              </w:rPr>
            </w:pPr>
            <w:r w:rsidRPr="00C758EE">
              <w:rPr>
                <w:rFonts w:ascii="Calibri" w:eastAsia="Calibri" w:hAnsi="Calibri" w:cs="Calibri"/>
                <w:sz w:val="16"/>
                <w:szCs w:val="16"/>
              </w:rPr>
              <w:t xml:space="preserve">§ </w:t>
            </w:r>
            <w:r w:rsidRPr="00C758EE">
              <w:rPr>
                <w:rFonts w:ascii="Calibri" w:eastAsia="Calibri" w:hAnsi="Calibri" w:cs="Calibri"/>
                <w:spacing w:val="-1"/>
                <w:sz w:val="16"/>
                <w:szCs w:val="16"/>
              </w:rPr>
              <w:t>14</w:t>
            </w:r>
            <w:r w:rsidRPr="00C758EE">
              <w:rPr>
                <w:rFonts w:ascii="Calibri" w:eastAsia="Calibri" w:hAnsi="Calibri" w:cs="Calibri"/>
                <w:sz w:val="16"/>
                <w:szCs w:val="16"/>
              </w:rPr>
              <w:t xml:space="preserve"> </w:t>
            </w:r>
            <w:r w:rsidRPr="00C758EE">
              <w:rPr>
                <w:rFonts w:ascii="Calibri" w:eastAsia="Calibri" w:hAnsi="Calibri" w:cs="Calibri"/>
                <w:spacing w:val="-1"/>
                <w:sz w:val="16"/>
                <w:szCs w:val="16"/>
              </w:rPr>
              <w:t>Abs.</w:t>
            </w:r>
            <w:r w:rsidRPr="00C758EE">
              <w:rPr>
                <w:rFonts w:ascii="Calibri" w:eastAsia="Calibri" w:hAnsi="Calibri" w:cs="Calibri"/>
                <w:spacing w:val="-3"/>
                <w:sz w:val="16"/>
                <w:szCs w:val="16"/>
              </w:rPr>
              <w:t xml:space="preserve"> </w:t>
            </w:r>
            <w:r w:rsidRPr="00C758EE">
              <w:rPr>
                <w:rFonts w:ascii="Calibri" w:eastAsia="Calibri" w:hAnsi="Calibri" w:cs="Calibri"/>
                <w:sz w:val="16"/>
                <w:szCs w:val="16"/>
              </w:rPr>
              <w:t xml:space="preserve">1 </w:t>
            </w:r>
            <w:r w:rsidRPr="00C758EE">
              <w:rPr>
                <w:rFonts w:ascii="Calibri" w:eastAsia="Calibri" w:hAnsi="Calibri" w:cs="Calibri"/>
                <w:spacing w:val="-1"/>
                <w:sz w:val="16"/>
                <w:szCs w:val="16"/>
              </w:rPr>
              <w:t xml:space="preserve">Satz </w:t>
            </w:r>
            <w:r w:rsidRPr="00C758EE">
              <w:rPr>
                <w:rFonts w:ascii="Calibri"/>
                <w:sz w:val="16"/>
                <w:szCs w:val="16"/>
              </w:rPr>
              <w:t xml:space="preserve">2 </w:t>
            </w:r>
            <w:r w:rsidRPr="00C758EE">
              <w:rPr>
                <w:rFonts w:ascii="Calibri"/>
                <w:sz w:val="16"/>
                <w:szCs w:val="16"/>
              </w:rPr>
              <w:br/>
            </w:r>
            <w:r w:rsidRPr="00C758EE">
              <w:rPr>
                <w:rFonts w:ascii="Calibri"/>
                <w:spacing w:val="-1"/>
                <w:sz w:val="16"/>
                <w:szCs w:val="16"/>
              </w:rPr>
              <w:t>Nr.</w:t>
            </w:r>
            <w:r w:rsidRPr="00C758EE">
              <w:rPr>
                <w:rFonts w:ascii="Calibri"/>
                <w:sz w:val="16"/>
                <w:szCs w:val="16"/>
              </w:rPr>
              <w:t xml:space="preserve"> 2</w:t>
            </w:r>
            <w:r w:rsidRPr="00C758EE">
              <w:rPr>
                <w:rFonts w:ascii="Calibri"/>
                <w:spacing w:val="-2"/>
                <w:sz w:val="16"/>
                <w:szCs w:val="16"/>
              </w:rPr>
              <w:t xml:space="preserve"> </w:t>
            </w:r>
            <w:r w:rsidRPr="00C758EE">
              <w:rPr>
                <w:rFonts w:ascii="Calibri"/>
                <w:spacing w:val="-1"/>
                <w:sz w:val="16"/>
                <w:szCs w:val="16"/>
              </w:rPr>
              <w:t>TzBfG</w:t>
            </w:r>
          </w:p>
        </w:tc>
        <w:tc>
          <w:tcPr>
            <w:tcW w:w="1298" w:type="dxa"/>
            <w:tcBorders>
              <w:top w:val="single" w:sz="5" w:space="0" w:color="000000"/>
              <w:left w:val="single" w:sz="8" w:space="0" w:color="000000"/>
              <w:bottom w:val="single" w:sz="5" w:space="0" w:color="000000"/>
              <w:right w:val="single" w:sz="5" w:space="0" w:color="000000"/>
            </w:tcBorders>
          </w:tcPr>
          <w:p w:rsidR="00C758EE" w:rsidRPr="00C758EE" w:rsidRDefault="00C758EE" w:rsidP="002412B0">
            <w:pPr>
              <w:pStyle w:val="TableParagraph"/>
              <w:spacing w:before="2"/>
              <w:rPr>
                <w:rFonts w:ascii="Calibri" w:eastAsia="Calibri" w:hAnsi="Calibri" w:cs="Calibri"/>
                <w:b/>
                <w:bCs/>
                <w:sz w:val="16"/>
                <w:szCs w:val="16"/>
              </w:rPr>
            </w:pPr>
          </w:p>
          <w:p w:rsidR="00C758EE" w:rsidRPr="00C758EE" w:rsidRDefault="00C758EE" w:rsidP="002412B0">
            <w:pPr>
              <w:pStyle w:val="TableParagraph"/>
              <w:ind w:right="1"/>
              <w:jc w:val="center"/>
              <w:rPr>
                <w:rFonts w:ascii="Calibri" w:eastAsia="Calibri" w:hAnsi="Calibri" w:cs="Calibri"/>
                <w:sz w:val="16"/>
                <w:szCs w:val="16"/>
              </w:rPr>
            </w:pPr>
            <w:r w:rsidRPr="00C758EE">
              <w:rPr>
                <w:rFonts w:ascii="Calibri"/>
                <w:spacing w:val="-1"/>
                <w:sz w:val="16"/>
                <w:szCs w:val="16"/>
              </w:rPr>
              <w:t>400</w:t>
            </w:r>
          </w:p>
        </w:tc>
        <w:tc>
          <w:tcPr>
            <w:tcW w:w="1201"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2"/>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x</w:t>
            </w:r>
          </w:p>
        </w:tc>
        <w:tc>
          <w:tcPr>
            <w:tcW w:w="1229"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2"/>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x</w:t>
            </w:r>
          </w:p>
        </w:tc>
        <w:tc>
          <w:tcPr>
            <w:tcW w:w="1200"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2"/>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x</w:t>
            </w:r>
          </w:p>
        </w:tc>
        <w:tc>
          <w:tcPr>
            <w:tcW w:w="1200"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2"/>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x</w:t>
            </w:r>
          </w:p>
        </w:tc>
        <w:tc>
          <w:tcPr>
            <w:tcW w:w="1201"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2"/>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x</w:t>
            </w:r>
          </w:p>
        </w:tc>
        <w:tc>
          <w:tcPr>
            <w:tcW w:w="1200" w:type="dxa"/>
            <w:tcBorders>
              <w:top w:val="single" w:sz="5" w:space="0" w:color="000000"/>
              <w:left w:val="single" w:sz="5" w:space="0" w:color="000000"/>
              <w:bottom w:val="single" w:sz="5" w:space="0" w:color="000000"/>
              <w:right w:val="single" w:sz="8" w:space="0" w:color="000000"/>
            </w:tcBorders>
          </w:tcPr>
          <w:p w:rsidR="00C758EE" w:rsidRPr="00C758EE" w:rsidRDefault="00C758EE" w:rsidP="002412B0">
            <w:pPr>
              <w:pStyle w:val="TableParagraph"/>
              <w:spacing w:before="2"/>
              <w:rPr>
                <w:rFonts w:ascii="Calibri" w:eastAsia="Calibri" w:hAnsi="Calibri" w:cs="Calibri"/>
                <w:b/>
                <w:bCs/>
                <w:sz w:val="16"/>
                <w:szCs w:val="16"/>
              </w:rPr>
            </w:pPr>
          </w:p>
          <w:p w:rsidR="00C758EE" w:rsidRPr="00C758EE" w:rsidRDefault="00C758EE" w:rsidP="002412B0">
            <w:pPr>
              <w:pStyle w:val="TableParagraph"/>
              <w:ind w:left="3"/>
              <w:jc w:val="center"/>
              <w:rPr>
                <w:rFonts w:ascii="Calibri" w:eastAsia="Calibri" w:hAnsi="Calibri" w:cs="Calibri"/>
                <w:sz w:val="16"/>
                <w:szCs w:val="16"/>
              </w:rPr>
            </w:pPr>
            <w:r w:rsidRPr="00C758EE">
              <w:rPr>
                <w:rFonts w:ascii="Calibri"/>
                <w:spacing w:val="-1"/>
                <w:sz w:val="16"/>
                <w:szCs w:val="16"/>
              </w:rPr>
              <w:t>412</w:t>
            </w:r>
          </w:p>
        </w:tc>
      </w:tr>
      <w:tr w:rsidR="00C758EE" w:rsidRPr="00C758EE" w:rsidTr="00C758EE">
        <w:trPr>
          <w:trHeight w:hRule="exact" w:val="670"/>
        </w:trPr>
        <w:tc>
          <w:tcPr>
            <w:tcW w:w="1803" w:type="dxa"/>
            <w:tcBorders>
              <w:top w:val="single" w:sz="5" w:space="0" w:color="000000"/>
              <w:left w:val="single" w:sz="8" w:space="0" w:color="000000"/>
              <w:bottom w:val="single" w:sz="5" w:space="0" w:color="000000"/>
              <w:right w:val="single" w:sz="8" w:space="0" w:color="000000"/>
            </w:tcBorders>
          </w:tcPr>
          <w:p w:rsidR="00C758EE" w:rsidRPr="00C758EE" w:rsidRDefault="00C758EE" w:rsidP="00C758EE">
            <w:pPr>
              <w:pStyle w:val="TableParagraph"/>
              <w:spacing w:before="120"/>
              <w:ind w:left="59"/>
              <w:rPr>
                <w:rFonts w:ascii="Calibri" w:eastAsia="Calibri" w:hAnsi="Calibri" w:cs="Calibri"/>
                <w:sz w:val="16"/>
                <w:szCs w:val="16"/>
              </w:rPr>
            </w:pPr>
            <w:r w:rsidRPr="00C758EE">
              <w:rPr>
                <w:rFonts w:ascii="Calibri" w:eastAsia="Calibri" w:hAnsi="Calibri" w:cs="Calibri"/>
                <w:sz w:val="16"/>
                <w:szCs w:val="16"/>
              </w:rPr>
              <w:t xml:space="preserve">§ </w:t>
            </w:r>
            <w:r w:rsidRPr="00C758EE">
              <w:rPr>
                <w:rFonts w:ascii="Calibri" w:eastAsia="Calibri" w:hAnsi="Calibri" w:cs="Calibri"/>
                <w:spacing w:val="-1"/>
                <w:sz w:val="16"/>
                <w:szCs w:val="16"/>
              </w:rPr>
              <w:t>14</w:t>
            </w:r>
            <w:r w:rsidRPr="00C758EE">
              <w:rPr>
                <w:rFonts w:ascii="Calibri" w:eastAsia="Calibri" w:hAnsi="Calibri" w:cs="Calibri"/>
                <w:sz w:val="16"/>
                <w:szCs w:val="16"/>
              </w:rPr>
              <w:t xml:space="preserve"> </w:t>
            </w:r>
            <w:r w:rsidRPr="00C758EE">
              <w:rPr>
                <w:rFonts w:ascii="Calibri" w:eastAsia="Calibri" w:hAnsi="Calibri" w:cs="Calibri"/>
                <w:spacing w:val="-1"/>
                <w:sz w:val="16"/>
                <w:szCs w:val="16"/>
              </w:rPr>
              <w:t>Abs.</w:t>
            </w:r>
            <w:r w:rsidRPr="00C758EE">
              <w:rPr>
                <w:rFonts w:ascii="Calibri" w:eastAsia="Calibri" w:hAnsi="Calibri" w:cs="Calibri"/>
                <w:spacing w:val="-3"/>
                <w:sz w:val="16"/>
                <w:szCs w:val="16"/>
              </w:rPr>
              <w:t xml:space="preserve"> </w:t>
            </w:r>
            <w:r w:rsidRPr="00C758EE">
              <w:rPr>
                <w:rFonts w:ascii="Calibri" w:eastAsia="Calibri" w:hAnsi="Calibri" w:cs="Calibri"/>
                <w:sz w:val="16"/>
                <w:szCs w:val="16"/>
              </w:rPr>
              <w:t xml:space="preserve">1 </w:t>
            </w:r>
            <w:r w:rsidRPr="00C758EE">
              <w:rPr>
                <w:rFonts w:ascii="Calibri" w:eastAsia="Calibri" w:hAnsi="Calibri" w:cs="Calibri"/>
                <w:spacing w:val="-1"/>
                <w:sz w:val="16"/>
                <w:szCs w:val="16"/>
              </w:rPr>
              <w:t>Satz</w:t>
            </w:r>
            <w:r w:rsidRPr="00C758EE">
              <w:rPr>
                <w:rFonts w:ascii="Calibri"/>
                <w:sz w:val="16"/>
                <w:szCs w:val="16"/>
              </w:rPr>
              <w:t xml:space="preserve">2 </w:t>
            </w:r>
            <w:r w:rsidRPr="00C758EE">
              <w:rPr>
                <w:rFonts w:ascii="Calibri"/>
                <w:sz w:val="16"/>
                <w:szCs w:val="16"/>
              </w:rPr>
              <w:br/>
            </w:r>
            <w:r w:rsidRPr="00C758EE">
              <w:rPr>
                <w:rFonts w:ascii="Calibri"/>
                <w:spacing w:val="-1"/>
                <w:sz w:val="16"/>
                <w:szCs w:val="16"/>
              </w:rPr>
              <w:t>Nr.</w:t>
            </w:r>
            <w:r w:rsidRPr="00C758EE">
              <w:rPr>
                <w:rFonts w:ascii="Calibri"/>
                <w:sz w:val="16"/>
                <w:szCs w:val="16"/>
              </w:rPr>
              <w:t xml:space="preserve"> 3</w:t>
            </w:r>
            <w:r w:rsidRPr="00C758EE">
              <w:rPr>
                <w:rFonts w:ascii="Calibri"/>
                <w:spacing w:val="-2"/>
                <w:sz w:val="16"/>
                <w:szCs w:val="16"/>
              </w:rPr>
              <w:t xml:space="preserve"> </w:t>
            </w:r>
            <w:r w:rsidRPr="00C758EE">
              <w:rPr>
                <w:rFonts w:ascii="Calibri"/>
                <w:spacing w:val="-1"/>
                <w:sz w:val="16"/>
                <w:szCs w:val="16"/>
              </w:rPr>
              <w:t>TzBfG</w:t>
            </w:r>
          </w:p>
        </w:tc>
        <w:tc>
          <w:tcPr>
            <w:tcW w:w="1298" w:type="dxa"/>
            <w:tcBorders>
              <w:top w:val="single" w:sz="5" w:space="0" w:color="000000"/>
              <w:left w:val="single" w:sz="8"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ind w:right="1"/>
              <w:jc w:val="center"/>
              <w:rPr>
                <w:rFonts w:ascii="Calibri" w:eastAsia="Calibri" w:hAnsi="Calibri" w:cs="Calibri"/>
                <w:sz w:val="16"/>
                <w:szCs w:val="16"/>
              </w:rPr>
            </w:pPr>
            <w:r w:rsidRPr="00C758EE">
              <w:rPr>
                <w:rFonts w:ascii="Calibri"/>
                <w:spacing w:val="-1"/>
                <w:sz w:val="16"/>
                <w:szCs w:val="16"/>
              </w:rPr>
              <w:t>110</w:t>
            </w:r>
          </w:p>
        </w:tc>
        <w:tc>
          <w:tcPr>
            <w:tcW w:w="1201"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pacing w:val="-1"/>
                <w:sz w:val="16"/>
                <w:szCs w:val="16"/>
              </w:rPr>
              <w:t>303</w:t>
            </w:r>
          </w:p>
        </w:tc>
        <w:tc>
          <w:tcPr>
            <w:tcW w:w="1229"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ind w:right="1"/>
              <w:jc w:val="center"/>
              <w:rPr>
                <w:rFonts w:ascii="Calibri" w:eastAsia="Calibri" w:hAnsi="Calibri" w:cs="Calibri"/>
                <w:sz w:val="16"/>
                <w:szCs w:val="16"/>
              </w:rPr>
            </w:pPr>
            <w:r w:rsidRPr="00C758EE">
              <w:rPr>
                <w:rFonts w:ascii="Calibri"/>
                <w:spacing w:val="-1"/>
                <w:sz w:val="16"/>
                <w:szCs w:val="16"/>
              </w:rPr>
              <w:t>499</w:t>
            </w:r>
          </w:p>
        </w:tc>
        <w:tc>
          <w:tcPr>
            <w:tcW w:w="1200"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54</w:t>
            </w:r>
          </w:p>
        </w:tc>
        <w:tc>
          <w:tcPr>
            <w:tcW w:w="1200"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ind w:right="1"/>
              <w:jc w:val="center"/>
              <w:rPr>
                <w:rFonts w:ascii="Calibri" w:eastAsia="Calibri" w:hAnsi="Calibri" w:cs="Calibri"/>
                <w:sz w:val="16"/>
                <w:szCs w:val="16"/>
              </w:rPr>
            </w:pPr>
            <w:r w:rsidRPr="00C758EE">
              <w:rPr>
                <w:rFonts w:ascii="Calibri"/>
                <w:spacing w:val="-1"/>
                <w:sz w:val="16"/>
                <w:szCs w:val="16"/>
              </w:rPr>
              <w:t>132</w:t>
            </w:r>
          </w:p>
        </w:tc>
        <w:tc>
          <w:tcPr>
            <w:tcW w:w="1201"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68</w:t>
            </w:r>
          </w:p>
        </w:tc>
        <w:tc>
          <w:tcPr>
            <w:tcW w:w="1200" w:type="dxa"/>
            <w:tcBorders>
              <w:top w:val="single" w:sz="5" w:space="0" w:color="000000"/>
              <w:left w:val="single" w:sz="5" w:space="0" w:color="000000"/>
              <w:bottom w:val="single" w:sz="5" w:space="0" w:color="000000"/>
              <w:right w:val="single" w:sz="8"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ind w:left="371"/>
              <w:rPr>
                <w:rFonts w:ascii="Calibri" w:eastAsia="Calibri" w:hAnsi="Calibri" w:cs="Calibri"/>
                <w:sz w:val="16"/>
                <w:szCs w:val="16"/>
              </w:rPr>
            </w:pPr>
            <w:r w:rsidRPr="00C758EE">
              <w:rPr>
                <w:rFonts w:ascii="Calibri"/>
                <w:spacing w:val="-1"/>
                <w:sz w:val="16"/>
                <w:szCs w:val="16"/>
              </w:rPr>
              <w:t>1</w:t>
            </w:r>
            <w:r w:rsidR="005B2D24">
              <w:rPr>
                <w:rFonts w:ascii="Calibri"/>
                <w:spacing w:val="-1"/>
                <w:sz w:val="16"/>
                <w:szCs w:val="16"/>
              </w:rPr>
              <w:t>.</w:t>
            </w:r>
            <w:r w:rsidRPr="00C758EE">
              <w:rPr>
                <w:rFonts w:ascii="Calibri"/>
                <w:spacing w:val="-1"/>
                <w:sz w:val="16"/>
                <w:szCs w:val="16"/>
              </w:rPr>
              <w:t>166</w:t>
            </w:r>
          </w:p>
        </w:tc>
      </w:tr>
      <w:tr w:rsidR="00C758EE" w:rsidRPr="00C758EE" w:rsidTr="00C758EE">
        <w:trPr>
          <w:trHeight w:hRule="exact" w:val="670"/>
        </w:trPr>
        <w:tc>
          <w:tcPr>
            <w:tcW w:w="1803" w:type="dxa"/>
            <w:tcBorders>
              <w:top w:val="single" w:sz="5" w:space="0" w:color="000000"/>
              <w:left w:val="single" w:sz="8" w:space="0" w:color="000000"/>
              <w:bottom w:val="single" w:sz="5" w:space="0" w:color="000000"/>
              <w:right w:val="single" w:sz="8" w:space="0" w:color="000000"/>
            </w:tcBorders>
          </w:tcPr>
          <w:p w:rsidR="00C758EE" w:rsidRPr="00C758EE" w:rsidRDefault="00C758EE" w:rsidP="00C758EE">
            <w:pPr>
              <w:pStyle w:val="TableParagraph"/>
              <w:spacing w:before="120"/>
              <w:ind w:left="59"/>
              <w:rPr>
                <w:rFonts w:ascii="Calibri" w:eastAsia="Calibri" w:hAnsi="Calibri" w:cs="Calibri"/>
                <w:sz w:val="16"/>
                <w:szCs w:val="16"/>
              </w:rPr>
            </w:pPr>
            <w:r w:rsidRPr="00C758EE">
              <w:rPr>
                <w:rFonts w:ascii="Calibri" w:eastAsia="Calibri" w:hAnsi="Calibri" w:cs="Calibri"/>
                <w:sz w:val="16"/>
                <w:szCs w:val="16"/>
              </w:rPr>
              <w:t xml:space="preserve">§ </w:t>
            </w:r>
            <w:r w:rsidRPr="00C758EE">
              <w:rPr>
                <w:rFonts w:ascii="Calibri" w:eastAsia="Calibri" w:hAnsi="Calibri" w:cs="Calibri"/>
                <w:spacing w:val="-1"/>
                <w:sz w:val="16"/>
                <w:szCs w:val="16"/>
              </w:rPr>
              <w:t>14</w:t>
            </w:r>
            <w:r w:rsidRPr="00C758EE">
              <w:rPr>
                <w:rFonts w:ascii="Calibri" w:eastAsia="Calibri" w:hAnsi="Calibri" w:cs="Calibri"/>
                <w:sz w:val="16"/>
                <w:szCs w:val="16"/>
              </w:rPr>
              <w:t xml:space="preserve"> </w:t>
            </w:r>
            <w:r w:rsidRPr="00C758EE">
              <w:rPr>
                <w:rFonts w:ascii="Calibri" w:eastAsia="Calibri" w:hAnsi="Calibri" w:cs="Calibri"/>
                <w:spacing w:val="-1"/>
                <w:sz w:val="16"/>
                <w:szCs w:val="16"/>
              </w:rPr>
              <w:t>Abs.</w:t>
            </w:r>
            <w:r w:rsidRPr="00C758EE">
              <w:rPr>
                <w:rFonts w:ascii="Calibri" w:eastAsia="Calibri" w:hAnsi="Calibri" w:cs="Calibri"/>
                <w:spacing w:val="-3"/>
                <w:sz w:val="16"/>
                <w:szCs w:val="16"/>
              </w:rPr>
              <w:t xml:space="preserve"> </w:t>
            </w:r>
            <w:r w:rsidRPr="00C758EE">
              <w:rPr>
                <w:rFonts w:ascii="Calibri" w:eastAsia="Calibri" w:hAnsi="Calibri" w:cs="Calibri"/>
                <w:sz w:val="16"/>
                <w:szCs w:val="16"/>
              </w:rPr>
              <w:t xml:space="preserve">1 </w:t>
            </w:r>
            <w:r w:rsidRPr="00C758EE">
              <w:rPr>
                <w:rFonts w:ascii="Calibri" w:eastAsia="Calibri" w:hAnsi="Calibri" w:cs="Calibri"/>
                <w:spacing w:val="-1"/>
                <w:sz w:val="16"/>
                <w:szCs w:val="16"/>
              </w:rPr>
              <w:t xml:space="preserve">Satz </w:t>
            </w:r>
            <w:r w:rsidRPr="00C758EE">
              <w:rPr>
                <w:rFonts w:ascii="Calibri"/>
                <w:sz w:val="16"/>
                <w:szCs w:val="16"/>
              </w:rPr>
              <w:t xml:space="preserve">2 </w:t>
            </w:r>
            <w:r w:rsidRPr="00C758EE">
              <w:rPr>
                <w:rFonts w:ascii="Calibri"/>
                <w:sz w:val="16"/>
                <w:szCs w:val="16"/>
              </w:rPr>
              <w:br/>
            </w:r>
            <w:r w:rsidRPr="00C758EE">
              <w:rPr>
                <w:rFonts w:ascii="Calibri"/>
                <w:spacing w:val="-1"/>
                <w:sz w:val="16"/>
                <w:szCs w:val="16"/>
              </w:rPr>
              <w:t>Nr.</w:t>
            </w:r>
            <w:r w:rsidRPr="00C758EE">
              <w:rPr>
                <w:rFonts w:ascii="Calibri"/>
                <w:sz w:val="16"/>
                <w:szCs w:val="16"/>
              </w:rPr>
              <w:t xml:space="preserve"> 4</w:t>
            </w:r>
            <w:r w:rsidRPr="00C758EE">
              <w:rPr>
                <w:rFonts w:ascii="Calibri"/>
                <w:spacing w:val="-2"/>
                <w:sz w:val="16"/>
                <w:szCs w:val="16"/>
              </w:rPr>
              <w:t xml:space="preserve"> </w:t>
            </w:r>
            <w:r w:rsidRPr="00C758EE">
              <w:rPr>
                <w:rFonts w:ascii="Calibri"/>
                <w:spacing w:val="-1"/>
                <w:sz w:val="16"/>
                <w:szCs w:val="16"/>
              </w:rPr>
              <w:t>TzBfG</w:t>
            </w:r>
          </w:p>
        </w:tc>
        <w:tc>
          <w:tcPr>
            <w:tcW w:w="1298" w:type="dxa"/>
            <w:tcBorders>
              <w:top w:val="single" w:sz="5" w:space="0" w:color="000000"/>
              <w:left w:val="single" w:sz="8"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56</w:t>
            </w:r>
          </w:p>
        </w:tc>
        <w:tc>
          <w:tcPr>
            <w:tcW w:w="1201"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35</w:t>
            </w:r>
          </w:p>
        </w:tc>
        <w:tc>
          <w:tcPr>
            <w:tcW w:w="1229"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93</w:t>
            </w:r>
          </w:p>
        </w:tc>
        <w:tc>
          <w:tcPr>
            <w:tcW w:w="1200"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10</w:t>
            </w:r>
          </w:p>
        </w:tc>
        <w:tc>
          <w:tcPr>
            <w:tcW w:w="1200"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97</w:t>
            </w:r>
          </w:p>
        </w:tc>
        <w:tc>
          <w:tcPr>
            <w:tcW w:w="1201"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9</w:t>
            </w:r>
          </w:p>
        </w:tc>
        <w:tc>
          <w:tcPr>
            <w:tcW w:w="1200" w:type="dxa"/>
            <w:tcBorders>
              <w:top w:val="single" w:sz="5" w:space="0" w:color="000000"/>
              <w:left w:val="single" w:sz="5" w:space="0" w:color="000000"/>
              <w:bottom w:val="single" w:sz="5" w:space="0" w:color="000000"/>
              <w:right w:val="single" w:sz="8"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ind w:left="3"/>
              <w:jc w:val="center"/>
              <w:rPr>
                <w:rFonts w:ascii="Calibri" w:eastAsia="Calibri" w:hAnsi="Calibri" w:cs="Calibri"/>
                <w:sz w:val="16"/>
                <w:szCs w:val="16"/>
              </w:rPr>
            </w:pPr>
            <w:r w:rsidRPr="00C758EE">
              <w:rPr>
                <w:rFonts w:ascii="Calibri"/>
                <w:spacing w:val="-1"/>
                <w:sz w:val="16"/>
                <w:szCs w:val="16"/>
              </w:rPr>
              <w:t>300</w:t>
            </w:r>
          </w:p>
        </w:tc>
      </w:tr>
      <w:tr w:rsidR="00C758EE" w:rsidRPr="00C758EE" w:rsidTr="00C758EE">
        <w:trPr>
          <w:trHeight w:hRule="exact" w:val="670"/>
        </w:trPr>
        <w:tc>
          <w:tcPr>
            <w:tcW w:w="1803" w:type="dxa"/>
            <w:tcBorders>
              <w:top w:val="single" w:sz="5" w:space="0" w:color="000000"/>
              <w:left w:val="single" w:sz="8" w:space="0" w:color="000000"/>
              <w:bottom w:val="single" w:sz="5" w:space="0" w:color="000000"/>
              <w:right w:val="single" w:sz="8" w:space="0" w:color="000000"/>
            </w:tcBorders>
          </w:tcPr>
          <w:p w:rsidR="00C758EE" w:rsidRPr="00C758EE" w:rsidRDefault="00C758EE" w:rsidP="00C758EE">
            <w:pPr>
              <w:pStyle w:val="TableParagraph"/>
              <w:spacing w:before="120"/>
              <w:ind w:left="59"/>
              <w:rPr>
                <w:rFonts w:ascii="Calibri" w:eastAsia="Calibri" w:hAnsi="Calibri" w:cs="Calibri"/>
                <w:sz w:val="16"/>
                <w:szCs w:val="16"/>
              </w:rPr>
            </w:pPr>
            <w:r w:rsidRPr="00C758EE">
              <w:rPr>
                <w:rFonts w:ascii="Calibri" w:eastAsia="Calibri" w:hAnsi="Calibri" w:cs="Calibri"/>
                <w:sz w:val="16"/>
                <w:szCs w:val="16"/>
              </w:rPr>
              <w:t xml:space="preserve">§ </w:t>
            </w:r>
            <w:r w:rsidRPr="00C758EE">
              <w:rPr>
                <w:rFonts w:ascii="Calibri" w:eastAsia="Calibri" w:hAnsi="Calibri" w:cs="Calibri"/>
                <w:spacing w:val="-1"/>
                <w:sz w:val="16"/>
                <w:szCs w:val="16"/>
              </w:rPr>
              <w:t>14</w:t>
            </w:r>
            <w:r w:rsidRPr="00C758EE">
              <w:rPr>
                <w:rFonts w:ascii="Calibri" w:eastAsia="Calibri" w:hAnsi="Calibri" w:cs="Calibri"/>
                <w:sz w:val="16"/>
                <w:szCs w:val="16"/>
              </w:rPr>
              <w:t xml:space="preserve"> </w:t>
            </w:r>
            <w:r w:rsidRPr="00C758EE">
              <w:rPr>
                <w:rFonts w:ascii="Calibri" w:eastAsia="Calibri" w:hAnsi="Calibri" w:cs="Calibri"/>
                <w:spacing w:val="-1"/>
                <w:sz w:val="16"/>
                <w:szCs w:val="16"/>
              </w:rPr>
              <w:t>Abs.</w:t>
            </w:r>
            <w:r w:rsidRPr="00C758EE">
              <w:rPr>
                <w:rFonts w:ascii="Calibri" w:eastAsia="Calibri" w:hAnsi="Calibri" w:cs="Calibri"/>
                <w:spacing w:val="-3"/>
                <w:sz w:val="16"/>
                <w:szCs w:val="16"/>
              </w:rPr>
              <w:t xml:space="preserve"> </w:t>
            </w:r>
            <w:r w:rsidRPr="00C758EE">
              <w:rPr>
                <w:rFonts w:ascii="Calibri" w:eastAsia="Calibri" w:hAnsi="Calibri" w:cs="Calibri"/>
                <w:sz w:val="16"/>
                <w:szCs w:val="16"/>
              </w:rPr>
              <w:t xml:space="preserve">1 </w:t>
            </w:r>
            <w:r w:rsidRPr="00C758EE">
              <w:rPr>
                <w:rFonts w:ascii="Calibri" w:eastAsia="Calibri" w:hAnsi="Calibri" w:cs="Calibri"/>
                <w:spacing w:val="-1"/>
                <w:sz w:val="16"/>
                <w:szCs w:val="16"/>
              </w:rPr>
              <w:t xml:space="preserve">Satz </w:t>
            </w:r>
            <w:r w:rsidRPr="00C758EE">
              <w:rPr>
                <w:rFonts w:ascii="Calibri"/>
                <w:sz w:val="16"/>
                <w:szCs w:val="16"/>
              </w:rPr>
              <w:t xml:space="preserve">2 </w:t>
            </w:r>
            <w:r w:rsidRPr="00C758EE">
              <w:rPr>
                <w:rFonts w:ascii="Calibri"/>
                <w:sz w:val="16"/>
                <w:szCs w:val="16"/>
              </w:rPr>
              <w:br/>
            </w:r>
            <w:r w:rsidRPr="00C758EE">
              <w:rPr>
                <w:rFonts w:ascii="Calibri"/>
                <w:spacing w:val="-1"/>
                <w:sz w:val="16"/>
                <w:szCs w:val="16"/>
              </w:rPr>
              <w:t>Nr.</w:t>
            </w:r>
            <w:r w:rsidRPr="00C758EE">
              <w:rPr>
                <w:rFonts w:ascii="Calibri"/>
                <w:sz w:val="16"/>
                <w:szCs w:val="16"/>
              </w:rPr>
              <w:t xml:space="preserve"> 5</w:t>
            </w:r>
            <w:r w:rsidRPr="00C758EE">
              <w:rPr>
                <w:rFonts w:ascii="Calibri"/>
                <w:spacing w:val="-2"/>
                <w:sz w:val="16"/>
                <w:szCs w:val="16"/>
              </w:rPr>
              <w:t xml:space="preserve"> </w:t>
            </w:r>
            <w:r w:rsidRPr="00C758EE">
              <w:rPr>
                <w:rFonts w:ascii="Calibri"/>
                <w:spacing w:val="-1"/>
                <w:sz w:val="16"/>
                <w:szCs w:val="16"/>
              </w:rPr>
              <w:t>TzBfG</w:t>
            </w:r>
          </w:p>
        </w:tc>
        <w:tc>
          <w:tcPr>
            <w:tcW w:w="1298" w:type="dxa"/>
            <w:tcBorders>
              <w:top w:val="single" w:sz="5" w:space="0" w:color="000000"/>
              <w:left w:val="single" w:sz="8"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ind w:right="1"/>
              <w:jc w:val="center"/>
              <w:rPr>
                <w:rFonts w:ascii="Calibri" w:eastAsia="Calibri" w:hAnsi="Calibri" w:cs="Calibri"/>
                <w:sz w:val="16"/>
                <w:szCs w:val="16"/>
              </w:rPr>
            </w:pPr>
            <w:r w:rsidRPr="00C758EE">
              <w:rPr>
                <w:rFonts w:ascii="Calibri"/>
                <w:spacing w:val="-1"/>
                <w:sz w:val="16"/>
                <w:szCs w:val="16"/>
              </w:rPr>
              <w:t>705</w:t>
            </w:r>
          </w:p>
        </w:tc>
        <w:tc>
          <w:tcPr>
            <w:tcW w:w="1201"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x</w:t>
            </w:r>
          </w:p>
        </w:tc>
        <w:tc>
          <w:tcPr>
            <w:tcW w:w="1229"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x</w:t>
            </w:r>
          </w:p>
        </w:tc>
        <w:tc>
          <w:tcPr>
            <w:tcW w:w="1200"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43</w:t>
            </w:r>
          </w:p>
        </w:tc>
        <w:tc>
          <w:tcPr>
            <w:tcW w:w="1200"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25</w:t>
            </w:r>
          </w:p>
        </w:tc>
        <w:tc>
          <w:tcPr>
            <w:tcW w:w="1201"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ind w:right="1"/>
              <w:jc w:val="center"/>
              <w:rPr>
                <w:rFonts w:ascii="Calibri" w:eastAsia="Calibri" w:hAnsi="Calibri" w:cs="Calibri"/>
                <w:sz w:val="16"/>
                <w:szCs w:val="16"/>
              </w:rPr>
            </w:pPr>
            <w:r w:rsidRPr="00C758EE">
              <w:rPr>
                <w:rFonts w:ascii="Calibri"/>
                <w:spacing w:val="-1"/>
                <w:sz w:val="16"/>
                <w:szCs w:val="16"/>
              </w:rPr>
              <w:t>206</w:t>
            </w:r>
          </w:p>
        </w:tc>
        <w:tc>
          <w:tcPr>
            <w:tcW w:w="1200" w:type="dxa"/>
            <w:tcBorders>
              <w:top w:val="single" w:sz="5" w:space="0" w:color="000000"/>
              <w:left w:val="single" w:sz="5" w:space="0" w:color="000000"/>
              <w:bottom w:val="single" w:sz="5" w:space="0" w:color="000000"/>
              <w:right w:val="single" w:sz="8"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ind w:left="3"/>
              <w:jc w:val="center"/>
              <w:rPr>
                <w:rFonts w:ascii="Calibri" w:eastAsia="Calibri" w:hAnsi="Calibri" w:cs="Calibri"/>
                <w:sz w:val="16"/>
                <w:szCs w:val="16"/>
              </w:rPr>
            </w:pPr>
            <w:r w:rsidRPr="00C758EE">
              <w:rPr>
                <w:rFonts w:ascii="Calibri"/>
                <w:spacing w:val="-1"/>
                <w:sz w:val="16"/>
                <w:szCs w:val="16"/>
              </w:rPr>
              <w:t>984</w:t>
            </w:r>
          </w:p>
        </w:tc>
      </w:tr>
      <w:tr w:rsidR="00C758EE" w:rsidRPr="00C758EE" w:rsidTr="00C758EE">
        <w:trPr>
          <w:trHeight w:hRule="exact" w:val="670"/>
        </w:trPr>
        <w:tc>
          <w:tcPr>
            <w:tcW w:w="1803" w:type="dxa"/>
            <w:tcBorders>
              <w:top w:val="single" w:sz="5" w:space="0" w:color="000000"/>
              <w:left w:val="single" w:sz="8" w:space="0" w:color="000000"/>
              <w:bottom w:val="single" w:sz="5" w:space="0" w:color="000000"/>
              <w:right w:val="single" w:sz="8" w:space="0" w:color="000000"/>
            </w:tcBorders>
          </w:tcPr>
          <w:p w:rsidR="00C758EE" w:rsidRPr="00C758EE" w:rsidRDefault="00C758EE" w:rsidP="002412B0">
            <w:pPr>
              <w:pStyle w:val="TableParagraph"/>
              <w:spacing w:before="120"/>
              <w:ind w:left="59"/>
              <w:rPr>
                <w:rFonts w:ascii="Calibri" w:eastAsia="Calibri" w:hAnsi="Calibri" w:cs="Calibri"/>
                <w:sz w:val="16"/>
                <w:szCs w:val="16"/>
              </w:rPr>
            </w:pPr>
            <w:r w:rsidRPr="00C758EE">
              <w:rPr>
                <w:rFonts w:ascii="Calibri" w:eastAsia="Calibri" w:hAnsi="Calibri" w:cs="Calibri"/>
                <w:sz w:val="16"/>
                <w:szCs w:val="16"/>
              </w:rPr>
              <w:t xml:space="preserve">§ </w:t>
            </w:r>
            <w:r w:rsidRPr="00C758EE">
              <w:rPr>
                <w:rFonts w:ascii="Calibri" w:eastAsia="Calibri" w:hAnsi="Calibri" w:cs="Calibri"/>
                <w:spacing w:val="-1"/>
                <w:sz w:val="16"/>
                <w:szCs w:val="16"/>
              </w:rPr>
              <w:t>14</w:t>
            </w:r>
            <w:r w:rsidRPr="00C758EE">
              <w:rPr>
                <w:rFonts w:ascii="Calibri" w:eastAsia="Calibri" w:hAnsi="Calibri" w:cs="Calibri"/>
                <w:sz w:val="16"/>
                <w:szCs w:val="16"/>
              </w:rPr>
              <w:t xml:space="preserve"> </w:t>
            </w:r>
            <w:r w:rsidRPr="00C758EE">
              <w:rPr>
                <w:rFonts w:ascii="Calibri" w:eastAsia="Calibri" w:hAnsi="Calibri" w:cs="Calibri"/>
                <w:spacing w:val="-1"/>
                <w:sz w:val="16"/>
                <w:szCs w:val="16"/>
              </w:rPr>
              <w:t>Abs.</w:t>
            </w:r>
            <w:r w:rsidRPr="00C758EE">
              <w:rPr>
                <w:rFonts w:ascii="Calibri" w:eastAsia="Calibri" w:hAnsi="Calibri" w:cs="Calibri"/>
                <w:spacing w:val="-3"/>
                <w:sz w:val="16"/>
                <w:szCs w:val="16"/>
              </w:rPr>
              <w:t xml:space="preserve"> </w:t>
            </w:r>
            <w:r w:rsidRPr="00C758EE">
              <w:rPr>
                <w:rFonts w:ascii="Calibri" w:eastAsia="Calibri" w:hAnsi="Calibri" w:cs="Calibri"/>
                <w:sz w:val="16"/>
                <w:szCs w:val="16"/>
              </w:rPr>
              <w:t xml:space="preserve">1 </w:t>
            </w:r>
            <w:r w:rsidRPr="00C758EE">
              <w:rPr>
                <w:rFonts w:ascii="Calibri" w:eastAsia="Calibri" w:hAnsi="Calibri" w:cs="Calibri"/>
                <w:spacing w:val="-1"/>
                <w:sz w:val="16"/>
                <w:szCs w:val="16"/>
              </w:rPr>
              <w:t>Satz</w:t>
            </w:r>
          </w:p>
          <w:p w:rsidR="00C758EE" w:rsidRPr="00C758EE" w:rsidRDefault="00C758EE" w:rsidP="002412B0">
            <w:pPr>
              <w:pStyle w:val="TableParagraph"/>
              <w:ind w:left="59"/>
              <w:rPr>
                <w:rFonts w:ascii="Calibri" w:eastAsia="Calibri" w:hAnsi="Calibri" w:cs="Calibri"/>
                <w:sz w:val="16"/>
                <w:szCs w:val="16"/>
              </w:rPr>
            </w:pPr>
            <w:r w:rsidRPr="00C758EE">
              <w:rPr>
                <w:rFonts w:ascii="Calibri"/>
                <w:sz w:val="16"/>
                <w:szCs w:val="16"/>
              </w:rPr>
              <w:t xml:space="preserve">2 </w:t>
            </w:r>
            <w:r w:rsidRPr="00C758EE">
              <w:rPr>
                <w:rFonts w:ascii="Calibri"/>
                <w:spacing w:val="-1"/>
                <w:sz w:val="16"/>
                <w:szCs w:val="16"/>
              </w:rPr>
              <w:t>Nr.</w:t>
            </w:r>
            <w:r w:rsidRPr="00C758EE">
              <w:rPr>
                <w:rFonts w:ascii="Calibri"/>
                <w:sz w:val="16"/>
                <w:szCs w:val="16"/>
              </w:rPr>
              <w:t xml:space="preserve"> 6</w:t>
            </w:r>
            <w:r w:rsidRPr="00C758EE">
              <w:rPr>
                <w:rFonts w:ascii="Calibri"/>
                <w:spacing w:val="-2"/>
                <w:sz w:val="16"/>
                <w:szCs w:val="16"/>
              </w:rPr>
              <w:t xml:space="preserve"> </w:t>
            </w:r>
            <w:r w:rsidRPr="00C758EE">
              <w:rPr>
                <w:rFonts w:ascii="Calibri"/>
                <w:spacing w:val="-1"/>
                <w:sz w:val="16"/>
                <w:szCs w:val="16"/>
              </w:rPr>
              <w:t>TzBfG</w:t>
            </w:r>
          </w:p>
        </w:tc>
        <w:tc>
          <w:tcPr>
            <w:tcW w:w="1298" w:type="dxa"/>
            <w:tcBorders>
              <w:top w:val="single" w:sz="5" w:space="0" w:color="000000"/>
              <w:left w:val="single" w:sz="8"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ind w:right="5"/>
              <w:jc w:val="center"/>
              <w:rPr>
                <w:rFonts w:ascii="Calibri" w:eastAsia="Calibri" w:hAnsi="Calibri" w:cs="Calibri"/>
                <w:sz w:val="16"/>
                <w:szCs w:val="16"/>
              </w:rPr>
            </w:pPr>
            <w:r w:rsidRPr="00C758EE">
              <w:rPr>
                <w:rFonts w:ascii="Calibri"/>
                <w:sz w:val="16"/>
                <w:szCs w:val="16"/>
              </w:rPr>
              <w:t>x</w:t>
            </w:r>
          </w:p>
        </w:tc>
        <w:tc>
          <w:tcPr>
            <w:tcW w:w="1201"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x</w:t>
            </w:r>
          </w:p>
        </w:tc>
        <w:tc>
          <w:tcPr>
            <w:tcW w:w="1229"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x</w:t>
            </w:r>
          </w:p>
        </w:tc>
        <w:tc>
          <w:tcPr>
            <w:tcW w:w="1200"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11</w:t>
            </w:r>
          </w:p>
        </w:tc>
        <w:tc>
          <w:tcPr>
            <w:tcW w:w="1200"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47</w:t>
            </w:r>
          </w:p>
        </w:tc>
        <w:tc>
          <w:tcPr>
            <w:tcW w:w="1201"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x</w:t>
            </w:r>
          </w:p>
        </w:tc>
        <w:tc>
          <w:tcPr>
            <w:tcW w:w="1200" w:type="dxa"/>
            <w:tcBorders>
              <w:top w:val="single" w:sz="5" w:space="0" w:color="000000"/>
              <w:left w:val="single" w:sz="5" w:space="0" w:color="000000"/>
              <w:bottom w:val="single" w:sz="5" w:space="0" w:color="000000"/>
              <w:right w:val="single" w:sz="8"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ind w:left="4"/>
              <w:jc w:val="center"/>
              <w:rPr>
                <w:rFonts w:ascii="Calibri" w:eastAsia="Calibri" w:hAnsi="Calibri" w:cs="Calibri"/>
                <w:sz w:val="16"/>
                <w:szCs w:val="16"/>
              </w:rPr>
            </w:pPr>
            <w:r w:rsidRPr="00C758EE">
              <w:rPr>
                <w:rFonts w:ascii="Calibri"/>
                <w:sz w:val="16"/>
                <w:szCs w:val="16"/>
              </w:rPr>
              <w:t>74</w:t>
            </w:r>
          </w:p>
        </w:tc>
      </w:tr>
      <w:tr w:rsidR="00C758EE" w:rsidRPr="00C758EE" w:rsidTr="00C758EE">
        <w:trPr>
          <w:trHeight w:hRule="exact" w:val="670"/>
        </w:trPr>
        <w:tc>
          <w:tcPr>
            <w:tcW w:w="1803" w:type="dxa"/>
            <w:tcBorders>
              <w:top w:val="single" w:sz="5" w:space="0" w:color="000000"/>
              <w:left w:val="single" w:sz="8" w:space="0" w:color="000000"/>
              <w:bottom w:val="single" w:sz="5" w:space="0" w:color="000000"/>
              <w:right w:val="single" w:sz="8" w:space="0" w:color="000000"/>
            </w:tcBorders>
          </w:tcPr>
          <w:p w:rsidR="00C758EE" w:rsidRPr="00C758EE" w:rsidRDefault="00C758EE" w:rsidP="002412B0">
            <w:pPr>
              <w:pStyle w:val="TableParagraph"/>
              <w:spacing w:before="120"/>
              <w:ind w:left="59"/>
              <w:rPr>
                <w:rFonts w:ascii="Calibri" w:eastAsia="Calibri" w:hAnsi="Calibri" w:cs="Calibri"/>
                <w:sz w:val="16"/>
                <w:szCs w:val="16"/>
              </w:rPr>
            </w:pPr>
            <w:r w:rsidRPr="00C758EE">
              <w:rPr>
                <w:rFonts w:ascii="Calibri" w:eastAsia="Calibri" w:hAnsi="Calibri" w:cs="Calibri"/>
                <w:sz w:val="16"/>
                <w:szCs w:val="16"/>
              </w:rPr>
              <w:t xml:space="preserve">§ </w:t>
            </w:r>
            <w:r w:rsidRPr="00C758EE">
              <w:rPr>
                <w:rFonts w:ascii="Calibri" w:eastAsia="Calibri" w:hAnsi="Calibri" w:cs="Calibri"/>
                <w:spacing w:val="-1"/>
                <w:sz w:val="16"/>
                <w:szCs w:val="16"/>
              </w:rPr>
              <w:t>14</w:t>
            </w:r>
            <w:r w:rsidRPr="00C758EE">
              <w:rPr>
                <w:rFonts w:ascii="Calibri" w:eastAsia="Calibri" w:hAnsi="Calibri" w:cs="Calibri"/>
                <w:sz w:val="16"/>
                <w:szCs w:val="16"/>
              </w:rPr>
              <w:t xml:space="preserve"> </w:t>
            </w:r>
            <w:r w:rsidRPr="00C758EE">
              <w:rPr>
                <w:rFonts w:ascii="Calibri" w:eastAsia="Calibri" w:hAnsi="Calibri" w:cs="Calibri"/>
                <w:spacing w:val="-1"/>
                <w:sz w:val="16"/>
                <w:szCs w:val="16"/>
              </w:rPr>
              <w:t>Abs.</w:t>
            </w:r>
            <w:r w:rsidRPr="00C758EE">
              <w:rPr>
                <w:rFonts w:ascii="Calibri" w:eastAsia="Calibri" w:hAnsi="Calibri" w:cs="Calibri"/>
                <w:spacing w:val="-3"/>
                <w:sz w:val="16"/>
                <w:szCs w:val="16"/>
              </w:rPr>
              <w:t xml:space="preserve"> </w:t>
            </w:r>
            <w:r w:rsidRPr="00C758EE">
              <w:rPr>
                <w:rFonts w:ascii="Calibri" w:eastAsia="Calibri" w:hAnsi="Calibri" w:cs="Calibri"/>
                <w:sz w:val="16"/>
                <w:szCs w:val="16"/>
              </w:rPr>
              <w:t xml:space="preserve">1 </w:t>
            </w:r>
            <w:r w:rsidRPr="00C758EE">
              <w:rPr>
                <w:rFonts w:ascii="Calibri" w:eastAsia="Calibri" w:hAnsi="Calibri" w:cs="Calibri"/>
                <w:spacing w:val="-1"/>
                <w:sz w:val="16"/>
                <w:szCs w:val="16"/>
              </w:rPr>
              <w:t>Satz</w:t>
            </w:r>
          </w:p>
          <w:p w:rsidR="00C758EE" w:rsidRPr="00C758EE" w:rsidRDefault="00C758EE" w:rsidP="002412B0">
            <w:pPr>
              <w:pStyle w:val="TableParagraph"/>
              <w:ind w:left="59"/>
              <w:rPr>
                <w:rFonts w:ascii="Calibri" w:eastAsia="Calibri" w:hAnsi="Calibri" w:cs="Calibri"/>
                <w:sz w:val="16"/>
                <w:szCs w:val="16"/>
              </w:rPr>
            </w:pPr>
            <w:r w:rsidRPr="00C758EE">
              <w:rPr>
                <w:rFonts w:ascii="Calibri"/>
                <w:sz w:val="16"/>
                <w:szCs w:val="16"/>
              </w:rPr>
              <w:t xml:space="preserve">2 </w:t>
            </w:r>
            <w:r w:rsidRPr="00C758EE">
              <w:rPr>
                <w:rFonts w:ascii="Calibri"/>
                <w:spacing w:val="-1"/>
                <w:sz w:val="16"/>
                <w:szCs w:val="16"/>
              </w:rPr>
              <w:t>Nr.</w:t>
            </w:r>
            <w:r w:rsidRPr="00C758EE">
              <w:rPr>
                <w:rFonts w:ascii="Calibri"/>
                <w:sz w:val="16"/>
                <w:szCs w:val="16"/>
              </w:rPr>
              <w:t xml:space="preserve"> 8</w:t>
            </w:r>
            <w:r w:rsidRPr="00C758EE">
              <w:rPr>
                <w:rFonts w:ascii="Calibri"/>
                <w:spacing w:val="-2"/>
                <w:sz w:val="16"/>
                <w:szCs w:val="16"/>
              </w:rPr>
              <w:t xml:space="preserve"> </w:t>
            </w:r>
            <w:r w:rsidRPr="00C758EE">
              <w:rPr>
                <w:rFonts w:ascii="Calibri"/>
                <w:spacing w:val="-1"/>
                <w:sz w:val="16"/>
                <w:szCs w:val="16"/>
              </w:rPr>
              <w:t>TzBfG</w:t>
            </w:r>
          </w:p>
        </w:tc>
        <w:tc>
          <w:tcPr>
            <w:tcW w:w="1298" w:type="dxa"/>
            <w:tcBorders>
              <w:top w:val="single" w:sz="5" w:space="0" w:color="000000"/>
              <w:left w:val="single" w:sz="8" w:space="0" w:color="000000"/>
              <w:bottom w:val="single" w:sz="5" w:space="0" w:color="000000"/>
              <w:right w:val="single" w:sz="5" w:space="0" w:color="000000"/>
            </w:tcBorders>
          </w:tcPr>
          <w:p w:rsidR="00C758EE" w:rsidRPr="00C758EE" w:rsidRDefault="00C758EE" w:rsidP="002412B0">
            <w:pPr>
              <w:pStyle w:val="TableParagraph"/>
              <w:spacing w:before="12"/>
              <w:rPr>
                <w:rFonts w:ascii="Calibri" w:eastAsia="Calibri" w:hAnsi="Calibri" w:cs="Calibri"/>
                <w:b/>
                <w:bCs/>
                <w:sz w:val="16"/>
                <w:szCs w:val="16"/>
              </w:rPr>
            </w:pPr>
          </w:p>
          <w:p w:rsidR="00C758EE" w:rsidRPr="00C758EE" w:rsidRDefault="00C758EE" w:rsidP="002412B0">
            <w:pPr>
              <w:pStyle w:val="TableParagraph"/>
              <w:ind w:right="5"/>
              <w:jc w:val="center"/>
              <w:rPr>
                <w:rFonts w:ascii="Calibri" w:eastAsia="Calibri" w:hAnsi="Calibri" w:cs="Calibri"/>
                <w:sz w:val="16"/>
                <w:szCs w:val="16"/>
              </w:rPr>
            </w:pPr>
            <w:r w:rsidRPr="00C758EE">
              <w:rPr>
                <w:rFonts w:ascii="Calibri"/>
                <w:sz w:val="16"/>
                <w:szCs w:val="16"/>
              </w:rPr>
              <w:t>x</w:t>
            </w:r>
          </w:p>
        </w:tc>
        <w:tc>
          <w:tcPr>
            <w:tcW w:w="1201"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2"/>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x</w:t>
            </w:r>
          </w:p>
        </w:tc>
        <w:tc>
          <w:tcPr>
            <w:tcW w:w="1229"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2"/>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x</w:t>
            </w:r>
          </w:p>
        </w:tc>
        <w:tc>
          <w:tcPr>
            <w:tcW w:w="1200"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2"/>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x</w:t>
            </w:r>
          </w:p>
        </w:tc>
        <w:tc>
          <w:tcPr>
            <w:tcW w:w="1200"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2"/>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x</w:t>
            </w:r>
          </w:p>
        </w:tc>
        <w:tc>
          <w:tcPr>
            <w:tcW w:w="1201"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2"/>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x</w:t>
            </w:r>
          </w:p>
        </w:tc>
        <w:tc>
          <w:tcPr>
            <w:tcW w:w="1200" w:type="dxa"/>
            <w:tcBorders>
              <w:top w:val="single" w:sz="5" w:space="0" w:color="000000"/>
              <w:left w:val="single" w:sz="5" w:space="0" w:color="000000"/>
              <w:bottom w:val="single" w:sz="5" w:space="0" w:color="000000"/>
              <w:right w:val="single" w:sz="8" w:space="0" w:color="000000"/>
            </w:tcBorders>
          </w:tcPr>
          <w:p w:rsidR="00C758EE" w:rsidRPr="00C758EE" w:rsidRDefault="00C758EE" w:rsidP="002412B0">
            <w:pPr>
              <w:pStyle w:val="TableParagraph"/>
              <w:spacing w:before="12"/>
              <w:rPr>
                <w:rFonts w:ascii="Calibri" w:eastAsia="Calibri" w:hAnsi="Calibri" w:cs="Calibri"/>
                <w:b/>
                <w:bCs/>
                <w:sz w:val="16"/>
                <w:szCs w:val="16"/>
              </w:rPr>
            </w:pPr>
          </w:p>
          <w:p w:rsidR="00C758EE" w:rsidRPr="00C758EE" w:rsidRDefault="00C758EE" w:rsidP="002412B0">
            <w:pPr>
              <w:pStyle w:val="TableParagraph"/>
              <w:ind w:left="6"/>
              <w:jc w:val="center"/>
              <w:rPr>
                <w:rFonts w:ascii="Calibri" w:eastAsia="Calibri" w:hAnsi="Calibri" w:cs="Calibri"/>
                <w:sz w:val="16"/>
                <w:szCs w:val="16"/>
              </w:rPr>
            </w:pPr>
            <w:r w:rsidRPr="00C758EE">
              <w:rPr>
                <w:rFonts w:ascii="Calibri"/>
                <w:sz w:val="16"/>
                <w:szCs w:val="16"/>
              </w:rPr>
              <w:t>3</w:t>
            </w:r>
          </w:p>
        </w:tc>
      </w:tr>
      <w:tr w:rsidR="00C758EE" w:rsidRPr="00C758EE" w:rsidTr="00C758EE">
        <w:trPr>
          <w:trHeight w:hRule="exact" w:val="672"/>
        </w:trPr>
        <w:tc>
          <w:tcPr>
            <w:tcW w:w="1803" w:type="dxa"/>
            <w:tcBorders>
              <w:top w:val="single" w:sz="5" w:space="0" w:color="000000"/>
              <w:left w:val="single" w:sz="8" w:space="0" w:color="000000"/>
              <w:bottom w:val="single" w:sz="5" w:space="0" w:color="000000"/>
              <w:right w:val="single" w:sz="8" w:space="0" w:color="000000"/>
            </w:tcBorders>
          </w:tcPr>
          <w:p w:rsidR="00C758EE" w:rsidRPr="00C758EE" w:rsidRDefault="00C758EE" w:rsidP="002412B0">
            <w:pPr>
              <w:pStyle w:val="TableParagraph"/>
              <w:spacing w:before="123"/>
              <w:ind w:left="59" w:right="601"/>
              <w:rPr>
                <w:rFonts w:ascii="Calibri" w:eastAsia="Calibri" w:hAnsi="Calibri" w:cs="Calibri"/>
                <w:sz w:val="16"/>
                <w:szCs w:val="16"/>
              </w:rPr>
            </w:pPr>
            <w:r w:rsidRPr="00C758EE">
              <w:rPr>
                <w:rFonts w:ascii="Calibri" w:eastAsia="Calibri" w:hAnsi="Calibri" w:cs="Calibri"/>
                <w:sz w:val="16"/>
                <w:szCs w:val="16"/>
              </w:rPr>
              <w:t xml:space="preserve">§ </w:t>
            </w:r>
            <w:r w:rsidRPr="00C758EE">
              <w:rPr>
                <w:rFonts w:ascii="Calibri" w:eastAsia="Calibri" w:hAnsi="Calibri" w:cs="Calibri"/>
                <w:spacing w:val="-1"/>
                <w:sz w:val="16"/>
                <w:szCs w:val="16"/>
              </w:rPr>
              <w:t>14</w:t>
            </w:r>
            <w:r w:rsidRPr="00C758EE">
              <w:rPr>
                <w:rFonts w:ascii="Calibri" w:eastAsia="Calibri" w:hAnsi="Calibri" w:cs="Calibri"/>
                <w:sz w:val="16"/>
                <w:szCs w:val="16"/>
              </w:rPr>
              <w:t xml:space="preserve"> </w:t>
            </w:r>
            <w:r w:rsidRPr="00C758EE">
              <w:rPr>
                <w:rFonts w:ascii="Calibri" w:eastAsia="Calibri" w:hAnsi="Calibri" w:cs="Calibri"/>
                <w:spacing w:val="-1"/>
                <w:sz w:val="16"/>
                <w:szCs w:val="16"/>
              </w:rPr>
              <w:t>Abs.</w:t>
            </w:r>
            <w:r w:rsidRPr="00C758EE">
              <w:rPr>
                <w:rFonts w:ascii="Calibri" w:eastAsia="Calibri" w:hAnsi="Calibri" w:cs="Calibri"/>
                <w:spacing w:val="-3"/>
                <w:sz w:val="16"/>
                <w:szCs w:val="16"/>
              </w:rPr>
              <w:t xml:space="preserve"> </w:t>
            </w:r>
            <w:r w:rsidRPr="00C758EE">
              <w:rPr>
                <w:rFonts w:ascii="Calibri" w:eastAsia="Calibri" w:hAnsi="Calibri" w:cs="Calibri"/>
                <w:sz w:val="16"/>
                <w:szCs w:val="16"/>
              </w:rPr>
              <w:t>1</w:t>
            </w:r>
            <w:r w:rsidRPr="00C758EE">
              <w:rPr>
                <w:rFonts w:ascii="Calibri" w:eastAsia="Calibri" w:hAnsi="Calibri" w:cs="Calibri"/>
                <w:spacing w:val="22"/>
                <w:sz w:val="16"/>
                <w:szCs w:val="16"/>
              </w:rPr>
              <w:t xml:space="preserve"> </w:t>
            </w:r>
            <w:r w:rsidRPr="00C758EE">
              <w:rPr>
                <w:rFonts w:ascii="Calibri" w:eastAsia="Calibri" w:hAnsi="Calibri" w:cs="Calibri"/>
                <w:spacing w:val="-1"/>
                <w:sz w:val="16"/>
                <w:szCs w:val="16"/>
              </w:rPr>
              <w:t>TzBfG</w:t>
            </w:r>
          </w:p>
        </w:tc>
        <w:tc>
          <w:tcPr>
            <w:tcW w:w="1298" w:type="dxa"/>
            <w:tcBorders>
              <w:top w:val="single" w:sz="5" w:space="0" w:color="000000"/>
              <w:left w:val="single" w:sz="8" w:space="0" w:color="000000"/>
              <w:bottom w:val="single" w:sz="5" w:space="0" w:color="000000"/>
              <w:right w:val="single" w:sz="5" w:space="0" w:color="000000"/>
            </w:tcBorders>
          </w:tcPr>
          <w:p w:rsidR="00C758EE" w:rsidRPr="00C758EE" w:rsidRDefault="00C758EE" w:rsidP="002412B0">
            <w:pPr>
              <w:pStyle w:val="TableParagraph"/>
              <w:spacing w:before="1"/>
              <w:rPr>
                <w:rFonts w:ascii="Calibri" w:eastAsia="Calibri" w:hAnsi="Calibri" w:cs="Calibri"/>
                <w:b/>
                <w:bCs/>
                <w:sz w:val="16"/>
                <w:szCs w:val="16"/>
              </w:rPr>
            </w:pPr>
          </w:p>
          <w:p w:rsidR="00C758EE" w:rsidRPr="00C758EE" w:rsidRDefault="00C758EE" w:rsidP="002412B0">
            <w:pPr>
              <w:pStyle w:val="TableParagraph"/>
              <w:ind w:right="1"/>
              <w:jc w:val="center"/>
              <w:rPr>
                <w:rFonts w:ascii="Calibri" w:eastAsia="Calibri" w:hAnsi="Calibri" w:cs="Calibri"/>
                <w:sz w:val="16"/>
                <w:szCs w:val="16"/>
              </w:rPr>
            </w:pPr>
            <w:r w:rsidRPr="00C758EE">
              <w:rPr>
                <w:rFonts w:ascii="Calibri"/>
                <w:spacing w:val="-1"/>
                <w:sz w:val="16"/>
                <w:szCs w:val="16"/>
              </w:rPr>
              <w:t>294</w:t>
            </w:r>
          </w:p>
        </w:tc>
        <w:tc>
          <w:tcPr>
            <w:tcW w:w="1201"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x</w:t>
            </w:r>
          </w:p>
        </w:tc>
        <w:tc>
          <w:tcPr>
            <w:tcW w:w="1229"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x</w:t>
            </w:r>
          </w:p>
        </w:tc>
        <w:tc>
          <w:tcPr>
            <w:tcW w:w="1200"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x</w:t>
            </w:r>
          </w:p>
        </w:tc>
        <w:tc>
          <w:tcPr>
            <w:tcW w:w="1200"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x</w:t>
            </w:r>
          </w:p>
        </w:tc>
        <w:tc>
          <w:tcPr>
            <w:tcW w:w="1201"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x</w:t>
            </w:r>
          </w:p>
        </w:tc>
        <w:tc>
          <w:tcPr>
            <w:tcW w:w="1200" w:type="dxa"/>
            <w:tcBorders>
              <w:top w:val="single" w:sz="5" w:space="0" w:color="000000"/>
              <w:left w:val="single" w:sz="5" w:space="0" w:color="000000"/>
              <w:bottom w:val="single" w:sz="5" w:space="0" w:color="000000"/>
              <w:right w:val="single" w:sz="8" w:space="0" w:color="000000"/>
            </w:tcBorders>
          </w:tcPr>
          <w:p w:rsidR="00C758EE" w:rsidRPr="00C758EE" w:rsidRDefault="00C758EE" w:rsidP="002412B0">
            <w:pPr>
              <w:pStyle w:val="TableParagraph"/>
              <w:spacing w:before="1"/>
              <w:rPr>
                <w:rFonts w:ascii="Calibri" w:eastAsia="Calibri" w:hAnsi="Calibri" w:cs="Calibri"/>
                <w:b/>
                <w:bCs/>
                <w:sz w:val="16"/>
                <w:szCs w:val="16"/>
              </w:rPr>
            </w:pPr>
          </w:p>
          <w:p w:rsidR="00C758EE" w:rsidRPr="00C758EE" w:rsidRDefault="00C758EE" w:rsidP="002412B0">
            <w:pPr>
              <w:pStyle w:val="TableParagraph"/>
              <w:ind w:left="3"/>
              <w:jc w:val="center"/>
              <w:rPr>
                <w:rFonts w:ascii="Calibri" w:eastAsia="Calibri" w:hAnsi="Calibri" w:cs="Calibri"/>
                <w:sz w:val="16"/>
                <w:szCs w:val="16"/>
              </w:rPr>
            </w:pPr>
            <w:r w:rsidRPr="00C758EE">
              <w:rPr>
                <w:rFonts w:ascii="Calibri"/>
                <w:spacing w:val="-1"/>
                <w:sz w:val="16"/>
                <w:szCs w:val="16"/>
              </w:rPr>
              <w:t>301</w:t>
            </w:r>
          </w:p>
        </w:tc>
      </w:tr>
      <w:tr w:rsidR="00C758EE" w:rsidRPr="00C758EE" w:rsidTr="005B2D24">
        <w:trPr>
          <w:trHeight w:hRule="exact" w:val="938"/>
        </w:trPr>
        <w:tc>
          <w:tcPr>
            <w:tcW w:w="1803" w:type="dxa"/>
            <w:tcBorders>
              <w:top w:val="single" w:sz="5" w:space="0" w:color="000000"/>
              <w:left w:val="single" w:sz="8" w:space="0" w:color="000000"/>
              <w:bottom w:val="single" w:sz="5" w:space="0" w:color="000000"/>
              <w:right w:val="single" w:sz="8"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ind w:left="59"/>
              <w:rPr>
                <w:rFonts w:ascii="Calibri" w:eastAsia="Calibri" w:hAnsi="Calibri" w:cs="Calibri"/>
                <w:sz w:val="16"/>
                <w:szCs w:val="16"/>
              </w:rPr>
            </w:pPr>
            <w:r w:rsidRPr="00C758EE">
              <w:rPr>
                <w:rFonts w:ascii="Calibri" w:eastAsia="Calibri" w:hAnsi="Calibri" w:cs="Calibri"/>
                <w:sz w:val="16"/>
                <w:szCs w:val="16"/>
              </w:rPr>
              <w:t xml:space="preserve">§ </w:t>
            </w:r>
            <w:r w:rsidRPr="00C758EE">
              <w:rPr>
                <w:rFonts w:ascii="Calibri" w:eastAsia="Calibri" w:hAnsi="Calibri" w:cs="Calibri"/>
                <w:spacing w:val="-1"/>
                <w:sz w:val="16"/>
                <w:szCs w:val="16"/>
              </w:rPr>
              <w:t>21</w:t>
            </w:r>
            <w:r w:rsidRPr="00C758EE">
              <w:rPr>
                <w:rFonts w:ascii="Calibri" w:eastAsia="Calibri" w:hAnsi="Calibri" w:cs="Calibri"/>
                <w:sz w:val="16"/>
                <w:szCs w:val="16"/>
              </w:rPr>
              <w:t xml:space="preserve"> </w:t>
            </w:r>
            <w:r w:rsidR="005B2D24">
              <w:rPr>
                <w:rFonts w:ascii="Calibri" w:eastAsia="Calibri" w:hAnsi="Calibri" w:cs="Calibri"/>
                <w:sz w:val="16"/>
                <w:szCs w:val="16"/>
              </w:rPr>
              <w:t>Bundeselterngeld- und Elternzeitgesetz (</w:t>
            </w:r>
            <w:r w:rsidRPr="00C758EE">
              <w:rPr>
                <w:rFonts w:ascii="Calibri" w:eastAsia="Calibri" w:hAnsi="Calibri" w:cs="Calibri"/>
                <w:spacing w:val="-1"/>
                <w:sz w:val="16"/>
                <w:szCs w:val="16"/>
              </w:rPr>
              <w:t>BEEG</w:t>
            </w:r>
            <w:r w:rsidR="005B2D24">
              <w:rPr>
                <w:rFonts w:ascii="Calibri" w:eastAsia="Calibri" w:hAnsi="Calibri" w:cs="Calibri"/>
                <w:spacing w:val="-1"/>
                <w:sz w:val="16"/>
                <w:szCs w:val="16"/>
              </w:rPr>
              <w:t>)</w:t>
            </w:r>
          </w:p>
        </w:tc>
        <w:tc>
          <w:tcPr>
            <w:tcW w:w="1298" w:type="dxa"/>
            <w:tcBorders>
              <w:top w:val="single" w:sz="5" w:space="0" w:color="000000"/>
              <w:left w:val="single" w:sz="8"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ind w:right="1"/>
              <w:jc w:val="center"/>
              <w:rPr>
                <w:rFonts w:ascii="Calibri" w:eastAsia="Calibri" w:hAnsi="Calibri" w:cs="Calibri"/>
                <w:sz w:val="16"/>
                <w:szCs w:val="16"/>
              </w:rPr>
            </w:pPr>
            <w:r w:rsidRPr="00C758EE">
              <w:rPr>
                <w:rFonts w:ascii="Calibri"/>
                <w:spacing w:val="-1"/>
                <w:sz w:val="16"/>
                <w:szCs w:val="16"/>
              </w:rPr>
              <w:t>159</w:t>
            </w:r>
          </w:p>
        </w:tc>
        <w:tc>
          <w:tcPr>
            <w:tcW w:w="1201"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pacing w:val="-1"/>
                <w:sz w:val="16"/>
                <w:szCs w:val="16"/>
              </w:rPr>
              <w:t>737</w:t>
            </w:r>
          </w:p>
        </w:tc>
        <w:tc>
          <w:tcPr>
            <w:tcW w:w="1229"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ind w:right="1"/>
              <w:jc w:val="center"/>
              <w:rPr>
                <w:rFonts w:ascii="Calibri" w:eastAsia="Calibri" w:hAnsi="Calibri" w:cs="Calibri"/>
                <w:sz w:val="16"/>
                <w:szCs w:val="16"/>
              </w:rPr>
            </w:pPr>
            <w:r w:rsidRPr="00C758EE">
              <w:rPr>
                <w:rFonts w:ascii="Calibri"/>
                <w:spacing w:val="-1"/>
                <w:sz w:val="16"/>
                <w:szCs w:val="16"/>
              </w:rPr>
              <w:t>358</w:t>
            </w:r>
          </w:p>
        </w:tc>
        <w:tc>
          <w:tcPr>
            <w:tcW w:w="1200"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ind w:right="1"/>
              <w:jc w:val="center"/>
              <w:rPr>
                <w:rFonts w:ascii="Calibri" w:eastAsia="Calibri" w:hAnsi="Calibri" w:cs="Calibri"/>
                <w:sz w:val="16"/>
                <w:szCs w:val="16"/>
              </w:rPr>
            </w:pPr>
            <w:r w:rsidRPr="00C758EE">
              <w:rPr>
                <w:rFonts w:ascii="Calibri"/>
                <w:spacing w:val="-1"/>
                <w:sz w:val="16"/>
                <w:szCs w:val="16"/>
              </w:rPr>
              <w:t>108</w:t>
            </w:r>
          </w:p>
        </w:tc>
        <w:tc>
          <w:tcPr>
            <w:tcW w:w="1200"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86</w:t>
            </w:r>
          </w:p>
        </w:tc>
        <w:tc>
          <w:tcPr>
            <w:tcW w:w="1201"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93</w:t>
            </w:r>
          </w:p>
        </w:tc>
        <w:tc>
          <w:tcPr>
            <w:tcW w:w="1200" w:type="dxa"/>
            <w:tcBorders>
              <w:top w:val="single" w:sz="5" w:space="0" w:color="000000"/>
              <w:left w:val="single" w:sz="5" w:space="0" w:color="000000"/>
              <w:bottom w:val="single" w:sz="5" w:space="0" w:color="000000"/>
              <w:right w:val="single" w:sz="8"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ind w:left="371"/>
              <w:rPr>
                <w:rFonts w:ascii="Calibri" w:eastAsia="Calibri" w:hAnsi="Calibri" w:cs="Calibri"/>
                <w:sz w:val="16"/>
                <w:szCs w:val="16"/>
              </w:rPr>
            </w:pPr>
            <w:r w:rsidRPr="00C758EE">
              <w:rPr>
                <w:rFonts w:ascii="Calibri"/>
                <w:spacing w:val="-1"/>
                <w:sz w:val="16"/>
                <w:szCs w:val="16"/>
              </w:rPr>
              <w:t>1</w:t>
            </w:r>
            <w:r w:rsidR="005B2D24">
              <w:rPr>
                <w:rFonts w:ascii="Calibri"/>
                <w:spacing w:val="-1"/>
                <w:sz w:val="16"/>
                <w:szCs w:val="16"/>
              </w:rPr>
              <w:t>.</w:t>
            </w:r>
            <w:r w:rsidRPr="00C758EE">
              <w:rPr>
                <w:rFonts w:ascii="Calibri"/>
                <w:spacing w:val="-1"/>
                <w:sz w:val="16"/>
                <w:szCs w:val="16"/>
              </w:rPr>
              <w:t>541</w:t>
            </w:r>
          </w:p>
        </w:tc>
      </w:tr>
      <w:tr w:rsidR="00C758EE" w:rsidRPr="00C758EE" w:rsidTr="005B2D24">
        <w:trPr>
          <w:trHeight w:hRule="exact" w:val="850"/>
        </w:trPr>
        <w:tc>
          <w:tcPr>
            <w:tcW w:w="1803" w:type="dxa"/>
            <w:tcBorders>
              <w:top w:val="single" w:sz="5" w:space="0" w:color="000000"/>
              <w:left w:val="single" w:sz="8" w:space="0" w:color="000000"/>
              <w:bottom w:val="single" w:sz="5" w:space="0" w:color="000000"/>
              <w:right w:val="single" w:sz="8" w:space="0" w:color="000000"/>
            </w:tcBorders>
          </w:tcPr>
          <w:p w:rsidR="00C758EE" w:rsidRPr="00C758EE" w:rsidRDefault="00C758EE" w:rsidP="002412B0">
            <w:pPr>
              <w:pStyle w:val="TableParagraph"/>
              <w:spacing w:before="116" w:line="268" w:lineRule="exact"/>
              <w:ind w:left="59" w:right="416"/>
              <w:rPr>
                <w:rFonts w:ascii="Calibri" w:eastAsia="Calibri" w:hAnsi="Calibri" w:cs="Calibri"/>
                <w:sz w:val="16"/>
                <w:szCs w:val="16"/>
              </w:rPr>
            </w:pPr>
            <w:r w:rsidRPr="00C758EE">
              <w:rPr>
                <w:rFonts w:ascii="Calibri"/>
                <w:spacing w:val="-1"/>
                <w:sz w:val="16"/>
                <w:szCs w:val="16"/>
              </w:rPr>
              <w:t>Keiner</w:t>
            </w:r>
            <w:r w:rsidRPr="00C758EE">
              <w:rPr>
                <w:rFonts w:ascii="Calibri"/>
                <w:sz w:val="16"/>
                <w:szCs w:val="16"/>
              </w:rPr>
              <w:t xml:space="preserve"> </w:t>
            </w:r>
            <w:r w:rsidRPr="00C758EE">
              <w:rPr>
                <w:rFonts w:ascii="Calibri"/>
                <w:spacing w:val="-2"/>
                <w:sz w:val="16"/>
                <w:szCs w:val="16"/>
              </w:rPr>
              <w:t>(sach-</w:t>
            </w:r>
            <w:r w:rsidRPr="00C758EE">
              <w:rPr>
                <w:rFonts w:ascii="Calibri"/>
                <w:spacing w:val="28"/>
                <w:sz w:val="16"/>
                <w:szCs w:val="16"/>
              </w:rPr>
              <w:t xml:space="preserve"> </w:t>
            </w:r>
            <w:r w:rsidRPr="00C758EE">
              <w:rPr>
                <w:rFonts w:ascii="Calibri"/>
                <w:spacing w:val="-1"/>
                <w:sz w:val="16"/>
                <w:szCs w:val="16"/>
              </w:rPr>
              <w:t>grundlos)</w:t>
            </w:r>
            <w:r w:rsidRPr="00C758EE">
              <w:rPr>
                <w:rFonts w:ascii="Calibri"/>
                <w:spacing w:val="-1"/>
                <w:position w:val="8"/>
                <w:sz w:val="16"/>
                <w:szCs w:val="16"/>
              </w:rPr>
              <w:t>1)</w:t>
            </w:r>
          </w:p>
        </w:tc>
        <w:tc>
          <w:tcPr>
            <w:tcW w:w="1298" w:type="dxa"/>
            <w:tcBorders>
              <w:top w:val="single" w:sz="5" w:space="0" w:color="000000"/>
              <w:left w:val="single" w:sz="8"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72</w:t>
            </w:r>
          </w:p>
        </w:tc>
        <w:tc>
          <w:tcPr>
            <w:tcW w:w="1201"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14</w:t>
            </w:r>
          </w:p>
        </w:tc>
        <w:tc>
          <w:tcPr>
            <w:tcW w:w="1229"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60</w:t>
            </w:r>
          </w:p>
        </w:tc>
        <w:tc>
          <w:tcPr>
            <w:tcW w:w="1200"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98</w:t>
            </w:r>
          </w:p>
        </w:tc>
        <w:tc>
          <w:tcPr>
            <w:tcW w:w="1200"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ind w:right="1"/>
              <w:jc w:val="center"/>
              <w:rPr>
                <w:rFonts w:ascii="Calibri" w:eastAsia="Calibri" w:hAnsi="Calibri" w:cs="Calibri"/>
                <w:sz w:val="16"/>
                <w:szCs w:val="16"/>
              </w:rPr>
            </w:pPr>
            <w:r w:rsidRPr="00C758EE">
              <w:rPr>
                <w:rFonts w:ascii="Calibri"/>
                <w:spacing w:val="-1"/>
                <w:sz w:val="16"/>
                <w:szCs w:val="16"/>
              </w:rPr>
              <w:t>128</w:t>
            </w:r>
          </w:p>
        </w:tc>
        <w:tc>
          <w:tcPr>
            <w:tcW w:w="1201"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ind w:right="1"/>
              <w:jc w:val="center"/>
              <w:rPr>
                <w:rFonts w:ascii="Calibri" w:eastAsia="Calibri" w:hAnsi="Calibri" w:cs="Calibri"/>
                <w:sz w:val="16"/>
                <w:szCs w:val="16"/>
              </w:rPr>
            </w:pPr>
            <w:r w:rsidRPr="00C758EE">
              <w:rPr>
                <w:rFonts w:ascii="Calibri"/>
                <w:spacing w:val="-1"/>
                <w:sz w:val="16"/>
                <w:szCs w:val="16"/>
              </w:rPr>
              <w:t>124</w:t>
            </w:r>
          </w:p>
        </w:tc>
        <w:tc>
          <w:tcPr>
            <w:tcW w:w="1200" w:type="dxa"/>
            <w:tcBorders>
              <w:top w:val="single" w:sz="5" w:space="0" w:color="000000"/>
              <w:left w:val="single" w:sz="5" w:space="0" w:color="000000"/>
              <w:bottom w:val="single" w:sz="5" w:space="0" w:color="000000"/>
              <w:right w:val="single" w:sz="8"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ind w:left="3"/>
              <w:jc w:val="center"/>
              <w:rPr>
                <w:rFonts w:ascii="Calibri" w:eastAsia="Calibri" w:hAnsi="Calibri" w:cs="Calibri"/>
                <w:sz w:val="16"/>
                <w:szCs w:val="16"/>
              </w:rPr>
            </w:pPr>
            <w:r w:rsidRPr="00C758EE">
              <w:rPr>
                <w:rFonts w:ascii="Calibri"/>
                <w:spacing w:val="-1"/>
                <w:sz w:val="16"/>
                <w:szCs w:val="16"/>
              </w:rPr>
              <w:t>496</w:t>
            </w:r>
          </w:p>
        </w:tc>
      </w:tr>
      <w:tr w:rsidR="00C758EE" w:rsidRPr="00C758EE" w:rsidTr="00C758EE">
        <w:trPr>
          <w:trHeight w:hRule="exact" w:val="670"/>
        </w:trPr>
        <w:tc>
          <w:tcPr>
            <w:tcW w:w="1803" w:type="dxa"/>
            <w:tcBorders>
              <w:top w:val="single" w:sz="5" w:space="0" w:color="000000"/>
              <w:left w:val="single" w:sz="8" w:space="0" w:color="000000"/>
              <w:bottom w:val="single" w:sz="5" w:space="0" w:color="000000"/>
              <w:right w:val="single" w:sz="8" w:space="0" w:color="000000"/>
            </w:tcBorders>
          </w:tcPr>
          <w:p w:rsidR="00C758EE" w:rsidRPr="00C758EE" w:rsidRDefault="00C758EE" w:rsidP="002412B0">
            <w:pPr>
              <w:pStyle w:val="TableParagraph"/>
              <w:spacing w:before="120"/>
              <w:ind w:left="59" w:right="365"/>
              <w:rPr>
                <w:rFonts w:ascii="Calibri" w:eastAsia="Calibri" w:hAnsi="Calibri" w:cs="Calibri"/>
                <w:sz w:val="16"/>
                <w:szCs w:val="16"/>
              </w:rPr>
            </w:pPr>
            <w:r w:rsidRPr="00C758EE">
              <w:rPr>
                <w:rFonts w:ascii="Calibri" w:hAnsi="Calibri"/>
                <w:spacing w:val="-1"/>
                <w:sz w:val="16"/>
                <w:szCs w:val="16"/>
              </w:rPr>
              <w:t>keine</w:t>
            </w:r>
            <w:r w:rsidRPr="00C758EE">
              <w:rPr>
                <w:rFonts w:ascii="Calibri" w:hAnsi="Calibri"/>
                <w:sz w:val="16"/>
                <w:szCs w:val="16"/>
              </w:rPr>
              <w:t xml:space="preserve"> </w:t>
            </w:r>
            <w:r w:rsidRPr="00C758EE">
              <w:rPr>
                <w:rFonts w:ascii="Calibri" w:hAnsi="Calibri"/>
                <w:spacing w:val="-1"/>
                <w:sz w:val="16"/>
                <w:szCs w:val="16"/>
              </w:rPr>
              <w:t>Angabe</w:t>
            </w:r>
            <w:r w:rsidRPr="00C758EE">
              <w:rPr>
                <w:rFonts w:ascii="Calibri" w:hAnsi="Calibri"/>
                <w:spacing w:val="26"/>
                <w:sz w:val="16"/>
                <w:szCs w:val="16"/>
              </w:rPr>
              <w:t xml:space="preserve"> </w:t>
            </w:r>
            <w:r w:rsidRPr="00C758EE">
              <w:rPr>
                <w:rFonts w:ascii="Calibri" w:hAnsi="Calibri"/>
                <w:spacing w:val="-1"/>
                <w:sz w:val="16"/>
                <w:szCs w:val="16"/>
              </w:rPr>
              <w:t>möglich</w:t>
            </w:r>
          </w:p>
        </w:tc>
        <w:tc>
          <w:tcPr>
            <w:tcW w:w="1298" w:type="dxa"/>
            <w:tcBorders>
              <w:top w:val="single" w:sz="5" w:space="0" w:color="000000"/>
              <w:left w:val="single" w:sz="8"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ind w:right="5"/>
              <w:jc w:val="center"/>
              <w:rPr>
                <w:rFonts w:ascii="Calibri" w:eastAsia="Calibri" w:hAnsi="Calibri" w:cs="Calibri"/>
                <w:sz w:val="16"/>
                <w:szCs w:val="16"/>
              </w:rPr>
            </w:pPr>
            <w:r w:rsidRPr="00C758EE">
              <w:rPr>
                <w:rFonts w:ascii="Calibri"/>
                <w:sz w:val="16"/>
                <w:szCs w:val="16"/>
              </w:rPr>
              <w:t>x</w:t>
            </w:r>
          </w:p>
        </w:tc>
        <w:tc>
          <w:tcPr>
            <w:tcW w:w="1201"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x</w:t>
            </w:r>
          </w:p>
        </w:tc>
        <w:tc>
          <w:tcPr>
            <w:tcW w:w="1229"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x</w:t>
            </w:r>
          </w:p>
        </w:tc>
        <w:tc>
          <w:tcPr>
            <w:tcW w:w="1200"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x</w:t>
            </w:r>
          </w:p>
        </w:tc>
        <w:tc>
          <w:tcPr>
            <w:tcW w:w="1200"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x</w:t>
            </w:r>
          </w:p>
        </w:tc>
        <w:tc>
          <w:tcPr>
            <w:tcW w:w="1201" w:type="dxa"/>
            <w:tcBorders>
              <w:top w:val="single" w:sz="5" w:space="0" w:color="000000"/>
              <w:left w:val="single" w:sz="5" w:space="0" w:color="000000"/>
              <w:bottom w:val="single" w:sz="5"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jc w:val="center"/>
              <w:rPr>
                <w:rFonts w:ascii="Calibri" w:eastAsia="Calibri" w:hAnsi="Calibri" w:cs="Calibri"/>
                <w:sz w:val="16"/>
                <w:szCs w:val="16"/>
              </w:rPr>
            </w:pPr>
            <w:r w:rsidRPr="00C758EE">
              <w:rPr>
                <w:rFonts w:ascii="Calibri"/>
                <w:sz w:val="16"/>
                <w:szCs w:val="16"/>
              </w:rPr>
              <w:t>x</w:t>
            </w:r>
          </w:p>
        </w:tc>
        <w:tc>
          <w:tcPr>
            <w:tcW w:w="1200" w:type="dxa"/>
            <w:tcBorders>
              <w:top w:val="single" w:sz="5" w:space="0" w:color="000000"/>
              <w:left w:val="single" w:sz="5" w:space="0" w:color="000000"/>
              <w:bottom w:val="single" w:sz="5" w:space="0" w:color="000000"/>
              <w:right w:val="single" w:sz="8"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ind w:left="6"/>
              <w:jc w:val="center"/>
              <w:rPr>
                <w:rFonts w:ascii="Calibri" w:eastAsia="Calibri" w:hAnsi="Calibri" w:cs="Calibri"/>
                <w:sz w:val="16"/>
                <w:szCs w:val="16"/>
              </w:rPr>
            </w:pPr>
            <w:r w:rsidRPr="00C758EE">
              <w:rPr>
                <w:rFonts w:ascii="Calibri"/>
                <w:sz w:val="16"/>
                <w:szCs w:val="16"/>
              </w:rPr>
              <w:t>6</w:t>
            </w:r>
          </w:p>
        </w:tc>
      </w:tr>
      <w:tr w:rsidR="00C758EE" w:rsidRPr="00C758EE" w:rsidTr="00C758EE">
        <w:trPr>
          <w:trHeight w:hRule="exact" w:val="674"/>
        </w:trPr>
        <w:tc>
          <w:tcPr>
            <w:tcW w:w="1803" w:type="dxa"/>
            <w:tcBorders>
              <w:top w:val="single" w:sz="5" w:space="0" w:color="000000"/>
              <w:left w:val="single" w:sz="8" w:space="0" w:color="000000"/>
              <w:bottom w:val="single" w:sz="8" w:space="0" w:color="000000"/>
              <w:right w:val="single" w:sz="8"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ind w:left="59"/>
              <w:rPr>
                <w:rFonts w:ascii="Calibri" w:eastAsia="Calibri" w:hAnsi="Calibri" w:cs="Calibri"/>
                <w:sz w:val="16"/>
                <w:szCs w:val="16"/>
              </w:rPr>
            </w:pPr>
            <w:r w:rsidRPr="00C758EE">
              <w:rPr>
                <w:rFonts w:ascii="Calibri"/>
                <w:b/>
                <w:spacing w:val="-1"/>
                <w:sz w:val="16"/>
                <w:szCs w:val="16"/>
              </w:rPr>
              <w:t>Gesamtergebnis</w:t>
            </w:r>
          </w:p>
        </w:tc>
        <w:tc>
          <w:tcPr>
            <w:tcW w:w="1298" w:type="dxa"/>
            <w:tcBorders>
              <w:top w:val="single" w:sz="5" w:space="0" w:color="000000"/>
              <w:left w:val="single" w:sz="8" w:space="0" w:color="000000"/>
              <w:bottom w:val="single" w:sz="8"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ind w:left="414"/>
              <w:rPr>
                <w:rFonts w:ascii="Calibri" w:eastAsia="Calibri" w:hAnsi="Calibri" w:cs="Calibri"/>
                <w:sz w:val="16"/>
                <w:szCs w:val="16"/>
              </w:rPr>
            </w:pPr>
            <w:r w:rsidRPr="00C758EE">
              <w:rPr>
                <w:rFonts w:ascii="Calibri"/>
                <w:b/>
                <w:spacing w:val="-1"/>
                <w:sz w:val="16"/>
                <w:szCs w:val="16"/>
              </w:rPr>
              <w:t>1</w:t>
            </w:r>
            <w:r>
              <w:rPr>
                <w:rFonts w:ascii="Calibri"/>
                <w:b/>
                <w:spacing w:val="-1"/>
                <w:sz w:val="16"/>
                <w:szCs w:val="16"/>
              </w:rPr>
              <w:t>.</w:t>
            </w:r>
            <w:r w:rsidRPr="00C758EE">
              <w:rPr>
                <w:rFonts w:ascii="Calibri"/>
                <w:b/>
                <w:spacing w:val="-1"/>
                <w:sz w:val="16"/>
                <w:szCs w:val="16"/>
              </w:rPr>
              <w:t>915</w:t>
            </w:r>
          </w:p>
        </w:tc>
        <w:tc>
          <w:tcPr>
            <w:tcW w:w="1201" w:type="dxa"/>
            <w:tcBorders>
              <w:top w:val="single" w:sz="5" w:space="0" w:color="000000"/>
              <w:left w:val="single" w:sz="5" w:space="0" w:color="000000"/>
              <w:bottom w:val="single" w:sz="8"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ind w:left="371"/>
              <w:rPr>
                <w:rFonts w:ascii="Calibri" w:eastAsia="Calibri" w:hAnsi="Calibri" w:cs="Calibri"/>
                <w:sz w:val="16"/>
                <w:szCs w:val="16"/>
              </w:rPr>
            </w:pPr>
            <w:r w:rsidRPr="00C758EE">
              <w:rPr>
                <w:rFonts w:ascii="Calibri"/>
                <w:b/>
                <w:spacing w:val="-1"/>
                <w:sz w:val="16"/>
                <w:szCs w:val="16"/>
              </w:rPr>
              <w:t>1</w:t>
            </w:r>
            <w:r>
              <w:rPr>
                <w:rFonts w:ascii="Calibri"/>
                <w:b/>
                <w:spacing w:val="-1"/>
                <w:sz w:val="16"/>
                <w:szCs w:val="16"/>
              </w:rPr>
              <w:t>.</w:t>
            </w:r>
            <w:r w:rsidRPr="00C758EE">
              <w:rPr>
                <w:rFonts w:ascii="Calibri"/>
                <w:b/>
                <w:spacing w:val="-1"/>
                <w:sz w:val="16"/>
                <w:szCs w:val="16"/>
              </w:rPr>
              <w:t>190</w:t>
            </w:r>
          </w:p>
        </w:tc>
        <w:tc>
          <w:tcPr>
            <w:tcW w:w="1229" w:type="dxa"/>
            <w:tcBorders>
              <w:top w:val="single" w:sz="5" w:space="0" w:color="000000"/>
              <w:left w:val="single" w:sz="5" w:space="0" w:color="000000"/>
              <w:bottom w:val="single" w:sz="8"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ind w:left="385"/>
              <w:rPr>
                <w:rFonts w:ascii="Calibri" w:eastAsia="Calibri" w:hAnsi="Calibri" w:cs="Calibri"/>
                <w:sz w:val="16"/>
                <w:szCs w:val="16"/>
              </w:rPr>
            </w:pPr>
            <w:r w:rsidRPr="00C758EE">
              <w:rPr>
                <w:rFonts w:ascii="Calibri"/>
                <w:b/>
                <w:spacing w:val="-1"/>
                <w:sz w:val="16"/>
                <w:szCs w:val="16"/>
              </w:rPr>
              <w:t>1</w:t>
            </w:r>
            <w:r>
              <w:rPr>
                <w:rFonts w:ascii="Calibri"/>
                <w:b/>
                <w:spacing w:val="-1"/>
                <w:sz w:val="16"/>
                <w:szCs w:val="16"/>
              </w:rPr>
              <w:t>.</w:t>
            </w:r>
            <w:r w:rsidRPr="00C758EE">
              <w:rPr>
                <w:rFonts w:ascii="Calibri"/>
                <w:b/>
                <w:spacing w:val="-1"/>
                <w:sz w:val="16"/>
                <w:szCs w:val="16"/>
              </w:rPr>
              <w:t>735</w:t>
            </w:r>
          </w:p>
        </w:tc>
        <w:tc>
          <w:tcPr>
            <w:tcW w:w="1200" w:type="dxa"/>
            <w:tcBorders>
              <w:top w:val="single" w:sz="5" w:space="0" w:color="000000"/>
              <w:left w:val="single" w:sz="5" w:space="0" w:color="000000"/>
              <w:bottom w:val="single" w:sz="8"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ind w:right="1"/>
              <w:jc w:val="center"/>
              <w:rPr>
                <w:rFonts w:ascii="Calibri" w:eastAsia="Calibri" w:hAnsi="Calibri" w:cs="Calibri"/>
                <w:sz w:val="16"/>
                <w:szCs w:val="16"/>
              </w:rPr>
            </w:pPr>
            <w:r w:rsidRPr="00C758EE">
              <w:rPr>
                <w:rFonts w:ascii="Calibri"/>
                <w:b/>
                <w:spacing w:val="-1"/>
                <w:sz w:val="16"/>
                <w:szCs w:val="16"/>
              </w:rPr>
              <w:t>389</w:t>
            </w:r>
          </w:p>
        </w:tc>
        <w:tc>
          <w:tcPr>
            <w:tcW w:w="1200" w:type="dxa"/>
            <w:tcBorders>
              <w:top w:val="single" w:sz="5" w:space="0" w:color="000000"/>
              <w:left w:val="single" w:sz="5" w:space="0" w:color="000000"/>
              <w:bottom w:val="single" w:sz="8"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ind w:right="1"/>
              <w:jc w:val="center"/>
              <w:rPr>
                <w:rFonts w:ascii="Calibri" w:eastAsia="Calibri" w:hAnsi="Calibri" w:cs="Calibri"/>
                <w:sz w:val="16"/>
                <w:szCs w:val="16"/>
              </w:rPr>
            </w:pPr>
            <w:r w:rsidRPr="00C758EE">
              <w:rPr>
                <w:rFonts w:ascii="Calibri"/>
                <w:b/>
                <w:spacing w:val="-1"/>
                <w:sz w:val="16"/>
                <w:szCs w:val="16"/>
              </w:rPr>
              <w:t>911</w:t>
            </w:r>
          </w:p>
        </w:tc>
        <w:tc>
          <w:tcPr>
            <w:tcW w:w="1201" w:type="dxa"/>
            <w:tcBorders>
              <w:top w:val="single" w:sz="5" w:space="0" w:color="000000"/>
              <w:left w:val="single" w:sz="5" w:space="0" w:color="000000"/>
              <w:bottom w:val="single" w:sz="8" w:space="0" w:color="000000"/>
              <w:right w:val="single" w:sz="5"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ind w:right="1"/>
              <w:jc w:val="center"/>
              <w:rPr>
                <w:rFonts w:ascii="Calibri" w:eastAsia="Calibri" w:hAnsi="Calibri" w:cs="Calibri"/>
                <w:sz w:val="16"/>
                <w:szCs w:val="16"/>
              </w:rPr>
            </w:pPr>
            <w:r w:rsidRPr="00C758EE">
              <w:rPr>
                <w:rFonts w:ascii="Calibri"/>
                <w:b/>
                <w:spacing w:val="-1"/>
                <w:sz w:val="16"/>
                <w:szCs w:val="16"/>
              </w:rPr>
              <w:t>559</w:t>
            </w:r>
          </w:p>
        </w:tc>
        <w:tc>
          <w:tcPr>
            <w:tcW w:w="1200" w:type="dxa"/>
            <w:tcBorders>
              <w:top w:val="single" w:sz="5" w:space="0" w:color="000000"/>
              <w:left w:val="single" w:sz="5" w:space="0" w:color="000000"/>
              <w:bottom w:val="single" w:sz="8" w:space="0" w:color="000000"/>
              <w:right w:val="single" w:sz="8" w:space="0" w:color="000000"/>
            </w:tcBorders>
          </w:tcPr>
          <w:p w:rsidR="00C758EE" w:rsidRPr="00C758EE" w:rsidRDefault="00C758EE" w:rsidP="002412B0">
            <w:pPr>
              <w:pStyle w:val="TableParagraph"/>
              <w:spacing w:before="11"/>
              <w:rPr>
                <w:rFonts w:ascii="Calibri" w:eastAsia="Calibri" w:hAnsi="Calibri" w:cs="Calibri"/>
                <w:b/>
                <w:bCs/>
                <w:sz w:val="16"/>
                <w:szCs w:val="16"/>
              </w:rPr>
            </w:pPr>
          </w:p>
          <w:p w:rsidR="00C758EE" w:rsidRPr="00C758EE" w:rsidRDefault="00C758EE" w:rsidP="002412B0">
            <w:pPr>
              <w:pStyle w:val="TableParagraph"/>
              <w:ind w:left="371"/>
              <w:rPr>
                <w:rFonts w:ascii="Calibri" w:eastAsia="Calibri" w:hAnsi="Calibri" w:cs="Calibri"/>
                <w:sz w:val="16"/>
                <w:szCs w:val="16"/>
              </w:rPr>
            </w:pPr>
            <w:r w:rsidRPr="00C758EE">
              <w:rPr>
                <w:rFonts w:ascii="Calibri"/>
                <w:b/>
                <w:spacing w:val="-1"/>
                <w:sz w:val="16"/>
                <w:szCs w:val="16"/>
              </w:rPr>
              <w:t>6</w:t>
            </w:r>
            <w:r>
              <w:rPr>
                <w:rFonts w:ascii="Calibri"/>
                <w:b/>
                <w:spacing w:val="-1"/>
                <w:sz w:val="16"/>
                <w:szCs w:val="16"/>
              </w:rPr>
              <w:t>.</w:t>
            </w:r>
            <w:r w:rsidRPr="00C758EE">
              <w:rPr>
                <w:rFonts w:ascii="Calibri"/>
                <w:b/>
                <w:spacing w:val="-1"/>
                <w:sz w:val="16"/>
                <w:szCs w:val="16"/>
              </w:rPr>
              <w:t>699</w:t>
            </w:r>
          </w:p>
        </w:tc>
      </w:tr>
    </w:tbl>
    <w:p w:rsidR="009D008C" w:rsidRPr="00C758EE" w:rsidRDefault="00C758EE" w:rsidP="00C758EE">
      <w:pPr>
        <w:pStyle w:val="LTAntwortRessortText"/>
        <w:spacing w:before="120"/>
        <w:rPr>
          <w:sz w:val="24"/>
          <w:vertAlign w:val="superscript"/>
        </w:rPr>
      </w:pPr>
      <w:r w:rsidRPr="00C758EE">
        <w:rPr>
          <w:sz w:val="24"/>
          <w:vertAlign w:val="superscript"/>
        </w:rPr>
        <w:t xml:space="preserve">1) </w:t>
      </w:r>
      <w:r w:rsidR="009D008C" w:rsidRPr="00C758EE">
        <w:rPr>
          <w:sz w:val="24"/>
          <w:vertAlign w:val="superscript"/>
        </w:rPr>
        <w:t>einschließlich 2 Personalfällen, bei denen der Arbeitnehmer das 52.Lebensjahr vollendet hat und weitere Voraussetzungen des §14 Abs.3 TzBfG vorliegen</w:t>
      </w:r>
    </w:p>
    <w:p w:rsidR="009D008C" w:rsidRPr="00C758EE" w:rsidRDefault="009D008C" w:rsidP="00C758EE">
      <w:pPr>
        <w:pStyle w:val="LTAntwortRessortText"/>
        <w:spacing w:before="0"/>
        <w:rPr>
          <w:sz w:val="24"/>
          <w:vertAlign w:val="superscript"/>
        </w:rPr>
      </w:pPr>
      <w:r w:rsidRPr="00C758EE">
        <w:rPr>
          <w:sz w:val="24"/>
          <w:vertAlign w:val="superscript"/>
        </w:rPr>
        <w:t>x: aus Datenschutzgründen werden Quantitäten unter 10 nicht ausgewiesen.</w:t>
      </w:r>
    </w:p>
    <w:p w:rsidR="009D008C" w:rsidRPr="00C758EE" w:rsidRDefault="009D008C" w:rsidP="007522B9">
      <w:pPr>
        <w:pStyle w:val="LTAntwortRessortText"/>
        <w:spacing w:before="120"/>
        <w:rPr>
          <w:u w:val="single"/>
        </w:rPr>
      </w:pPr>
      <w:r w:rsidRPr="00C758EE">
        <w:rPr>
          <w:u w:val="single"/>
        </w:rPr>
        <w:t>Legende:</w:t>
      </w:r>
    </w:p>
    <w:p w:rsidR="009D008C" w:rsidRDefault="009D008C" w:rsidP="007522B9">
      <w:pPr>
        <w:pStyle w:val="LTAntwortRessortText"/>
        <w:spacing w:before="120"/>
        <w:ind w:left="3261" w:hanging="2921"/>
      </w:pPr>
      <w:r>
        <w:t xml:space="preserve">§ 14 Abs. 1 Satz 2 Nr. 1 TzBfG: </w:t>
      </w:r>
      <w:r w:rsidR="00511FD9">
        <w:tab/>
      </w:r>
      <w:r>
        <w:t>Befristung, weil der betriebliche Bedarf an der Arbeitsleistung nur vorübergehend besteht</w:t>
      </w:r>
      <w:r w:rsidR="00C758EE">
        <w:t xml:space="preserve"> </w:t>
      </w:r>
      <w:r>
        <w:t>(z.</w:t>
      </w:r>
      <w:r w:rsidR="00C46FBA">
        <w:t xml:space="preserve"> </w:t>
      </w:r>
      <w:r>
        <w:t>B. wegen Wahlverhalten der Schüler</w:t>
      </w:r>
      <w:r w:rsidR="00C758EE">
        <w:t xml:space="preserve"> oder in der Flüchtlingsbeschu</w:t>
      </w:r>
      <w:r>
        <w:t>lung)</w:t>
      </w:r>
    </w:p>
    <w:p w:rsidR="009D008C" w:rsidRDefault="009D008C" w:rsidP="007522B9">
      <w:pPr>
        <w:pStyle w:val="LTAntwortRessortText"/>
        <w:spacing w:before="120"/>
        <w:ind w:left="3261" w:hanging="2977"/>
      </w:pPr>
      <w:r>
        <w:t xml:space="preserve">§ 14 Abs. 1 Satz 2 Nr. 2 TzBfG: </w:t>
      </w:r>
      <w:r w:rsidR="00511FD9">
        <w:tab/>
      </w:r>
      <w:r>
        <w:t>Befristung im Anschluss an eine Ausbildung oder ein Studium</w:t>
      </w:r>
      <w:r w:rsidR="00C758EE">
        <w:t xml:space="preserve"> </w:t>
      </w:r>
      <w:r>
        <w:t>(im wesentlichen Zweitqualifizierung in Grund- und Mittelschullehramt)</w:t>
      </w:r>
    </w:p>
    <w:p w:rsidR="009D008C" w:rsidRDefault="009D008C" w:rsidP="007522B9">
      <w:pPr>
        <w:pStyle w:val="LTAntwortRessortText"/>
        <w:spacing w:before="120"/>
        <w:ind w:left="3261" w:hanging="2977"/>
      </w:pPr>
      <w:r>
        <w:t xml:space="preserve">§ 14 Abs. 1 Satz 2 Nr. 3 TzBfG: </w:t>
      </w:r>
      <w:r w:rsidR="00C46FBA">
        <w:tab/>
      </w:r>
      <w:r>
        <w:t>Befristung zur Ve</w:t>
      </w:r>
      <w:r w:rsidR="00C46FBA">
        <w:t>rtretung eines anderen Arbeitne</w:t>
      </w:r>
      <w:r>
        <w:t xml:space="preserve">mers (BEEG und </w:t>
      </w:r>
      <w:r w:rsidR="00D80F94">
        <w:t xml:space="preserve">Pflegezeitgesetz – </w:t>
      </w:r>
      <w:r>
        <w:t>PflegeZG)</w:t>
      </w:r>
      <w:r w:rsidR="00C758EE">
        <w:t xml:space="preserve"> </w:t>
      </w:r>
      <w:r>
        <w:t>(z.</w:t>
      </w:r>
      <w:r w:rsidR="005B2D24">
        <w:t> </w:t>
      </w:r>
      <w:r>
        <w:t>B. Vertretung von Lehrkräften in Freis</w:t>
      </w:r>
      <w:r w:rsidR="00C758EE">
        <w:t>tellungsmodellen oder für Lehr</w:t>
      </w:r>
      <w:r>
        <w:t>kräfte, die befristet Teilzeit arbeiten)</w:t>
      </w:r>
    </w:p>
    <w:p w:rsidR="009D008C" w:rsidRDefault="009D008C" w:rsidP="007522B9">
      <w:pPr>
        <w:pStyle w:val="LTAntwortRessortText"/>
        <w:spacing w:before="120"/>
        <w:ind w:left="3261" w:hanging="2977"/>
      </w:pPr>
      <w:r>
        <w:t xml:space="preserve">§ 14 Abs. 1 Satz 2 Nr. 4 TzBfG: </w:t>
      </w:r>
      <w:r w:rsidR="00C46FBA">
        <w:tab/>
      </w:r>
      <w:r>
        <w:t>Befristung, weil die Eigenart der Arbeitsle</w:t>
      </w:r>
      <w:r w:rsidR="00C46FBA">
        <w:t xml:space="preserve">istung die </w:t>
      </w:r>
      <w:r w:rsidR="00C758EE">
        <w:t>Befristung rechtfer</w:t>
      </w:r>
      <w:r>
        <w:t>tigt</w:t>
      </w:r>
      <w:r w:rsidR="00C758EE">
        <w:t xml:space="preserve"> </w:t>
      </w:r>
      <w:r>
        <w:t>(z.</w:t>
      </w:r>
      <w:r w:rsidR="00D80F94">
        <w:t xml:space="preserve"> B. Modellversuch zum i</w:t>
      </w:r>
      <w:r>
        <w:t>slamischen Unterricht oder für Hausun</w:t>
      </w:r>
      <w:r w:rsidR="00D80F94">
        <w:t>terricht von erkrankten Schülerinnen und Schüler</w:t>
      </w:r>
      <w:r w:rsidR="005B2D24">
        <w:t>n</w:t>
      </w:r>
      <w:r>
        <w:t>)</w:t>
      </w:r>
    </w:p>
    <w:p w:rsidR="009D008C" w:rsidRDefault="009D008C" w:rsidP="007522B9">
      <w:pPr>
        <w:pStyle w:val="LTAntwortRessortText"/>
        <w:spacing w:before="120"/>
        <w:ind w:left="3261" w:hanging="2977"/>
      </w:pPr>
      <w:r>
        <w:t xml:space="preserve">§ 14 Abs. 1 Satz 2 Nr. 5 TzBfG: </w:t>
      </w:r>
      <w:r w:rsidR="00511FD9">
        <w:tab/>
      </w:r>
      <w:r>
        <w:t>Befristung zur Erprobung</w:t>
      </w:r>
      <w:r w:rsidR="00C758EE">
        <w:t xml:space="preserve"> </w:t>
      </w:r>
      <w:r>
        <w:t>(Zweitqualifizierung in Grund- und Mittelschullehramt oder Lehrkräfte, die von außerhalb Bayerns kommen u</w:t>
      </w:r>
      <w:r w:rsidR="00C758EE">
        <w:t>nd einen Anpassungslehrgang ab</w:t>
      </w:r>
      <w:r>
        <w:t>solvieren)</w:t>
      </w:r>
    </w:p>
    <w:p w:rsidR="009D008C" w:rsidRDefault="009D008C" w:rsidP="007522B9">
      <w:pPr>
        <w:pStyle w:val="LTAntwortRessortText"/>
        <w:spacing w:before="120"/>
        <w:ind w:left="3261" w:hanging="2977"/>
      </w:pPr>
      <w:r>
        <w:t xml:space="preserve">§ 14 Abs. 1 Satz 2 Nr. 6 TzBfG: </w:t>
      </w:r>
      <w:r w:rsidR="00511FD9">
        <w:tab/>
      </w:r>
      <w:r>
        <w:t>Befristung aus in der Person des Arbeitnehmers liegenden Gründen</w:t>
      </w:r>
      <w:r w:rsidR="00C758EE">
        <w:t xml:space="preserve"> </w:t>
      </w:r>
      <w:r>
        <w:t>(z.</w:t>
      </w:r>
      <w:r w:rsidR="00D80F94">
        <w:t xml:space="preserve"> </w:t>
      </w:r>
      <w:r>
        <w:t>B. Vertrag nach Ruhestand oder Befristung auf ausdrücklichen Wunsch der Lehrkraft oder bis zur V</w:t>
      </w:r>
      <w:r w:rsidR="005B2D24">
        <w:t>orlage des</w:t>
      </w:r>
      <w:r w:rsidR="00D80F94">
        <w:t xml:space="preserve"> Gesundheitszeugnisse</w:t>
      </w:r>
      <w:r w:rsidR="005B2D24">
        <w:t>s</w:t>
      </w:r>
      <w:r>
        <w:t>)</w:t>
      </w:r>
    </w:p>
    <w:p w:rsidR="009D008C" w:rsidRDefault="009D008C" w:rsidP="007522B9">
      <w:pPr>
        <w:pStyle w:val="LTAntwortRessortText"/>
        <w:spacing w:before="120"/>
        <w:ind w:left="3261" w:hanging="2977"/>
      </w:pPr>
      <w:r>
        <w:t xml:space="preserve">§ 14 Abs. 1 Satz 2 Nr. 8 TzBfG: </w:t>
      </w:r>
      <w:r w:rsidR="00511FD9">
        <w:tab/>
      </w:r>
      <w:r>
        <w:t>Befristung, die auf einem gerichtlichen Vergleich beruht</w:t>
      </w:r>
    </w:p>
    <w:p w:rsidR="009D008C" w:rsidRDefault="009D008C" w:rsidP="007522B9">
      <w:pPr>
        <w:pStyle w:val="LTAntwortRessortText"/>
        <w:spacing w:before="120"/>
        <w:ind w:left="3261" w:hanging="2977"/>
      </w:pPr>
      <w:r>
        <w:t>§ 14 Abs. 1 TzBfG:</w:t>
      </w:r>
      <w:r>
        <w:tab/>
        <w:t>Befristung wegen geplanter Übernahme ins Beamtenverhältnis</w:t>
      </w:r>
      <w:r w:rsidR="00C46FBA">
        <w:t xml:space="preserve"> </w:t>
      </w:r>
      <w:r w:rsidR="00D80F94">
        <w:t>(im W</w:t>
      </w:r>
      <w:r>
        <w:t>esentlichen Zweitqualifizierung in Grund- und Mittelschullehramt)</w:t>
      </w:r>
    </w:p>
    <w:p w:rsidR="009D008C" w:rsidRDefault="009D008C" w:rsidP="007522B9">
      <w:pPr>
        <w:pStyle w:val="LTAntwortRessortText"/>
        <w:spacing w:before="120"/>
        <w:ind w:left="3261" w:hanging="2977"/>
      </w:pPr>
      <w:r>
        <w:t>§ 21</w:t>
      </w:r>
      <w:r w:rsidR="005B2D24">
        <w:t xml:space="preserve"> BEEG:</w:t>
      </w:r>
      <w:r w:rsidR="005B2D24">
        <w:tab/>
      </w:r>
      <w:r>
        <w:t>Befristete Arbeitsverträge nach dem Bun</w:t>
      </w:r>
      <w:r w:rsidR="00C758EE">
        <w:t>deselterngeld und Elternzeitge</w:t>
      </w:r>
      <w:r>
        <w:t>se</w:t>
      </w:r>
      <w:r w:rsidR="005B2D24">
        <w:t>tz, Vertretung für Elternzeiten</w:t>
      </w:r>
    </w:p>
    <w:p w:rsidR="00C46FBA" w:rsidRDefault="00C46FBA">
      <w:pPr>
        <w:rPr>
          <w:rFonts w:cs="Arial"/>
          <w:b/>
          <w:sz w:val="22"/>
          <w:szCs w:val="22"/>
        </w:rPr>
      </w:pPr>
      <w:r>
        <w:br w:type="page"/>
      </w:r>
    </w:p>
    <w:p w:rsidR="009D008C" w:rsidRDefault="009D008C" w:rsidP="009D008C">
      <w:pPr>
        <w:pStyle w:val="LTUeberschrRessort"/>
      </w:pPr>
      <w:r>
        <w:t>Geschäftsbereich des Staatsministeriums für Wissenschaft und Kunst</w:t>
      </w:r>
      <w:r>
        <w:fldChar w:fldCharType="begin"/>
      </w:r>
      <w:r>
        <w:instrText xml:space="preserve"> TC </w:instrText>
      </w:r>
      <w:r w:rsidR="006321CE">
        <w:instrText>„</w:instrText>
      </w:r>
      <w:r>
        <w:instrText>Geschäftsbereich des Staatsministeriums für Wissenschaft und Kunst</w:instrText>
      </w:r>
      <w:r w:rsidR="006321CE">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9D008C" w:rsidTr="009D008C">
        <w:tc>
          <w:tcPr>
            <w:tcW w:w="2050" w:type="dxa"/>
            <w:shd w:val="clear" w:color="auto" w:fill="auto"/>
          </w:tcPr>
          <w:p w:rsidR="009D008C" w:rsidRPr="009D008C" w:rsidRDefault="009D008C" w:rsidP="009D008C">
            <w:pPr>
              <w:pStyle w:val="LTAnfrageIni1"/>
            </w:pPr>
            <w:r w:rsidRPr="009D008C">
              <w:t>Abgeordnete</w:t>
            </w:r>
            <w:r w:rsidRPr="009D008C">
              <w:br/>
            </w:r>
            <w:r w:rsidRPr="009D008C">
              <w:rPr>
                <w:b/>
              </w:rPr>
              <w:t>Gülseren</w:t>
            </w:r>
            <w:r w:rsidRPr="009D008C">
              <w:rPr>
                <w:b/>
              </w:rPr>
              <w:br/>
              <w:t>Demirel</w:t>
            </w:r>
            <w:r w:rsidRPr="009D008C">
              <w:rPr>
                <w:b/>
              </w:rPr>
              <w:br/>
            </w:r>
            <w:r w:rsidRPr="009D008C">
              <w:t>(BÜNDNIS 90/DIE GRÜNEN)</w:t>
            </w:r>
            <w:r>
              <w:fldChar w:fldCharType="begin"/>
            </w:r>
            <w:r>
              <w:instrText xml:space="preserve"> XE </w:instrText>
            </w:r>
            <w:r w:rsidR="006321CE">
              <w:instrText>„</w:instrText>
            </w:r>
            <w:r>
              <w:instrText xml:space="preserve">Demirel, Gülseren (BÜNDNIS 90/DIE GRÜNEN):Situation von Lehrbeauftragten in Bayern </w:instrText>
            </w:r>
            <w:r>
              <w:fldChar w:fldCharType="end"/>
            </w:r>
            <w:r>
              <w:fldChar w:fldCharType="begin"/>
            </w:r>
            <w:r>
              <w:instrText xml:space="preserve"> TC </w:instrText>
            </w:r>
            <w:r w:rsidR="006321CE">
              <w:instrText>„</w:instrText>
            </w:r>
            <w:r>
              <w:instrText>Demirel, Gülseren (BÜNDNIS 90/DIE GRÜNEN)</w:instrText>
            </w:r>
            <w:r>
              <w:br/>
              <w:instrText xml:space="preserve">Situation von Lehrbeauftragten in Bayern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 xml:space="preserve">Ich frage die Staatsregierung, wie viele Lehrbeauftragte im Freistaat Bayern zur Abgabe einer </w:t>
            </w:r>
            <w:r w:rsidR="006321CE">
              <w:t>„</w:t>
            </w:r>
            <w:r>
              <w:t>Erklärung zur wirtschaftlichen Unabhängigkeit</w:t>
            </w:r>
            <w:r w:rsidR="006321CE">
              <w:t>“</w:t>
            </w:r>
            <w:r>
              <w:t xml:space="preserve"> aufgefordert wurden, wie viele davon diese bereits abgegeben haben und welche Konsequenzen sich für die Lehrbeauftragten bei einer Nicht-Abgabe der </w:t>
            </w:r>
            <w:r w:rsidR="006321CE">
              <w:t>„</w:t>
            </w:r>
            <w:r>
              <w:t>Erklärung zur wirtschaftlichen Unabhängigkeit</w:t>
            </w:r>
            <w:r w:rsidR="006321CE">
              <w:t>“</w:t>
            </w:r>
            <w:r>
              <w:t xml:space="preserve"> ergeben?</w:t>
            </w:r>
          </w:p>
          <w:p w:rsidR="009D008C" w:rsidRDefault="009D008C" w:rsidP="009D008C">
            <w:pPr>
              <w:pStyle w:val="LTAnfrageText"/>
            </w:pPr>
          </w:p>
        </w:tc>
      </w:tr>
    </w:tbl>
    <w:p w:rsidR="009D008C" w:rsidRDefault="009D008C" w:rsidP="009D008C">
      <w:pPr>
        <w:pStyle w:val="LTUeberschrAntwortRessort"/>
      </w:pPr>
      <w:r>
        <w:t>Antwort des Staatsministeriums für Wissenschaft und Kunst</w:t>
      </w:r>
    </w:p>
    <w:p w:rsidR="009D008C" w:rsidRDefault="009D008C" w:rsidP="00AF399C">
      <w:pPr>
        <w:pStyle w:val="LTAntwortRessortText"/>
        <w:spacing w:before="360"/>
      </w:pPr>
      <w:r>
        <w:t>Die Hochschulen fragen bei Personen, denen Lehraufträge erteilt werden sollen, ab, ob sie ihren Lebensunterhalt aus anderen Quellen al</w:t>
      </w:r>
      <w:r w:rsidR="00AF200D">
        <w:t>s den Lehraufträgen an staatli</w:t>
      </w:r>
      <w:r>
        <w:t xml:space="preserve">chen bayerischen Hochschulen hinreichend bestreiten können und ob sie noch an weiteren staatlichen bayerischen Hochschulen auf Grundlage eines Lehrauftrags im Sinne des Art. 31 </w:t>
      </w:r>
      <w:r w:rsidR="00AF200D">
        <w:t>Bayerisches Hochschulpersonalgesetz</w:t>
      </w:r>
      <w:r>
        <w:t xml:space="preserve"> (BayHSchPG) tätig sind.</w:t>
      </w:r>
    </w:p>
    <w:p w:rsidR="009D008C" w:rsidRDefault="009D008C" w:rsidP="00AF399C">
      <w:pPr>
        <w:pStyle w:val="LTAntwortRessortText"/>
        <w:spacing w:before="360"/>
      </w:pPr>
      <w:r>
        <w:t xml:space="preserve">Zahlen dazu, wie viele Personen diese Fragen bereits beantwortet haben, liegen </w:t>
      </w:r>
      <w:r w:rsidR="00AF200D">
        <w:t>dem Staatsministerium für Wissenschaft und Kunst</w:t>
      </w:r>
      <w:r>
        <w:t xml:space="preserve"> nicht vor, </w:t>
      </w:r>
      <w:r w:rsidR="00965CB8">
        <w:t>dieses hat</w:t>
      </w:r>
      <w:r>
        <w:t xml:space="preserve"> von den Universitäten und Kunsthochschulen aber Rückmeldung dahingehend erhalten, dass die Beantwortung gelegentlich verweigert wurde.</w:t>
      </w:r>
    </w:p>
    <w:p w:rsidR="009D008C" w:rsidRDefault="009D008C" w:rsidP="00AF399C">
      <w:pPr>
        <w:pStyle w:val="LTAntwortRessortText"/>
        <w:spacing w:before="360"/>
      </w:pPr>
      <w:r>
        <w:t>Die Hochschulen sind angehalten, bei der Verweigerung der Beantwortung das per</w:t>
      </w:r>
      <w:r w:rsidR="00AF200D">
        <w:t>sönliche Gespräch mit den potenziellen Lehrauftragsempfängerinnen und -empfängern</w:t>
      </w:r>
      <w:r>
        <w:t xml:space="preserve"> zu führen und zu klären, was sie an einer Beantwortung hindert. Die Konsequenzen einer endgültigen Weigerung sind unterschiedlich:</w:t>
      </w:r>
    </w:p>
    <w:p w:rsidR="009D008C" w:rsidRDefault="009D008C" w:rsidP="00AF399C">
      <w:pPr>
        <w:pStyle w:val="LTAntwortRessortText"/>
        <w:spacing w:before="360"/>
      </w:pPr>
      <w:r>
        <w:t>Die erste Frage nach dem Lebensunterhalt bezieht sich auf die Notwendigkeit, die Sozialversicherungspflicht von Lehrbeauftragten klären zu müssen. Wird die Frage nicht oder negativ beantwortet, dann besteht grundsät</w:t>
      </w:r>
      <w:r w:rsidR="00AF200D">
        <w:t>zlich kein Anlass, den Lehrauf</w:t>
      </w:r>
      <w:r>
        <w:t>trag nicht zu erteilen, die Hochschule wird aber die Clearingstelle der Deutschen Rentenversicherung Bund bitten zu klären, ob die Person, der Lehraufträge erteilt werden, sozialversicherungspflichtig ist oder nicht. S</w:t>
      </w:r>
      <w:r w:rsidR="00AF200D">
        <w:t>oweit eine Sozialversicherungs</w:t>
      </w:r>
      <w:r>
        <w:t>pflicht besteht, werden entsprechende Versicherungszahlungen geleistet.</w:t>
      </w:r>
    </w:p>
    <w:p w:rsidR="009D008C" w:rsidRDefault="009D008C" w:rsidP="00AF399C">
      <w:pPr>
        <w:pStyle w:val="LTAntwortRessortText"/>
        <w:spacing w:before="360"/>
      </w:pPr>
      <w:r>
        <w:t xml:space="preserve">Die zweite Frage soll klären helfen, ob die befragten Personen auch bei Erteilung weiterer Lehraufträge nebenberuflich tätig bleiben, wie dies Art. 2 Abs. 2 Nr. 3 </w:t>
      </w:r>
      <w:r w:rsidR="00AF200D">
        <w:br/>
      </w:r>
      <w:r>
        <w:t>BayHSchPG vorsieht. Wird auch nach einer Erläuterung die Auskunft verweigert, dann muss die Hochschule davon ausgehen, dass die Person, der ein Lehrauftrag erteilt werden sollte, bereits so viele Lehraufträge wahrnimmt, dass ein weiterer Lehrauftrag rechtlich nicht möglich ist.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1"/>
        <w:gridCol w:w="5855"/>
      </w:tblGrid>
      <w:tr w:rsidR="009D008C" w:rsidTr="009D008C">
        <w:tc>
          <w:tcPr>
            <w:tcW w:w="2050" w:type="dxa"/>
            <w:shd w:val="clear" w:color="auto" w:fill="auto"/>
          </w:tcPr>
          <w:p w:rsidR="009D008C" w:rsidRPr="009D008C" w:rsidRDefault="009D008C" w:rsidP="009D008C">
            <w:pPr>
              <w:pStyle w:val="LTAnfrageIni1"/>
            </w:pPr>
            <w:r w:rsidRPr="009D008C">
              <w:t>Abgeordneter</w:t>
            </w:r>
            <w:r w:rsidRPr="009D008C">
              <w:br/>
            </w:r>
            <w:r w:rsidRPr="009D008C">
              <w:rPr>
                <w:b/>
              </w:rPr>
              <w:t>Dr. Helmut</w:t>
            </w:r>
            <w:r w:rsidRPr="009D008C">
              <w:rPr>
                <w:b/>
              </w:rPr>
              <w:br/>
              <w:t>Kaltenhauser</w:t>
            </w:r>
            <w:r w:rsidRPr="009D008C">
              <w:rPr>
                <w:b/>
              </w:rPr>
              <w:br/>
            </w:r>
            <w:r w:rsidRPr="009D008C">
              <w:t>(FDP)</w:t>
            </w:r>
            <w:r>
              <w:fldChar w:fldCharType="begin"/>
            </w:r>
            <w:r>
              <w:instrText xml:space="preserve"> XE </w:instrText>
            </w:r>
            <w:r w:rsidR="006321CE">
              <w:instrText>„</w:instrText>
            </w:r>
            <w:r>
              <w:instrText xml:space="preserve">Kaltenhauser, Dr., Helmut (FDP):Hochschule Aschaffenburg - Informatik-Studiengang </w:instrText>
            </w:r>
            <w:r>
              <w:fldChar w:fldCharType="end"/>
            </w:r>
            <w:r>
              <w:fldChar w:fldCharType="begin"/>
            </w:r>
            <w:r>
              <w:instrText xml:space="preserve"> TC </w:instrText>
            </w:r>
            <w:r w:rsidR="006321CE">
              <w:instrText>„</w:instrText>
            </w:r>
            <w:r>
              <w:instrText>Dr. Kaltenhauser, Helmut (FDP)</w:instrText>
            </w:r>
            <w:r>
              <w:br/>
              <w:instrText xml:space="preserve">Hochschule Aschaffenburg - Informatik-Studiengang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Ich frage die Staatsregierung, wann werden die im Rahmen eines Aktionsplans der Staatsregierung im Juli 2018 beschlossenen Mittel (rund 500 Mio. Euro) für zusätzliche Studienplätze in den Regierungsbezirken soweit freigegeben, dass die Hochschulen die damit genehmigten Stellen ausschreiben können und kann die Hochschule Aschaffenburg die damit genehmigten Stellen im Januar 2019 ausschreiben, um einen Beginn eines von den lokalen Unternehmen dringend erwarteten Informatik-Studiengangs zum Wintersemester 2019/2020 noch möglich zu machen?</w:t>
            </w:r>
          </w:p>
          <w:p w:rsidR="009D008C" w:rsidRDefault="009D008C" w:rsidP="009D008C">
            <w:pPr>
              <w:pStyle w:val="LTAnfrageText"/>
            </w:pPr>
          </w:p>
        </w:tc>
      </w:tr>
    </w:tbl>
    <w:p w:rsidR="009D008C" w:rsidRDefault="009D008C" w:rsidP="009D008C">
      <w:pPr>
        <w:pStyle w:val="LTUeberschrAntwortRessort"/>
      </w:pPr>
      <w:r>
        <w:t>Antwort des Staatsministeriums für Wissenschaft und Kunst</w:t>
      </w:r>
    </w:p>
    <w:p w:rsidR="009D008C" w:rsidRDefault="009D008C" w:rsidP="009D008C">
      <w:pPr>
        <w:pStyle w:val="LTAntwortRessortText"/>
      </w:pPr>
      <w:r>
        <w:t xml:space="preserve">Zu den in der Sitzung des Ministerrats am 17.07.2018 beschlossenen Maßnahmen zur </w:t>
      </w:r>
      <w:r w:rsidR="006321CE">
        <w:t>„</w:t>
      </w:r>
      <w:r>
        <w:t>Weiterentwicklung der Fachhochschullandschaft</w:t>
      </w:r>
      <w:r w:rsidR="006321CE">
        <w:t>“</w:t>
      </w:r>
      <w:r w:rsidR="004A2C4B">
        <w:t xml:space="preserve"> wurden die benötigten Res</w:t>
      </w:r>
      <w:r>
        <w:t>sourcen zum Doppelhaushalt 2019/20 beantragt. So hat auch die Hochschule Aschaffenburg für einen Bachelorstudiengang in de</w:t>
      </w:r>
      <w:r w:rsidR="004A2C4B">
        <w:t>r angewandten Informatik die er</w:t>
      </w:r>
      <w:r>
        <w:t>forderlichen zusätzlichen Ressourcen zum Doppelhaushalt 2019/2020 angemeldet.</w:t>
      </w:r>
    </w:p>
    <w:p w:rsidR="009D008C" w:rsidRDefault="009D008C" w:rsidP="009D008C">
      <w:pPr>
        <w:pStyle w:val="LTAntwortRessortText"/>
      </w:pPr>
      <w:r>
        <w:t>Hinsichtlich der Bereitstellung der Ressourcen im Haushalt bleibt das Ergebnis der Haushaltsverhandlungen abzuwarten.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5"/>
        <w:gridCol w:w="5791"/>
      </w:tblGrid>
      <w:tr w:rsidR="009D008C" w:rsidTr="009D008C">
        <w:tc>
          <w:tcPr>
            <w:tcW w:w="2050" w:type="dxa"/>
            <w:shd w:val="clear" w:color="auto" w:fill="auto"/>
          </w:tcPr>
          <w:p w:rsidR="009D008C" w:rsidRPr="009D008C" w:rsidRDefault="009D008C" w:rsidP="009D008C">
            <w:pPr>
              <w:pStyle w:val="LTAnfrageIni1"/>
            </w:pPr>
            <w:r w:rsidRPr="009D008C">
              <w:t>Abgeordnete</w:t>
            </w:r>
            <w:r w:rsidRPr="009D008C">
              <w:br/>
            </w:r>
            <w:r w:rsidRPr="009D008C">
              <w:rPr>
                <w:b/>
              </w:rPr>
              <w:t>Susanne</w:t>
            </w:r>
            <w:r w:rsidRPr="009D008C">
              <w:rPr>
                <w:b/>
              </w:rPr>
              <w:br/>
              <w:t>Kurz</w:t>
            </w:r>
            <w:r w:rsidRPr="009D008C">
              <w:rPr>
                <w:b/>
              </w:rPr>
              <w:br/>
            </w:r>
            <w:r w:rsidRPr="009D008C">
              <w:t>(BÜNDNIS 90/DIE GRÜNEN)</w:t>
            </w:r>
            <w:r>
              <w:fldChar w:fldCharType="begin"/>
            </w:r>
            <w:r>
              <w:instrText xml:space="preserve"> XE </w:instrText>
            </w:r>
            <w:r w:rsidR="006321CE">
              <w:instrText>„</w:instrText>
            </w:r>
            <w:r>
              <w:instrText xml:space="preserve">Kurz, Susanne (BÜNDNIS 90/DIE GRÜNEN):Zielvereinbarungen mit Kunsthochschulen </w:instrText>
            </w:r>
            <w:r>
              <w:fldChar w:fldCharType="end"/>
            </w:r>
            <w:r>
              <w:fldChar w:fldCharType="begin"/>
            </w:r>
            <w:r>
              <w:instrText xml:space="preserve"> TC </w:instrText>
            </w:r>
            <w:r w:rsidR="006321CE">
              <w:instrText>„</w:instrText>
            </w:r>
            <w:r>
              <w:instrText>Kurz, Susanne (BÜNDNIS 90/DIE GRÜNEN)</w:instrText>
            </w:r>
            <w:r>
              <w:br/>
              <w:instrText xml:space="preserve">Zielvereinbarungen mit Kunsthochschulen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Nachdem die Zielvereinbarungen mit den Kunsthochschulen Ende 2018 auslaufen, frage ich die Staatsregierung, ob die Zielvereinbarungen verlängert wurden bzw. werden, welche Hochschulen hinsichtlich der Frauenförderung und Gleichstellung die Ziele nicht erreicht haben (bitte mit Nennung der Hochschulen und der Gründe) und welche</w:t>
            </w:r>
            <w:r w:rsidR="006321CE">
              <w:t xml:space="preserve"> </w:t>
            </w:r>
            <w:r>
              <w:t>Maßnahmen</w:t>
            </w:r>
            <w:r w:rsidR="006321CE">
              <w:t xml:space="preserve"> </w:t>
            </w:r>
            <w:r>
              <w:t>die Staatsregierung zukünftig plant, um die Vorgaben erfüllen zu können?</w:t>
            </w:r>
          </w:p>
          <w:p w:rsidR="009D008C" w:rsidRDefault="009D008C" w:rsidP="009D008C">
            <w:pPr>
              <w:pStyle w:val="LTAnfrageText"/>
            </w:pPr>
          </w:p>
        </w:tc>
      </w:tr>
    </w:tbl>
    <w:p w:rsidR="009D008C" w:rsidRDefault="009D008C" w:rsidP="009D008C">
      <w:pPr>
        <w:pStyle w:val="LTUeberschrAntwortRessort"/>
      </w:pPr>
      <w:r>
        <w:t>Antwort des Staatsministeriums für Wissenschaft und Kunst</w:t>
      </w:r>
    </w:p>
    <w:p w:rsidR="009D008C" w:rsidRDefault="009D008C" w:rsidP="009D008C">
      <w:pPr>
        <w:pStyle w:val="LTAntwortRessortText"/>
      </w:pPr>
      <w:r>
        <w:t xml:space="preserve">Die Akademie der Bildenden Künste Nürnberg hatte nach der Zielvereinbarung das Ziel, </w:t>
      </w:r>
      <w:r w:rsidR="000A6370">
        <w:t>den Frauenanteil bei Profess</w:t>
      </w:r>
      <w:r w:rsidR="00965CB8">
        <w:t xml:space="preserve">uren </w:t>
      </w:r>
      <w:r>
        <w:t>von 24</w:t>
      </w:r>
      <w:r w:rsidR="00A75813">
        <w:t xml:space="preserve"> </w:t>
      </w:r>
      <w:r w:rsidR="006321CE">
        <w:t xml:space="preserve">Prozent </w:t>
      </w:r>
      <w:r>
        <w:t>auf 30</w:t>
      </w:r>
      <w:r w:rsidR="00A75813">
        <w:t xml:space="preserve"> Prozent</w:t>
      </w:r>
      <w:r>
        <w:t xml:space="preserve"> zu heben. Dieses Ziel wurde bereits gemäß dem Zwischenbericht der</w:t>
      </w:r>
      <w:r w:rsidR="00A75813">
        <w:t xml:space="preserve"> Hochschule zum Ende des Sommer</w:t>
      </w:r>
      <w:r>
        <w:t>semesters 2016 erreicht. Die Akademie der Bildenden Künste München hatte das Ziel, d</w:t>
      </w:r>
      <w:r w:rsidR="00A75813">
        <w:t xml:space="preserve">en Frauenanteil bei </w:t>
      </w:r>
      <w:r w:rsidR="00965CB8">
        <w:t>Professuren</w:t>
      </w:r>
      <w:r>
        <w:t xml:space="preserve"> auf 30</w:t>
      </w:r>
      <w:r w:rsidR="00A75813">
        <w:t xml:space="preserve"> Prozent</w:t>
      </w:r>
      <w:r>
        <w:t xml:space="preserve"> zu heben und mindestens 50</w:t>
      </w:r>
      <w:r w:rsidR="00A75813">
        <w:t xml:space="preserve"> </w:t>
      </w:r>
      <w:r w:rsidR="006321CE">
        <w:t xml:space="preserve">Prozent </w:t>
      </w:r>
      <w:r>
        <w:t>der Neubesetzungen der Studienwerkstattleiterpositionen mit Frauen zu besetzen, ebenfalls bereits zum Zwischenbericht erreicht.</w:t>
      </w:r>
    </w:p>
    <w:p w:rsidR="009D008C" w:rsidRDefault="009D008C" w:rsidP="009D008C">
      <w:pPr>
        <w:pStyle w:val="LTAntwortRessortText"/>
      </w:pPr>
      <w:r>
        <w:t xml:space="preserve">Bei den anderen Kunsthochschulen (Hochschule </w:t>
      </w:r>
      <w:r w:rsidR="00A75813">
        <w:t>für Fernsehen und Film und Hoch</w:t>
      </w:r>
      <w:r>
        <w:t>schulen für Musik) muss der Endbericht, den die Hochschulen bis zum Februar 2019 dem Staatsministerium</w:t>
      </w:r>
      <w:r w:rsidR="00A75813">
        <w:t xml:space="preserve"> für Wissenschaft und Kunst</w:t>
      </w:r>
      <w:r>
        <w:t xml:space="preserve"> vorlegen werden, abgewartet werden.</w:t>
      </w:r>
    </w:p>
    <w:p w:rsidR="009D008C" w:rsidRDefault="009D008C" w:rsidP="009D008C">
      <w:pPr>
        <w:pStyle w:val="LTAntwortRessortText"/>
      </w:pPr>
      <w:r>
        <w:t>Darüber hinaus werden die Frauenförderung und die Gleichstellung wichtige Ziele im Rahmen der nächsten Zielvereinbarungen für die Laufzeit von 2019 bis 2022 sein. Die genauen Inhalte werden derzeit mit den Hochschulen verhandelt.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9D008C" w:rsidTr="009D008C">
        <w:tc>
          <w:tcPr>
            <w:tcW w:w="2050" w:type="dxa"/>
            <w:shd w:val="clear" w:color="auto" w:fill="auto"/>
          </w:tcPr>
          <w:p w:rsidR="009D008C" w:rsidRPr="009D008C" w:rsidRDefault="009D008C" w:rsidP="009D008C">
            <w:pPr>
              <w:pStyle w:val="LTAnfrageIni1"/>
            </w:pPr>
            <w:r w:rsidRPr="009D008C">
              <w:t>Abgeordnete</w:t>
            </w:r>
            <w:r w:rsidRPr="009D008C">
              <w:br/>
            </w:r>
            <w:r w:rsidRPr="009D008C">
              <w:rPr>
                <w:b/>
              </w:rPr>
              <w:t>Verena</w:t>
            </w:r>
            <w:r w:rsidRPr="009D008C">
              <w:rPr>
                <w:b/>
              </w:rPr>
              <w:br/>
              <w:t>Osgyan</w:t>
            </w:r>
            <w:r w:rsidRPr="009D008C">
              <w:rPr>
                <w:b/>
              </w:rPr>
              <w:br/>
            </w:r>
            <w:r w:rsidRPr="009D008C">
              <w:t>(BÜNDNIS 90/DIE GRÜNEN)</w:t>
            </w:r>
            <w:r>
              <w:fldChar w:fldCharType="begin"/>
            </w:r>
            <w:r>
              <w:instrText xml:space="preserve"> XE </w:instrText>
            </w:r>
            <w:r w:rsidR="006321CE">
              <w:instrText>„</w:instrText>
            </w:r>
            <w:r>
              <w:instrText>Osgyan, Verena (BÜNDNIS 90/DIE GRÜNEN):\</w:instrText>
            </w:r>
            <w:r w:rsidR="006321CE">
              <w:instrText>“</w:instrText>
            </w:r>
            <w:r>
              <w:instrText>Erklärung  zur wirtschaftlichen Unabhängigkeit\</w:instrText>
            </w:r>
            <w:r w:rsidR="006321CE">
              <w:instrText>“</w:instrText>
            </w:r>
            <w:r>
              <w:instrText xml:space="preserve"> für Lehrbeauftragte </w:instrText>
            </w:r>
            <w:r>
              <w:fldChar w:fldCharType="end"/>
            </w:r>
            <w:r>
              <w:fldChar w:fldCharType="begin"/>
            </w:r>
            <w:r>
              <w:instrText xml:space="preserve"> TC </w:instrText>
            </w:r>
            <w:r w:rsidR="006321CE">
              <w:instrText>„</w:instrText>
            </w:r>
            <w:r>
              <w:instrText>Osgyan, Verena (BÜNDNIS 90/DIE GRÜNEN)</w:instrText>
            </w:r>
            <w:r>
              <w:br/>
              <w:instrText>\</w:instrText>
            </w:r>
            <w:r w:rsidR="006321CE">
              <w:instrText>“</w:instrText>
            </w:r>
            <w:r>
              <w:instrText>Erklärung  zur wirtschaftlichen Unabhängigkeit\</w:instrText>
            </w:r>
            <w:r w:rsidR="006321CE">
              <w:instrText>“</w:instrText>
            </w:r>
            <w:r>
              <w:instrText xml:space="preserve"> für Lehrbeauftragte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 xml:space="preserve">Ich frage die Staatsregierung, inwieweit sich aus der von Lehrbeauftragten geforderten </w:t>
            </w:r>
            <w:r w:rsidR="006321CE">
              <w:t>„</w:t>
            </w:r>
            <w:r>
              <w:t>Erklärung</w:t>
            </w:r>
            <w:r w:rsidR="006321CE">
              <w:t xml:space="preserve"> </w:t>
            </w:r>
            <w:r>
              <w:t xml:space="preserve"> zur wirtschaftlichen Unabhängigkeit</w:t>
            </w:r>
            <w:r w:rsidR="006321CE">
              <w:t>“</w:t>
            </w:r>
            <w:r>
              <w:t xml:space="preserve"> ableiten lässt, dass es sich beim Lehrauftrag um eine Nebentätigkeit handelt, ob die Staatsregierung kein adäquateres Mittel an der Hand hat, um den gesetzlich vorgesehenen nebenberuflichen Charakter der Lehraufträge durchzusetzen, und inwieweit im Zuge der Überarbeitung der Lehrauftrags- und Lehrvergütungsvorschriften für die staatlichen Hochschulen der zulässige Stundenumfang für Lehraufträge verändert werden soll?</w:t>
            </w:r>
            <w:r w:rsidR="006321CE">
              <w:t xml:space="preserve"> </w:t>
            </w:r>
          </w:p>
          <w:p w:rsidR="009D008C" w:rsidRDefault="009D008C" w:rsidP="009D008C">
            <w:pPr>
              <w:pStyle w:val="LTAnfrageText"/>
            </w:pPr>
          </w:p>
        </w:tc>
      </w:tr>
    </w:tbl>
    <w:p w:rsidR="009D008C" w:rsidRDefault="009D008C" w:rsidP="009D008C">
      <w:pPr>
        <w:pStyle w:val="LTUeberschrAntwortRessort"/>
      </w:pPr>
      <w:r>
        <w:t>Antwort des Staatsministeriums für Wissenschaft und Kunst</w:t>
      </w:r>
    </w:p>
    <w:p w:rsidR="009D008C" w:rsidRDefault="009D008C" w:rsidP="009D008C">
      <w:pPr>
        <w:pStyle w:val="LTAntwortRessortText"/>
      </w:pPr>
      <w:r>
        <w:t>Die Hochschulen fragen bei Personen, denen Lehraufträge erteilt werden sollen, ab, ob sie ihren Lebensunterhalt aus anderen Quellen al</w:t>
      </w:r>
      <w:r w:rsidR="000A6370">
        <w:t>s den Lehraufträgen an staatli</w:t>
      </w:r>
      <w:r>
        <w:t xml:space="preserve">chen bayerischen Hochschulen hinreichend bestreiten können und ob sie noch an weiteren staatlichen bayerischen Hochschulen auf Grundlage eines Lehrauftrags im Sinne des Art. 31 </w:t>
      </w:r>
      <w:r w:rsidR="000A6370">
        <w:t>Bayerisches Hochschulpersonalgesetz</w:t>
      </w:r>
      <w:r>
        <w:t xml:space="preserve"> (BayHSchPG) tätig sind.</w:t>
      </w:r>
    </w:p>
    <w:p w:rsidR="009D008C" w:rsidRDefault="009D008C" w:rsidP="009D008C">
      <w:pPr>
        <w:pStyle w:val="LTAntwortRessortText"/>
      </w:pPr>
      <w:r>
        <w:t xml:space="preserve">Ein Bezug zur Nebentätigkeit hat die zweite dieser Fragen (Umfang der Lehraufträge an anderen Hochschulen), weil damit festgestellt werden kann, ob die befragten Personen auch bei Erteilung weiterer Lehraufträge nebenberuflich tätig bleiben, wie dies Art. 2 Abs. 2 Nr. 3 BayHSchPG vorsieht. Aus Sicht des Staatsministeriums </w:t>
      </w:r>
      <w:r w:rsidR="000A6370">
        <w:t xml:space="preserve">für Wissenschaft und Kunst </w:t>
      </w:r>
      <w:r>
        <w:t>ist dies ein sinnvoller Weg, die Tatsachen zu ermitteln, um den gesetzlichen Vorgaben entsprechen zu können. Die Überarbeitung der Le</w:t>
      </w:r>
      <w:r w:rsidR="000A6370">
        <w:t>hrauftrags- und Lehrvergütungs</w:t>
      </w:r>
      <w:r>
        <w:t>vorschriften, die nach Art. 32 BayHSchPG im Bene</w:t>
      </w:r>
      <w:r w:rsidR="000A6370">
        <w:t>hmen mit den Hochschulen erlas</w:t>
      </w:r>
      <w:r>
        <w:t xml:space="preserve">sen werden und die </w:t>
      </w:r>
      <w:r w:rsidR="000A6370">
        <w:t>–</w:t>
      </w:r>
      <w:r>
        <w:t xml:space="preserve"> mit Blick auf die Höhe der Vergütung </w:t>
      </w:r>
      <w:r w:rsidR="000A6370">
        <w:t>–</w:t>
      </w:r>
      <w:r>
        <w:t xml:space="preserve"> das Einvernehmen des Staatsministeriums der Finanzen und für Heimat bedürfen, läuft derzeit. Darin wird auch genauer erläutert werden, bis zu w</w:t>
      </w:r>
      <w:r w:rsidR="000A6370">
        <w:t>elcher Stundengrenze die Neben</w:t>
      </w:r>
      <w:r>
        <w:t>beruflichkeit der Lehrbeauftragten gewährleistet ist. Dabei wird gemäß Art. 2 Abs. 2</w:t>
      </w:r>
      <w:r w:rsidR="000A6370">
        <w:t xml:space="preserve"> </w:t>
      </w:r>
      <w:r>
        <w:t>Nr. 3 i.</w:t>
      </w:r>
      <w:r w:rsidR="00965CB8">
        <w:t xml:space="preserve"> </w:t>
      </w:r>
      <w:r>
        <w:t>V.</w:t>
      </w:r>
      <w:r w:rsidR="00965CB8">
        <w:t xml:space="preserve"> </w:t>
      </w:r>
      <w:r>
        <w:t xml:space="preserve">m. Abs. 1 Satz 2 BayHSchPG ausgehend </w:t>
      </w:r>
      <w:r w:rsidR="000A6370">
        <w:t>von den Dienstaufgaben entspre</w:t>
      </w:r>
      <w:r>
        <w:t>chender hauptberuflich tätiger Lehrpersonen die zu</w:t>
      </w:r>
      <w:r w:rsidR="000A6370">
        <w:t>lässige Höchstzahl an Semester</w:t>
      </w:r>
      <w:r>
        <w:t>wochenstunden bestimmt werden.</w:t>
      </w:r>
    </w:p>
    <w:p w:rsidR="009D008C" w:rsidRDefault="009D008C" w:rsidP="009D008C">
      <w:pPr>
        <w:pStyle w:val="LTAntwortRessortText"/>
      </w:pPr>
      <w:r>
        <w:t>Die erste Frage nach dem Lebensunterhalt bezieht sich auf die Notwendigkeit, die Sozialversicherungspflicht von Lehrbeauftragten klären zu müssen. Ergeben sich aufgrund der Beantwortung Zweifel, dann soll die Hochschule die Clearingstelle der Deutschen Rentenversicherung Bund bitten zu klären</w:t>
      </w:r>
      <w:r w:rsidR="000A6370">
        <w:t>, ob die Personen, der Lehrauf</w:t>
      </w:r>
      <w:r>
        <w:t>träge erteilt werden, sozialversicherungspflichtig sind oder nicht.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9"/>
        <w:gridCol w:w="5847"/>
      </w:tblGrid>
      <w:tr w:rsidR="009D008C" w:rsidTr="009D008C">
        <w:tc>
          <w:tcPr>
            <w:tcW w:w="2050" w:type="dxa"/>
            <w:shd w:val="clear" w:color="auto" w:fill="auto"/>
          </w:tcPr>
          <w:p w:rsidR="009D008C" w:rsidRPr="009D008C" w:rsidRDefault="009D008C" w:rsidP="009D008C">
            <w:pPr>
              <w:pStyle w:val="LTAnfrageIni1"/>
            </w:pPr>
            <w:r w:rsidRPr="009D008C">
              <w:t>Abgeordneter</w:t>
            </w:r>
            <w:r w:rsidRPr="009D008C">
              <w:br/>
            </w:r>
            <w:r w:rsidRPr="009D008C">
              <w:rPr>
                <w:b/>
              </w:rPr>
              <w:t>Dr. Dominik</w:t>
            </w:r>
            <w:r w:rsidRPr="009D008C">
              <w:rPr>
                <w:b/>
              </w:rPr>
              <w:br/>
              <w:t>Spitzer</w:t>
            </w:r>
            <w:r w:rsidRPr="009D008C">
              <w:rPr>
                <w:b/>
              </w:rPr>
              <w:br/>
            </w:r>
            <w:r w:rsidRPr="009D008C">
              <w:t>(FDP)</w:t>
            </w:r>
            <w:r>
              <w:fldChar w:fldCharType="begin"/>
            </w:r>
            <w:r>
              <w:instrText xml:space="preserve"> XE </w:instrText>
            </w:r>
            <w:r w:rsidR="006321CE">
              <w:instrText>„</w:instrText>
            </w:r>
            <w:r>
              <w:instrText xml:space="preserve">Spitzer, Dr., Dominik (FDP):Studienplätze </w:instrText>
            </w:r>
            <w:r>
              <w:fldChar w:fldCharType="end"/>
            </w:r>
            <w:r>
              <w:fldChar w:fldCharType="begin"/>
            </w:r>
            <w:r>
              <w:instrText xml:space="preserve"> TC </w:instrText>
            </w:r>
            <w:r w:rsidR="006321CE">
              <w:instrText>„</w:instrText>
            </w:r>
            <w:r>
              <w:instrText>Dr. Spitzer, Dominik (FDP)</w:instrText>
            </w:r>
            <w:r>
              <w:br/>
              <w:instrText xml:space="preserve">Studienplätze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Ich frage die Staatsregierung, an welchen bayerischen Universitäten sollen die über 2.000 neuen Studienplätze für Medizin angesiedelt werden, die im Koalitionsvertrag zwischen CSU und FREIEN WÄHLERN vereinbart wurden und wie schlüsseln sich diese (ggf. nach Semestern) auf?</w:t>
            </w:r>
          </w:p>
          <w:p w:rsidR="009D008C" w:rsidRDefault="009D008C" w:rsidP="009D008C">
            <w:pPr>
              <w:pStyle w:val="LTAnfrageText"/>
            </w:pPr>
          </w:p>
        </w:tc>
      </w:tr>
    </w:tbl>
    <w:p w:rsidR="009D008C" w:rsidRDefault="009D008C" w:rsidP="009D008C">
      <w:pPr>
        <w:pStyle w:val="LTUeberschrAntwortRessort"/>
      </w:pPr>
      <w:r>
        <w:t>Antwort des Staatsministeriums für Wissenschaft und Kunst</w:t>
      </w:r>
    </w:p>
    <w:p w:rsidR="009D008C" w:rsidRDefault="009D008C" w:rsidP="009D008C">
      <w:pPr>
        <w:pStyle w:val="LTAntwortRessortText"/>
      </w:pPr>
      <w:r>
        <w:t>Die Erhöhung der Studienplatzkapazität erfolgt übe</w:t>
      </w:r>
      <w:r w:rsidR="002412B0">
        <w:t>r den Aufbau der Hochschulmedi</w:t>
      </w:r>
      <w:r>
        <w:t>zin in Augsburg und die Etablierung des Medizincampus Oberfranken (Friedrich-Alexander-Universität Erlangen-Nürnberg/Bayreuth).</w:t>
      </w:r>
    </w:p>
    <w:p w:rsidR="009D008C" w:rsidRDefault="009D008C" w:rsidP="009D008C">
      <w:pPr>
        <w:pStyle w:val="LTAntwortRessortText"/>
      </w:pPr>
      <w:r>
        <w:t>Die Zulassung an der Medizinischen Fakultät in Augsburg ist in Art. 11a Bayeri</w:t>
      </w:r>
      <w:r w:rsidR="002412B0">
        <w:t xml:space="preserve">sches Hochschulzulassungsgesetz (BayHZG) </w:t>
      </w:r>
      <w:r>
        <w:t xml:space="preserve">in der ab </w:t>
      </w:r>
      <w:r w:rsidR="002412B0">
        <w:t>1. Januar 2019 geltenden Fassung gere</w:t>
      </w:r>
      <w:r>
        <w:t>gelt:</w:t>
      </w:r>
    </w:p>
    <w:p w:rsidR="009D008C" w:rsidRDefault="006321CE" w:rsidP="002412B0">
      <w:pPr>
        <w:pStyle w:val="LTAntwortRessortText"/>
        <w:jc w:val="center"/>
      </w:pPr>
      <w:r>
        <w:t>„</w:t>
      </w:r>
      <w:r w:rsidR="009D008C">
        <w:t xml:space="preserve">Zulassung während des Aufbaus der Medizinischen Fakultät der </w:t>
      </w:r>
      <w:r w:rsidR="002412B0">
        <w:br/>
      </w:r>
      <w:r w:rsidR="009D008C">
        <w:t>Universität Augsburg</w:t>
      </w:r>
    </w:p>
    <w:p w:rsidR="009D008C" w:rsidRDefault="009D008C" w:rsidP="002412B0">
      <w:pPr>
        <w:pStyle w:val="LTAntwortRessortText"/>
        <w:spacing w:before="120"/>
      </w:pPr>
      <w:r w:rsidRPr="002412B0">
        <w:rPr>
          <w:vertAlign w:val="superscript"/>
        </w:rPr>
        <w:t>1</w:t>
      </w:r>
      <w:r>
        <w:t xml:space="preserve">Die Zulassung zum Studiengang Medizin an der Universität Augsburg erfolgt nur, soweit ein Studienangebot vorhanden ist, und jeweils nur zum Wintersemester. </w:t>
      </w:r>
      <w:r w:rsidRPr="002412B0">
        <w:rPr>
          <w:vertAlign w:val="superscript"/>
        </w:rPr>
        <w:t>2</w:t>
      </w:r>
      <w:r>
        <w:t>Zu den ersten vier Wintersemestern ab Aufnahme des Studienbetriebes werden jeweils 84, zu den darauffolgenden weiteren drei Wintersemestern jeweils 168 Bewerberinnen oder Bewerber zum Medizinstudium zugelassen.</w:t>
      </w:r>
      <w:r w:rsidR="006321CE">
        <w:t>“</w:t>
      </w:r>
    </w:p>
    <w:p w:rsidR="009D008C" w:rsidRDefault="009D008C" w:rsidP="009D008C">
      <w:pPr>
        <w:pStyle w:val="LTAntwortRessortText"/>
      </w:pPr>
      <w:r>
        <w:t>Der Studienbetrieb soll im Wintersemester 2019/</w:t>
      </w:r>
      <w:r w:rsidR="002412B0">
        <w:t>2020 aufgenommen werden, ab dem Wintersemester</w:t>
      </w:r>
      <w:r>
        <w:t xml:space="preserve"> 2026/</w:t>
      </w:r>
      <w:r w:rsidR="002412B0">
        <w:t>20</w:t>
      </w:r>
      <w:r>
        <w:t xml:space="preserve">27 erfolgt die Zulassung dann nach der zu errechnenden Kapazität, die voraussichtlich bei 250 im Jahr liegen wird. Bei einer Dauer des Studiums von </w:t>
      </w:r>
      <w:r w:rsidR="002412B0">
        <w:t>sechs Jah</w:t>
      </w:r>
      <w:r>
        <w:t>ren (§ 1 Abs. 2 Nr.1 Approbationsordnung für Ärzte</w:t>
      </w:r>
      <w:r w:rsidR="002412B0">
        <w:t xml:space="preserve"> – ÄApprO</w:t>
      </w:r>
      <w:r w:rsidR="00965CB8">
        <w:t>) ergibt sich somit im Endaus</w:t>
      </w:r>
      <w:r>
        <w:t>bau eine Zahl von 1</w:t>
      </w:r>
      <w:r w:rsidR="002412B0">
        <w:t>.</w:t>
      </w:r>
      <w:r>
        <w:t>500 Studienplätzen.</w:t>
      </w:r>
    </w:p>
    <w:p w:rsidR="009D008C" w:rsidRDefault="009D008C" w:rsidP="009D008C">
      <w:pPr>
        <w:pStyle w:val="LTAntwortRessortText"/>
      </w:pPr>
      <w:r>
        <w:t>Am 18.</w:t>
      </w:r>
      <w:r w:rsidR="002412B0">
        <w:t>0</w:t>
      </w:r>
      <w:r>
        <w:t>9.2018 wurde dem Ministerrat ein Konzept zur Errichtung des Medizincampus Oberfranken vorgestellt, in dem die Medizinische Fa</w:t>
      </w:r>
      <w:r w:rsidR="006D2D49">
        <w:t>kultät der Friedrich-Alexander-Universität Erlangen-</w:t>
      </w:r>
      <w:r>
        <w:t>Nürnberg, das Universitätsklinikum Erlangen, die Universität Bayreuth und das Klinikum Bayreuth in der Ausbild</w:t>
      </w:r>
      <w:r w:rsidR="006D2D49">
        <w:t>ung zusätzlicher Medizinstudie</w:t>
      </w:r>
      <w:r>
        <w:t>render zusammenarbeiten. Im nächsten Schritt wird das vorgestellte Konzept derzeit extern begutachtet. Eine endgültige Beschlussfas</w:t>
      </w:r>
      <w:r w:rsidR="006D2D49">
        <w:t>sung des Konzepts durch den Mi</w:t>
      </w:r>
      <w:r>
        <w:t>nisterrat soll im Januar 2019 erfolgen. Das Konzept sieht die Ausbildung von 100 Studienanfängern pro Jahr vor. Die Studierenden des Medizinst</w:t>
      </w:r>
      <w:r w:rsidR="006D2D49">
        <w:t>udiengangs Erlan</w:t>
      </w:r>
      <w:r>
        <w:t>gen/Bayreuth beginnen ihr Studium in Erlangen un</w:t>
      </w:r>
      <w:r w:rsidR="006D2D49">
        <w:t>d setzen es im zweiten Studien</w:t>
      </w:r>
      <w:r>
        <w:t>abschnitt am Klinikum Bayreuth fort. Die ersten Stud</w:t>
      </w:r>
      <w:r w:rsidR="006D2D49">
        <w:t>ierenden sollen bereits im Win</w:t>
      </w:r>
      <w:r>
        <w:t>tersemester 2019/</w:t>
      </w:r>
      <w:r w:rsidR="006D2D49">
        <w:t>20</w:t>
      </w:r>
      <w:r>
        <w:t>20 in Erlangen ihr Studium aufnehmen und zum Wintersemester 2021/</w:t>
      </w:r>
      <w:r w:rsidR="006D2D49">
        <w:t>20</w:t>
      </w:r>
      <w:r>
        <w:t>22 nach Bayreuth wechseln. Hier ergibt sich im Endausbau eine Zahl von 600 Studienplätzen.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4"/>
        <w:gridCol w:w="5842"/>
      </w:tblGrid>
      <w:tr w:rsidR="009D008C" w:rsidTr="009D008C">
        <w:tc>
          <w:tcPr>
            <w:tcW w:w="2050" w:type="dxa"/>
            <w:shd w:val="clear" w:color="auto" w:fill="auto"/>
          </w:tcPr>
          <w:p w:rsidR="009D008C" w:rsidRPr="009D008C" w:rsidRDefault="009D008C" w:rsidP="009D008C">
            <w:pPr>
              <w:pStyle w:val="LTAnfrageIni1"/>
            </w:pPr>
            <w:r w:rsidRPr="009D008C">
              <w:t>Abgeordnete</w:t>
            </w:r>
            <w:r w:rsidRPr="009D008C">
              <w:br/>
            </w:r>
            <w:r w:rsidRPr="009D008C">
              <w:rPr>
                <w:b/>
              </w:rPr>
              <w:t>Margit</w:t>
            </w:r>
            <w:r w:rsidRPr="009D008C">
              <w:rPr>
                <w:b/>
              </w:rPr>
              <w:br/>
              <w:t>Wild</w:t>
            </w:r>
            <w:r w:rsidRPr="009D008C">
              <w:rPr>
                <w:b/>
              </w:rPr>
              <w:br/>
            </w:r>
            <w:r w:rsidRPr="009D008C">
              <w:t>(SPD)</w:t>
            </w:r>
            <w:r>
              <w:fldChar w:fldCharType="begin"/>
            </w:r>
            <w:r>
              <w:instrText xml:space="preserve"> XE </w:instrText>
            </w:r>
            <w:r w:rsidR="006321CE">
              <w:instrText>„</w:instrText>
            </w:r>
            <w:r>
              <w:instrText xml:space="preserve">Wild, Margit (SPD):Unterlaufen des Tarifvertrags an der Universität Regensburg </w:instrText>
            </w:r>
            <w:r>
              <w:fldChar w:fldCharType="end"/>
            </w:r>
            <w:r>
              <w:fldChar w:fldCharType="begin"/>
            </w:r>
            <w:r>
              <w:instrText xml:space="preserve"> TC </w:instrText>
            </w:r>
            <w:r w:rsidR="006321CE">
              <w:instrText>„</w:instrText>
            </w:r>
            <w:r>
              <w:instrText>Wild, Margit (SPD)</w:instrText>
            </w:r>
            <w:r>
              <w:br/>
              <w:instrText xml:space="preserve">Unterlaufen des Tarifvertrags an der Universität Regensburg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Ich frage die Staatsregierung, ist es richtig, dass an der Universität Regensburg studentische Hilfskräfte der Universitätsbibliothek entgegen der Empfehlung des Staatsministerium</w:t>
            </w:r>
            <w:r w:rsidR="0049671E">
              <w:t>s</w:t>
            </w:r>
            <w:r>
              <w:t xml:space="preserve"> für Wissenschaft und Kunst nicht nach den Bedingungen des Tarifvertrags für den öffentlichen Dienst der Länder (TV-L) beschäftigt sind, sondern lediglich nach dem Mindestlohngesetz (MiLoG) bezahlt werden und wie schätzt die Staatsregierung dieses Vorgehen ein?</w:t>
            </w:r>
          </w:p>
          <w:p w:rsidR="009D008C" w:rsidRDefault="009D008C" w:rsidP="009D008C">
            <w:pPr>
              <w:pStyle w:val="LTAnfrageText"/>
            </w:pPr>
          </w:p>
        </w:tc>
      </w:tr>
    </w:tbl>
    <w:p w:rsidR="009D008C" w:rsidRDefault="009D008C" w:rsidP="009D008C">
      <w:pPr>
        <w:pStyle w:val="LTUeberschrAntwortRessort"/>
      </w:pPr>
      <w:r>
        <w:t>Antwort des Staatsministeriums für Wissenschaft und Kunst</w:t>
      </w:r>
    </w:p>
    <w:p w:rsidR="009D008C" w:rsidRDefault="009D008C" w:rsidP="009D008C">
      <w:pPr>
        <w:pStyle w:val="LTAntwortRessortText"/>
      </w:pPr>
      <w:r>
        <w:t>Es gibt zwei Fallgruppen für eine Beschäftigungsmöglichkeit von Studierenden:</w:t>
      </w:r>
    </w:p>
    <w:p w:rsidR="009D008C" w:rsidRDefault="009D008C" w:rsidP="00AF76F9">
      <w:pPr>
        <w:pStyle w:val="LTAntwortRessortText"/>
        <w:numPr>
          <w:ilvl w:val="0"/>
          <w:numId w:val="29"/>
        </w:numPr>
        <w:ind w:left="851" w:hanging="425"/>
      </w:pPr>
      <w:r>
        <w:t xml:space="preserve">Nebenberufliche studentische Hilfskräfte gem. Art. 33 Abs. 2 Bayerisches Hochschulpersonalgesetz </w:t>
      </w:r>
      <w:r w:rsidR="00AF76F9">
        <w:t xml:space="preserve">(BayHSchPG) </w:t>
      </w:r>
      <w:r>
        <w:t>können nur wissenschaftsstützend beschäftigt werden. Gemäß § 6 Wissenschaftszeitvertrags</w:t>
      </w:r>
      <w:r w:rsidR="0049671E">
        <w:t xml:space="preserve">gesetz </w:t>
      </w:r>
      <w:r w:rsidR="00AF76F9">
        <w:br/>
        <w:t xml:space="preserve">(WissZeitVG) </w:t>
      </w:r>
      <w:r w:rsidR="0049671E">
        <w:t>kann das Beschäftigungs</w:t>
      </w:r>
      <w:r>
        <w:t>verhältnis auf bis zu sechs Jahre befristet werden, also im Regenfall für die Dauer des Studiums. Eine Bezahlung mit dem Mindestlohn ist statthaft.</w:t>
      </w:r>
    </w:p>
    <w:p w:rsidR="009D008C" w:rsidRDefault="009D008C" w:rsidP="00AF76F9">
      <w:pPr>
        <w:pStyle w:val="LTAntwortRessortText"/>
        <w:numPr>
          <w:ilvl w:val="0"/>
          <w:numId w:val="29"/>
        </w:numPr>
        <w:ind w:left="851" w:hanging="425"/>
      </w:pPr>
      <w:r>
        <w:t>Studierende können aber auch für Verwaltungsaufgaben beschäftigt werden. Dann sind sie i.</w:t>
      </w:r>
      <w:r w:rsidR="00AF76F9">
        <w:t xml:space="preserve"> </w:t>
      </w:r>
      <w:r>
        <w:t>d</w:t>
      </w:r>
      <w:r w:rsidR="00965CB8">
        <w:t xml:space="preserve">. </w:t>
      </w:r>
      <w:r>
        <w:t>R. nach E2 TV-L einzugru</w:t>
      </w:r>
      <w:r w:rsidR="0049671E">
        <w:t>ppieren und nach TV-L zu bezah</w:t>
      </w:r>
      <w:r>
        <w:t>len. Für diese Fallgruppe gilt § 14 Abs. 2 Teilzeit- und Befristungsgesetz, das eine befristete Beschäftigung für nur max. zwei Jahre vorsieht.</w:t>
      </w:r>
    </w:p>
    <w:p w:rsidR="009D008C" w:rsidRDefault="009D008C" w:rsidP="009D008C">
      <w:pPr>
        <w:pStyle w:val="LTAntwortRessortText"/>
      </w:pPr>
      <w:r>
        <w:t>Die Universität Regensburg prüft derzeit jedes einzelne studentische Beschäftigungsverhältnis und hat zunächst festzustellen, welcher Fallgruppe das jeweilige Beschäftigungsverhältnis zuzuordnen ist.</w:t>
      </w:r>
    </w:p>
    <w:p w:rsidR="009D008C" w:rsidRDefault="009D008C" w:rsidP="009D008C">
      <w:pPr>
        <w:pStyle w:val="LTAntwortRessortText"/>
      </w:pPr>
      <w:r>
        <w:t>Im Falle einer Zuordnung zur Fallgruppe 2 wird selbstverständlich der entsprechende Lohn nach TV-L bei Vorliegen beiderseitiger Tarifbindung gewährt bzw. rückwirkend nachgezahlt. Für den einzelnen Studierenden bedeutet das aber auch, dass er nach Teilzeit- und Befristungsgesetz für nur maximal zwei Jahre beschäftigt werden kann.</w:t>
      </w:r>
    </w:p>
    <w:p w:rsidR="009D008C" w:rsidRDefault="009D008C" w:rsidP="009D008C">
      <w:pPr>
        <w:pStyle w:val="LTAntwortRessortText"/>
      </w:pPr>
      <w:r>
        <w:t>Für die Gesamtheit der Studierenden ist dies durchaus von Vorteil, da mehr Studierende für reine Verwaltungsaufgaben in der Universitätsbibliothek bei der universitären Jobvergabe zum Zuge kommen können.</w:t>
      </w:r>
    </w:p>
    <w:p w:rsidR="009D008C" w:rsidRDefault="009D008C" w:rsidP="009D008C">
      <w:pPr>
        <w:pStyle w:val="LTAntwortRessortText"/>
      </w:pPr>
      <w:r>
        <w:t>Im Falle der Fallgruppe 1 ist kein Nachzahlungsanspruch entstanden.</w:t>
      </w:r>
    </w:p>
    <w:p w:rsidR="0049671E" w:rsidRDefault="0049671E">
      <w:pPr>
        <w:rPr>
          <w:rFonts w:cs="Arial"/>
          <w:b/>
          <w:sz w:val="22"/>
          <w:szCs w:val="22"/>
        </w:rPr>
      </w:pPr>
      <w:r>
        <w:br w:type="page"/>
      </w:r>
    </w:p>
    <w:p w:rsidR="009D008C" w:rsidRDefault="009D008C" w:rsidP="009D008C">
      <w:pPr>
        <w:pStyle w:val="LTUeberschrRessort"/>
      </w:pPr>
      <w:r>
        <w:t>Geschäftsbereich des Staatsministeriums der Finanzen und für Heimat</w:t>
      </w:r>
      <w:r>
        <w:fldChar w:fldCharType="begin"/>
      </w:r>
      <w:r>
        <w:instrText xml:space="preserve"> TC </w:instrText>
      </w:r>
      <w:r w:rsidR="006321CE">
        <w:instrText>„</w:instrText>
      </w:r>
      <w:r>
        <w:instrText>Geschäftsbereich des Staatsministeriums der Finanzen und für Heimat</w:instrText>
      </w:r>
      <w:r w:rsidR="006321CE">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3"/>
        <w:gridCol w:w="5813"/>
      </w:tblGrid>
      <w:tr w:rsidR="009D008C" w:rsidTr="009D008C">
        <w:tc>
          <w:tcPr>
            <w:tcW w:w="2050" w:type="dxa"/>
            <w:shd w:val="clear" w:color="auto" w:fill="auto"/>
          </w:tcPr>
          <w:p w:rsidR="009D008C" w:rsidRPr="009D008C" w:rsidRDefault="009D008C" w:rsidP="009D008C">
            <w:pPr>
              <w:pStyle w:val="LTAnfrageIni1"/>
            </w:pPr>
            <w:r w:rsidRPr="009D008C">
              <w:t>Abgeordneter</w:t>
            </w:r>
            <w:r w:rsidRPr="009D008C">
              <w:br/>
            </w:r>
            <w:r w:rsidRPr="009D008C">
              <w:rPr>
                <w:b/>
              </w:rPr>
              <w:t>Markus</w:t>
            </w:r>
            <w:r w:rsidRPr="009D008C">
              <w:rPr>
                <w:b/>
              </w:rPr>
              <w:br/>
              <w:t>Ganserer</w:t>
            </w:r>
            <w:r w:rsidRPr="009D008C">
              <w:rPr>
                <w:b/>
              </w:rPr>
              <w:br/>
            </w:r>
            <w:r w:rsidRPr="009D008C">
              <w:t>(BÜNDNIS 90/DIE GRÜNEN)</w:t>
            </w:r>
            <w:r>
              <w:fldChar w:fldCharType="begin"/>
            </w:r>
            <w:r>
              <w:instrText xml:space="preserve"> XE </w:instrText>
            </w:r>
            <w:r w:rsidR="006321CE">
              <w:instrText>„</w:instrText>
            </w:r>
            <w:r>
              <w:instrText xml:space="preserve">Ganserer, Markus (BÜNDNIS 90/DIE GRÜNEN):Transidente Beschäftigte im öffentlichen Dienst </w:instrText>
            </w:r>
            <w:r>
              <w:fldChar w:fldCharType="end"/>
            </w:r>
            <w:r>
              <w:fldChar w:fldCharType="begin"/>
            </w:r>
            <w:r>
              <w:instrText xml:space="preserve"> TC </w:instrText>
            </w:r>
            <w:r w:rsidR="006321CE">
              <w:instrText>„</w:instrText>
            </w:r>
            <w:r>
              <w:instrText>Ganserer, Markus (BÜNDNIS 90/DIE GRÜNEN)</w:instrText>
            </w:r>
            <w:r>
              <w:br/>
              <w:instrText xml:space="preserve">Transidente Beschäftigte im öffentlichen Dienst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Gibt es für den öffentlichen Dienst in Bayern verbindliche Vorgaben, um transidente Beschäftigte vor Diskriminierung am Arbeitsplatz zu schützen und sie bei ihrer Transition zu unterstützen, vergleichbar mit Vorgaben großer international tätiger Unternehmen, z. B. Transitionsrichtlinie der Firma SAP AG, wenn nein, warum nicht und welche Hilfs- und Unterstützungsangebote bekommen transidente Beschäftigte beim öffentlichen Dienst in Bayern?</w:t>
            </w:r>
          </w:p>
          <w:p w:rsidR="009D008C" w:rsidRDefault="009D008C" w:rsidP="009D008C">
            <w:pPr>
              <w:pStyle w:val="LTAnfrageText"/>
            </w:pPr>
          </w:p>
        </w:tc>
      </w:tr>
    </w:tbl>
    <w:p w:rsidR="009D008C" w:rsidRDefault="009D008C" w:rsidP="009D008C">
      <w:pPr>
        <w:pStyle w:val="LTUeberschrAntwortRessort"/>
      </w:pPr>
      <w:r>
        <w:t>Antwort des Staatsministeriums der Finanzen und für Heimat</w:t>
      </w:r>
    </w:p>
    <w:p w:rsidR="009D008C" w:rsidRDefault="009D008C" w:rsidP="009D008C">
      <w:pPr>
        <w:pStyle w:val="LTAntwortRessortText"/>
      </w:pPr>
      <w:r>
        <w:t xml:space="preserve">Im Hinblick auf das verfassungsrechtliche Gleichbehandlungsgebot in Art. 3 </w:t>
      </w:r>
      <w:r w:rsidR="00E511A3">
        <w:t>Grundgesetz (GG)</w:t>
      </w:r>
      <w:r>
        <w:t xml:space="preserve"> bestehen im öffentlichen Dienst in Bayern keine an das Geschlecht anknüpfende Sonderregelung</w:t>
      </w:r>
      <w:r w:rsidR="00AA4E26">
        <w:t>en. Durch das ebenfalls mit Ver</w:t>
      </w:r>
      <w:r>
        <w:t>fassungsrang ausgestatte Leistungsprinzip des Art. 33 GG</w:t>
      </w:r>
      <w:r w:rsidR="00AA4E26">
        <w:t xml:space="preserve"> werden alle Ent</w:t>
      </w:r>
      <w:r>
        <w:t>scheidungen ohne Berücksichtigung des</w:t>
      </w:r>
      <w:r w:rsidR="00AA4E26">
        <w:t xml:space="preserve"> Geschlechts nach Eignung, Befä</w:t>
      </w:r>
      <w:r>
        <w:t>higung und fachlicher Leistung getroffen. D</w:t>
      </w:r>
      <w:r w:rsidR="00AA4E26">
        <w:t>arüber hinaus gelten die Diskri</w:t>
      </w:r>
      <w:r>
        <w:t xml:space="preserve">minierungsverbote des Allgemeinen Gleichbehandlungsgesetzes auch im Bereich des öffentlichen Dienstes. Die für alle Beschäftigten bestehenden Möglichkeiten, Anliegen vorzutragen (zum </w:t>
      </w:r>
      <w:r w:rsidR="00AA4E26">
        <w:t>Beispiel über Mitarbeitergesprä</w:t>
      </w:r>
      <w:r>
        <w:t>che oder über die Personalvertretung) stehen transidenten Beschäftigten in gleicher Weise offen.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5816"/>
      </w:tblGrid>
      <w:tr w:rsidR="009D008C" w:rsidTr="009D008C">
        <w:tc>
          <w:tcPr>
            <w:tcW w:w="2050" w:type="dxa"/>
            <w:shd w:val="clear" w:color="auto" w:fill="auto"/>
          </w:tcPr>
          <w:p w:rsidR="009D008C" w:rsidRPr="009D008C" w:rsidRDefault="009D008C" w:rsidP="009D008C">
            <w:pPr>
              <w:pStyle w:val="LTAnfrageIni1"/>
            </w:pPr>
            <w:r w:rsidRPr="009D008C">
              <w:t>Abgeordneter</w:t>
            </w:r>
            <w:r w:rsidRPr="009D008C">
              <w:br/>
            </w:r>
            <w:r w:rsidRPr="009D008C">
              <w:rPr>
                <w:b/>
              </w:rPr>
              <w:t>Andreas</w:t>
            </w:r>
            <w:r w:rsidRPr="009D008C">
              <w:rPr>
                <w:b/>
              </w:rPr>
              <w:br/>
              <w:t>Krahl</w:t>
            </w:r>
            <w:r w:rsidRPr="009D008C">
              <w:rPr>
                <w:b/>
              </w:rPr>
              <w:br/>
            </w:r>
            <w:r w:rsidRPr="009D008C">
              <w:t>(BÜNDNIS 90/DIE GRÜNEN)</w:t>
            </w:r>
            <w:r>
              <w:fldChar w:fldCharType="begin"/>
            </w:r>
            <w:r>
              <w:instrText xml:space="preserve"> XE </w:instrText>
            </w:r>
            <w:r w:rsidR="006321CE">
              <w:instrText>„</w:instrText>
            </w:r>
            <w:r>
              <w:instrText xml:space="preserve">Krahl, Andreas (BÜNDNIS 90/DIE GRÜNEN):Landespflegegeld </w:instrText>
            </w:r>
            <w:r>
              <w:fldChar w:fldCharType="end"/>
            </w:r>
            <w:r>
              <w:fldChar w:fldCharType="begin"/>
            </w:r>
            <w:r>
              <w:instrText xml:space="preserve"> TC </w:instrText>
            </w:r>
            <w:r w:rsidR="006321CE">
              <w:instrText>„</w:instrText>
            </w:r>
            <w:r>
              <w:instrText>Krahl, Andreas (BÜNDNIS 90/DIE GRÜNEN)</w:instrText>
            </w:r>
            <w:r>
              <w:br/>
              <w:instrText xml:space="preserve">Landespflegegeld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Nachdem es laut Bürgerbeschwerden bei der Bearbeitung der Anträge auf Landespflegegeld zu erheblichen Verzögerungen und organisatorischen Problemen kommt, frage ich die Staatsregierung, wie viele Anträge auf Landespflegegeld noch nicht beschieden wurden, wie lange die durchschnittliche Bearbeitungszeit der Anträge ist und warum viele Antragsteller dazu aufgefordert werden, zur Sicherheit einen Zweitantrag mit allen erforderlichen Unterlagen zu stellen?</w:t>
            </w:r>
          </w:p>
          <w:p w:rsidR="009D008C" w:rsidRDefault="009D008C" w:rsidP="009D008C">
            <w:pPr>
              <w:pStyle w:val="LTAnfrageText"/>
            </w:pPr>
          </w:p>
        </w:tc>
      </w:tr>
    </w:tbl>
    <w:p w:rsidR="009D008C" w:rsidRDefault="009D008C" w:rsidP="009D008C">
      <w:pPr>
        <w:pStyle w:val="LTUeberschrAntwortRessort"/>
      </w:pPr>
      <w:r>
        <w:t>Antwort des Staatsministeriums der Finanzen und für Heimat</w:t>
      </w:r>
    </w:p>
    <w:p w:rsidR="009D008C" w:rsidRDefault="009D008C" w:rsidP="009D008C">
      <w:pPr>
        <w:pStyle w:val="LTAntwortRessortText"/>
      </w:pPr>
      <w:r>
        <w:t>Mit Stand 06.12.2018 sind bei der Landespflegegeldstelle exakt 337.000 Anträge eingegangen. Davon sind 261.000 Anträge maschinell erfasst und geprüft. Die Bearbeitungsquote liegt damit sechs Monate nach Verfah</w:t>
      </w:r>
      <w:r w:rsidR="00E511A3">
        <w:t>rens</w:t>
      </w:r>
      <w:r>
        <w:t xml:space="preserve">beginn bei 77,5 </w:t>
      </w:r>
      <w:r w:rsidR="006321CE">
        <w:t>Prozent</w:t>
      </w:r>
      <w:r>
        <w:t xml:space="preserve">. 240 Mio. </w:t>
      </w:r>
      <w:r w:rsidR="006321CE">
        <w:t>Euro</w:t>
      </w:r>
      <w:r>
        <w:t xml:space="preserve"> sind ausbezahlt. Die Bearbeitungszeit beträgt aktuell durchschnittlich sechs Wochen. Wenn die Antragsteller</w:t>
      </w:r>
      <w:r w:rsidR="00500E94">
        <w:t>innen bzw. Antragsteller mehrere Mo</w:t>
      </w:r>
      <w:r>
        <w:t xml:space="preserve">nate nach ihrer Antragstellung keinen </w:t>
      </w:r>
      <w:r w:rsidR="00500E94">
        <w:t>Bescheid und keine Zwischennach</w:t>
      </w:r>
      <w:r>
        <w:t xml:space="preserve">richt erhalten haben, sind die Anträge bei </w:t>
      </w:r>
      <w:r w:rsidR="00500E94">
        <w:t>der Landespflegegeldstelle über</w:t>
      </w:r>
      <w:r>
        <w:t>haupt nicht eingegangen oder sie weisen Fehler auf, deren Korrektur Zeit braucht. Deshalb besteht die Möglichkeit für die Antragsteller</w:t>
      </w:r>
      <w:r w:rsidR="00500E94">
        <w:t>innen und Antragsteller zu ihrer Si</w:t>
      </w:r>
      <w:r>
        <w:t>cherheit den Antrag erneut (fe</w:t>
      </w:r>
      <w:r w:rsidR="00E511A3">
        <w:t>hlerfrei) einreichen, um sicherzu</w:t>
      </w:r>
      <w:r>
        <w:t>gehen, dass das Landespflegegeld tatsächlich ausbezahlt werden kann.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9"/>
        <w:gridCol w:w="5837"/>
      </w:tblGrid>
      <w:tr w:rsidR="009D008C" w:rsidTr="009D008C">
        <w:tc>
          <w:tcPr>
            <w:tcW w:w="2050" w:type="dxa"/>
            <w:shd w:val="clear" w:color="auto" w:fill="auto"/>
          </w:tcPr>
          <w:p w:rsidR="009D008C" w:rsidRPr="009D008C" w:rsidRDefault="009D008C" w:rsidP="00AF399C">
            <w:pPr>
              <w:pStyle w:val="LTAnfrageIni1"/>
            </w:pPr>
            <w:r w:rsidRPr="009D008C">
              <w:t>Abgeordneter</w:t>
            </w:r>
            <w:r w:rsidRPr="009D008C">
              <w:br/>
            </w:r>
            <w:r w:rsidRPr="009D008C">
              <w:rPr>
                <w:b/>
              </w:rPr>
              <w:t>Arif</w:t>
            </w:r>
            <w:r w:rsidRPr="009D008C">
              <w:rPr>
                <w:b/>
              </w:rPr>
              <w:br/>
              <w:t>Ta</w:t>
            </w:r>
            <w:r w:rsidR="00AF399C">
              <w:rPr>
                <w:rFonts w:cs="Arial"/>
                <w:b/>
              </w:rPr>
              <w:t>ş</w:t>
            </w:r>
            <w:r w:rsidRPr="009D008C">
              <w:rPr>
                <w:b/>
              </w:rPr>
              <w:t>delen</w:t>
            </w:r>
            <w:r w:rsidRPr="009D008C">
              <w:rPr>
                <w:b/>
              </w:rPr>
              <w:br/>
            </w:r>
            <w:r w:rsidRPr="009D008C">
              <w:t>(SPD)</w:t>
            </w:r>
            <w:r>
              <w:fldChar w:fldCharType="begin"/>
            </w:r>
            <w:r>
              <w:instrText xml:space="preserve"> XE </w:instrText>
            </w:r>
            <w:r w:rsidR="006321CE">
              <w:instrText>„</w:instrText>
            </w:r>
            <w:r>
              <w:instrText xml:space="preserve">Tasdelen, Arif (SPD):Verfassungswidrige Absenkung der Eingangsbesoldung </w:instrText>
            </w:r>
            <w:r>
              <w:fldChar w:fldCharType="end"/>
            </w:r>
            <w:r>
              <w:fldChar w:fldCharType="begin"/>
            </w:r>
            <w:r>
              <w:instrText xml:space="preserve"> TC </w:instrText>
            </w:r>
            <w:r w:rsidR="006321CE">
              <w:instrText>„</w:instrText>
            </w:r>
            <w:r>
              <w:instrText>Tasdelen, Arif (SPD)</w:instrText>
            </w:r>
            <w:r>
              <w:br/>
              <w:instrText xml:space="preserve">Verfassungswidrige Absenkung der Eingangsbesoldung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Da das Bundesverfassungsgericht mit Beschluss vom 16.10.2018 die Absenkung der Eingangsbesoldung in Baden-Württemberg zwischen dem 01.01.2013 und dem 31.12.2017 mit der Begründung, dass Beamtinnen und Beamte nicht dazu verpflichtet sind, stärker als andere zur Konsolidierung öffentlicher Haushalte beizutragen, für verfassungswidrig erklärt hat, frage ich die Staatsregierung, hält sie die grundsätzliche Absenkung der Eingangsbesoldung für Beamtinnen und Beamte um eine Besoldungsgruppe in Bayern im Zeitraum vom 01.05.2011 bis zum 30.04.2013 auch nach dem Urteil des Bundesverfassungsgerichts für verfassungsgemäß, wenn ja aus welchen Gründen und was sind aus ihrer Sicht die entscheidenden Unterschiede zwischen der Absenkung der Eingangsbesoldung in Baden-Württemberg und der in Bayern?</w:t>
            </w:r>
          </w:p>
          <w:p w:rsidR="009D008C" w:rsidRDefault="009D008C" w:rsidP="009D008C">
            <w:pPr>
              <w:pStyle w:val="LTAnfrageText"/>
            </w:pPr>
          </w:p>
        </w:tc>
      </w:tr>
    </w:tbl>
    <w:p w:rsidR="009D008C" w:rsidRDefault="009D008C" w:rsidP="009D008C">
      <w:pPr>
        <w:pStyle w:val="LTUeberschrAntwortRessort"/>
      </w:pPr>
      <w:r>
        <w:t>Antwort des Staatsministeriums der Finanzen und für Heimat</w:t>
      </w:r>
    </w:p>
    <w:p w:rsidR="009D008C" w:rsidRDefault="009D008C" w:rsidP="009D008C">
      <w:pPr>
        <w:pStyle w:val="LTAntwortRessortText"/>
      </w:pPr>
      <w:r>
        <w:t xml:space="preserve">Bayern hat durch Art. 109 </w:t>
      </w:r>
      <w:r w:rsidR="006171D4">
        <w:t>Bayerisches Besoldungsgesetz (</w:t>
      </w:r>
      <w:r>
        <w:t>BayBesG</w:t>
      </w:r>
      <w:r w:rsidR="006171D4">
        <w:t>)</w:t>
      </w:r>
      <w:r>
        <w:t xml:space="preserve"> a.</w:t>
      </w:r>
      <w:r w:rsidR="006171D4">
        <w:t xml:space="preserve"> </w:t>
      </w:r>
      <w:r>
        <w:t xml:space="preserve">F. im Zeitraum vom </w:t>
      </w:r>
      <w:r w:rsidR="006171D4">
        <w:t>01.05.</w:t>
      </w:r>
      <w:r>
        <w:t xml:space="preserve">2011 bis </w:t>
      </w:r>
      <w:r w:rsidR="006171D4">
        <w:t>30.04.</w:t>
      </w:r>
      <w:r>
        <w:t>2013 für</w:t>
      </w:r>
      <w:r w:rsidR="006171D4">
        <w:t xml:space="preserve"> Beamtinnen und</w:t>
      </w:r>
      <w:r>
        <w:t xml:space="preserve"> Beamte, die erstmals </w:t>
      </w:r>
      <w:r w:rsidR="006171D4">
        <w:t>Anspruch auf Grundgehalt aus ei</w:t>
      </w:r>
      <w:r>
        <w:t>nem Amt der Besoldungsgruppe A, W ode</w:t>
      </w:r>
      <w:r w:rsidR="006171D4">
        <w:t xml:space="preserve">r R hatten, </w:t>
      </w:r>
      <w:r w:rsidR="006171D4" w:rsidRPr="00A30D7A">
        <w:rPr>
          <w:b/>
        </w:rPr>
        <w:t>für höchstens 18 Mo</w:t>
      </w:r>
      <w:r w:rsidRPr="00A30D7A">
        <w:rPr>
          <w:b/>
        </w:rPr>
        <w:t>nate</w:t>
      </w:r>
      <w:r>
        <w:t xml:space="preserve"> (längstens bis </w:t>
      </w:r>
      <w:r w:rsidR="006171D4">
        <w:t>30.04.2013) in der Besoldungsordnung (</w:t>
      </w:r>
      <w:r>
        <w:t>BesO</w:t>
      </w:r>
      <w:r w:rsidR="006171D4">
        <w:t>)</w:t>
      </w:r>
      <w:r>
        <w:t xml:space="preserve"> A nur das Grundgehalt der nächstniedrigeren Besoldungsgruppe (d.</w:t>
      </w:r>
      <w:r w:rsidR="006171D4">
        <w:t xml:space="preserve"> </w:t>
      </w:r>
      <w:r>
        <w:t>h. in A</w:t>
      </w:r>
      <w:r w:rsidR="006171D4">
        <w:t> </w:t>
      </w:r>
      <w:r>
        <w:t>13 das Gehalt aus A 12), in den Besoldungsordnungen R und W ein um 10</w:t>
      </w:r>
      <w:r w:rsidR="006171D4">
        <w:t xml:space="preserve"> </w:t>
      </w:r>
      <w:r w:rsidR="006321CE">
        <w:t xml:space="preserve">Prozent </w:t>
      </w:r>
      <w:r>
        <w:t>abgesenktes Grundgehalt gezahlt.</w:t>
      </w:r>
    </w:p>
    <w:p w:rsidR="009D008C" w:rsidRDefault="009D008C" w:rsidP="009D008C">
      <w:pPr>
        <w:pStyle w:val="LTAntwortRessortText"/>
      </w:pPr>
      <w:r>
        <w:t xml:space="preserve">Wesentlicher Unterschied zur Regelung in Baden-Württemberg ist, dass die bayerische Absenkung </w:t>
      </w:r>
      <w:r w:rsidRPr="00A30D7A">
        <w:rPr>
          <w:b/>
        </w:rPr>
        <w:t>von Anfang an befristet und für einen deutlich kürzeren Zeitraum (maximal 18 Monate statt 3 Jahre)</w:t>
      </w:r>
      <w:r>
        <w:t xml:space="preserve"> gegriffen hat.</w:t>
      </w:r>
    </w:p>
    <w:p w:rsidR="009D008C" w:rsidRDefault="009D008C" w:rsidP="009D008C">
      <w:pPr>
        <w:pStyle w:val="LTAntwortRessortText"/>
      </w:pPr>
      <w:r>
        <w:t xml:space="preserve">Zudem erfolgte sie in </w:t>
      </w:r>
      <w:r w:rsidRPr="00A30D7A">
        <w:rPr>
          <w:b/>
        </w:rPr>
        <w:t>zeitlichem Zu</w:t>
      </w:r>
      <w:r w:rsidR="006171D4" w:rsidRPr="00A30D7A">
        <w:rPr>
          <w:b/>
        </w:rPr>
        <w:t>sammenhang mit dem Neuen Dienst</w:t>
      </w:r>
      <w:r w:rsidRPr="00A30D7A">
        <w:rPr>
          <w:b/>
        </w:rPr>
        <w:t>recht in Bayern</w:t>
      </w:r>
      <w:r>
        <w:t xml:space="preserve">, durch das die </w:t>
      </w:r>
      <w:r w:rsidRPr="00A30D7A">
        <w:rPr>
          <w:b/>
        </w:rPr>
        <w:t>Wettbewerbsfähigkeit des öffentlichen Dienstes erheblich verbessert wurde</w:t>
      </w:r>
      <w:r>
        <w:t>. Insbesondere von der durc</w:t>
      </w:r>
      <w:r w:rsidR="006171D4">
        <w:t>hgehen</w:t>
      </w:r>
      <w:r>
        <w:t>den Leistungslaufbahn und den sich da</w:t>
      </w:r>
      <w:r w:rsidR="006171D4">
        <w:t>raus ergebenden Karrieremöglich</w:t>
      </w:r>
      <w:r>
        <w:t>keiten sowie durch die strukturellen Änderungen beim Stufenaufstieg in die neue Besoldungstabelle sollten viele jüng</w:t>
      </w:r>
      <w:r w:rsidR="006171D4">
        <w:t>ere Berufsan</w:t>
      </w:r>
      <w:r>
        <w:t xml:space="preserve">fängerinnen </w:t>
      </w:r>
      <w:r w:rsidR="006171D4">
        <w:t xml:space="preserve">und Berufsanfänger </w:t>
      </w:r>
      <w:r>
        <w:t xml:space="preserve">zukünftig profitieren können. </w:t>
      </w:r>
      <w:r w:rsidR="006171D4">
        <w:t>Die auf längstens zwei Jahre be</w:t>
      </w:r>
      <w:r>
        <w:t>fristete Absenkung beeinträchtigte diese Möglichkeiten und die Stärkung des Leistungsprinzips nicht.</w:t>
      </w:r>
    </w:p>
    <w:p w:rsidR="009D008C" w:rsidRDefault="009D008C" w:rsidP="009D008C">
      <w:pPr>
        <w:pStyle w:val="LTAntwortRessortText"/>
      </w:pPr>
      <w:r>
        <w:t xml:space="preserve">Das </w:t>
      </w:r>
      <w:r w:rsidRPr="00A30D7A">
        <w:rPr>
          <w:b/>
        </w:rPr>
        <w:t>Verwaltungsgericht München</w:t>
      </w:r>
      <w:r>
        <w:t xml:space="preserve"> hat sich mit Urteil vom 9. Oktober 2013 diese Argumentation zu eigen gemacht und eine </w:t>
      </w:r>
      <w:r w:rsidRPr="00A30D7A">
        <w:rPr>
          <w:b/>
        </w:rPr>
        <w:t>Verfassungswidrigkeit der bayerischen Regelung verneint</w:t>
      </w:r>
      <w:r>
        <w:t>.</w:t>
      </w:r>
    </w:p>
    <w:p w:rsidR="008531BD" w:rsidRDefault="008531BD">
      <w:pPr>
        <w:rPr>
          <w:rFonts w:cs="Arial"/>
          <w:b/>
          <w:sz w:val="22"/>
          <w:szCs w:val="22"/>
        </w:rPr>
      </w:pPr>
      <w:r>
        <w:br w:type="page"/>
      </w:r>
    </w:p>
    <w:p w:rsidR="009D008C" w:rsidRDefault="009D008C" w:rsidP="009D008C">
      <w:pPr>
        <w:pStyle w:val="LTUeberschrRessort"/>
      </w:pPr>
      <w:r>
        <w:t>Geschäftsbereich des Staatsministeriums für Wirtschaft, Landesentwicklung und Energie</w:t>
      </w:r>
      <w:r>
        <w:fldChar w:fldCharType="begin"/>
      </w:r>
      <w:r>
        <w:instrText xml:space="preserve"> TC </w:instrText>
      </w:r>
      <w:r w:rsidR="006321CE">
        <w:instrText>„</w:instrText>
      </w:r>
      <w:r>
        <w:instrText>Geschäftsbereich des Staatsministeriums für Wirtschaft, Landesentwicklung und Energie</w:instrText>
      </w:r>
      <w:r w:rsidR="006321CE">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4"/>
        <w:gridCol w:w="5802"/>
      </w:tblGrid>
      <w:tr w:rsidR="009D008C" w:rsidTr="009D008C">
        <w:tc>
          <w:tcPr>
            <w:tcW w:w="2050" w:type="dxa"/>
            <w:shd w:val="clear" w:color="auto" w:fill="auto"/>
          </w:tcPr>
          <w:p w:rsidR="009D008C" w:rsidRPr="009D008C" w:rsidRDefault="009D008C" w:rsidP="009D008C">
            <w:pPr>
              <w:pStyle w:val="LTAnfrageIni1"/>
            </w:pPr>
            <w:r w:rsidRPr="009D008C">
              <w:t>Abgeordneter</w:t>
            </w:r>
            <w:r w:rsidRPr="009D008C">
              <w:br/>
            </w:r>
            <w:r w:rsidRPr="009D008C">
              <w:rPr>
                <w:b/>
              </w:rPr>
              <w:t>Thomas</w:t>
            </w:r>
            <w:r w:rsidRPr="009D008C">
              <w:rPr>
                <w:b/>
              </w:rPr>
              <w:br/>
              <w:t>Gehring</w:t>
            </w:r>
            <w:r w:rsidRPr="009D008C">
              <w:rPr>
                <w:b/>
              </w:rPr>
              <w:br/>
            </w:r>
            <w:r w:rsidRPr="009D008C">
              <w:t>(BÜNDNIS 90/DIE GRÜNEN)</w:t>
            </w:r>
            <w:r>
              <w:fldChar w:fldCharType="begin"/>
            </w:r>
            <w:r>
              <w:instrText xml:space="preserve"> XE </w:instrText>
            </w:r>
            <w:r w:rsidR="006321CE">
              <w:instrText>„</w:instrText>
            </w:r>
            <w:r>
              <w:instrText xml:space="preserve">Gehring, Thomas (BÜNDNIS 90/DIE GRÜNEN):Rücknahme der Änderung im Alpenplan </w:instrText>
            </w:r>
            <w:r>
              <w:fldChar w:fldCharType="end"/>
            </w:r>
            <w:r>
              <w:fldChar w:fldCharType="begin"/>
            </w:r>
            <w:r>
              <w:instrText xml:space="preserve"> TC </w:instrText>
            </w:r>
            <w:r w:rsidR="006321CE">
              <w:instrText>„</w:instrText>
            </w:r>
            <w:r>
              <w:instrText>Gehring, Thomas (BÜNDNIS 90/DIE GRÜNEN)</w:instrText>
            </w:r>
            <w:r>
              <w:br/>
              <w:instrText xml:space="preserve">Rücknahme der Änderung im Alpenplan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 xml:space="preserve">Ich frage die Staatsregierung, bedeutet die Ankündigung im Koalitionsvertrag </w:t>
            </w:r>
            <w:r w:rsidR="006321CE">
              <w:t>„</w:t>
            </w:r>
            <w:r>
              <w:t>Die Änderungen im Alpenplan werden wir rückgängig machen</w:t>
            </w:r>
            <w:r w:rsidR="006321CE">
              <w:t>“</w:t>
            </w:r>
            <w:r>
              <w:t>, dass die 80 ha, die rund um das Riedberger Horn abgestuft wurden, wieder in Schutzzone C eingestuft werden, wenn ja, wie ist der Zeitplan zur Umsetzung dieser Ankündigung und werden die bei der letzten Änderung vorgenommenen Aufstufungen am Bleicherhorn (197 ha) und am Hoch</w:t>
            </w:r>
            <w:r w:rsidR="00236A45">
              <w:t>-</w:t>
            </w:r>
            <w:r>
              <w:t>schelpen (107 ha) in die Schutzzone C rückgängig gemacht?</w:t>
            </w:r>
          </w:p>
          <w:p w:rsidR="009D008C" w:rsidRDefault="009D008C" w:rsidP="009D008C">
            <w:pPr>
              <w:pStyle w:val="LTAnfrageText"/>
            </w:pPr>
          </w:p>
        </w:tc>
      </w:tr>
    </w:tbl>
    <w:p w:rsidR="009D008C" w:rsidRDefault="009D008C" w:rsidP="009D008C">
      <w:pPr>
        <w:pStyle w:val="LTUeberschrAntwortRessort"/>
      </w:pPr>
      <w:r>
        <w:t>Antwort des Staatsministeriums für Wirtschaft, Landesentwicklung und Energie</w:t>
      </w:r>
    </w:p>
    <w:p w:rsidR="009D008C" w:rsidRDefault="009D008C" w:rsidP="009D008C">
      <w:pPr>
        <w:pStyle w:val="LTAntwortRessortText"/>
      </w:pPr>
      <w:r>
        <w:t>Die im Koalitionsvertrag angekündigte Änderung des Alpenplans bedeutet, dass die Staatsregierung beabsichtigt, das Gebiet mit rund 80 ha am Riedberger Horn, das im Jahr 2018 aus der Zone C des Alpenplans herausgenommen und de</w:t>
      </w:r>
      <w:r w:rsidR="008531BD">
        <w:t>r Zone B zugeordnet wurde, aufg</w:t>
      </w:r>
      <w:r>
        <w:t>rund einer geänderten Sachlage wieder der Zone C zuzuordnen. Hierzu ist eine Änderung des Landesentwicklungsprogramms Bayern (LEP) erforderlich, der auch der Landtag zustimmen muss. Der Änderungsentwurf wird derzeit erarbeitet und das Änderungsverfahren mit den im Bayerischen Landesplanungsgesetz vorgeschriebenen Schritten wird danach umgehend eingeleitet. Die Erarbeitung des Änderungsentwurfs wird auch eine Auseinandersetzung der Staatsregierung mit den neu zugeordneten Gebieten am Bleicherhorn und am Hochschelpen beinhalten.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4"/>
        <w:gridCol w:w="5842"/>
      </w:tblGrid>
      <w:tr w:rsidR="009D008C" w:rsidTr="009D008C">
        <w:tc>
          <w:tcPr>
            <w:tcW w:w="2050" w:type="dxa"/>
            <w:shd w:val="clear" w:color="auto" w:fill="auto"/>
          </w:tcPr>
          <w:p w:rsidR="009D008C" w:rsidRPr="009D008C" w:rsidRDefault="009D008C" w:rsidP="009D008C">
            <w:pPr>
              <w:pStyle w:val="LTAnfrageIni1"/>
            </w:pPr>
            <w:r w:rsidRPr="009D008C">
              <w:t>Abgeordneter</w:t>
            </w:r>
            <w:r w:rsidRPr="009D008C">
              <w:br/>
            </w:r>
            <w:r w:rsidRPr="009D008C">
              <w:rPr>
                <w:b/>
              </w:rPr>
              <w:t>Markus</w:t>
            </w:r>
            <w:r w:rsidRPr="009D008C">
              <w:rPr>
                <w:b/>
              </w:rPr>
              <w:br/>
              <w:t>Rinderspacher</w:t>
            </w:r>
            <w:r w:rsidRPr="009D008C">
              <w:rPr>
                <w:b/>
              </w:rPr>
              <w:br/>
            </w:r>
            <w:r w:rsidRPr="009D008C">
              <w:t>(SPD)</w:t>
            </w:r>
            <w:r>
              <w:fldChar w:fldCharType="begin"/>
            </w:r>
            <w:r>
              <w:instrText xml:space="preserve"> XE </w:instrText>
            </w:r>
            <w:r w:rsidR="006321CE">
              <w:instrText>„</w:instrText>
            </w:r>
            <w:r>
              <w:instrText xml:space="preserve">Rinderspacher, Markus (SPD):EU-Mittel für Bayern </w:instrText>
            </w:r>
            <w:r>
              <w:fldChar w:fldCharType="end"/>
            </w:r>
            <w:r>
              <w:fldChar w:fldCharType="begin"/>
            </w:r>
            <w:r>
              <w:instrText xml:space="preserve"> TC </w:instrText>
            </w:r>
            <w:r w:rsidR="006321CE">
              <w:instrText>„</w:instrText>
            </w:r>
            <w:r>
              <w:instrText>Rinderspacher, Markus (SPD)</w:instrText>
            </w:r>
            <w:r>
              <w:br/>
              <w:instrText xml:space="preserve">EU-Mittel für Bayern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Ich frage die Staatsregierung, welche konkreten Projekte und Maßnahmen wurden in Bayern seit 2014 aus EU-Mitteln gefördert, welche europäischen Fördermittel stehen dem Freistaat Bayern in der laufenden Förderperiode zur Verfügung und in welcher Höhe werden europäische Fördermittel nach aktueller Einschätzung der Staatsregierung dem Freistaat Bayern in der nächsten Förderperiode zur Verfügung stehen?</w:t>
            </w:r>
          </w:p>
          <w:p w:rsidR="009D008C" w:rsidRDefault="009D008C" w:rsidP="009D008C">
            <w:pPr>
              <w:pStyle w:val="LTAnfrageText"/>
            </w:pPr>
          </w:p>
        </w:tc>
      </w:tr>
    </w:tbl>
    <w:p w:rsidR="009D008C" w:rsidRDefault="009D008C" w:rsidP="009D008C">
      <w:pPr>
        <w:pStyle w:val="LTUeberschrAntwortRessort"/>
      </w:pPr>
      <w:r>
        <w:t>Antwort des Staatsministeriums für Wirtschaft, Landesentwicklung und Energie</w:t>
      </w:r>
    </w:p>
    <w:p w:rsidR="009D008C" w:rsidRPr="00AE5EED" w:rsidRDefault="00AE5EED" w:rsidP="009D008C">
      <w:pPr>
        <w:pStyle w:val="LTAntwortRessortText"/>
        <w:rPr>
          <w:u w:val="single"/>
        </w:rPr>
      </w:pPr>
      <w:r w:rsidRPr="00AE5EED">
        <w:rPr>
          <w:u w:val="single"/>
        </w:rPr>
        <w:t>Zur ersten Teilfrage:</w:t>
      </w:r>
    </w:p>
    <w:p w:rsidR="009D008C" w:rsidRDefault="009D008C" w:rsidP="00AE5EED">
      <w:pPr>
        <w:pStyle w:val="LTAntwortRessortText"/>
        <w:spacing w:before="0"/>
      </w:pPr>
      <w:r>
        <w:t>Bayern konn</w:t>
      </w:r>
      <w:r w:rsidR="005B6875">
        <w:t xml:space="preserve">te für die Förderperiode 2014 bis </w:t>
      </w:r>
      <w:r>
        <w:t xml:space="preserve">2020 EFRE-Mittel </w:t>
      </w:r>
      <w:r w:rsidR="00AE5EED">
        <w:t xml:space="preserve">(EFRE = </w:t>
      </w:r>
      <w:r w:rsidR="00AE5EED" w:rsidRPr="00AE5EED">
        <w:t>Europäische</w:t>
      </w:r>
      <w:r w:rsidR="00AE5EED">
        <w:t>r</w:t>
      </w:r>
      <w:r w:rsidR="00AE5EED" w:rsidRPr="00AE5EED">
        <w:t xml:space="preserve"> Fonds für regionale Entwicklung</w:t>
      </w:r>
      <w:r w:rsidR="00AE5EED">
        <w:t>)</w:t>
      </w:r>
      <w:r w:rsidR="00AE5EED" w:rsidRPr="00AE5EED">
        <w:t xml:space="preserve"> </w:t>
      </w:r>
      <w:r>
        <w:t xml:space="preserve">in Höhe von rund 495 Mio. Euro akquirieren </w:t>
      </w:r>
      <w:r w:rsidRPr="00A30D7A">
        <w:rPr>
          <w:b/>
        </w:rPr>
        <w:t xml:space="preserve">(Ziel IWB </w:t>
      </w:r>
      <w:r w:rsidR="006321CE" w:rsidRPr="00A30D7A">
        <w:rPr>
          <w:b/>
        </w:rPr>
        <w:t>„</w:t>
      </w:r>
      <w:r w:rsidRPr="00A30D7A">
        <w:rPr>
          <w:b/>
        </w:rPr>
        <w:t>Investitionen in Wachstum und Beschäftigung</w:t>
      </w:r>
      <w:r w:rsidR="006321CE" w:rsidRPr="00A30D7A">
        <w:rPr>
          <w:b/>
        </w:rPr>
        <w:t>“</w:t>
      </w:r>
      <w:r w:rsidRPr="00A30D7A">
        <w:rPr>
          <w:b/>
        </w:rPr>
        <w:t>)</w:t>
      </w:r>
      <w:r>
        <w:t xml:space="preserve">. Insgesamt werden damit Investitionen von etwa 1,4 Mrd. Euro in zentralen Zukunfts-feldern wie Innovation, Wettbewerbsfähigkeit von </w:t>
      </w:r>
      <w:r w:rsidR="005B6875">
        <w:t>kleinen und mittleren Unternehmen (</w:t>
      </w:r>
      <w:r>
        <w:t>KMU</w:t>
      </w:r>
      <w:r w:rsidR="005B6875">
        <w:t>)</w:t>
      </w:r>
      <w:r>
        <w:t xml:space="preserve"> und Klimaschutz angestoßen.</w:t>
      </w:r>
    </w:p>
    <w:p w:rsidR="009D008C" w:rsidRDefault="009D008C" w:rsidP="009D008C">
      <w:pPr>
        <w:pStyle w:val="LTAntwortRessortText"/>
      </w:pPr>
      <w:r>
        <w:t>Umgesetzte Projekte:</w:t>
      </w:r>
    </w:p>
    <w:p w:rsidR="009D008C" w:rsidRDefault="00786957" w:rsidP="005B6875">
      <w:pPr>
        <w:pStyle w:val="LTAntwortRessortText"/>
        <w:spacing w:before="0"/>
      </w:pPr>
      <w:hyperlink r:id="rId13" w:history="1">
        <w:r w:rsidR="005B6875" w:rsidRPr="005F1752">
          <w:rPr>
            <w:rStyle w:val="Hyperlink"/>
          </w:rPr>
          <w:t>https://www.efre-bayern.de/fileadmin/user_upload/efre/themen/IWB/Informa-tion_und_Kommunikation/Liste_der_Vorhaben/vorhaben_liste_30.06.2018.xlsx</w:t>
        </w:r>
      </w:hyperlink>
      <w:r w:rsidR="005B6875">
        <w:t xml:space="preserve"> </w:t>
      </w:r>
    </w:p>
    <w:p w:rsidR="009D008C" w:rsidRDefault="009D008C" w:rsidP="009D008C">
      <w:pPr>
        <w:pStyle w:val="LTAntwortRessortText"/>
      </w:pPr>
      <w:r>
        <w:t>Der Freistaat Bayern</w:t>
      </w:r>
      <w:r w:rsidR="005B6875">
        <w:t xml:space="preserve"> hat in der Förderperiode 2014 bis</w:t>
      </w:r>
      <w:r>
        <w:t xml:space="preserve"> 2020 für die </w:t>
      </w:r>
      <w:r w:rsidRPr="00A30D7A">
        <w:rPr>
          <w:b/>
        </w:rPr>
        <w:t>EFRE-Programme der Europäischen Territorialen Zusammenarbeit (ETZ)</w:t>
      </w:r>
      <w:r>
        <w:t xml:space="preserve"> (</w:t>
      </w:r>
      <w:r w:rsidR="005B6875">
        <w:t xml:space="preserve">Bayern – Tschechien, Österreich – </w:t>
      </w:r>
      <w:r>
        <w:t>Bayern, Alpenrhein-Bodensee-Hochrhein) insgesamt 83</w:t>
      </w:r>
      <w:r w:rsidR="00885D62">
        <w:t> </w:t>
      </w:r>
      <w:r>
        <w:t xml:space="preserve">Mio. </w:t>
      </w:r>
      <w:r w:rsidR="006321CE">
        <w:t>Euro</w:t>
      </w:r>
      <w:r>
        <w:t xml:space="preserve"> EFRE-Mittel in die Partnerprogramme eingelegt.</w:t>
      </w:r>
    </w:p>
    <w:p w:rsidR="009D008C" w:rsidRDefault="009D008C" w:rsidP="009D008C">
      <w:pPr>
        <w:pStyle w:val="LTAntwortRessortText"/>
      </w:pPr>
      <w:r>
        <w:t>Umgesetzte Projekte:</w:t>
      </w:r>
    </w:p>
    <w:p w:rsidR="00C02FC8" w:rsidRPr="00C02FC8" w:rsidRDefault="00786957" w:rsidP="00C02FC8">
      <w:pPr>
        <w:pStyle w:val="LTAntwortRessortText"/>
        <w:spacing w:before="60"/>
        <w:rPr>
          <w:rStyle w:val="Hyperlink"/>
          <w:spacing w:val="-2"/>
        </w:rPr>
      </w:pPr>
      <w:hyperlink r:id="rId14">
        <w:r w:rsidR="00C02FC8" w:rsidRPr="00C02FC8">
          <w:rPr>
            <w:spacing w:val="-2"/>
            <w:u w:color="0462C1"/>
          </w:rPr>
          <w:t>https://www.by-cz.eu/fileadmin/user_upload/interreg/dokumente_CZ/Liste_der_Vor-</w:t>
        </w:r>
      </w:hyperlink>
      <w:hyperlink r:id="rId15">
        <w:r w:rsidR="00C02FC8" w:rsidRPr="00C02FC8">
          <w:rPr>
            <w:spacing w:val="-2"/>
            <w:u w:color="0462C1"/>
          </w:rPr>
          <w:t>haben_BY-CZ_31.08.2018.xlsx</w:t>
        </w:r>
      </w:hyperlink>
      <w:r w:rsidR="00C02FC8" w:rsidRPr="00C02FC8">
        <w:rPr>
          <w:spacing w:val="-2"/>
          <w:u w:color="0462C1"/>
        </w:rPr>
        <w:t xml:space="preserve"> </w:t>
      </w:r>
    </w:p>
    <w:p w:rsidR="005C175A" w:rsidRDefault="00786957" w:rsidP="005C175A">
      <w:pPr>
        <w:pStyle w:val="LTAntwortRessortText"/>
      </w:pPr>
      <w:hyperlink r:id="rId16">
        <w:r w:rsidR="005C175A">
          <w:rPr>
            <w:u w:color="0462C1"/>
          </w:rPr>
          <w:t>https://www.interreg-bayaut.net/wp-content/uploads/2018/06/Liste-der-Vorha-</w:t>
        </w:r>
      </w:hyperlink>
      <w:r w:rsidR="005C175A">
        <w:t xml:space="preserve"> </w:t>
      </w:r>
      <w:hyperlink r:id="rId17">
        <w:r w:rsidR="005C175A">
          <w:t xml:space="preserve"> </w:t>
        </w:r>
        <w:r w:rsidR="005C175A">
          <w:rPr>
            <w:u w:color="0462C1"/>
          </w:rPr>
          <w:t>ben_20180629.xls</w:t>
        </w:r>
      </w:hyperlink>
      <w:r w:rsidR="005C175A">
        <w:rPr>
          <w:u w:color="0462C1"/>
        </w:rPr>
        <w:t xml:space="preserve"> </w:t>
      </w:r>
    </w:p>
    <w:p w:rsidR="009D008C" w:rsidRDefault="00786957" w:rsidP="00C02FC8">
      <w:pPr>
        <w:pStyle w:val="LTAntwortRessortText"/>
        <w:spacing w:before="120"/>
      </w:pPr>
      <w:hyperlink r:id="rId18" w:history="1">
        <w:r w:rsidR="005C175A" w:rsidRPr="006B0066">
          <w:rPr>
            <w:rStyle w:val="Hyperlink"/>
          </w:rPr>
          <w:t>https://www.by-cz.eu/fileadmin/user_upload/interreg/dokuente_CZ/Liste_der_Vor-haben_BY-CZ_31.08.2018.xlsx</w:t>
        </w:r>
      </w:hyperlink>
      <w:r w:rsidR="005B6875">
        <w:t xml:space="preserve"> </w:t>
      </w:r>
    </w:p>
    <w:p w:rsidR="009D008C" w:rsidRDefault="00786957" w:rsidP="005B6875">
      <w:pPr>
        <w:pStyle w:val="LTAntwortRessortText"/>
        <w:spacing w:before="120"/>
      </w:pPr>
      <w:hyperlink r:id="rId19" w:history="1">
        <w:r w:rsidR="005B6875" w:rsidRPr="005F1752">
          <w:rPr>
            <w:rStyle w:val="Hyperlink"/>
          </w:rPr>
          <w:t>https://www.interreg-bayaut.net/wp-content/uploads/2018/06/Liste-der-Vorhaben_20180629.xls</w:t>
        </w:r>
      </w:hyperlink>
      <w:r w:rsidR="005B6875">
        <w:t xml:space="preserve"> </w:t>
      </w:r>
    </w:p>
    <w:p w:rsidR="009D008C" w:rsidRDefault="00786957" w:rsidP="005B6875">
      <w:pPr>
        <w:pStyle w:val="LTAntwortRessortText"/>
        <w:spacing w:before="120"/>
      </w:pPr>
      <w:hyperlink r:id="rId20" w:history="1">
        <w:r w:rsidR="005B6875" w:rsidRPr="005F1752">
          <w:rPr>
            <w:rStyle w:val="Hyperlink"/>
          </w:rPr>
          <w:t>https://www.interreg.org/projekte/interreg-abh-liste-nach-art-115.xlsx</w:t>
        </w:r>
      </w:hyperlink>
      <w:r w:rsidR="005B6875">
        <w:t xml:space="preserve"> </w:t>
      </w:r>
      <w:r w:rsidR="005B6875">
        <w:br/>
      </w:r>
      <w:r w:rsidR="009D008C">
        <w:t xml:space="preserve">oder </w:t>
      </w:r>
      <w:r w:rsidR="005B6875">
        <w:br/>
      </w:r>
      <w:hyperlink r:id="rId21" w:history="1">
        <w:r w:rsidR="005B6875" w:rsidRPr="005F1752">
          <w:rPr>
            <w:rStyle w:val="Hyperlink"/>
          </w:rPr>
          <w:t>https://www.interreg.org/projekte/alle-projekte/?collectionfilter=1&amp;taxonomy_re-gion_op=and&amp;taxonomy_project_program=356nhdslkt&amp;taxonomy_re-gion=v6e4b5gr4v</w:t>
        </w:r>
      </w:hyperlink>
      <w:r w:rsidR="005B6875">
        <w:t xml:space="preserve"> </w:t>
      </w:r>
    </w:p>
    <w:p w:rsidR="009D008C" w:rsidRDefault="009D008C" w:rsidP="009D008C">
      <w:pPr>
        <w:pStyle w:val="LTAntwortRessortText"/>
      </w:pPr>
      <w:r>
        <w:t xml:space="preserve">Der </w:t>
      </w:r>
      <w:r w:rsidRPr="00A30D7A">
        <w:rPr>
          <w:b/>
        </w:rPr>
        <w:t>Europäische Landwirtschaftsfonds für die Entwicklung des ländlichen Raums (ELER)</w:t>
      </w:r>
      <w:r>
        <w:t xml:space="preserve"> fördert die nachhaltige Entwicklung des ländlichen Raums in d</w:t>
      </w:r>
      <w:r w:rsidR="005B6875">
        <w:t>er Eu</w:t>
      </w:r>
      <w:r>
        <w:t xml:space="preserve">ropäischen Union. Die Umsetzung der ELER-Förderung erfolgt dezentral durch die Mitgliedstaaten auf der Grundlage sogenannter </w:t>
      </w:r>
      <w:r w:rsidR="006321CE">
        <w:t>„</w:t>
      </w:r>
      <w:r>
        <w:t>Entwicklungsprogramme für den ländlichen Raum</w:t>
      </w:r>
      <w:r w:rsidR="006321CE">
        <w:t>“</w:t>
      </w:r>
      <w:r>
        <w:t xml:space="preserve"> (EPLR). Dem Freistaat Bayern stehen damit rund 1,5 Mrd. Euro aus dem Europäischen Landwirtschaftsfonds für die Entwicklung des ländlichen Raums (ELER) zur Verfügung. Einschließlich der erforderlichen Kofinanzierungsmittel und der zusätzlichen nationalen Finanzierung durch Bund und Land umfasst das EPLR ein indikatives Finanzvolumen von ca. 3,6 Mrd. Euro. </w:t>
      </w:r>
      <w:r w:rsidR="005B6875">
        <w:t>Bestandteil der bayerischen Pro</w:t>
      </w:r>
      <w:r>
        <w:t>grammplanung sind dabei Fördermaßnahmen im Geschäftsbereich des Staatsministeriums für Ernährung, Landwirtschaft und Forsten (StMELF) sowie des Staatsministeriums für Umwelt und Verbraucherschutz (StMUV).</w:t>
      </w:r>
    </w:p>
    <w:p w:rsidR="009D008C" w:rsidRDefault="009D008C" w:rsidP="009D008C">
      <w:pPr>
        <w:pStyle w:val="LTAntwortRessortText"/>
      </w:pPr>
      <w:r>
        <w:t>Umgesetzte Projekte:</w:t>
      </w:r>
    </w:p>
    <w:p w:rsidR="00C02FC8" w:rsidRDefault="00C02FC8" w:rsidP="005B6875">
      <w:pPr>
        <w:pStyle w:val="LTAntwortRessortText"/>
        <w:spacing w:before="0"/>
        <w:rPr>
          <w:rStyle w:val="Hyperlink"/>
        </w:rPr>
      </w:pPr>
    </w:p>
    <w:p w:rsidR="00C02FC8" w:rsidRDefault="00786957" w:rsidP="00C02FC8">
      <w:pPr>
        <w:pStyle w:val="LTAntwortRessortText"/>
        <w:spacing w:before="0"/>
        <w:rPr>
          <w:rStyle w:val="Hyperlink"/>
        </w:rPr>
      </w:pPr>
      <w:hyperlink r:id="rId22">
        <w:r w:rsidR="00C02FC8">
          <w:rPr>
            <w:color w:val="0462C1"/>
            <w:spacing w:val="-1"/>
            <w:u w:val="single" w:color="0462C1"/>
          </w:rPr>
          <w:t>http://www.stmelf.bayern.de/mam/cms01/agrarpolitik/dateien/pro-</w:t>
        </w:r>
      </w:hyperlink>
      <w:r w:rsidR="00C02FC8">
        <w:rPr>
          <w:color w:val="0462C1"/>
        </w:rPr>
        <w:t xml:space="preserve"> </w:t>
      </w:r>
      <w:hyperlink r:id="rId23">
        <w:r w:rsidR="00C02FC8">
          <w:rPr>
            <w:color w:val="0462C1"/>
          </w:rPr>
          <w:t xml:space="preserve"> </w:t>
        </w:r>
        <w:r w:rsidR="00C02FC8">
          <w:rPr>
            <w:color w:val="0462C1"/>
            <w:spacing w:val="-1"/>
            <w:u w:val="single" w:color="0462C1"/>
          </w:rPr>
          <w:t>gramm_eplr2020_gesamt.pdf</w:t>
        </w:r>
      </w:hyperlink>
    </w:p>
    <w:p w:rsidR="00C02FC8" w:rsidRDefault="00C02FC8" w:rsidP="005B6875">
      <w:pPr>
        <w:pStyle w:val="LTAntwortRessortText"/>
        <w:spacing w:before="0"/>
        <w:rPr>
          <w:rStyle w:val="Hyperlink"/>
        </w:rPr>
      </w:pPr>
    </w:p>
    <w:p w:rsidR="009D008C" w:rsidRDefault="009D008C" w:rsidP="009D008C">
      <w:pPr>
        <w:pStyle w:val="LTAntwortRessortText"/>
      </w:pPr>
      <w:r>
        <w:t>Bayern part</w:t>
      </w:r>
      <w:r w:rsidR="005B6875">
        <w:t xml:space="preserve">izipiert im Förderzeitraum 2014 bis </w:t>
      </w:r>
      <w:r>
        <w:t xml:space="preserve">2020 am </w:t>
      </w:r>
      <w:r w:rsidRPr="00A30D7A">
        <w:rPr>
          <w:b/>
        </w:rPr>
        <w:t xml:space="preserve">Ziel </w:t>
      </w:r>
      <w:r w:rsidR="006321CE" w:rsidRPr="00A30D7A">
        <w:rPr>
          <w:b/>
        </w:rPr>
        <w:t>„</w:t>
      </w:r>
      <w:r w:rsidR="005B6875" w:rsidRPr="00A30D7A">
        <w:rPr>
          <w:b/>
        </w:rPr>
        <w:t>Investitionen in Wachs</w:t>
      </w:r>
      <w:r w:rsidRPr="00A30D7A">
        <w:rPr>
          <w:b/>
        </w:rPr>
        <w:t>tum und Beschäftigung</w:t>
      </w:r>
      <w:r w:rsidR="006321CE" w:rsidRPr="00A30D7A">
        <w:rPr>
          <w:b/>
        </w:rPr>
        <w:t>“</w:t>
      </w:r>
      <w:r>
        <w:t xml:space="preserve"> mit rund 298 Mio. Euro an</w:t>
      </w:r>
      <w:r w:rsidR="005B6875">
        <w:t xml:space="preserve"> den Mitteln des </w:t>
      </w:r>
      <w:r w:rsidR="00A30D7A">
        <w:rPr>
          <w:b/>
        </w:rPr>
        <w:t xml:space="preserve">Europäischen Sozialfonds </w:t>
      </w:r>
      <w:r w:rsidR="00A30D7A" w:rsidRPr="00A30D7A">
        <w:rPr>
          <w:b/>
        </w:rPr>
        <w:t>(</w:t>
      </w:r>
      <w:r w:rsidR="005B6875" w:rsidRPr="00A30D7A">
        <w:rPr>
          <w:b/>
        </w:rPr>
        <w:t>ESF</w:t>
      </w:r>
      <w:r w:rsidR="00A30D7A" w:rsidRPr="00A30D7A">
        <w:rPr>
          <w:b/>
        </w:rPr>
        <w:t>)</w:t>
      </w:r>
      <w:r w:rsidR="005B6875">
        <w:t>. Die Feder</w:t>
      </w:r>
      <w:r>
        <w:t xml:space="preserve">führung bei der Verwaltung dieser Mittel liegt beim Staatsministerium für Familie, Arbeit und Soziales. Im Rahmen dieses Programms fördert das Staatsministerium für Unterricht und Kultus als </w:t>
      </w:r>
      <w:r w:rsidR="006321CE">
        <w:t>„</w:t>
      </w:r>
      <w:r>
        <w:t>zwischengeschaltete Stelle</w:t>
      </w:r>
      <w:r w:rsidR="006321CE">
        <w:t>“</w:t>
      </w:r>
      <w:r>
        <w:t xml:space="preserve"> verschiedene Maßnahmen an Schulen und in Zusammenarbeit mit Schulen, zu denen der ESF insgesamt ca. 57,2 Mio. Euro beiträgt.</w:t>
      </w:r>
    </w:p>
    <w:p w:rsidR="009D008C" w:rsidRDefault="009D008C" w:rsidP="009D008C">
      <w:pPr>
        <w:pStyle w:val="LTAntwortRessortText"/>
      </w:pPr>
      <w:r>
        <w:t>Umgesetzte Projekte:</w:t>
      </w:r>
    </w:p>
    <w:p w:rsidR="009D008C" w:rsidRDefault="00786957" w:rsidP="005B6875">
      <w:pPr>
        <w:pStyle w:val="LTAntwortRessortText"/>
        <w:spacing w:before="0"/>
      </w:pPr>
      <w:hyperlink r:id="rId24" w:history="1">
        <w:r w:rsidR="005B6875" w:rsidRPr="005F1752">
          <w:rPr>
            <w:rStyle w:val="Hyperlink"/>
          </w:rPr>
          <w:t>http://www.esf.bayern.de/imperia/md/content/stmas/esf/vorhaben.xlsx</w:t>
        </w:r>
      </w:hyperlink>
      <w:r w:rsidR="005B6875">
        <w:t xml:space="preserve"> </w:t>
      </w:r>
    </w:p>
    <w:p w:rsidR="00AF399C" w:rsidRDefault="00AF399C" w:rsidP="009D008C">
      <w:pPr>
        <w:pStyle w:val="LTAntwortRessortText"/>
        <w:rPr>
          <w:u w:val="single"/>
        </w:rPr>
      </w:pPr>
    </w:p>
    <w:p w:rsidR="009D008C" w:rsidRPr="005B6875" w:rsidRDefault="005B6875" w:rsidP="009D008C">
      <w:pPr>
        <w:pStyle w:val="LTAntwortRessortText"/>
        <w:rPr>
          <w:u w:val="single"/>
        </w:rPr>
      </w:pPr>
      <w:r w:rsidRPr="005B6875">
        <w:rPr>
          <w:u w:val="single"/>
        </w:rPr>
        <w:t>Zu</w:t>
      </w:r>
      <w:r w:rsidR="00A62B4C">
        <w:rPr>
          <w:u w:val="single"/>
        </w:rPr>
        <w:t xml:space="preserve"> den</w:t>
      </w:r>
      <w:r w:rsidRPr="005B6875">
        <w:rPr>
          <w:u w:val="single"/>
        </w:rPr>
        <w:t xml:space="preserve"> Teilfrage</w:t>
      </w:r>
      <w:r w:rsidR="00A62B4C">
        <w:rPr>
          <w:u w:val="single"/>
        </w:rPr>
        <w:t>n</w:t>
      </w:r>
      <w:r w:rsidRPr="005B6875">
        <w:rPr>
          <w:u w:val="single"/>
        </w:rPr>
        <w:t xml:space="preserve"> 2</w:t>
      </w:r>
      <w:r w:rsidR="00A62B4C">
        <w:rPr>
          <w:u w:val="single"/>
        </w:rPr>
        <w:t xml:space="preserve"> und 3</w:t>
      </w:r>
      <w:r w:rsidRPr="005B6875">
        <w:rPr>
          <w:u w:val="single"/>
        </w:rPr>
        <w:t>:</w:t>
      </w:r>
    </w:p>
    <w:p w:rsidR="009D008C" w:rsidRDefault="009D008C" w:rsidP="005B6875">
      <w:pPr>
        <w:pStyle w:val="LTAntwortRessortText"/>
        <w:spacing w:before="120"/>
      </w:pPr>
      <w:r>
        <w:t>Die EU-Kommission hat ihren Vorschlag für den Mehrjährigen Finanzrahmen und die EU-Strukturpolitik ab 2021 vorgelegt. Der Freistaat Bayern begrüßt sehr, dass der Kommissionsvorschlag weiterhin eine EU-Strukturpolitik für alle Regionen und damit auch für Bayern vorsieht. Hier hat sich der bayerische Einsatz im Vorfeld ausgezahlt. Der Freistaat Bayern setzt sich in den weiteren Ve</w:t>
      </w:r>
      <w:r w:rsidR="005B6875">
        <w:t>rhandlungen zwischen der Europä</w:t>
      </w:r>
      <w:r>
        <w:t>ischen Kommission, dem Rat und dem Europäis</w:t>
      </w:r>
      <w:r w:rsidR="005B6875">
        <w:t>chen Parlament für eine angemes</w:t>
      </w:r>
      <w:r>
        <w:t>sene Mittelausstattung, bedarfsgerechte Fördermöglichkeiten (z.</w:t>
      </w:r>
      <w:r w:rsidR="005B6875">
        <w:t xml:space="preserve"> </w:t>
      </w:r>
      <w:r>
        <w:t>B. Beibehaltung der einzelbetrieblichen Investitionsförderung) und eine</w:t>
      </w:r>
      <w:r w:rsidR="005B6875">
        <w:t xml:space="preserve"> möglichst schlanke Verwaltungs</w:t>
      </w:r>
      <w:r>
        <w:t xml:space="preserve">abwicklung ein. </w:t>
      </w:r>
      <w:r w:rsidRPr="00A62B4C">
        <w:rPr>
          <w:b/>
        </w:rPr>
        <w:t>Das genaue Mittelvolumen für Bayern steht noch nicht fest, da neben weiteren Verhandlungen auf EU-Ebene insbesondere noch</w:t>
      </w:r>
      <w:r w:rsidR="001C0177" w:rsidRPr="00A62B4C">
        <w:rPr>
          <w:b/>
        </w:rPr>
        <w:t xml:space="preserve"> die innerdeutsche Mittel</w:t>
      </w:r>
      <w:r w:rsidRPr="00A62B4C">
        <w:rPr>
          <w:b/>
        </w:rPr>
        <w:t>verteilung aussteht.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0"/>
        <w:gridCol w:w="5826"/>
      </w:tblGrid>
      <w:tr w:rsidR="009D008C" w:rsidTr="009D008C">
        <w:tc>
          <w:tcPr>
            <w:tcW w:w="2050" w:type="dxa"/>
            <w:shd w:val="clear" w:color="auto" w:fill="auto"/>
          </w:tcPr>
          <w:p w:rsidR="009D008C" w:rsidRPr="009D008C" w:rsidRDefault="009D008C" w:rsidP="009D008C">
            <w:pPr>
              <w:pStyle w:val="LTAnfrageIni1"/>
            </w:pPr>
            <w:r w:rsidRPr="009D008C">
              <w:t>Abgeordneter</w:t>
            </w:r>
            <w:r w:rsidRPr="009D008C">
              <w:br/>
            </w:r>
            <w:r w:rsidRPr="009D008C">
              <w:rPr>
                <w:b/>
              </w:rPr>
              <w:t>Martin</w:t>
            </w:r>
            <w:r w:rsidRPr="009D008C">
              <w:rPr>
                <w:b/>
              </w:rPr>
              <w:br/>
              <w:t>Stümpfig</w:t>
            </w:r>
            <w:r w:rsidRPr="009D008C">
              <w:rPr>
                <w:b/>
              </w:rPr>
              <w:br/>
            </w:r>
            <w:r w:rsidRPr="009D008C">
              <w:t>(BÜNDNIS 90/DIE GRÜNEN)</w:t>
            </w:r>
            <w:r>
              <w:fldChar w:fldCharType="begin"/>
            </w:r>
            <w:r>
              <w:instrText xml:space="preserve"> XE </w:instrText>
            </w:r>
            <w:r w:rsidR="006321CE">
              <w:instrText>„</w:instrText>
            </w:r>
            <w:r>
              <w:instrText xml:space="preserve">Stümpfig, Martin (BÜNDNIS 90/DIE GRÜNEN):EEG-Novelle Photovoltaik </w:instrText>
            </w:r>
            <w:r>
              <w:fldChar w:fldCharType="end"/>
            </w:r>
            <w:r>
              <w:fldChar w:fldCharType="begin"/>
            </w:r>
            <w:r>
              <w:instrText xml:space="preserve"> TC </w:instrText>
            </w:r>
            <w:r w:rsidR="006321CE">
              <w:instrText>„</w:instrText>
            </w:r>
            <w:r>
              <w:instrText>Stümpfig, Martin (BÜNDNIS 90/DIE GRÜNEN)</w:instrText>
            </w:r>
            <w:r>
              <w:br/>
              <w:instrText xml:space="preserve">EEG-Novelle Photovoltaik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Ich frage die Staatsregierung, wie bewertet sie die geplanten Sonderkürzungen der EEG-Vergütung (EEG = Erneuerbare-Energien-Gesetz) für Photovoltaik-Dachanlagen mit einer Leistung von 40 bis 749 Kilowatt, wird sie bei der entsprechenden Beratung am 14.12.2018 im Bu</w:t>
            </w:r>
            <w:r w:rsidR="001C0177">
              <w:t xml:space="preserve">ndesrat für das Aufrufen des Vermittlungsausschusses </w:t>
            </w:r>
            <w:r>
              <w:t>eintreten</w:t>
            </w:r>
            <w:r w:rsidR="006321CE">
              <w:t xml:space="preserve"> </w:t>
            </w:r>
            <w:r>
              <w:t>und was plant die Staatsregierung, um sowohl den Photovoltaikausbau als auch Mieterstromprojekte voranzubringen?</w:t>
            </w:r>
            <w:r w:rsidR="006321CE">
              <w:t xml:space="preserve"> </w:t>
            </w:r>
          </w:p>
          <w:p w:rsidR="009D008C" w:rsidRDefault="006321CE" w:rsidP="009D008C">
            <w:pPr>
              <w:pStyle w:val="LTAnfrageText"/>
            </w:pPr>
            <w:r>
              <w:t xml:space="preserve"> </w:t>
            </w:r>
          </w:p>
          <w:p w:rsidR="009D008C" w:rsidRDefault="009D008C" w:rsidP="009D008C">
            <w:pPr>
              <w:pStyle w:val="LTAnfrageText"/>
            </w:pPr>
          </w:p>
        </w:tc>
      </w:tr>
    </w:tbl>
    <w:p w:rsidR="009D008C" w:rsidRDefault="009D008C" w:rsidP="009D008C">
      <w:pPr>
        <w:pStyle w:val="LTUeberschrAntwortRessort"/>
      </w:pPr>
      <w:r>
        <w:t>Antwort des Staatsministeriums für Wirtschaft, Landesentwicklung und Energie</w:t>
      </w:r>
    </w:p>
    <w:p w:rsidR="009D008C" w:rsidRDefault="009D008C" w:rsidP="009D008C">
      <w:pPr>
        <w:pStyle w:val="LTAntwortRessortText"/>
      </w:pPr>
      <w:r>
        <w:t>Die Staatsregierung sieht die relativ starke Absenkung der Vergütungssätze für sämtliche Photovoltaik-Anlagen über 40 kWp bis einschließlich 750 kWp kritisch. Im Bundesrat hat Bay</w:t>
      </w:r>
      <w:r w:rsidR="001C0177">
        <w:t>ern deshalb gefordert, den vons</w:t>
      </w:r>
      <w:r>
        <w:t>eiten des Beihilferechts gegebenen Spielraum maximal auszuschöpfen und soweit wie möglich eine weitergehende Staffelung der Fördersätze in Abhängigkeit von der Anlagengröße vorzunehmen. Ein entsprechender Antrag Bayerns hat bei den Ländern eine Mehrheit gefunden. Der Bundestag hat leichte Verbesserungen in Form einer zeitlichen Streckung der Kürzungen vorgenommen, allerdings an der Absenkung der Fördersätze festgehalten.</w:t>
      </w:r>
    </w:p>
    <w:p w:rsidR="009D008C" w:rsidRDefault="009D008C" w:rsidP="009D008C">
      <w:pPr>
        <w:pStyle w:val="LTAntwortRessortText"/>
      </w:pPr>
      <w:r>
        <w:t>Die Staatsregierung beabsichtigt nicht, im Bundesrat für die Anrufung des Vermittlungsausschusses einzutreten.</w:t>
      </w:r>
    </w:p>
    <w:p w:rsidR="009D008C" w:rsidRDefault="009D008C" w:rsidP="009D008C">
      <w:pPr>
        <w:pStyle w:val="LTAntwortRessortText"/>
      </w:pPr>
      <w:r>
        <w:t>Photovoltaik hat für die Energieversorgung in Bayern große Bedeutung. Eine wichtige Forderung ist daher die Abschaffung des 52 GW-Deckels. Im Gesetzgebungsverfahren zum Energiesammelgesetz hat Bayern einen entsprechenden Antrag gestellt, der bei den Ländern eine Mehrheit gefunden hat. Die Staatsregierung wird sich weiterhin für die Streichung des Deckels stark machen.</w:t>
      </w:r>
    </w:p>
    <w:p w:rsidR="009D008C" w:rsidRDefault="009D008C" w:rsidP="009D008C">
      <w:pPr>
        <w:pStyle w:val="LTAntwortRessortText"/>
      </w:pPr>
      <w:r>
        <w:t xml:space="preserve">Auf Grundlage des am </w:t>
      </w:r>
      <w:r w:rsidR="001C0177">
        <w:t>13.12.</w:t>
      </w:r>
      <w:r>
        <w:t>2018 im Staatsministerium für Wirtschaft, Landesentwicklung und Energie stattfindenden Energiegipfels werden Eckpunkte für ein bayerisches Konzept entwickelt, wie die Energieversorgung so dezentral wie möglich, sicher und bezahlbar umgesetzt werden kann und dabei gleichzeitig Chancen für mehr Wertschöpfung vor Ort in den bayerischen Regionen erschlossen werden. Ein wesentliches Thema wird hier auch der Ausbau von Photovoltaik sein.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9"/>
        <w:gridCol w:w="5817"/>
      </w:tblGrid>
      <w:tr w:rsidR="009D008C" w:rsidTr="009D008C">
        <w:tc>
          <w:tcPr>
            <w:tcW w:w="2050" w:type="dxa"/>
            <w:shd w:val="clear" w:color="auto" w:fill="auto"/>
          </w:tcPr>
          <w:p w:rsidR="009D008C" w:rsidRPr="009D008C" w:rsidRDefault="009D008C" w:rsidP="009D008C">
            <w:pPr>
              <w:pStyle w:val="LTAnfrageIni1"/>
            </w:pPr>
            <w:r w:rsidRPr="009D008C">
              <w:t>Abgeordneter</w:t>
            </w:r>
            <w:r w:rsidRPr="009D008C">
              <w:br/>
            </w:r>
            <w:r w:rsidRPr="009D008C">
              <w:rPr>
                <w:b/>
              </w:rPr>
              <w:t>Christian</w:t>
            </w:r>
            <w:r w:rsidRPr="009D008C">
              <w:rPr>
                <w:b/>
              </w:rPr>
              <w:br/>
              <w:t>Zwanziger</w:t>
            </w:r>
            <w:r w:rsidRPr="009D008C">
              <w:rPr>
                <w:b/>
              </w:rPr>
              <w:br/>
            </w:r>
            <w:r w:rsidRPr="009D008C">
              <w:t>(BÜNDNIS 90/DIE GRÜNEN)</w:t>
            </w:r>
            <w:r>
              <w:fldChar w:fldCharType="begin"/>
            </w:r>
            <w:r>
              <w:instrText xml:space="preserve"> XE </w:instrText>
            </w:r>
            <w:r w:rsidR="006321CE">
              <w:instrText>„</w:instrText>
            </w:r>
            <w:r>
              <w:instrText xml:space="preserve">Zwanziger, Christian (BÜNDNIS 90/DIE GRÜNEN):Novellierung des Landesentwicklungsprogramms </w:instrText>
            </w:r>
            <w:r>
              <w:fldChar w:fldCharType="end"/>
            </w:r>
            <w:r>
              <w:fldChar w:fldCharType="begin"/>
            </w:r>
            <w:r>
              <w:instrText xml:space="preserve"> TC </w:instrText>
            </w:r>
            <w:r w:rsidR="006321CE">
              <w:instrText>„</w:instrText>
            </w:r>
            <w:r>
              <w:instrText>Zwanziger, Christian (BÜNDNIS 90/DIE GRÜNEN)</w:instrText>
            </w:r>
            <w:r>
              <w:br/>
              <w:instrText xml:space="preserve">Novellierung des Landesentwicklungsprogramms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 xml:space="preserve">Ich frage die Staatsregierung, in welchen Bereichen sieht sie für eine umfassende Fortschreibung des Landesentwicklungsprogramms in dieser Legislaturperiode Handlungsbedarf und wer wird in die im Koalitionsvertrag bis 2020 angekündigte Evaluierung des Anbindegebots konkret zu Rat gezogen und wie bewertet sie die Initiative </w:t>
            </w:r>
            <w:r w:rsidR="006321CE">
              <w:t>„</w:t>
            </w:r>
            <w:r>
              <w:t>Das bessere LEP für Bayern</w:t>
            </w:r>
            <w:r w:rsidR="006321CE">
              <w:t>“</w:t>
            </w:r>
            <w:r>
              <w:t>?</w:t>
            </w:r>
          </w:p>
          <w:p w:rsidR="009D008C" w:rsidRDefault="009D008C" w:rsidP="009D008C">
            <w:pPr>
              <w:pStyle w:val="LTAnfrageText"/>
            </w:pPr>
          </w:p>
        </w:tc>
      </w:tr>
    </w:tbl>
    <w:p w:rsidR="009D008C" w:rsidRDefault="009D008C" w:rsidP="009D008C">
      <w:pPr>
        <w:pStyle w:val="LTUeberschrAntwortRessort"/>
      </w:pPr>
      <w:r>
        <w:t>Antwort des Staatsministeriums für Wirtschaft, Landesentwicklung und Energie</w:t>
      </w:r>
    </w:p>
    <w:p w:rsidR="009D008C" w:rsidRDefault="009D008C" w:rsidP="009D008C">
      <w:pPr>
        <w:pStyle w:val="LTAntwortRessortText"/>
      </w:pPr>
      <w:r>
        <w:t xml:space="preserve">Das Landesentwicklungsprogramm Bayern (LEP) wurde im Jahr 2013 einer Gesamtfortschreibung unterzogen. Im Jahr 2018 traten einzelne Änderungen in Kraft. Das LEP ist gemäß Art. 14 Abs. 6 </w:t>
      </w:r>
      <w:r w:rsidR="00A62B4C">
        <w:t xml:space="preserve">Bayerisches Landesplanungsgesetz </w:t>
      </w:r>
      <w:r>
        <w:t>bei Bedarf fortzuschreiben. In welchen Themenfeldern über eine Änderung des Alpenplans im Umgriff des Riedberger Horns hinaus in dieser Legislaturperiode Bedarf besteht, wird die Staatsregierung prüfen.</w:t>
      </w:r>
    </w:p>
    <w:p w:rsidR="009D008C" w:rsidRDefault="009D008C" w:rsidP="009D008C">
      <w:pPr>
        <w:pStyle w:val="LTAntwortRessortText"/>
      </w:pPr>
      <w:r>
        <w:t>Die Evaluierung der Wirkung der neuen Ausnahmen vom Anbindegebot ist Aufgabe der Staatsregierung. Über die Hinzuziehung Dritter ist derzeit keine Entscheidung getroffen.</w:t>
      </w:r>
    </w:p>
    <w:p w:rsidR="009D008C" w:rsidRDefault="009D008C" w:rsidP="009D008C">
      <w:pPr>
        <w:pStyle w:val="LTAntwortRessortText"/>
      </w:pPr>
      <w:r>
        <w:t xml:space="preserve">Die Initiative </w:t>
      </w:r>
      <w:r w:rsidR="006321CE">
        <w:t>„</w:t>
      </w:r>
      <w:r>
        <w:t>Das bessere LEP für Bayern</w:t>
      </w:r>
      <w:r w:rsidR="006321CE">
        <w:t>“</w:t>
      </w:r>
      <w:r>
        <w:t xml:space="preserve"> ist der Staatsregierung bekannt. Die Vorschläge werden zu gegebener Zeit geprüft und </w:t>
      </w:r>
      <w:r w:rsidR="000756E7">
        <w:t>–</w:t>
      </w:r>
      <w:r>
        <w:t xml:space="preserve"> wo möglich </w:t>
      </w:r>
      <w:r w:rsidR="000756E7">
        <w:t>–</w:t>
      </w:r>
      <w:r>
        <w:t xml:space="preserve"> in eine kommende LEP-Fortschreibung einbezogen.</w:t>
      </w:r>
    </w:p>
    <w:p w:rsidR="000756E7" w:rsidRDefault="000756E7">
      <w:pPr>
        <w:rPr>
          <w:rFonts w:cs="Arial"/>
          <w:b/>
          <w:sz w:val="22"/>
          <w:szCs w:val="22"/>
        </w:rPr>
      </w:pPr>
      <w:r>
        <w:br w:type="page"/>
      </w:r>
    </w:p>
    <w:p w:rsidR="009D008C" w:rsidRDefault="009D008C" w:rsidP="009D008C">
      <w:pPr>
        <w:pStyle w:val="LTUeberschrRessort"/>
      </w:pPr>
      <w:r>
        <w:t>Geschäftsbereich des Staatsministeriums für Umwelt und Verbraucherschutz</w:t>
      </w:r>
      <w:r>
        <w:fldChar w:fldCharType="begin"/>
      </w:r>
      <w:r>
        <w:instrText xml:space="preserve"> TC </w:instrText>
      </w:r>
      <w:r w:rsidR="006321CE">
        <w:instrText>„</w:instrText>
      </w:r>
      <w:r>
        <w:instrText>Geschäftsbereich des Staatsministeriums für Umwelt und Verbraucherschutz</w:instrText>
      </w:r>
      <w:r w:rsidR="006321CE">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2"/>
        <w:gridCol w:w="5844"/>
      </w:tblGrid>
      <w:tr w:rsidR="009D008C" w:rsidTr="009D008C">
        <w:tc>
          <w:tcPr>
            <w:tcW w:w="2050" w:type="dxa"/>
            <w:shd w:val="clear" w:color="auto" w:fill="auto"/>
          </w:tcPr>
          <w:p w:rsidR="009D008C" w:rsidRPr="009D008C" w:rsidRDefault="009D008C" w:rsidP="009D008C">
            <w:pPr>
              <w:pStyle w:val="LTAnfrageIni1"/>
            </w:pPr>
            <w:r w:rsidRPr="009D008C">
              <w:t>Abgeordnete</w:t>
            </w:r>
            <w:r w:rsidRPr="009D008C">
              <w:br/>
            </w:r>
            <w:r w:rsidRPr="009D008C">
              <w:rPr>
                <w:b/>
              </w:rPr>
              <w:t>Inge</w:t>
            </w:r>
            <w:r w:rsidRPr="009D008C">
              <w:rPr>
                <w:b/>
              </w:rPr>
              <w:br/>
              <w:t>Aures</w:t>
            </w:r>
            <w:r w:rsidRPr="009D008C">
              <w:rPr>
                <w:b/>
              </w:rPr>
              <w:br/>
            </w:r>
            <w:r w:rsidRPr="009D008C">
              <w:t>(SPD)</w:t>
            </w:r>
            <w:r>
              <w:fldChar w:fldCharType="begin"/>
            </w:r>
            <w:r>
              <w:instrText xml:space="preserve"> XE </w:instrText>
            </w:r>
            <w:r w:rsidR="006321CE">
              <w:instrText>„</w:instrText>
            </w:r>
            <w:r>
              <w:instrText xml:space="preserve">Aures, Inge (SPD):Zukunft der Kontrollbehörde für Lebensmittelsicherheit und Veterinärwesen (KBLV) </w:instrText>
            </w:r>
            <w:r>
              <w:fldChar w:fldCharType="end"/>
            </w:r>
            <w:r>
              <w:fldChar w:fldCharType="begin"/>
            </w:r>
            <w:r>
              <w:instrText xml:space="preserve"> TC </w:instrText>
            </w:r>
            <w:r w:rsidR="006321CE">
              <w:instrText>„</w:instrText>
            </w:r>
            <w:r>
              <w:instrText>Aures, Inge (SPD)</w:instrText>
            </w:r>
            <w:r>
              <w:br/>
              <w:instrText xml:space="preserve">Zukunft der Kontrollbehörde für Lebensmittelsicherheit und Veterinärwesen (KBLV)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Nachdem das Verwaltungsgericht Regensburg Bescheide der Kontrollbehörde für Lebensmittelsicherheit und Veterinärwesen (KBLV) aus Kulmbach, mehrere Lebensmittelbetriebe zu kontrollieren, als rechtswidrig zurückgewiesen hat, frage ich die Staatsregierung, was gedenkt sie zu unternehmen, damit die KBLV die für Kontrollmaßnahmen notwendige Rechtsgrundlage erhält, welcher Zeitrahmen ist für die Verwirklichung der Maßnahmen erforderlich und werden die sich gegen Kontrollen wehrenden Betriebe aktuell überhaupt einer Kontrolle unterzogen?</w:t>
            </w:r>
          </w:p>
          <w:p w:rsidR="009D008C" w:rsidRDefault="009D008C" w:rsidP="009D008C">
            <w:pPr>
              <w:pStyle w:val="LTAnfrageText"/>
            </w:pPr>
          </w:p>
        </w:tc>
      </w:tr>
    </w:tbl>
    <w:p w:rsidR="009D008C" w:rsidRDefault="009D008C" w:rsidP="009D008C">
      <w:pPr>
        <w:pStyle w:val="LTUeberschrAntwortRessort"/>
      </w:pPr>
      <w:r>
        <w:t>Antwort des Staatsministeriums für Umwelt und Verbraucherschutz</w:t>
      </w:r>
    </w:p>
    <w:p w:rsidR="009D008C" w:rsidRDefault="009D008C" w:rsidP="009D008C">
      <w:pPr>
        <w:pStyle w:val="LTAntwortRessortText"/>
      </w:pPr>
      <w:r>
        <w:t xml:space="preserve">Die Urteile des Verwaltungsgerichts Regensburg entfalten Wirkung allein in Bezug auf die sechs klagenden Betriebe. Eine Kontrolllücke entsteht nicht, da die Kontrollzuständigkeit für die sechs Betriebe bis auf Weiteres bei den örtlich zuständigen Kreisverwaltungsbehörden verbleibt. Die anderen Betriebe, die ebenfalls einen Zuständigkeitsfeststellungsbescheid der </w:t>
      </w:r>
      <w:r w:rsidR="00C112F8">
        <w:t>Kontrollbehörde für Lebensmittelsicherheit und Veterinärwesen (</w:t>
      </w:r>
      <w:r>
        <w:t>KBLV</w:t>
      </w:r>
      <w:r w:rsidR="00C112F8">
        <w:t>)</w:t>
      </w:r>
      <w:r>
        <w:t xml:space="preserve"> erhalten, aber nicht angefochten haben, werden weiterhin von der KBLV kontrolliert. Aufgrund der Bestandskraft hat die Entscheidung des </w:t>
      </w:r>
      <w:r w:rsidR="00C112F8" w:rsidRPr="00AB4768">
        <w:rPr>
          <w:u w:val="single"/>
        </w:rPr>
        <w:t>Verwaltungsgerichts (</w:t>
      </w:r>
      <w:r w:rsidRPr="00AB4768">
        <w:rPr>
          <w:u w:val="single"/>
        </w:rPr>
        <w:t>VG</w:t>
      </w:r>
      <w:r w:rsidR="00C112F8" w:rsidRPr="00AB4768">
        <w:rPr>
          <w:u w:val="single"/>
        </w:rPr>
        <w:t>)</w:t>
      </w:r>
      <w:r w:rsidRPr="00AB4768">
        <w:rPr>
          <w:u w:val="single"/>
        </w:rPr>
        <w:t xml:space="preserve"> Regensburg</w:t>
      </w:r>
      <w:r>
        <w:t xml:space="preserve"> keine Auswirkung auf die anderen Zuständigkeitsbescheide und die Kontrollpraxis der KBLV.</w:t>
      </w:r>
    </w:p>
    <w:p w:rsidR="009D008C" w:rsidRDefault="009D008C" w:rsidP="009D008C">
      <w:pPr>
        <w:pStyle w:val="LTAntwortRessortText"/>
      </w:pPr>
      <w:r>
        <w:t xml:space="preserve">Im Übrigen ist das </w:t>
      </w:r>
      <w:r w:rsidRPr="00AB4768">
        <w:rPr>
          <w:u w:val="single"/>
        </w:rPr>
        <w:t>VG Würzburg</w:t>
      </w:r>
      <w:r>
        <w:t xml:space="preserve"> kürzlich in einem anderen Fall zum gegenteiligen Ergebnis gekommen und hat die Klagen von Betrieben abgewiesen.</w:t>
      </w:r>
    </w:p>
    <w:p w:rsidR="009D008C" w:rsidRDefault="009D008C" w:rsidP="009D008C">
      <w:pPr>
        <w:pStyle w:val="LTAntwortRessortText"/>
      </w:pPr>
      <w:r>
        <w:t>Gegen die Urteile des VG Regensburg wurde Berufung eingelegt.</w:t>
      </w:r>
    </w:p>
    <w:p w:rsidR="00AF399C" w:rsidRDefault="00AF399C" w:rsidP="009D008C">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3"/>
        <w:gridCol w:w="5823"/>
      </w:tblGrid>
      <w:tr w:rsidR="009D008C" w:rsidTr="009D008C">
        <w:tc>
          <w:tcPr>
            <w:tcW w:w="2050" w:type="dxa"/>
            <w:shd w:val="clear" w:color="auto" w:fill="auto"/>
          </w:tcPr>
          <w:p w:rsidR="009D008C" w:rsidRPr="009D008C" w:rsidRDefault="009D008C" w:rsidP="009D008C">
            <w:pPr>
              <w:pStyle w:val="LTAnfrageIni1"/>
            </w:pPr>
            <w:r w:rsidRPr="009D008C">
              <w:t>Abgeordneter</w:t>
            </w:r>
            <w:r w:rsidRPr="009D008C">
              <w:br/>
            </w:r>
            <w:r w:rsidRPr="009D008C">
              <w:rPr>
                <w:b/>
              </w:rPr>
              <w:t>Maximilian</w:t>
            </w:r>
            <w:r w:rsidRPr="009D008C">
              <w:rPr>
                <w:b/>
              </w:rPr>
              <w:br/>
              <w:t>Deisenhofer</w:t>
            </w:r>
            <w:r w:rsidRPr="009D008C">
              <w:rPr>
                <w:b/>
              </w:rPr>
              <w:br/>
            </w:r>
            <w:r w:rsidRPr="009D008C">
              <w:t>(BÜNDNIS 90/DIE GRÜNEN)</w:t>
            </w:r>
            <w:r>
              <w:fldChar w:fldCharType="begin"/>
            </w:r>
            <w:r>
              <w:instrText xml:space="preserve"> XE </w:instrText>
            </w:r>
            <w:r w:rsidR="006321CE">
              <w:instrText>„</w:instrText>
            </w:r>
            <w:r>
              <w:instrText xml:space="preserve">Deisenhofer, Maximilian (BÜNDNIS 90/DIE GRÜNEN):Brennelementeverschiebung in Gundremmingen </w:instrText>
            </w:r>
            <w:r>
              <w:fldChar w:fldCharType="end"/>
            </w:r>
            <w:r>
              <w:fldChar w:fldCharType="begin"/>
            </w:r>
            <w:r>
              <w:instrText xml:space="preserve"> TC </w:instrText>
            </w:r>
            <w:r w:rsidR="006321CE">
              <w:instrText>„</w:instrText>
            </w:r>
            <w:r>
              <w:instrText>Deisenhofer, Maximilian (BÜNDNIS 90/DIE GRÜNEN)</w:instrText>
            </w:r>
            <w:r>
              <w:br/>
              <w:instrText xml:space="preserve">Brennelementeverschiebung in Gundremmingen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Zu Gerüchten, wonach teilabgebrannte Brennelemente aus dem Block B des Atomkraftwerks Gundremmingen mittels Castorbehältern zum Block C transportiert werden sollen</w:t>
            </w:r>
            <w:r w:rsidR="00AB4768">
              <w:t>,</w:t>
            </w:r>
            <w:r>
              <w:t xml:space="preserve"> um sie dort wieder einzusetzen, frage ich die Staatsregierung, wann dieses Vorhaben genehmigt wurde, wann die Bevölkerung darüber informiert wurde und ob es nach Kenntnis der Staatsregierung ähnliche Transporte teilabgebrannter Brennelemente von einem Atomkraftwerk zum anderen bereits öfters in Deutschland gegeben hat?</w:t>
            </w:r>
          </w:p>
          <w:p w:rsidR="009D008C" w:rsidRDefault="009D008C" w:rsidP="009D008C">
            <w:pPr>
              <w:pStyle w:val="LTAnfrageText"/>
            </w:pPr>
          </w:p>
        </w:tc>
      </w:tr>
    </w:tbl>
    <w:p w:rsidR="009D008C" w:rsidRDefault="009D008C" w:rsidP="009D008C">
      <w:pPr>
        <w:pStyle w:val="LTUeberschrAntwortRessort"/>
      </w:pPr>
      <w:r>
        <w:t>Antwort des Staatsministeriums für Umwelt und Verbraucherschutz</w:t>
      </w:r>
    </w:p>
    <w:p w:rsidR="009D008C" w:rsidRDefault="009D008C" w:rsidP="009D008C">
      <w:pPr>
        <w:pStyle w:val="LTAntwortRessortText"/>
      </w:pPr>
      <w:r>
        <w:t xml:space="preserve">Den von der Kernkraftwerk Gundremmingen GmbH (KGG) beantragten Quertransporten von teilabgebrannten Brennelementen (BE) von Block B nach Block C mittels CASTOR-Behälter wurde mit Schreiben des </w:t>
      </w:r>
      <w:r w:rsidR="00843289">
        <w:t xml:space="preserve">Staatsministeriums für Umwelt und Verbraucherschutz </w:t>
      </w:r>
      <w:r>
        <w:t>vom 12.11.2018 aufsichtlich zugestimmt. Die Sicherheit hat bei derartigen Prüfungen oberste Priorität. Bei den Quertransporten handelt es sich um innerbetriebliche Transporte.</w:t>
      </w:r>
    </w:p>
    <w:p w:rsidR="009D008C" w:rsidRDefault="009D008C" w:rsidP="009D008C">
      <w:pPr>
        <w:pStyle w:val="LTAntwortRessortText"/>
      </w:pPr>
      <w:r>
        <w:t>Der weitere Einsatz der teilabgebrannten BE des Blocks B im Block C reduziert den Einsatz frischer BE.</w:t>
      </w:r>
    </w:p>
    <w:p w:rsidR="009D008C" w:rsidRDefault="009D008C" w:rsidP="009D008C">
      <w:pPr>
        <w:pStyle w:val="LTAntwortRessortText"/>
      </w:pPr>
      <w:r>
        <w:t>Quertransporte von bestrahlten Brennelementen wurden auch schon an anderen deutschen Kernkraftwerksstandorten durchgeführt.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7"/>
        <w:gridCol w:w="5849"/>
      </w:tblGrid>
      <w:tr w:rsidR="009D008C" w:rsidTr="009D008C">
        <w:tc>
          <w:tcPr>
            <w:tcW w:w="2050" w:type="dxa"/>
            <w:shd w:val="clear" w:color="auto" w:fill="auto"/>
          </w:tcPr>
          <w:p w:rsidR="009D008C" w:rsidRPr="009D008C" w:rsidRDefault="009D008C" w:rsidP="009D008C">
            <w:pPr>
              <w:pStyle w:val="LTAnfrageIni1"/>
            </w:pPr>
            <w:r w:rsidRPr="009D008C">
              <w:t>Abgeordneter</w:t>
            </w:r>
            <w:r w:rsidRPr="009D008C">
              <w:br/>
            </w:r>
            <w:r w:rsidRPr="009D008C">
              <w:rPr>
                <w:b/>
              </w:rPr>
              <w:t>Christian</w:t>
            </w:r>
            <w:r w:rsidRPr="009D008C">
              <w:rPr>
                <w:b/>
              </w:rPr>
              <w:br/>
              <w:t>Flisek</w:t>
            </w:r>
            <w:r w:rsidRPr="009D008C">
              <w:rPr>
                <w:b/>
              </w:rPr>
              <w:br/>
            </w:r>
            <w:r w:rsidRPr="009D008C">
              <w:t>(SPD)</w:t>
            </w:r>
            <w:r>
              <w:fldChar w:fldCharType="begin"/>
            </w:r>
            <w:r>
              <w:instrText xml:space="preserve"> XE </w:instrText>
            </w:r>
            <w:r w:rsidR="006321CE">
              <w:instrText>„</w:instrText>
            </w:r>
            <w:r>
              <w:instrText xml:space="preserve">Flisek, Christian (SPD):Auswirkung der geplanten Streichung der Polder Bertoldsheim und Eltheim/Wörthof laut Koalitionsvertrag </w:instrText>
            </w:r>
            <w:r>
              <w:fldChar w:fldCharType="end"/>
            </w:r>
            <w:r>
              <w:fldChar w:fldCharType="begin"/>
            </w:r>
            <w:r>
              <w:instrText xml:space="preserve"> TC </w:instrText>
            </w:r>
            <w:r w:rsidR="006321CE">
              <w:instrText>„</w:instrText>
            </w:r>
            <w:r>
              <w:instrText>Flisek, Christian (SPD)</w:instrText>
            </w:r>
            <w:r>
              <w:br/>
              <w:instrText xml:space="preserve">Auswirkung der geplanten Streichung der Polder Bertoldsheim und Eltheim/Wörthof laut Koalitionsvertrag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Ich frage die Staatsregierung, zu welchen zeitlichen Verzögerungen wird es beim Donauausbau kommen, wenn die über die</w:t>
            </w:r>
            <w:r w:rsidR="006321CE">
              <w:t xml:space="preserve"> </w:t>
            </w:r>
            <w:r>
              <w:t>Bemessungsgrundlage HQ100 hinausgehenden Umplanungen</w:t>
            </w:r>
            <w:r w:rsidR="006321CE">
              <w:t xml:space="preserve"> </w:t>
            </w:r>
            <w:r>
              <w:t>hinsichtlich des Hochwasserschutzes gemäß dem Koalitionsvertrag von</w:t>
            </w:r>
            <w:r w:rsidR="006321CE">
              <w:t xml:space="preserve"> </w:t>
            </w:r>
            <w:r>
              <w:t>CSU und FREIEN WÄHLERN, insbesondere die dort geplante Streichung der Flutpolder in Bertoldsheim und Elt</w:t>
            </w:r>
            <w:r w:rsidR="00C112F8">
              <w:t>-</w:t>
            </w:r>
            <w:r>
              <w:t>heim/Wörthof umgesetzt werden, mit welchen Mehrkosten muss bei diesen neuen Planungen gerechnet werden und welche Kosten wurden für die bisherige Planung ausgegeben bzw. veranschlagt?</w:t>
            </w:r>
          </w:p>
          <w:p w:rsidR="009D008C" w:rsidRDefault="009D008C" w:rsidP="009D008C">
            <w:pPr>
              <w:pStyle w:val="LTAnfrageText"/>
            </w:pPr>
          </w:p>
        </w:tc>
      </w:tr>
    </w:tbl>
    <w:p w:rsidR="009D008C" w:rsidRDefault="009D008C" w:rsidP="00236A45">
      <w:pPr>
        <w:pStyle w:val="LTUeberschrAntwortRessort"/>
        <w:spacing w:before="0"/>
      </w:pPr>
      <w:r>
        <w:t>Antwort des Staatsministeriums für Umwelt und Verbraucherschutz</w:t>
      </w:r>
    </w:p>
    <w:p w:rsidR="009D008C" w:rsidRDefault="009D008C" w:rsidP="009D008C">
      <w:pPr>
        <w:pStyle w:val="LTAntwortRessortText"/>
      </w:pPr>
      <w:r>
        <w:t xml:space="preserve">Der Hochwasserschutz, der im Zuge des Donauausbaus zwischen Straubing und Vilshofen </w:t>
      </w:r>
      <w:r w:rsidR="00C112F8">
        <w:t>realisiert wird, ist auf ein HQ</w:t>
      </w:r>
      <w:r>
        <w:t>100 bemessen. Daher wird es durch die Aussagen im Koalitionsvertrag zu den gesteuerten Flutpoldern an der Donau zu keinen zeitlichen Verzögerungen beim Hochwasserschutz an der Donau zwischen Straubing und Vilshofen kommen. Da die Planungen für den Hochwasserschutz an der Donau zwischen Str</w:t>
      </w:r>
      <w:r w:rsidR="00C112F8">
        <w:t>aubing und Vilshofen für ein HQ</w:t>
      </w:r>
      <w:r>
        <w:t>100 nicht angepasst werden müssen, entstehen auch keine Mehrkosten. Für den Hochwasserschutz an der Donau zwischen Straubing und Vilshofen wurden von 1998 bis Ende 2018 rund 420</w:t>
      </w:r>
      <w:r w:rsidR="00C112F8">
        <w:t> </w:t>
      </w:r>
      <w:r>
        <w:t xml:space="preserve">Mio. </w:t>
      </w:r>
      <w:r w:rsidR="006321CE">
        <w:t>Euro</w:t>
      </w:r>
      <w:r>
        <w:t xml:space="preserve"> investiert, die Gesamtkosten für den Donauausbau mit Hochwasserschutz werden mit rund 1 Mrd. </w:t>
      </w:r>
      <w:r w:rsidR="006321CE">
        <w:t>Euro</w:t>
      </w:r>
      <w:r>
        <w:t xml:space="preserve"> veranschlagt.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8"/>
        <w:gridCol w:w="5828"/>
      </w:tblGrid>
      <w:tr w:rsidR="009D008C" w:rsidTr="009D008C">
        <w:tc>
          <w:tcPr>
            <w:tcW w:w="2050" w:type="dxa"/>
            <w:shd w:val="clear" w:color="auto" w:fill="auto"/>
          </w:tcPr>
          <w:p w:rsidR="009D008C" w:rsidRPr="009D008C" w:rsidRDefault="009D008C" w:rsidP="009D008C">
            <w:pPr>
              <w:pStyle w:val="LTAnfrageIni1"/>
            </w:pPr>
            <w:r w:rsidRPr="009D008C">
              <w:t>Abgeordneter</w:t>
            </w:r>
            <w:r w:rsidRPr="009D008C">
              <w:br/>
            </w:r>
            <w:r w:rsidRPr="009D008C">
              <w:rPr>
                <w:b/>
              </w:rPr>
              <w:t>Patrick</w:t>
            </w:r>
            <w:r w:rsidRPr="009D008C">
              <w:rPr>
                <w:b/>
              </w:rPr>
              <w:br/>
              <w:t>Friedl</w:t>
            </w:r>
            <w:r w:rsidRPr="009D008C">
              <w:rPr>
                <w:b/>
              </w:rPr>
              <w:br/>
            </w:r>
            <w:r w:rsidRPr="009D008C">
              <w:t>(BÜNDNIS 90/DIE GRÜNEN)</w:t>
            </w:r>
            <w:r>
              <w:fldChar w:fldCharType="begin"/>
            </w:r>
            <w:r>
              <w:instrText xml:space="preserve"> XE </w:instrText>
            </w:r>
            <w:r w:rsidR="006321CE">
              <w:instrText>„</w:instrText>
            </w:r>
            <w:r>
              <w:instrText xml:space="preserve">Friedl, Patrick (BÜNDNIS 90/DIE GRÜNEN):Klimaschutz im Grundgesetz verankern </w:instrText>
            </w:r>
            <w:r>
              <w:fldChar w:fldCharType="end"/>
            </w:r>
            <w:r>
              <w:fldChar w:fldCharType="begin"/>
            </w:r>
            <w:r>
              <w:instrText xml:space="preserve"> TC </w:instrText>
            </w:r>
            <w:r w:rsidR="006321CE">
              <w:instrText>„</w:instrText>
            </w:r>
            <w:r>
              <w:instrText>Friedl, Patrick (BÜNDNIS 90/DIE GRÜNEN)</w:instrText>
            </w:r>
            <w:r>
              <w:br/>
              <w:instrText xml:space="preserve">Klimaschutz im Grundgesetz verankern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 xml:space="preserve">Zum Antrag des Freistaates Thüringen im Bundesrat (BR-Drs. 581/18 vom 16.11.2018: Entschließung des Bundesrates </w:t>
            </w:r>
            <w:r w:rsidR="006321CE">
              <w:t>„</w:t>
            </w:r>
            <w:r>
              <w:t>Klimaschutz im Grundgesetz verankern</w:t>
            </w:r>
            <w:r w:rsidR="006321CE">
              <w:t>“</w:t>
            </w:r>
            <w:r>
              <w:t>) frage ich die Staatsregierung, ob sie diesen Entschließungsantrag im Bundesrat unterstützen wird, wenn ja, ob sie außerdem bei der Bundesregierung um eine Unterstützung des Antrags nachsuchen wird bzw. bis wann sie sich zur Frage einer Unterstützung dieses Antrags öffentlich erklären wird?</w:t>
            </w:r>
          </w:p>
          <w:p w:rsidR="009D008C" w:rsidRDefault="009D008C" w:rsidP="009D008C">
            <w:pPr>
              <w:pStyle w:val="LTAnfrageText"/>
            </w:pPr>
          </w:p>
        </w:tc>
      </w:tr>
    </w:tbl>
    <w:p w:rsidR="009D008C" w:rsidRDefault="009D008C" w:rsidP="009D008C">
      <w:pPr>
        <w:pStyle w:val="LTUeberschrAntwortRessort"/>
      </w:pPr>
      <w:r>
        <w:t>Antwort des Staatsministeriums für Umwelt und Verbraucherschutz</w:t>
      </w:r>
    </w:p>
    <w:p w:rsidR="009D008C" w:rsidRDefault="009D008C" w:rsidP="009D008C">
      <w:pPr>
        <w:pStyle w:val="LTAntwortRessortText"/>
      </w:pPr>
      <w:r>
        <w:t xml:space="preserve">Der vorliegende Antrag Thüringens bezieht sich in erster Linie auf das völkerrechtlich verbindliche Klimaschutzabkommen von Paris und daraus abgeleitet auf die besondere Verantwortung Deutschlands als viertgrößte Industrienation der Welt. Mit einer Aufnahme des Klimaschutzes als Staatsziel in Art. 20 a </w:t>
      </w:r>
      <w:r w:rsidR="00FD6D74">
        <w:t>Grundgesetz (</w:t>
      </w:r>
      <w:r>
        <w:t>GG</w:t>
      </w:r>
      <w:r w:rsidR="00FD6D74">
        <w:t>)</w:t>
      </w:r>
      <w:r>
        <w:t xml:space="preserve"> zielt der Antrag darauf, dieser Verantwortung explizit Rechnung zu tragen und mehr noch als bisher zur Umsetzung der Klimaschutzziele von Paris beizutragen.</w:t>
      </w:r>
    </w:p>
    <w:p w:rsidR="009D008C" w:rsidRDefault="009D008C" w:rsidP="009D008C">
      <w:pPr>
        <w:pStyle w:val="LTAntwortRessortText"/>
      </w:pPr>
      <w:r>
        <w:t xml:space="preserve">Klimaschutz hat für die Staatsregierung zentrale Bedeutung. Der Koalitionsvertrag sieht dazu vor, dass Bayern wirksam zur Bekämpfung des weltweiten Klimawandels beiträgt. Unter anderem </w:t>
      </w:r>
      <w:r w:rsidR="00843289">
        <w:t xml:space="preserve">baut die Staatsregierung </w:t>
      </w:r>
      <w:r>
        <w:t>eine Landesagentur für Energie</w:t>
      </w:r>
      <w:r w:rsidR="00843289">
        <w:t xml:space="preserve"> und Klimaschutz auf und stellt</w:t>
      </w:r>
      <w:r>
        <w:t xml:space="preserve"> hierfür 20 Mio. Euro zur Verfügung. Mit </w:t>
      </w:r>
      <w:r w:rsidR="00FD6D74">
        <w:t>ihrem</w:t>
      </w:r>
      <w:r>
        <w:t xml:space="preserve"> Masterplan </w:t>
      </w:r>
      <w:r w:rsidR="006321CE">
        <w:t>„</w:t>
      </w:r>
      <w:r>
        <w:t>Moore in Bayern</w:t>
      </w:r>
      <w:r w:rsidR="006321CE">
        <w:t>“</w:t>
      </w:r>
      <w:r w:rsidR="00FD6D74">
        <w:t xml:space="preserve"> leistet</w:t>
      </w:r>
      <w:r>
        <w:t xml:space="preserve"> </w:t>
      </w:r>
      <w:r w:rsidR="00843289">
        <w:t xml:space="preserve">sie </w:t>
      </w:r>
      <w:r>
        <w:t xml:space="preserve">einen weiteren </w:t>
      </w:r>
      <w:r w:rsidR="00843289">
        <w:t>wichtigen Beitrag zum Schutz des</w:t>
      </w:r>
      <w:r>
        <w:t xml:space="preserve"> Klimas. Darüber hinaus ist vorgesehen, dass Klimaschutz in Bayern Verfassungsrang bekommt.</w:t>
      </w:r>
    </w:p>
    <w:p w:rsidR="009D008C" w:rsidRDefault="009D008C" w:rsidP="009D008C">
      <w:pPr>
        <w:pStyle w:val="LTAntwortRessortText"/>
      </w:pPr>
      <w:r>
        <w:t>Über den Antrag des Freistaat</w:t>
      </w:r>
      <w:r w:rsidR="00FD6D74">
        <w:t>e</w:t>
      </w:r>
      <w:r>
        <w:t>s Thüringen wird zu gegebener Zeit entschieden.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9"/>
        <w:gridCol w:w="5797"/>
      </w:tblGrid>
      <w:tr w:rsidR="009D008C" w:rsidTr="009D008C">
        <w:tc>
          <w:tcPr>
            <w:tcW w:w="2050" w:type="dxa"/>
            <w:shd w:val="clear" w:color="auto" w:fill="auto"/>
          </w:tcPr>
          <w:p w:rsidR="009D008C" w:rsidRPr="009D008C" w:rsidRDefault="009D008C" w:rsidP="009D008C">
            <w:pPr>
              <w:pStyle w:val="LTAnfrageIni1"/>
            </w:pPr>
            <w:r w:rsidRPr="009D008C">
              <w:t>Abgeordneter</w:t>
            </w:r>
            <w:r w:rsidRPr="009D008C">
              <w:br/>
            </w:r>
            <w:r w:rsidRPr="009D008C">
              <w:rPr>
                <w:b/>
              </w:rPr>
              <w:t>Christian</w:t>
            </w:r>
            <w:r w:rsidRPr="009D008C">
              <w:rPr>
                <w:b/>
              </w:rPr>
              <w:br/>
              <w:t>Hierneis</w:t>
            </w:r>
            <w:r w:rsidRPr="009D008C">
              <w:rPr>
                <w:b/>
              </w:rPr>
              <w:br/>
            </w:r>
            <w:r w:rsidRPr="009D008C">
              <w:t>(BÜNDNIS 90/DIE GRÜNEN)</w:t>
            </w:r>
            <w:r>
              <w:fldChar w:fldCharType="begin"/>
            </w:r>
            <w:r>
              <w:instrText xml:space="preserve"> XE </w:instrText>
            </w:r>
            <w:r w:rsidR="006321CE">
              <w:instrText>„</w:instrText>
            </w:r>
            <w:r>
              <w:instrText xml:space="preserve">Hierneis, Christian (BÜNDNIS 90/DIE GRÜNEN):Herdenschutzmaßnahmen </w:instrText>
            </w:r>
            <w:r>
              <w:fldChar w:fldCharType="end"/>
            </w:r>
            <w:r>
              <w:fldChar w:fldCharType="begin"/>
            </w:r>
            <w:r>
              <w:instrText xml:space="preserve"> TC </w:instrText>
            </w:r>
            <w:r w:rsidR="006321CE">
              <w:instrText>„</w:instrText>
            </w:r>
            <w:r>
              <w:instrText>Hierneis, Christian (BÜNDNIS 90/DIE GRÜNEN)</w:instrText>
            </w:r>
            <w:r>
              <w:br/>
              <w:instrText xml:space="preserve">Herdenschutzmaßnahmen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Ich frage die Staatsregierung, wie viele Herdenschutzmaßnahmen für Nutztiere wegen der Rückkehr des Wolfs wurden im Jahr 2018 in Bayern staatlich finanziell gefördert oder finanziert (Maßnahmen bitte einzeln, nach Nutztierart und nach Landkreisen und der Höhe der Förderung oder Finanzierung aufführen) und wie viele staatlich geförderte oder finanzierte Herdenschutzmaßnahmen sind für 2019 in Bayern geplant (Maßnahmen bitte einzeln, nach Nutztierart und nach Landkreisen</w:t>
            </w:r>
            <w:r w:rsidR="006321CE">
              <w:t xml:space="preserve"> </w:t>
            </w:r>
            <w:r>
              <w:t>und der Höhe der Förderung oder Finanzierung aufführen)?</w:t>
            </w:r>
          </w:p>
          <w:p w:rsidR="009D008C" w:rsidRDefault="009D008C" w:rsidP="009D008C">
            <w:pPr>
              <w:pStyle w:val="LTAnfrageText"/>
            </w:pPr>
          </w:p>
        </w:tc>
      </w:tr>
    </w:tbl>
    <w:p w:rsidR="009D008C" w:rsidRDefault="009D008C" w:rsidP="00206277">
      <w:pPr>
        <w:pStyle w:val="LTUeberschrAntwortRessort"/>
      </w:pPr>
      <w:r>
        <w:t>Antwort des Staatsministeriums für Umwelt und Verbraucherschutz im Einvernehmen mit dem Staatsministerium für Ernährung, Landwirtschaft und Forsten</w:t>
      </w:r>
    </w:p>
    <w:p w:rsidR="009D008C" w:rsidRDefault="009D008C" w:rsidP="009D008C">
      <w:pPr>
        <w:pStyle w:val="LTAntwortRessortText"/>
      </w:pPr>
      <w:r>
        <w:t xml:space="preserve">Zur Erprobung von Präventionsmaßnahmen im Bereich des Herdenschutzes durch Pilotprojekte sowie Unterstützung der betrieblichen Beratung (z. B. Bereitstellung von Herdenschutzzäunen </w:t>
      </w:r>
      <w:r w:rsidR="0094678B">
        <w:t>–</w:t>
      </w:r>
      <w:r>
        <w:t xml:space="preserve"> Ausleihe mit dem Ziel der Evaluation, Unterstützung bei der Einführung von Herdenschutzhunden) haben </w:t>
      </w:r>
      <w:r w:rsidR="00843289">
        <w:t xml:space="preserve">das </w:t>
      </w:r>
      <w:r w:rsidR="0094678B">
        <w:t xml:space="preserve">Staatsministerium für Umwelt und Verbraucherschutz </w:t>
      </w:r>
      <w:r>
        <w:t xml:space="preserve">und </w:t>
      </w:r>
      <w:r w:rsidR="00843289">
        <w:t xml:space="preserve">das </w:t>
      </w:r>
      <w:r w:rsidR="0094678B">
        <w:t>Staatsministerium für Ernährung, Landwirtschaft und Forsten</w:t>
      </w:r>
      <w:r>
        <w:t xml:space="preserve"> gemeinsam einen Präventionsfonds eingerichtet. Die sich in Bearbeitung befindende bayerische Förderrichtlinie zum Herdenschutz soll den Präventionsfonds ablösen.</w:t>
      </w:r>
    </w:p>
    <w:p w:rsidR="009D008C" w:rsidRPr="0094678B" w:rsidRDefault="009D008C" w:rsidP="009D008C">
      <w:pPr>
        <w:pStyle w:val="LTAntwortRessortText"/>
        <w:rPr>
          <w:spacing w:val="-4"/>
        </w:rPr>
      </w:pPr>
      <w:r w:rsidRPr="0094678B">
        <w:rPr>
          <w:spacing w:val="-4"/>
        </w:rPr>
        <w:t xml:space="preserve">In 2018 wurden 27.946,95 </w:t>
      </w:r>
      <w:r w:rsidR="006321CE" w:rsidRPr="0094678B">
        <w:rPr>
          <w:spacing w:val="-4"/>
        </w:rPr>
        <w:t>Euro</w:t>
      </w:r>
      <w:r w:rsidRPr="0094678B">
        <w:rPr>
          <w:spacing w:val="-4"/>
        </w:rPr>
        <w:t xml:space="preserve"> aus dem Präventionsfonds für die Beschaffung von Zaunmaterial eingesetzt, das an Schaf-, Ziegen- oder Rinderhalter in Oberfranken, Mittelfranken, Oberbayern, Niederbayern und Schwaben ausgeliehen wurde. Beratungen von Schaf-, Ziegen-, Rinder-, Schweine- oder Geflügelhaltern zu Herdenschutzhunden wurden in Oberbayern mit 7.049,33 </w:t>
      </w:r>
      <w:r w:rsidR="006321CE" w:rsidRPr="0094678B">
        <w:rPr>
          <w:spacing w:val="-4"/>
        </w:rPr>
        <w:t>Euro</w:t>
      </w:r>
      <w:r w:rsidRPr="0094678B">
        <w:rPr>
          <w:spacing w:val="-4"/>
        </w:rPr>
        <w:t>, Schwaben mit 3.679,96</w:t>
      </w:r>
      <w:r w:rsidR="0094678B" w:rsidRPr="0094678B">
        <w:rPr>
          <w:spacing w:val="-4"/>
        </w:rPr>
        <w:t> </w:t>
      </w:r>
      <w:r w:rsidR="006321CE" w:rsidRPr="0094678B">
        <w:rPr>
          <w:spacing w:val="-4"/>
        </w:rPr>
        <w:t>Euro</w:t>
      </w:r>
      <w:r w:rsidRPr="0094678B">
        <w:rPr>
          <w:spacing w:val="-4"/>
        </w:rPr>
        <w:t xml:space="preserve">, Mittelfranken mit 3.459,09 </w:t>
      </w:r>
      <w:r w:rsidR="006321CE" w:rsidRPr="0094678B">
        <w:rPr>
          <w:spacing w:val="-4"/>
        </w:rPr>
        <w:t>Euro</w:t>
      </w:r>
      <w:r w:rsidRPr="0094678B">
        <w:rPr>
          <w:spacing w:val="-4"/>
        </w:rPr>
        <w:t xml:space="preserve">, Unterfranken mit 3.492,41 </w:t>
      </w:r>
      <w:r w:rsidR="006321CE" w:rsidRPr="0094678B">
        <w:rPr>
          <w:spacing w:val="-4"/>
        </w:rPr>
        <w:t>Euro</w:t>
      </w:r>
      <w:r w:rsidRPr="0094678B">
        <w:rPr>
          <w:spacing w:val="-4"/>
        </w:rPr>
        <w:t xml:space="preserve"> und Oberfranken mit 5.535,64 </w:t>
      </w:r>
      <w:r w:rsidR="006321CE" w:rsidRPr="0094678B">
        <w:rPr>
          <w:spacing w:val="-4"/>
        </w:rPr>
        <w:t>Euro</w:t>
      </w:r>
      <w:r w:rsidRPr="0094678B">
        <w:rPr>
          <w:spacing w:val="-4"/>
        </w:rPr>
        <w:t xml:space="preserve"> unterstützt (aus Datenschutzgründen wurden Summen für Regierungsbezirke gebildet).</w:t>
      </w:r>
    </w:p>
    <w:p w:rsidR="009D008C" w:rsidRDefault="009D008C" w:rsidP="009D008C">
      <w:pPr>
        <w:pStyle w:val="LTAntwortRessortText"/>
      </w:pPr>
      <w:r>
        <w:t>Eine Aussage, wie viele staatlich geförderte oder finanzierte Herdenschutzmaßnahmen 2019 umgesetzt werden, lässt sich nicht treffen, da sich die Nachfrage nach Herdenschutzmaßnahmen durch die Weidetierhalter nicht vorhersehen lässt.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5"/>
        <w:gridCol w:w="5821"/>
      </w:tblGrid>
      <w:tr w:rsidR="009D008C" w:rsidTr="009D008C">
        <w:tc>
          <w:tcPr>
            <w:tcW w:w="2050" w:type="dxa"/>
            <w:shd w:val="clear" w:color="auto" w:fill="auto"/>
          </w:tcPr>
          <w:p w:rsidR="009D008C" w:rsidRPr="009D008C" w:rsidRDefault="009D008C" w:rsidP="009D008C">
            <w:pPr>
              <w:pStyle w:val="LTAnfrageIni1"/>
            </w:pPr>
            <w:r w:rsidRPr="009D008C">
              <w:t>Abgeordneter</w:t>
            </w:r>
            <w:r w:rsidRPr="009D008C">
              <w:br/>
            </w:r>
            <w:r w:rsidRPr="009D008C">
              <w:rPr>
                <w:b/>
              </w:rPr>
              <w:t>Paul</w:t>
            </w:r>
            <w:r w:rsidRPr="009D008C">
              <w:rPr>
                <w:b/>
              </w:rPr>
              <w:br/>
              <w:t>Knoblach</w:t>
            </w:r>
            <w:r w:rsidRPr="009D008C">
              <w:rPr>
                <w:b/>
              </w:rPr>
              <w:br/>
            </w:r>
            <w:r w:rsidRPr="009D008C">
              <w:t>(BÜNDNIS 90/DIE GRÜNEN)</w:t>
            </w:r>
            <w:r>
              <w:fldChar w:fldCharType="begin"/>
            </w:r>
            <w:r>
              <w:instrText xml:space="preserve"> XE </w:instrText>
            </w:r>
            <w:r w:rsidR="006321CE">
              <w:instrText>„</w:instrText>
            </w:r>
            <w:r>
              <w:instrText xml:space="preserve">Knoblach, Paul (BÜNDNIS 90/DIE GRÜNEN):Schutz der Atomanlagen Grafenrheinfeld im Katastrophenfall </w:instrText>
            </w:r>
            <w:r>
              <w:fldChar w:fldCharType="end"/>
            </w:r>
            <w:r>
              <w:fldChar w:fldCharType="begin"/>
            </w:r>
            <w:r>
              <w:instrText xml:space="preserve"> TC </w:instrText>
            </w:r>
            <w:r w:rsidR="006321CE">
              <w:instrText>„</w:instrText>
            </w:r>
            <w:r>
              <w:instrText>Knoblach, Paul (BÜNDNIS 90/DIE GRÜNEN)</w:instrText>
            </w:r>
            <w:r>
              <w:br/>
              <w:instrText xml:space="preserve">Schutz der Atomanlagen Grafenrheinfeld im Katastrophenfall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Im Zusammenhang mit dem Abriss des Atomkraftwerks Grafenrheinfeld, der geplanten Errichtung einer Bereitstellungshalle für schwach- und mittelradioaktive Abfälle, dem Betriebsübergang des Castorlagers auf die bundeseigene Gesellschaft für Zwischenlagerung (BGZ) und der a</w:t>
            </w:r>
            <w:r w:rsidR="00843289">
              <w:t>ngekündigten Auflösung der Werk</w:t>
            </w:r>
            <w:r>
              <w:t>feuerwehr des Atomkraftwerks Grafenrheinfeld frage ich die Staatsregierung, in welchem Zeitraum das Atomkraftwerk Grafenrheinfeld voraussichtlich aus dem Atomrecht entlassen wird, ob sichergestellt ist, dass die Werkfeuerwehr bis zur vollständigen Räumung der geplanten Bereitstellungshalle aufrechterhalten wird und wann mit den umliegenden Feuerwehren und Bürgermeistern darüber gesprochen wurde, wie zukünftig der Schutz bei Brand- oder anderen Katastrophenfällen sichergestellt werden soll?</w:t>
            </w:r>
          </w:p>
          <w:p w:rsidR="009D008C" w:rsidRDefault="009D008C" w:rsidP="009D008C">
            <w:pPr>
              <w:pStyle w:val="LTAnfrageText"/>
            </w:pPr>
          </w:p>
        </w:tc>
      </w:tr>
    </w:tbl>
    <w:p w:rsidR="009D008C" w:rsidRDefault="009D008C" w:rsidP="0094678B">
      <w:pPr>
        <w:pStyle w:val="LTUeberschrAntwortRessort"/>
      </w:pPr>
      <w:r>
        <w:t>Antwort des Staatsministeriums für Umwelt und Verbraucherschutz im Einvernehmen mit dem Staatsministerium des Innern, für Sport und Integration</w:t>
      </w:r>
    </w:p>
    <w:p w:rsidR="009D008C" w:rsidRDefault="009D008C" w:rsidP="009D008C">
      <w:pPr>
        <w:pStyle w:val="LTAntwortRessortText"/>
      </w:pPr>
      <w:r>
        <w:t>Die Entlassung des Kernkraftwerks Grafenrheinfeld (KKG) aus der atomrechtlichen Überwachung ist nach der gegenwärtigen Stilllegungs- und Abbauplanung für Ende 2035 vorgesehen.</w:t>
      </w:r>
    </w:p>
    <w:p w:rsidR="009D008C" w:rsidRDefault="009D008C" w:rsidP="009D008C">
      <w:pPr>
        <w:pStyle w:val="LTAntwortRessortText"/>
      </w:pPr>
      <w:r>
        <w:t xml:space="preserve">Das KKG informierte im Januar 2017 in einer Veranstaltung für die umliegenden Gemeinden und deren kommunale Vertreterinnen und Vertreter über </w:t>
      </w:r>
      <w:r w:rsidR="0094678B">
        <w:t xml:space="preserve">die Rückbauplanungen des KKG. </w:t>
      </w:r>
      <w:r>
        <w:t xml:space="preserve">Dabei wurde kommuniziert, dass mit Erreichen der Kernbrennstofffreiheit, voraussichtlich Ende 2020, geplant ist, die gegenwärtig bestehende Werkfeuerwehr aufzulösen. Mit Schreiben vom </w:t>
      </w:r>
      <w:r w:rsidR="0094678B">
        <w:t>13.07.</w:t>
      </w:r>
      <w:r>
        <w:t>2018 hat das KKG bei der zuständigen Regierung von Unterfranken dem entsprechend die Aufhebung des Anerkennungsbescheides der Werkfeuerwehr beantragt. Dieser Antrag wird derzeit geprüft. Im April 2019 ist zu dieser Thematik eine Besprechung am Standort mit den umliegenden Feuerwehren und Bürgermeisterinnen und Bürgermeistern vorgesehen. Dabei wird auch die Teilnahme der gemäß Entsorgungsübergangsgesetz ab dem 1. Januar 2019 für das Standortszwischenlager Grafenrheinfeld zuständigen Bundesgesellschaft für Zwischenlagerung (BGZ) angestrebt.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0"/>
        <w:gridCol w:w="5846"/>
      </w:tblGrid>
      <w:tr w:rsidR="009D008C" w:rsidTr="009D008C">
        <w:tc>
          <w:tcPr>
            <w:tcW w:w="2050" w:type="dxa"/>
            <w:shd w:val="clear" w:color="auto" w:fill="auto"/>
          </w:tcPr>
          <w:p w:rsidR="009D008C" w:rsidRPr="009D008C" w:rsidRDefault="009D008C" w:rsidP="009D008C">
            <w:pPr>
              <w:pStyle w:val="LTAnfrageIni1"/>
            </w:pPr>
            <w:r w:rsidRPr="009D008C">
              <w:t>Abgeordnete</w:t>
            </w:r>
            <w:r w:rsidRPr="009D008C">
              <w:br/>
            </w:r>
            <w:r w:rsidRPr="009D008C">
              <w:rPr>
                <w:b/>
              </w:rPr>
              <w:t>Ruth</w:t>
            </w:r>
            <w:r w:rsidRPr="009D008C">
              <w:rPr>
                <w:b/>
              </w:rPr>
              <w:br/>
              <w:t>Müller</w:t>
            </w:r>
            <w:r w:rsidRPr="009D008C">
              <w:rPr>
                <w:b/>
              </w:rPr>
              <w:br/>
            </w:r>
            <w:r w:rsidRPr="009D008C">
              <w:t>(SPD)</w:t>
            </w:r>
            <w:r>
              <w:fldChar w:fldCharType="begin"/>
            </w:r>
            <w:r>
              <w:instrText xml:space="preserve"> XE </w:instrText>
            </w:r>
            <w:r w:rsidR="006321CE">
              <w:instrText>„</w:instrText>
            </w:r>
            <w:r>
              <w:instrText xml:space="preserve">Müller, Ruth (SPD):Lagerung von Atommüll in Niederbayern - keine Gefährdung unserer Bevölkerung akzeptieren! </w:instrText>
            </w:r>
            <w:r>
              <w:fldChar w:fldCharType="end"/>
            </w:r>
            <w:r>
              <w:fldChar w:fldCharType="begin"/>
            </w:r>
            <w:r>
              <w:instrText xml:space="preserve"> TC </w:instrText>
            </w:r>
            <w:r w:rsidR="006321CE">
              <w:instrText>„</w:instrText>
            </w:r>
            <w:r>
              <w:instrText>Müller, Ruth (SPD)</w:instrText>
            </w:r>
            <w:r>
              <w:br/>
              <w:instrText xml:space="preserve">Lagerung von Atommüll in Niederbayern - keine Gefährdung unserer Bevölkerung akzeptieren!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Ich frage die Staatsregierung, wie beurteilt sie die geplante Einlagerung</w:t>
            </w:r>
            <w:r w:rsidR="006321CE">
              <w:t xml:space="preserve"> </w:t>
            </w:r>
            <w:r>
              <w:t>von hoch radioaktiven Abfällen aus der Wiederaufarbeitungsanlage Sellafield (Großbritannien) und La Hague (Frankreich) im Landkreis Landshut im Hinblick auf die technischen Voraussetzungen des Zwischenlagers, was unternimmt die Staatsregierung, um die Gefährdung der Bevölkerung zu vermeiden und wie wird die Gefährdung der Sicherheit am Zwischenlager durch Dritte (beispielsweise Flugzeugabstürze) eingeschätzt?</w:t>
            </w:r>
          </w:p>
          <w:p w:rsidR="009D008C" w:rsidRDefault="009D008C" w:rsidP="009D008C">
            <w:pPr>
              <w:pStyle w:val="LTAnfrageText"/>
            </w:pPr>
          </w:p>
        </w:tc>
      </w:tr>
    </w:tbl>
    <w:p w:rsidR="009D008C" w:rsidRDefault="009D008C" w:rsidP="009D008C">
      <w:pPr>
        <w:pStyle w:val="LTUeberschrAntwortRessort"/>
      </w:pPr>
      <w:r>
        <w:t>Antwort des Staatsministeriums für Umwelt und Verbraucherschutz</w:t>
      </w:r>
    </w:p>
    <w:p w:rsidR="009D008C" w:rsidRDefault="009D008C" w:rsidP="009D008C">
      <w:pPr>
        <w:pStyle w:val="LTAntwortRessortText"/>
      </w:pPr>
      <w:r>
        <w:t>Die vom Bund genehmigten Standortzwischenlager werden auf Basis eines bundeseinheitlichen Regelwerks sicher betrieben und gesichert.</w:t>
      </w:r>
    </w:p>
    <w:p w:rsidR="009D008C" w:rsidRDefault="009D008C" w:rsidP="009D008C">
      <w:pPr>
        <w:pStyle w:val="LTAntwortRessortText"/>
      </w:pPr>
      <w:r>
        <w:t>Die Standortzwischenlager erfüllen alle Anforderungen. Die Bundesrepublik Deutschland ist dazu verpflichtet, die bei der Wiederaufarbeitung angefallenen radioaktiven Abfälle zurückzunehmen. Es wurde 2015 zwischen Bund und Freistaat Bayern vereinbart, dass u. a. im Standort-Zwischenlager Niederaichbach ein Teil der zurückzuführenden radioaktiven Abfälle zwischengelagert werden soll.</w:t>
      </w:r>
    </w:p>
    <w:p w:rsidR="009D008C" w:rsidRDefault="009D008C" w:rsidP="009D008C">
      <w:pPr>
        <w:pStyle w:val="LTAntwortRessortText"/>
      </w:pPr>
      <w:r>
        <w:t>Derzeit läuft beim dafür zuständigen Bundesamt für kerntechnische Entsorgungssicherheit (BfE) das entsprechende Genehmigungsverfahren. Hierbei werden alle relevanten sicherheitstechnischen und sicherungstechnischen Aspekte eingehend bewertet wer</w:t>
      </w:r>
      <w:r w:rsidR="0094678B">
        <w:t xml:space="preserve">den. </w:t>
      </w:r>
      <w:r>
        <w:t xml:space="preserve">Der Bund plant nach Informationen des </w:t>
      </w:r>
      <w:r w:rsidR="00843289">
        <w:t xml:space="preserve">Staatsministeriums für Umwelt und Verbraucherschutz (StMUV) </w:t>
      </w:r>
      <w:r>
        <w:t>im ersten Quartal 2019 am Standort Isar eine Informationsveranstaltung für die Öffentlichkeit.</w:t>
      </w:r>
    </w:p>
    <w:p w:rsidR="009D008C" w:rsidRDefault="009D008C" w:rsidP="009D008C">
      <w:pPr>
        <w:pStyle w:val="LTAntwortRessortText"/>
      </w:pPr>
      <w:r>
        <w:t xml:space="preserve">Die ausreichende Sicherung des Zwischenlagers wurde vom BfE im Rahmen von Genehmigungsverfahren geprüft und wird vom </w:t>
      </w:r>
      <w:r w:rsidR="00843289">
        <w:t>StMUV</w:t>
      </w:r>
      <w:r w:rsidR="0094678B">
        <w:t xml:space="preserve"> l</w:t>
      </w:r>
      <w:r>
        <w:t>aufend aufsichtlich überwacht.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7"/>
        <w:gridCol w:w="5819"/>
      </w:tblGrid>
      <w:tr w:rsidR="009D008C" w:rsidTr="009D008C">
        <w:tc>
          <w:tcPr>
            <w:tcW w:w="2050" w:type="dxa"/>
            <w:shd w:val="clear" w:color="auto" w:fill="auto"/>
          </w:tcPr>
          <w:p w:rsidR="009D008C" w:rsidRPr="009D008C" w:rsidRDefault="009D008C" w:rsidP="009D008C">
            <w:pPr>
              <w:pStyle w:val="LTAnfrageIni1"/>
            </w:pPr>
            <w:r w:rsidRPr="009D008C">
              <w:t>Abgeordnete</w:t>
            </w:r>
            <w:r w:rsidRPr="009D008C">
              <w:br/>
            </w:r>
            <w:r w:rsidRPr="009D008C">
              <w:rPr>
                <w:b/>
              </w:rPr>
              <w:t>Rosi</w:t>
            </w:r>
            <w:r w:rsidRPr="009D008C">
              <w:rPr>
                <w:b/>
              </w:rPr>
              <w:br/>
              <w:t>Steinberger</w:t>
            </w:r>
            <w:r w:rsidRPr="009D008C">
              <w:rPr>
                <w:b/>
              </w:rPr>
              <w:br/>
            </w:r>
            <w:r w:rsidRPr="009D008C">
              <w:t>(BÜNDNIS 90/DIE GRÜNEN)</w:t>
            </w:r>
            <w:r>
              <w:fldChar w:fldCharType="begin"/>
            </w:r>
            <w:r>
              <w:instrText xml:space="preserve"> XE </w:instrText>
            </w:r>
            <w:r w:rsidR="006321CE">
              <w:instrText>„</w:instrText>
            </w:r>
            <w:r>
              <w:instrText xml:space="preserve">Steinberger, Rosi (BÜNDNIS 90/DIE GRÜNEN):Vermarktung heimischer Produkte unter Einhaltung der entsprechenden EU-Verordnung (EU-Verordnung EG Nr. 510/2006) zum Schutz von geografischen Angaben und Ursprungsbezeichnungen für Agrarerzeugnisse und Lebensmittel </w:instrText>
            </w:r>
            <w:r>
              <w:fldChar w:fldCharType="end"/>
            </w:r>
            <w:r>
              <w:fldChar w:fldCharType="begin"/>
            </w:r>
            <w:r>
              <w:instrText xml:space="preserve"> TC </w:instrText>
            </w:r>
            <w:r w:rsidR="006321CE">
              <w:instrText>„</w:instrText>
            </w:r>
            <w:r>
              <w:instrText>Steinberger, Rosi (BÜNDNIS 90/DIE GRÜNEN)</w:instrText>
            </w:r>
            <w:r>
              <w:br/>
              <w:instrText xml:space="preserve">Vermarktung heimischer Produkte unter Einhaltung der entsprechenden EU-Verordnung (EU-Verordnung EG Nr. 510/2006) zum Schutz von geografischen Angaben und Ursprungsbezeichnungen für Agrarerzeugnisse und Lebensmittel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 xml:space="preserve">Ich frage die Staatsregierung, darf ein Produkt wie Wein aus der Region Churfranken am Main in Bayern beworben werden mit </w:t>
            </w:r>
            <w:r w:rsidR="006321CE">
              <w:t>„</w:t>
            </w:r>
            <w:r>
              <w:t xml:space="preserve">HILLPORT </w:t>
            </w:r>
            <w:r w:rsidR="00256D32">
              <w:t>–</w:t>
            </w:r>
            <w:r>
              <w:t xml:space="preserve"> HERGESTELLT NACH PORTWEIN </w:t>
            </w:r>
            <w:r w:rsidR="00256D32">
              <w:t>–</w:t>
            </w:r>
            <w:r>
              <w:t xml:space="preserve"> MACHART </w:t>
            </w:r>
            <w:r w:rsidR="00256D32">
              <w:t>–</w:t>
            </w:r>
            <w:r>
              <w:t xml:space="preserve"> LIMITIERT</w:t>
            </w:r>
            <w:r w:rsidR="006321CE">
              <w:t>“</w:t>
            </w:r>
            <w:r>
              <w:t xml:space="preserve"> und dabei im Verkauf für Deutschland als auch Ausland den Namen </w:t>
            </w:r>
            <w:r w:rsidR="006321CE">
              <w:t>„</w:t>
            </w:r>
            <w:r>
              <w:t>HillPort</w:t>
            </w:r>
            <w:r w:rsidR="006321CE">
              <w:t>“</w:t>
            </w:r>
            <w:r>
              <w:t xml:space="preserve"> trag</w:t>
            </w:r>
            <w:r w:rsidR="00843289">
              <w:t>en oder widerspricht das der EU-</w:t>
            </w:r>
            <w:r>
              <w:t>Verordnung zum Schutz von geografischen Angaben und Ursprungsbezeichnungen?</w:t>
            </w:r>
          </w:p>
          <w:p w:rsidR="009D008C" w:rsidRDefault="009D008C" w:rsidP="009D008C">
            <w:pPr>
              <w:pStyle w:val="LTAnfrageText"/>
            </w:pPr>
          </w:p>
        </w:tc>
      </w:tr>
    </w:tbl>
    <w:p w:rsidR="009D008C" w:rsidRDefault="009D008C" w:rsidP="009D008C">
      <w:pPr>
        <w:pStyle w:val="LTUeberschrAntwortRessort"/>
      </w:pPr>
      <w:r>
        <w:t>Antwort des Staatsministeriums für Umwelt und Verbraucherschutz</w:t>
      </w:r>
    </w:p>
    <w:p w:rsidR="009D008C" w:rsidRDefault="009D008C" w:rsidP="009D008C">
      <w:pPr>
        <w:pStyle w:val="LTAntwortRessortText"/>
      </w:pPr>
      <w:r>
        <w:t xml:space="preserve">Bei </w:t>
      </w:r>
      <w:r w:rsidR="006321CE">
        <w:t>„</w:t>
      </w:r>
      <w:r>
        <w:t>Portwein</w:t>
      </w:r>
      <w:r w:rsidR="006321CE">
        <w:t>“</w:t>
      </w:r>
      <w:r>
        <w:t xml:space="preserve"> handelt es sich um eine geschützte Ursprungsbezeichnung nach der Verordnung (EU) Nr. 1308/2013 (</w:t>
      </w:r>
      <w:r w:rsidR="00843289">
        <w:t>„</w:t>
      </w:r>
      <w:r>
        <w:t>Gemeinsame-Marktorganisations-Verordn</w:t>
      </w:r>
      <w:r w:rsidR="00256D32">
        <w:t>ung</w:t>
      </w:r>
      <w:r w:rsidR="00843289">
        <w:t>“</w:t>
      </w:r>
      <w:r w:rsidR="00256D32">
        <w:t>). Die geschützte Ursprungs</w:t>
      </w:r>
      <w:r>
        <w:t>bezeichnung ist der strengste Herkunftsschutz des EU-Rechts für Weinbauerzeugnisse.</w:t>
      </w:r>
    </w:p>
    <w:p w:rsidR="009D008C" w:rsidRDefault="009D008C" w:rsidP="009D008C">
      <w:pPr>
        <w:pStyle w:val="LTAntwortRessortText"/>
      </w:pPr>
      <w:r>
        <w:t xml:space="preserve">Geschützte Ursprungsbezeichnungen dürfen nur von Marktteilnehmern verwendet werden, die einen Wein vermarkten, der entsprechend der betreffenden Produktspezifikation erzeugt wurde. Portwein muss gemäß der Produktspezifikation in der Region </w:t>
      </w:r>
      <w:r w:rsidR="006321CE">
        <w:t>„</w:t>
      </w:r>
      <w:r>
        <w:t>Douro</w:t>
      </w:r>
      <w:r w:rsidR="006321CE">
        <w:t>“</w:t>
      </w:r>
      <w:r>
        <w:t xml:space="preserve"> oder der Region </w:t>
      </w:r>
      <w:r w:rsidR="006321CE">
        <w:t>„</w:t>
      </w:r>
      <w:r>
        <w:t>Vila Nova de Gaia Porto</w:t>
      </w:r>
      <w:r w:rsidR="006321CE">
        <w:t>“</w:t>
      </w:r>
      <w:r>
        <w:t xml:space="preserve"> in Portugal angebaut und hergestellt werden. Für das entsprechende Produkt sind unter anderem die Begriffe </w:t>
      </w:r>
      <w:r w:rsidR="006321CE">
        <w:t>„</w:t>
      </w:r>
      <w:r>
        <w:t>Port</w:t>
      </w:r>
      <w:r w:rsidR="006321CE">
        <w:t>“</w:t>
      </w:r>
      <w:r>
        <w:t xml:space="preserve">, </w:t>
      </w:r>
      <w:r w:rsidR="006321CE">
        <w:t>„</w:t>
      </w:r>
      <w:r>
        <w:t>Porto</w:t>
      </w:r>
      <w:r w:rsidR="006321CE">
        <w:t>“</w:t>
      </w:r>
      <w:r>
        <w:t xml:space="preserve">, </w:t>
      </w:r>
      <w:r w:rsidR="006321CE">
        <w:t>„</w:t>
      </w:r>
      <w:r>
        <w:t>Portwein</w:t>
      </w:r>
      <w:r w:rsidR="006321CE">
        <w:t>“</w:t>
      </w:r>
      <w:r>
        <w:t xml:space="preserve"> oder auch </w:t>
      </w:r>
      <w:r w:rsidR="006321CE">
        <w:t>„</w:t>
      </w:r>
      <w:r>
        <w:t>vin de Porto</w:t>
      </w:r>
      <w:r w:rsidR="006321CE">
        <w:t>“</w:t>
      </w:r>
      <w:r>
        <w:t xml:space="preserve"> oder </w:t>
      </w:r>
      <w:r w:rsidR="006321CE">
        <w:t>„</w:t>
      </w:r>
      <w:r>
        <w:t>Portwine</w:t>
      </w:r>
      <w:r w:rsidR="006321CE">
        <w:t>“</w:t>
      </w:r>
      <w:r>
        <w:t xml:space="preserve"> geschützt.</w:t>
      </w:r>
    </w:p>
    <w:p w:rsidR="009D008C" w:rsidRDefault="009D008C" w:rsidP="009D008C">
      <w:pPr>
        <w:pStyle w:val="LTAntwortRessortText"/>
      </w:pPr>
      <w:r>
        <w:t xml:space="preserve">Eingetragene Namen wie </w:t>
      </w:r>
      <w:r w:rsidR="006321CE">
        <w:t>„</w:t>
      </w:r>
      <w:r>
        <w:t>Portwein</w:t>
      </w:r>
      <w:r w:rsidR="006321CE">
        <w:t>“</w:t>
      </w:r>
      <w:r>
        <w:t xml:space="preserve"> werden gemäß Art. 103 Abs. 2 </w:t>
      </w:r>
      <w:r w:rsidR="00256D32">
        <w:t xml:space="preserve">Verordnung </w:t>
      </w:r>
      <w:r>
        <w:t>(EU) Nr. 1308/2013 gegen Missbrauch geschützt. Darunter fallen auch die Anspielung, die Nachahmung und sonstige irreführenden Praktiken.</w:t>
      </w:r>
    </w:p>
    <w:p w:rsidR="009D008C" w:rsidRDefault="009D008C" w:rsidP="009D008C">
      <w:pPr>
        <w:pStyle w:val="LTAntwortRessortText"/>
      </w:pPr>
      <w:r>
        <w:t>Die Feststellung der Zulässigkeit obliegt im jeweiligen Ei</w:t>
      </w:r>
      <w:r w:rsidR="00256D32">
        <w:t>nzelfall den zuständigen Kreis</w:t>
      </w:r>
      <w:r>
        <w:t>verwaltungsbehörden.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7"/>
        <w:gridCol w:w="5819"/>
      </w:tblGrid>
      <w:tr w:rsidR="009D008C" w:rsidTr="009D008C">
        <w:tc>
          <w:tcPr>
            <w:tcW w:w="2050" w:type="dxa"/>
            <w:shd w:val="clear" w:color="auto" w:fill="auto"/>
          </w:tcPr>
          <w:p w:rsidR="009D008C" w:rsidRPr="009D008C" w:rsidRDefault="009D008C" w:rsidP="009D008C">
            <w:pPr>
              <w:pStyle w:val="LTAnfrageIni1"/>
            </w:pPr>
            <w:r w:rsidRPr="009D008C">
              <w:t>Abgeordneter</w:t>
            </w:r>
            <w:r w:rsidRPr="009D008C">
              <w:br/>
            </w:r>
            <w:r w:rsidRPr="009D008C">
              <w:rPr>
                <w:b/>
              </w:rPr>
              <w:t>Hans</w:t>
            </w:r>
            <w:r w:rsidRPr="009D008C">
              <w:rPr>
                <w:b/>
              </w:rPr>
              <w:br/>
              <w:t>Urban</w:t>
            </w:r>
            <w:r w:rsidRPr="009D008C">
              <w:rPr>
                <w:b/>
              </w:rPr>
              <w:br/>
            </w:r>
            <w:r w:rsidRPr="009D008C">
              <w:t>(BÜNDNIS 90/DIE GRÜNEN)</w:t>
            </w:r>
            <w:r>
              <w:fldChar w:fldCharType="begin"/>
            </w:r>
            <w:r>
              <w:instrText xml:space="preserve"> XE </w:instrText>
            </w:r>
            <w:r w:rsidR="006321CE">
              <w:instrText>„</w:instrText>
            </w:r>
            <w:r>
              <w:instrText xml:space="preserve">Urban, Hans (BÜNDNIS 90/DIE GRÜNEN):Wasserschutzzone Reisach-Gotzing-Thalham </w:instrText>
            </w:r>
            <w:r>
              <w:fldChar w:fldCharType="end"/>
            </w:r>
            <w:r>
              <w:fldChar w:fldCharType="begin"/>
            </w:r>
            <w:r>
              <w:instrText xml:space="preserve"> TC </w:instrText>
            </w:r>
            <w:r w:rsidR="006321CE">
              <w:instrText>„</w:instrText>
            </w:r>
            <w:r>
              <w:instrText>Urban, Hans (BÜNDNIS 90/DIE GRÜNEN)</w:instrText>
            </w:r>
            <w:r>
              <w:br/>
              <w:instrText xml:space="preserve">Wasserschutzzone Reisach-Gotzing-Thalham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Ich frage die Staatsregierung, wird die Wasserschutzzone Reisach-Gotzing-Thalham im Landkreis Miesbach auf Betreiben des Staatsministeriums für Umwelt und Verbraucherschutz ausgeweitet, wenn ja, welchen Zweck verfolgt dies und in welcher Flächenausdehnung soll dies geschehen?</w:t>
            </w:r>
          </w:p>
          <w:p w:rsidR="009D008C" w:rsidRDefault="009D008C" w:rsidP="009D008C">
            <w:pPr>
              <w:pStyle w:val="LTAnfrageText"/>
            </w:pPr>
          </w:p>
        </w:tc>
      </w:tr>
    </w:tbl>
    <w:p w:rsidR="009D008C" w:rsidRDefault="009D008C" w:rsidP="009D008C">
      <w:pPr>
        <w:pStyle w:val="LTUeberschrAntwortRessort"/>
      </w:pPr>
      <w:r>
        <w:t>Antwort des Staatsministeriums für Umwelt und Verbraucherschutz</w:t>
      </w:r>
    </w:p>
    <w:p w:rsidR="009D008C" w:rsidRDefault="009D008C" w:rsidP="009D008C">
      <w:pPr>
        <w:pStyle w:val="LTAntwortRessortText"/>
      </w:pPr>
      <w:r>
        <w:t>Gemäß § 51 Abs. 2 Wasserhaushaltsgesetz (WHG) sollen Trinkwasserschutzgebiete den allgemein anerkannten Regeln der Technik entsprechen. Gemäß § 51 Abs. 1 WHG, § 10 Nr. 4 Delegationsverordnung (DelV) sowie Verwaltungsvorschrift zum Vollzug des Wasserrechts (VVWas) sind regelmäßig von den Kreisverwaltungsbehörden die notwendigen Schutzgebiete und erforderlichen Schutzanordnungen festzusetzen. Deshalb führt das Landratsamt Miesbach derzeit pflichtgemäß ein Wasserrechtsverfahren zur Neufestsetzung des Wasserschutzgebiets durch.</w:t>
      </w:r>
    </w:p>
    <w:p w:rsidR="009D008C" w:rsidRDefault="009D008C" w:rsidP="009D008C">
      <w:pPr>
        <w:pStyle w:val="LTAntwortRessortText"/>
      </w:pPr>
      <w:r>
        <w:t>Insbesondere soll dabei dem derzeitigen Wasserschutzgebiet von 1964 eine Zone</w:t>
      </w:r>
      <w:r w:rsidR="00843289">
        <w:t> </w:t>
      </w:r>
      <w:r>
        <w:t>III angefügt (853 ha auf 1590 ha) und im Gegenzug die Flächensumme für die Zone I und Zone II verringert werden (850 ha auf 700 ha).</w:t>
      </w:r>
    </w:p>
    <w:p w:rsidR="001B12CC" w:rsidRDefault="001B12CC">
      <w:pPr>
        <w:rPr>
          <w:rFonts w:cs="Arial"/>
          <w:b/>
          <w:sz w:val="22"/>
          <w:szCs w:val="22"/>
        </w:rPr>
      </w:pPr>
      <w:r>
        <w:br w:type="page"/>
      </w:r>
    </w:p>
    <w:p w:rsidR="009D008C" w:rsidRDefault="009D008C" w:rsidP="009D008C">
      <w:pPr>
        <w:pStyle w:val="LTUeberschrRessort"/>
      </w:pPr>
      <w:r>
        <w:t>Geschäftsbereich des Staatsministeriums für Ernährung, Landwirtschaft und Forsten</w:t>
      </w:r>
      <w:r>
        <w:fldChar w:fldCharType="begin"/>
      </w:r>
      <w:r>
        <w:instrText xml:space="preserve"> TC </w:instrText>
      </w:r>
      <w:r w:rsidR="006321CE">
        <w:instrText>„</w:instrText>
      </w:r>
      <w:r>
        <w:instrText>Geschäftsbereich des Staatsministeriums für Ernährung, Landwirtschaft und Forsten</w:instrText>
      </w:r>
      <w:r w:rsidR="006321CE">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5816"/>
      </w:tblGrid>
      <w:tr w:rsidR="009D008C" w:rsidTr="009D008C">
        <w:tc>
          <w:tcPr>
            <w:tcW w:w="2050" w:type="dxa"/>
            <w:shd w:val="clear" w:color="auto" w:fill="auto"/>
          </w:tcPr>
          <w:p w:rsidR="009D008C" w:rsidRPr="009D008C" w:rsidRDefault="009D008C" w:rsidP="009D008C">
            <w:pPr>
              <w:pStyle w:val="LTAnfrageIni1"/>
            </w:pPr>
            <w:r w:rsidRPr="009D008C">
              <w:t>Abgeordneter</w:t>
            </w:r>
            <w:r w:rsidRPr="009D008C">
              <w:br/>
            </w:r>
            <w:r w:rsidRPr="009D008C">
              <w:rPr>
                <w:b/>
              </w:rPr>
              <w:t>Tim</w:t>
            </w:r>
            <w:r w:rsidRPr="009D008C">
              <w:rPr>
                <w:b/>
              </w:rPr>
              <w:br/>
              <w:t>Pargent</w:t>
            </w:r>
            <w:r w:rsidRPr="009D008C">
              <w:rPr>
                <w:b/>
              </w:rPr>
              <w:br/>
            </w:r>
            <w:r w:rsidRPr="009D008C">
              <w:t>(BÜNDNIS 90/DIE GRÜNEN)</w:t>
            </w:r>
            <w:r>
              <w:fldChar w:fldCharType="begin"/>
            </w:r>
            <w:r>
              <w:instrText xml:space="preserve"> XE </w:instrText>
            </w:r>
            <w:r w:rsidR="006321CE">
              <w:instrText>„</w:instrText>
            </w:r>
            <w:r>
              <w:instrText xml:space="preserve">Pargent, Tim (BÜNDNIS 90/DIE GRÜNEN):Baumfällungen im Hohen Buchener Forst </w:instrText>
            </w:r>
            <w:r>
              <w:fldChar w:fldCharType="end"/>
            </w:r>
            <w:r>
              <w:fldChar w:fldCharType="begin"/>
            </w:r>
            <w:r>
              <w:instrText xml:space="preserve"> TC </w:instrText>
            </w:r>
            <w:r w:rsidR="006321CE">
              <w:instrText>„</w:instrText>
            </w:r>
            <w:r>
              <w:instrText>Pargent, Tim (BÜNDNIS 90/DIE GRÜNEN)</w:instrText>
            </w:r>
            <w:r>
              <w:br/>
              <w:instrText xml:space="preserve">Baumfällungen im Hohen Buchener Forst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Ich frage die Staatsregierung, ob es zutrifft, dass im ehemalig geschützten Landschaftsbestandteil Hoher Buchener Wald im Ebracher Forst im Steigerwald aktuell (alte) Buchen mit einer Zielstärke von mindestens 60 cm gefällt werden, bejahendenfalls seit wann (bitte auch angeben, in welchen Abteilungen die Fällungen stattfinden) und wie viele dieser Stark-Buchen sollen in diesem Winter noch gefällt werden?</w:t>
            </w:r>
          </w:p>
          <w:p w:rsidR="009D008C" w:rsidRDefault="009D008C" w:rsidP="009D008C">
            <w:pPr>
              <w:pStyle w:val="LTAnfrageText"/>
            </w:pPr>
          </w:p>
        </w:tc>
      </w:tr>
    </w:tbl>
    <w:p w:rsidR="009D008C" w:rsidRDefault="009D008C" w:rsidP="009D008C">
      <w:pPr>
        <w:pStyle w:val="LTUeberschrAntwortRessort"/>
      </w:pPr>
      <w:r>
        <w:t>Antwort des Staatsministeriums für Ernährung, Landwirtschaft und Forsten</w:t>
      </w:r>
    </w:p>
    <w:p w:rsidR="009D008C" w:rsidRDefault="009D008C" w:rsidP="00AF399C">
      <w:pPr>
        <w:pStyle w:val="LTAntwortRessortText"/>
        <w:spacing w:before="360"/>
      </w:pPr>
      <w:r>
        <w:t xml:space="preserve">Nach Auskunft der </w:t>
      </w:r>
      <w:r w:rsidR="00D861ED">
        <w:t xml:space="preserve">Bayerischen </w:t>
      </w:r>
      <w:r>
        <w:t xml:space="preserve">Staatsforsten (BaySF) fand in dem betreffenden Gebiet eine sehr zurückhaltende Nutzung für Pflege- und Waldbaumaßnahmen statt </w:t>
      </w:r>
      <w:r w:rsidR="001B12CC">
        <w:t>–</w:t>
      </w:r>
      <w:r>
        <w:t xml:space="preserve"> wie etwa Kronenpflege zugunsten der Eiche. Es wurden im November/Dezember 2018 zwei kleine Hiebsmaßnahmen mit jeweils 450 Festmetern in den Abteilungen Kappe (Nähe Ebrach) und Steinkreuz (Nähe Handthal) durchgeführt. Die Entnahmemengen in den zwei Hieben sind sehr gering und bewegen sich zwischen 30 und 50 Festmetern pro Hektar. Das bedeutet, dass die entnommene Holzmenge in drei bis fünf Jahren wieder nachwächst.</w:t>
      </w:r>
    </w:p>
    <w:p w:rsidR="009D008C" w:rsidRDefault="009D008C" w:rsidP="00AF399C">
      <w:pPr>
        <w:pStyle w:val="LTAntwortRessortText"/>
        <w:spacing w:before="360"/>
      </w:pPr>
      <w:r>
        <w:t xml:space="preserve">Bereits am 11.06.2018 wurden die Planungen vor Ort von den BaySF-Vorständen sowie dem Ebracher Forstbetriebsleiter der Verbandsspitze des Bund Naturschutz (BN) vorgestellt. Dabei wurde ein Maßnahmenpapier überreicht, welches die betreffenden Hiebsmaßnahmen in den Abteilungen Kappe und Steinkreuz enthalten und beschrieben hat. Am 15.06.2018 wurde das Maßnahmenpapier zudem seitens des Forstbetriebs Ebrach vor Ort der Öffentlichkeit vorgestellt. Die Presse hat darüber berichtet. </w:t>
      </w:r>
    </w:p>
    <w:p w:rsidR="009D008C" w:rsidRDefault="009D008C" w:rsidP="00AF399C">
      <w:pPr>
        <w:pStyle w:val="LTAntwortRessortText"/>
        <w:spacing w:before="360"/>
      </w:pPr>
      <w:r>
        <w:t xml:space="preserve">Die Maßnahmen wurden intensiv besprochen und damals waldbaulich vom BN nicht beanstandet. Mitte Oktober 2018 wurden auf Wunsch des BN detaillierte Karten über die beiden Waldorte übermittelt. </w:t>
      </w:r>
    </w:p>
    <w:p w:rsidR="009D008C" w:rsidRDefault="009D008C" w:rsidP="00AF399C">
      <w:pPr>
        <w:pStyle w:val="LTAntwortRessortText"/>
        <w:spacing w:before="360"/>
      </w:pPr>
      <w:r>
        <w:t xml:space="preserve">Bei den aktuellen Hiebsmaßnahmen wurden nach Angaben des Forstbetriebs keine </w:t>
      </w:r>
      <w:r w:rsidR="006321CE">
        <w:t>„</w:t>
      </w:r>
      <w:r>
        <w:t>dicken Buchen</w:t>
      </w:r>
      <w:r w:rsidR="006321CE">
        <w:t>“</w:t>
      </w:r>
      <w:r>
        <w:t xml:space="preserve"> geerntet, die laut Naturschutzkonzept der BaySF bei einem Durchmesser von über 80 cm beginnen. Diese verbleiben als Methusalem- und Biotopbäume im Wald. Es wurden ausschließlich Buchen mit einem geringeren Durchmesser entnommen, um der Eiche in diesem Waldgebiet zu helfen.</w:t>
      </w:r>
    </w:p>
    <w:p w:rsidR="009D008C" w:rsidRDefault="009D008C" w:rsidP="00AF399C">
      <w:pPr>
        <w:pStyle w:val="LTAntwortRessortText"/>
        <w:spacing w:before="360"/>
      </w:pPr>
      <w:r>
        <w:t>Entsprechend dem bereits im Sommer öffentlich vorgestellten detaillierten vorsichtigen Nutzungs- und Pflegekonzept sind keine weiteren Buchen-Nutzungen mehr geplant.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9D008C" w:rsidTr="009D008C">
        <w:tc>
          <w:tcPr>
            <w:tcW w:w="2050" w:type="dxa"/>
            <w:shd w:val="clear" w:color="auto" w:fill="auto"/>
          </w:tcPr>
          <w:p w:rsidR="009D008C" w:rsidRPr="009D008C" w:rsidRDefault="009D008C" w:rsidP="009D008C">
            <w:pPr>
              <w:pStyle w:val="LTAnfrageIni1"/>
            </w:pPr>
            <w:r w:rsidRPr="009D008C">
              <w:t>Abgeordnete</w:t>
            </w:r>
            <w:r w:rsidRPr="009D008C">
              <w:br/>
            </w:r>
            <w:r w:rsidRPr="009D008C">
              <w:rPr>
                <w:b/>
              </w:rPr>
              <w:t>Gisela</w:t>
            </w:r>
            <w:r w:rsidRPr="009D008C">
              <w:rPr>
                <w:b/>
              </w:rPr>
              <w:br/>
              <w:t>Sengl</w:t>
            </w:r>
            <w:r w:rsidRPr="009D008C">
              <w:rPr>
                <w:b/>
              </w:rPr>
              <w:br/>
            </w:r>
            <w:r w:rsidRPr="009D008C">
              <w:t>(BÜNDNIS 90/DIE GRÜNEN)</w:t>
            </w:r>
            <w:r>
              <w:fldChar w:fldCharType="begin"/>
            </w:r>
            <w:r>
              <w:instrText xml:space="preserve"> XE </w:instrText>
            </w:r>
            <w:r w:rsidR="006321CE">
              <w:instrText>„</w:instrText>
            </w:r>
            <w:r>
              <w:instrText xml:space="preserve">Sengl, Gisela (BÜNDNIS 90/DIE GRÜNEN):Schäden durch Maikäfer bzw. Engerlinge </w:instrText>
            </w:r>
            <w:r>
              <w:fldChar w:fldCharType="end"/>
            </w:r>
            <w:r>
              <w:fldChar w:fldCharType="begin"/>
            </w:r>
            <w:r>
              <w:instrText xml:space="preserve"> TC </w:instrText>
            </w:r>
            <w:r w:rsidR="006321CE">
              <w:instrText>„</w:instrText>
            </w:r>
            <w:r>
              <w:instrText>Sengl, Gisela (BÜNDNIS 90/DIE GRÜNEN)</w:instrText>
            </w:r>
            <w:r>
              <w:br/>
              <w:instrText xml:space="preserve">Schäden durch Maikäfer bzw. Engerlinge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Ich frage die Staatsregierung, welche Probleme in Wein- und Obstkulturen und auf Grünland gab es in den Jahren 2014 bis 2018 mit Maikäfer- bzw. Engerlingpopulationen, welche vorbeugenden und/oder bekämpfenden Maßnahmen werden jeweils empfohlen und wie schätzt die Staatsregierung das zukünftige Schadenspotenzial in Zusammenhang mit der Klimaerhitzung ein?</w:t>
            </w:r>
          </w:p>
          <w:p w:rsidR="009D008C" w:rsidRDefault="009D008C" w:rsidP="009D008C">
            <w:pPr>
              <w:pStyle w:val="LTAnfrageText"/>
            </w:pPr>
          </w:p>
        </w:tc>
      </w:tr>
    </w:tbl>
    <w:p w:rsidR="009D008C" w:rsidRDefault="009D008C" w:rsidP="009D008C">
      <w:pPr>
        <w:pStyle w:val="LTUeberschrAntwortRessort"/>
      </w:pPr>
      <w:r>
        <w:t>Antwort des Staatsministeriums für Ernährung, Landwirtschaft und Forsten</w:t>
      </w:r>
    </w:p>
    <w:p w:rsidR="009D008C" w:rsidRDefault="009D008C" w:rsidP="009D008C">
      <w:pPr>
        <w:pStyle w:val="LTAntwortRessortText"/>
      </w:pPr>
      <w:r>
        <w:t>Die Engerlinge des Feldmaikäfers schädigen durch den Fraß an den Pflanzenwurzeln, was zu Wuchsdepressionen bis hin zum Absterben der Pflanze führt. Die Hauptflugjahre waren im dreijährigen Rhythmus die Jahre 2009, 2012, 2015 und 2018. Der Hauptschaden tritt jeweils im Folgejahr eines Hauptfluges ein. Ein abgeschwächter Flug ist mittlerweile jährlich zu beobachten.</w:t>
      </w:r>
    </w:p>
    <w:p w:rsidR="009D008C" w:rsidRDefault="009D008C" w:rsidP="009D008C">
      <w:pPr>
        <w:pStyle w:val="LTAntwortRessortText"/>
      </w:pPr>
      <w:r>
        <w:t xml:space="preserve">Im </w:t>
      </w:r>
      <w:r w:rsidRPr="00D861ED">
        <w:rPr>
          <w:u w:val="single"/>
        </w:rPr>
        <w:t>Obstbau</w:t>
      </w:r>
      <w:r>
        <w:t xml:space="preserve"> stellen die Engerlinge mit stellenweise bis zu 100 Engerlingen pro m² in Kernobst- und Erdbeerkulturen im Landkreis Miltenberg seit vielen Jahren ein sehr großes Problem dar. Dort sind fünf Haupterwerbsbetriebe mit einer Gesamtfläche von ca. 70 ha besonders stark betroffen. </w:t>
      </w:r>
    </w:p>
    <w:p w:rsidR="00D861ED" w:rsidRDefault="009D008C" w:rsidP="009D008C">
      <w:pPr>
        <w:pStyle w:val="LTAntwortRessortText"/>
      </w:pPr>
      <w:r>
        <w:t xml:space="preserve">lm </w:t>
      </w:r>
      <w:r w:rsidRPr="00D861ED">
        <w:rPr>
          <w:u w:val="single"/>
        </w:rPr>
        <w:t>Grünland</w:t>
      </w:r>
      <w:r>
        <w:t xml:space="preserve"> waren im Jahr 2016 starke Schäden auf Flächen im Bayerischen Wald, im Landkreis Berchtesgadener Land und im Spessart feststellbar.</w:t>
      </w:r>
      <w:r w:rsidR="001B12CC">
        <w:t xml:space="preserve"> </w:t>
      </w:r>
    </w:p>
    <w:p w:rsidR="009D008C" w:rsidRDefault="009D008C" w:rsidP="009D008C">
      <w:pPr>
        <w:pStyle w:val="LTAntwortRessortText"/>
      </w:pPr>
      <w:r>
        <w:t xml:space="preserve">Im fränkischen </w:t>
      </w:r>
      <w:r w:rsidRPr="00D861ED">
        <w:rPr>
          <w:u w:val="single"/>
        </w:rPr>
        <w:t>Weinbau</w:t>
      </w:r>
      <w:r>
        <w:t xml:space="preserve"> sind keine Schäden bekannt.</w:t>
      </w:r>
    </w:p>
    <w:p w:rsidR="009D008C" w:rsidRDefault="009D008C" w:rsidP="009D008C">
      <w:pPr>
        <w:pStyle w:val="LTAntwortRessortText"/>
      </w:pPr>
      <w:r>
        <w:t>Zur Bekämpfung des Schädlings sind in Deutschland derzeit keine Pflanzenschutzmittel zugelassen.</w:t>
      </w:r>
    </w:p>
    <w:p w:rsidR="009D008C" w:rsidRDefault="009D008C" w:rsidP="009D008C">
      <w:pPr>
        <w:pStyle w:val="LTAntwortRessortText"/>
      </w:pPr>
      <w:r>
        <w:t>Eine wohl ausreichende Maßnahme wäre die Bekämpfung der adulten Käfer während des Reifungsfraßes mit z. B. NeemAzal T/S (Wirkstoff Azadirachtin) bzw. die Ein</w:t>
      </w:r>
      <w:r w:rsidR="00AF399C">
        <w:softHyphen/>
      </w:r>
      <w:r w:rsidR="00AF399C">
        <w:softHyphen/>
      </w:r>
      <w:r>
        <w:t xml:space="preserve">bringung von Beauveria brongniartii-Präparaten wie Melocont-Pilzgerste in den Boden, </w:t>
      </w:r>
      <w:r w:rsidR="009174D1">
        <w:t>die</w:t>
      </w:r>
      <w:r>
        <w:t xml:space="preserve"> die E</w:t>
      </w:r>
      <w:r w:rsidR="009174D1">
        <w:t>ngerlinge des Maikäfers schädigen</w:t>
      </w:r>
      <w:r>
        <w:t xml:space="preserve">. </w:t>
      </w:r>
    </w:p>
    <w:p w:rsidR="009D008C" w:rsidRDefault="009D008C" w:rsidP="009D008C">
      <w:pPr>
        <w:pStyle w:val="LTAntwortRessortText"/>
      </w:pPr>
      <w:r>
        <w:t>Im Jahr 2015 hatte das Bundesamt für Lebensmittelsicherheit und Verbraucherschutz (BVL) beide Mittel im Rahmen einer Notfallzulassung im Kernobstbau genehmigt. Ein erneuter Antrag im Jahr 2016 wurde abgelehnt.</w:t>
      </w:r>
    </w:p>
    <w:p w:rsidR="009D008C" w:rsidRDefault="009D008C" w:rsidP="009D008C">
      <w:pPr>
        <w:pStyle w:val="LTAntwortRessortText"/>
      </w:pPr>
      <w:r>
        <w:t xml:space="preserve">Soweit möglich werden im </w:t>
      </w:r>
      <w:r w:rsidRPr="009174D1">
        <w:rPr>
          <w:u w:val="single"/>
        </w:rPr>
        <w:t>Kernobstanbau</w:t>
      </w:r>
      <w:r>
        <w:t xml:space="preserve"> zur Flugzeit der Käfer die Hagelnetze frühzeitig geschlossen, um den Einflug und die Eiablage in die Anlagen zu erschweren. Bei bereits bestehenden Hagelnetzkonstruktionen wäre evtl. eine Vollein</w:t>
      </w:r>
      <w:r w:rsidR="009174D1">
        <w:t>-</w:t>
      </w:r>
      <w:r w:rsidR="009174D1">
        <w:br/>
      </w:r>
      <w:r>
        <w:t>net</w:t>
      </w:r>
      <w:r w:rsidR="001B12CC">
        <w:t>z</w:t>
      </w:r>
      <w:r>
        <w:t>ung der Anlagen eine mögliche Option. Maßnahmen wie Bodenabdeckung während der Hauptflugzeit oder Hühnerhaltung in Obstanlagen sind nicht praxistauglich.</w:t>
      </w:r>
    </w:p>
    <w:p w:rsidR="009D008C" w:rsidRDefault="009D008C" w:rsidP="009D008C">
      <w:pPr>
        <w:pStyle w:val="LTAntwortRessortText"/>
      </w:pPr>
      <w:r>
        <w:t xml:space="preserve">Im </w:t>
      </w:r>
      <w:r w:rsidRPr="009174D1">
        <w:rPr>
          <w:u w:val="single"/>
        </w:rPr>
        <w:t>Grünland</w:t>
      </w:r>
      <w:r>
        <w:t xml:space="preserve"> ist die Reduzierung der Engerlinge im Boden durch mechanische Maßnahmen (Fräsen) möglich, aber mit hohem Aufwand verbunden und nur auf nicht zu stark geneigten Flächen durchführbar. Grundsätzlicher Nachteil der mechanischen Bodenbearbeitung ist, dass die Grasnarbe zerstört wird und im Anschluss neu angesät werden muss, was zusätzliche Kosten verursacht (Saatgut, Ausfall eines oder mehrerer Schnitte). </w:t>
      </w:r>
    </w:p>
    <w:p w:rsidR="009D008C" w:rsidRDefault="009D008C" w:rsidP="009D008C">
      <w:pPr>
        <w:pStyle w:val="LTAntwortRessortText"/>
      </w:pPr>
      <w:r>
        <w:t>Durch die Klimaerwärmung, die in der Landwirtschaft vor allem durch eine längere Aktivität der Schädlinge in der Saison deutlich nachweisbar ist, wird auch der Feldmaikäfer begünstigt. So wurden bereits im Spätherbst von Hauptflugjahren bedeutende Schäden durch das länger aktive 2. Larvenstadium im Grünland festgestellt.</w:t>
      </w:r>
    </w:p>
    <w:p w:rsidR="009D008C" w:rsidRDefault="009D008C" w:rsidP="009D008C">
      <w:pPr>
        <w:pStyle w:val="LTAntwortRessortText"/>
      </w:pPr>
      <w:r>
        <w:t>Auch das Vorhandensein von Maikäferpopulationen insgesamt hat nach einer im Jahr 2018 durchgeführten Umfrage in Bayern zugenommen.</w:t>
      </w:r>
    </w:p>
    <w:p w:rsidR="009A4AC4" w:rsidRDefault="009A4AC4">
      <w:pPr>
        <w:rPr>
          <w:rFonts w:cs="Arial"/>
          <w:b/>
          <w:sz w:val="22"/>
          <w:szCs w:val="22"/>
        </w:rPr>
      </w:pPr>
      <w:r>
        <w:br w:type="page"/>
      </w:r>
    </w:p>
    <w:p w:rsidR="009D008C" w:rsidRDefault="009D008C" w:rsidP="009D008C">
      <w:pPr>
        <w:pStyle w:val="LTUeberschrRessort"/>
      </w:pPr>
      <w:r>
        <w:t>Geschäftsbereich des Staatsministeriums für Familie, Arbeit und Soziales</w:t>
      </w:r>
      <w:r>
        <w:fldChar w:fldCharType="begin"/>
      </w:r>
      <w:r>
        <w:instrText xml:space="preserve"> TC </w:instrText>
      </w:r>
      <w:r w:rsidR="006321CE">
        <w:instrText>„</w:instrText>
      </w:r>
      <w:r>
        <w:instrText>Geschäftsbereich des Staatsministeriums für Familie, Arbeit und Soziales</w:instrText>
      </w:r>
      <w:r w:rsidR="006321CE">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9D008C" w:rsidTr="009D008C">
        <w:tc>
          <w:tcPr>
            <w:tcW w:w="2050" w:type="dxa"/>
            <w:shd w:val="clear" w:color="auto" w:fill="auto"/>
          </w:tcPr>
          <w:p w:rsidR="009D008C" w:rsidRPr="009D008C" w:rsidRDefault="009D008C" w:rsidP="009D008C">
            <w:pPr>
              <w:pStyle w:val="LTAnfrageIni1"/>
            </w:pPr>
            <w:r w:rsidRPr="009D008C">
              <w:t>Abgeordneter</w:t>
            </w:r>
            <w:r w:rsidRPr="009D008C">
              <w:br/>
            </w:r>
            <w:r w:rsidRPr="009D008C">
              <w:rPr>
                <w:b/>
              </w:rPr>
              <w:t>Johannes</w:t>
            </w:r>
            <w:r w:rsidRPr="009D008C">
              <w:rPr>
                <w:b/>
              </w:rPr>
              <w:br/>
              <w:t>Becher</w:t>
            </w:r>
            <w:r w:rsidRPr="009D008C">
              <w:rPr>
                <w:b/>
              </w:rPr>
              <w:br/>
            </w:r>
            <w:r w:rsidRPr="009D008C">
              <w:t>(BÜNDNIS 90/DIE GRÜNEN)</w:t>
            </w:r>
            <w:r>
              <w:fldChar w:fldCharType="begin"/>
            </w:r>
            <w:r>
              <w:instrText xml:space="preserve"> XE </w:instrText>
            </w:r>
            <w:r w:rsidR="006321CE">
              <w:instrText>„</w:instrText>
            </w:r>
            <w:r>
              <w:instrText xml:space="preserve">Becher, Johannes (BÜNDNIS 90/DIE GRÜNEN):Höhe der Elternbeiträge in bayerischen Kitas </w:instrText>
            </w:r>
            <w:r>
              <w:fldChar w:fldCharType="end"/>
            </w:r>
            <w:r>
              <w:fldChar w:fldCharType="begin"/>
            </w:r>
            <w:r>
              <w:instrText xml:space="preserve"> TC </w:instrText>
            </w:r>
            <w:r w:rsidR="006321CE">
              <w:instrText>„</w:instrText>
            </w:r>
            <w:r>
              <w:instrText>Becher, Johannes (BÜNDNIS 90/DIE GRÜNEN)</w:instrText>
            </w:r>
            <w:r>
              <w:br/>
              <w:instrText xml:space="preserve">Höhe der Elternbeiträge in bayerischen Kitas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Vor dem Hintergrund, dass der Staatsminister für Wirtschaft, Landesentwicklung und Energie, Hubert Aiwanger, laut Presseberichten behauptet, dass durch den von der Staatsregierung beschlossenen Beitragszuschuss von 100 Euro pro Kind und Monat 90 Prozent der Eltern eine beitragsfreie Kinderbetreuung ermöglicht werde, frage ich die Staatsregierung, ob ihr genaue Zahlen zur Höhe der Elternbeiträge in den bayerischen Kitas vorliegen und falls ja, wie hoch die durchschnittlichen Elternbeiträge sind und in wie vielen Kitas die Beiträge über 100 Euro liegen?</w:t>
            </w:r>
          </w:p>
          <w:p w:rsidR="009D008C" w:rsidRDefault="009D008C" w:rsidP="009D008C">
            <w:pPr>
              <w:pStyle w:val="LTAnfrageText"/>
            </w:pPr>
          </w:p>
        </w:tc>
      </w:tr>
    </w:tbl>
    <w:p w:rsidR="009D008C" w:rsidRDefault="009D008C" w:rsidP="009D008C">
      <w:pPr>
        <w:pStyle w:val="LTUeberschrAntwortRessort"/>
      </w:pPr>
      <w:r>
        <w:t>Antwort des Staatsministeriums für Familie, Arbeit und Soziales</w:t>
      </w:r>
    </w:p>
    <w:p w:rsidR="009D008C" w:rsidRDefault="009D008C" w:rsidP="009D008C">
      <w:pPr>
        <w:pStyle w:val="LTAntwortRessortText"/>
      </w:pPr>
      <w:r>
        <w:t>Die Elternbeiträge werden von den Trägern der Kindertageseinrichtungen festgesetzt. Die Staatsregierung verfügt hierzu über keine individualisierten Daten und auch über keine</w:t>
      </w:r>
      <w:r w:rsidR="009A4AC4">
        <w:t xml:space="preserve"> aggregierten statistischen Er</w:t>
      </w:r>
      <w:r>
        <w:t>hebungen. Auskunft könnten nur die einzelnen Träger geben. Dabei wäre eine Erhebung bei rund 560.000 Einzelfällen in über 9.500 Einrichtungen mit einem unverhältnismäßigen Aufwand verbunden.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0"/>
        <w:gridCol w:w="5826"/>
      </w:tblGrid>
      <w:tr w:rsidR="009D008C" w:rsidTr="009D008C">
        <w:tc>
          <w:tcPr>
            <w:tcW w:w="2050" w:type="dxa"/>
            <w:shd w:val="clear" w:color="auto" w:fill="auto"/>
          </w:tcPr>
          <w:p w:rsidR="009D008C" w:rsidRPr="009D008C" w:rsidRDefault="009D008C" w:rsidP="009D008C">
            <w:pPr>
              <w:pStyle w:val="LTAnfrageIni1"/>
            </w:pPr>
            <w:r w:rsidRPr="009D008C">
              <w:t>Abgeordneter</w:t>
            </w:r>
            <w:r w:rsidRPr="009D008C">
              <w:br/>
            </w:r>
            <w:r w:rsidRPr="009D008C">
              <w:rPr>
                <w:b/>
              </w:rPr>
              <w:t>Dr. Markus</w:t>
            </w:r>
            <w:r w:rsidRPr="009D008C">
              <w:rPr>
                <w:b/>
              </w:rPr>
              <w:br/>
              <w:t>Büchler</w:t>
            </w:r>
            <w:r w:rsidRPr="009D008C">
              <w:rPr>
                <w:b/>
              </w:rPr>
              <w:br/>
            </w:r>
            <w:r w:rsidRPr="009D008C">
              <w:t>(BÜNDNIS 90/DIE GRÜNEN)</w:t>
            </w:r>
            <w:r>
              <w:fldChar w:fldCharType="begin"/>
            </w:r>
            <w:r>
              <w:instrText xml:space="preserve"> XE </w:instrText>
            </w:r>
            <w:r w:rsidR="006321CE">
              <w:instrText>„</w:instrText>
            </w:r>
            <w:r>
              <w:instrText xml:space="preserve">Büchler, Dr., Markus (BÜNDNIS 90/DIE GRÜNEN):Experimentierklausel im Bayerischen Kinderbildungs- und betreuungsgesetz (BayKiBiG) </w:instrText>
            </w:r>
            <w:r>
              <w:fldChar w:fldCharType="end"/>
            </w:r>
            <w:r>
              <w:fldChar w:fldCharType="begin"/>
            </w:r>
            <w:r>
              <w:instrText xml:space="preserve"> TC </w:instrText>
            </w:r>
            <w:r w:rsidR="006321CE">
              <w:instrText>„</w:instrText>
            </w:r>
            <w:r>
              <w:instrText>Dr. Büchler, Markus (BÜNDNIS 90/DIE GRÜNEN)</w:instrText>
            </w:r>
            <w:r>
              <w:br/>
              <w:instrText xml:space="preserve">Experimentierklausel im Bayerischen Kinderbildungs- und betreuungsgesetz (BayKiBiG)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Ich frage die Staatsregierung, wie oft wurde die Experimentierklausel, die im Bayerischen Kinderbildungs- und -betreuungsgesetz (B</w:t>
            </w:r>
            <w:r w:rsidR="004C4E6B">
              <w:t>ayKiBiG) in Art. 29 genannt wird</w:t>
            </w:r>
            <w:r>
              <w:t xml:space="preserve"> bezüglich der Erprobung innovativer Konzepte für die pädagogische Arbeit und bei der im Bewilligungs- und Aufsichtsverfahren sowie bei der Förderung von den Bestimmungen dieses Gesetzes abgewichen werden kann,</w:t>
            </w:r>
            <w:r w:rsidR="006321CE">
              <w:t xml:space="preserve"> </w:t>
            </w:r>
            <w:r>
              <w:t>in den letzten Jahren für innovative pädagogische Konzepte in Anspruch genommen, in welchen Städten und Landkreisen befinden sich alternative Einrichtungen wie Waldkindergärten, Bauernhofkitas, Bauwägen und ähnliche Angebote und ist es möglich, Zirkus- oder Bauwägen auch in einem normalen Kitabetrieb zu nutzen?</w:t>
            </w:r>
          </w:p>
          <w:p w:rsidR="009D008C" w:rsidRDefault="009D008C" w:rsidP="009D008C">
            <w:pPr>
              <w:pStyle w:val="LTAnfrageText"/>
            </w:pPr>
          </w:p>
        </w:tc>
      </w:tr>
    </w:tbl>
    <w:p w:rsidR="009D008C" w:rsidRDefault="009D008C" w:rsidP="009D008C">
      <w:pPr>
        <w:pStyle w:val="LTUeberschrAntwortRessort"/>
      </w:pPr>
      <w:r>
        <w:t>Antwort des Staatsministeriums für Familie, Arbeit und Soziales</w:t>
      </w:r>
    </w:p>
    <w:p w:rsidR="009D008C" w:rsidRDefault="009D008C" w:rsidP="009D008C">
      <w:pPr>
        <w:pStyle w:val="LTAntwortRessortText"/>
      </w:pPr>
      <w:r>
        <w:t xml:space="preserve">Die Experimentierklausel gibt es seit Inkrafttreten des </w:t>
      </w:r>
      <w:r w:rsidR="009A4AC4">
        <w:t>Bayerischen Kinderbildungs- und -betreuungsgesetz</w:t>
      </w:r>
      <w:r w:rsidR="004C4E6B">
        <w:t>es</w:t>
      </w:r>
      <w:r w:rsidR="009A4AC4">
        <w:t xml:space="preserve"> (</w:t>
      </w:r>
      <w:r>
        <w:t>BayKiBiG</w:t>
      </w:r>
      <w:r w:rsidR="009A4AC4">
        <w:t>)</w:t>
      </w:r>
      <w:r>
        <w:t xml:space="preserve"> im Jahr 2005. Es besteht keine Statistik darüber, wie oft die Experimentierklausel Anwendung gefunden hat bzw. wie viele Einrichtungen davon betroffen waren. Ebenso wenig sind die Städte und Landkreise gelistet, in denen Waldkindergärten, Bauernhofkitas oder Bauwägen betrieben werden. Eine Erhebung wäre mit einem erheblichen Verwaltungsaufwand verbunden.</w:t>
      </w:r>
    </w:p>
    <w:p w:rsidR="009D008C" w:rsidRDefault="009D008C" w:rsidP="009D008C">
      <w:pPr>
        <w:pStyle w:val="LTAntwortRessortText"/>
      </w:pPr>
      <w:r>
        <w:t>Spezielle Formen der Kinderbetreuung (Wald- oder Naturkindergärten) oder Einrichtungen mit besonderer konzeptioneller Schwerpun</w:t>
      </w:r>
      <w:r w:rsidR="009A4AC4">
        <w:t>ktsetzungen (z. B. Bauernhofk</w:t>
      </w:r>
      <w:r>
        <w:t>ita, Kneippkindergarten) können in aller Regel regulär bezuschusst werden. Der Experimentierklausel bedarf es nicht. Denn das BayKiBiG ist so ausgelegt, dass Vielfalt unterstützt wird und damit den Wünschen von Eltern möglichst Rechnung getragen werden kann.</w:t>
      </w:r>
    </w:p>
    <w:p w:rsidR="00AF399C" w:rsidRDefault="00AF399C" w:rsidP="009D008C">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8"/>
        <w:gridCol w:w="5818"/>
      </w:tblGrid>
      <w:tr w:rsidR="009D008C" w:rsidTr="009D008C">
        <w:tc>
          <w:tcPr>
            <w:tcW w:w="2050" w:type="dxa"/>
            <w:shd w:val="clear" w:color="auto" w:fill="auto"/>
          </w:tcPr>
          <w:p w:rsidR="009D008C" w:rsidRPr="009D008C" w:rsidRDefault="009D008C" w:rsidP="009D008C">
            <w:pPr>
              <w:pStyle w:val="LTAnfrageIni1"/>
            </w:pPr>
            <w:r w:rsidRPr="009D008C">
              <w:t>Abgeordnete</w:t>
            </w:r>
            <w:r w:rsidRPr="009D008C">
              <w:br/>
            </w:r>
            <w:r w:rsidRPr="009D008C">
              <w:rPr>
                <w:b/>
              </w:rPr>
              <w:t>Kerstin</w:t>
            </w:r>
            <w:r w:rsidRPr="009D008C">
              <w:rPr>
                <w:b/>
              </w:rPr>
              <w:br/>
              <w:t>Celina</w:t>
            </w:r>
            <w:r w:rsidRPr="009D008C">
              <w:rPr>
                <w:b/>
              </w:rPr>
              <w:br/>
            </w:r>
            <w:r w:rsidRPr="009D008C">
              <w:t>(BÜNDNIS 90/DIE GRÜNEN)</w:t>
            </w:r>
            <w:r>
              <w:fldChar w:fldCharType="begin"/>
            </w:r>
            <w:r>
              <w:instrText xml:space="preserve"> XE </w:instrText>
            </w:r>
            <w:r w:rsidR="006321CE">
              <w:instrText>„</w:instrText>
            </w:r>
            <w:r>
              <w:instrText xml:space="preserve">Celina, Kerstin (BÜNDNIS 90/DIE GRÜNEN):Ausschluss von Pflegefamilien beim Familiengeld </w:instrText>
            </w:r>
            <w:r>
              <w:fldChar w:fldCharType="end"/>
            </w:r>
            <w:r>
              <w:fldChar w:fldCharType="begin"/>
            </w:r>
            <w:r>
              <w:instrText xml:space="preserve"> TC </w:instrText>
            </w:r>
            <w:r w:rsidR="006321CE">
              <w:instrText>„</w:instrText>
            </w:r>
            <w:r>
              <w:instrText>Celina, Kerstin (BÜNDNIS 90/DIE GRÜNEN)</w:instrText>
            </w:r>
            <w:r>
              <w:br/>
              <w:instrText xml:space="preserve">Ausschluss von Pflegefamilien beim Familiengeld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Ich frage die Staatsregierung, wie viele Kinder zwischen dem vollendeten ersten und dritten Lebensjahr, die bei Pflegeeltern leben, durch die Beschränkung der Anspruchsberechtigten auf diejenigen Kinder, die mit dem Ziel der Adoption aufgenommen werden (Art. 2 Abs. 2 Nr.1 Bayerisches Familiengeldgesetz), vom Anspruch auf Familiengeld ausgeschlossen werden?</w:t>
            </w:r>
          </w:p>
          <w:p w:rsidR="009D008C" w:rsidRDefault="009D008C" w:rsidP="009D008C">
            <w:pPr>
              <w:pStyle w:val="LTAnfrageText"/>
            </w:pPr>
          </w:p>
        </w:tc>
      </w:tr>
    </w:tbl>
    <w:p w:rsidR="009D008C" w:rsidRDefault="009D008C" w:rsidP="00AF399C">
      <w:pPr>
        <w:pStyle w:val="LTUeberschrAntwortRessort"/>
        <w:spacing w:before="960"/>
      </w:pPr>
      <w:r>
        <w:t>Antwort des Staatsministeriums für Familie, Arbeit und Soziales</w:t>
      </w:r>
    </w:p>
    <w:p w:rsidR="009D008C" w:rsidRDefault="009D008C" w:rsidP="00AF399C">
      <w:pPr>
        <w:pStyle w:val="LTAntwortRessortText"/>
        <w:spacing w:before="360"/>
      </w:pPr>
      <w:r>
        <w:t>Vollzeitpflege im S</w:t>
      </w:r>
      <w:r w:rsidR="009A4AC4">
        <w:t>inne des § 33 Sozialgesetzbuch (SGB)</w:t>
      </w:r>
      <w:r>
        <w:t xml:space="preserve"> Achtes Buch</w:t>
      </w:r>
      <w:r w:rsidR="009A4AC4">
        <w:t xml:space="preserve"> (</w:t>
      </w:r>
      <w:r>
        <w:t>VIII) ist</w:t>
      </w:r>
      <w:r w:rsidR="009A4AC4">
        <w:t xml:space="preserve"> in ihrer konkreten Ausprägung </w:t>
      </w:r>
      <w:r>
        <w:t xml:space="preserve">einzelfallabhängig und vielgestaltig. Sie ist als Hilfe zur Erziehung im Grundsatz vom Ziel einer Rückführung in die Herkunftsfamilie geprägt. Pflegeeltern erhalten auf der Grundlage der bundesrechtlichen Bestimmungen Leistungen zum Unterhalt des Kindes nach §§ 33, 39 SGB VIII (dieser Unterhalt umfasst </w:t>
      </w:r>
      <w:r w:rsidR="009A4AC4">
        <w:t xml:space="preserve">die Kosten für den Sachaufwand </w:t>
      </w:r>
      <w:r>
        <w:t>und für die Pflege und Erziehung des Kindes).</w:t>
      </w:r>
      <w:r w:rsidR="009A4AC4">
        <w:t xml:space="preserve"> Ein Anspruch auf Familiengeld </w:t>
      </w:r>
      <w:r>
        <w:t>besteht daneben nicht. Nach den zuletzt vorliegenden</w:t>
      </w:r>
      <w:r w:rsidR="009A4AC4">
        <w:t xml:space="preserve"> </w:t>
      </w:r>
      <w:r>
        <w:t>Zahlen des Landesamts für Statistik wurden zum Stand 31.12.2016 insgesamt 625 Kinder unter drei Jahren in Bayern in Vollzeitpflege betreut. Eine Differenzierung nach 1- und 2</w:t>
      </w:r>
      <w:r w:rsidR="009A4AC4">
        <w:t>-jährigen Kin</w:t>
      </w:r>
      <w:r>
        <w:t>dern erfolgt in der Statistik hierbei nicht.</w:t>
      </w:r>
    </w:p>
    <w:p w:rsidR="009D008C" w:rsidRDefault="009D008C" w:rsidP="00AF399C">
      <w:pPr>
        <w:pStyle w:val="LTAntwortRessortText"/>
        <w:spacing w:before="360"/>
      </w:pPr>
      <w:r>
        <w:t xml:space="preserve">Demgegenüber beruht die sogenannte Adoptionspflege auf § 1744 </w:t>
      </w:r>
      <w:r w:rsidR="009A4AC4">
        <w:t>Bürgerliches Gesetzbuch (</w:t>
      </w:r>
      <w:r>
        <w:t>BGB</w:t>
      </w:r>
      <w:r w:rsidR="009A4AC4">
        <w:t>)</w:t>
      </w:r>
      <w:r>
        <w:t>, wonach eine Probezeit vor der Annahme des Kindes vorgeschrieben ist. Es handelt sich anders als bei der Vollz</w:t>
      </w:r>
      <w:r w:rsidR="009A4AC4">
        <w:t>eitpflege nicht um eine Maßnah</w:t>
      </w:r>
      <w:r>
        <w:t>me der Hilfe zu</w:t>
      </w:r>
      <w:r w:rsidR="004C4E6B">
        <w:t>r</w:t>
      </w:r>
      <w:r>
        <w:t xml:space="preserve"> Erziehung; bei der Begründung eines Eltern-Kind-Verhältnisses scheiden Leistungen nach §§ 33, 39 SGB VIII daher aus. Es besteht ein Anspruch auf Familiengeld gem. Art. 2 Abs. 2 Nr. 1 </w:t>
      </w:r>
      <w:r w:rsidR="009A4AC4">
        <w:t>Bayerisches Familiengeldgesetz (</w:t>
      </w:r>
      <w:r>
        <w:t>BayFamGG</w:t>
      </w:r>
      <w:r w:rsidR="009A4AC4">
        <w:t>)</w:t>
      </w:r>
      <w:r>
        <w:t>. 2016 waren insgesamt 236 Kinder und Jugendliche in Adoptionspflege untergebrac</w:t>
      </w:r>
      <w:r w:rsidR="009A4AC4">
        <w:t xml:space="preserve">ht. Eine Altersdifferenzierung </w:t>
      </w:r>
      <w:r>
        <w:t>ergibt die Statistik nicht.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9D008C" w:rsidTr="009D008C">
        <w:tc>
          <w:tcPr>
            <w:tcW w:w="2050" w:type="dxa"/>
            <w:shd w:val="clear" w:color="auto" w:fill="auto"/>
          </w:tcPr>
          <w:p w:rsidR="009D008C" w:rsidRPr="009D008C" w:rsidRDefault="009D008C" w:rsidP="009D008C">
            <w:pPr>
              <w:pStyle w:val="LTAnfrageIni1"/>
            </w:pPr>
            <w:r w:rsidRPr="009D008C">
              <w:t>Abgeordnete</w:t>
            </w:r>
            <w:r w:rsidRPr="009D008C">
              <w:br/>
            </w:r>
            <w:r w:rsidRPr="009D008C">
              <w:rPr>
                <w:b/>
              </w:rPr>
              <w:t>Claudia</w:t>
            </w:r>
            <w:r w:rsidRPr="009D008C">
              <w:rPr>
                <w:b/>
              </w:rPr>
              <w:br/>
              <w:t>Köhler</w:t>
            </w:r>
            <w:r w:rsidRPr="009D008C">
              <w:rPr>
                <w:b/>
              </w:rPr>
              <w:br/>
            </w:r>
            <w:r w:rsidRPr="009D008C">
              <w:t>(BÜNDNIS 90/DIE GRÜNEN)</w:t>
            </w:r>
            <w:r>
              <w:fldChar w:fldCharType="begin"/>
            </w:r>
            <w:r>
              <w:instrText xml:space="preserve"> XE </w:instrText>
            </w:r>
            <w:r w:rsidR="006321CE">
              <w:instrText>„</w:instrText>
            </w:r>
            <w:r>
              <w:instrText xml:space="preserve">Köhler, Claudia (BÜNDNIS 90/DIE GRÜNEN):Anrechnung des Familiengeldes auf Leistungen der wirtschaftlichen Jugendhilfe nach dem Sozialgesetzbuch (SGB) Achtes Buch (VIII) </w:instrText>
            </w:r>
            <w:r>
              <w:fldChar w:fldCharType="end"/>
            </w:r>
            <w:r>
              <w:fldChar w:fldCharType="begin"/>
            </w:r>
            <w:r>
              <w:instrText xml:space="preserve"> TC </w:instrText>
            </w:r>
            <w:r w:rsidR="006321CE">
              <w:instrText>„</w:instrText>
            </w:r>
            <w:r>
              <w:instrText>Köhler, Claudia (BÜNDNIS 90/DIE GRÜNEN)</w:instrText>
            </w:r>
            <w:r>
              <w:br/>
              <w:instrText xml:space="preserve">Anrechnung des Familiengeldes auf Leistungen der wirtschaftlichen Jugendhilfe nach dem Sozialgesetzbuch (SGB) Achtes Buch (VIII)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Ich frage die Staatsregierung, ob ihr neben den in Presseberichten in Würzburg erwähnten Fällen der Anrechnung des Familiengeldes auf Leistungen der Jugendhilfe zur Erstattung von Kitagebühren weitere Fälle bekannt sind, in denen Jugendämter das Familiengeld auf Leistungen der Jugendhilfe angerechnet haben und wie in diesem Zusammenhang der Problematik einer doppelten Anrechnung des Familiengeldes auf Leistungen zur Sicherung des Lebensunterhalts nach dem Sozialgesetzbuch (SGB) Zweites Buch II und auf Leistungen der Jugendhilfe begegnet werden soll?</w:t>
            </w:r>
          </w:p>
          <w:p w:rsidR="009D008C" w:rsidRDefault="009D008C" w:rsidP="009D008C">
            <w:pPr>
              <w:pStyle w:val="LTAnfrageText"/>
            </w:pPr>
          </w:p>
        </w:tc>
      </w:tr>
    </w:tbl>
    <w:p w:rsidR="009D008C" w:rsidRDefault="009D008C" w:rsidP="009D008C">
      <w:pPr>
        <w:pStyle w:val="LTUeberschrAntwortRessort"/>
      </w:pPr>
      <w:r>
        <w:t>Antwort des Staatsministeriums für Familie, Arbeit und Soziales</w:t>
      </w:r>
    </w:p>
    <w:p w:rsidR="009D008C" w:rsidRDefault="009D008C" w:rsidP="009D008C">
      <w:pPr>
        <w:pStyle w:val="LTAntwortRessortText"/>
      </w:pPr>
      <w:r>
        <w:t xml:space="preserve">Bei Entscheidungen zur sogenannten wirtschaftlichen Jugendhilfe gem.§ 90 </w:t>
      </w:r>
      <w:r w:rsidR="002C12A1">
        <w:t>Sozialgesetzbuch (</w:t>
      </w:r>
      <w:r>
        <w:t>SGB</w:t>
      </w:r>
      <w:r w:rsidR="002C12A1">
        <w:t>) Achtes Buch</w:t>
      </w:r>
      <w:r>
        <w:t xml:space="preserve"> </w:t>
      </w:r>
      <w:r w:rsidR="002C12A1">
        <w:t>(</w:t>
      </w:r>
      <w:r>
        <w:t>VIII</w:t>
      </w:r>
      <w:r w:rsidR="002C12A1">
        <w:t>)</w:t>
      </w:r>
      <w:r>
        <w:t xml:space="preserve"> handeln die Kommunen im eigenen Wirkungskreis</w:t>
      </w:r>
      <w:r w:rsidR="002C12A1">
        <w:t>. Eine Übersicht zur Handhabung</w:t>
      </w:r>
      <w:r>
        <w:t xml:space="preserve"> aller Jugendämter liegt dem Staatsministerium für Familie, Arbeit und Soziales (StMAS) nicht vor, eine aktuelle Probleman</w:t>
      </w:r>
      <w:r w:rsidR="002C12A1">
        <w:t>zeige vergleichbar Würzburg be</w:t>
      </w:r>
      <w:r>
        <w:t>steht nicht.</w:t>
      </w:r>
    </w:p>
    <w:p w:rsidR="009D008C" w:rsidRDefault="009D008C" w:rsidP="009D008C">
      <w:pPr>
        <w:pStyle w:val="LTAntwortRessortText"/>
      </w:pPr>
      <w:r>
        <w:t>Das StMAS ist bereits frühzeitig auf den Städtetag und den Landkreistag zugegangen und hat die Rechtsauffassung der Staatsregierung zur Nichtberücksichtigu</w:t>
      </w:r>
      <w:r w:rsidR="002C12A1">
        <w:t>ng</w:t>
      </w:r>
      <w:r>
        <w:t xml:space="preserve"> des Familiengelds im Kontext des § 90 SGB VIII deutlich gemacht. Zusätzlich wurde mit Schreiben von Anfang September</w:t>
      </w:r>
      <w:r w:rsidR="002C12A1">
        <w:t xml:space="preserve"> 2018 unter anderem darauf hin</w:t>
      </w:r>
      <w:r>
        <w:t>gewiesen, dass eine Doppelberücksichtigung bei Bezug von SGB II-Leistungen faktisch ausscheidet. Denn der Einsatz des Familiengeldes kann nicht zugleich für den Lebensunterhalt und für den Kita-Beitrag verlangt werden. Sowohl der Sozialausschuss des Städtetags als auch des Landkreistags haben sich zwischenzeitlich in ihren Beschlüssen zum Familiengeld ebenso gegen eine Doppelberücksichtigung ausgesprochen.</w:t>
      </w:r>
    </w:p>
    <w:p w:rsidR="009D008C" w:rsidRDefault="009D008C" w:rsidP="009D008C">
      <w:pPr>
        <w:pStyle w:val="LTAntwortRessortText"/>
      </w:pPr>
      <w:r>
        <w:t xml:space="preserve">Zur nochmaligen Darstellung der Rechtsauffassung der Staatsregierung ist ein Schreiben des </w:t>
      </w:r>
      <w:r w:rsidR="00AD553C">
        <w:t>StMAS</w:t>
      </w:r>
      <w:r>
        <w:t xml:space="preserve"> an die Jugendamtsleitungen der kreisfreien Städte und Landkreise vorgesehen.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2"/>
        <w:gridCol w:w="5854"/>
      </w:tblGrid>
      <w:tr w:rsidR="009D008C" w:rsidTr="009D008C">
        <w:tc>
          <w:tcPr>
            <w:tcW w:w="2050" w:type="dxa"/>
            <w:shd w:val="clear" w:color="auto" w:fill="auto"/>
          </w:tcPr>
          <w:p w:rsidR="009D008C" w:rsidRPr="009D008C" w:rsidRDefault="009D008C" w:rsidP="009D008C">
            <w:pPr>
              <w:pStyle w:val="LTAnfrageIni1"/>
            </w:pPr>
            <w:r w:rsidRPr="009D008C">
              <w:t>Abgeordnete</w:t>
            </w:r>
            <w:r w:rsidRPr="009D008C">
              <w:br/>
            </w:r>
            <w:r w:rsidRPr="009D008C">
              <w:rPr>
                <w:b/>
              </w:rPr>
              <w:t>Julika</w:t>
            </w:r>
            <w:r w:rsidRPr="009D008C">
              <w:rPr>
                <w:b/>
              </w:rPr>
              <w:br/>
              <w:t>Sandt</w:t>
            </w:r>
            <w:r w:rsidRPr="009D008C">
              <w:rPr>
                <w:b/>
              </w:rPr>
              <w:br/>
            </w:r>
            <w:r w:rsidRPr="009D008C">
              <w:t>(FDP)</w:t>
            </w:r>
            <w:r>
              <w:fldChar w:fldCharType="begin"/>
            </w:r>
            <w:r>
              <w:instrText xml:space="preserve"> XE </w:instrText>
            </w:r>
            <w:r w:rsidR="006321CE">
              <w:instrText>„</w:instrText>
            </w:r>
            <w:r>
              <w:instrText xml:space="preserve">Sandt, Julika (FDP):Kitaplätze\: Ausbau mit Fokus auf Bedarf und Qualität? </w:instrText>
            </w:r>
            <w:r>
              <w:fldChar w:fldCharType="end"/>
            </w:r>
            <w:r>
              <w:fldChar w:fldCharType="begin"/>
            </w:r>
            <w:r>
              <w:instrText xml:space="preserve"> TC </w:instrText>
            </w:r>
            <w:r w:rsidR="006321CE">
              <w:instrText>„</w:instrText>
            </w:r>
            <w:r>
              <w:instrText>Sandt, Julika (FDP)</w:instrText>
            </w:r>
            <w:r>
              <w:br/>
              <w:instrText xml:space="preserve">Kitaplätze: Ausbau mit Fokus auf Bedarf und Qualität?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Ich frage die Staatsregierung, sind die in der Kabinettssitzung vom 08.05.2018 beschlossenen 30.000 Kitaplätze in den im Koalitionsvertrag angekündigten 42.000 zusätzlichen Kitaplätzen bereits enthalten und auf welcher Datenbasis wird der Bedarf an Kitaplätzen ermittelt?</w:t>
            </w:r>
          </w:p>
          <w:p w:rsidR="009D008C" w:rsidRDefault="009D008C" w:rsidP="009D008C">
            <w:pPr>
              <w:pStyle w:val="LTAnfrageText"/>
            </w:pPr>
          </w:p>
        </w:tc>
      </w:tr>
    </w:tbl>
    <w:p w:rsidR="009D008C" w:rsidRDefault="009D008C" w:rsidP="009D008C">
      <w:pPr>
        <w:pStyle w:val="LTUeberschrAntwortRessort"/>
      </w:pPr>
      <w:r>
        <w:t>Antwort des Staatsministeriums für Familie, Arbeit und Soziales</w:t>
      </w:r>
    </w:p>
    <w:p w:rsidR="009D008C" w:rsidRDefault="009D008C" w:rsidP="009D008C">
      <w:pPr>
        <w:pStyle w:val="LTAntwortRessortText"/>
      </w:pPr>
      <w:r>
        <w:t>In den im Koalitionsvertrag angekündigten 42.000 zusätzlichen Plätzen für Kinder bis zur Einschulung sind die 30.000 Plätze aus der Kabinettssitzung vom 08.05.2018 enthalten.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9"/>
        <w:gridCol w:w="5817"/>
      </w:tblGrid>
      <w:tr w:rsidR="009D008C" w:rsidTr="009D008C">
        <w:tc>
          <w:tcPr>
            <w:tcW w:w="2050" w:type="dxa"/>
            <w:shd w:val="clear" w:color="auto" w:fill="auto"/>
          </w:tcPr>
          <w:p w:rsidR="009D008C" w:rsidRPr="009D008C" w:rsidRDefault="009D008C" w:rsidP="009D008C">
            <w:pPr>
              <w:pStyle w:val="LTAnfrageIni1"/>
            </w:pPr>
            <w:r w:rsidRPr="009D008C">
              <w:t>Abgeordneter</w:t>
            </w:r>
            <w:r w:rsidRPr="009D008C">
              <w:br/>
            </w:r>
            <w:r w:rsidRPr="009D008C">
              <w:rPr>
                <w:b/>
              </w:rPr>
              <w:t>Florian</w:t>
            </w:r>
            <w:r w:rsidRPr="009D008C">
              <w:rPr>
                <w:b/>
              </w:rPr>
              <w:br/>
              <w:t>Siekmann</w:t>
            </w:r>
            <w:r w:rsidRPr="009D008C">
              <w:rPr>
                <w:b/>
              </w:rPr>
              <w:br/>
            </w:r>
            <w:r w:rsidRPr="009D008C">
              <w:t>(BÜNDNIS 90/DIE GRÜNEN)</w:t>
            </w:r>
            <w:r>
              <w:fldChar w:fldCharType="begin"/>
            </w:r>
            <w:r>
              <w:instrText xml:space="preserve"> XE </w:instrText>
            </w:r>
            <w:r w:rsidR="006321CE">
              <w:instrText>„</w:instrText>
            </w:r>
            <w:r>
              <w:instrText xml:space="preserve">Siekmann, Florian (BÜNDNIS 90/DIE GRÜNEN):Förderung von Jugendaustauschprogrammen </w:instrText>
            </w:r>
            <w:r>
              <w:fldChar w:fldCharType="end"/>
            </w:r>
            <w:r>
              <w:fldChar w:fldCharType="begin"/>
            </w:r>
            <w:r>
              <w:instrText xml:space="preserve"> TC </w:instrText>
            </w:r>
            <w:r w:rsidR="006321CE">
              <w:instrText>„</w:instrText>
            </w:r>
            <w:r>
              <w:instrText>Siekmann, Florian (BÜNDNIS 90/DIE GRÜNEN)</w:instrText>
            </w:r>
            <w:r>
              <w:br/>
              <w:instrText xml:space="preserve">Förderung von Jugendaustauschprogrammen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Ich frage die Staatsregierung, welche Jugendaustauschprogramme innerhalb der Europäischen Union (EU) werden derzeit von der Staatsregierung gefördert, in welchem Umfang werden diese jeweils gefördert und über welchen Zeitraum erstreckt sich die Förderung jeweils?</w:t>
            </w:r>
          </w:p>
          <w:p w:rsidR="009D008C" w:rsidRDefault="009D008C" w:rsidP="009D008C">
            <w:pPr>
              <w:pStyle w:val="LTAnfrageText"/>
            </w:pPr>
          </w:p>
        </w:tc>
      </w:tr>
    </w:tbl>
    <w:p w:rsidR="009D008C" w:rsidRDefault="009D008C" w:rsidP="00AF399C">
      <w:pPr>
        <w:pStyle w:val="LTUeberschrAntwortRessort"/>
        <w:spacing w:before="0"/>
      </w:pPr>
      <w:r>
        <w:t>Antwort des Staatsministeriums für Familie, Arbeit und Soziales</w:t>
      </w:r>
    </w:p>
    <w:p w:rsidR="009D008C" w:rsidRDefault="009D008C" w:rsidP="009D008C">
      <w:pPr>
        <w:pStyle w:val="LTAntwortRessortText"/>
      </w:pPr>
      <w:r>
        <w:t xml:space="preserve">Mit den </w:t>
      </w:r>
      <w:r w:rsidR="006321CE">
        <w:t>„</w:t>
      </w:r>
      <w:r>
        <w:t>Richtlinien zur Förderung von Maßnahmen und Projekten de</w:t>
      </w:r>
      <w:r w:rsidR="002C12A1">
        <w:t>r internationalen Jugendarbeit z</w:t>
      </w:r>
      <w:r>
        <w:t>ur Umsetzung des Kinder- und Jugendprogramms der Staatsregierung</w:t>
      </w:r>
      <w:r w:rsidR="006321CE">
        <w:t>“</w:t>
      </w:r>
      <w:r>
        <w:t xml:space="preserve"> fördert der Bayerische Jugendring (BJR) K.</w:t>
      </w:r>
      <w:r w:rsidR="002C12A1">
        <w:t xml:space="preserve"> </w:t>
      </w:r>
      <w:r>
        <w:t>d.</w:t>
      </w:r>
      <w:r w:rsidR="002C12A1">
        <w:t xml:space="preserve"> </w:t>
      </w:r>
      <w:r>
        <w:t>ö.</w:t>
      </w:r>
      <w:r w:rsidR="002C12A1">
        <w:t xml:space="preserve"> </w:t>
      </w:r>
      <w:r>
        <w:t xml:space="preserve">R., der vom Freistaat </w:t>
      </w:r>
      <w:r w:rsidR="002C12A1">
        <w:t xml:space="preserve">Bayern </w:t>
      </w:r>
      <w:r>
        <w:t xml:space="preserve">mit der Wahrnehmung der Aufgaben des überörtlichen Trägers der öffentlichen Jugendhilfe für den Bereich der Jugendarbeit beauftragt wurde, im Auftrag der Staatsregierung und mit staatlichen Mitteln zur Umsetzung des Kinderund Jugendprogramms der Staatsregierung Maßnahmen und Projekte der internationaler </w:t>
      </w:r>
      <w:r w:rsidR="00AD553C">
        <w:br/>
      </w:r>
      <w:r>
        <w:t xml:space="preserve">Jugendarbeit. Die genannten Förderrichtlinien, die nicht auf Mitgliedstaaten </w:t>
      </w:r>
      <w:r w:rsidR="00AD553C">
        <w:br/>
      </w:r>
      <w:r>
        <w:t>der EU beschränkt sind, sind auf der Homepage des BJR veröffentlicht (</w:t>
      </w:r>
      <w:hyperlink r:id="rId25" w:history="1">
        <w:r w:rsidR="002C12A1" w:rsidRPr="005F1752">
          <w:rPr>
            <w:rStyle w:val="Hyperlink"/>
          </w:rPr>
          <w:t>https://www.bjr.de/themen/foerderung/weiterentwicklung-internationaler-jugendarbeit.html</w:t>
        </w:r>
      </w:hyperlink>
      <w:r w:rsidR="002C12A1">
        <w:t xml:space="preserve"> </w:t>
      </w:r>
      <w:r>
        <w:t>). Gefördert werden Projekte und Maßnahmen der internationalen Jugendarbeit, die von besonderer Bedeutung für die bayerische Jugendarbeit sind oder einen</w:t>
      </w:r>
      <w:r w:rsidR="002C12A1">
        <w:t xml:space="preserve"> Beitrag zur Weiterentwicklung </w:t>
      </w:r>
      <w:r>
        <w:t>internationaler Jugendarbeit leisten. Das sind insbesondere Aktivitäten und Projekte mit besonderen Schwerpunkten oder mit neuen Zielgruppen oder solche, die im Rahmen bestehender Partnervereinbarungen des BJR stattfinden, sowie Aktivitäten zum Kontaktaufbau, zur Planung und Vorbereitung internationaler Begegnungen und Projekte im Rahmen der Jugendarbeit (wie z. B. vorbere</w:t>
      </w:r>
      <w:r w:rsidR="002C12A1">
        <w:t xml:space="preserve">itende Besuche im Partnerland, </w:t>
      </w:r>
      <w:r>
        <w:t>Treffen mit der zukünftigen Partnerorganisation und andere Aktivitäten, die der Partnersuche dienen).</w:t>
      </w:r>
    </w:p>
    <w:p w:rsidR="009D008C" w:rsidRDefault="009D008C" w:rsidP="009D008C">
      <w:pPr>
        <w:pStyle w:val="LTAntwortRessortText"/>
      </w:pPr>
      <w:r>
        <w:t>Laut BJR-Arbeitsbericht für das Jahr 2017, Tab. 08 (Seite 122) wurden aus diesem Förderprogramm im Jahr 2017 insgesamt acht Maßnahmen mit 55.794 Euro gefördert. Im Jahr 2016 waren es fünf Maßnahmen, die mit 35.267 Euro gefördert wurden, und im Jahr 2015 wurden drei Maßnahmen mit 15.200 Euro gefördert. Die BJR-Arbeitsberichte sind ebenfalls auf der Homepage des BJR veröffentlicht (</w:t>
      </w:r>
      <w:hyperlink r:id="rId26" w:history="1">
        <w:r w:rsidR="009F362C" w:rsidRPr="005F1752">
          <w:rPr>
            <w:rStyle w:val="Hyperlink"/>
          </w:rPr>
          <w:t>https://shop.bjr.de/arbeitsberichte/</w:t>
        </w:r>
      </w:hyperlink>
      <w:r>
        <w:t>).</w:t>
      </w:r>
    </w:p>
    <w:p w:rsidR="009D008C" w:rsidRDefault="009D008C" w:rsidP="009D008C">
      <w:pPr>
        <w:pStyle w:val="LTAntwortRessortText"/>
      </w:pPr>
      <w:r>
        <w:t>Die aus Landesmitteln geförderten Maßnahmen ergänzen die Jugendaustauschmaßnahmen, die aus dem Kinder- und Jugendplan des Bundes sowie aus Mitteln des Deutsch</w:t>
      </w:r>
      <w:r w:rsidR="0051739F">
        <w:t>-Französischen und des Deutsch-</w:t>
      </w:r>
      <w:r>
        <w:t>Polnischen Jugendwerks gefördert werden. Ein Überblick über diese Maßnahmen findet sich ebenfalls in der o. g. Tab.</w:t>
      </w:r>
      <w:r w:rsidR="0051739F">
        <w:t> </w:t>
      </w:r>
      <w:r>
        <w:t xml:space="preserve">08. Darüber hinaus fördert die Staatsregierung zusammen mit dem Bund und dem Freistaat Sachsen die Aktivitäten des </w:t>
      </w:r>
      <w:r w:rsidR="006321CE">
        <w:t>„</w:t>
      </w:r>
      <w:r>
        <w:t xml:space="preserve">Koordinierungszentrums Deutsch-tschechischer Jugendaustausch </w:t>
      </w:r>
      <w:r w:rsidR="0051739F">
        <w:t>–</w:t>
      </w:r>
      <w:r>
        <w:t xml:space="preserve"> Tandem</w:t>
      </w:r>
      <w:r w:rsidR="006321CE">
        <w:t>“</w:t>
      </w:r>
      <w:r>
        <w:t>. Ebenfalls werden Maßnahmen des internationalen Schüleraustauschs und des internationalen Studierendenaustauschs gefördert. Auch im Rahmen des bilateralen Austauschs der Staatsregierung mit anderen Staaten und Regionen werden punktuell Jugendaustauschprojekte gefördert.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1"/>
        <w:gridCol w:w="5835"/>
      </w:tblGrid>
      <w:tr w:rsidR="009D008C" w:rsidTr="009D008C">
        <w:tc>
          <w:tcPr>
            <w:tcW w:w="2050" w:type="dxa"/>
            <w:shd w:val="clear" w:color="auto" w:fill="auto"/>
          </w:tcPr>
          <w:p w:rsidR="009D008C" w:rsidRPr="009D008C" w:rsidRDefault="009D008C" w:rsidP="009D008C">
            <w:pPr>
              <w:pStyle w:val="LTAnfrageIni1"/>
            </w:pPr>
            <w:r w:rsidRPr="009D008C">
              <w:t>Abgeordnete</w:t>
            </w:r>
            <w:r w:rsidRPr="009D008C">
              <w:br/>
            </w:r>
            <w:r w:rsidRPr="009D008C">
              <w:rPr>
                <w:b/>
              </w:rPr>
              <w:t>Dr. Simone</w:t>
            </w:r>
            <w:r w:rsidRPr="009D008C">
              <w:rPr>
                <w:b/>
              </w:rPr>
              <w:br/>
              <w:t>Strohmayr</w:t>
            </w:r>
            <w:r w:rsidRPr="009D008C">
              <w:rPr>
                <w:b/>
              </w:rPr>
              <w:br/>
            </w:r>
            <w:r w:rsidRPr="009D008C">
              <w:t>(SPD)</w:t>
            </w:r>
            <w:r>
              <w:fldChar w:fldCharType="begin"/>
            </w:r>
            <w:r>
              <w:instrText xml:space="preserve"> XE </w:instrText>
            </w:r>
            <w:r w:rsidR="006321CE">
              <w:instrText>„</w:instrText>
            </w:r>
            <w:r>
              <w:instrText xml:space="preserve">Strohmayr, Dr., Simone (SPD):Übernachtungsmöglichkeiten bei der Kinderbetreuung </w:instrText>
            </w:r>
            <w:r>
              <w:fldChar w:fldCharType="end"/>
            </w:r>
            <w:r>
              <w:fldChar w:fldCharType="begin"/>
            </w:r>
            <w:r>
              <w:instrText xml:space="preserve"> TC </w:instrText>
            </w:r>
            <w:r w:rsidR="006321CE">
              <w:instrText>„</w:instrText>
            </w:r>
            <w:r>
              <w:instrText>Dr. Strohmayr, Simone (SPD)</w:instrText>
            </w:r>
            <w:r>
              <w:br/>
              <w:instrText xml:space="preserve">Übernachtungsmöglichkeiten bei der Kinderbetreuung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Ich frage die Staatsregierung, wie viele Einrichtungen im Bereich der Kinder- und Kleinkinderbetreuung inklusive Kindergärten bieten für die Landkreise und kreisfreien Städte in Schwaben, eine Übernachtungsmöglichkeit an?</w:t>
            </w:r>
          </w:p>
          <w:p w:rsidR="009D008C" w:rsidRDefault="009D008C" w:rsidP="009D008C">
            <w:pPr>
              <w:pStyle w:val="LTAnfrageText"/>
            </w:pPr>
          </w:p>
        </w:tc>
      </w:tr>
    </w:tbl>
    <w:p w:rsidR="009D008C" w:rsidRDefault="009D008C" w:rsidP="009D008C">
      <w:pPr>
        <w:pStyle w:val="LTUeberschrAntwortRessort"/>
      </w:pPr>
      <w:r>
        <w:t>Antwort des Staatsministeriums für Familie, Arbeit und Soziales</w:t>
      </w:r>
    </w:p>
    <w:p w:rsidR="009D008C" w:rsidRDefault="009D008C" w:rsidP="009D008C">
      <w:pPr>
        <w:pStyle w:val="LTAntwortRessortText"/>
      </w:pPr>
      <w:r>
        <w:t xml:space="preserve">Die Staatsregierung verfügt </w:t>
      </w:r>
      <w:r w:rsidR="004359B0">
        <w:t>zu dieser</w:t>
      </w:r>
      <w:r>
        <w:t xml:space="preserve"> Anfrage</w:t>
      </w:r>
      <w:r w:rsidR="004359B0">
        <w:t xml:space="preserve"> zum Plenum</w:t>
      </w:r>
      <w:r>
        <w:t xml:space="preserve"> über keine Statistik. Gefördert werden Einrichtungen mit Übernachtungsmöglichkeiten im Rahmen des Bundesprogramms </w:t>
      </w:r>
      <w:r w:rsidR="004359B0">
        <w:t>„</w:t>
      </w:r>
      <w:r>
        <w:t>KitaPlus</w:t>
      </w:r>
      <w:r w:rsidR="004359B0">
        <w:t>“</w:t>
      </w:r>
      <w:r>
        <w:t>. Für Schwaben ist in dem Projekt keine Einrichtung gelistet.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9"/>
        <w:gridCol w:w="5817"/>
      </w:tblGrid>
      <w:tr w:rsidR="009D008C" w:rsidTr="009D008C">
        <w:tc>
          <w:tcPr>
            <w:tcW w:w="2050" w:type="dxa"/>
            <w:shd w:val="clear" w:color="auto" w:fill="auto"/>
          </w:tcPr>
          <w:p w:rsidR="009D008C" w:rsidRPr="009D008C" w:rsidRDefault="009D008C" w:rsidP="009D008C">
            <w:pPr>
              <w:pStyle w:val="LTAnfrageIni1"/>
            </w:pPr>
            <w:r w:rsidRPr="009D008C">
              <w:t>Abgeordnete</w:t>
            </w:r>
            <w:r w:rsidRPr="009D008C">
              <w:br/>
            </w:r>
            <w:r w:rsidRPr="009D008C">
              <w:rPr>
                <w:b/>
              </w:rPr>
              <w:t>Anna</w:t>
            </w:r>
            <w:r w:rsidRPr="009D008C">
              <w:rPr>
                <w:b/>
              </w:rPr>
              <w:br/>
              <w:t>Toman</w:t>
            </w:r>
            <w:r w:rsidRPr="009D008C">
              <w:rPr>
                <w:b/>
              </w:rPr>
              <w:br/>
            </w:r>
            <w:r w:rsidRPr="009D008C">
              <w:t>(BÜNDNIS 90/DIE GRÜNEN)</w:t>
            </w:r>
            <w:r>
              <w:fldChar w:fldCharType="begin"/>
            </w:r>
            <w:r>
              <w:instrText xml:space="preserve"> XE </w:instrText>
            </w:r>
            <w:r w:rsidR="006321CE">
              <w:instrText>„</w:instrText>
            </w:r>
            <w:r>
              <w:instrText xml:space="preserve">Toman, Anna (BÜNDNIS 90/DIE GRÜNEN):Umsetzung der UN-Behindertenrechtskonvention im ÖPNV und Finanzierung </w:instrText>
            </w:r>
            <w:r>
              <w:fldChar w:fldCharType="end"/>
            </w:r>
            <w:r>
              <w:fldChar w:fldCharType="begin"/>
            </w:r>
            <w:r>
              <w:instrText xml:space="preserve"> TC </w:instrText>
            </w:r>
            <w:r w:rsidR="006321CE">
              <w:instrText>„</w:instrText>
            </w:r>
            <w:r>
              <w:instrText>Toman, Anna (BÜNDNIS 90/DIE GRÜNEN)</w:instrText>
            </w:r>
            <w:r>
              <w:br/>
              <w:instrText xml:space="preserve">Umsetzung der UN-Behindertenrechtskonvention im ÖPNV und Finanzierung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 xml:space="preserve">Ich frage die Staatsregierung, wie viele Inhaberinnen und Inhaber eines Schwerbehindertenausweises nutzen die Wertmarke zur Fahrt im öffentlichen Nahverkehr (Bezug über die Versorgungsämter) pro Jahr in Bayern (bitte insgesamt und aufgeschlüsselt nach Bezirken), wie viele von ihnen zahlen keinen Eigenanteil (gemäß Sozialgesetzbuch oder aufgrund des Merkzeichens Blindheit </w:t>
            </w:r>
            <w:r w:rsidR="00040C73">
              <w:t>–</w:t>
            </w:r>
            <w:r>
              <w:t xml:space="preserve"> BI, Hilflosigkeit </w:t>
            </w:r>
            <w:r w:rsidR="00040C73">
              <w:t>–</w:t>
            </w:r>
            <w:r>
              <w:t xml:space="preserve"> H, Versorgungsberechtigung nach dem Soldatenversorgungsgesetz </w:t>
            </w:r>
            <w:r w:rsidR="00040C73">
              <w:t>–</w:t>
            </w:r>
            <w:r>
              <w:t xml:space="preserve"> VB, Entschädigungsberechtigung nach § 28 Bundesentschädigungsgesetz </w:t>
            </w:r>
            <w:r w:rsidR="00040C73">
              <w:t>–</w:t>
            </w:r>
            <w:r>
              <w:t xml:space="preserve"> EB</w:t>
            </w:r>
            <w:r w:rsidR="00040C73">
              <w:br/>
            </w:r>
            <w:r>
              <w:t>oder als eingetragene Begleitung) und wie viel Geld muss insgesamt vom Bund, vom Land oder vom Bezirk dazugegeben werden, um die Kosten der Bahn zu decken?</w:t>
            </w:r>
          </w:p>
          <w:p w:rsidR="009D008C" w:rsidRDefault="009D008C" w:rsidP="009D008C">
            <w:pPr>
              <w:pStyle w:val="LTAnfrageText"/>
            </w:pPr>
          </w:p>
        </w:tc>
      </w:tr>
    </w:tbl>
    <w:p w:rsidR="009D008C" w:rsidRDefault="009D008C" w:rsidP="009D008C">
      <w:pPr>
        <w:pStyle w:val="LTUeberschrAntwortRessort"/>
      </w:pPr>
      <w:r>
        <w:t>Antwort des Staatsministeriums für Familie, Arbeit und Soziales</w:t>
      </w:r>
    </w:p>
    <w:p w:rsidR="009D008C" w:rsidRDefault="009D008C" w:rsidP="009D008C">
      <w:pPr>
        <w:pStyle w:val="LTAntwortRessortText"/>
      </w:pPr>
      <w:r>
        <w:t>Zum Stand 31.12.2017 waren in B</w:t>
      </w:r>
      <w:r w:rsidR="00040C73">
        <w:t xml:space="preserve">ayern 180.098 Wertmarken zur </w:t>
      </w:r>
      <w:r>
        <w:t>Beförderung im ÖPNV in Bayern ausgegeben, davon 90.329 unentgeltlich. Der nachfolgenden Aufstellung ist die Verteilung auf die Regierungsbezirke zu entnehmen:</w:t>
      </w:r>
    </w:p>
    <w:p w:rsidR="009D008C" w:rsidRDefault="009D008C" w:rsidP="009D008C">
      <w:pPr>
        <w:pStyle w:val="LTAntwortRessortText"/>
      </w:pPr>
    </w:p>
    <w:tbl>
      <w:tblPr>
        <w:tblW w:w="6951" w:type="dxa"/>
        <w:jc w:val="center"/>
        <w:tblCellMar>
          <w:left w:w="70" w:type="dxa"/>
          <w:right w:w="70" w:type="dxa"/>
        </w:tblCellMar>
        <w:tblLook w:val="04A0" w:firstRow="1" w:lastRow="0" w:firstColumn="1" w:lastColumn="0" w:noHBand="0" w:noVBand="1"/>
      </w:tblPr>
      <w:tblGrid>
        <w:gridCol w:w="2551"/>
        <w:gridCol w:w="2180"/>
        <w:gridCol w:w="2220"/>
      </w:tblGrid>
      <w:tr w:rsidR="0006036A" w:rsidRPr="0006036A" w:rsidTr="0006036A">
        <w:trPr>
          <w:trHeight w:val="564"/>
          <w:jc w:val="center"/>
        </w:trPr>
        <w:tc>
          <w:tcPr>
            <w:tcW w:w="2551" w:type="dxa"/>
            <w:tcBorders>
              <w:top w:val="nil"/>
              <w:left w:val="nil"/>
              <w:bottom w:val="nil"/>
              <w:right w:val="nil"/>
            </w:tcBorders>
            <w:shd w:val="clear" w:color="auto" w:fill="auto"/>
            <w:noWrap/>
            <w:vAlign w:val="bottom"/>
            <w:hideMark/>
          </w:tcPr>
          <w:p w:rsidR="0006036A" w:rsidRPr="0006036A" w:rsidRDefault="0006036A" w:rsidP="0006036A">
            <w:pPr>
              <w:rPr>
                <w:rFonts w:cs="Arial"/>
                <w:color w:val="000000"/>
                <w:szCs w:val="2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36A" w:rsidRPr="0006036A" w:rsidRDefault="0006036A" w:rsidP="0006036A">
            <w:pPr>
              <w:jc w:val="center"/>
              <w:rPr>
                <w:rFonts w:cs="Arial"/>
                <w:color w:val="000000"/>
                <w:szCs w:val="20"/>
              </w:rPr>
            </w:pPr>
            <w:r w:rsidRPr="0006036A">
              <w:rPr>
                <w:rFonts w:cs="Arial"/>
                <w:color w:val="000000"/>
                <w:szCs w:val="20"/>
              </w:rPr>
              <w:t xml:space="preserve">Wertmarken </w:t>
            </w:r>
          </w:p>
          <w:p w:rsidR="0006036A" w:rsidRPr="0006036A" w:rsidRDefault="0006036A" w:rsidP="0006036A">
            <w:pPr>
              <w:jc w:val="center"/>
              <w:rPr>
                <w:rFonts w:cs="Arial"/>
                <w:color w:val="000000"/>
                <w:szCs w:val="20"/>
              </w:rPr>
            </w:pPr>
            <w:r w:rsidRPr="0006036A">
              <w:rPr>
                <w:rFonts w:cs="Arial"/>
                <w:color w:val="000000"/>
                <w:szCs w:val="20"/>
              </w:rPr>
              <w:t>im Umlauf</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rsidR="0006036A" w:rsidRPr="0006036A" w:rsidRDefault="0006036A" w:rsidP="0006036A">
            <w:pPr>
              <w:jc w:val="center"/>
              <w:rPr>
                <w:rFonts w:cs="Arial"/>
                <w:color w:val="000000"/>
                <w:szCs w:val="20"/>
              </w:rPr>
            </w:pPr>
            <w:r w:rsidRPr="0006036A">
              <w:rPr>
                <w:rFonts w:cs="Arial"/>
                <w:color w:val="000000"/>
                <w:szCs w:val="20"/>
              </w:rPr>
              <w:t xml:space="preserve">davon </w:t>
            </w:r>
          </w:p>
          <w:p w:rsidR="0006036A" w:rsidRPr="0006036A" w:rsidRDefault="0006036A" w:rsidP="0006036A">
            <w:pPr>
              <w:jc w:val="center"/>
              <w:rPr>
                <w:rFonts w:cs="Arial"/>
                <w:color w:val="000000"/>
                <w:szCs w:val="20"/>
              </w:rPr>
            </w:pPr>
            <w:r w:rsidRPr="0006036A">
              <w:rPr>
                <w:rFonts w:cs="Arial"/>
                <w:color w:val="000000"/>
                <w:szCs w:val="20"/>
              </w:rPr>
              <w:t>unentgeltlich</w:t>
            </w:r>
          </w:p>
        </w:tc>
      </w:tr>
      <w:tr w:rsidR="0006036A" w:rsidRPr="0006036A" w:rsidTr="0006036A">
        <w:trPr>
          <w:trHeight w:val="288"/>
          <w:jc w:val="center"/>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36A" w:rsidRPr="0006036A" w:rsidRDefault="0006036A" w:rsidP="0006036A">
            <w:pPr>
              <w:rPr>
                <w:rFonts w:cs="Arial"/>
                <w:color w:val="000000"/>
                <w:szCs w:val="20"/>
              </w:rPr>
            </w:pPr>
            <w:r w:rsidRPr="0006036A">
              <w:rPr>
                <w:rFonts w:cs="Arial"/>
                <w:color w:val="000000"/>
                <w:szCs w:val="20"/>
              </w:rPr>
              <w:t>Oberbayern</w:t>
            </w:r>
          </w:p>
        </w:tc>
        <w:tc>
          <w:tcPr>
            <w:tcW w:w="2180" w:type="dxa"/>
            <w:tcBorders>
              <w:top w:val="nil"/>
              <w:left w:val="nil"/>
              <w:bottom w:val="single" w:sz="4" w:space="0" w:color="auto"/>
              <w:right w:val="single" w:sz="4" w:space="0" w:color="auto"/>
            </w:tcBorders>
            <w:shd w:val="clear" w:color="auto" w:fill="auto"/>
            <w:noWrap/>
            <w:vAlign w:val="bottom"/>
            <w:hideMark/>
          </w:tcPr>
          <w:p w:rsidR="0006036A" w:rsidRPr="0006036A" w:rsidRDefault="0006036A" w:rsidP="0006036A">
            <w:pPr>
              <w:jc w:val="right"/>
              <w:rPr>
                <w:rFonts w:cs="Arial"/>
                <w:color w:val="000000"/>
                <w:szCs w:val="20"/>
              </w:rPr>
            </w:pPr>
            <w:r w:rsidRPr="0006036A">
              <w:rPr>
                <w:rFonts w:cs="Arial"/>
                <w:color w:val="000000"/>
                <w:szCs w:val="20"/>
              </w:rPr>
              <w:t>66.999</w:t>
            </w:r>
          </w:p>
        </w:tc>
        <w:tc>
          <w:tcPr>
            <w:tcW w:w="2220" w:type="dxa"/>
            <w:tcBorders>
              <w:top w:val="nil"/>
              <w:left w:val="nil"/>
              <w:bottom w:val="single" w:sz="4" w:space="0" w:color="auto"/>
              <w:right w:val="single" w:sz="4" w:space="0" w:color="auto"/>
            </w:tcBorders>
            <w:shd w:val="clear" w:color="auto" w:fill="auto"/>
            <w:noWrap/>
            <w:vAlign w:val="bottom"/>
            <w:hideMark/>
          </w:tcPr>
          <w:p w:rsidR="0006036A" w:rsidRPr="0006036A" w:rsidRDefault="0006036A" w:rsidP="0006036A">
            <w:pPr>
              <w:jc w:val="right"/>
              <w:rPr>
                <w:rFonts w:cs="Arial"/>
                <w:color w:val="000000"/>
                <w:szCs w:val="20"/>
              </w:rPr>
            </w:pPr>
            <w:r w:rsidRPr="0006036A">
              <w:rPr>
                <w:rFonts w:cs="Arial"/>
                <w:color w:val="000000"/>
                <w:szCs w:val="20"/>
              </w:rPr>
              <w:t>29.335</w:t>
            </w:r>
          </w:p>
        </w:tc>
      </w:tr>
      <w:tr w:rsidR="0006036A" w:rsidRPr="0006036A" w:rsidTr="0006036A">
        <w:trPr>
          <w:trHeight w:val="288"/>
          <w:jc w:val="center"/>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06036A" w:rsidRPr="0006036A" w:rsidRDefault="0006036A" w:rsidP="0006036A">
            <w:pPr>
              <w:rPr>
                <w:rFonts w:cs="Arial"/>
                <w:color w:val="000000"/>
                <w:szCs w:val="20"/>
              </w:rPr>
            </w:pPr>
            <w:r w:rsidRPr="0006036A">
              <w:rPr>
                <w:rFonts w:cs="Arial"/>
                <w:color w:val="000000"/>
                <w:szCs w:val="20"/>
              </w:rPr>
              <w:t>Niederbayern</w:t>
            </w:r>
          </w:p>
        </w:tc>
        <w:tc>
          <w:tcPr>
            <w:tcW w:w="2180" w:type="dxa"/>
            <w:tcBorders>
              <w:top w:val="nil"/>
              <w:left w:val="nil"/>
              <w:bottom w:val="single" w:sz="4" w:space="0" w:color="auto"/>
              <w:right w:val="single" w:sz="4" w:space="0" w:color="auto"/>
            </w:tcBorders>
            <w:shd w:val="clear" w:color="auto" w:fill="auto"/>
            <w:noWrap/>
            <w:vAlign w:val="bottom"/>
            <w:hideMark/>
          </w:tcPr>
          <w:p w:rsidR="0006036A" w:rsidRPr="0006036A" w:rsidRDefault="0006036A" w:rsidP="0006036A">
            <w:pPr>
              <w:jc w:val="right"/>
              <w:rPr>
                <w:rFonts w:cs="Arial"/>
                <w:color w:val="000000"/>
                <w:szCs w:val="20"/>
              </w:rPr>
            </w:pPr>
            <w:r w:rsidRPr="0006036A">
              <w:rPr>
                <w:rFonts w:cs="Arial"/>
                <w:color w:val="000000"/>
                <w:szCs w:val="20"/>
              </w:rPr>
              <w:t>9.923</w:t>
            </w:r>
          </w:p>
        </w:tc>
        <w:tc>
          <w:tcPr>
            <w:tcW w:w="2220" w:type="dxa"/>
            <w:tcBorders>
              <w:top w:val="nil"/>
              <w:left w:val="nil"/>
              <w:bottom w:val="single" w:sz="4" w:space="0" w:color="auto"/>
              <w:right w:val="single" w:sz="4" w:space="0" w:color="auto"/>
            </w:tcBorders>
            <w:shd w:val="clear" w:color="auto" w:fill="auto"/>
            <w:noWrap/>
            <w:vAlign w:val="bottom"/>
            <w:hideMark/>
          </w:tcPr>
          <w:p w:rsidR="0006036A" w:rsidRPr="0006036A" w:rsidRDefault="0006036A" w:rsidP="0006036A">
            <w:pPr>
              <w:jc w:val="right"/>
              <w:rPr>
                <w:rFonts w:cs="Arial"/>
                <w:color w:val="000000"/>
                <w:szCs w:val="20"/>
              </w:rPr>
            </w:pPr>
            <w:r w:rsidRPr="0006036A">
              <w:rPr>
                <w:rFonts w:cs="Arial"/>
                <w:color w:val="000000"/>
                <w:szCs w:val="20"/>
              </w:rPr>
              <w:t>6.663</w:t>
            </w:r>
          </w:p>
        </w:tc>
      </w:tr>
      <w:tr w:rsidR="0006036A" w:rsidRPr="0006036A" w:rsidTr="0006036A">
        <w:trPr>
          <w:trHeight w:val="288"/>
          <w:jc w:val="center"/>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06036A" w:rsidRPr="0006036A" w:rsidRDefault="0006036A" w:rsidP="0006036A">
            <w:pPr>
              <w:rPr>
                <w:rFonts w:cs="Arial"/>
                <w:color w:val="000000"/>
                <w:szCs w:val="20"/>
              </w:rPr>
            </w:pPr>
            <w:r w:rsidRPr="0006036A">
              <w:rPr>
                <w:rFonts w:cs="Arial"/>
                <w:color w:val="000000"/>
                <w:szCs w:val="20"/>
              </w:rPr>
              <w:t>Oberpfalz</w:t>
            </w:r>
          </w:p>
        </w:tc>
        <w:tc>
          <w:tcPr>
            <w:tcW w:w="2180" w:type="dxa"/>
            <w:tcBorders>
              <w:top w:val="nil"/>
              <w:left w:val="nil"/>
              <w:bottom w:val="single" w:sz="4" w:space="0" w:color="auto"/>
              <w:right w:val="single" w:sz="4" w:space="0" w:color="auto"/>
            </w:tcBorders>
            <w:shd w:val="clear" w:color="auto" w:fill="auto"/>
            <w:noWrap/>
            <w:vAlign w:val="bottom"/>
            <w:hideMark/>
          </w:tcPr>
          <w:p w:rsidR="0006036A" w:rsidRPr="0006036A" w:rsidRDefault="0006036A" w:rsidP="0006036A">
            <w:pPr>
              <w:jc w:val="right"/>
              <w:rPr>
                <w:rFonts w:cs="Arial"/>
                <w:color w:val="000000"/>
                <w:szCs w:val="20"/>
              </w:rPr>
            </w:pPr>
            <w:r w:rsidRPr="0006036A">
              <w:rPr>
                <w:rFonts w:cs="Arial"/>
                <w:color w:val="000000"/>
                <w:szCs w:val="20"/>
              </w:rPr>
              <w:t>12.304</w:t>
            </w:r>
          </w:p>
        </w:tc>
        <w:tc>
          <w:tcPr>
            <w:tcW w:w="2220" w:type="dxa"/>
            <w:tcBorders>
              <w:top w:val="nil"/>
              <w:left w:val="nil"/>
              <w:bottom w:val="single" w:sz="4" w:space="0" w:color="auto"/>
              <w:right w:val="single" w:sz="4" w:space="0" w:color="auto"/>
            </w:tcBorders>
            <w:shd w:val="clear" w:color="auto" w:fill="auto"/>
            <w:noWrap/>
            <w:vAlign w:val="bottom"/>
            <w:hideMark/>
          </w:tcPr>
          <w:p w:rsidR="0006036A" w:rsidRPr="0006036A" w:rsidRDefault="0006036A" w:rsidP="0006036A">
            <w:pPr>
              <w:jc w:val="right"/>
              <w:rPr>
                <w:rFonts w:cs="Arial"/>
                <w:color w:val="000000"/>
                <w:szCs w:val="20"/>
              </w:rPr>
            </w:pPr>
            <w:r w:rsidRPr="0006036A">
              <w:rPr>
                <w:rFonts w:cs="Arial"/>
                <w:color w:val="000000"/>
                <w:szCs w:val="20"/>
              </w:rPr>
              <w:t>7.116</w:t>
            </w:r>
          </w:p>
        </w:tc>
      </w:tr>
      <w:tr w:rsidR="0006036A" w:rsidRPr="0006036A" w:rsidTr="00236A45">
        <w:trPr>
          <w:trHeight w:val="288"/>
          <w:jc w:val="center"/>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06036A" w:rsidRPr="0006036A" w:rsidRDefault="0006036A" w:rsidP="0006036A">
            <w:pPr>
              <w:rPr>
                <w:rFonts w:cs="Arial"/>
                <w:color w:val="000000"/>
                <w:szCs w:val="20"/>
              </w:rPr>
            </w:pPr>
            <w:r w:rsidRPr="0006036A">
              <w:rPr>
                <w:rFonts w:cs="Arial"/>
                <w:color w:val="000000"/>
                <w:szCs w:val="20"/>
              </w:rPr>
              <w:t>Oberfranken</w:t>
            </w:r>
          </w:p>
        </w:tc>
        <w:tc>
          <w:tcPr>
            <w:tcW w:w="2180" w:type="dxa"/>
            <w:tcBorders>
              <w:top w:val="nil"/>
              <w:left w:val="nil"/>
              <w:bottom w:val="single" w:sz="4" w:space="0" w:color="auto"/>
              <w:right w:val="single" w:sz="4" w:space="0" w:color="auto"/>
            </w:tcBorders>
            <w:shd w:val="clear" w:color="auto" w:fill="auto"/>
            <w:noWrap/>
            <w:vAlign w:val="bottom"/>
            <w:hideMark/>
          </w:tcPr>
          <w:p w:rsidR="0006036A" w:rsidRPr="0006036A" w:rsidRDefault="0006036A" w:rsidP="0006036A">
            <w:pPr>
              <w:jc w:val="right"/>
              <w:rPr>
                <w:rFonts w:cs="Arial"/>
                <w:color w:val="000000"/>
                <w:szCs w:val="20"/>
              </w:rPr>
            </w:pPr>
            <w:r w:rsidRPr="0006036A">
              <w:rPr>
                <w:rFonts w:cs="Arial"/>
                <w:color w:val="000000"/>
                <w:szCs w:val="20"/>
              </w:rPr>
              <w:t>13.732</w:t>
            </w:r>
          </w:p>
        </w:tc>
        <w:tc>
          <w:tcPr>
            <w:tcW w:w="2220" w:type="dxa"/>
            <w:tcBorders>
              <w:top w:val="nil"/>
              <w:left w:val="nil"/>
              <w:bottom w:val="single" w:sz="4" w:space="0" w:color="auto"/>
              <w:right w:val="single" w:sz="4" w:space="0" w:color="auto"/>
            </w:tcBorders>
            <w:shd w:val="clear" w:color="auto" w:fill="auto"/>
            <w:noWrap/>
            <w:vAlign w:val="bottom"/>
            <w:hideMark/>
          </w:tcPr>
          <w:p w:rsidR="0006036A" w:rsidRPr="0006036A" w:rsidRDefault="0006036A" w:rsidP="0006036A">
            <w:pPr>
              <w:jc w:val="right"/>
              <w:rPr>
                <w:rFonts w:cs="Arial"/>
                <w:color w:val="000000"/>
                <w:szCs w:val="20"/>
              </w:rPr>
            </w:pPr>
            <w:r w:rsidRPr="0006036A">
              <w:rPr>
                <w:rFonts w:cs="Arial"/>
                <w:color w:val="000000"/>
                <w:szCs w:val="20"/>
              </w:rPr>
              <w:t>7.992</w:t>
            </w:r>
          </w:p>
        </w:tc>
      </w:tr>
      <w:tr w:rsidR="0006036A" w:rsidRPr="0006036A" w:rsidTr="00236A45">
        <w:trPr>
          <w:trHeight w:val="288"/>
          <w:jc w:val="center"/>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36A" w:rsidRPr="0006036A" w:rsidRDefault="0006036A" w:rsidP="0006036A">
            <w:pPr>
              <w:rPr>
                <w:rFonts w:cs="Arial"/>
                <w:color w:val="000000"/>
                <w:szCs w:val="20"/>
              </w:rPr>
            </w:pPr>
            <w:r w:rsidRPr="0006036A">
              <w:rPr>
                <w:rFonts w:cs="Arial"/>
                <w:color w:val="000000"/>
                <w:szCs w:val="20"/>
              </w:rPr>
              <w:t>Mittelfranken</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06036A" w:rsidRPr="0006036A" w:rsidRDefault="0006036A" w:rsidP="0006036A">
            <w:pPr>
              <w:jc w:val="right"/>
              <w:rPr>
                <w:rFonts w:cs="Arial"/>
                <w:color w:val="000000"/>
                <w:szCs w:val="20"/>
              </w:rPr>
            </w:pPr>
            <w:r w:rsidRPr="0006036A">
              <w:rPr>
                <w:rFonts w:cs="Arial"/>
                <w:color w:val="000000"/>
                <w:szCs w:val="20"/>
              </w:rPr>
              <w:t>36.376</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rsidR="0006036A" w:rsidRPr="0006036A" w:rsidRDefault="0006036A" w:rsidP="0006036A">
            <w:pPr>
              <w:jc w:val="right"/>
              <w:rPr>
                <w:rFonts w:cs="Arial"/>
                <w:color w:val="000000"/>
                <w:szCs w:val="20"/>
              </w:rPr>
            </w:pPr>
            <w:r w:rsidRPr="0006036A">
              <w:rPr>
                <w:rFonts w:cs="Arial"/>
                <w:color w:val="000000"/>
                <w:szCs w:val="20"/>
              </w:rPr>
              <w:t>16.228</w:t>
            </w:r>
          </w:p>
        </w:tc>
      </w:tr>
      <w:tr w:rsidR="0006036A" w:rsidRPr="0006036A" w:rsidTr="0006036A">
        <w:trPr>
          <w:trHeight w:val="288"/>
          <w:jc w:val="center"/>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06036A" w:rsidRPr="0006036A" w:rsidRDefault="0006036A" w:rsidP="0006036A">
            <w:pPr>
              <w:rPr>
                <w:rFonts w:cs="Arial"/>
                <w:color w:val="000000"/>
                <w:szCs w:val="20"/>
              </w:rPr>
            </w:pPr>
            <w:r w:rsidRPr="0006036A">
              <w:rPr>
                <w:rFonts w:cs="Arial"/>
                <w:color w:val="000000"/>
                <w:szCs w:val="20"/>
              </w:rPr>
              <w:t>Unterfranken</w:t>
            </w:r>
          </w:p>
        </w:tc>
        <w:tc>
          <w:tcPr>
            <w:tcW w:w="2180" w:type="dxa"/>
            <w:tcBorders>
              <w:top w:val="nil"/>
              <w:left w:val="nil"/>
              <w:bottom w:val="single" w:sz="4" w:space="0" w:color="auto"/>
              <w:right w:val="single" w:sz="4" w:space="0" w:color="auto"/>
            </w:tcBorders>
            <w:shd w:val="clear" w:color="auto" w:fill="auto"/>
            <w:noWrap/>
            <w:vAlign w:val="bottom"/>
            <w:hideMark/>
          </w:tcPr>
          <w:p w:rsidR="0006036A" w:rsidRPr="0006036A" w:rsidRDefault="0006036A" w:rsidP="0006036A">
            <w:pPr>
              <w:jc w:val="right"/>
              <w:rPr>
                <w:rFonts w:cs="Arial"/>
                <w:color w:val="000000"/>
                <w:szCs w:val="20"/>
              </w:rPr>
            </w:pPr>
            <w:r w:rsidRPr="0006036A">
              <w:rPr>
                <w:rFonts w:cs="Arial"/>
                <w:color w:val="000000"/>
                <w:szCs w:val="20"/>
              </w:rPr>
              <w:t>19.494</w:t>
            </w:r>
          </w:p>
        </w:tc>
        <w:tc>
          <w:tcPr>
            <w:tcW w:w="2220" w:type="dxa"/>
            <w:tcBorders>
              <w:top w:val="nil"/>
              <w:left w:val="nil"/>
              <w:bottom w:val="single" w:sz="4" w:space="0" w:color="auto"/>
              <w:right w:val="single" w:sz="4" w:space="0" w:color="auto"/>
            </w:tcBorders>
            <w:shd w:val="clear" w:color="auto" w:fill="auto"/>
            <w:noWrap/>
            <w:vAlign w:val="bottom"/>
            <w:hideMark/>
          </w:tcPr>
          <w:p w:rsidR="0006036A" w:rsidRPr="0006036A" w:rsidRDefault="0006036A" w:rsidP="0006036A">
            <w:pPr>
              <w:jc w:val="right"/>
              <w:rPr>
                <w:rFonts w:cs="Arial"/>
                <w:color w:val="000000"/>
                <w:szCs w:val="20"/>
              </w:rPr>
            </w:pPr>
            <w:r w:rsidRPr="0006036A">
              <w:rPr>
                <w:rFonts w:cs="Arial"/>
                <w:color w:val="000000"/>
                <w:szCs w:val="20"/>
              </w:rPr>
              <w:t>11.211</w:t>
            </w:r>
          </w:p>
        </w:tc>
      </w:tr>
      <w:tr w:rsidR="0006036A" w:rsidRPr="0006036A" w:rsidTr="0006036A">
        <w:trPr>
          <w:trHeight w:val="288"/>
          <w:jc w:val="center"/>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06036A" w:rsidRPr="0006036A" w:rsidRDefault="0006036A" w:rsidP="0006036A">
            <w:pPr>
              <w:rPr>
                <w:rFonts w:cs="Arial"/>
                <w:color w:val="000000"/>
                <w:szCs w:val="20"/>
              </w:rPr>
            </w:pPr>
            <w:r w:rsidRPr="0006036A">
              <w:rPr>
                <w:rFonts w:cs="Arial"/>
                <w:color w:val="000000"/>
                <w:szCs w:val="20"/>
              </w:rPr>
              <w:t>Schwaben</w:t>
            </w:r>
          </w:p>
        </w:tc>
        <w:tc>
          <w:tcPr>
            <w:tcW w:w="2180" w:type="dxa"/>
            <w:tcBorders>
              <w:top w:val="nil"/>
              <w:left w:val="nil"/>
              <w:bottom w:val="single" w:sz="4" w:space="0" w:color="auto"/>
              <w:right w:val="single" w:sz="4" w:space="0" w:color="auto"/>
            </w:tcBorders>
            <w:shd w:val="clear" w:color="auto" w:fill="auto"/>
            <w:noWrap/>
            <w:vAlign w:val="bottom"/>
            <w:hideMark/>
          </w:tcPr>
          <w:p w:rsidR="0006036A" w:rsidRPr="0006036A" w:rsidRDefault="0006036A" w:rsidP="0006036A">
            <w:pPr>
              <w:jc w:val="right"/>
              <w:rPr>
                <w:rFonts w:cs="Arial"/>
                <w:color w:val="000000"/>
                <w:szCs w:val="20"/>
              </w:rPr>
            </w:pPr>
            <w:r w:rsidRPr="0006036A">
              <w:rPr>
                <w:rFonts w:cs="Arial"/>
                <w:color w:val="000000"/>
                <w:szCs w:val="20"/>
              </w:rPr>
              <w:t>21.270</w:t>
            </w:r>
          </w:p>
        </w:tc>
        <w:tc>
          <w:tcPr>
            <w:tcW w:w="2220" w:type="dxa"/>
            <w:tcBorders>
              <w:top w:val="nil"/>
              <w:left w:val="nil"/>
              <w:bottom w:val="single" w:sz="4" w:space="0" w:color="auto"/>
              <w:right w:val="single" w:sz="4" w:space="0" w:color="auto"/>
            </w:tcBorders>
            <w:shd w:val="clear" w:color="auto" w:fill="auto"/>
            <w:noWrap/>
            <w:vAlign w:val="bottom"/>
            <w:hideMark/>
          </w:tcPr>
          <w:p w:rsidR="0006036A" w:rsidRPr="0006036A" w:rsidRDefault="0006036A" w:rsidP="0006036A">
            <w:pPr>
              <w:jc w:val="right"/>
              <w:rPr>
                <w:rFonts w:cs="Arial"/>
                <w:color w:val="000000"/>
                <w:szCs w:val="20"/>
              </w:rPr>
            </w:pPr>
            <w:r w:rsidRPr="0006036A">
              <w:rPr>
                <w:rFonts w:cs="Arial"/>
                <w:color w:val="000000"/>
                <w:szCs w:val="20"/>
              </w:rPr>
              <w:t>11.784</w:t>
            </w:r>
          </w:p>
        </w:tc>
      </w:tr>
      <w:tr w:rsidR="0006036A" w:rsidRPr="0006036A" w:rsidTr="0006036A">
        <w:trPr>
          <w:trHeight w:val="288"/>
          <w:jc w:val="center"/>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06036A" w:rsidRPr="0006036A" w:rsidRDefault="0006036A" w:rsidP="0006036A">
            <w:pPr>
              <w:rPr>
                <w:rFonts w:cs="Arial"/>
                <w:b/>
                <w:bCs/>
                <w:color w:val="000000"/>
                <w:szCs w:val="20"/>
              </w:rPr>
            </w:pPr>
            <w:r w:rsidRPr="0006036A">
              <w:rPr>
                <w:rFonts w:cs="Arial"/>
                <w:b/>
                <w:bCs/>
                <w:color w:val="000000"/>
                <w:szCs w:val="20"/>
              </w:rPr>
              <w:t>Freistaat Bayern gesamt</w:t>
            </w:r>
          </w:p>
        </w:tc>
        <w:tc>
          <w:tcPr>
            <w:tcW w:w="2180" w:type="dxa"/>
            <w:tcBorders>
              <w:top w:val="nil"/>
              <w:left w:val="nil"/>
              <w:bottom w:val="single" w:sz="4" w:space="0" w:color="auto"/>
              <w:right w:val="single" w:sz="4" w:space="0" w:color="auto"/>
            </w:tcBorders>
            <w:shd w:val="clear" w:color="auto" w:fill="auto"/>
            <w:noWrap/>
            <w:vAlign w:val="bottom"/>
            <w:hideMark/>
          </w:tcPr>
          <w:p w:rsidR="0006036A" w:rsidRPr="0006036A" w:rsidRDefault="0006036A" w:rsidP="0006036A">
            <w:pPr>
              <w:jc w:val="right"/>
              <w:rPr>
                <w:rFonts w:cs="Arial"/>
                <w:b/>
                <w:bCs/>
                <w:color w:val="000000"/>
                <w:szCs w:val="20"/>
              </w:rPr>
            </w:pPr>
            <w:r w:rsidRPr="0006036A">
              <w:rPr>
                <w:rFonts w:cs="Arial"/>
                <w:b/>
                <w:bCs/>
                <w:color w:val="000000"/>
                <w:szCs w:val="20"/>
              </w:rPr>
              <w:t>180.098</w:t>
            </w:r>
          </w:p>
        </w:tc>
        <w:tc>
          <w:tcPr>
            <w:tcW w:w="2220" w:type="dxa"/>
            <w:tcBorders>
              <w:top w:val="nil"/>
              <w:left w:val="nil"/>
              <w:bottom w:val="single" w:sz="4" w:space="0" w:color="auto"/>
              <w:right w:val="single" w:sz="4" w:space="0" w:color="auto"/>
            </w:tcBorders>
            <w:shd w:val="clear" w:color="auto" w:fill="auto"/>
            <w:noWrap/>
            <w:vAlign w:val="bottom"/>
            <w:hideMark/>
          </w:tcPr>
          <w:p w:rsidR="0006036A" w:rsidRPr="0006036A" w:rsidRDefault="0006036A" w:rsidP="0006036A">
            <w:pPr>
              <w:jc w:val="right"/>
              <w:rPr>
                <w:rFonts w:cs="Arial"/>
                <w:b/>
                <w:bCs/>
                <w:color w:val="000000"/>
                <w:szCs w:val="20"/>
              </w:rPr>
            </w:pPr>
            <w:r w:rsidRPr="0006036A">
              <w:rPr>
                <w:rFonts w:cs="Arial"/>
                <w:b/>
                <w:bCs/>
                <w:color w:val="000000"/>
                <w:szCs w:val="20"/>
              </w:rPr>
              <w:t>90.329</w:t>
            </w:r>
          </w:p>
        </w:tc>
      </w:tr>
    </w:tbl>
    <w:p w:rsidR="009D008C" w:rsidRDefault="009D008C" w:rsidP="009D008C">
      <w:pPr>
        <w:pStyle w:val="LTAntwortRessortText"/>
      </w:pPr>
      <w:r>
        <w:t>Die Erstattungen des Freistaats Bayern an die Verkehrsbetriebe (2017 sowie bis 07.12.2018, aufgeschlüsselt nach Regierungsbezirken) können der nachfolgenden Tabelle entnommen werden:</w:t>
      </w:r>
    </w:p>
    <w:p w:rsidR="009D008C" w:rsidRDefault="009D008C" w:rsidP="009D008C">
      <w:pPr>
        <w:pStyle w:val="LTAntwortRessortText"/>
      </w:pPr>
    </w:p>
    <w:tbl>
      <w:tblPr>
        <w:tblW w:w="6237" w:type="dxa"/>
        <w:jc w:val="center"/>
        <w:tblCellMar>
          <w:left w:w="70" w:type="dxa"/>
          <w:right w:w="70" w:type="dxa"/>
        </w:tblCellMar>
        <w:tblLook w:val="04A0" w:firstRow="1" w:lastRow="0" w:firstColumn="1" w:lastColumn="0" w:noHBand="0" w:noVBand="1"/>
      </w:tblPr>
      <w:tblGrid>
        <w:gridCol w:w="2830"/>
        <w:gridCol w:w="3407"/>
      </w:tblGrid>
      <w:tr w:rsidR="0006036A" w:rsidRPr="0006036A" w:rsidTr="0006036A">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36A" w:rsidRPr="0006036A" w:rsidRDefault="0006036A" w:rsidP="0006036A">
            <w:pPr>
              <w:rPr>
                <w:rFonts w:cs="Arial"/>
                <w:b/>
                <w:bCs/>
                <w:color w:val="000000"/>
                <w:szCs w:val="20"/>
              </w:rPr>
            </w:pPr>
            <w:r w:rsidRPr="0006036A">
              <w:rPr>
                <w:rFonts w:cs="Arial"/>
                <w:b/>
                <w:bCs/>
                <w:color w:val="000000"/>
                <w:szCs w:val="20"/>
              </w:rPr>
              <w:t>2017</w:t>
            </w:r>
          </w:p>
        </w:tc>
        <w:tc>
          <w:tcPr>
            <w:tcW w:w="3407" w:type="dxa"/>
            <w:tcBorders>
              <w:top w:val="single" w:sz="4" w:space="0" w:color="auto"/>
              <w:left w:val="nil"/>
              <w:bottom w:val="single" w:sz="4" w:space="0" w:color="auto"/>
              <w:right w:val="single" w:sz="4" w:space="0" w:color="auto"/>
            </w:tcBorders>
            <w:shd w:val="clear" w:color="auto" w:fill="auto"/>
            <w:noWrap/>
            <w:vAlign w:val="bottom"/>
            <w:hideMark/>
          </w:tcPr>
          <w:p w:rsidR="0006036A" w:rsidRPr="0006036A" w:rsidRDefault="0006036A" w:rsidP="0006036A">
            <w:pPr>
              <w:rPr>
                <w:rFonts w:cs="Arial"/>
                <w:color w:val="000000"/>
                <w:szCs w:val="20"/>
              </w:rPr>
            </w:pPr>
            <w:r w:rsidRPr="0006036A">
              <w:rPr>
                <w:rFonts w:cs="Arial"/>
                <w:color w:val="000000"/>
                <w:szCs w:val="20"/>
              </w:rPr>
              <w:t> </w:t>
            </w:r>
          </w:p>
        </w:tc>
      </w:tr>
      <w:tr w:rsidR="0006036A" w:rsidRPr="0006036A" w:rsidTr="0006036A">
        <w:trPr>
          <w:trHeight w:val="288"/>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06036A" w:rsidRPr="0006036A" w:rsidRDefault="0006036A" w:rsidP="0006036A">
            <w:pPr>
              <w:rPr>
                <w:rFonts w:cs="Arial"/>
                <w:color w:val="000000"/>
                <w:szCs w:val="20"/>
              </w:rPr>
            </w:pPr>
            <w:r w:rsidRPr="0006036A">
              <w:rPr>
                <w:rFonts w:cs="Arial"/>
                <w:color w:val="000000"/>
                <w:szCs w:val="20"/>
              </w:rPr>
              <w:t>Oberbayern</w:t>
            </w:r>
          </w:p>
        </w:tc>
        <w:tc>
          <w:tcPr>
            <w:tcW w:w="3407" w:type="dxa"/>
            <w:tcBorders>
              <w:top w:val="nil"/>
              <w:left w:val="nil"/>
              <w:bottom w:val="single" w:sz="4" w:space="0" w:color="auto"/>
              <w:right w:val="single" w:sz="4" w:space="0" w:color="auto"/>
            </w:tcBorders>
            <w:shd w:val="clear" w:color="auto" w:fill="auto"/>
            <w:noWrap/>
            <w:vAlign w:val="bottom"/>
            <w:hideMark/>
          </w:tcPr>
          <w:p w:rsidR="0006036A" w:rsidRPr="0006036A" w:rsidRDefault="0006036A" w:rsidP="0006036A">
            <w:pPr>
              <w:jc w:val="right"/>
              <w:rPr>
                <w:rFonts w:cs="Arial"/>
                <w:color w:val="000000"/>
                <w:szCs w:val="20"/>
              </w:rPr>
            </w:pPr>
            <w:r w:rsidRPr="0006036A">
              <w:rPr>
                <w:rFonts w:cs="Arial"/>
                <w:color w:val="000000"/>
                <w:szCs w:val="20"/>
              </w:rPr>
              <w:t>17.643.973,83 €</w:t>
            </w:r>
          </w:p>
        </w:tc>
      </w:tr>
      <w:tr w:rsidR="0006036A" w:rsidRPr="0006036A" w:rsidTr="0006036A">
        <w:trPr>
          <w:trHeight w:val="288"/>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06036A" w:rsidRPr="0006036A" w:rsidRDefault="0006036A" w:rsidP="0006036A">
            <w:pPr>
              <w:rPr>
                <w:rFonts w:cs="Arial"/>
                <w:color w:val="000000"/>
                <w:szCs w:val="20"/>
              </w:rPr>
            </w:pPr>
            <w:r w:rsidRPr="0006036A">
              <w:rPr>
                <w:rFonts w:cs="Arial"/>
                <w:color w:val="000000"/>
                <w:szCs w:val="20"/>
              </w:rPr>
              <w:t>Niederbayern</w:t>
            </w:r>
          </w:p>
        </w:tc>
        <w:tc>
          <w:tcPr>
            <w:tcW w:w="3407" w:type="dxa"/>
            <w:tcBorders>
              <w:top w:val="nil"/>
              <w:left w:val="nil"/>
              <w:bottom w:val="single" w:sz="4" w:space="0" w:color="auto"/>
              <w:right w:val="single" w:sz="4" w:space="0" w:color="auto"/>
            </w:tcBorders>
            <w:shd w:val="clear" w:color="auto" w:fill="auto"/>
            <w:noWrap/>
            <w:vAlign w:val="bottom"/>
            <w:hideMark/>
          </w:tcPr>
          <w:p w:rsidR="0006036A" w:rsidRPr="0006036A" w:rsidRDefault="0006036A" w:rsidP="0006036A">
            <w:pPr>
              <w:jc w:val="right"/>
              <w:rPr>
                <w:rFonts w:cs="Arial"/>
                <w:color w:val="000000"/>
                <w:szCs w:val="20"/>
              </w:rPr>
            </w:pPr>
            <w:r w:rsidRPr="0006036A">
              <w:rPr>
                <w:rFonts w:cs="Arial"/>
                <w:color w:val="000000"/>
                <w:szCs w:val="20"/>
              </w:rPr>
              <w:t>1.397.842,87 €</w:t>
            </w:r>
          </w:p>
        </w:tc>
      </w:tr>
      <w:tr w:rsidR="0006036A" w:rsidRPr="0006036A" w:rsidTr="0006036A">
        <w:trPr>
          <w:trHeight w:val="288"/>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06036A" w:rsidRPr="0006036A" w:rsidRDefault="0006036A" w:rsidP="0006036A">
            <w:pPr>
              <w:rPr>
                <w:rFonts w:cs="Arial"/>
                <w:color w:val="000000"/>
                <w:szCs w:val="20"/>
              </w:rPr>
            </w:pPr>
            <w:r w:rsidRPr="0006036A">
              <w:rPr>
                <w:rFonts w:cs="Arial"/>
                <w:color w:val="000000"/>
                <w:szCs w:val="20"/>
              </w:rPr>
              <w:t>Oberpfalz</w:t>
            </w:r>
          </w:p>
        </w:tc>
        <w:tc>
          <w:tcPr>
            <w:tcW w:w="3407" w:type="dxa"/>
            <w:tcBorders>
              <w:top w:val="nil"/>
              <w:left w:val="nil"/>
              <w:bottom w:val="single" w:sz="4" w:space="0" w:color="auto"/>
              <w:right w:val="single" w:sz="4" w:space="0" w:color="auto"/>
            </w:tcBorders>
            <w:shd w:val="clear" w:color="auto" w:fill="auto"/>
            <w:noWrap/>
            <w:vAlign w:val="bottom"/>
            <w:hideMark/>
          </w:tcPr>
          <w:p w:rsidR="0006036A" w:rsidRPr="0006036A" w:rsidRDefault="0006036A" w:rsidP="0006036A">
            <w:pPr>
              <w:jc w:val="right"/>
              <w:rPr>
                <w:rFonts w:cs="Arial"/>
                <w:color w:val="000000"/>
                <w:szCs w:val="20"/>
              </w:rPr>
            </w:pPr>
            <w:r w:rsidRPr="0006036A">
              <w:rPr>
                <w:rFonts w:cs="Arial"/>
                <w:color w:val="000000"/>
                <w:szCs w:val="20"/>
              </w:rPr>
              <w:t>1.630.520,59 €</w:t>
            </w:r>
          </w:p>
        </w:tc>
      </w:tr>
      <w:tr w:rsidR="0006036A" w:rsidRPr="0006036A" w:rsidTr="0006036A">
        <w:trPr>
          <w:trHeight w:val="288"/>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06036A" w:rsidRPr="0006036A" w:rsidRDefault="0006036A" w:rsidP="0006036A">
            <w:pPr>
              <w:rPr>
                <w:rFonts w:cs="Arial"/>
                <w:color w:val="000000"/>
                <w:szCs w:val="20"/>
              </w:rPr>
            </w:pPr>
            <w:r w:rsidRPr="0006036A">
              <w:rPr>
                <w:rFonts w:cs="Arial"/>
                <w:color w:val="000000"/>
                <w:szCs w:val="20"/>
              </w:rPr>
              <w:t>Oberfranken</w:t>
            </w:r>
          </w:p>
        </w:tc>
        <w:tc>
          <w:tcPr>
            <w:tcW w:w="3407" w:type="dxa"/>
            <w:tcBorders>
              <w:top w:val="nil"/>
              <w:left w:val="nil"/>
              <w:bottom w:val="single" w:sz="4" w:space="0" w:color="auto"/>
              <w:right w:val="single" w:sz="4" w:space="0" w:color="auto"/>
            </w:tcBorders>
            <w:shd w:val="clear" w:color="auto" w:fill="auto"/>
            <w:noWrap/>
            <w:vAlign w:val="bottom"/>
            <w:hideMark/>
          </w:tcPr>
          <w:p w:rsidR="0006036A" w:rsidRPr="0006036A" w:rsidRDefault="0006036A" w:rsidP="0006036A">
            <w:pPr>
              <w:jc w:val="right"/>
              <w:rPr>
                <w:rFonts w:cs="Arial"/>
                <w:color w:val="000000"/>
                <w:szCs w:val="20"/>
              </w:rPr>
            </w:pPr>
            <w:r w:rsidRPr="0006036A">
              <w:rPr>
                <w:rFonts w:cs="Arial"/>
                <w:color w:val="000000"/>
                <w:szCs w:val="20"/>
              </w:rPr>
              <w:t>1.571.750,63 €</w:t>
            </w:r>
          </w:p>
        </w:tc>
      </w:tr>
      <w:tr w:rsidR="0006036A" w:rsidRPr="0006036A" w:rsidTr="0006036A">
        <w:trPr>
          <w:trHeight w:val="288"/>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06036A" w:rsidRPr="0006036A" w:rsidRDefault="0006036A" w:rsidP="0006036A">
            <w:pPr>
              <w:rPr>
                <w:rFonts w:cs="Arial"/>
                <w:color w:val="000000"/>
                <w:szCs w:val="20"/>
              </w:rPr>
            </w:pPr>
            <w:r w:rsidRPr="0006036A">
              <w:rPr>
                <w:rFonts w:cs="Arial"/>
                <w:color w:val="000000"/>
                <w:szCs w:val="20"/>
              </w:rPr>
              <w:t>Mittelfranken</w:t>
            </w:r>
          </w:p>
        </w:tc>
        <w:tc>
          <w:tcPr>
            <w:tcW w:w="3407" w:type="dxa"/>
            <w:tcBorders>
              <w:top w:val="nil"/>
              <w:left w:val="nil"/>
              <w:bottom w:val="single" w:sz="4" w:space="0" w:color="auto"/>
              <w:right w:val="single" w:sz="4" w:space="0" w:color="auto"/>
            </w:tcBorders>
            <w:shd w:val="clear" w:color="auto" w:fill="auto"/>
            <w:noWrap/>
            <w:vAlign w:val="bottom"/>
            <w:hideMark/>
          </w:tcPr>
          <w:p w:rsidR="0006036A" w:rsidRPr="0006036A" w:rsidRDefault="0006036A" w:rsidP="0006036A">
            <w:pPr>
              <w:jc w:val="right"/>
              <w:rPr>
                <w:rFonts w:cs="Arial"/>
                <w:color w:val="000000"/>
                <w:szCs w:val="20"/>
              </w:rPr>
            </w:pPr>
            <w:r w:rsidRPr="0006036A">
              <w:rPr>
                <w:rFonts w:cs="Arial"/>
                <w:color w:val="000000"/>
                <w:szCs w:val="20"/>
              </w:rPr>
              <w:t>9.007.268,91 €</w:t>
            </w:r>
          </w:p>
        </w:tc>
      </w:tr>
      <w:tr w:rsidR="0006036A" w:rsidRPr="0006036A" w:rsidTr="0006036A">
        <w:trPr>
          <w:trHeight w:val="288"/>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06036A" w:rsidRPr="0006036A" w:rsidRDefault="0006036A" w:rsidP="0006036A">
            <w:pPr>
              <w:rPr>
                <w:rFonts w:cs="Arial"/>
                <w:color w:val="000000"/>
                <w:szCs w:val="20"/>
              </w:rPr>
            </w:pPr>
            <w:r w:rsidRPr="0006036A">
              <w:rPr>
                <w:rFonts w:cs="Arial"/>
                <w:color w:val="000000"/>
                <w:szCs w:val="20"/>
              </w:rPr>
              <w:t>Unterfranken</w:t>
            </w:r>
          </w:p>
        </w:tc>
        <w:tc>
          <w:tcPr>
            <w:tcW w:w="3407" w:type="dxa"/>
            <w:tcBorders>
              <w:top w:val="nil"/>
              <w:left w:val="nil"/>
              <w:bottom w:val="single" w:sz="4" w:space="0" w:color="auto"/>
              <w:right w:val="single" w:sz="4" w:space="0" w:color="auto"/>
            </w:tcBorders>
            <w:shd w:val="clear" w:color="auto" w:fill="auto"/>
            <w:noWrap/>
            <w:vAlign w:val="bottom"/>
            <w:hideMark/>
          </w:tcPr>
          <w:p w:rsidR="0006036A" w:rsidRPr="0006036A" w:rsidRDefault="0006036A" w:rsidP="0006036A">
            <w:pPr>
              <w:jc w:val="right"/>
              <w:rPr>
                <w:rFonts w:cs="Arial"/>
                <w:color w:val="000000"/>
                <w:szCs w:val="20"/>
              </w:rPr>
            </w:pPr>
            <w:r w:rsidRPr="0006036A">
              <w:rPr>
                <w:rFonts w:cs="Arial"/>
                <w:color w:val="000000"/>
                <w:szCs w:val="20"/>
              </w:rPr>
              <w:t>4.940.264,29 €</w:t>
            </w:r>
          </w:p>
        </w:tc>
      </w:tr>
      <w:tr w:rsidR="0006036A" w:rsidRPr="0006036A" w:rsidTr="0006036A">
        <w:trPr>
          <w:trHeight w:val="288"/>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06036A" w:rsidRPr="0006036A" w:rsidRDefault="0006036A" w:rsidP="0006036A">
            <w:pPr>
              <w:rPr>
                <w:rFonts w:cs="Arial"/>
                <w:color w:val="000000"/>
                <w:szCs w:val="20"/>
              </w:rPr>
            </w:pPr>
            <w:r w:rsidRPr="0006036A">
              <w:rPr>
                <w:rFonts w:cs="Arial"/>
                <w:color w:val="000000"/>
                <w:szCs w:val="20"/>
              </w:rPr>
              <w:t>Schwaben</w:t>
            </w:r>
          </w:p>
        </w:tc>
        <w:tc>
          <w:tcPr>
            <w:tcW w:w="3407" w:type="dxa"/>
            <w:tcBorders>
              <w:top w:val="nil"/>
              <w:left w:val="nil"/>
              <w:bottom w:val="single" w:sz="4" w:space="0" w:color="auto"/>
              <w:right w:val="single" w:sz="4" w:space="0" w:color="auto"/>
            </w:tcBorders>
            <w:shd w:val="clear" w:color="auto" w:fill="auto"/>
            <w:noWrap/>
            <w:vAlign w:val="bottom"/>
            <w:hideMark/>
          </w:tcPr>
          <w:p w:rsidR="0006036A" w:rsidRPr="0006036A" w:rsidRDefault="0006036A" w:rsidP="0006036A">
            <w:pPr>
              <w:jc w:val="right"/>
              <w:rPr>
                <w:rFonts w:cs="Arial"/>
                <w:color w:val="000000"/>
                <w:szCs w:val="20"/>
              </w:rPr>
            </w:pPr>
            <w:r w:rsidRPr="0006036A">
              <w:rPr>
                <w:rFonts w:cs="Arial"/>
                <w:color w:val="000000"/>
                <w:szCs w:val="20"/>
              </w:rPr>
              <w:t>6.989.628,36 €</w:t>
            </w:r>
          </w:p>
        </w:tc>
      </w:tr>
      <w:tr w:rsidR="0006036A" w:rsidRPr="0006036A" w:rsidTr="0006036A">
        <w:trPr>
          <w:trHeight w:val="288"/>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06036A" w:rsidRPr="0006036A" w:rsidRDefault="0006036A" w:rsidP="0006036A">
            <w:pPr>
              <w:rPr>
                <w:rFonts w:cs="Arial"/>
                <w:b/>
                <w:bCs/>
                <w:color w:val="000000"/>
                <w:szCs w:val="20"/>
              </w:rPr>
            </w:pPr>
            <w:r w:rsidRPr="0006036A">
              <w:rPr>
                <w:rFonts w:cs="Arial"/>
                <w:b/>
                <w:bCs/>
                <w:color w:val="000000"/>
                <w:szCs w:val="20"/>
              </w:rPr>
              <w:t xml:space="preserve">Erstattung 2017 </w:t>
            </w:r>
          </w:p>
          <w:p w:rsidR="0006036A" w:rsidRPr="0006036A" w:rsidRDefault="0006036A" w:rsidP="0006036A">
            <w:pPr>
              <w:rPr>
                <w:rFonts w:cs="Arial"/>
                <w:b/>
                <w:bCs/>
                <w:color w:val="000000"/>
                <w:szCs w:val="20"/>
              </w:rPr>
            </w:pPr>
            <w:r w:rsidRPr="0006036A">
              <w:rPr>
                <w:rFonts w:cs="Arial"/>
                <w:b/>
                <w:bCs/>
                <w:color w:val="000000"/>
                <w:szCs w:val="20"/>
              </w:rPr>
              <w:t>gesamt</w:t>
            </w:r>
          </w:p>
        </w:tc>
        <w:tc>
          <w:tcPr>
            <w:tcW w:w="3407" w:type="dxa"/>
            <w:tcBorders>
              <w:top w:val="nil"/>
              <w:left w:val="nil"/>
              <w:bottom w:val="single" w:sz="4" w:space="0" w:color="auto"/>
              <w:right w:val="single" w:sz="4" w:space="0" w:color="auto"/>
            </w:tcBorders>
            <w:shd w:val="clear" w:color="auto" w:fill="auto"/>
            <w:noWrap/>
            <w:vAlign w:val="bottom"/>
            <w:hideMark/>
          </w:tcPr>
          <w:p w:rsidR="0006036A" w:rsidRPr="0006036A" w:rsidRDefault="0006036A" w:rsidP="0006036A">
            <w:pPr>
              <w:jc w:val="right"/>
              <w:rPr>
                <w:rFonts w:cs="Arial"/>
                <w:b/>
                <w:bCs/>
                <w:color w:val="000000"/>
                <w:szCs w:val="20"/>
              </w:rPr>
            </w:pPr>
            <w:r w:rsidRPr="0006036A">
              <w:rPr>
                <w:rFonts w:cs="Arial"/>
                <w:b/>
                <w:bCs/>
                <w:color w:val="000000"/>
                <w:szCs w:val="20"/>
              </w:rPr>
              <w:t>43.181.249,48 €</w:t>
            </w:r>
          </w:p>
        </w:tc>
      </w:tr>
      <w:tr w:rsidR="0006036A" w:rsidRPr="0006036A" w:rsidTr="0006036A">
        <w:trPr>
          <w:trHeight w:val="288"/>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06036A" w:rsidRPr="0006036A" w:rsidRDefault="0006036A" w:rsidP="0006036A">
            <w:pPr>
              <w:rPr>
                <w:rFonts w:cs="Arial"/>
                <w:color w:val="000000"/>
                <w:szCs w:val="20"/>
              </w:rPr>
            </w:pPr>
            <w:r w:rsidRPr="0006036A">
              <w:rPr>
                <w:rFonts w:cs="Arial"/>
                <w:color w:val="000000"/>
                <w:szCs w:val="20"/>
              </w:rPr>
              <w:t> </w:t>
            </w:r>
          </w:p>
        </w:tc>
        <w:tc>
          <w:tcPr>
            <w:tcW w:w="3407" w:type="dxa"/>
            <w:tcBorders>
              <w:top w:val="nil"/>
              <w:left w:val="nil"/>
              <w:bottom w:val="single" w:sz="4" w:space="0" w:color="auto"/>
              <w:right w:val="single" w:sz="4" w:space="0" w:color="auto"/>
            </w:tcBorders>
            <w:shd w:val="clear" w:color="auto" w:fill="auto"/>
            <w:noWrap/>
            <w:vAlign w:val="bottom"/>
            <w:hideMark/>
          </w:tcPr>
          <w:p w:rsidR="0006036A" w:rsidRPr="0006036A" w:rsidRDefault="0006036A" w:rsidP="0006036A">
            <w:pPr>
              <w:rPr>
                <w:rFonts w:cs="Arial"/>
                <w:color w:val="000000"/>
                <w:szCs w:val="20"/>
              </w:rPr>
            </w:pPr>
            <w:r w:rsidRPr="0006036A">
              <w:rPr>
                <w:rFonts w:cs="Arial"/>
                <w:color w:val="000000"/>
                <w:szCs w:val="20"/>
              </w:rPr>
              <w:t> </w:t>
            </w:r>
          </w:p>
        </w:tc>
      </w:tr>
      <w:tr w:rsidR="0006036A" w:rsidRPr="0006036A" w:rsidTr="0006036A">
        <w:trPr>
          <w:trHeight w:val="288"/>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06036A" w:rsidRPr="0006036A" w:rsidRDefault="0006036A" w:rsidP="0006036A">
            <w:pPr>
              <w:rPr>
                <w:rFonts w:cs="Arial"/>
                <w:b/>
                <w:bCs/>
                <w:color w:val="000000"/>
                <w:szCs w:val="20"/>
              </w:rPr>
            </w:pPr>
            <w:r w:rsidRPr="0006036A">
              <w:rPr>
                <w:rFonts w:cs="Arial"/>
                <w:b/>
                <w:bCs/>
                <w:color w:val="000000"/>
                <w:szCs w:val="20"/>
              </w:rPr>
              <w:t>2018</w:t>
            </w:r>
          </w:p>
        </w:tc>
        <w:tc>
          <w:tcPr>
            <w:tcW w:w="3407" w:type="dxa"/>
            <w:tcBorders>
              <w:top w:val="nil"/>
              <w:left w:val="nil"/>
              <w:bottom w:val="single" w:sz="4" w:space="0" w:color="auto"/>
              <w:right w:val="single" w:sz="4" w:space="0" w:color="auto"/>
            </w:tcBorders>
            <w:shd w:val="clear" w:color="auto" w:fill="auto"/>
            <w:noWrap/>
            <w:vAlign w:val="bottom"/>
            <w:hideMark/>
          </w:tcPr>
          <w:p w:rsidR="0006036A" w:rsidRPr="0006036A" w:rsidRDefault="0006036A" w:rsidP="0006036A">
            <w:pPr>
              <w:rPr>
                <w:rFonts w:cs="Arial"/>
                <w:color w:val="000000"/>
                <w:szCs w:val="20"/>
              </w:rPr>
            </w:pPr>
            <w:r w:rsidRPr="0006036A">
              <w:rPr>
                <w:rFonts w:cs="Arial"/>
                <w:color w:val="000000"/>
                <w:szCs w:val="20"/>
              </w:rPr>
              <w:t> </w:t>
            </w:r>
          </w:p>
        </w:tc>
      </w:tr>
      <w:tr w:rsidR="0006036A" w:rsidRPr="0006036A" w:rsidTr="0006036A">
        <w:trPr>
          <w:trHeight w:val="288"/>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06036A" w:rsidRPr="0006036A" w:rsidRDefault="0006036A" w:rsidP="0006036A">
            <w:pPr>
              <w:rPr>
                <w:rFonts w:cs="Arial"/>
                <w:color w:val="000000"/>
                <w:szCs w:val="20"/>
              </w:rPr>
            </w:pPr>
            <w:r w:rsidRPr="0006036A">
              <w:rPr>
                <w:rFonts w:cs="Arial"/>
                <w:color w:val="000000"/>
                <w:szCs w:val="20"/>
              </w:rPr>
              <w:t>Oberbayern</w:t>
            </w:r>
          </w:p>
        </w:tc>
        <w:tc>
          <w:tcPr>
            <w:tcW w:w="3407" w:type="dxa"/>
            <w:tcBorders>
              <w:top w:val="nil"/>
              <w:left w:val="nil"/>
              <w:bottom w:val="single" w:sz="4" w:space="0" w:color="auto"/>
              <w:right w:val="single" w:sz="4" w:space="0" w:color="auto"/>
            </w:tcBorders>
            <w:shd w:val="clear" w:color="auto" w:fill="auto"/>
            <w:noWrap/>
            <w:vAlign w:val="bottom"/>
            <w:hideMark/>
          </w:tcPr>
          <w:p w:rsidR="0006036A" w:rsidRPr="0006036A" w:rsidRDefault="0006036A" w:rsidP="0006036A">
            <w:pPr>
              <w:jc w:val="right"/>
              <w:rPr>
                <w:rFonts w:cs="Arial"/>
                <w:color w:val="000000"/>
                <w:szCs w:val="20"/>
              </w:rPr>
            </w:pPr>
            <w:r w:rsidRPr="0006036A">
              <w:rPr>
                <w:rFonts w:cs="Arial"/>
                <w:color w:val="000000"/>
                <w:szCs w:val="20"/>
              </w:rPr>
              <w:t>14.307.051,03 €</w:t>
            </w:r>
          </w:p>
        </w:tc>
      </w:tr>
      <w:tr w:rsidR="0006036A" w:rsidRPr="0006036A" w:rsidTr="0006036A">
        <w:trPr>
          <w:trHeight w:val="288"/>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06036A" w:rsidRPr="0006036A" w:rsidRDefault="0006036A" w:rsidP="0006036A">
            <w:pPr>
              <w:rPr>
                <w:rFonts w:cs="Arial"/>
                <w:color w:val="000000"/>
                <w:szCs w:val="20"/>
              </w:rPr>
            </w:pPr>
            <w:r w:rsidRPr="0006036A">
              <w:rPr>
                <w:rFonts w:cs="Arial"/>
                <w:color w:val="000000"/>
                <w:szCs w:val="20"/>
              </w:rPr>
              <w:t>Niederbayern</w:t>
            </w:r>
          </w:p>
        </w:tc>
        <w:tc>
          <w:tcPr>
            <w:tcW w:w="3407" w:type="dxa"/>
            <w:tcBorders>
              <w:top w:val="nil"/>
              <w:left w:val="nil"/>
              <w:bottom w:val="single" w:sz="4" w:space="0" w:color="auto"/>
              <w:right w:val="single" w:sz="4" w:space="0" w:color="auto"/>
            </w:tcBorders>
            <w:shd w:val="clear" w:color="auto" w:fill="auto"/>
            <w:noWrap/>
            <w:vAlign w:val="bottom"/>
            <w:hideMark/>
          </w:tcPr>
          <w:p w:rsidR="0006036A" w:rsidRPr="0006036A" w:rsidRDefault="0006036A" w:rsidP="0006036A">
            <w:pPr>
              <w:jc w:val="right"/>
              <w:rPr>
                <w:rFonts w:cs="Arial"/>
                <w:color w:val="000000"/>
                <w:szCs w:val="20"/>
              </w:rPr>
            </w:pPr>
            <w:r w:rsidRPr="0006036A">
              <w:rPr>
                <w:rFonts w:cs="Arial"/>
                <w:color w:val="000000"/>
                <w:szCs w:val="20"/>
              </w:rPr>
              <w:t>1.246.173,28 €</w:t>
            </w:r>
          </w:p>
        </w:tc>
      </w:tr>
      <w:tr w:rsidR="0006036A" w:rsidRPr="0006036A" w:rsidTr="0006036A">
        <w:trPr>
          <w:trHeight w:val="288"/>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06036A" w:rsidRPr="0006036A" w:rsidRDefault="0006036A" w:rsidP="0006036A">
            <w:pPr>
              <w:rPr>
                <w:rFonts w:cs="Arial"/>
                <w:color w:val="000000"/>
                <w:szCs w:val="20"/>
              </w:rPr>
            </w:pPr>
            <w:r w:rsidRPr="0006036A">
              <w:rPr>
                <w:rFonts w:cs="Arial"/>
                <w:color w:val="000000"/>
                <w:szCs w:val="20"/>
              </w:rPr>
              <w:t>Oberpfalz</w:t>
            </w:r>
          </w:p>
        </w:tc>
        <w:tc>
          <w:tcPr>
            <w:tcW w:w="3407" w:type="dxa"/>
            <w:tcBorders>
              <w:top w:val="nil"/>
              <w:left w:val="nil"/>
              <w:bottom w:val="single" w:sz="4" w:space="0" w:color="auto"/>
              <w:right w:val="single" w:sz="4" w:space="0" w:color="auto"/>
            </w:tcBorders>
            <w:shd w:val="clear" w:color="auto" w:fill="auto"/>
            <w:noWrap/>
            <w:vAlign w:val="bottom"/>
            <w:hideMark/>
          </w:tcPr>
          <w:p w:rsidR="0006036A" w:rsidRPr="0006036A" w:rsidRDefault="0006036A" w:rsidP="0006036A">
            <w:pPr>
              <w:jc w:val="right"/>
              <w:rPr>
                <w:rFonts w:cs="Arial"/>
                <w:color w:val="000000"/>
                <w:szCs w:val="20"/>
              </w:rPr>
            </w:pPr>
            <w:r w:rsidRPr="0006036A">
              <w:rPr>
                <w:rFonts w:cs="Arial"/>
                <w:color w:val="000000"/>
                <w:szCs w:val="20"/>
              </w:rPr>
              <w:t>1.616.723,98 €</w:t>
            </w:r>
          </w:p>
        </w:tc>
      </w:tr>
      <w:tr w:rsidR="0006036A" w:rsidRPr="0006036A" w:rsidTr="0006036A">
        <w:trPr>
          <w:trHeight w:val="288"/>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06036A" w:rsidRPr="0006036A" w:rsidRDefault="0006036A" w:rsidP="0006036A">
            <w:pPr>
              <w:rPr>
                <w:rFonts w:cs="Arial"/>
                <w:color w:val="000000"/>
                <w:szCs w:val="20"/>
              </w:rPr>
            </w:pPr>
            <w:r w:rsidRPr="0006036A">
              <w:rPr>
                <w:rFonts w:cs="Arial"/>
                <w:color w:val="000000"/>
                <w:szCs w:val="20"/>
              </w:rPr>
              <w:t>Oberfranken</w:t>
            </w:r>
          </w:p>
        </w:tc>
        <w:tc>
          <w:tcPr>
            <w:tcW w:w="3407" w:type="dxa"/>
            <w:tcBorders>
              <w:top w:val="nil"/>
              <w:left w:val="nil"/>
              <w:bottom w:val="single" w:sz="4" w:space="0" w:color="auto"/>
              <w:right w:val="single" w:sz="4" w:space="0" w:color="auto"/>
            </w:tcBorders>
            <w:shd w:val="clear" w:color="auto" w:fill="auto"/>
            <w:noWrap/>
            <w:vAlign w:val="bottom"/>
            <w:hideMark/>
          </w:tcPr>
          <w:p w:rsidR="0006036A" w:rsidRPr="0006036A" w:rsidRDefault="0006036A" w:rsidP="0006036A">
            <w:pPr>
              <w:jc w:val="right"/>
              <w:rPr>
                <w:rFonts w:cs="Arial"/>
                <w:color w:val="000000"/>
                <w:szCs w:val="20"/>
              </w:rPr>
            </w:pPr>
            <w:r w:rsidRPr="0006036A">
              <w:rPr>
                <w:rFonts w:cs="Arial"/>
                <w:color w:val="000000"/>
                <w:szCs w:val="20"/>
              </w:rPr>
              <w:t>1.637.795,50 €</w:t>
            </w:r>
          </w:p>
        </w:tc>
      </w:tr>
      <w:tr w:rsidR="0006036A" w:rsidRPr="0006036A" w:rsidTr="0006036A">
        <w:trPr>
          <w:trHeight w:val="288"/>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06036A" w:rsidRPr="0006036A" w:rsidRDefault="0006036A" w:rsidP="0006036A">
            <w:pPr>
              <w:rPr>
                <w:rFonts w:cs="Arial"/>
                <w:color w:val="000000"/>
                <w:szCs w:val="20"/>
              </w:rPr>
            </w:pPr>
            <w:r w:rsidRPr="0006036A">
              <w:rPr>
                <w:rFonts w:cs="Arial"/>
                <w:color w:val="000000"/>
                <w:szCs w:val="20"/>
              </w:rPr>
              <w:t>Mittelfranken</w:t>
            </w:r>
          </w:p>
        </w:tc>
        <w:tc>
          <w:tcPr>
            <w:tcW w:w="3407" w:type="dxa"/>
            <w:tcBorders>
              <w:top w:val="nil"/>
              <w:left w:val="nil"/>
              <w:bottom w:val="single" w:sz="4" w:space="0" w:color="auto"/>
              <w:right w:val="single" w:sz="4" w:space="0" w:color="auto"/>
            </w:tcBorders>
            <w:shd w:val="clear" w:color="auto" w:fill="auto"/>
            <w:noWrap/>
            <w:vAlign w:val="bottom"/>
            <w:hideMark/>
          </w:tcPr>
          <w:p w:rsidR="0006036A" w:rsidRPr="0006036A" w:rsidRDefault="0006036A" w:rsidP="0006036A">
            <w:pPr>
              <w:jc w:val="right"/>
              <w:rPr>
                <w:rFonts w:cs="Arial"/>
                <w:color w:val="000000"/>
                <w:szCs w:val="20"/>
              </w:rPr>
            </w:pPr>
            <w:r w:rsidRPr="0006036A">
              <w:rPr>
                <w:rFonts w:cs="Arial"/>
                <w:color w:val="000000"/>
                <w:szCs w:val="20"/>
              </w:rPr>
              <w:t>7.614.035,24 €</w:t>
            </w:r>
          </w:p>
        </w:tc>
      </w:tr>
      <w:tr w:rsidR="0006036A" w:rsidRPr="0006036A" w:rsidTr="0006036A">
        <w:trPr>
          <w:trHeight w:val="288"/>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06036A" w:rsidRPr="0006036A" w:rsidRDefault="0006036A" w:rsidP="0006036A">
            <w:pPr>
              <w:rPr>
                <w:rFonts w:cs="Arial"/>
                <w:color w:val="000000"/>
                <w:szCs w:val="20"/>
              </w:rPr>
            </w:pPr>
            <w:r w:rsidRPr="0006036A">
              <w:rPr>
                <w:rFonts w:cs="Arial"/>
                <w:color w:val="000000"/>
                <w:szCs w:val="20"/>
              </w:rPr>
              <w:t>Unterfranken</w:t>
            </w:r>
          </w:p>
        </w:tc>
        <w:tc>
          <w:tcPr>
            <w:tcW w:w="3407" w:type="dxa"/>
            <w:tcBorders>
              <w:top w:val="nil"/>
              <w:left w:val="nil"/>
              <w:bottom w:val="single" w:sz="4" w:space="0" w:color="auto"/>
              <w:right w:val="single" w:sz="4" w:space="0" w:color="auto"/>
            </w:tcBorders>
            <w:shd w:val="clear" w:color="auto" w:fill="auto"/>
            <w:noWrap/>
            <w:vAlign w:val="bottom"/>
            <w:hideMark/>
          </w:tcPr>
          <w:p w:rsidR="0006036A" w:rsidRPr="0006036A" w:rsidRDefault="0006036A" w:rsidP="0006036A">
            <w:pPr>
              <w:jc w:val="right"/>
              <w:rPr>
                <w:rFonts w:cs="Arial"/>
                <w:color w:val="000000"/>
                <w:szCs w:val="20"/>
              </w:rPr>
            </w:pPr>
            <w:r w:rsidRPr="0006036A">
              <w:rPr>
                <w:rFonts w:cs="Arial"/>
                <w:color w:val="000000"/>
                <w:szCs w:val="20"/>
              </w:rPr>
              <w:t>1.612.220,49 €</w:t>
            </w:r>
          </w:p>
        </w:tc>
      </w:tr>
      <w:tr w:rsidR="0006036A" w:rsidRPr="0006036A" w:rsidTr="0006036A">
        <w:trPr>
          <w:trHeight w:val="288"/>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06036A" w:rsidRPr="0006036A" w:rsidRDefault="0006036A" w:rsidP="0006036A">
            <w:pPr>
              <w:rPr>
                <w:rFonts w:cs="Arial"/>
                <w:color w:val="000000"/>
                <w:szCs w:val="20"/>
              </w:rPr>
            </w:pPr>
            <w:r w:rsidRPr="0006036A">
              <w:rPr>
                <w:rFonts w:cs="Arial"/>
                <w:color w:val="000000"/>
                <w:szCs w:val="20"/>
              </w:rPr>
              <w:t>Schwaben</w:t>
            </w:r>
          </w:p>
        </w:tc>
        <w:tc>
          <w:tcPr>
            <w:tcW w:w="3407" w:type="dxa"/>
            <w:tcBorders>
              <w:top w:val="nil"/>
              <w:left w:val="nil"/>
              <w:bottom w:val="single" w:sz="4" w:space="0" w:color="auto"/>
              <w:right w:val="single" w:sz="4" w:space="0" w:color="auto"/>
            </w:tcBorders>
            <w:shd w:val="clear" w:color="auto" w:fill="auto"/>
            <w:noWrap/>
            <w:vAlign w:val="bottom"/>
            <w:hideMark/>
          </w:tcPr>
          <w:p w:rsidR="0006036A" w:rsidRPr="0006036A" w:rsidRDefault="0006036A" w:rsidP="0006036A">
            <w:pPr>
              <w:jc w:val="right"/>
              <w:rPr>
                <w:rFonts w:cs="Arial"/>
                <w:color w:val="000000"/>
                <w:szCs w:val="20"/>
              </w:rPr>
            </w:pPr>
            <w:r w:rsidRPr="0006036A">
              <w:rPr>
                <w:rFonts w:cs="Arial"/>
                <w:color w:val="000000"/>
                <w:szCs w:val="20"/>
              </w:rPr>
              <w:t>4.479.774,02 €</w:t>
            </w:r>
          </w:p>
        </w:tc>
      </w:tr>
      <w:tr w:rsidR="0006036A" w:rsidRPr="0006036A" w:rsidTr="0006036A">
        <w:trPr>
          <w:trHeight w:val="288"/>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06036A" w:rsidRPr="0006036A" w:rsidRDefault="0006036A" w:rsidP="0006036A">
            <w:pPr>
              <w:rPr>
                <w:rFonts w:cs="Arial"/>
                <w:b/>
                <w:bCs/>
                <w:color w:val="000000"/>
                <w:szCs w:val="20"/>
              </w:rPr>
            </w:pPr>
            <w:r w:rsidRPr="0006036A">
              <w:rPr>
                <w:rFonts w:cs="Arial"/>
                <w:b/>
                <w:bCs/>
                <w:color w:val="000000"/>
                <w:szCs w:val="20"/>
              </w:rPr>
              <w:t xml:space="preserve">Erstattung bis 07.12.2018 </w:t>
            </w:r>
          </w:p>
        </w:tc>
        <w:tc>
          <w:tcPr>
            <w:tcW w:w="3407" w:type="dxa"/>
            <w:tcBorders>
              <w:top w:val="nil"/>
              <w:left w:val="nil"/>
              <w:bottom w:val="single" w:sz="4" w:space="0" w:color="auto"/>
              <w:right w:val="single" w:sz="4" w:space="0" w:color="auto"/>
            </w:tcBorders>
            <w:shd w:val="clear" w:color="auto" w:fill="auto"/>
            <w:noWrap/>
            <w:vAlign w:val="bottom"/>
            <w:hideMark/>
          </w:tcPr>
          <w:p w:rsidR="0006036A" w:rsidRPr="0006036A" w:rsidRDefault="0006036A" w:rsidP="0006036A">
            <w:pPr>
              <w:jc w:val="right"/>
              <w:rPr>
                <w:rFonts w:cs="Arial"/>
                <w:b/>
                <w:bCs/>
                <w:color w:val="000000"/>
                <w:szCs w:val="20"/>
              </w:rPr>
            </w:pPr>
            <w:r w:rsidRPr="0006036A">
              <w:rPr>
                <w:rFonts w:cs="Arial"/>
                <w:b/>
                <w:bCs/>
                <w:color w:val="000000"/>
                <w:szCs w:val="20"/>
              </w:rPr>
              <w:t>32.512.773,54 €</w:t>
            </w:r>
          </w:p>
        </w:tc>
      </w:tr>
    </w:tbl>
    <w:p w:rsidR="009D008C" w:rsidRDefault="009D008C" w:rsidP="00236A45">
      <w:pPr>
        <w:pStyle w:val="LTAntwortRessortText"/>
        <w:spacing w:before="480"/>
      </w:pPr>
      <w:r>
        <w:t xml:space="preserve">Bundesmittel werden nicht eingesetzt. Die niedrigeren Beträge im Jahr 2018 sind auf die Änderung des § 233 </w:t>
      </w:r>
      <w:r w:rsidR="0006036A">
        <w:t>Sozialgesetzbuch (</w:t>
      </w:r>
      <w:r>
        <w:t>SGB</w:t>
      </w:r>
      <w:r w:rsidR="0006036A">
        <w:t>) Neuntes Buch</w:t>
      </w:r>
      <w:r>
        <w:t xml:space="preserve"> </w:t>
      </w:r>
      <w:r w:rsidR="0006036A">
        <w:t>(</w:t>
      </w:r>
      <w:r>
        <w:t>IX</w:t>
      </w:r>
      <w:r w:rsidR="0006036A">
        <w:t>)</w:t>
      </w:r>
      <w:r>
        <w:t xml:space="preserve"> zurückzuführen. Danach müssen die Verkehrsunternehmen den Erstattungsantrag innerhalb von drei Jahren nach Ablauf des Abrechnungsjahres stellen (§ 233 Abs. 1 S. 3 SGB</w:t>
      </w:r>
      <w:r w:rsidR="0006036A">
        <w:t> </w:t>
      </w:r>
      <w:r>
        <w:t>IX). Dem Antrag sind di</w:t>
      </w:r>
      <w:r w:rsidR="0006036A">
        <w:t>e endgültigen Zahlen des Abrech</w:t>
      </w:r>
      <w:r>
        <w:t>nungsjahres beizufügen. Auf Antrag können Vorauszahlungen für das laufende Jahr in Höhe von 80</w:t>
      </w:r>
      <w:r w:rsidR="0006036A">
        <w:t xml:space="preserve"> </w:t>
      </w:r>
      <w:r w:rsidR="006321CE">
        <w:t xml:space="preserve">Prozent </w:t>
      </w:r>
      <w:r>
        <w:t>geleistet werden (§ 233 Abs. 3 S. 1 SGB IX). Es ist zu erwarten, dass im nächsten Jah</w:t>
      </w:r>
      <w:r w:rsidR="0006036A">
        <w:t>r zahlreiche endgülti</w:t>
      </w:r>
      <w:r>
        <w:t>ge Abrechnungen erfolgen werden, so dass 2019 mit deutlich höheren Auszahlungsbeträgen zu rechnen sein wird.</w:t>
      </w:r>
    </w:p>
    <w:p w:rsidR="00820528" w:rsidRDefault="00820528">
      <w:pPr>
        <w:rPr>
          <w:rFonts w:cs="Arial"/>
          <w:b/>
          <w:sz w:val="22"/>
          <w:szCs w:val="22"/>
        </w:rPr>
      </w:pPr>
      <w:r>
        <w:br w:type="page"/>
      </w:r>
    </w:p>
    <w:p w:rsidR="009D008C" w:rsidRDefault="009D008C" w:rsidP="009D008C">
      <w:pPr>
        <w:pStyle w:val="LTUeberschrRessort"/>
      </w:pPr>
      <w:r>
        <w:t>Geschäftsbereich des Staatsministeriums für Gesundheit und Pflege</w:t>
      </w:r>
      <w:r>
        <w:fldChar w:fldCharType="begin"/>
      </w:r>
      <w:r>
        <w:instrText xml:space="preserve"> TC </w:instrText>
      </w:r>
      <w:r w:rsidR="006321CE">
        <w:instrText>„</w:instrText>
      </w:r>
      <w:r>
        <w:instrText>Geschäftsbereich des Staatsministeriums für Gesundheit und Pflege</w:instrText>
      </w:r>
      <w:r w:rsidR="006321CE">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3"/>
        <w:gridCol w:w="5843"/>
      </w:tblGrid>
      <w:tr w:rsidR="009D008C" w:rsidTr="009D008C">
        <w:tc>
          <w:tcPr>
            <w:tcW w:w="2050" w:type="dxa"/>
            <w:shd w:val="clear" w:color="auto" w:fill="auto"/>
          </w:tcPr>
          <w:p w:rsidR="009D008C" w:rsidRPr="009D008C" w:rsidRDefault="009D008C" w:rsidP="009D008C">
            <w:pPr>
              <w:pStyle w:val="LTAnfrageIni1"/>
            </w:pPr>
            <w:r w:rsidRPr="009D008C">
              <w:t>Abgeordnete</w:t>
            </w:r>
            <w:r w:rsidRPr="009D008C">
              <w:br/>
            </w:r>
            <w:r w:rsidRPr="009D008C">
              <w:rPr>
                <w:b/>
              </w:rPr>
              <w:t>Annette</w:t>
            </w:r>
            <w:r w:rsidRPr="009D008C">
              <w:rPr>
                <w:b/>
              </w:rPr>
              <w:br/>
              <w:t>Karl</w:t>
            </w:r>
            <w:r w:rsidRPr="009D008C">
              <w:rPr>
                <w:b/>
              </w:rPr>
              <w:br/>
            </w:r>
            <w:r w:rsidRPr="009D008C">
              <w:t>(SPD)</w:t>
            </w:r>
            <w:r>
              <w:fldChar w:fldCharType="begin"/>
            </w:r>
            <w:r>
              <w:instrText xml:space="preserve"> XE </w:instrText>
            </w:r>
            <w:r w:rsidR="006321CE">
              <w:instrText>„</w:instrText>
            </w:r>
            <w:r>
              <w:instrText xml:space="preserve">Karl, Annette (SPD):Ausschluss aus gesetzlichen Krankenkassen </w:instrText>
            </w:r>
            <w:r>
              <w:fldChar w:fldCharType="end"/>
            </w:r>
            <w:r>
              <w:fldChar w:fldCharType="begin"/>
            </w:r>
            <w:r>
              <w:instrText xml:space="preserve"> TC </w:instrText>
            </w:r>
            <w:r w:rsidR="006321CE">
              <w:instrText>„</w:instrText>
            </w:r>
            <w:r>
              <w:instrText>Karl, Annette (SPD)</w:instrText>
            </w:r>
            <w:r>
              <w:br/>
              <w:instrText xml:space="preserve">Ausschluss aus gesetzlichen Krankenkassen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Ich frage die Staatsregierung, ob sie Kenntnis hat, in welchen Fällen eine gesetzliche Krankenkasse einem Mitglied kündigen kann, wie oft dies bei den in Bayern zugelassenen Krankenkass</w:t>
            </w:r>
            <w:r w:rsidR="00820528">
              <w:t xml:space="preserve">en in den Jahren 2017 und 2018 </w:t>
            </w:r>
            <w:r>
              <w:t>geschehen ist und welche Begründungen für den jeweiligen Ausschluss aus der gesetzlichen Krankenkasse von den Krankenkassen genannt wurden?</w:t>
            </w:r>
          </w:p>
          <w:p w:rsidR="009D008C" w:rsidRDefault="009D008C" w:rsidP="009D008C">
            <w:pPr>
              <w:pStyle w:val="LTAnfrageText"/>
            </w:pPr>
          </w:p>
        </w:tc>
      </w:tr>
    </w:tbl>
    <w:p w:rsidR="009D008C" w:rsidRDefault="009D008C" w:rsidP="009D008C">
      <w:pPr>
        <w:pStyle w:val="LTUeberschrAntwortRessort"/>
      </w:pPr>
      <w:r>
        <w:t>Antwort des Staatsministeriums für Gesundheit und Pflege</w:t>
      </w:r>
    </w:p>
    <w:p w:rsidR="009D008C" w:rsidRDefault="009D008C" w:rsidP="009D008C">
      <w:pPr>
        <w:pStyle w:val="LTAntwortRessortText"/>
      </w:pPr>
      <w:r>
        <w:t xml:space="preserve">Entsprechend der bundesgesetzlichen Vorgaben können Krankenkassen gesetzlich Versicherten die Mitgliedschaft nicht kündigen, auch nicht im Fall von Beitragsrückständen. Vielmehr besteht für bestimmte Personenkreise eine Versicherungspflicht nach § 5 </w:t>
      </w:r>
      <w:r w:rsidR="00820528">
        <w:t>Sozialgesetzbuch (</w:t>
      </w:r>
      <w:r>
        <w:t>SGB</w:t>
      </w:r>
      <w:r w:rsidR="00820528">
        <w:t>) Fünftes Buch</w:t>
      </w:r>
      <w:r>
        <w:t xml:space="preserve"> </w:t>
      </w:r>
      <w:r w:rsidR="000177DC">
        <w:t>(</w:t>
      </w:r>
      <w:r>
        <w:t>V</w:t>
      </w:r>
      <w:r w:rsidR="000177DC">
        <w:t>)</w:t>
      </w:r>
      <w:r>
        <w:t>.</w:t>
      </w:r>
    </w:p>
    <w:p w:rsidR="009D008C" w:rsidRDefault="009D008C" w:rsidP="009D008C">
      <w:pPr>
        <w:pStyle w:val="LTAntwortRessortText"/>
      </w:pPr>
      <w:r>
        <w:t xml:space="preserve">Durch die mit dem Gesetz zur Stärkung des Wettbewerbs in der gesetzlichen Krankenversicherung (GKV-Wettbewerbsstärkungsgesetz) vom </w:t>
      </w:r>
      <w:r w:rsidR="00820528">
        <w:t>26.03.</w:t>
      </w:r>
      <w:r>
        <w:t xml:space="preserve">2007 (BGBl. I S. 378) eingeführten Regelungen zur Versicherungspflicht von Personen ohne anderweitigen Anspruch auf Absicherung im Krankheitsfall (§ 5 </w:t>
      </w:r>
      <w:r w:rsidR="00820528">
        <w:t>Abs.</w:t>
      </w:r>
      <w:r>
        <w:t xml:space="preserve"> 1 </w:t>
      </w:r>
      <w:r w:rsidR="00820528">
        <w:t>Nr.</w:t>
      </w:r>
      <w:r>
        <w:t xml:space="preserve"> 13 SGB V) und die mit dem Gesetz zur Beseitigung sozialer Überforderung bei Beitragsschulden in der Krankenversicherung vom </w:t>
      </w:r>
      <w:r w:rsidR="003556F1">
        <w:t>15.07.</w:t>
      </w:r>
      <w:r>
        <w:t xml:space="preserve">2013 (BGBl. I S. 2423) eingeführte sogenannte obligatorische Anschlussversicherung nach § 188 </w:t>
      </w:r>
      <w:r w:rsidR="003556F1">
        <w:t>Abs.</w:t>
      </w:r>
      <w:r>
        <w:t xml:space="preserve"> 4 SGB V wird sichergestellt, dass Krankenversicherungsschutz selbst auch nach Ende einer Pflichtversicherung weiter fortbesteht.</w:t>
      </w:r>
    </w:p>
    <w:p w:rsidR="009D008C" w:rsidRDefault="009D008C" w:rsidP="009D008C">
      <w:pPr>
        <w:pStyle w:val="LTAntwortRessortText"/>
      </w:pPr>
      <w:r>
        <w:t>Bei der obligatorischen Anschlussversicherung wird die bisherige Versicherung in den entsprechenden Fällen über eine freiwillige Versicherung fortgeführt, für die aufgrund des Versicherungsprinzips eine Pflicht zur Zahlung von Beiträgen besteht.</w:t>
      </w:r>
    </w:p>
    <w:p w:rsidR="009D008C" w:rsidRDefault="009D008C" w:rsidP="009D008C">
      <w:pPr>
        <w:pStyle w:val="LTAntwortRessortText"/>
      </w:pPr>
      <w:r>
        <w:t xml:space="preserve">Für Mitglieder der </w:t>
      </w:r>
      <w:r w:rsidR="000177DC">
        <w:t>gesetzlichen Krankenversicherung (</w:t>
      </w:r>
      <w:r>
        <w:t>GKV</w:t>
      </w:r>
      <w:r w:rsidR="000177DC">
        <w:t>)</w:t>
      </w:r>
      <w:r>
        <w:t xml:space="preserve">, die mit einem Betrag in Höhe von Beitragsanteilen für zwei Monate im Rückstand sind und trotz Mahnung nicht zahlen, ruht der Leistungsanspruch gemäß § 16 </w:t>
      </w:r>
      <w:r w:rsidR="003556F1">
        <w:t>Abs.</w:t>
      </w:r>
      <w:r>
        <w:t xml:space="preserve"> 3a Satz 2 SGB V. Es besteht dann nur noch ein eingeschränktes Leistungsangebot. Gleichzeitig gilt, dass das Ruhen bei Vorliegen einer Hilfebedürftigkeit im Sinne des Zweiten oder Zwölften Buches Sozialgesetzbuch (SGB II oder SGB XII) sowie im Fall einer wirksamen Ratenzahlungsvereinbarung endet.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0"/>
        <w:gridCol w:w="5846"/>
      </w:tblGrid>
      <w:tr w:rsidR="009D008C" w:rsidTr="009D008C">
        <w:tc>
          <w:tcPr>
            <w:tcW w:w="2050" w:type="dxa"/>
            <w:shd w:val="clear" w:color="auto" w:fill="auto"/>
          </w:tcPr>
          <w:p w:rsidR="009D008C" w:rsidRPr="009D008C" w:rsidRDefault="009D008C" w:rsidP="009D008C">
            <w:pPr>
              <w:pStyle w:val="LTAnfrageIni1"/>
            </w:pPr>
            <w:r w:rsidRPr="009D008C">
              <w:t>Abgeordnete</w:t>
            </w:r>
            <w:r w:rsidRPr="009D008C">
              <w:br/>
            </w:r>
            <w:r w:rsidRPr="009D008C">
              <w:rPr>
                <w:b/>
              </w:rPr>
              <w:t>Ruth</w:t>
            </w:r>
            <w:r w:rsidRPr="009D008C">
              <w:rPr>
                <w:b/>
              </w:rPr>
              <w:br/>
              <w:t>Waldmann</w:t>
            </w:r>
            <w:r w:rsidRPr="009D008C">
              <w:rPr>
                <w:b/>
              </w:rPr>
              <w:br/>
            </w:r>
            <w:r w:rsidRPr="009D008C">
              <w:t>(SPD)</w:t>
            </w:r>
            <w:r>
              <w:fldChar w:fldCharType="begin"/>
            </w:r>
            <w:r>
              <w:instrText xml:space="preserve"> XE </w:instrText>
            </w:r>
            <w:r w:rsidR="006321CE">
              <w:instrText>„</w:instrText>
            </w:r>
            <w:r>
              <w:instrText xml:space="preserve">Waldmann, Ruth (SPD):Mangel an Grippe-Impfstoff </w:instrText>
            </w:r>
            <w:r>
              <w:fldChar w:fldCharType="end"/>
            </w:r>
            <w:r>
              <w:fldChar w:fldCharType="begin"/>
            </w:r>
            <w:r>
              <w:instrText xml:space="preserve"> TC </w:instrText>
            </w:r>
            <w:r w:rsidR="006321CE">
              <w:instrText>„</w:instrText>
            </w:r>
            <w:r>
              <w:instrText>Waldmann, Ruth (SPD)</w:instrText>
            </w:r>
            <w:r>
              <w:br/>
              <w:instrText xml:space="preserve">Mangel an Grippe-Impfstoff </w:instrText>
            </w:r>
            <w:r w:rsidR="006321CE">
              <w:instrText>„</w:instrText>
            </w:r>
            <w:r>
              <w:instrText xml:space="preserve"> \l 2 </w:instrText>
            </w:r>
            <w:r>
              <w:fldChar w:fldCharType="end"/>
            </w:r>
          </w:p>
        </w:tc>
        <w:tc>
          <w:tcPr>
            <w:tcW w:w="7200" w:type="dxa"/>
            <w:shd w:val="clear" w:color="auto" w:fill="auto"/>
          </w:tcPr>
          <w:p w:rsidR="009D008C" w:rsidRDefault="009D008C" w:rsidP="009D008C">
            <w:pPr>
              <w:pStyle w:val="LTAnfrageText"/>
            </w:pPr>
            <w:r>
              <w:t>Ich frage die Staatsregierung, was haben die Abfragen nach Impfstoff-Reserven der Landesarbeitsgemeinschaft Impfen (LAGI) ergeben, die im europäischen Ausland, bei Herstellern sowie allen bayerischen Ärzten Impfstoff-Reserven mobilisieren wollte, ist damit zu rechnen, dass diese Reserven ausreichen, um alle gewünschten Grippeimpfungen durchführen zu können und wie kann in Zukunft sichergestellt werden, dass solche Engpässe vermieden werden?</w:t>
            </w:r>
          </w:p>
          <w:p w:rsidR="009D008C" w:rsidRDefault="009D008C" w:rsidP="009D008C">
            <w:pPr>
              <w:pStyle w:val="LTAnfrageText"/>
            </w:pPr>
          </w:p>
        </w:tc>
      </w:tr>
    </w:tbl>
    <w:p w:rsidR="009D008C" w:rsidRDefault="009D008C" w:rsidP="009D008C">
      <w:pPr>
        <w:pStyle w:val="LTUeberschrAntwortRessort"/>
      </w:pPr>
      <w:r>
        <w:t>Antwort des Staatsministeriums für Gesundheit und Pflege</w:t>
      </w:r>
    </w:p>
    <w:p w:rsidR="009D008C" w:rsidRDefault="009D008C" w:rsidP="009D008C">
      <w:pPr>
        <w:pStyle w:val="LTAntwortRessortText"/>
      </w:pPr>
      <w:r>
        <w:t>In der Sondersitzung der Landesarbeitsgemeinschaft Impfen (LAGI) am 28.11.2018 bestand Einigkeit, dass alle an der Versorgung Beteiligten weitere Anstrengungen unternehmen, um noch vorhandene Bestände von Impfstoff in ganz Bayern zu ermitteln und zu verteilen sowie noch verfügbare Impfstoffe zu importieren.</w:t>
      </w:r>
    </w:p>
    <w:p w:rsidR="009D008C" w:rsidRDefault="009D008C" w:rsidP="009D008C">
      <w:pPr>
        <w:pStyle w:val="LTAntwortRessortText"/>
      </w:pPr>
      <w:r>
        <w:t>Hierzu wurden folgende Maßnahmen getroffen:</w:t>
      </w:r>
    </w:p>
    <w:p w:rsidR="009D008C" w:rsidRDefault="009D008C" w:rsidP="007370F1">
      <w:pPr>
        <w:pStyle w:val="LTAntwortRessortText"/>
        <w:numPr>
          <w:ilvl w:val="0"/>
          <w:numId w:val="31"/>
        </w:numPr>
        <w:spacing w:before="120"/>
        <w:ind w:left="709" w:hanging="283"/>
      </w:pPr>
      <w:r>
        <w:t>Einrichtung eines internen Meldeportals für Ärztinnen und Ärzte zur Ermittlung des aktuellen Bedarfs sowie auch der Verfügbarkeit von Grippeimpfstoff für dringende Indikationsimpfungen.</w:t>
      </w:r>
    </w:p>
    <w:p w:rsidR="009D008C" w:rsidRDefault="009D008C" w:rsidP="007370F1">
      <w:pPr>
        <w:pStyle w:val="LTAntwortRessortText"/>
        <w:numPr>
          <w:ilvl w:val="0"/>
          <w:numId w:val="31"/>
        </w:numPr>
        <w:spacing w:before="120"/>
        <w:ind w:left="709" w:hanging="283"/>
      </w:pPr>
      <w:r>
        <w:t>Ermöglichung des kollegialen Austauschs von Grippeimpfstoff zwischen den bayerischen Praxen.</w:t>
      </w:r>
    </w:p>
    <w:p w:rsidR="009D008C" w:rsidRDefault="009D008C" w:rsidP="007370F1">
      <w:pPr>
        <w:pStyle w:val="LTAntwortRessortText"/>
        <w:numPr>
          <w:ilvl w:val="0"/>
          <w:numId w:val="31"/>
        </w:numPr>
        <w:spacing w:before="120"/>
        <w:ind w:left="709" w:hanging="283"/>
      </w:pPr>
      <w:r>
        <w:t>Aufruf an Ärztinnen und Ärzte zur raschen Bestellung der noch fehlenden Grippeimpfstoffe für Risikopatienten bei der Apotheke angesichts einer möglichen Grippeimpfstofflieferung aus dem Ausland.</w:t>
      </w:r>
    </w:p>
    <w:p w:rsidR="009D008C" w:rsidRDefault="009D008C" w:rsidP="007370F1">
      <w:pPr>
        <w:pStyle w:val="LTAntwortRessortText"/>
        <w:numPr>
          <w:ilvl w:val="0"/>
          <w:numId w:val="31"/>
        </w:numPr>
        <w:spacing w:before="120"/>
        <w:ind w:left="709" w:hanging="283"/>
      </w:pPr>
      <w:r>
        <w:t>Ärztinnen und Ärzte können Patientinnen und Patienten Verschreibungen für ausländische Grippeimpfstoffe für den Einzelimport über Apotheken ausstellen, die Erstattung der Kosten erfolgt durch die Krankenkassen.</w:t>
      </w:r>
    </w:p>
    <w:p w:rsidR="009D008C" w:rsidRDefault="009D008C" w:rsidP="007370F1">
      <w:pPr>
        <w:pStyle w:val="LTAntwortRessortText"/>
        <w:numPr>
          <w:ilvl w:val="0"/>
          <w:numId w:val="31"/>
        </w:numPr>
        <w:spacing w:before="120"/>
        <w:ind w:left="709" w:hanging="283"/>
      </w:pPr>
      <w:r>
        <w:t>Der Bayerische Apothekerverband (BAV) ist in Verhandlungen mit pharmazeutischen Unternehmern und Arzneimittelimporteuren, um noch größere Mengen Grippeimpfstoff für Bayern zu reservieren.</w:t>
      </w:r>
    </w:p>
    <w:p w:rsidR="009D008C" w:rsidRDefault="009D008C" w:rsidP="009D008C">
      <w:pPr>
        <w:pStyle w:val="LTAntwortRessortText"/>
      </w:pPr>
      <w:r>
        <w:t>Eine verbindliche Aussage zum aktuellen Bedarf an Grippeimpfstoff kann nicht getroffen werden.</w:t>
      </w:r>
    </w:p>
    <w:p w:rsidR="009D008C" w:rsidRDefault="009D008C" w:rsidP="009D008C">
      <w:pPr>
        <w:pStyle w:val="LTAntwortRessortText"/>
      </w:pPr>
      <w:r>
        <w:t>Das Staatsministerium für Gesundheit und Pflege wird die LAGI bitten, die Situation zu evaluieren und Lösungsvorschläge für die kommenden Saisons erörtern, um das künftige Impfverhalten der Bevölkerung besser prognostizieren und die Versorgung weitgehend sicherstellen zu können.</w:t>
      </w:r>
    </w:p>
    <w:p w:rsidR="009D008C" w:rsidRDefault="009D008C" w:rsidP="009D008C">
      <w:pPr>
        <w:pStyle w:val="LTAntwortRessortText"/>
      </w:pPr>
      <w:r>
        <w:t xml:space="preserve">Die </w:t>
      </w:r>
      <w:r w:rsidR="000177DC">
        <w:t>LAGI</w:t>
      </w:r>
      <w:r>
        <w:t xml:space="preserve"> wurde im November 2006 gegründet. Sie vereint Vertreter von Ärzteverbänden, Apothekern, Körperschaften, dem Öffentlichen Gesundheitsdienst, gesetzlichen wie privaten Krankenkassen und Wissenschaft einschließlich aller bayerischen Mitglieder der Ständigen Impfkommission (STIKO).</w:t>
      </w:r>
    </w:p>
    <w:p w:rsidR="009D008C" w:rsidRDefault="009D008C" w:rsidP="009D008C">
      <w:pPr>
        <w:pStyle w:val="LTUeberschrRessort"/>
      </w:pPr>
    </w:p>
    <w:sectPr w:rsidR="009D008C" w:rsidSect="00F00864">
      <w:headerReference w:type="even" r:id="rId27"/>
      <w:headerReference w:type="default" r:id="rId28"/>
      <w:footerReference w:type="default" r:id="rId29"/>
      <w:footnotePr>
        <w:pos w:val="beneathText"/>
      </w:footnotePr>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2B0" w:rsidRDefault="002412B0">
      <w:r>
        <w:separator/>
      </w:r>
    </w:p>
  </w:endnote>
  <w:endnote w:type="continuationSeparator" w:id="0">
    <w:p w:rsidR="002412B0" w:rsidRDefault="0024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2B0" w:rsidRDefault="002412B0"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2B0" w:rsidRPr="009C32BE" w:rsidRDefault="002412B0"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2B0" w:rsidRPr="00311533" w:rsidRDefault="002412B0"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2B0" w:rsidRDefault="002412B0">
      <w:r>
        <w:separator/>
      </w:r>
    </w:p>
  </w:footnote>
  <w:footnote w:type="continuationSeparator" w:id="0">
    <w:p w:rsidR="002412B0" w:rsidRDefault="002412B0">
      <w:r>
        <w:continuationSeparator/>
      </w:r>
    </w:p>
  </w:footnote>
  <w:footnote w:id="1">
    <w:p w:rsidR="002412B0" w:rsidRDefault="002412B0" w:rsidP="00CB03E4">
      <w:pPr>
        <w:spacing w:before="63"/>
        <w:ind w:left="116" w:right="103"/>
      </w:pPr>
      <w:r>
        <w:rPr>
          <w:rStyle w:val="Funotenzeichen"/>
        </w:rPr>
        <w:footnoteRef/>
      </w:r>
      <w:r>
        <w:t xml:space="preserve"> </w:t>
      </w:r>
      <w:r>
        <w:rPr>
          <w:rFonts w:ascii="Times New Roman" w:hAnsi="Times New Roman"/>
          <w:spacing w:val="-1"/>
        </w:rPr>
        <w:t>Hierunter</w:t>
      </w:r>
      <w:r>
        <w:rPr>
          <w:rFonts w:ascii="Times New Roman" w:hAnsi="Times New Roman"/>
          <w:spacing w:val="-10"/>
        </w:rPr>
        <w:t xml:space="preserve"> </w:t>
      </w:r>
      <w:r>
        <w:rPr>
          <w:rFonts w:ascii="Times New Roman" w:hAnsi="Times New Roman"/>
        </w:rPr>
        <w:t>fallen</w:t>
      </w:r>
      <w:r>
        <w:rPr>
          <w:rFonts w:ascii="Times New Roman" w:hAnsi="Times New Roman"/>
          <w:spacing w:val="-14"/>
        </w:rPr>
        <w:t xml:space="preserve"> </w:t>
      </w:r>
      <w:r>
        <w:rPr>
          <w:rFonts w:ascii="Times New Roman" w:hAnsi="Times New Roman"/>
        </w:rPr>
        <w:t>beispielsweise</w:t>
      </w:r>
      <w:r>
        <w:rPr>
          <w:rFonts w:ascii="Times New Roman" w:hAnsi="Times New Roman"/>
          <w:spacing w:val="-12"/>
        </w:rPr>
        <w:t xml:space="preserve"> </w:t>
      </w:r>
      <w:r>
        <w:rPr>
          <w:rFonts w:ascii="Times New Roman" w:hAnsi="Times New Roman"/>
          <w:spacing w:val="-1"/>
        </w:rPr>
        <w:t>Ausschreibungen</w:t>
      </w:r>
      <w:r>
        <w:rPr>
          <w:rFonts w:ascii="Times New Roman" w:hAnsi="Times New Roman"/>
          <w:spacing w:val="-9"/>
        </w:rPr>
        <w:t xml:space="preserve"> </w:t>
      </w:r>
      <w:r>
        <w:rPr>
          <w:rFonts w:ascii="Times New Roman" w:hAnsi="Times New Roman"/>
          <w:spacing w:val="-1"/>
        </w:rPr>
        <w:t>wegen</w:t>
      </w:r>
      <w:r>
        <w:rPr>
          <w:rFonts w:ascii="Times New Roman" w:hAnsi="Times New Roman"/>
          <w:spacing w:val="-13"/>
        </w:rPr>
        <w:t xml:space="preserve"> </w:t>
      </w:r>
      <w:r>
        <w:rPr>
          <w:rFonts w:ascii="Times New Roman" w:hAnsi="Times New Roman"/>
          <w:spacing w:val="-1"/>
        </w:rPr>
        <w:t>Untersuchungshaftbefehlen,</w:t>
      </w:r>
      <w:r>
        <w:rPr>
          <w:rFonts w:ascii="Times New Roman" w:hAnsi="Times New Roman"/>
          <w:spacing w:val="-12"/>
        </w:rPr>
        <w:t xml:space="preserve"> </w:t>
      </w:r>
      <w:r>
        <w:rPr>
          <w:rFonts w:ascii="Times New Roman" w:hAnsi="Times New Roman"/>
        </w:rPr>
        <w:t>Vollstreckungshaftbefehlen</w:t>
      </w:r>
      <w:r>
        <w:rPr>
          <w:rFonts w:ascii="Times New Roman" w:hAnsi="Times New Roman"/>
          <w:spacing w:val="93"/>
          <w:w w:val="99"/>
        </w:rPr>
        <w:t xml:space="preserve"> </w:t>
      </w:r>
      <w:r>
        <w:rPr>
          <w:rFonts w:ascii="Times New Roman" w:hAnsi="Times New Roman"/>
          <w:spacing w:val="-1"/>
        </w:rPr>
        <w:t>(etwa</w:t>
      </w:r>
      <w:r>
        <w:rPr>
          <w:rFonts w:ascii="Times New Roman" w:hAnsi="Times New Roman"/>
          <w:spacing w:val="-5"/>
        </w:rPr>
        <w:t xml:space="preserve"> </w:t>
      </w:r>
      <w:r>
        <w:rPr>
          <w:rFonts w:ascii="Times New Roman" w:hAnsi="Times New Roman"/>
          <w:spacing w:val="-1"/>
        </w:rPr>
        <w:t>wegen</w:t>
      </w:r>
      <w:r>
        <w:rPr>
          <w:rFonts w:ascii="Times New Roman" w:hAnsi="Times New Roman"/>
          <w:spacing w:val="-6"/>
        </w:rPr>
        <w:t xml:space="preserve"> </w:t>
      </w:r>
      <w:r>
        <w:rPr>
          <w:rFonts w:ascii="Times New Roman" w:hAnsi="Times New Roman"/>
          <w:spacing w:val="-1"/>
        </w:rPr>
        <w:t>nicht</w:t>
      </w:r>
      <w:r>
        <w:rPr>
          <w:rFonts w:ascii="Times New Roman" w:hAnsi="Times New Roman"/>
          <w:spacing w:val="-8"/>
        </w:rPr>
        <w:t xml:space="preserve"> </w:t>
      </w:r>
      <w:r>
        <w:rPr>
          <w:rFonts w:ascii="Times New Roman" w:hAnsi="Times New Roman"/>
        </w:rPr>
        <w:t>angetretener</w:t>
      </w:r>
      <w:r>
        <w:rPr>
          <w:rFonts w:ascii="Times New Roman" w:hAnsi="Times New Roman"/>
          <w:spacing w:val="-7"/>
        </w:rPr>
        <w:t xml:space="preserve"> </w:t>
      </w:r>
      <w:r>
        <w:rPr>
          <w:rFonts w:ascii="Times New Roman" w:hAnsi="Times New Roman"/>
          <w:spacing w:val="-1"/>
        </w:rPr>
        <w:t>Haft</w:t>
      </w:r>
      <w:r>
        <w:rPr>
          <w:rFonts w:ascii="Times New Roman" w:hAnsi="Times New Roman"/>
          <w:spacing w:val="-7"/>
        </w:rPr>
        <w:t xml:space="preserve"> </w:t>
      </w:r>
      <w:r>
        <w:rPr>
          <w:rFonts w:ascii="Times New Roman" w:hAnsi="Times New Roman"/>
        </w:rPr>
        <w:t>oder</w:t>
      </w:r>
      <w:r>
        <w:rPr>
          <w:rFonts w:ascii="Times New Roman" w:hAnsi="Times New Roman"/>
          <w:spacing w:val="-6"/>
        </w:rPr>
        <w:t xml:space="preserve"> </w:t>
      </w:r>
      <w:r>
        <w:rPr>
          <w:rFonts w:ascii="Times New Roman" w:hAnsi="Times New Roman"/>
          <w:spacing w:val="-1"/>
        </w:rPr>
        <w:t>nicht</w:t>
      </w:r>
      <w:r>
        <w:rPr>
          <w:rFonts w:ascii="Times New Roman" w:hAnsi="Times New Roman"/>
          <w:spacing w:val="-8"/>
        </w:rPr>
        <w:t xml:space="preserve"> </w:t>
      </w:r>
      <w:r>
        <w:rPr>
          <w:rFonts w:ascii="Times New Roman" w:hAnsi="Times New Roman"/>
        </w:rPr>
        <w:t>bezahlter</w:t>
      </w:r>
      <w:r>
        <w:rPr>
          <w:rFonts w:ascii="Times New Roman" w:hAnsi="Times New Roman"/>
          <w:spacing w:val="-6"/>
        </w:rPr>
        <w:t xml:space="preserve"> </w:t>
      </w:r>
      <w:r>
        <w:rPr>
          <w:rFonts w:ascii="Times New Roman" w:hAnsi="Times New Roman"/>
          <w:spacing w:val="-1"/>
        </w:rPr>
        <w:t>Geldstrafen),</w:t>
      </w:r>
      <w:r>
        <w:rPr>
          <w:rFonts w:ascii="Times New Roman" w:hAnsi="Times New Roman"/>
          <w:spacing w:val="-7"/>
        </w:rPr>
        <w:t xml:space="preserve"> </w:t>
      </w:r>
      <w:r>
        <w:rPr>
          <w:rFonts w:ascii="Times New Roman" w:hAnsi="Times New Roman"/>
        </w:rPr>
        <w:t>Wiedereinreisesperren</w:t>
      </w:r>
      <w:r>
        <w:rPr>
          <w:rFonts w:ascii="Times New Roman" w:hAnsi="Times New Roman"/>
          <w:spacing w:val="-8"/>
        </w:rPr>
        <w:t xml:space="preserve"> </w:t>
      </w:r>
      <w:r>
        <w:rPr>
          <w:rFonts w:ascii="Times New Roman" w:hAnsi="Times New Roman"/>
        </w:rPr>
        <w:t>(insbes.</w:t>
      </w:r>
      <w:r>
        <w:rPr>
          <w:rFonts w:ascii="Times New Roman" w:hAnsi="Times New Roman"/>
          <w:spacing w:val="-7"/>
        </w:rPr>
        <w:t xml:space="preserve"> </w:t>
      </w:r>
      <w:r>
        <w:rPr>
          <w:rFonts w:ascii="Times New Roman" w:hAnsi="Times New Roman"/>
        </w:rPr>
        <w:t>nach</w:t>
      </w:r>
      <w:r>
        <w:rPr>
          <w:rFonts w:ascii="Times New Roman" w:hAnsi="Times New Roman"/>
          <w:spacing w:val="-6"/>
        </w:rPr>
        <w:t xml:space="preserve"> </w:t>
      </w:r>
      <w:r>
        <w:rPr>
          <w:rFonts w:ascii="Times New Roman" w:hAnsi="Times New Roman"/>
        </w:rPr>
        <w:t>Ab</w:t>
      </w:r>
      <w:r>
        <w:rPr>
          <w:rFonts w:ascii="Times New Roman" w:hAnsi="Times New Roman"/>
          <w:spacing w:val="-1"/>
        </w:rPr>
        <w:t>schiebungen),</w:t>
      </w:r>
      <w:r>
        <w:rPr>
          <w:rFonts w:ascii="Times New Roman" w:hAnsi="Times New Roman"/>
          <w:spacing w:val="-10"/>
        </w:rPr>
        <w:t xml:space="preserve"> </w:t>
      </w:r>
      <w:r>
        <w:rPr>
          <w:rFonts w:ascii="Times New Roman" w:hAnsi="Times New Roman"/>
          <w:spacing w:val="-1"/>
        </w:rPr>
        <w:t>Ausschreibung</w:t>
      </w:r>
      <w:r>
        <w:rPr>
          <w:rFonts w:ascii="Times New Roman" w:hAnsi="Times New Roman"/>
          <w:spacing w:val="-8"/>
        </w:rPr>
        <w:t xml:space="preserve"> </w:t>
      </w:r>
      <w:r>
        <w:rPr>
          <w:rFonts w:ascii="Times New Roman" w:hAnsi="Times New Roman"/>
          <w:spacing w:val="-1"/>
        </w:rPr>
        <w:t>zur</w:t>
      </w:r>
      <w:r>
        <w:rPr>
          <w:rFonts w:ascii="Times New Roman" w:hAnsi="Times New Roman"/>
          <w:spacing w:val="-10"/>
        </w:rPr>
        <w:t xml:space="preserve"> </w:t>
      </w:r>
      <w:r>
        <w:rPr>
          <w:rFonts w:ascii="Times New Roman" w:hAnsi="Times New Roman"/>
        </w:rPr>
        <w:t>polizeiliche</w:t>
      </w:r>
      <w:r w:rsidR="009D771C">
        <w:rPr>
          <w:rFonts w:ascii="Times New Roman" w:hAnsi="Times New Roman"/>
        </w:rPr>
        <w:t>n</w:t>
      </w:r>
      <w:r>
        <w:rPr>
          <w:rFonts w:ascii="Times New Roman" w:hAnsi="Times New Roman"/>
          <w:spacing w:val="-9"/>
        </w:rPr>
        <w:t xml:space="preserve"> </w:t>
      </w:r>
      <w:r>
        <w:rPr>
          <w:rFonts w:ascii="Times New Roman" w:hAnsi="Times New Roman"/>
        </w:rPr>
        <w:t>Beobachtung</w:t>
      </w:r>
      <w:r>
        <w:rPr>
          <w:rFonts w:ascii="Times New Roman" w:hAnsi="Times New Roman"/>
          <w:spacing w:val="-7"/>
        </w:rPr>
        <w:t xml:space="preserve"> </w:t>
      </w:r>
      <w:r>
        <w:rPr>
          <w:rFonts w:ascii="Times New Roman" w:hAnsi="Times New Roman"/>
        </w:rPr>
        <w:t>(z. B.</w:t>
      </w:r>
      <w:r>
        <w:rPr>
          <w:rFonts w:ascii="Times New Roman" w:hAnsi="Times New Roman"/>
          <w:spacing w:val="-9"/>
        </w:rPr>
        <w:t xml:space="preserve"> </w:t>
      </w:r>
      <w:r>
        <w:rPr>
          <w:rFonts w:ascii="Times New Roman" w:hAnsi="Times New Roman"/>
        </w:rPr>
        <w:t>Gefährder),</w:t>
      </w:r>
      <w:r>
        <w:rPr>
          <w:rFonts w:ascii="Times New Roman" w:hAnsi="Times New Roman"/>
          <w:spacing w:val="-9"/>
        </w:rPr>
        <w:t xml:space="preserve"> </w:t>
      </w:r>
      <w:r>
        <w:rPr>
          <w:rFonts w:ascii="Times New Roman" w:hAnsi="Times New Roman"/>
          <w:spacing w:val="-1"/>
        </w:rPr>
        <w:t>Ausschreibung</w:t>
      </w:r>
      <w:r>
        <w:rPr>
          <w:rFonts w:ascii="Times New Roman" w:hAnsi="Times New Roman"/>
          <w:spacing w:val="-10"/>
        </w:rPr>
        <w:t xml:space="preserve"> </w:t>
      </w:r>
      <w:r>
        <w:rPr>
          <w:rFonts w:ascii="Times New Roman" w:hAnsi="Times New Roman"/>
        </w:rPr>
        <w:t>zur</w:t>
      </w:r>
      <w:r>
        <w:rPr>
          <w:rFonts w:ascii="Times New Roman" w:hAnsi="Times New Roman"/>
          <w:spacing w:val="-7"/>
        </w:rPr>
        <w:t xml:space="preserve"> </w:t>
      </w:r>
      <w:r>
        <w:rPr>
          <w:rFonts w:ascii="Times New Roman" w:hAnsi="Times New Roman"/>
        </w:rPr>
        <w:t>Aufenthaltser</w:t>
      </w:r>
      <w:r>
        <w:rPr>
          <w:rFonts w:ascii="Times New Roman" w:hAnsi="Times New Roman"/>
          <w:spacing w:val="-1"/>
        </w:rPr>
        <w:t>mittlung,</w:t>
      </w:r>
      <w:r>
        <w:rPr>
          <w:rFonts w:ascii="Times New Roman" w:hAnsi="Times New Roman"/>
          <w:spacing w:val="-10"/>
        </w:rPr>
        <w:t xml:space="preserve"> </w:t>
      </w:r>
      <w:r>
        <w:rPr>
          <w:rFonts w:ascii="Times New Roman" w:hAnsi="Times New Roman"/>
          <w:spacing w:val="-1"/>
        </w:rPr>
        <w:t>Haftbefehle</w:t>
      </w:r>
      <w:r>
        <w:rPr>
          <w:rFonts w:ascii="Times New Roman" w:hAnsi="Times New Roman"/>
          <w:spacing w:val="-10"/>
        </w:rPr>
        <w:t xml:space="preserve"> </w:t>
      </w:r>
      <w:r>
        <w:rPr>
          <w:rFonts w:ascii="Times New Roman" w:hAnsi="Times New Roman"/>
        </w:rPr>
        <w:t>aus</w:t>
      </w:r>
      <w:r>
        <w:rPr>
          <w:rFonts w:ascii="Times New Roman" w:hAnsi="Times New Roman"/>
          <w:spacing w:val="-10"/>
        </w:rPr>
        <w:t xml:space="preserve"> </w:t>
      </w:r>
      <w:r>
        <w:rPr>
          <w:rFonts w:ascii="Times New Roman" w:hAnsi="Times New Roman"/>
        </w:rPr>
        <w:t>anderen</w:t>
      </w:r>
      <w:r>
        <w:rPr>
          <w:rFonts w:ascii="Times New Roman" w:hAnsi="Times New Roman"/>
          <w:spacing w:val="-11"/>
        </w:rPr>
        <w:t xml:space="preserve"> </w:t>
      </w:r>
      <w:r>
        <w:rPr>
          <w:rFonts w:ascii="Times New Roman" w:hAnsi="Times New Roman"/>
          <w:spacing w:val="-1"/>
        </w:rPr>
        <w:t>Schengen-/EU-Staaten,</w:t>
      </w:r>
      <w:r>
        <w:rPr>
          <w:rFonts w:ascii="Times New Roman" w:hAnsi="Times New Roman"/>
          <w:spacing w:val="-7"/>
        </w:rPr>
        <w:t xml:space="preserve"> </w:t>
      </w:r>
      <w:r>
        <w:rPr>
          <w:rFonts w:ascii="Times New Roman" w:hAnsi="Times New Roman"/>
        </w:rPr>
        <w:t>von</w:t>
      </w:r>
      <w:r>
        <w:rPr>
          <w:rFonts w:ascii="Times New Roman" w:hAnsi="Times New Roman"/>
          <w:spacing w:val="-11"/>
        </w:rPr>
        <w:t xml:space="preserve"> </w:t>
      </w:r>
      <w:r>
        <w:rPr>
          <w:rFonts w:ascii="Times New Roman" w:hAnsi="Times New Roman"/>
        </w:rPr>
        <w:t>anderen</w:t>
      </w:r>
      <w:r>
        <w:rPr>
          <w:rFonts w:ascii="Times New Roman" w:hAnsi="Times New Roman"/>
          <w:spacing w:val="-10"/>
        </w:rPr>
        <w:t xml:space="preserve"> </w:t>
      </w:r>
      <w:r>
        <w:rPr>
          <w:rFonts w:ascii="Times New Roman" w:hAnsi="Times New Roman"/>
        </w:rPr>
        <w:t>Schengen- bzw. EU-Staaten</w:t>
      </w:r>
      <w:r>
        <w:rPr>
          <w:rFonts w:ascii="Times New Roman" w:hAnsi="Times New Roman"/>
          <w:spacing w:val="-11"/>
        </w:rPr>
        <w:t xml:space="preserve"> </w:t>
      </w:r>
      <w:r>
        <w:rPr>
          <w:rFonts w:ascii="Times New Roman" w:hAnsi="Times New Roman"/>
          <w:spacing w:val="-1"/>
        </w:rPr>
        <w:t>verhängte</w:t>
      </w:r>
      <w:r>
        <w:rPr>
          <w:rFonts w:ascii="Times New Roman" w:hAnsi="Times New Roman"/>
          <w:spacing w:val="-9"/>
        </w:rPr>
        <w:t xml:space="preserve"> </w:t>
      </w:r>
      <w:r>
        <w:rPr>
          <w:rFonts w:ascii="Times New Roman" w:hAnsi="Times New Roman"/>
        </w:rPr>
        <w:t>Einreise</w:t>
      </w:r>
      <w:r>
        <w:rPr>
          <w:rFonts w:ascii="Times New Roman" w:hAnsi="Times New Roman"/>
          <w:spacing w:val="-1"/>
        </w:rPr>
        <w:t>verweigerungen.</w:t>
      </w:r>
    </w:p>
  </w:footnote>
  <w:footnote w:id="2">
    <w:p w:rsidR="002412B0" w:rsidRDefault="002412B0" w:rsidP="00CB03E4">
      <w:pPr>
        <w:spacing w:line="230" w:lineRule="exact"/>
        <w:ind w:left="116"/>
        <w:rPr>
          <w:rFonts w:ascii="Times New Roman" w:hAnsi="Times New Roman"/>
          <w:szCs w:val="20"/>
        </w:rPr>
      </w:pPr>
      <w:r>
        <w:rPr>
          <w:rStyle w:val="Funotenzeichen"/>
        </w:rPr>
        <w:footnoteRef/>
      </w:r>
      <w:r>
        <w:t xml:space="preserve"> </w:t>
      </w:r>
      <w:r>
        <w:rPr>
          <w:rFonts w:ascii="Times New Roman"/>
          <w:spacing w:val="-1"/>
        </w:rPr>
        <w:t>Beispielsweise</w:t>
      </w:r>
      <w:r>
        <w:rPr>
          <w:rFonts w:ascii="Times New Roman"/>
          <w:spacing w:val="-6"/>
        </w:rPr>
        <w:t xml:space="preserve"> </w:t>
      </w:r>
      <w:r>
        <w:rPr>
          <w:rFonts w:ascii="Times New Roman"/>
          <w:spacing w:val="-1"/>
        </w:rPr>
        <w:t>Ausschreibung</w:t>
      </w:r>
      <w:r>
        <w:rPr>
          <w:rFonts w:ascii="Times New Roman"/>
          <w:spacing w:val="-7"/>
        </w:rPr>
        <w:t xml:space="preserve"> </w:t>
      </w:r>
      <w:r>
        <w:rPr>
          <w:rFonts w:ascii="Times New Roman"/>
          <w:spacing w:val="-1"/>
        </w:rPr>
        <w:t>wegen</w:t>
      </w:r>
      <w:r>
        <w:rPr>
          <w:rFonts w:ascii="Times New Roman"/>
          <w:spacing w:val="-8"/>
        </w:rPr>
        <w:t xml:space="preserve"> </w:t>
      </w:r>
      <w:r>
        <w:rPr>
          <w:rFonts w:ascii="Times New Roman"/>
          <w:spacing w:val="-1"/>
        </w:rPr>
        <w:t>Diebstahl</w:t>
      </w:r>
      <w:r>
        <w:rPr>
          <w:rFonts w:ascii="Times New Roman"/>
          <w:spacing w:val="-7"/>
        </w:rPr>
        <w:t xml:space="preserve"> </w:t>
      </w:r>
      <w:r>
        <w:rPr>
          <w:rFonts w:ascii="Times New Roman"/>
        </w:rPr>
        <w:t>oder</w:t>
      </w:r>
      <w:r>
        <w:rPr>
          <w:rFonts w:ascii="Times New Roman"/>
          <w:spacing w:val="-6"/>
        </w:rPr>
        <w:t xml:space="preserve"> </w:t>
      </w:r>
      <w:r>
        <w:rPr>
          <w:rFonts w:ascii="Times New Roman"/>
        </w:rPr>
        <w:t>Unterschlagung</w:t>
      </w:r>
      <w:r>
        <w:rPr>
          <w:rFonts w:ascii="Times New Roman"/>
          <w:spacing w:val="-7"/>
        </w:rPr>
        <w:t xml:space="preserve"> </w:t>
      </w:r>
      <w:r>
        <w:rPr>
          <w:rFonts w:ascii="Times New Roman"/>
          <w:spacing w:val="-1"/>
        </w:rPr>
        <w:t>bzw.</w:t>
      </w:r>
      <w:r>
        <w:rPr>
          <w:rFonts w:ascii="Times New Roman"/>
          <w:spacing w:val="-7"/>
        </w:rPr>
        <w:t xml:space="preserve"> </w:t>
      </w:r>
      <w:r>
        <w:rPr>
          <w:rFonts w:ascii="Times New Roman"/>
        </w:rPr>
        <w:t>Verlust</w:t>
      </w:r>
      <w:r w:rsidR="00AF399C">
        <w:rPr>
          <w:rFonts w:ascii="Times New Roman"/>
        </w:rPr>
        <w:t>.</w:t>
      </w:r>
    </w:p>
    <w:p w:rsidR="002412B0" w:rsidRDefault="002412B0">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2B0" w:rsidRDefault="002412B0"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fldSimple w:instr=" DOCVARIABLE  &quot;Wp&quot; \* MERGEFORMAT ">
      <w:r w:rsidR="00D63E48">
        <w:t>18</w:t>
      </w:r>
    </w:fldSimple>
    <w:r w:rsidRPr="00CA6785">
      <w:t>/</w:t>
    </w:r>
    <w:r>
      <w:rPr>
        <w:b/>
      </w:rPr>
      <w:fldChar w:fldCharType="begin"/>
    </w:r>
    <w:r>
      <w:rPr>
        <w:b/>
      </w:rPr>
      <w:instrText xml:space="preserve"> DOCVARIABLE  "Drsnr" \* MERGEFORMAT </w:instrText>
    </w:r>
    <w:r>
      <w:rPr>
        <w:b/>
      </w:rPr>
      <w:fldChar w:fldCharType="separate"/>
    </w:r>
    <w:r w:rsidR="00D63E48">
      <w:rPr>
        <w:b/>
      </w:rPr>
      <w:t>45</w:t>
    </w:r>
    <w:r>
      <w:rPr>
        <w:b/>
      </w:rPr>
      <w:fldChar w:fldCharType="end"/>
    </w:r>
    <w:r>
      <w:tab/>
    </w:r>
    <w:r>
      <w:tab/>
    </w:r>
    <w:r w:rsidRPr="009A2D8C">
      <w:t>Bayerischer Landtag</w:t>
    </w:r>
    <w:r>
      <w:t xml:space="preserve"> -</w:t>
    </w:r>
    <w:fldSimple w:instr=" DOCVARIABLE  &quot;Wp&quot; \* MERGEFORMAT ">
      <w:r w:rsidR="00D63E48">
        <w:t>18</w:t>
      </w:r>
    </w:fldSimple>
    <w:r>
      <w:t>. Wahlperiode</w:t>
    </w:r>
  </w:p>
  <w:p w:rsidR="002412B0" w:rsidRDefault="002412B0"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2B0" w:rsidRDefault="002412B0"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fldSimple w:instr=" DOCVARIABLE  &quot;Wp&quot; \* MERGEFORMAT ">
      <w:r w:rsidR="00D63E48">
        <w:t>18</w:t>
      </w:r>
    </w:fldSimple>
    <w:r>
      <w:t>. Wahlperiode</w:t>
    </w:r>
    <w:r>
      <w:tab/>
    </w:r>
    <w:r>
      <w:tab/>
    </w:r>
    <w:r w:rsidRPr="009A2D8C">
      <w:rPr>
        <w:b/>
      </w:rPr>
      <w:t>Drucksache</w:t>
    </w:r>
    <w:r>
      <w:rPr>
        <w:b/>
      </w:rPr>
      <w:t xml:space="preserve"> </w:t>
    </w:r>
    <w:fldSimple w:instr=" DOCVARIABLE  &quot;Wp&quot; \* MERGEFORMAT ">
      <w:r w:rsidR="00D63E48">
        <w:t>18</w:t>
      </w:r>
    </w:fldSimple>
    <w:r w:rsidRPr="00CA6785">
      <w:t>/</w:t>
    </w:r>
    <w:r>
      <w:rPr>
        <w:b/>
      </w:rPr>
      <w:fldChar w:fldCharType="begin"/>
    </w:r>
    <w:r>
      <w:rPr>
        <w:b/>
      </w:rPr>
      <w:instrText xml:space="preserve"> DOCVARIABLE  "Drsnr" \* MERGEFORMAT </w:instrText>
    </w:r>
    <w:r>
      <w:rPr>
        <w:b/>
      </w:rPr>
      <w:fldChar w:fldCharType="separate"/>
    </w:r>
    <w:r w:rsidR="00D63E48">
      <w:rPr>
        <w:b/>
      </w:rPr>
      <w:t>45</w:t>
    </w:r>
    <w:r>
      <w:rPr>
        <w:b/>
      </w:rPr>
      <w:fldChar w:fldCharType="end"/>
    </w:r>
  </w:p>
  <w:p w:rsidR="002412B0" w:rsidRPr="00C127DA" w:rsidRDefault="002412B0"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2B0" w:rsidRDefault="002412B0"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228BC856" wp14:editId="67914FB9">
          <wp:simplePos x="0" y="0"/>
          <wp:positionH relativeFrom="page">
            <wp:posOffset>683895</wp:posOffset>
          </wp:positionH>
          <wp:positionV relativeFrom="page">
            <wp:posOffset>360045</wp:posOffset>
          </wp:positionV>
          <wp:extent cx="972000" cy="58680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CAC6D28" wp14:editId="0DE48887">
          <wp:simplePos x="0" y="0"/>
          <wp:positionH relativeFrom="page">
            <wp:posOffset>5581015</wp:posOffset>
          </wp:positionH>
          <wp:positionV relativeFrom="page">
            <wp:posOffset>360045</wp:posOffset>
          </wp:positionV>
          <wp:extent cx="1393200" cy="58680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8521A7" w:rsidRPr="008521A7">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8521A7">
      <w:rPr>
        <w:sz w:val="22"/>
        <w:szCs w:val="22"/>
      </w:rPr>
      <w:t>13.12.2018</w:t>
    </w:r>
    <w:r>
      <w:rPr>
        <w:sz w:val="22"/>
        <w:szCs w:val="22"/>
      </w:rPr>
      <w:fldChar w:fldCharType="end"/>
    </w:r>
    <w:r>
      <w:rPr>
        <w:sz w:val="120"/>
        <w:szCs w:val="120"/>
      </w:rPr>
      <w:t xml:space="preserve">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8521A7" w:rsidRPr="008521A7">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8521A7" w:rsidRPr="008521A7">
      <w:rPr>
        <w:b/>
        <w:bCs/>
        <w:sz w:val="42"/>
        <w:szCs w:val="42"/>
      </w:rPr>
      <w:t>45</w:t>
    </w:r>
    <w:r w:rsidRPr="00853926">
      <w:rPr>
        <w:b/>
        <w:sz w:val="42"/>
        <w:szCs w:val="42"/>
      </w:rPr>
      <w:fldChar w:fldCharType="end"/>
    </w:r>
  </w:p>
  <w:p w:rsidR="002412B0" w:rsidRPr="004453BF" w:rsidRDefault="002412B0"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2B0" w:rsidRPr="00A44F63" w:rsidRDefault="002412B0"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D63E48">
      <w:rPr>
        <w:rStyle w:val="Seitenzahl"/>
        <w:noProof/>
        <w:szCs w:val="20"/>
      </w:rPr>
      <w:t>46</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D63E48">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D63E48">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D63E48">
      <w:rPr>
        <w:b/>
        <w:szCs w:val="20"/>
      </w:rPr>
      <w:t>45</w:t>
    </w:r>
    <w:r w:rsidRPr="00A44F63">
      <w:rPr>
        <w:b/>
        <w:szCs w:val="20"/>
      </w:rPr>
      <w:fldChar w:fldCharType="end"/>
    </w:r>
  </w:p>
  <w:p w:rsidR="002412B0" w:rsidRPr="00861320" w:rsidRDefault="002412B0"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2B0" w:rsidRPr="00DE5B17" w:rsidRDefault="002412B0"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D63E48">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D63E48">
      <w:rPr>
        <w:b/>
        <w:szCs w:val="20"/>
      </w:rPr>
      <w:t>45</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D63E48">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082CBD">
      <w:rPr>
        <w:rStyle w:val="Seitenzahl"/>
        <w:noProof/>
        <w:szCs w:val="20"/>
      </w:rPr>
      <w:t>16</w:t>
    </w:r>
    <w:r w:rsidRPr="00DE5B17">
      <w:rPr>
        <w:rStyle w:val="Seitenzahl"/>
        <w:szCs w:val="20"/>
      </w:rPr>
      <w:fldChar w:fldCharType="end"/>
    </w:r>
  </w:p>
  <w:p w:rsidR="002412B0" w:rsidRPr="00601929" w:rsidRDefault="002412B0"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DC46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C8DE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A28B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9C13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9A73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408F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E889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3835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664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B05F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78634C"/>
    <w:multiLevelType w:val="hybridMultilevel"/>
    <w:tmpl w:val="521A210A"/>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1A43435D"/>
    <w:multiLevelType w:val="hybridMultilevel"/>
    <w:tmpl w:val="EA4275BC"/>
    <w:lvl w:ilvl="0" w:tplc="A65C8B6A">
      <w:start w:val="2"/>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2"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83C3BAE"/>
    <w:multiLevelType w:val="hybridMultilevel"/>
    <w:tmpl w:val="74F8CC04"/>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6"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B6D3A2B"/>
    <w:multiLevelType w:val="hybridMultilevel"/>
    <w:tmpl w:val="096E218A"/>
    <w:lvl w:ilvl="0" w:tplc="FC3E96B4">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8"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D881557"/>
    <w:multiLevelType w:val="hybridMultilevel"/>
    <w:tmpl w:val="C226A480"/>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0" w15:restartNumberingAfterBreak="0">
    <w:nsid w:val="4FA078DB"/>
    <w:multiLevelType w:val="hybridMultilevel"/>
    <w:tmpl w:val="8BBC2A24"/>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1"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CE26687"/>
    <w:multiLevelType w:val="hybridMultilevel"/>
    <w:tmpl w:val="632050C6"/>
    <w:lvl w:ilvl="0" w:tplc="65F83526">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7" w15:restartNumberingAfterBreak="0">
    <w:nsid w:val="70D72F36"/>
    <w:multiLevelType w:val="hybridMultilevel"/>
    <w:tmpl w:val="CBAACFF0"/>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8"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823329F"/>
    <w:multiLevelType w:val="hybridMultilevel"/>
    <w:tmpl w:val="D32849D2"/>
    <w:lvl w:ilvl="0" w:tplc="29F404EA">
      <w:start w:val="1"/>
      <w:numFmt w:val="decimal"/>
      <w:lvlText w:val="%1."/>
      <w:lvlJc w:val="left"/>
      <w:pPr>
        <w:ind w:left="712" w:hanging="372"/>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num w:numId="1">
    <w:abstractNumId w:val="28"/>
  </w:num>
  <w:num w:numId="2">
    <w:abstractNumId w:val="14"/>
  </w:num>
  <w:num w:numId="3">
    <w:abstractNumId w:val="22"/>
  </w:num>
  <w:num w:numId="4">
    <w:abstractNumId w:val="24"/>
  </w:num>
  <w:num w:numId="5">
    <w:abstractNumId w:val="23"/>
  </w:num>
  <w:num w:numId="6">
    <w:abstractNumId w:val="21"/>
  </w:num>
  <w:num w:numId="7">
    <w:abstractNumId w:val="12"/>
  </w:num>
  <w:num w:numId="8">
    <w:abstractNumId w:val="13"/>
  </w:num>
  <w:num w:numId="9">
    <w:abstractNumId w:val="25"/>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17"/>
  </w:num>
  <w:num w:numId="26">
    <w:abstractNumId w:val="27"/>
  </w:num>
  <w:num w:numId="27">
    <w:abstractNumId w:val="26"/>
  </w:num>
  <w:num w:numId="28">
    <w:abstractNumId w:val="10"/>
  </w:num>
  <w:num w:numId="29">
    <w:abstractNumId w:val="20"/>
  </w:num>
  <w:num w:numId="30">
    <w:abstractNumId w:val="29"/>
  </w:num>
  <w:num w:numId="31">
    <w:abstractNumId w:val="1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TPLQc5L1ONJVFTCweCPYWKYmizwxzyepDGY3p36O0uC00VWjiP/xmyZVAWXB0T9M+le3B87EOInEAPYOI6ugmw==" w:salt="UewNnx7QHF8C4zKTFjf0iw=="/>
  <w:defaultTabStop w:val="709"/>
  <w:autoHyphenation/>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snr" w:val="45"/>
    <w:docVar w:name="Eingangsdatum" w:val="13.12.2018"/>
    <w:docVar w:name="Wochendatum" w:val="10. Dezember 2018"/>
    <w:docVar w:name="Wp" w:val="18"/>
  </w:docVars>
  <w:rsids>
    <w:rsidRoot w:val="009D008C"/>
    <w:rsid w:val="00002517"/>
    <w:rsid w:val="00006292"/>
    <w:rsid w:val="0000703E"/>
    <w:rsid w:val="00012D49"/>
    <w:rsid w:val="000177DC"/>
    <w:rsid w:val="00027F73"/>
    <w:rsid w:val="000371B5"/>
    <w:rsid w:val="00040C73"/>
    <w:rsid w:val="00043B70"/>
    <w:rsid w:val="0006036A"/>
    <w:rsid w:val="000614E0"/>
    <w:rsid w:val="00061EB3"/>
    <w:rsid w:val="000756E7"/>
    <w:rsid w:val="000779F7"/>
    <w:rsid w:val="00082CBD"/>
    <w:rsid w:val="00083D54"/>
    <w:rsid w:val="0008462C"/>
    <w:rsid w:val="00087A79"/>
    <w:rsid w:val="00097682"/>
    <w:rsid w:val="000A14A8"/>
    <w:rsid w:val="000A6370"/>
    <w:rsid w:val="000B764D"/>
    <w:rsid w:val="000C480A"/>
    <w:rsid w:val="000C71A5"/>
    <w:rsid w:val="000C72A9"/>
    <w:rsid w:val="000C7D5A"/>
    <w:rsid w:val="000E1B1F"/>
    <w:rsid w:val="000E73CC"/>
    <w:rsid w:val="000E78E0"/>
    <w:rsid w:val="000F109F"/>
    <w:rsid w:val="000F3417"/>
    <w:rsid w:val="000F6EE0"/>
    <w:rsid w:val="00100C5B"/>
    <w:rsid w:val="0011462D"/>
    <w:rsid w:val="00135D97"/>
    <w:rsid w:val="00136D38"/>
    <w:rsid w:val="001376A1"/>
    <w:rsid w:val="00154F5F"/>
    <w:rsid w:val="001576CA"/>
    <w:rsid w:val="001579D6"/>
    <w:rsid w:val="00163927"/>
    <w:rsid w:val="00165D18"/>
    <w:rsid w:val="00166C0A"/>
    <w:rsid w:val="001676F2"/>
    <w:rsid w:val="00170290"/>
    <w:rsid w:val="00171CDA"/>
    <w:rsid w:val="00193AB7"/>
    <w:rsid w:val="001A5196"/>
    <w:rsid w:val="001B12CC"/>
    <w:rsid w:val="001C0177"/>
    <w:rsid w:val="001C6140"/>
    <w:rsid w:val="001E04E3"/>
    <w:rsid w:val="001E3461"/>
    <w:rsid w:val="001E41D1"/>
    <w:rsid w:val="001F240A"/>
    <w:rsid w:val="00206277"/>
    <w:rsid w:val="00215CAA"/>
    <w:rsid w:val="00226E30"/>
    <w:rsid w:val="002302DA"/>
    <w:rsid w:val="00231278"/>
    <w:rsid w:val="00232B8E"/>
    <w:rsid w:val="0023365B"/>
    <w:rsid w:val="00235942"/>
    <w:rsid w:val="00236A45"/>
    <w:rsid w:val="002375B2"/>
    <w:rsid w:val="002412B0"/>
    <w:rsid w:val="00246DE7"/>
    <w:rsid w:val="00256D32"/>
    <w:rsid w:val="00283D88"/>
    <w:rsid w:val="0028470E"/>
    <w:rsid w:val="00284AA1"/>
    <w:rsid w:val="00293F06"/>
    <w:rsid w:val="002B27E5"/>
    <w:rsid w:val="002C12A1"/>
    <w:rsid w:val="002D2A91"/>
    <w:rsid w:val="002D53C0"/>
    <w:rsid w:val="002D5E77"/>
    <w:rsid w:val="003078E2"/>
    <w:rsid w:val="00311533"/>
    <w:rsid w:val="0031185F"/>
    <w:rsid w:val="003220C1"/>
    <w:rsid w:val="003317ED"/>
    <w:rsid w:val="003343E3"/>
    <w:rsid w:val="00354E4E"/>
    <w:rsid w:val="003556F1"/>
    <w:rsid w:val="003571B7"/>
    <w:rsid w:val="0036081C"/>
    <w:rsid w:val="00384BCC"/>
    <w:rsid w:val="0038607C"/>
    <w:rsid w:val="003865DE"/>
    <w:rsid w:val="00390B65"/>
    <w:rsid w:val="003A0B46"/>
    <w:rsid w:val="003A6DDF"/>
    <w:rsid w:val="003B10EA"/>
    <w:rsid w:val="003B21D3"/>
    <w:rsid w:val="003B4646"/>
    <w:rsid w:val="003B7D59"/>
    <w:rsid w:val="003C3519"/>
    <w:rsid w:val="003C4151"/>
    <w:rsid w:val="003D6C2A"/>
    <w:rsid w:val="003E107C"/>
    <w:rsid w:val="003E2DEE"/>
    <w:rsid w:val="003E36C6"/>
    <w:rsid w:val="003E7E4B"/>
    <w:rsid w:val="003F467B"/>
    <w:rsid w:val="003F78AC"/>
    <w:rsid w:val="004104B6"/>
    <w:rsid w:val="004148C6"/>
    <w:rsid w:val="00431BF4"/>
    <w:rsid w:val="00431F16"/>
    <w:rsid w:val="004359B0"/>
    <w:rsid w:val="004453BF"/>
    <w:rsid w:val="0045402F"/>
    <w:rsid w:val="00462109"/>
    <w:rsid w:val="00465F83"/>
    <w:rsid w:val="00476B56"/>
    <w:rsid w:val="0049671E"/>
    <w:rsid w:val="004A0B31"/>
    <w:rsid w:val="004A2C4B"/>
    <w:rsid w:val="004B184E"/>
    <w:rsid w:val="004B5A87"/>
    <w:rsid w:val="004C1BA3"/>
    <w:rsid w:val="004C4E6B"/>
    <w:rsid w:val="004D4829"/>
    <w:rsid w:val="004E1031"/>
    <w:rsid w:val="004F2494"/>
    <w:rsid w:val="00500E94"/>
    <w:rsid w:val="00503F3C"/>
    <w:rsid w:val="005040C2"/>
    <w:rsid w:val="00511FD9"/>
    <w:rsid w:val="0051739F"/>
    <w:rsid w:val="005321C0"/>
    <w:rsid w:val="0053309B"/>
    <w:rsid w:val="0053625B"/>
    <w:rsid w:val="00544156"/>
    <w:rsid w:val="005517B2"/>
    <w:rsid w:val="00555FF4"/>
    <w:rsid w:val="0057046C"/>
    <w:rsid w:val="0057191B"/>
    <w:rsid w:val="00572482"/>
    <w:rsid w:val="005833DD"/>
    <w:rsid w:val="005834A1"/>
    <w:rsid w:val="00593818"/>
    <w:rsid w:val="005A0EEC"/>
    <w:rsid w:val="005A79EC"/>
    <w:rsid w:val="005B2D24"/>
    <w:rsid w:val="005B6875"/>
    <w:rsid w:val="005C175A"/>
    <w:rsid w:val="005C5701"/>
    <w:rsid w:val="005D0F29"/>
    <w:rsid w:val="005D3C42"/>
    <w:rsid w:val="005F371F"/>
    <w:rsid w:val="00601929"/>
    <w:rsid w:val="006076A5"/>
    <w:rsid w:val="00610976"/>
    <w:rsid w:val="00610EFD"/>
    <w:rsid w:val="00611FE7"/>
    <w:rsid w:val="006171D4"/>
    <w:rsid w:val="0062036D"/>
    <w:rsid w:val="00620B1D"/>
    <w:rsid w:val="006321CE"/>
    <w:rsid w:val="00651968"/>
    <w:rsid w:val="00653E6D"/>
    <w:rsid w:val="006603DF"/>
    <w:rsid w:val="00661F4C"/>
    <w:rsid w:val="006B0212"/>
    <w:rsid w:val="006B1709"/>
    <w:rsid w:val="006C0EBB"/>
    <w:rsid w:val="006C4DB6"/>
    <w:rsid w:val="006C5C31"/>
    <w:rsid w:val="006D2D49"/>
    <w:rsid w:val="006D2E83"/>
    <w:rsid w:val="006E0274"/>
    <w:rsid w:val="006E5B9D"/>
    <w:rsid w:val="006F0AB3"/>
    <w:rsid w:val="00702F3A"/>
    <w:rsid w:val="007061D4"/>
    <w:rsid w:val="00714C18"/>
    <w:rsid w:val="00717184"/>
    <w:rsid w:val="00720108"/>
    <w:rsid w:val="007370F1"/>
    <w:rsid w:val="0075012C"/>
    <w:rsid w:val="007522B9"/>
    <w:rsid w:val="0075769E"/>
    <w:rsid w:val="00761779"/>
    <w:rsid w:val="00763B05"/>
    <w:rsid w:val="007649D6"/>
    <w:rsid w:val="00764C64"/>
    <w:rsid w:val="00766404"/>
    <w:rsid w:val="0077709E"/>
    <w:rsid w:val="00781FB1"/>
    <w:rsid w:val="007868AE"/>
    <w:rsid w:val="00786957"/>
    <w:rsid w:val="007F5D86"/>
    <w:rsid w:val="008062A0"/>
    <w:rsid w:val="00816C6F"/>
    <w:rsid w:val="00820528"/>
    <w:rsid w:val="00843289"/>
    <w:rsid w:val="00844005"/>
    <w:rsid w:val="00846D02"/>
    <w:rsid w:val="008521A7"/>
    <w:rsid w:val="008531BD"/>
    <w:rsid w:val="008540E3"/>
    <w:rsid w:val="008606C1"/>
    <w:rsid w:val="00863A28"/>
    <w:rsid w:val="00880170"/>
    <w:rsid w:val="008803A9"/>
    <w:rsid w:val="00881163"/>
    <w:rsid w:val="00885D62"/>
    <w:rsid w:val="008930C0"/>
    <w:rsid w:val="00897172"/>
    <w:rsid w:val="008A671A"/>
    <w:rsid w:val="008C3EAF"/>
    <w:rsid w:val="008C6176"/>
    <w:rsid w:val="008D2301"/>
    <w:rsid w:val="008D6B62"/>
    <w:rsid w:val="008E2258"/>
    <w:rsid w:val="008E3C99"/>
    <w:rsid w:val="008E41C5"/>
    <w:rsid w:val="008E7B3B"/>
    <w:rsid w:val="0091136E"/>
    <w:rsid w:val="00911F24"/>
    <w:rsid w:val="009149D4"/>
    <w:rsid w:val="009174D1"/>
    <w:rsid w:val="009229F8"/>
    <w:rsid w:val="009234BF"/>
    <w:rsid w:val="0092602C"/>
    <w:rsid w:val="009310B8"/>
    <w:rsid w:val="00932D27"/>
    <w:rsid w:val="0094678B"/>
    <w:rsid w:val="0095379B"/>
    <w:rsid w:val="00962732"/>
    <w:rsid w:val="00965CB8"/>
    <w:rsid w:val="00966E35"/>
    <w:rsid w:val="00977682"/>
    <w:rsid w:val="009837B0"/>
    <w:rsid w:val="009924CE"/>
    <w:rsid w:val="0099522A"/>
    <w:rsid w:val="00995D8F"/>
    <w:rsid w:val="009A2080"/>
    <w:rsid w:val="009A2D8C"/>
    <w:rsid w:val="009A4AC4"/>
    <w:rsid w:val="009A5A06"/>
    <w:rsid w:val="009B09C3"/>
    <w:rsid w:val="009B3DA8"/>
    <w:rsid w:val="009B7205"/>
    <w:rsid w:val="009C1AC7"/>
    <w:rsid w:val="009C32BE"/>
    <w:rsid w:val="009D008C"/>
    <w:rsid w:val="009D5962"/>
    <w:rsid w:val="009D771C"/>
    <w:rsid w:val="009E41B6"/>
    <w:rsid w:val="009E6DDB"/>
    <w:rsid w:val="009F362C"/>
    <w:rsid w:val="009F6B94"/>
    <w:rsid w:val="00A011D8"/>
    <w:rsid w:val="00A17038"/>
    <w:rsid w:val="00A209E2"/>
    <w:rsid w:val="00A2276D"/>
    <w:rsid w:val="00A25D7C"/>
    <w:rsid w:val="00A265DC"/>
    <w:rsid w:val="00A30D7A"/>
    <w:rsid w:val="00A3195E"/>
    <w:rsid w:val="00A3336A"/>
    <w:rsid w:val="00A42EAA"/>
    <w:rsid w:val="00A44F63"/>
    <w:rsid w:val="00A47020"/>
    <w:rsid w:val="00A5482B"/>
    <w:rsid w:val="00A603C5"/>
    <w:rsid w:val="00A62B4C"/>
    <w:rsid w:val="00A73522"/>
    <w:rsid w:val="00A75813"/>
    <w:rsid w:val="00A76D72"/>
    <w:rsid w:val="00A84172"/>
    <w:rsid w:val="00A84AAB"/>
    <w:rsid w:val="00AA323B"/>
    <w:rsid w:val="00AA3478"/>
    <w:rsid w:val="00AA4E26"/>
    <w:rsid w:val="00AA7233"/>
    <w:rsid w:val="00AB4768"/>
    <w:rsid w:val="00AC4FC6"/>
    <w:rsid w:val="00AC62A8"/>
    <w:rsid w:val="00AD553C"/>
    <w:rsid w:val="00AD7E0F"/>
    <w:rsid w:val="00AE1029"/>
    <w:rsid w:val="00AE5EED"/>
    <w:rsid w:val="00AF200D"/>
    <w:rsid w:val="00AF399C"/>
    <w:rsid w:val="00AF76F9"/>
    <w:rsid w:val="00B02BDF"/>
    <w:rsid w:val="00B0460C"/>
    <w:rsid w:val="00B246BA"/>
    <w:rsid w:val="00B3698E"/>
    <w:rsid w:val="00B45132"/>
    <w:rsid w:val="00B52E17"/>
    <w:rsid w:val="00B57DE6"/>
    <w:rsid w:val="00B753A4"/>
    <w:rsid w:val="00B82BE0"/>
    <w:rsid w:val="00B870A6"/>
    <w:rsid w:val="00B902FE"/>
    <w:rsid w:val="00B91015"/>
    <w:rsid w:val="00B9456C"/>
    <w:rsid w:val="00BA4558"/>
    <w:rsid w:val="00BA7AAC"/>
    <w:rsid w:val="00BB117A"/>
    <w:rsid w:val="00BB3E7A"/>
    <w:rsid w:val="00BB55A3"/>
    <w:rsid w:val="00BB6019"/>
    <w:rsid w:val="00BC1C8F"/>
    <w:rsid w:val="00BC4D4B"/>
    <w:rsid w:val="00BD7DB0"/>
    <w:rsid w:val="00BE0A75"/>
    <w:rsid w:val="00C02FC8"/>
    <w:rsid w:val="00C112F8"/>
    <w:rsid w:val="00C11892"/>
    <w:rsid w:val="00C127DA"/>
    <w:rsid w:val="00C20D25"/>
    <w:rsid w:val="00C46FBA"/>
    <w:rsid w:val="00C54C38"/>
    <w:rsid w:val="00C64946"/>
    <w:rsid w:val="00C67283"/>
    <w:rsid w:val="00C758EE"/>
    <w:rsid w:val="00C83A7D"/>
    <w:rsid w:val="00C841E1"/>
    <w:rsid w:val="00C84F6F"/>
    <w:rsid w:val="00CA46E4"/>
    <w:rsid w:val="00CB03E4"/>
    <w:rsid w:val="00CB1499"/>
    <w:rsid w:val="00CC20C5"/>
    <w:rsid w:val="00CC43A0"/>
    <w:rsid w:val="00CC6B36"/>
    <w:rsid w:val="00CC77D8"/>
    <w:rsid w:val="00CC7D0D"/>
    <w:rsid w:val="00CE2154"/>
    <w:rsid w:val="00CE5E4F"/>
    <w:rsid w:val="00CF5AA4"/>
    <w:rsid w:val="00CF77F6"/>
    <w:rsid w:val="00D05924"/>
    <w:rsid w:val="00D0623A"/>
    <w:rsid w:val="00D07F06"/>
    <w:rsid w:val="00D179DD"/>
    <w:rsid w:val="00D33D48"/>
    <w:rsid w:val="00D3404D"/>
    <w:rsid w:val="00D45EB8"/>
    <w:rsid w:val="00D46E54"/>
    <w:rsid w:val="00D50190"/>
    <w:rsid w:val="00D63E48"/>
    <w:rsid w:val="00D80F94"/>
    <w:rsid w:val="00D83DC5"/>
    <w:rsid w:val="00D861ED"/>
    <w:rsid w:val="00DA1063"/>
    <w:rsid w:val="00DA2424"/>
    <w:rsid w:val="00DA74F1"/>
    <w:rsid w:val="00DB29C5"/>
    <w:rsid w:val="00DC2E05"/>
    <w:rsid w:val="00DC6F57"/>
    <w:rsid w:val="00DD48D5"/>
    <w:rsid w:val="00DE5B17"/>
    <w:rsid w:val="00DF1471"/>
    <w:rsid w:val="00E06311"/>
    <w:rsid w:val="00E175A9"/>
    <w:rsid w:val="00E2431C"/>
    <w:rsid w:val="00E3270E"/>
    <w:rsid w:val="00E36D6F"/>
    <w:rsid w:val="00E47E61"/>
    <w:rsid w:val="00E511A3"/>
    <w:rsid w:val="00E6572C"/>
    <w:rsid w:val="00E72D19"/>
    <w:rsid w:val="00EB6C16"/>
    <w:rsid w:val="00EC2C1B"/>
    <w:rsid w:val="00ED4839"/>
    <w:rsid w:val="00EF116E"/>
    <w:rsid w:val="00EF27E3"/>
    <w:rsid w:val="00EF398E"/>
    <w:rsid w:val="00EF5DBE"/>
    <w:rsid w:val="00EF67A7"/>
    <w:rsid w:val="00F0047B"/>
    <w:rsid w:val="00F00864"/>
    <w:rsid w:val="00F769C0"/>
    <w:rsid w:val="00F76B51"/>
    <w:rsid w:val="00F827A4"/>
    <w:rsid w:val="00FA64C1"/>
    <w:rsid w:val="00FB269D"/>
    <w:rsid w:val="00FB64A8"/>
    <w:rsid w:val="00FD6D74"/>
    <w:rsid w:val="00FE0BE9"/>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3B08ADBD-6FC7-4C34-B790-FA4BA8A9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1">
    <w:name w:val="LT_Anfrage_Ini_1"/>
    <w:basedOn w:val="Standard"/>
    <w:link w:val="LTAnfrageIni1Zchn"/>
    <w:qFormat/>
    <w:rsid w:val="002D2A91"/>
    <w:pPr>
      <w:spacing w:before="720"/>
    </w:pPr>
  </w:style>
  <w:style w:type="character" w:customStyle="1" w:styleId="LTAnfrageIni1Zchn">
    <w:name w:val="LT_Anfrage_Ini_1 Zchn"/>
    <w:basedOn w:val="Absatz-Standardschriftart"/>
    <w:link w:val="LT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uiPriority w:val="99"/>
    <w:rsid w:val="00293F06"/>
    <w:pPr>
      <w:keepNext/>
      <w:spacing w:before="240"/>
      <w:ind w:left="198" w:hanging="198"/>
    </w:pPr>
    <w:rPr>
      <w:b/>
    </w:rPr>
  </w:style>
  <w:style w:type="paragraph" w:styleId="Index2">
    <w:name w:val="index 2"/>
    <w:basedOn w:val="Standard"/>
    <w:next w:val="Standard"/>
    <w:autoRedefine/>
    <w:uiPriority w:val="99"/>
    <w:unhideWhenUsed/>
    <w:rsid w:val="00082CBD"/>
    <w:pPr>
      <w:tabs>
        <w:tab w:val="right" w:leader="dot" w:pos="7644"/>
      </w:tabs>
      <w:ind w:left="198"/>
    </w:pPr>
    <w:rPr>
      <w:noProof/>
      <w:spacing w:val="-2"/>
    </w:rPr>
  </w:style>
  <w:style w:type="table" w:customStyle="1" w:styleId="TableNormal">
    <w:name w:val="Table Normal"/>
    <w:uiPriority w:val="2"/>
    <w:semiHidden/>
    <w:unhideWhenUsed/>
    <w:qFormat/>
    <w:rsid w:val="006321C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6321CE"/>
    <w:pPr>
      <w:widowControl w:val="0"/>
    </w:pPr>
    <w:rPr>
      <w:rFonts w:asciiTheme="minorHAnsi" w:eastAsiaTheme="minorHAnsi" w:hAnsiTheme="minorHAnsi" w:cstheme="minorBidi"/>
      <w:sz w:val="22"/>
      <w:szCs w:val="22"/>
      <w:lang w:val="en-US" w:eastAsia="en-US"/>
    </w:rPr>
  </w:style>
  <w:style w:type="paragraph" w:styleId="Funotentext">
    <w:name w:val="footnote text"/>
    <w:basedOn w:val="Standard"/>
    <w:link w:val="FunotentextZchn"/>
    <w:semiHidden/>
    <w:unhideWhenUsed/>
    <w:rsid w:val="00CB03E4"/>
    <w:rPr>
      <w:szCs w:val="20"/>
    </w:rPr>
  </w:style>
  <w:style w:type="character" w:customStyle="1" w:styleId="FunotentextZchn">
    <w:name w:val="Fußnotentext Zchn"/>
    <w:basedOn w:val="Absatz-Standardschriftart"/>
    <w:link w:val="Funotentext"/>
    <w:semiHidden/>
    <w:rsid w:val="00CB03E4"/>
    <w:rPr>
      <w:rFonts w:ascii="Arial" w:hAnsi="Arial"/>
    </w:rPr>
  </w:style>
  <w:style w:type="character" w:styleId="Funotenzeichen">
    <w:name w:val="footnote reference"/>
    <w:basedOn w:val="Absatz-Standardschriftart"/>
    <w:semiHidden/>
    <w:unhideWhenUsed/>
    <w:rsid w:val="00CB03E4"/>
    <w:rPr>
      <w:vertAlign w:val="superscript"/>
    </w:rPr>
  </w:style>
  <w:style w:type="character" w:customStyle="1" w:styleId="st">
    <w:name w:val="st"/>
    <w:basedOn w:val="Absatz-Standardschriftart"/>
    <w:rsid w:val="00170290"/>
  </w:style>
  <w:style w:type="character" w:styleId="BesuchterLink">
    <w:name w:val="FollowedHyperlink"/>
    <w:basedOn w:val="Absatz-Standardschriftart"/>
    <w:semiHidden/>
    <w:unhideWhenUsed/>
    <w:rsid w:val="005B6875"/>
    <w:rPr>
      <w:color w:val="800080" w:themeColor="followedHyperlink"/>
      <w:u w:val="single"/>
    </w:rPr>
  </w:style>
  <w:style w:type="paragraph" w:styleId="Textkrper">
    <w:name w:val="Body Text"/>
    <w:basedOn w:val="Standard"/>
    <w:link w:val="TextkrperZchn"/>
    <w:uiPriority w:val="1"/>
    <w:qFormat/>
    <w:rsid w:val="005B6875"/>
    <w:pPr>
      <w:widowControl w:val="0"/>
      <w:ind w:left="116"/>
    </w:pPr>
    <w:rPr>
      <w:rFonts w:eastAsia="Arial" w:cstheme="minorBidi"/>
      <w:sz w:val="24"/>
      <w:lang w:val="en-US" w:eastAsia="en-US"/>
    </w:rPr>
  </w:style>
  <w:style w:type="character" w:customStyle="1" w:styleId="TextkrperZchn">
    <w:name w:val="Textkörper Zchn"/>
    <w:basedOn w:val="Absatz-Standardschriftart"/>
    <w:link w:val="Textkrper"/>
    <w:uiPriority w:val="1"/>
    <w:rsid w:val="005B6875"/>
    <w:rPr>
      <w:rFonts w:ascii="Arial" w:eastAsia="Arial" w:hAnsi="Arial" w:cstheme="minorBidi"/>
      <w:sz w:val="24"/>
      <w:szCs w:val="24"/>
      <w:lang w:val="en-US" w:eastAsia="en-US"/>
    </w:rPr>
  </w:style>
  <w:style w:type="character" w:styleId="Fett">
    <w:name w:val="Strong"/>
    <w:basedOn w:val="Absatz-Standardschriftart"/>
    <w:qFormat/>
    <w:rsid w:val="00DC2E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fre-bayern.de/fileadmin/user_upload/efre/themen/IWB/Informa-tion_und_Kommunikation/Liste_der_Vorhaben/vorhaben_liste_30.06.2018.xlsx" TargetMode="External"/><Relationship Id="rId18" Type="http://schemas.openxmlformats.org/officeDocument/2006/relationships/hyperlink" Target="https://www.by-cz.eu/fileadmin/user_upload/interreg/dokuente_CZ/Liste_der_Vor-haben_BY-CZ_31.08.2018.xlsx" TargetMode="External"/><Relationship Id="rId26" Type="http://schemas.openxmlformats.org/officeDocument/2006/relationships/hyperlink" Target="https://shop.bjr.de/arbeitsberichte/" TargetMode="External"/><Relationship Id="rId3" Type="http://schemas.openxmlformats.org/officeDocument/2006/relationships/styles" Target="styles.xml"/><Relationship Id="rId21" Type="http://schemas.openxmlformats.org/officeDocument/2006/relationships/hyperlink" Target="https://www.interreg.org/projekte/alle-projekte/?collectionfilter=1&amp;taxonomy_re-gion_op=and&amp;taxonomy_project_program=356nhdslkt&amp;taxonomy_re-gion=v6e4b5gr4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nterreg-bayaut.net/wp-content/uploads/2018/06/Liste-der-Vorhaben_20180629.xls" TargetMode="External"/><Relationship Id="rId25" Type="http://schemas.openxmlformats.org/officeDocument/2006/relationships/hyperlink" Target="https://www.bjr.de/themen/foerderung/weiterentwicklung-internationaler-jugendarbeit.html" TargetMode="External"/><Relationship Id="rId2" Type="http://schemas.openxmlformats.org/officeDocument/2006/relationships/numbering" Target="numbering.xml"/><Relationship Id="rId16" Type="http://schemas.openxmlformats.org/officeDocument/2006/relationships/hyperlink" Target="https://www.interreg-bayaut.net/wp-content/uploads/2018/06/Liste-der-Vorhaben_20180629.xls" TargetMode="External"/><Relationship Id="rId20" Type="http://schemas.openxmlformats.org/officeDocument/2006/relationships/hyperlink" Target="https://www.interreg.org/projekte/interreg-abh-liste-nach-art-115.xls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esf.bayern.de/imperia/md/content/stmas/esf/vorhaben.xlsx" TargetMode="External"/><Relationship Id="rId5" Type="http://schemas.openxmlformats.org/officeDocument/2006/relationships/webSettings" Target="webSettings.xml"/><Relationship Id="rId15" Type="http://schemas.openxmlformats.org/officeDocument/2006/relationships/hyperlink" Target="https://www.by-cz.eu/fileadmin/user_upload/interreg/dokumente_CZ/Liste_der_Vorhaben_BY-CZ_31.08.2018.xlsx" TargetMode="External"/><Relationship Id="rId23" Type="http://schemas.openxmlformats.org/officeDocument/2006/relationships/hyperlink" Target="http://www.stmelf.bayern.de/mam/cms01/agrarpolitik/dateien/programm_eplr2020_gesamt.pdf" TargetMode="Externa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www.interreg-bayaut.net/wp-content/uploads/2018/06/Liste-der-Vorhaben_20180629.xl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y-cz.eu/fileadmin/user_upload/interreg/dokumente_CZ/Liste_der_Vorhaben_BY-CZ_31.08.2018.xlsx" TargetMode="External"/><Relationship Id="rId22" Type="http://schemas.openxmlformats.org/officeDocument/2006/relationships/hyperlink" Target="http://www.stmelf.bayern.de/mam/cms01/agrarpolitik/dateien/programm_eplr2020_gesamt.pdf" TargetMode="External"/><Relationship Id="rId27" Type="http://schemas.openxmlformats.org/officeDocument/2006/relationships/header" Target="header4.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6F948-24C0-4979-9A36-E23C454D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16518</Words>
  <Characters>104064</Characters>
  <Application>Microsoft Office Word</Application>
  <DocSecurity>8</DocSecurity>
  <Lines>867</Lines>
  <Paragraphs>240</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120342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18/45</dc:title>
  <dc:creator>Ströhlein, Gabriele (LTA)</dc:creator>
  <cp:lastModifiedBy>Ströhlein, Gabriele (LTA)</cp:lastModifiedBy>
  <cp:revision>2</cp:revision>
  <cp:lastPrinted>2006-11-23T10:15:00Z</cp:lastPrinted>
  <dcterms:created xsi:type="dcterms:W3CDTF">2018-12-28T09:16:00Z</dcterms:created>
  <dcterms:modified xsi:type="dcterms:W3CDTF">2018-12-28T09:16:00Z</dcterms:modified>
</cp:coreProperties>
</file>