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9C5" w:rsidRPr="001E3461" w:rsidRDefault="00FF58EA" w:rsidP="001E3461">
      <w:pPr>
        <w:spacing w:before="1560"/>
        <w:ind w:left="357"/>
        <w:rPr>
          <w:b/>
          <w:bCs/>
          <w:sz w:val="32"/>
          <w:szCs w:val="32"/>
        </w:rPr>
      </w:pPr>
      <w:bookmarkStart w:id="0" w:name="_GoBack"/>
      <w:bookmarkEnd w:id="0"/>
      <w:r w:rsidRPr="001E3461">
        <w:rPr>
          <w:b/>
          <w:bCs/>
          <w:sz w:val="32"/>
          <w:szCs w:val="32"/>
        </w:rPr>
        <w:t>Anfragen zum Plenum</w:t>
      </w:r>
    </w:p>
    <w:p w:rsidR="00717184" w:rsidRPr="00717184" w:rsidRDefault="00C11892" w:rsidP="00717184">
      <w:pPr>
        <w:spacing w:before="360"/>
        <w:ind w:left="360"/>
        <w:rPr>
          <w:b/>
        </w:rPr>
      </w:pPr>
      <w:r>
        <w:rPr>
          <w:b/>
        </w:rPr>
        <w:t>(</w:t>
      </w:r>
      <w:r w:rsidR="00D5247F">
        <w:rPr>
          <w:b/>
        </w:rPr>
        <w:fldChar w:fldCharType="begin"/>
      </w:r>
      <w:r w:rsidR="00D5247F">
        <w:rPr>
          <w:b/>
        </w:rPr>
        <w:instrText xml:space="preserve"> DOCVARIABLE  Betreff  \* MERGEFORMAT </w:instrText>
      </w:r>
      <w:r w:rsidR="00D5247F">
        <w:rPr>
          <w:b/>
        </w:rPr>
        <w:fldChar w:fldCharType="separate"/>
      </w:r>
      <w:r w:rsidR="007E6BE0">
        <w:rPr>
          <w:b/>
        </w:rPr>
        <w:t>zur Plenarsitzung am 04.07.2023</w:t>
      </w:r>
      <w:r w:rsidR="00D5247F">
        <w:rPr>
          <w:b/>
        </w:rPr>
        <w:fldChar w:fldCharType="end"/>
      </w:r>
      <w:r>
        <w:rPr>
          <w:b/>
        </w:rPr>
        <w:t>)</w:t>
      </w:r>
    </w:p>
    <w:p w:rsidR="00717184" w:rsidRDefault="00FF58EA" w:rsidP="00717184">
      <w:pPr>
        <w:spacing w:before="120"/>
        <w:ind w:left="360"/>
        <w:rPr>
          <w:b/>
        </w:rPr>
      </w:pPr>
      <w:r>
        <w:rPr>
          <w:b/>
        </w:rPr>
        <w:t xml:space="preserve">mit den dazu </w:t>
      </w:r>
      <w:r w:rsidR="00717184" w:rsidRPr="00717184">
        <w:rPr>
          <w:b/>
        </w:rPr>
        <w:t>eingegangenen Ant</w:t>
      </w:r>
      <w:r w:rsidR="005D3C42">
        <w:rPr>
          <w:b/>
        </w:rPr>
        <w:t>w</w:t>
      </w:r>
      <w:r w:rsidR="00717184" w:rsidRPr="00717184">
        <w:rPr>
          <w:b/>
        </w:rPr>
        <w:t>orten der Staatsregierung</w:t>
      </w:r>
    </w:p>
    <w:p w:rsidR="002D53C0" w:rsidRDefault="002D53C0" w:rsidP="00CF77F6">
      <w:pPr>
        <w:spacing w:before="960" w:after="720"/>
        <w:ind w:left="357"/>
        <w:jc w:val="center"/>
        <w:outlineLvl w:val="0"/>
        <w:rPr>
          <w:b/>
        </w:rPr>
      </w:pPr>
      <w:r>
        <w:rPr>
          <w:b/>
        </w:rPr>
        <w:t>Verzeichnis der Fragenden</w:t>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1F3CDA" w:rsidRPr="005833DD" w:rsidTr="001F3CDA">
        <w:tc>
          <w:tcPr>
            <w:tcW w:w="5000" w:type="pct"/>
          </w:tcPr>
          <w:p w:rsidR="001F3CDA" w:rsidRPr="005833DD" w:rsidRDefault="001F3CDA" w:rsidP="001F3CDA">
            <w:pPr>
              <w:pStyle w:val="LTGrundtext"/>
              <w:tabs>
                <w:tab w:val="right" w:pos="7513"/>
              </w:tabs>
            </w:pPr>
            <w:r>
              <w:br w:type="page"/>
            </w:r>
            <w:r w:rsidRPr="005833DD">
              <w:t>Abgeordnete</w:t>
            </w:r>
            <w:r w:rsidRPr="005833DD">
              <w:tab/>
              <w:t>Nummer</w:t>
            </w:r>
          </w:p>
          <w:p w:rsidR="001F3CDA" w:rsidRPr="005833DD" w:rsidRDefault="001F3CDA" w:rsidP="001F3CDA">
            <w:pPr>
              <w:pStyle w:val="LTGrundtext"/>
              <w:tabs>
                <w:tab w:val="right" w:pos="7513"/>
              </w:tabs>
            </w:pPr>
            <w:r w:rsidRPr="005833DD">
              <w:tab/>
              <w:t>der Frage</w:t>
            </w:r>
          </w:p>
        </w:tc>
      </w:tr>
      <w:tr w:rsidR="001F3CDA" w:rsidRPr="005833DD" w:rsidTr="001F3CDA">
        <w:tc>
          <w:tcPr>
            <w:tcW w:w="5000" w:type="pct"/>
          </w:tcPr>
          <w:p w:rsidR="00760A53" w:rsidRPr="00760A53" w:rsidRDefault="00DD3048" w:rsidP="00DD3048">
            <w:pPr>
              <w:pStyle w:val="LTVerzDerFragenden"/>
            </w:pPr>
            <w:bookmarkStart w:id="1" w:name="VerzeichnisDerFragenden"/>
            <w:bookmarkEnd w:id="1"/>
            <w:r>
              <w:t>Adjei, Benjamin (BÜNDNIS 90/DIE GRÜNEN)</w:t>
            </w:r>
          </w:p>
        </w:tc>
      </w:tr>
      <w:tr w:rsidR="00DD3048" w:rsidRPr="005833DD" w:rsidTr="001F3CDA">
        <w:tc>
          <w:tcPr>
            <w:tcW w:w="5000" w:type="pct"/>
          </w:tcPr>
          <w:p w:rsidR="00DD3048" w:rsidRDefault="0050185D" w:rsidP="00DD3048">
            <w:pPr>
              <w:pStyle w:val="LTVerzDerFragendenFrage"/>
            </w:pPr>
            <w:hyperlink w:anchor="Frage_Nr_15" w:tooltip="Frage Nr 15" w:history="1">
              <w:r w:rsidR="00DD3048">
                <w:rPr>
                  <w:rStyle w:val="Hyperlink"/>
                  <w:szCs w:val="24"/>
                </w:rPr>
                <w:t>Planungen zum Nordring</w:t>
              </w:r>
              <w:r w:rsidR="00DD3048">
                <w:rPr>
                  <w:rStyle w:val="Hyperlink"/>
                  <w:szCs w:val="24"/>
                </w:rPr>
                <w:tab/>
                <w:t>15</w:t>
              </w:r>
            </w:hyperlink>
          </w:p>
        </w:tc>
      </w:tr>
      <w:tr w:rsidR="00DD3048" w:rsidRPr="005833DD" w:rsidTr="001F3CDA">
        <w:tc>
          <w:tcPr>
            <w:tcW w:w="5000" w:type="pct"/>
          </w:tcPr>
          <w:p w:rsidR="00DD3048" w:rsidRDefault="00DD3048" w:rsidP="00DD3048">
            <w:pPr>
              <w:pStyle w:val="LTVerzDerFragenden"/>
            </w:pPr>
            <w:r>
              <w:t>Arnold, Horst (SPD)</w:t>
            </w:r>
          </w:p>
        </w:tc>
      </w:tr>
      <w:tr w:rsidR="00DD3048" w:rsidRPr="005833DD" w:rsidTr="001F3CDA">
        <w:tc>
          <w:tcPr>
            <w:tcW w:w="5000" w:type="pct"/>
          </w:tcPr>
          <w:p w:rsidR="00DD3048" w:rsidRDefault="0050185D" w:rsidP="00DD3048">
            <w:pPr>
              <w:pStyle w:val="LTVerzDerFragendenFrage"/>
            </w:pPr>
            <w:hyperlink w:anchor="Frage_Nr_2" w:tooltip="Frage Nr 2" w:history="1">
              <w:r w:rsidR="00DD3048">
                <w:rPr>
                  <w:rStyle w:val="Hyperlink"/>
                  <w:szCs w:val="24"/>
                </w:rPr>
                <w:t>VeRa und Palantir als Thema auf der Bundesinnenministerkonferenz</w:t>
              </w:r>
              <w:r w:rsidR="00DD3048">
                <w:rPr>
                  <w:rStyle w:val="Hyperlink"/>
                  <w:szCs w:val="24"/>
                </w:rPr>
                <w:tab/>
                <w:t>2</w:t>
              </w:r>
            </w:hyperlink>
          </w:p>
        </w:tc>
      </w:tr>
      <w:tr w:rsidR="00DD3048" w:rsidRPr="005833DD" w:rsidTr="001F3CDA">
        <w:tc>
          <w:tcPr>
            <w:tcW w:w="5000" w:type="pct"/>
          </w:tcPr>
          <w:p w:rsidR="00DD3048" w:rsidRDefault="00DD3048" w:rsidP="00DD3048">
            <w:pPr>
              <w:pStyle w:val="LTVerzDerFragenden"/>
            </w:pPr>
            <w:r>
              <w:t>Becher, Johannes (BÜNDNIS 90/DIE GRÜNEN)</w:t>
            </w:r>
          </w:p>
        </w:tc>
      </w:tr>
      <w:tr w:rsidR="00DD3048" w:rsidRPr="005833DD" w:rsidTr="001F3CDA">
        <w:tc>
          <w:tcPr>
            <w:tcW w:w="5000" w:type="pct"/>
          </w:tcPr>
          <w:p w:rsidR="00DD3048" w:rsidRDefault="0050185D" w:rsidP="00DD3048">
            <w:pPr>
              <w:pStyle w:val="LTVerzDerFragendenFrage"/>
            </w:pPr>
            <w:hyperlink w:anchor="Frage_Nr_32" w:tooltip="Frage Nr 32" w:history="1">
              <w:r w:rsidR="00DD3048">
                <w:rPr>
                  <w:rStyle w:val="Hyperlink"/>
                  <w:szCs w:val="24"/>
                </w:rPr>
                <w:t>Pläne für die Hochschule Weihenstephan-Triesdorf</w:t>
              </w:r>
              <w:r w:rsidR="00DD3048">
                <w:rPr>
                  <w:rStyle w:val="Hyperlink"/>
                  <w:szCs w:val="24"/>
                </w:rPr>
                <w:tab/>
                <w:t>32</w:t>
              </w:r>
            </w:hyperlink>
          </w:p>
        </w:tc>
      </w:tr>
      <w:tr w:rsidR="00DD3048" w:rsidRPr="005833DD" w:rsidTr="001F3CDA">
        <w:tc>
          <w:tcPr>
            <w:tcW w:w="5000" w:type="pct"/>
          </w:tcPr>
          <w:p w:rsidR="00DD3048" w:rsidRDefault="00DD3048" w:rsidP="00DD3048">
            <w:pPr>
              <w:pStyle w:val="LTVerzDerFragenden"/>
            </w:pPr>
            <w:r>
              <w:t>Bergmüller, Franz (AfD)</w:t>
            </w:r>
          </w:p>
        </w:tc>
      </w:tr>
      <w:tr w:rsidR="00DD3048" w:rsidRPr="005833DD" w:rsidTr="001F3CDA">
        <w:tc>
          <w:tcPr>
            <w:tcW w:w="5000" w:type="pct"/>
          </w:tcPr>
          <w:p w:rsidR="00DD3048" w:rsidRDefault="0050185D" w:rsidP="00DD3048">
            <w:pPr>
              <w:pStyle w:val="LTVerzDerFragendenFrage"/>
            </w:pPr>
            <w:hyperlink w:anchor="Frage_Nr_48" w:tooltip="Frage Nr 48" w:history="1">
              <w:r w:rsidR="00DD3048">
                <w:rPr>
                  <w:rStyle w:val="Hyperlink"/>
                  <w:szCs w:val="24"/>
                </w:rPr>
                <w:t>Windkraft im Altöttinger Forst II</w:t>
              </w:r>
              <w:r w:rsidR="00DD3048">
                <w:rPr>
                  <w:rStyle w:val="Hyperlink"/>
                  <w:szCs w:val="24"/>
                </w:rPr>
                <w:tab/>
                <w:t>48</w:t>
              </w:r>
            </w:hyperlink>
          </w:p>
        </w:tc>
      </w:tr>
      <w:tr w:rsidR="00DD3048" w:rsidRPr="005833DD" w:rsidTr="001F3CDA">
        <w:tc>
          <w:tcPr>
            <w:tcW w:w="5000" w:type="pct"/>
          </w:tcPr>
          <w:p w:rsidR="00DD3048" w:rsidRDefault="00DD3048" w:rsidP="00DD3048">
            <w:pPr>
              <w:pStyle w:val="LTVerzDerFragenden"/>
            </w:pPr>
            <w:r>
              <w:t>Brunn, Florian (SPD)</w:t>
            </w:r>
          </w:p>
        </w:tc>
      </w:tr>
      <w:tr w:rsidR="00DD3048" w:rsidRPr="005833DD" w:rsidTr="001F3CDA">
        <w:tc>
          <w:tcPr>
            <w:tcW w:w="5000" w:type="pct"/>
          </w:tcPr>
          <w:p w:rsidR="00DD3048" w:rsidRDefault="0050185D" w:rsidP="00DD3048">
            <w:pPr>
              <w:pStyle w:val="LTVerzDerFragendenFrage"/>
            </w:pPr>
            <w:hyperlink w:anchor="Frage_Nr_16" w:tooltip="Frage Nr 16" w:history="1">
              <w:r w:rsidR="00DD3048">
                <w:rPr>
                  <w:rStyle w:val="Hyperlink"/>
                  <w:szCs w:val="24"/>
                </w:rPr>
                <w:t>Wohnungsbau in Bayern</w:t>
              </w:r>
              <w:r w:rsidR="00DD3048">
                <w:rPr>
                  <w:rStyle w:val="Hyperlink"/>
                  <w:szCs w:val="24"/>
                </w:rPr>
                <w:tab/>
                <w:t>16</w:t>
              </w:r>
            </w:hyperlink>
          </w:p>
        </w:tc>
      </w:tr>
      <w:tr w:rsidR="00DD3048" w:rsidRPr="005833DD" w:rsidTr="001F3CDA">
        <w:tc>
          <w:tcPr>
            <w:tcW w:w="5000" w:type="pct"/>
          </w:tcPr>
          <w:p w:rsidR="00DD3048" w:rsidRDefault="00DD3048" w:rsidP="00DD3048">
            <w:pPr>
              <w:pStyle w:val="LTVerzDerFragenden"/>
            </w:pPr>
            <w:r>
              <w:t>Böhm, Martin (AfD)</w:t>
            </w:r>
          </w:p>
        </w:tc>
      </w:tr>
      <w:tr w:rsidR="00DD3048" w:rsidRPr="005833DD" w:rsidTr="001F3CDA">
        <w:tc>
          <w:tcPr>
            <w:tcW w:w="5000" w:type="pct"/>
          </w:tcPr>
          <w:p w:rsidR="00DD3048" w:rsidRDefault="0050185D" w:rsidP="00DD3048">
            <w:pPr>
              <w:pStyle w:val="LTVerzDerFragendenFrage"/>
            </w:pPr>
            <w:hyperlink w:anchor="Frage_Nr_3" w:tooltip="Frage Nr 3" w:history="1">
              <w:r w:rsidR="00DD3048">
                <w:rPr>
                  <w:rStyle w:val="Hyperlink"/>
                  <w:szCs w:val="24"/>
                </w:rPr>
                <w:t>Vergewaltigungsfälle in Bayern</w:t>
              </w:r>
              <w:r w:rsidR="00DD3048">
                <w:rPr>
                  <w:rStyle w:val="Hyperlink"/>
                  <w:szCs w:val="24"/>
                </w:rPr>
                <w:tab/>
                <w:t>3</w:t>
              </w:r>
            </w:hyperlink>
          </w:p>
        </w:tc>
      </w:tr>
      <w:tr w:rsidR="00DD3048" w:rsidRPr="005833DD" w:rsidTr="001F3CDA">
        <w:tc>
          <w:tcPr>
            <w:tcW w:w="5000" w:type="pct"/>
          </w:tcPr>
          <w:p w:rsidR="00DD3048" w:rsidRDefault="00DD3048" w:rsidP="00DD3048">
            <w:pPr>
              <w:pStyle w:val="LTVerzDerFragenden"/>
            </w:pPr>
            <w:r>
              <w:t>Dr. Büchler, Markus (BÜNDNIS 90/DIE GRÜNEN)</w:t>
            </w:r>
          </w:p>
        </w:tc>
      </w:tr>
      <w:tr w:rsidR="00DD3048" w:rsidRPr="005833DD" w:rsidTr="001F3CDA">
        <w:tc>
          <w:tcPr>
            <w:tcW w:w="5000" w:type="pct"/>
          </w:tcPr>
          <w:p w:rsidR="00DD3048" w:rsidRDefault="0050185D" w:rsidP="00DD3048">
            <w:pPr>
              <w:pStyle w:val="LTVerzDerFragendenFrage"/>
            </w:pPr>
            <w:hyperlink w:anchor="Frage_Nr_17" w:tooltip="Frage Nr 17" w:history="1">
              <w:r w:rsidR="00DD3048">
                <w:rPr>
                  <w:rStyle w:val="Hyperlink"/>
                  <w:szCs w:val="24"/>
                </w:rPr>
                <w:t>Fortschreibung Zielfahrplan Deutschlandtakt</w:t>
              </w:r>
              <w:r w:rsidR="00DD3048">
                <w:rPr>
                  <w:rStyle w:val="Hyperlink"/>
                  <w:szCs w:val="24"/>
                </w:rPr>
                <w:tab/>
                <w:t>17</w:t>
              </w:r>
            </w:hyperlink>
          </w:p>
        </w:tc>
      </w:tr>
      <w:tr w:rsidR="00DD3048" w:rsidRPr="005833DD" w:rsidTr="001F3CDA">
        <w:tc>
          <w:tcPr>
            <w:tcW w:w="5000" w:type="pct"/>
          </w:tcPr>
          <w:p w:rsidR="00DD3048" w:rsidRDefault="00DD3048" w:rsidP="00DD3048">
            <w:pPr>
              <w:pStyle w:val="LTVerzDerFragenden"/>
            </w:pPr>
            <w:r>
              <w:t>Celina, Kerstin (BÜNDNIS 90/DIE GRÜNEN)</w:t>
            </w:r>
          </w:p>
        </w:tc>
      </w:tr>
      <w:tr w:rsidR="00DD3048" w:rsidRPr="005833DD" w:rsidTr="001F3CDA">
        <w:tc>
          <w:tcPr>
            <w:tcW w:w="5000" w:type="pct"/>
          </w:tcPr>
          <w:p w:rsidR="00DD3048" w:rsidRDefault="0050185D" w:rsidP="00DD3048">
            <w:pPr>
              <w:pStyle w:val="LTVerzDerFragendenFrage"/>
            </w:pPr>
            <w:hyperlink w:anchor="Frage_Nr_18" w:tooltip="Frage Nr 18" w:history="1">
              <w:r w:rsidR="00DD3048">
                <w:rPr>
                  <w:rStyle w:val="Hyperlink"/>
                  <w:szCs w:val="24"/>
                </w:rPr>
                <w:t>Reaktion auf Probleme bei Go-Ahead-Zugverbindungen</w:t>
              </w:r>
              <w:r w:rsidR="00DD3048">
                <w:rPr>
                  <w:rStyle w:val="Hyperlink"/>
                  <w:szCs w:val="24"/>
                </w:rPr>
                <w:tab/>
                <w:t>18</w:t>
              </w:r>
            </w:hyperlink>
          </w:p>
        </w:tc>
      </w:tr>
      <w:tr w:rsidR="00DD3048" w:rsidRPr="005833DD" w:rsidTr="001F3CDA">
        <w:tc>
          <w:tcPr>
            <w:tcW w:w="5000" w:type="pct"/>
          </w:tcPr>
          <w:p w:rsidR="00DD3048" w:rsidRDefault="00DD3048" w:rsidP="00DD3048">
            <w:pPr>
              <w:pStyle w:val="LTVerzDerFragenden"/>
            </w:pPr>
            <w:r>
              <w:t>Dr. Cyron, Anne (AfD)</w:t>
            </w:r>
          </w:p>
        </w:tc>
      </w:tr>
      <w:tr w:rsidR="00DD3048" w:rsidRPr="005833DD" w:rsidTr="001F3CDA">
        <w:tc>
          <w:tcPr>
            <w:tcW w:w="5000" w:type="pct"/>
          </w:tcPr>
          <w:p w:rsidR="00DD3048" w:rsidRDefault="0050185D" w:rsidP="00DD3048">
            <w:pPr>
              <w:pStyle w:val="LTVerzDerFragendenFrage"/>
            </w:pPr>
            <w:hyperlink w:anchor="Frage_Nr_57" w:tooltip="Frage Nr 57" w:history="1">
              <w:r w:rsidR="00DD3048">
                <w:rPr>
                  <w:rStyle w:val="Hyperlink"/>
                  <w:szCs w:val="24"/>
                </w:rPr>
                <w:t>Kosten für den Freistaat Bayern durch Corona-Atemschutzmasken und sogenannte Corona-Notzulassungsimpfstoffe im Rahmen der Coronakrise in den Jahren 2020 bis 2023</w:t>
              </w:r>
              <w:r w:rsidR="00DD3048">
                <w:rPr>
                  <w:rStyle w:val="Hyperlink"/>
                  <w:szCs w:val="24"/>
                </w:rPr>
                <w:tab/>
                <w:t>57</w:t>
              </w:r>
            </w:hyperlink>
          </w:p>
        </w:tc>
      </w:tr>
      <w:tr w:rsidR="00DD3048" w:rsidRPr="005833DD" w:rsidTr="001F3CDA">
        <w:tc>
          <w:tcPr>
            <w:tcW w:w="5000" w:type="pct"/>
          </w:tcPr>
          <w:p w:rsidR="00DD3048" w:rsidRDefault="00DD3048" w:rsidP="00DD3048">
            <w:pPr>
              <w:pStyle w:val="LTVerzDerFragenden"/>
            </w:pPr>
            <w:r>
              <w:t>Deisenhofer, Maximilian (BÜNDNIS 90/DIE GRÜNEN)</w:t>
            </w:r>
          </w:p>
        </w:tc>
      </w:tr>
      <w:tr w:rsidR="00DD3048" w:rsidRPr="005833DD" w:rsidTr="001F3CDA">
        <w:tc>
          <w:tcPr>
            <w:tcW w:w="5000" w:type="pct"/>
          </w:tcPr>
          <w:p w:rsidR="00DD3048" w:rsidRDefault="0050185D" w:rsidP="00DD3048">
            <w:pPr>
              <w:pStyle w:val="LTVerzDerFragendenFrage"/>
            </w:pPr>
            <w:hyperlink w:anchor="Frage_Nr_46" w:tooltip="Frage Nr 46" w:history="1">
              <w:r w:rsidR="00DD3048">
                <w:rPr>
                  <w:rStyle w:val="Hyperlink"/>
                  <w:szCs w:val="24"/>
                </w:rPr>
                <w:t>Niedrigwasser in Schwaben</w:t>
              </w:r>
              <w:r w:rsidR="00DD3048">
                <w:rPr>
                  <w:rStyle w:val="Hyperlink"/>
                  <w:szCs w:val="24"/>
                </w:rPr>
                <w:tab/>
                <w:t>46</w:t>
              </w:r>
            </w:hyperlink>
          </w:p>
        </w:tc>
      </w:tr>
      <w:tr w:rsidR="00DD3048" w:rsidRPr="005833DD" w:rsidTr="001F3CDA">
        <w:tc>
          <w:tcPr>
            <w:tcW w:w="5000" w:type="pct"/>
          </w:tcPr>
          <w:p w:rsidR="00DD3048" w:rsidRDefault="00DD3048" w:rsidP="00DD3048">
            <w:pPr>
              <w:pStyle w:val="LTVerzDerFragenden"/>
            </w:pPr>
            <w:r>
              <w:t>Demirel, Gülseren (BÜNDNIS 90/DIE GRÜNEN)</w:t>
            </w:r>
          </w:p>
        </w:tc>
      </w:tr>
      <w:tr w:rsidR="00DD3048" w:rsidRPr="005833DD" w:rsidTr="001F3CDA">
        <w:tc>
          <w:tcPr>
            <w:tcW w:w="5000" w:type="pct"/>
          </w:tcPr>
          <w:p w:rsidR="00DD3048" w:rsidRDefault="0050185D" w:rsidP="00DD3048">
            <w:pPr>
              <w:pStyle w:val="LTVerzDerFragendenFrage"/>
            </w:pPr>
            <w:hyperlink w:anchor="Frage_Nr_4" w:tooltip="Frage Nr 4" w:history="1">
              <w:r w:rsidR="00DD3048">
                <w:rPr>
                  <w:rStyle w:val="Hyperlink"/>
                  <w:szCs w:val="24"/>
                </w:rPr>
                <w:t>Förderung und Unterstützung der ehrenamtliche Helferinnen und Helfer im Flüchtlingsbereich</w:t>
              </w:r>
              <w:r w:rsidR="00DD3048">
                <w:rPr>
                  <w:rStyle w:val="Hyperlink"/>
                  <w:szCs w:val="24"/>
                </w:rPr>
                <w:tab/>
                <w:t>4</w:t>
              </w:r>
            </w:hyperlink>
          </w:p>
        </w:tc>
      </w:tr>
      <w:tr w:rsidR="00DD3048" w:rsidRPr="005833DD" w:rsidTr="001F3CDA">
        <w:tc>
          <w:tcPr>
            <w:tcW w:w="5000" w:type="pct"/>
          </w:tcPr>
          <w:p w:rsidR="00DD3048" w:rsidRDefault="00DD3048" w:rsidP="00DD3048">
            <w:pPr>
              <w:pStyle w:val="LTVerzDerFragenden"/>
            </w:pPr>
            <w:r>
              <w:t>Ebner-Steiner, Katrin (AfD)</w:t>
            </w:r>
          </w:p>
        </w:tc>
      </w:tr>
      <w:tr w:rsidR="00DD3048" w:rsidRPr="005833DD" w:rsidTr="001F3CDA">
        <w:tc>
          <w:tcPr>
            <w:tcW w:w="5000" w:type="pct"/>
          </w:tcPr>
          <w:p w:rsidR="00DD3048" w:rsidRDefault="0050185D" w:rsidP="00DD3048">
            <w:pPr>
              <w:pStyle w:val="LTVerzDerFragendenFrage"/>
            </w:pPr>
            <w:hyperlink w:anchor="Frage_Nr_39" w:tooltip="Frage Nr 39" w:history="1">
              <w:r w:rsidR="00DD3048">
                <w:rPr>
                  <w:rStyle w:val="Hyperlink"/>
                  <w:szCs w:val="24"/>
                </w:rPr>
                <w:t>Beraterverträge der Staatsregierung</w:t>
              </w:r>
              <w:r w:rsidR="00DD3048">
                <w:rPr>
                  <w:rStyle w:val="Hyperlink"/>
                  <w:szCs w:val="24"/>
                </w:rPr>
                <w:tab/>
                <w:t>39</w:t>
              </w:r>
            </w:hyperlink>
          </w:p>
        </w:tc>
      </w:tr>
      <w:tr w:rsidR="00DD3048" w:rsidRPr="005833DD" w:rsidTr="001F3CDA">
        <w:tc>
          <w:tcPr>
            <w:tcW w:w="5000" w:type="pct"/>
          </w:tcPr>
          <w:p w:rsidR="00DD3048" w:rsidRDefault="00DD3048" w:rsidP="00DD3048">
            <w:pPr>
              <w:pStyle w:val="LTVerzDerFragenden"/>
            </w:pPr>
            <w:r>
              <w:t>Fischbach, Matthias (FDP)</w:t>
            </w:r>
          </w:p>
        </w:tc>
      </w:tr>
      <w:tr w:rsidR="00DD3048" w:rsidRPr="005833DD" w:rsidTr="001F3CDA">
        <w:tc>
          <w:tcPr>
            <w:tcW w:w="5000" w:type="pct"/>
          </w:tcPr>
          <w:p w:rsidR="00DD3048" w:rsidRDefault="0050185D" w:rsidP="00DD3048">
            <w:pPr>
              <w:pStyle w:val="LTVerzDerFragendenFrage"/>
            </w:pPr>
            <w:hyperlink w:anchor="Frage_Nr_26" w:tooltip="Frage Nr 26" w:history="1">
              <w:r w:rsidR="00DD3048">
                <w:rPr>
                  <w:rStyle w:val="Hyperlink"/>
                  <w:szCs w:val="24"/>
                </w:rPr>
                <w:t>Abordnungen von Lehrkräften in Ministerialverwaltung</w:t>
              </w:r>
              <w:r w:rsidR="00DD3048">
                <w:rPr>
                  <w:rStyle w:val="Hyperlink"/>
                  <w:szCs w:val="24"/>
                </w:rPr>
                <w:tab/>
                <w:t>26</w:t>
              </w:r>
            </w:hyperlink>
          </w:p>
        </w:tc>
      </w:tr>
      <w:tr w:rsidR="00DD3048" w:rsidRPr="005833DD" w:rsidTr="001F3CDA">
        <w:tc>
          <w:tcPr>
            <w:tcW w:w="5000" w:type="pct"/>
          </w:tcPr>
          <w:p w:rsidR="00DD3048" w:rsidRDefault="00DD3048" w:rsidP="00DD3048">
            <w:pPr>
              <w:pStyle w:val="LTVerzDerFragenden"/>
            </w:pPr>
            <w:r>
              <w:t>Flisek, Christian (SPD)</w:t>
            </w:r>
          </w:p>
        </w:tc>
      </w:tr>
      <w:tr w:rsidR="00DD3048" w:rsidRPr="005833DD" w:rsidTr="001F3CDA">
        <w:tc>
          <w:tcPr>
            <w:tcW w:w="5000" w:type="pct"/>
          </w:tcPr>
          <w:p w:rsidR="00DD3048" w:rsidRDefault="0050185D" w:rsidP="00DD3048">
            <w:pPr>
              <w:pStyle w:val="LTVerzDerFragendenFrage"/>
            </w:pPr>
            <w:hyperlink w:anchor="Frage_Nr_33" w:tooltip="Frage Nr 33" w:history="1">
              <w:r w:rsidR="00DD3048">
                <w:rPr>
                  <w:rStyle w:val="Hyperlink"/>
                  <w:szCs w:val="24"/>
                </w:rPr>
                <w:t>BayHIG: Stellung Wissenschaftlicher Hilfskräfte</w:t>
              </w:r>
              <w:r w:rsidR="00DD3048">
                <w:rPr>
                  <w:rStyle w:val="Hyperlink"/>
                  <w:szCs w:val="24"/>
                </w:rPr>
                <w:tab/>
                <w:t>33</w:t>
              </w:r>
            </w:hyperlink>
          </w:p>
        </w:tc>
      </w:tr>
      <w:tr w:rsidR="00DD3048" w:rsidRPr="005833DD" w:rsidTr="001F3CDA">
        <w:tc>
          <w:tcPr>
            <w:tcW w:w="5000" w:type="pct"/>
          </w:tcPr>
          <w:p w:rsidR="00DD3048" w:rsidRDefault="00DD3048" w:rsidP="00DD3048">
            <w:pPr>
              <w:pStyle w:val="LTVerzDerFragenden"/>
            </w:pPr>
            <w:r>
              <w:t>Franke, Anne (BÜNDNIS 90/DIE GRÜNEN)</w:t>
            </w:r>
          </w:p>
        </w:tc>
      </w:tr>
      <w:tr w:rsidR="00DD3048" w:rsidRPr="005833DD" w:rsidTr="001F3CDA">
        <w:tc>
          <w:tcPr>
            <w:tcW w:w="5000" w:type="pct"/>
          </w:tcPr>
          <w:p w:rsidR="00DD3048" w:rsidRDefault="0050185D" w:rsidP="00DD3048">
            <w:pPr>
              <w:pStyle w:val="LTVerzDerFragendenFrage"/>
            </w:pPr>
            <w:hyperlink w:anchor="Frage_Nr_5" w:tooltip="Frage Nr 5" w:history="1">
              <w:r w:rsidR="00DD3048">
                <w:rPr>
                  <w:rStyle w:val="Hyperlink"/>
                  <w:szCs w:val="24"/>
                </w:rPr>
                <w:t>Umsetzung der rechtlichen Verpflichtung von Kommunen, ihre Grundstücksverkäufe künftig öffentlich auszuschreiben</w:t>
              </w:r>
              <w:r w:rsidR="00DD3048">
                <w:rPr>
                  <w:rStyle w:val="Hyperlink"/>
                  <w:szCs w:val="24"/>
                </w:rPr>
                <w:tab/>
                <w:t>5</w:t>
              </w:r>
            </w:hyperlink>
          </w:p>
        </w:tc>
      </w:tr>
      <w:tr w:rsidR="00DD3048" w:rsidRPr="005833DD" w:rsidTr="001F3CDA">
        <w:tc>
          <w:tcPr>
            <w:tcW w:w="5000" w:type="pct"/>
          </w:tcPr>
          <w:p w:rsidR="00DD3048" w:rsidRDefault="00DD3048" w:rsidP="00DD3048">
            <w:pPr>
              <w:pStyle w:val="LTVerzDerFragenden"/>
            </w:pPr>
            <w:r>
              <w:t>Friedl, Patrick (BÜNDNIS 90/DIE GRÜNEN)</w:t>
            </w:r>
          </w:p>
        </w:tc>
      </w:tr>
      <w:tr w:rsidR="00DD3048" w:rsidRPr="005833DD" w:rsidTr="001F3CDA">
        <w:tc>
          <w:tcPr>
            <w:tcW w:w="5000" w:type="pct"/>
          </w:tcPr>
          <w:p w:rsidR="00DD3048" w:rsidRDefault="0050185D" w:rsidP="00D84EBE">
            <w:pPr>
              <w:pStyle w:val="LTVerzDerFragendenFrage"/>
            </w:pPr>
            <w:hyperlink w:anchor="Frage_Nr_19" w:tooltip="Frage Nr 19" w:history="1">
              <w:r w:rsidR="00DD3048">
                <w:rPr>
                  <w:rStyle w:val="Hyperlink"/>
                  <w:szCs w:val="24"/>
                </w:rPr>
                <w:t xml:space="preserve">Go-Ahead </w:t>
              </w:r>
              <w:r w:rsidR="00D84EBE">
                <w:rPr>
                  <w:rStyle w:val="Hyperlink"/>
                  <w:szCs w:val="24"/>
                </w:rPr>
                <w:t>–</w:t>
              </w:r>
              <w:r w:rsidR="00DD3048">
                <w:rPr>
                  <w:rStyle w:val="Hyperlink"/>
                  <w:szCs w:val="24"/>
                </w:rPr>
                <w:t xml:space="preserve"> Probleme beim Betrieb der Bahn-Linie RE80</w:t>
              </w:r>
              <w:r w:rsidR="00DD3048">
                <w:rPr>
                  <w:rStyle w:val="Hyperlink"/>
                  <w:szCs w:val="24"/>
                </w:rPr>
                <w:tab/>
                <w:t>19</w:t>
              </w:r>
            </w:hyperlink>
          </w:p>
        </w:tc>
      </w:tr>
      <w:tr w:rsidR="00DD3048" w:rsidRPr="005833DD" w:rsidTr="001F3CDA">
        <w:tc>
          <w:tcPr>
            <w:tcW w:w="5000" w:type="pct"/>
          </w:tcPr>
          <w:p w:rsidR="00DD3048" w:rsidRDefault="00DD3048" w:rsidP="00DD3048">
            <w:pPr>
              <w:pStyle w:val="LTVerzDerFragenden"/>
            </w:pPr>
            <w:r>
              <w:t>Fuchs, Barbara (BÜNDNIS 90/DIE GRÜNEN)</w:t>
            </w:r>
          </w:p>
        </w:tc>
      </w:tr>
      <w:tr w:rsidR="00DD3048" w:rsidRPr="005833DD" w:rsidTr="001F3CDA">
        <w:tc>
          <w:tcPr>
            <w:tcW w:w="5000" w:type="pct"/>
          </w:tcPr>
          <w:p w:rsidR="00DD3048" w:rsidRDefault="0050185D" w:rsidP="00DD3048">
            <w:pPr>
              <w:pStyle w:val="LTVerzDerFragendenFrage"/>
            </w:pPr>
            <w:hyperlink w:anchor="Frage_Nr_42" w:tooltip="Frage Nr 42" w:history="1">
              <w:r w:rsidR="00DD3048">
                <w:rPr>
                  <w:rStyle w:val="Hyperlink"/>
                  <w:szCs w:val="24"/>
                </w:rPr>
                <w:t>Automobilfonds</w:t>
              </w:r>
              <w:r w:rsidR="00DD3048">
                <w:rPr>
                  <w:rStyle w:val="Hyperlink"/>
                  <w:szCs w:val="24"/>
                </w:rPr>
                <w:tab/>
                <w:t>42</w:t>
              </w:r>
            </w:hyperlink>
          </w:p>
        </w:tc>
      </w:tr>
      <w:tr w:rsidR="00DD3048" w:rsidRPr="005833DD" w:rsidTr="001F3CDA">
        <w:tc>
          <w:tcPr>
            <w:tcW w:w="5000" w:type="pct"/>
          </w:tcPr>
          <w:p w:rsidR="00DD3048" w:rsidRDefault="00DD3048" w:rsidP="00DD3048">
            <w:pPr>
              <w:pStyle w:val="LTVerzDerFragenden"/>
            </w:pPr>
            <w:r>
              <w:t>Gehring, Thomas (BÜNDNIS 90/DIE GRÜNEN)</w:t>
            </w:r>
          </w:p>
        </w:tc>
      </w:tr>
      <w:tr w:rsidR="00DD3048" w:rsidRPr="005833DD" w:rsidTr="001F3CDA">
        <w:tc>
          <w:tcPr>
            <w:tcW w:w="5000" w:type="pct"/>
          </w:tcPr>
          <w:p w:rsidR="00DD3048" w:rsidRDefault="0050185D" w:rsidP="00DD3048">
            <w:pPr>
              <w:pStyle w:val="LTVerzDerFragendenFrage"/>
            </w:pPr>
            <w:hyperlink w:anchor="Frage_Nr_27" w:tooltip="Frage Nr 27" w:history="1">
              <w:r w:rsidR="00DD3048">
                <w:rPr>
                  <w:rStyle w:val="Hyperlink"/>
                  <w:szCs w:val="24"/>
                </w:rPr>
                <w:t>Lehrkräfteversorgung im Schuljahr 2023/2024 in Bayern</w:t>
              </w:r>
              <w:r w:rsidR="00DD3048">
                <w:rPr>
                  <w:rStyle w:val="Hyperlink"/>
                  <w:szCs w:val="24"/>
                </w:rPr>
                <w:tab/>
                <w:t>27</w:t>
              </w:r>
            </w:hyperlink>
          </w:p>
        </w:tc>
      </w:tr>
      <w:tr w:rsidR="00DD3048" w:rsidRPr="005833DD" w:rsidTr="001F3CDA">
        <w:tc>
          <w:tcPr>
            <w:tcW w:w="5000" w:type="pct"/>
          </w:tcPr>
          <w:p w:rsidR="00DD3048" w:rsidRDefault="00DD3048" w:rsidP="00DD3048">
            <w:pPr>
              <w:pStyle w:val="LTVerzDerFragenden"/>
            </w:pPr>
            <w:r>
              <w:t>Güller, Harald (SPD)</w:t>
            </w:r>
          </w:p>
        </w:tc>
      </w:tr>
      <w:tr w:rsidR="00DD3048" w:rsidRPr="005833DD" w:rsidTr="001F3CDA">
        <w:tc>
          <w:tcPr>
            <w:tcW w:w="5000" w:type="pct"/>
          </w:tcPr>
          <w:p w:rsidR="00DD3048" w:rsidRDefault="0050185D" w:rsidP="00DD3048">
            <w:pPr>
              <w:pStyle w:val="LTVerzDerFragendenFrage"/>
            </w:pPr>
            <w:hyperlink w:anchor="Frage_Nr_6" w:tooltip="Frage Nr 6" w:history="1">
              <w:r w:rsidR="00DD3048">
                <w:rPr>
                  <w:rStyle w:val="Hyperlink"/>
                  <w:szCs w:val="24"/>
                </w:rPr>
                <w:t>Besetzung Schichten Notarztstandorte Dillingen, Schwabmünchen, Nördlingen</w:t>
              </w:r>
              <w:r w:rsidR="00DD3048">
                <w:rPr>
                  <w:rStyle w:val="Hyperlink"/>
                  <w:szCs w:val="24"/>
                </w:rPr>
                <w:tab/>
                <w:t>6</w:t>
              </w:r>
            </w:hyperlink>
          </w:p>
        </w:tc>
      </w:tr>
      <w:tr w:rsidR="00DD3048" w:rsidRPr="005833DD" w:rsidTr="001F3CDA">
        <w:tc>
          <w:tcPr>
            <w:tcW w:w="5000" w:type="pct"/>
          </w:tcPr>
          <w:p w:rsidR="00DD3048" w:rsidRDefault="00DD3048" w:rsidP="00DD3048">
            <w:pPr>
              <w:pStyle w:val="LTVerzDerFragenden"/>
            </w:pPr>
            <w:r>
              <w:t>Hagen, Martin (FDP)</w:t>
            </w:r>
          </w:p>
        </w:tc>
      </w:tr>
      <w:tr w:rsidR="00DD3048" w:rsidRPr="005833DD" w:rsidTr="001F3CDA">
        <w:tc>
          <w:tcPr>
            <w:tcW w:w="5000" w:type="pct"/>
          </w:tcPr>
          <w:p w:rsidR="00DD3048" w:rsidRDefault="0050185D" w:rsidP="00DD3048">
            <w:pPr>
              <w:pStyle w:val="LTVerzDerFragendenFrage"/>
            </w:pPr>
            <w:hyperlink w:anchor="Frage_Nr_28" w:tooltip="Frage Nr 28" w:history="1">
              <w:r w:rsidR="00DD3048">
                <w:rPr>
                  <w:rStyle w:val="Hyperlink"/>
                  <w:szCs w:val="24"/>
                </w:rPr>
                <w:t>Nachfrage zu Abiturergebnissen Schuljahr 2022/2023</w:t>
              </w:r>
              <w:r w:rsidR="00DD3048">
                <w:rPr>
                  <w:rStyle w:val="Hyperlink"/>
                  <w:szCs w:val="24"/>
                </w:rPr>
                <w:tab/>
                <w:t>28</w:t>
              </w:r>
            </w:hyperlink>
          </w:p>
        </w:tc>
      </w:tr>
      <w:tr w:rsidR="00DD3048" w:rsidRPr="005833DD" w:rsidTr="001F3CDA">
        <w:tc>
          <w:tcPr>
            <w:tcW w:w="5000" w:type="pct"/>
          </w:tcPr>
          <w:p w:rsidR="00DD3048" w:rsidRDefault="00DD3048" w:rsidP="00DD3048">
            <w:pPr>
              <w:pStyle w:val="LTVerzDerFragenden"/>
            </w:pPr>
            <w:r>
              <w:t>Prof. Dr. Hahn, Ingo (AfD)</w:t>
            </w:r>
          </w:p>
        </w:tc>
      </w:tr>
      <w:tr w:rsidR="00DD3048" w:rsidRPr="005833DD" w:rsidTr="001F3CDA">
        <w:tc>
          <w:tcPr>
            <w:tcW w:w="5000" w:type="pct"/>
          </w:tcPr>
          <w:p w:rsidR="00DD3048" w:rsidRDefault="0050185D" w:rsidP="00D84EBE">
            <w:pPr>
              <w:pStyle w:val="LTVerzDerFragendenFrage"/>
            </w:pPr>
            <w:hyperlink w:anchor="Frage_Nr_1" w:tooltip="Frage Nr 1" w:history="1">
              <w:r w:rsidR="00DD3048">
                <w:rPr>
                  <w:rStyle w:val="Hyperlink"/>
                  <w:szCs w:val="24"/>
                </w:rPr>
                <w:t xml:space="preserve">Einstellung des Jugendsenders </w:t>
              </w:r>
              <w:r w:rsidR="00D84EBE">
                <w:rPr>
                  <w:rStyle w:val="Hyperlink"/>
                  <w:szCs w:val="24"/>
                </w:rPr>
                <w:t>„</w:t>
              </w:r>
              <w:r w:rsidR="00DD3048">
                <w:rPr>
                  <w:rStyle w:val="Hyperlink"/>
                  <w:szCs w:val="24"/>
                </w:rPr>
                <w:t>funk</w:t>
              </w:r>
              <w:r w:rsidR="00D84EBE">
                <w:rPr>
                  <w:rStyle w:val="Hyperlink"/>
                  <w:szCs w:val="24"/>
                </w:rPr>
                <w:t>“</w:t>
              </w:r>
              <w:r w:rsidR="00DD3048">
                <w:rPr>
                  <w:rStyle w:val="Hyperlink"/>
                  <w:szCs w:val="24"/>
                </w:rPr>
                <w:t xml:space="preserve"> im öffentlich-rechtlichen Rundfunk</w:t>
              </w:r>
              <w:r w:rsidR="00DD3048">
                <w:rPr>
                  <w:rStyle w:val="Hyperlink"/>
                  <w:szCs w:val="24"/>
                </w:rPr>
                <w:tab/>
                <w:t>1</w:t>
              </w:r>
            </w:hyperlink>
          </w:p>
        </w:tc>
      </w:tr>
      <w:tr w:rsidR="00DD3048" w:rsidRPr="005833DD" w:rsidTr="001F3CDA">
        <w:tc>
          <w:tcPr>
            <w:tcW w:w="5000" w:type="pct"/>
          </w:tcPr>
          <w:p w:rsidR="00DD3048" w:rsidRDefault="00DD3048" w:rsidP="00DD3048">
            <w:pPr>
              <w:pStyle w:val="LTVerzDerFragenden"/>
            </w:pPr>
            <w:r>
              <w:t>Halbleib, Volkmar (SPD)</w:t>
            </w:r>
          </w:p>
        </w:tc>
      </w:tr>
      <w:tr w:rsidR="00DD3048" w:rsidRPr="005833DD" w:rsidTr="001F3CDA">
        <w:tc>
          <w:tcPr>
            <w:tcW w:w="5000" w:type="pct"/>
          </w:tcPr>
          <w:p w:rsidR="00DD3048" w:rsidRDefault="0050185D" w:rsidP="00DD3048">
            <w:pPr>
              <w:pStyle w:val="LTVerzDerFragendenFrage"/>
            </w:pPr>
            <w:hyperlink w:anchor="Frage_Nr_7" w:tooltip="Frage Nr 7" w:history="1">
              <w:r w:rsidR="00DD3048">
                <w:rPr>
                  <w:rStyle w:val="Hyperlink"/>
                  <w:szCs w:val="24"/>
                </w:rPr>
                <w:t>Schwerlastverkehr in der Ortsdurchfahrt Winterhausen, Landkreis Würzburg</w:t>
              </w:r>
              <w:r w:rsidR="00DD3048">
                <w:rPr>
                  <w:rStyle w:val="Hyperlink"/>
                  <w:szCs w:val="24"/>
                </w:rPr>
                <w:tab/>
                <w:t>7</w:t>
              </w:r>
            </w:hyperlink>
          </w:p>
        </w:tc>
      </w:tr>
      <w:tr w:rsidR="00DD3048" w:rsidRPr="005833DD" w:rsidTr="001F3CDA">
        <w:tc>
          <w:tcPr>
            <w:tcW w:w="5000" w:type="pct"/>
          </w:tcPr>
          <w:p w:rsidR="00DD3048" w:rsidRDefault="00DD3048" w:rsidP="00DD3048">
            <w:pPr>
              <w:pStyle w:val="LTVerzDerFragenden"/>
            </w:pPr>
            <w:r>
              <w:t>Haubrich, Christina (BÜNDNIS 90/DIE GRÜNEN)</w:t>
            </w:r>
          </w:p>
        </w:tc>
      </w:tr>
      <w:tr w:rsidR="00DD3048" w:rsidRPr="005833DD" w:rsidTr="001F3CDA">
        <w:tc>
          <w:tcPr>
            <w:tcW w:w="5000" w:type="pct"/>
          </w:tcPr>
          <w:p w:rsidR="00DD3048" w:rsidRDefault="0050185D" w:rsidP="00DD3048">
            <w:pPr>
              <w:pStyle w:val="LTVerzDerFragendenFrage"/>
            </w:pPr>
            <w:hyperlink w:anchor="Frage_Nr_20" w:tooltip="Frage Nr 20" w:history="1">
              <w:r w:rsidR="00DD3048">
                <w:rPr>
                  <w:rStyle w:val="Hyperlink"/>
                  <w:szCs w:val="24"/>
                </w:rPr>
                <w:t>Erhalt 15-Minuten-Takt Paartalbahn</w:t>
              </w:r>
              <w:r w:rsidR="00DD3048">
                <w:rPr>
                  <w:rStyle w:val="Hyperlink"/>
                  <w:szCs w:val="24"/>
                </w:rPr>
                <w:tab/>
                <w:t>20</w:t>
              </w:r>
            </w:hyperlink>
          </w:p>
        </w:tc>
      </w:tr>
      <w:tr w:rsidR="00DD3048" w:rsidRPr="005833DD" w:rsidTr="001F3CDA">
        <w:tc>
          <w:tcPr>
            <w:tcW w:w="5000" w:type="pct"/>
          </w:tcPr>
          <w:p w:rsidR="00DD3048" w:rsidRDefault="00DD3048" w:rsidP="00DD3048">
            <w:pPr>
              <w:pStyle w:val="LTVerzDerFragenden"/>
            </w:pPr>
            <w:r>
              <w:t>Hayn, Elmar (BÜNDNIS 90/DIE GRÜNEN)</w:t>
            </w:r>
          </w:p>
        </w:tc>
      </w:tr>
      <w:tr w:rsidR="00DD3048" w:rsidRPr="005833DD" w:rsidTr="001F3CDA">
        <w:tc>
          <w:tcPr>
            <w:tcW w:w="5000" w:type="pct"/>
          </w:tcPr>
          <w:p w:rsidR="00DD3048" w:rsidRDefault="0050185D" w:rsidP="00DD3048">
            <w:pPr>
              <w:pStyle w:val="LTVerzDerFragendenFrage"/>
            </w:pPr>
            <w:hyperlink w:anchor="Frage_Nr_21" w:tooltip="Frage Nr 21" w:history="1">
              <w:r w:rsidR="00DD3048">
                <w:rPr>
                  <w:rStyle w:val="Hyperlink"/>
                  <w:szCs w:val="24"/>
                </w:rPr>
                <w:t>Geplante Mietpreise für Wohnungen von SW Nürnberg und BayernHeim</w:t>
              </w:r>
              <w:r w:rsidR="00DD3048">
                <w:rPr>
                  <w:rStyle w:val="Hyperlink"/>
                  <w:szCs w:val="24"/>
                </w:rPr>
                <w:tab/>
                <w:t>21</w:t>
              </w:r>
            </w:hyperlink>
          </w:p>
        </w:tc>
      </w:tr>
      <w:tr w:rsidR="00DD3048" w:rsidRPr="005833DD" w:rsidTr="001F3CDA">
        <w:tc>
          <w:tcPr>
            <w:tcW w:w="5000" w:type="pct"/>
          </w:tcPr>
          <w:p w:rsidR="00DD3048" w:rsidRDefault="00DD3048" w:rsidP="00DD3048">
            <w:pPr>
              <w:pStyle w:val="LTVerzDerFragenden"/>
            </w:pPr>
            <w:r>
              <w:t>Hierneis, Christian (BÜNDNIS 90/DIE GRÜNEN)</w:t>
            </w:r>
          </w:p>
        </w:tc>
      </w:tr>
      <w:tr w:rsidR="00DD3048" w:rsidRPr="005833DD" w:rsidTr="001F3CDA">
        <w:tc>
          <w:tcPr>
            <w:tcW w:w="5000" w:type="pct"/>
          </w:tcPr>
          <w:p w:rsidR="00DD3048" w:rsidRDefault="0050185D" w:rsidP="00DD3048">
            <w:pPr>
              <w:pStyle w:val="LTVerzDerFragendenFrage"/>
            </w:pPr>
            <w:hyperlink w:anchor="Frage_Nr_34" w:tooltip="Frage Nr 34" w:history="1">
              <w:r w:rsidR="00DD3048">
                <w:rPr>
                  <w:rStyle w:val="Hyperlink"/>
                  <w:szCs w:val="24"/>
                </w:rPr>
                <w:t>Zukunft Koordinationsstelle Kunstareal</w:t>
              </w:r>
              <w:r w:rsidR="00DD3048">
                <w:rPr>
                  <w:rStyle w:val="Hyperlink"/>
                  <w:szCs w:val="24"/>
                </w:rPr>
                <w:tab/>
                <w:t>34</w:t>
              </w:r>
            </w:hyperlink>
          </w:p>
        </w:tc>
      </w:tr>
      <w:tr w:rsidR="00DD3048" w:rsidRPr="005833DD" w:rsidTr="001F3CDA">
        <w:tc>
          <w:tcPr>
            <w:tcW w:w="5000" w:type="pct"/>
          </w:tcPr>
          <w:p w:rsidR="00DD3048" w:rsidRDefault="00DD3048" w:rsidP="00DD3048">
            <w:pPr>
              <w:pStyle w:val="LTVerzDerFragenden"/>
            </w:pPr>
            <w:r>
              <w:t>Hiersemann, Alexandra (SPD)</w:t>
            </w:r>
          </w:p>
        </w:tc>
      </w:tr>
      <w:tr w:rsidR="00DD3048" w:rsidRPr="005833DD" w:rsidTr="001F3CDA">
        <w:tc>
          <w:tcPr>
            <w:tcW w:w="5000" w:type="pct"/>
          </w:tcPr>
          <w:p w:rsidR="00DD3048" w:rsidRDefault="0050185D" w:rsidP="00DD3048">
            <w:pPr>
              <w:pStyle w:val="LTVerzDerFragendenFrage"/>
            </w:pPr>
            <w:hyperlink w:anchor="Frage_Nr_8" w:tooltip="Frage Nr 8" w:history="1">
              <w:r w:rsidR="00DD3048">
                <w:rPr>
                  <w:rStyle w:val="Hyperlink"/>
                  <w:szCs w:val="24"/>
                </w:rPr>
                <w:t>Identitätsfeststellung von anerkannten, syrischen Flüchtlingen insbesondere für Niederlassungserlaubnisse und Einbürgerung</w:t>
              </w:r>
              <w:r w:rsidR="00DD3048">
                <w:rPr>
                  <w:rStyle w:val="Hyperlink"/>
                  <w:szCs w:val="24"/>
                </w:rPr>
                <w:tab/>
                <w:t>8</w:t>
              </w:r>
            </w:hyperlink>
          </w:p>
        </w:tc>
      </w:tr>
      <w:tr w:rsidR="00DD3048" w:rsidRPr="005833DD" w:rsidTr="001F3CDA">
        <w:tc>
          <w:tcPr>
            <w:tcW w:w="5000" w:type="pct"/>
          </w:tcPr>
          <w:p w:rsidR="00DD3048" w:rsidRDefault="00DD3048" w:rsidP="00DD3048">
            <w:pPr>
              <w:pStyle w:val="LTVerzDerFragenden"/>
            </w:pPr>
            <w:r>
              <w:t>Dr. Kaltenhauser, Helmut (FDP)</w:t>
            </w:r>
          </w:p>
        </w:tc>
      </w:tr>
      <w:tr w:rsidR="00DD3048" w:rsidRPr="005833DD" w:rsidTr="001F3CDA">
        <w:tc>
          <w:tcPr>
            <w:tcW w:w="5000" w:type="pct"/>
          </w:tcPr>
          <w:p w:rsidR="00DD3048" w:rsidRDefault="0050185D" w:rsidP="00DD3048">
            <w:pPr>
              <w:pStyle w:val="LTVerzDerFragendenFrage"/>
            </w:pPr>
            <w:hyperlink w:anchor="Frage_Nr_49" w:tooltip="Frage Nr 49" w:history="1">
              <w:r w:rsidR="00DD3048">
                <w:rPr>
                  <w:rStyle w:val="Hyperlink"/>
                  <w:szCs w:val="24"/>
                </w:rPr>
                <w:t>Meldung besonderer Vorkommnisse des Hofkellers an das Staatsministerium für Ernährung, Landwirtschaft und Forsten</w:t>
              </w:r>
              <w:r w:rsidR="00DD3048">
                <w:rPr>
                  <w:rStyle w:val="Hyperlink"/>
                  <w:szCs w:val="24"/>
                </w:rPr>
                <w:tab/>
                <w:t>49</w:t>
              </w:r>
            </w:hyperlink>
          </w:p>
        </w:tc>
      </w:tr>
      <w:tr w:rsidR="00DD3048" w:rsidRPr="005833DD" w:rsidTr="001F3CDA">
        <w:tc>
          <w:tcPr>
            <w:tcW w:w="5000" w:type="pct"/>
          </w:tcPr>
          <w:p w:rsidR="00DD3048" w:rsidRDefault="00DD3048" w:rsidP="00DD3048">
            <w:pPr>
              <w:pStyle w:val="LTVerzDerFragenden"/>
            </w:pPr>
            <w:r>
              <w:t>Karl, Annette (SPD)</w:t>
            </w:r>
          </w:p>
        </w:tc>
      </w:tr>
      <w:tr w:rsidR="00DD3048" w:rsidRPr="005833DD" w:rsidTr="001F3CDA">
        <w:tc>
          <w:tcPr>
            <w:tcW w:w="5000" w:type="pct"/>
          </w:tcPr>
          <w:p w:rsidR="00DD3048" w:rsidRDefault="0050185D" w:rsidP="00DD3048">
            <w:pPr>
              <w:pStyle w:val="LTVerzDerFragendenFrage"/>
            </w:pPr>
            <w:hyperlink w:anchor="Frage_Nr_52" w:tooltip="Frage Nr 52" w:history="1">
              <w:r w:rsidR="00DD3048">
                <w:rPr>
                  <w:rStyle w:val="Hyperlink"/>
                  <w:szCs w:val="24"/>
                </w:rPr>
                <w:t>Bayerischer Energiesperren-Schutzschirm (BESS)</w:t>
              </w:r>
              <w:r w:rsidR="00DD3048">
                <w:rPr>
                  <w:rStyle w:val="Hyperlink"/>
                  <w:szCs w:val="24"/>
                </w:rPr>
                <w:tab/>
                <w:t>52</w:t>
              </w:r>
            </w:hyperlink>
          </w:p>
        </w:tc>
      </w:tr>
      <w:tr w:rsidR="00DD3048" w:rsidRPr="005833DD" w:rsidTr="001F3CDA">
        <w:tc>
          <w:tcPr>
            <w:tcW w:w="5000" w:type="pct"/>
          </w:tcPr>
          <w:p w:rsidR="00DD3048" w:rsidRDefault="00DD3048" w:rsidP="00DD3048">
            <w:pPr>
              <w:pStyle w:val="LTVerzDerFragenden"/>
            </w:pPr>
            <w:r>
              <w:t>Knoblach, Paul (BÜNDNIS 90/DIE GRÜNEN)</w:t>
            </w:r>
          </w:p>
        </w:tc>
      </w:tr>
      <w:tr w:rsidR="00DD3048" w:rsidRPr="005833DD" w:rsidTr="001F3CDA">
        <w:tc>
          <w:tcPr>
            <w:tcW w:w="5000" w:type="pct"/>
          </w:tcPr>
          <w:p w:rsidR="00DD3048" w:rsidRDefault="0050185D" w:rsidP="00DD3048">
            <w:pPr>
              <w:pStyle w:val="LTVerzDerFragendenFrage"/>
            </w:pPr>
            <w:hyperlink w:anchor="Frage_Nr_47" w:tooltip="Frage Nr 47" w:history="1">
              <w:r w:rsidR="00DD3048">
                <w:rPr>
                  <w:rStyle w:val="Hyperlink"/>
                  <w:szCs w:val="24"/>
                </w:rPr>
                <w:t>Umgang mit kranken und verletzten Tieren in schweinehaltenden Betrieben</w:t>
              </w:r>
              <w:r w:rsidR="00DD3048">
                <w:rPr>
                  <w:rStyle w:val="Hyperlink"/>
                  <w:szCs w:val="24"/>
                </w:rPr>
                <w:tab/>
                <w:t>47</w:t>
              </w:r>
            </w:hyperlink>
          </w:p>
        </w:tc>
      </w:tr>
      <w:tr w:rsidR="00DD3048" w:rsidRPr="005833DD" w:rsidTr="001F3CDA">
        <w:tc>
          <w:tcPr>
            <w:tcW w:w="5000" w:type="pct"/>
          </w:tcPr>
          <w:p w:rsidR="00DD3048" w:rsidRDefault="00DD3048" w:rsidP="00DD3048">
            <w:pPr>
              <w:pStyle w:val="LTVerzDerFragenden"/>
            </w:pPr>
            <w:r>
              <w:t>Köhler, Claudia (BÜNDNIS 90/DIE GRÜNEN)</w:t>
            </w:r>
          </w:p>
        </w:tc>
      </w:tr>
      <w:tr w:rsidR="00DD3048" w:rsidRPr="005833DD" w:rsidTr="001F3CDA">
        <w:tc>
          <w:tcPr>
            <w:tcW w:w="5000" w:type="pct"/>
          </w:tcPr>
          <w:p w:rsidR="00DD3048" w:rsidRDefault="0050185D" w:rsidP="00DD3048">
            <w:pPr>
              <w:pStyle w:val="LTVerzDerFragendenFrage"/>
            </w:pPr>
            <w:hyperlink w:anchor="Frage_Nr_53" w:tooltip="Frage Nr 53" w:history="1">
              <w:r w:rsidR="00DD3048">
                <w:rPr>
                  <w:rStyle w:val="Hyperlink"/>
                  <w:szCs w:val="24"/>
                </w:rPr>
                <w:t>Stand der Auszahlung der Bundesmittel aus dem Jahr 2022 für Geflüchtete aus der Ukraine an bayerische Kommunen</w:t>
              </w:r>
              <w:r w:rsidR="00DD3048">
                <w:rPr>
                  <w:rStyle w:val="Hyperlink"/>
                  <w:szCs w:val="24"/>
                </w:rPr>
                <w:tab/>
                <w:t>53</w:t>
              </w:r>
            </w:hyperlink>
          </w:p>
        </w:tc>
      </w:tr>
      <w:tr w:rsidR="00DD3048" w:rsidRPr="005833DD" w:rsidTr="001F3CDA">
        <w:tc>
          <w:tcPr>
            <w:tcW w:w="5000" w:type="pct"/>
          </w:tcPr>
          <w:p w:rsidR="00DD3048" w:rsidRDefault="00DD3048" w:rsidP="00DD3048">
            <w:pPr>
              <w:pStyle w:val="LTVerzDerFragenden"/>
            </w:pPr>
            <w:r>
              <w:t>Magerl, Roland (AfD)</w:t>
            </w:r>
          </w:p>
        </w:tc>
      </w:tr>
      <w:tr w:rsidR="00DD3048" w:rsidRPr="005833DD" w:rsidTr="001F3CDA">
        <w:tc>
          <w:tcPr>
            <w:tcW w:w="5000" w:type="pct"/>
          </w:tcPr>
          <w:p w:rsidR="00DD3048" w:rsidRDefault="0050185D" w:rsidP="00DD3048">
            <w:pPr>
              <w:pStyle w:val="LTVerzDerFragendenFrage"/>
            </w:pPr>
            <w:hyperlink w:anchor="Frage_Nr_58" w:tooltip="Frage Nr 58" w:history="1">
              <w:r w:rsidR="00DD3048">
                <w:rPr>
                  <w:rStyle w:val="Hyperlink"/>
                  <w:szCs w:val="24"/>
                </w:rPr>
                <w:t>Defizit der bayerischen Krankenhäuser</w:t>
              </w:r>
              <w:r w:rsidR="00DD3048">
                <w:rPr>
                  <w:rStyle w:val="Hyperlink"/>
                  <w:szCs w:val="24"/>
                </w:rPr>
                <w:tab/>
                <w:t>58</w:t>
              </w:r>
            </w:hyperlink>
          </w:p>
        </w:tc>
      </w:tr>
      <w:tr w:rsidR="00DD3048" w:rsidRPr="005833DD" w:rsidTr="001F3CDA">
        <w:tc>
          <w:tcPr>
            <w:tcW w:w="5000" w:type="pct"/>
          </w:tcPr>
          <w:p w:rsidR="00DD3048" w:rsidRDefault="00DD3048" w:rsidP="00DD3048">
            <w:pPr>
              <w:pStyle w:val="LTVerzDerFragenden"/>
            </w:pPr>
            <w:r>
              <w:t>Mang, Ferdinand (AfD)</w:t>
            </w:r>
          </w:p>
        </w:tc>
      </w:tr>
      <w:tr w:rsidR="00DD3048" w:rsidRPr="005833DD" w:rsidTr="001F3CDA">
        <w:tc>
          <w:tcPr>
            <w:tcW w:w="5000" w:type="pct"/>
          </w:tcPr>
          <w:p w:rsidR="00DD3048" w:rsidRDefault="0050185D" w:rsidP="00DD3048">
            <w:pPr>
              <w:pStyle w:val="LTVerzDerFragendenFrage"/>
            </w:pPr>
            <w:hyperlink w:anchor="Frage_Nr_43" w:tooltip="Frage Nr 43" w:history="1">
              <w:r w:rsidR="00DD3048">
                <w:rPr>
                  <w:rStyle w:val="Hyperlink"/>
                  <w:szCs w:val="24"/>
                </w:rPr>
                <w:t>Insolvenz-Welle auch in Bayern</w:t>
              </w:r>
              <w:r w:rsidR="00DD3048">
                <w:rPr>
                  <w:rStyle w:val="Hyperlink"/>
                  <w:szCs w:val="24"/>
                </w:rPr>
                <w:tab/>
                <w:t>43</w:t>
              </w:r>
            </w:hyperlink>
          </w:p>
        </w:tc>
      </w:tr>
      <w:tr w:rsidR="00DD3048" w:rsidRPr="005833DD" w:rsidTr="001F3CDA">
        <w:tc>
          <w:tcPr>
            <w:tcW w:w="5000" w:type="pct"/>
          </w:tcPr>
          <w:p w:rsidR="00DD3048" w:rsidRDefault="00DD3048" w:rsidP="00DD3048">
            <w:pPr>
              <w:pStyle w:val="LTVerzDerFragenden"/>
            </w:pPr>
            <w:r>
              <w:t>Mannes, Gerd (AfD)</w:t>
            </w:r>
          </w:p>
        </w:tc>
      </w:tr>
      <w:tr w:rsidR="00DD3048" w:rsidRPr="005833DD" w:rsidTr="001F3CDA">
        <w:tc>
          <w:tcPr>
            <w:tcW w:w="5000" w:type="pct"/>
          </w:tcPr>
          <w:p w:rsidR="00DD3048" w:rsidRDefault="0050185D" w:rsidP="00DD3048">
            <w:pPr>
              <w:pStyle w:val="LTVerzDerFragendenFrage"/>
            </w:pPr>
            <w:hyperlink w:anchor="Frage_Nr_9" w:tooltip="Frage Nr 9" w:history="1">
              <w:r w:rsidR="00DD3048">
                <w:rPr>
                  <w:rStyle w:val="Hyperlink"/>
                  <w:szCs w:val="24"/>
                </w:rPr>
                <w:t>Flüchtlinge aus der Ukraine in Bayern</w:t>
              </w:r>
              <w:r w:rsidR="00DD3048">
                <w:rPr>
                  <w:rStyle w:val="Hyperlink"/>
                  <w:szCs w:val="24"/>
                </w:rPr>
                <w:tab/>
                <w:t>9</w:t>
              </w:r>
            </w:hyperlink>
          </w:p>
        </w:tc>
      </w:tr>
      <w:tr w:rsidR="00DD3048" w:rsidRPr="005833DD" w:rsidTr="001F3CDA">
        <w:tc>
          <w:tcPr>
            <w:tcW w:w="5000" w:type="pct"/>
          </w:tcPr>
          <w:p w:rsidR="00DD3048" w:rsidRDefault="00DD3048" w:rsidP="00DD3048">
            <w:pPr>
              <w:pStyle w:val="LTVerzDerFragenden"/>
            </w:pPr>
            <w:r>
              <w:t>Monatzeder, Hep (BÜNDNIS 90/DIE GRÜNEN)</w:t>
            </w:r>
          </w:p>
        </w:tc>
      </w:tr>
      <w:tr w:rsidR="00DD3048" w:rsidRPr="005833DD" w:rsidTr="001F3CDA">
        <w:tc>
          <w:tcPr>
            <w:tcW w:w="5000" w:type="pct"/>
          </w:tcPr>
          <w:p w:rsidR="00DD3048" w:rsidRDefault="0050185D" w:rsidP="00DD3048">
            <w:pPr>
              <w:pStyle w:val="LTVerzDerFragendenFrage"/>
            </w:pPr>
            <w:hyperlink w:anchor="Frage_Nr_35" w:tooltip="Frage Nr 35" w:history="1">
              <w:r w:rsidR="00DD3048">
                <w:rPr>
                  <w:rStyle w:val="Hyperlink"/>
                  <w:szCs w:val="24"/>
                </w:rPr>
                <w:t>Wohnheim Agnes-/Adelheidstraße II</w:t>
              </w:r>
              <w:r w:rsidR="00DD3048">
                <w:rPr>
                  <w:rStyle w:val="Hyperlink"/>
                  <w:szCs w:val="24"/>
                </w:rPr>
                <w:tab/>
                <w:t>35</w:t>
              </w:r>
            </w:hyperlink>
          </w:p>
        </w:tc>
      </w:tr>
      <w:tr w:rsidR="00DD3048" w:rsidRPr="005833DD" w:rsidTr="001F3CDA">
        <w:tc>
          <w:tcPr>
            <w:tcW w:w="5000" w:type="pct"/>
          </w:tcPr>
          <w:p w:rsidR="00DD3048" w:rsidRDefault="00DD3048" w:rsidP="00DD3048">
            <w:pPr>
              <w:pStyle w:val="LTVerzDerFragenden"/>
            </w:pPr>
            <w:r>
              <w:t>Muthmann, Alexander (FDP)</w:t>
            </w:r>
          </w:p>
        </w:tc>
      </w:tr>
      <w:tr w:rsidR="00DD3048" w:rsidRPr="005833DD" w:rsidTr="001F3CDA">
        <w:tc>
          <w:tcPr>
            <w:tcW w:w="5000" w:type="pct"/>
          </w:tcPr>
          <w:p w:rsidR="00DD3048" w:rsidRDefault="0050185D" w:rsidP="00DD3048">
            <w:pPr>
              <w:pStyle w:val="LTVerzDerFragendenFrage"/>
            </w:pPr>
            <w:hyperlink w:anchor="Frage_Nr_40" w:tooltip="Frage Nr 40" w:history="1">
              <w:r w:rsidR="00DD3048">
                <w:rPr>
                  <w:rStyle w:val="Hyperlink"/>
                  <w:szCs w:val="24"/>
                </w:rPr>
                <w:t>Behördenverlagerung nach Freyung</w:t>
              </w:r>
              <w:r w:rsidR="00DD3048">
                <w:rPr>
                  <w:rStyle w:val="Hyperlink"/>
                  <w:szCs w:val="24"/>
                </w:rPr>
                <w:tab/>
                <w:t>40</w:t>
              </w:r>
            </w:hyperlink>
          </w:p>
        </w:tc>
      </w:tr>
      <w:tr w:rsidR="00DD3048" w:rsidRPr="005833DD" w:rsidTr="001F3CDA">
        <w:tc>
          <w:tcPr>
            <w:tcW w:w="5000" w:type="pct"/>
          </w:tcPr>
          <w:p w:rsidR="00DD3048" w:rsidRDefault="00DD3048" w:rsidP="00DD3048">
            <w:pPr>
              <w:pStyle w:val="LTVerzDerFragenden"/>
            </w:pPr>
            <w:r>
              <w:t>Müller, Ruth (SPD)</w:t>
            </w:r>
          </w:p>
        </w:tc>
      </w:tr>
      <w:tr w:rsidR="00DD3048" w:rsidRPr="005833DD" w:rsidTr="001F3CDA">
        <w:tc>
          <w:tcPr>
            <w:tcW w:w="5000" w:type="pct"/>
          </w:tcPr>
          <w:p w:rsidR="00DD3048" w:rsidRDefault="0050185D" w:rsidP="00DD3048">
            <w:pPr>
              <w:pStyle w:val="LTVerzDerFragendenFrage"/>
            </w:pPr>
            <w:hyperlink w:anchor="Frage_Nr_22" w:tooltip="Frage Nr 22" w:history="1">
              <w:r w:rsidR="00DD3048">
                <w:rPr>
                  <w:rStyle w:val="Hyperlink"/>
                  <w:szCs w:val="24"/>
                </w:rPr>
                <w:t>Stärkung des ÖPNV im ländlichen Raum</w:t>
              </w:r>
              <w:r w:rsidR="00DD3048">
                <w:rPr>
                  <w:rStyle w:val="Hyperlink"/>
                  <w:szCs w:val="24"/>
                </w:rPr>
                <w:tab/>
                <w:t>22</w:t>
              </w:r>
            </w:hyperlink>
          </w:p>
        </w:tc>
      </w:tr>
      <w:tr w:rsidR="00DD3048" w:rsidRPr="005833DD" w:rsidTr="001F3CDA">
        <w:tc>
          <w:tcPr>
            <w:tcW w:w="5000" w:type="pct"/>
          </w:tcPr>
          <w:p w:rsidR="00DD3048" w:rsidRDefault="00DD3048" w:rsidP="00DD3048">
            <w:pPr>
              <w:pStyle w:val="LTVerzDerFragenden"/>
            </w:pPr>
            <w:r>
              <w:t>Osgyan, Verena (BÜNDNIS 90/DIE GRÜNEN)</w:t>
            </w:r>
          </w:p>
        </w:tc>
      </w:tr>
      <w:tr w:rsidR="00DD3048" w:rsidRPr="005833DD" w:rsidTr="001F3CDA">
        <w:tc>
          <w:tcPr>
            <w:tcW w:w="5000" w:type="pct"/>
          </w:tcPr>
          <w:p w:rsidR="00DD3048" w:rsidRDefault="0050185D" w:rsidP="00DD3048">
            <w:pPr>
              <w:pStyle w:val="LTVerzDerFragendenFrage"/>
            </w:pPr>
            <w:hyperlink w:anchor="Frage_Nr_36" w:tooltip="Frage Nr 36" w:history="1">
              <w:r w:rsidR="00DD3048">
                <w:rPr>
                  <w:rStyle w:val="Hyperlink"/>
                  <w:szCs w:val="24"/>
                </w:rPr>
                <w:t>Kumulative Dissertationen und Habilitationen</w:t>
              </w:r>
              <w:r w:rsidR="00DD3048">
                <w:rPr>
                  <w:rStyle w:val="Hyperlink"/>
                  <w:szCs w:val="24"/>
                </w:rPr>
                <w:tab/>
                <w:t>36</w:t>
              </w:r>
            </w:hyperlink>
          </w:p>
        </w:tc>
      </w:tr>
      <w:tr w:rsidR="00DD3048" w:rsidRPr="005833DD" w:rsidTr="001F3CDA">
        <w:tc>
          <w:tcPr>
            <w:tcW w:w="5000" w:type="pct"/>
          </w:tcPr>
          <w:p w:rsidR="00DD3048" w:rsidRDefault="00DD3048" w:rsidP="00DD3048">
            <w:pPr>
              <w:pStyle w:val="LTVerzDerFragenden"/>
            </w:pPr>
            <w:r>
              <w:t>Pargent, Tim (BÜNDNIS 90/DIE GRÜNEN)</w:t>
            </w:r>
          </w:p>
        </w:tc>
      </w:tr>
      <w:tr w:rsidR="00DD3048" w:rsidRPr="005833DD" w:rsidTr="001F3CDA">
        <w:tc>
          <w:tcPr>
            <w:tcW w:w="5000" w:type="pct"/>
          </w:tcPr>
          <w:p w:rsidR="00DD3048" w:rsidRDefault="0050185D" w:rsidP="00DD3048">
            <w:pPr>
              <w:pStyle w:val="LTVerzDerFragendenFrage"/>
            </w:pPr>
            <w:hyperlink w:anchor="Frage_Nr_23" w:tooltip="Frage Nr 23" w:history="1">
              <w:r w:rsidR="00DD3048">
                <w:rPr>
                  <w:rStyle w:val="Hyperlink"/>
                  <w:szCs w:val="24"/>
                </w:rPr>
                <w:t>Kosten Ortsumfahrung Döllnitz</w:t>
              </w:r>
              <w:r w:rsidR="00DD3048">
                <w:rPr>
                  <w:rStyle w:val="Hyperlink"/>
                  <w:szCs w:val="24"/>
                </w:rPr>
                <w:tab/>
                <w:t>23</w:t>
              </w:r>
            </w:hyperlink>
          </w:p>
        </w:tc>
      </w:tr>
      <w:tr w:rsidR="00DD3048" w:rsidRPr="005833DD" w:rsidTr="001F3CDA">
        <w:tc>
          <w:tcPr>
            <w:tcW w:w="5000" w:type="pct"/>
          </w:tcPr>
          <w:p w:rsidR="00DD3048" w:rsidRDefault="00DD3048" w:rsidP="00DD3048">
            <w:pPr>
              <w:pStyle w:val="LTVerzDerFragenden"/>
            </w:pPr>
            <w:r>
              <w:t>Pschierer, Franz Josef (FDP)</w:t>
            </w:r>
          </w:p>
        </w:tc>
      </w:tr>
      <w:tr w:rsidR="00DD3048" w:rsidRPr="005833DD" w:rsidTr="001F3CDA">
        <w:tc>
          <w:tcPr>
            <w:tcW w:w="5000" w:type="pct"/>
          </w:tcPr>
          <w:p w:rsidR="00DD3048" w:rsidRDefault="0050185D" w:rsidP="00507330">
            <w:pPr>
              <w:pStyle w:val="LTVerzDerFragendenFrage"/>
            </w:pPr>
            <w:hyperlink w:anchor="Frage_Nr_41" w:tooltip="Frage Nr 41" w:history="1">
              <w:r w:rsidR="00DD3048">
                <w:rPr>
                  <w:rStyle w:val="Hyperlink"/>
                  <w:szCs w:val="24"/>
                </w:rPr>
                <w:t>Abzug von Betriebsprüfern zur Bearbeitung von Einsprüchen gegen Grundsteuer</w:t>
              </w:r>
              <w:r w:rsidR="00507330">
                <w:rPr>
                  <w:rStyle w:val="Hyperlink"/>
                  <w:szCs w:val="24"/>
                </w:rPr>
                <w:t>b</w:t>
              </w:r>
              <w:r w:rsidR="00DD3048">
                <w:rPr>
                  <w:rStyle w:val="Hyperlink"/>
                  <w:szCs w:val="24"/>
                </w:rPr>
                <w:t>escheide</w:t>
              </w:r>
              <w:r w:rsidR="00DD3048">
                <w:rPr>
                  <w:rStyle w:val="Hyperlink"/>
                  <w:szCs w:val="24"/>
                </w:rPr>
                <w:tab/>
                <w:t>41</w:t>
              </w:r>
            </w:hyperlink>
          </w:p>
        </w:tc>
      </w:tr>
      <w:tr w:rsidR="00DD3048" w:rsidRPr="005833DD" w:rsidTr="001F3CDA">
        <w:tc>
          <w:tcPr>
            <w:tcW w:w="5000" w:type="pct"/>
          </w:tcPr>
          <w:p w:rsidR="00DD3048" w:rsidRDefault="00DD3048" w:rsidP="00DD3048">
            <w:pPr>
              <w:pStyle w:val="LTVerzDerFragenden"/>
            </w:pPr>
            <w:r>
              <w:t>Rauscher, Doris (SPD)</w:t>
            </w:r>
          </w:p>
        </w:tc>
      </w:tr>
      <w:tr w:rsidR="00DD3048" w:rsidRPr="005833DD" w:rsidTr="001F3CDA">
        <w:tc>
          <w:tcPr>
            <w:tcW w:w="5000" w:type="pct"/>
          </w:tcPr>
          <w:p w:rsidR="00DD3048" w:rsidRDefault="0050185D" w:rsidP="00DD3048">
            <w:pPr>
              <w:pStyle w:val="LTVerzDerFragendenFrage"/>
            </w:pPr>
            <w:hyperlink w:anchor="Frage_Nr_54" w:tooltip="Frage Nr 54" w:history="1">
              <w:r w:rsidR="00DD3048">
                <w:rPr>
                  <w:rStyle w:val="Hyperlink"/>
                  <w:szCs w:val="24"/>
                </w:rPr>
                <w:t>Einstiegs- und Weiterqualifizierungswege für den Quereinstieg</w:t>
              </w:r>
              <w:r w:rsidR="00DD3048">
                <w:rPr>
                  <w:rStyle w:val="Hyperlink"/>
                  <w:szCs w:val="24"/>
                </w:rPr>
                <w:tab/>
                <w:t>54</w:t>
              </w:r>
            </w:hyperlink>
          </w:p>
        </w:tc>
      </w:tr>
      <w:tr w:rsidR="00DD3048" w:rsidRPr="005833DD" w:rsidTr="001F3CDA">
        <w:tc>
          <w:tcPr>
            <w:tcW w:w="5000" w:type="pct"/>
          </w:tcPr>
          <w:p w:rsidR="00DD3048" w:rsidRDefault="00DD3048" w:rsidP="00DD3048">
            <w:pPr>
              <w:pStyle w:val="LTVerzDerFragenden"/>
            </w:pPr>
            <w:r>
              <w:t>Rinderspacher, Markus (SPD)</w:t>
            </w:r>
          </w:p>
        </w:tc>
      </w:tr>
      <w:tr w:rsidR="00DD3048" w:rsidRPr="005833DD" w:rsidTr="001F3CDA">
        <w:tc>
          <w:tcPr>
            <w:tcW w:w="5000" w:type="pct"/>
          </w:tcPr>
          <w:p w:rsidR="00DD3048" w:rsidRDefault="0050185D" w:rsidP="00DD3048">
            <w:pPr>
              <w:pStyle w:val="LTVerzDerFragendenFrage"/>
            </w:pPr>
            <w:hyperlink w:anchor="Frage_Nr_10" w:tooltip="Frage Nr 10" w:history="1">
              <w:r w:rsidR="00DD3048">
                <w:rPr>
                  <w:rStyle w:val="Hyperlink"/>
                  <w:szCs w:val="24"/>
                </w:rPr>
                <w:t>Personalsituation Polizei</w:t>
              </w:r>
              <w:r w:rsidR="00DD3048">
                <w:rPr>
                  <w:rStyle w:val="Hyperlink"/>
                  <w:szCs w:val="24"/>
                </w:rPr>
                <w:tab/>
                <w:t>10</w:t>
              </w:r>
            </w:hyperlink>
          </w:p>
        </w:tc>
      </w:tr>
      <w:tr w:rsidR="00DD3048" w:rsidRPr="005833DD" w:rsidTr="001F3CDA">
        <w:tc>
          <w:tcPr>
            <w:tcW w:w="5000" w:type="pct"/>
          </w:tcPr>
          <w:p w:rsidR="00DD3048" w:rsidRDefault="00DD3048" w:rsidP="00DD3048">
            <w:pPr>
              <w:pStyle w:val="LTVerzDerFragenden"/>
            </w:pPr>
            <w:r>
              <w:t>Ritter, Florian (SPD)</w:t>
            </w:r>
          </w:p>
        </w:tc>
      </w:tr>
      <w:tr w:rsidR="00DD3048" w:rsidRPr="005833DD" w:rsidTr="001F3CDA">
        <w:tc>
          <w:tcPr>
            <w:tcW w:w="5000" w:type="pct"/>
          </w:tcPr>
          <w:p w:rsidR="00DD3048" w:rsidRDefault="0050185D" w:rsidP="00DD3048">
            <w:pPr>
              <w:pStyle w:val="LTVerzDerFragendenFrage"/>
            </w:pPr>
            <w:hyperlink w:anchor="Frage_Nr_11" w:tooltip="Frage Nr 11" w:history="1">
              <w:r w:rsidR="00DD3048">
                <w:rPr>
                  <w:rStyle w:val="Hyperlink"/>
                  <w:szCs w:val="24"/>
                </w:rPr>
                <w:t>Verbindungen Outlaw Motorcycle Gang nach Waffenfunden in Österreich</w:t>
              </w:r>
              <w:r w:rsidR="00DD3048">
                <w:rPr>
                  <w:rStyle w:val="Hyperlink"/>
                  <w:szCs w:val="24"/>
                </w:rPr>
                <w:tab/>
                <w:t>11</w:t>
              </w:r>
            </w:hyperlink>
          </w:p>
        </w:tc>
      </w:tr>
      <w:tr w:rsidR="00DD3048" w:rsidRPr="005833DD" w:rsidTr="001F3CDA">
        <w:tc>
          <w:tcPr>
            <w:tcW w:w="5000" w:type="pct"/>
          </w:tcPr>
          <w:p w:rsidR="00DD3048" w:rsidRDefault="00DD3048" w:rsidP="00DD3048">
            <w:pPr>
              <w:pStyle w:val="LTVerzDerFragenden"/>
            </w:pPr>
            <w:r>
              <w:t>Schiffers, Jan (AfD)</w:t>
            </w:r>
          </w:p>
        </w:tc>
      </w:tr>
      <w:tr w:rsidR="00DD3048" w:rsidRPr="005833DD" w:rsidTr="001F3CDA">
        <w:tc>
          <w:tcPr>
            <w:tcW w:w="5000" w:type="pct"/>
          </w:tcPr>
          <w:p w:rsidR="00DD3048" w:rsidRDefault="0050185D" w:rsidP="00DD3048">
            <w:pPr>
              <w:pStyle w:val="LTVerzDerFragendenFrage"/>
            </w:pPr>
            <w:hyperlink w:anchor="Frage_Nr_12" w:tooltip="Frage Nr 12" w:history="1">
              <w:r w:rsidR="00DD3048">
                <w:rPr>
                  <w:rStyle w:val="Hyperlink"/>
                  <w:szCs w:val="24"/>
                </w:rPr>
                <w:t>Festnahme des IS-Terrorverdächtigen in Oberfranken Landkreis Kronach</w:t>
              </w:r>
              <w:r w:rsidR="00DD3048">
                <w:rPr>
                  <w:rStyle w:val="Hyperlink"/>
                  <w:szCs w:val="24"/>
                </w:rPr>
                <w:tab/>
                <w:t>12</w:t>
              </w:r>
            </w:hyperlink>
          </w:p>
        </w:tc>
      </w:tr>
      <w:tr w:rsidR="00DD3048" w:rsidRPr="005833DD" w:rsidTr="001F3CDA">
        <w:tc>
          <w:tcPr>
            <w:tcW w:w="5000" w:type="pct"/>
          </w:tcPr>
          <w:p w:rsidR="00DD3048" w:rsidRDefault="00DD3048" w:rsidP="00DD3048">
            <w:pPr>
              <w:pStyle w:val="LTVerzDerFragenden"/>
            </w:pPr>
            <w:r>
              <w:t>Schuhknecht, Stephanie (BÜNDNIS 90/DIE GRÜNEN)</w:t>
            </w:r>
          </w:p>
        </w:tc>
      </w:tr>
      <w:tr w:rsidR="00DD3048" w:rsidRPr="005833DD" w:rsidTr="001F3CDA">
        <w:tc>
          <w:tcPr>
            <w:tcW w:w="5000" w:type="pct"/>
          </w:tcPr>
          <w:p w:rsidR="00DD3048" w:rsidRDefault="0050185D" w:rsidP="00DD3048">
            <w:pPr>
              <w:pStyle w:val="LTVerzDerFragendenFrage"/>
            </w:pPr>
            <w:hyperlink w:anchor="Frage_Nr_24" w:tooltip="Frage Nr 24" w:history="1">
              <w:r w:rsidR="00DD3048">
                <w:rPr>
                  <w:rStyle w:val="Hyperlink"/>
                  <w:szCs w:val="24"/>
                </w:rPr>
                <w:t>Wendezeiten von GoAhead in München</w:t>
              </w:r>
              <w:r w:rsidR="00DD3048">
                <w:rPr>
                  <w:rStyle w:val="Hyperlink"/>
                  <w:szCs w:val="24"/>
                </w:rPr>
                <w:tab/>
                <w:t>24</w:t>
              </w:r>
            </w:hyperlink>
          </w:p>
        </w:tc>
      </w:tr>
      <w:tr w:rsidR="00DD3048" w:rsidRPr="005833DD" w:rsidTr="001F3CDA">
        <w:tc>
          <w:tcPr>
            <w:tcW w:w="5000" w:type="pct"/>
          </w:tcPr>
          <w:p w:rsidR="00DD3048" w:rsidRDefault="00DD3048" w:rsidP="00DD3048">
            <w:pPr>
              <w:pStyle w:val="LTVerzDerFragenden"/>
            </w:pPr>
            <w:r>
              <w:t>Schulze, Katharina (BÜNDNIS 90/DIE GRÜNEN)</w:t>
            </w:r>
          </w:p>
        </w:tc>
      </w:tr>
      <w:tr w:rsidR="00DD3048" w:rsidRPr="005833DD" w:rsidTr="001F3CDA">
        <w:tc>
          <w:tcPr>
            <w:tcW w:w="5000" w:type="pct"/>
          </w:tcPr>
          <w:p w:rsidR="00DD3048" w:rsidRDefault="0050185D" w:rsidP="00DD3048">
            <w:pPr>
              <w:pStyle w:val="LTVerzDerFragendenFrage"/>
            </w:pPr>
            <w:hyperlink w:anchor="Frage_Nr_37" w:tooltip="Frage Nr 37" w:history="1">
              <w:r w:rsidR="00DD3048">
                <w:rPr>
                  <w:rStyle w:val="Hyperlink"/>
                  <w:szCs w:val="24"/>
                </w:rPr>
                <w:t>Wohnheim Agnes-/Adelheidstraße III</w:t>
              </w:r>
              <w:r w:rsidR="00DD3048">
                <w:rPr>
                  <w:rStyle w:val="Hyperlink"/>
                  <w:szCs w:val="24"/>
                </w:rPr>
                <w:tab/>
                <w:t>37</w:t>
              </w:r>
            </w:hyperlink>
          </w:p>
        </w:tc>
      </w:tr>
      <w:tr w:rsidR="00DD3048" w:rsidRPr="005833DD" w:rsidTr="001F3CDA">
        <w:tc>
          <w:tcPr>
            <w:tcW w:w="5000" w:type="pct"/>
          </w:tcPr>
          <w:p w:rsidR="00DD3048" w:rsidRDefault="00DD3048" w:rsidP="00DD3048">
            <w:pPr>
              <w:pStyle w:val="LTVerzDerFragenden"/>
            </w:pPr>
            <w:r>
              <w:t>Schuster, Stefan (SPD)</w:t>
            </w:r>
          </w:p>
        </w:tc>
      </w:tr>
      <w:tr w:rsidR="00DD3048" w:rsidRPr="005833DD" w:rsidTr="001F3CDA">
        <w:tc>
          <w:tcPr>
            <w:tcW w:w="5000" w:type="pct"/>
          </w:tcPr>
          <w:p w:rsidR="00DD3048" w:rsidRDefault="0050185D" w:rsidP="00DD3048">
            <w:pPr>
              <w:pStyle w:val="LTVerzDerFragendenFrage"/>
            </w:pPr>
            <w:hyperlink w:anchor="Frage_Nr_29" w:tooltip="Frage Nr 29" w:history="1">
              <w:r w:rsidR="00DD3048">
                <w:rPr>
                  <w:rStyle w:val="Hyperlink"/>
                  <w:szCs w:val="24"/>
                </w:rPr>
                <w:t>Änderung der Zuständigkeit von Berufsbeschulung im Gastro-Bereich in Mittelfranken</w:t>
              </w:r>
              <w:r w:rsidR="00DD3048">
                <w:rPr>
                  <w:rStyle w:val="Hyperlink"/>
                  <w:szCs w:val="24"/>
                </w:rPr>
                <w:tab/>
                <w:t>29</w:t>
              </w:r>
            </w:hyperlink>
          </w:p>
        </w:tc>
      </w:tr>
      <w:tr w:rsidR="00DD3048" w:rsidRPr="005833DD" w:rsidTr="001F3CDA">
        <w:tc>
          <w:tcPr>
            <w:tcW w:w="5000" w:type="pct"/>
          </w:tcPr>
          <w:p w:rsidR="00DD3048" w:rsidRDefault="00DD3048" w:rsidP="00DD3048">
            <w:pPr>
              <w:pStyle w:val="LTVerzDerFragenden"/>
            </w:pPr>
            <w:r>
              <w:t>Sengl, Gisela (BÜNDNIS 90/DIE GRÜNEN)</w:t>
            </w:r>
          </w:p>
        </w:tc>
      </w:tr>
      <w:tr w:rsidR="00DD3048" w:rsidRPr="005833DD" w:rsidTr="001F3CDA">
        <w:tc>
          <w:tcPr>
            <w:tcW w:w="5000" w:type="pct"/>
          </w:tcPr>
          <w:p w:rsidR="00DD3048" w:rsidRDefault="0050185D" w:rsidP="00DD3048">
            <w:pPr>
              <w:pStyle w:val="LTVerzDerFragendenFrage"/>
            </w:pPr>
            <w:hyperlink w:anchor="Frage_Nr_50" w:tooltip="Frage Nr 50" w:history="1">
              <w:r w:rsidR="00DD3048">
                <w:rPr>
                  <w:rStyle w:val="Hyperlink"/>
                  <w:szCs w:val="24"/>
                </w:rPr>
                <w:t>Förderung Weidehaltung</w:t>
              </w:r>
              <w:r w:rsidR="00DD3048">
                <w:rPr>
                  <w:rStyle w:val="Hyperlink"/>
                  <w:szCs w:val="24"/>
                </w:rPr>
                <w:tab/>
                <w:t>50</w:t>
              </w:r>
            </w:hyperlink>
          </w:p>
        </w:tc>
      </w:tr>
      <w:tr w:rsidR="00DD3048" w:rsidRPr="005833DD" w:rsidTr="001F3CDA">
        <w:tc>
          <w:tcPr>
            <w:tcW w:w="5000" w:type="pct"/>
          </w:tcPr>
          <w:p w:rsidR="00DD3048" w:rsidRDefault="00DD3048" w:rsidP="00DD3048">
            <w:pPr>
              <w:pStyle w:val="LTVerzDerFragenden"/>
            </w:pPr>
            <w:r>
              <w:t>Siekmann, Florian (BÜNDNIS 90/DIE GRÜNEN)</w:t>
            </w:r>
          </w:p>
        </w:tc>
      </w:tr>
      <w:tr w:rsidR="00DD3048" w:rsidRPr="005833DD" w:rsidTr="001F3CDA">
        <w:tc>
          <w:tcPr>
            <w:tcW w:w="5000" w:type="pct"/>
          </w:tcPr>
          <w:p w:rsidR="00DD3048" w:rsidRDefault="0050185D" w:rsidP="00DD3048">
            <w:pPr>
              <w:pStyle w:val="LTVerzDerFragendenFrage"/>
            </w:pPr>
            <w:hyperlink w:anchor="Frage_Nr_38" w:tooltip="Frage Nr 38" w:history="1">
              <w:r w:rsidR="00DD3048">
                <w:rPr>
                  <w:rStyle w:val="Hyperlink"/>
                  <w:szCs w:val="24"/>
                </w:rPr>
                <w:t>Wohnheim Agnes-/Adelheidstraße I</w:t>
              </w:r>
              <w:r w:rsidR="00DD3048">
                <w:rPr>
                  <w:rStyle w:val="Hyperlink"/>
                  <w:szCs w:val="24"/>
                </w:rPr>
                <w:tab/>
                <w:t>38</w:t>
              </w:r>
            </w:hyperlink>
          </w:p>
        </w:tc>
      </w:tr>
      <w:tr w:rsidR="00DD3048" w:rsidRPr="005833DD" w:rsidTr="001F3CDA">
        <w:tc>
          <w:tcPr>
            <w:tcW w:w="5000" w:type="pct"/>
          </w:tcPr>
          <w:p w:rsidR="00DD3048" w:rsidRDefault="00DD3048" w:rsidP="00DD3048">
            <w:pPr>
              <w:pStyle w:val="LTVerzDerFragenden"/>
            </w:pPr>
            <w:r>
              <w:t>Singer, Ulrich (AfD)</w:t>
            </w:r>
          </w:p>
        </w:tc>
      </w:tr>
      <w:tr w:rsidR="00DD3048" w:rsidRPr="005833DD" w:rsidTr="001F3CDA">
        <w:tc>
          <w:tcPr>
            <w:tcW w:w="5000" w:type="pct"/>
          </w:tcPr>
          <w:p w:rsidR="00DD3048" w:rsidRDefault="0050185D" w:rsidP="00DD3048">
            <w:pPr>
              <w:pStyle w:val="LTVerzDerFragendenFrage"/>
            </w:pPr>
            <w:hyperlink w:anchor="Frage_Nr_13" w:tooltip="Frage Nr 13" w:history="1">
              <w:r w:rsidR="00DD3048">
                <w:rPr>
                  <w:rStyle w:val="Hyperlink"/>
                  <w:szCs w:val="24"/>
                </w:rPr>
                <w:t>Gewalttaten von Kindern und Jugendlichen</w:t>
              </w:r>
              <w:r w:rsidR="00DD3048">
                <w:rPr>
                  <w:rStyle w:val="Hyperlink"/>
                  <w:szCs w:val="24"/>
                </w:rPr>
                <w:tab/>
                <w:t>13</w:t>
              </w:r>
            </w:hyperlink>
          </w:p>
        </w:tc>
      </w:tr>
      <w:tr w:rsidR="00DD3048" w:rsidRPr="005833DD" w:rsidTr="001F3CDA">
        <w:tc>
          <w:tcPr>
            <w:tcW w:w="5000" w:type="pct"/>
          </w:tcPr>
          <w:p w:rsidR="00DD3048" w:rsidRDefault="00DD3048" w:rsidP="00DD3048">
            <w:pPr>
              <w:pStyle w:val="LTVerzDerFragenden"/>
            </w:pPr>
            <w:r>
              <w:t>Sowa, Ursula (BÜNDNIS 90/DIE GRÜNEN)</w:t>
            </w:r>
          </w:p>
        </w:tc>
      </w:tr>
      <w:tr w:rsidR="00DD3048" w:rsidRPr="005833DD" w:rsidTr="001F3CDA">
        <w:tc>
          <w:tcPr>
            <w:tcW w:w="5000" w:type="pct"/>
          </w:tcPr>
          <w:p w:rsidR="00DD3048" w:rsidRDefault="0050185D" w:rsidP="00DD3048">
            <w:pPr>
              <w:pStyle w:val="LTVerzDerFragendenFrage"/>
            </w:pPr>
            <w:hyperlink w:anchor="Frage_Nr_44" w:tooltip="Frage Nr 44" w:history="1">
              <w:r w:rsidR="00DD3048">
                <w:rPr>
                  <w:rStyle w:val="Hyperlink"/>
                  <w:szCs w:val="24"/>
                </w:rPr>
                <w:t>Wasserstofftankstellen in Bayern</w:t>
              </w:r>
              <w:r w:rsidR="00DD3048">
                <w:rPr>
                  <w:rStyle w:val="Hyperlink"/>
                  <w:szCs w:val="24"/>
                </w:rPr>
                <w:tab/>
                <w:t>44</w:t>
              </w:r>
            </w:hyperlink>
          </w:p>
        </w:tc>
      </w:tr>
      <w:tr w:rsidR="00DD3048" w:rsidRPr="005833DD" w:rsidTr="001F3CDA">
        <w:tc>
          <w:tcPr>
            <w:tcW w:w="5000" w:type="pct"/>
          </w:tcPr>
          <w:p w:rsidR="00DD3048" w:rsidRDefault="00DD3048" w:rsidP="00DD3048">
            <w:pPr>
              <w:pStyle w:val="LTVerzDerFragenden"/>
            </w:pPr>
            <w:r>
              <w:t>Stachowitz, Diana (SPD)</w:t>
            </w:r>
          </w:p>
        </w:tc>
      </w:tr>
      <w:tr w:rsidR="00DD3048" w:rsidRPr="005833DD" w:rsidTr="001F3CDA">
        <w:tc>
          <w:tcPr>
            <w:tcW w:w="5000" w:type="pct"/>
          </w:tcPr>
          <w:p w:rsidR="00DD3048" w:rsidRDefault="0050185D" w:rsidP="00DD3048">
            <w:pPr>
              <w:pStyle w:val="LTVerzDerFragendenFrage"/>
            </w:pPr>
            <w:hyperlink w:anchor="Frage_Nr_55" w:tooltip="Frage Nr 55" w:history="1">
              <w:r w:rsidR="00DD3048">
                <w:rPr>
                  <w:rStyle w:val="Hyperlink"/>
                  <w:szCs w:val="24"/>
                </w:rPr>
                <w:t>Finanzielle Ausstattung der Betreuungsvereine und ihrer Querschnittsaufgaben in Bayern</w:t>
              </w:r>
              <w:r w:rsidR="00DD3048">
                <w:rPr>
                  <w:rStyle w:val="Hyperlink"/>
                  <w:szCs w:val="24"/>
                </w:rPr>
                <w:tab/>
                <w:t>55</w:t>
              </w:r>
            </w:hyperlink>
          </w:p>
        </w:tc>
      </w:tr>
      <w:tr w:rsidR="00DD3048" w:rsidRPr="005833DD" w:rsidTr="001F3CDA">
        <w:tc>
          <w:tcPr>
            <w:tcW w:w="5000" w:type="pct"/>
          </w:tcPr>
          <w:p w:rsidR="00DD3048" w:rsidRDefault="00DD3048" w:rsidP="00DD3048">
            <w:pPr>
              <w:pStyle w:val="LTVerzDerFragenden"/>
            </w:pPr>
            <w:r>
              <w:t>Steinberger, Rosi (BÜNDNIS 90/DIE GRÜNEN)</w:t>
            </w:r>
          </w:p>
        </w:tc>
      </w:tr>
      <w:tr w:rsidR="00DD3048" w:rsidRPr="005833DD" w:rsidTr="001F3CDA">
        <w:tc>
          <w:tcPr>
            <w:tcW w:w="5000" w:type="pct"/>
          </w:tcPr>
          <w:p w:rsidR="00DD3048" w:rsidRDefault="0050185D" w:rsidP="00DD3048">
            <w:pPr>
              <w:pStyle w:val="LTVerzDerFragendenFrage"/>
            </w:pPr>
            <w:hyperlink w:anchor="Frage_Nr_51" w:tooltip="Frage Nr 51" w:history="1">
              <w:r w:rsidR="00DD3048">
                <w:rPr>
                  <w:rStyle w:val="Hyperlink"/>
                  <w:szCs w:val="24"/>
                </w:rPr>
                <w:t>Wasser- und Wildlebensraumberatung in Bayern</w:t>
              </w:r>
              <w:r w:rsidR="00DD3048">
                <w:rPr>
                  <w:rStyle w:val="Hyperlink"/>
                  <w:szCs w:val="24"/>
                </w:rPr>
                <w:tab/>
                <w:t>51</w:t>
              </w:r>
            </w:hyperlink>
          </w:p>
        </w:tc>
      </w:tr>
      <w:tr w:rsidR="00DD3048" w:rsidRPr="005833DD" w:rsidTr="001F3CDA">
        <w:tc>
          <w:tcPr>
            <w:tcW w:w="5000" w:type="pct"/>
          </w:tcPr>
          <w:p w:rsidR="00DD3048" w:rsidRDefault="00DD3048" w:rsidP="00DD3048">
            <w:pPr>
              <w:pStyle w:val="LTVerzDerFragenden"/>
            </w:pPr>
            <w:r>
              <w:t>Dr. Strohmayr, Simone (SPD)</w:t>
            </w:r>
          </w:p>
        </w:tc>
      </w:tr>
      <w:tr w:rsidR="00DD3048" w:rsidRPr="005833DD" w:rsidTr="001F3CDA">
        <w:tc>
          <w:tcPr>
            <w:tcW w:w="5000" w:type="pct"/>
          </w:tcPr>
          <w:p w:rsidR="00DD3048" w:rsidRDefault="0050185D" w:rsidP="00DD3048">
            <w:pPr>
              <w:pStyle w:val="LTVerzDerFragendenFrage"/>
            </w:pPr>
            <w:hyperlink w:anchor="Frage_Nr_30" w:tooltip="Frage Nr 30" w:history="1">
              <w:r w:rsidR="00DD3048">
                <w:rPr>
                  <w:rStyle w:val="Hyperlink"/>
                  <w:szCs w:val="24"/>
                </w:rPr>
                <w:t>Schülerinnen und Schüler ohne Mittelschulabschluss</w:t>
              </w:r>
              <w:r w:rsidR="00DD3048">
                <w:rPr>
                  <w:rStyle w:val="Hyperlink"/>
                  <w:szCs w:val="24"/>
                </w:rPr>
                <w:tab/>
                <w:t>30</w:t>
              </w:r>
            </w:hyperlink>
          </w:p>
        </w:tc>
      </w:tr>
      <w:tr w:rsidR="00DD3048" w:rsidRPr="005833DD" w:rsidTr="001F3CDA">
        <w:tc>
          <w:tcPr>
            <w:tcW w:w="5000" w:type="pct"/>
          </w:tcPr>
          <w:p w:rsidR="00DD3048" w:rsidRDefault="00DD3048" w:rsidP="00DD3048">
            <w:pPr>
              <w:pStyle w:val="LTVerzDerFragenden"/>
            </w:pPr>
            <w:r>
              <w:t>Stümpfig, Martin (BÜNDNIS 90/DIE GRÜNEN)</w:t>
            </w:r>
          </w:p>
        </w:tc>
      </w:tr>
      <w:tr w:rsidR="00DD3048" w:rsidRPr="005833DD" w:rsidTr="001F3CDA">
        <w:tc>
          <w:tcPr>
            <w:tcW w:w="5000" w:type="pct"/>
          </w:tcPr>
          <w:p w:rsidR="00DD3048" w:rsidRDefault="0050185D" w:rsidP="00DD3048">
            <w:pPr>
              <w:pStyle w:val="LTVerzDerFragendenFrage"/>
            </w:pPr>
            <w:hyperlink w:anchor="Frage_Nr_45" w:tooltip="Frage Nr 45" w:history="1">
              <w:r w:rsidR="00DD3048">
                <w:rPr>
                  <w:rStyle w:val="Hyperlink"/>
                  <w:szCs w:val="24"/>
                </w:rPr>
                <w:t>Genehmigungsdauer von Windrädern in Bayern</w:t>
              </w:r>
              <w:r w:rsidR="00DD3048">
                <w:rPr>
                  <w:rStyle w:val="Hyperlink"/>
                  <w:szCs w:val="24"/>
                </w:rPr>
                <w:tab/>
                <w:t>45</w:t>
              </w:r>
            </w:hyperlink>
          </w:p>
        </w:tc>
      </w:tr>
      <w:tr w:rsidR="00DD3048" w:rsidRPr="005833DD" w:rsidTr="001F3CDA">
        <w:tc>
          <w:tcPr>
            <w:tcW w:w="5000" w:type="pct"/>
          </w:tcPr>
          <w:p w:rsidR="00DD3048" w:rsidRDefault="00DD3048" w:rsidP="00D84EBE">
            <w:pPr>
              <w:pStyle w:val="LTVerzDerFragenden"/>
            </w:pPr>
            <w:r>
              <w:t>Ta</w:t>
            </w:r>
            <w:r w:rsidR="00D84EBE">
              <w:rPr>
                <w:rFonts w:cs="Arial"/>
              </w:rPr>
              <w:t>ş</w:t>
            </w:r>
            <w:r>
              <w:t>delen, Arif (SPD)</w:t>
            </w:r>
          </w:p>
        </w:tc>
      </w:tr>
      <w:tr w:rsidR="00DD3048" w:rsidRPr="005833DD" w:rsidTr="001F3CDA">
        <w:tc>
          <w:tcPr>
            <w:tcW w:w="5000" w:type="pct"/>
          </w:tcPr>
          <w:p w:rsidR="00DD3048" w:rsidRDefault="0050185D" w:rsidP="00DD3048">
            <w:pPr>
              <w:pStyle w:val="LTVerzDerFragendenFrage"/>
            </w:pPr>
            <w:hyperlink w:anchor="Frage_Nr_14" w:tooltip="Frage Nr 14" w:history="1">
              <w:r w:rsidR="00DD3048">
                <w:rPr>
                  <w:rStyle w:val="Hyperlink"/>
                  <w:szCs w:val="24"/>
                </w:rPr>
                <w:t>Verlangen der Reueerklärung für eritreische Staatsbürger</w:t>
              </w:r>
              <w:r w:rsidR="00DD3048">
                <w:rPr>
                  <w:rStyle w:val="Hyperlink"/>
                  <w:szCs w:val="24"/>
                </w:rPr>
                <w:tab/>
                <w:t>14</w:t>
              </w:r>
            </w:hyperlink>
          </w:p>
        </w:tc>
      </w:tr>
      <w:tr w:rsidR="00DD3048" w:rsidRPr="005833DD" w:rsidTr="001F3CDA">
        <w:tc>
          <w:tcPr>
            <w:tcW w:w="5000" w:type="pct"/>
          </w:tcPr>
          <w:p w:rsidR="00DD3048" w:rsidRDefault="00DD3048" w:rsidP="00DD3048">
            <w:pPr>
              <w:pStyle w:val="LTVerzDerFragenden"/>
            </w:pPr>
            <w:r>
              <w:t>Triebel, Gabriele (BÜNDNIS 90/DIE GRÜNEN)</w:t>
            </w:r>
          </w:p>
        </w:tc>
      </w:tr>
      <w:tr w:rsidR="00DD3048" w:rsidRPr="005833DD" w:rsidTr="001F3CDA">
        <w:tc>
          <w:tcPr>
            <w:tcW w:w="5000" w:type="pct"/>
          </w:tcPr>
          <w:p w:rsidR="00DD3048" w:rsidRDefault="0050185D" w:rsidP="00DD3048">
            <w:pPr>
              <w:pStyle w:val="LTVerzDerFragendenFrage"/>
            </w:pPr>
            <w:hyperlink w:anchor="Frage_Nr_56" w:tooltip="Frage Nr 56" w:history="1">
              <w:r w:rsidR="00DD3048">
                <w:rPr>
                  <w:rStyle w:val="Hyperlink"/>
                  <w:szCs w:val="24"/>
                </w:rPr>
                <w:t>Fördermittel Ganztagsausbau</w:t>
              </w:r>
              <w:r w:rsidR="00DD3048">
                <w:rPr>
                  <w:rStyle w:val="Hyperlink"/>
                  <w:szCs w:val="24"/>
                </w:rPr>
                <w:tab/>
                <w:t>56</w:t>
              </w:r>
            </w:hyperlink>
          </w:p>
        </w:tc>
      </w:tr>
      <w:tr w:rsidR="00DD3048" w:rsidRPr="005833DD" w:rsidTr="001F3CDA">
        <w:tc>
          <w:tcPr>
            <w:tcW w:w="5000" w:type="pct"/>
          </w:tcPr>
          <w:p w:rsidR="00DD3048" w:rsidRDefault="00DD3048" w:rsidP="00DD3048">
            <w:pPr>
              <w:pStyle w:val="LTVerzDerFragenden"/>
            </w:pPr>
            <w:r>
              <w:t>Dr. Weigand, Sabine (BÜNDNIS 90/DIE GRÜNEN)</w:t>
            </w:r>
          </w:p>
        </w:tc>
      </w:tr>
      <w:tr w:rsidR="00DD3048" w:rsidRPr="005833DD" w:rsidTr="001F3CDA">
        <w:tc>
          <w:tcPr>
            <w:tcW w:w="5000" w:type="pct"/>
          </w:tcPr>
          <w:p w:rsidR="00DD3048" w:rsidRDefault="0050185D" w:rsidP="00DD3048">
            <w:pPr>
              <w:pStyle w:val="LTVerzDerFragendenFrage"/>
            </w:pPr>
            <w:hyperlink w:anchor="Frage_Nr_31" w:tooltip="Frage Nr 31" w:history="1">
              <w:r w:rsidR="00DD3048">
                <w:rPr>
                  <w:rStyle w:val="Hyperlink"/>
                  <w:szCs w:val="24"/>
                </w:rPr>
                <w:t>Fördermöglichkeiten für Kommunen bei baulichen Erweiterungen von bestehenden weiterführenden Schulen</w:t>
              </w:r>
              <w:r w:rsidR="00DD3048">
                <w:rPr>
                  <w:rStyle w:val="Hyperlink"/>
                  <w:szCs w:val="24"/>
                </w:rPr>
                <w:tab/>
                <w:t>31</w:t>
              </w:r>
            </w:hyperlink>
          </w:p>
        </w:tc>
      </w:tr>
      <w:tr w:rsidR="00DD3048" w:rsidRPr="005833DD" w:rsidTr="001F3CDA">
        <w:tc>
          <w:tcPr>
            <w:tcW w:w="5000" w:type="pct"/>
          </w:tcPr>
          <w:p w:rsidR="00DD3048" w:rsidRDefault="00DD3048" w:rsidP="00DD3048">
            <w:pPr>
              <w:pStyle w:val="LTVerzDerFragenden"/>
            </w:pPr>
            <w:r>
              <w:t>Winhart, Andreas (AfD)</w:t>
            </w:r>
          </w:p>
        </w:tc>
      </w:tr>
      <w:tr w:rsidR="00DD3048" w:rsidRPr="005833DD" w:rsidTr="001F3CDA">
        <w:tc>
          <w:tcPr>
            <w:tcW w:w="5000" w:type="pct"/>
          </w:tcPr>
          <w:p w:rsidR="00DD3048" w:rsidRDefault="0050185D" w:rsidP="00DD3048">
            <w:pPr>
              <w:pStyle w:val="LTVerzDerFragendenFrage"/>
            </w:pPr>
            <w:hyperlink w:anchor="Frage_Nr_59" w:tooltip="Frage Nr 59" w:history="1">
              <w:r w:rsidR="00DD3048">
                <w:rPr>
                  <w:rStyle w:val="Hyperlink"/>
                  <w:szCs w:val="24"/>
                </w:rPr>
                <w:t>Todesfälle in Bayern</w:t>
              </w:r>
              <w:r w:rsidR="00DD3048">
                <w:rPr>
                  <w:rStyle w:val="Hyperlink"/>
                  <w:szCs w:val="24"/>
                </w:rPr>
                <w:tab/>
                <w:t>59</w:t>
              </w:r>
            </w:hyperlink>
          </w:p>
        </w:tc>
      </w:tr>
      <w:tr w:rsidR="00DD3048" w:rsidRPr="005833DD" w:rsidTr="001F3CDA">
        <w:tc>
          <w:tcPr>
            <w:tcW w:w="5000" w:type="pct"/>
          </w:tcPr>
          <w:p w:rsidR="00DD3048" w:rsidRDefault="00DD3048" w:rsidP="00DD3048">
            <w:pPr>
              <w:pStyle w:val="LTVerzDerFragenden"/>
            </w:pPr>
            <w:r>
              <w:t>Zwanziger, Christian (BÜNDNIS 90/DIE GRÜNEN)</w:t>
            </w:r>
          </w:p>
        </w:tc>
      </w:tr>
      <w:tr w:rsidR="00DD3048" w:rsidRPr="005833DD" w:rsidTr="001F3CDA">
        <w:tc>
          <w:tcPr>
            <w:tcW w:w="5000" w:type="pct"/>
          </w:tcPr>
          <w:p w:rsidR="00DD3048" w:rsidRDefault="0050185D" w:rsidP="00DD3048">
            <w:pPr>
              <w:pStyle w:val="LTVerzDerFragendenFrage"/>
            </w:pPr>
            <w:hyperlink w:anchor="Frage_Nr_25" w:tooltip="Frage Nr 25" w:history="1">
              <w:r w:rsidR="00DD3048">
                <w:rPr>
                  <w:rStyle w:val="Hyperlink"/>
                  <w:szCs w:val="24"/>
                </w:rPr>
                <w:t>Sonderfond</w:t>
              </w:r>
              <w:r w:rsidR="00DD3048">
                <w:rPr>
                  <w:rStyle w:val="Hyperlink"/>
                  <w:szCs w:val="24"/>
                </w:rPr>
                <w:tab/>
                <w:t>25</w:t>
              </w:r>
            </w:hyperlink>
          </w:p>
        </w:tc>
      </w:tr>
    </w:tbl>
    <w:p w:rsidR="00A5482B" w:rsidRDefault="00A5482B" w:rsidP="008C3EAF">
      <w:pPr>
        <w:pStyle w:val="LTAnfrageText"/>
      </w:pPr>
    </w:p>
    <w:p w:rsidR="001F3CDA" w:rsidRPr="008C3EAF" w:rsidRDefault="001F3CDA" w:rsidP="008C3EAF">
      <w:pPr>
        <w:pStyle w:val="LTAnfrageText"/>
        <w:sectPr w:rsidR="001F3CDA" w:rsidRPr="008C3EAF" w:rsidSect="00F00864">
          <w:headerReference w:type="even" r:id="rId8"/>
          <w:headerReference w:type="default" r:id="rId9"/>
          <w:footerReference w:type="default" r:id="rId10"/>
          <w:headerReference w:type="first" r:id="rId11"/>
          <w:footerReference w:type="first" r:id="rId12"/>
          <w:pgSz w:w="11906" w:h="16838" w:code="9"/>
          <w:pgMar w:top="1418" w:right="2126" w:bottom="964" w:left="2126" w:header="1418" w:footer="567" w:gutter="0"/>
          <w:pgNumType w:fmt="upperRoman"/>
          <w:cols w:space="708"/>
          <w:titlePg/>
          <w:docGrid w:linePitch="360"/>
        </w:sectPr>
      </w:pPr>
    </w:p>
    <w:p w:rsidR="00BB3E7A" w:rsidRDefault="00DD3048" w:rsidP="00DD3048">
      <w:pPr>
        <w:pStyle w:val="LTUeberschrRessort"/>
      </w:pPr>
      <w:bookmarkStart w:id="2" w:name="FragenNachGeschBereichen"/>
      <w:bookmarkEnd w:id="2"/>
      <w:r>
        <w:lastRenderedPageBreak/>
        <w:t>Geschäftsbereich der Staatskanzlei</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7"/>
        <w:gridCol w:w="5789"/>
      </w:tblGrid>
      <w:tr w:rsidR="00DD3048" w:rsidTr="007B0B33">
        <w:tc>
          <w:tcPr>
            <w:tcW w:w="2050" w:type="dxa"/>
          </w:tcPr>
          <w:p w:rsidR="00DD3048" w:rsidRDefault="00DD3048" w:rsidP="00DD3048">
            <w:pPr>
              <w:pStyle w:val="LTAnfrageInitiator"/>
            </w:pPr>
            <w:r>
              <w:t>Abgeordneter</w:t>
            </w:r>
            <w:r>
              <w:rPr>
                <w:b/>
              </w:rPr>
              <w:br/>
              <w:t>Prof. Dr. Ingo</w:t>
            </w:r>
            <w:r>
              <w:rPr>
                <w:b/>
              </w:rPr>
              <w:br/>
              <w:t>Hahn</w:t>
            </w:r>
            <w:r>
              <w:rPr>
                <w:b/>
              </w:rPr>
              <w:br/>
            </w:r>
            <w:r>
              <w:t>(AfD)</w:t>
            </w:r>
            <w:bookmarkStart w:id="3" w:name="Frage_Nr_1"/>
            <w:bookmarkEnd w:id="3"/>
          </w:p>
        </w:tc>
        <w:tc>
          <w:tcPr>
            <w:tcW w:w="7200" w:type="dxa"/>
          </w:tcPr>
          <w:p w:rsidR="00DD3048" w:rsidRDefault="00EF49BF" w:rsidP="00507330">
            <w:pPr>
              <w:pStyle w:val="LTAnfrageText"/>
            </w:pPr>
            <w:r w:rsidRPr="00EF49BF">
              <w:t>Ich frage die Staatsregierung, ob sie sich auf allen politischen Ebenen für die Einstellung des Jugendsenders „funk“ einsetzen wird, nachdem der Parlamentarische Geschäftsführer der CSU-Landesgruppe im Deutschen Bundestag, Stefan Müller, in einem Interview vor wenigen Tagen eine Einstellung genau jenen Senders gefordert hat, wie die Staatsregierung die gebotene weltanschauliche und politische Mäßigung des Jugendsenders „funk“ einschätzt, wenn nachweislich Sendungen wie „Zoophilie – Sex mit Tieren“ oder „Real-Life Vampire, eine Menschenblut trinkende Szene“ dort gesendet werden und da „funk“ nach eigenen Angaben Menschen zwischen 14 und 29 Jahren erreichen will, um die „Lebenswirklichkeit und die Interessen junger Menschen abzubilden”, sieht die Staatsregierung durch das bisherige Sendungsangebot hier einen Konflikt mit dem Jugendschutzgesetz?</w:t>
            </w:r>
          </w:p>
        </w:tc>
      </w:tr>
    </w:tbl>
    <w:p w:rsidR="00DD3048" w:rsidRDefault="00DD3048" w:rsidP="00DD3048">
      <w:pPr>
        <w:pStyle w:val="LTUeberschrAntwortRessort"/>
      </w:pPr>
      <w:r>
        <w:t>Antwort der Staatskanzlei</w:t>
      </w:r>
    </w:p>
    <w:p w:rsidR="00DD3048" w:rsidRDefault="00DD3048" w:rsidP="00DD3048">
      <w:pPr>
        <w:pStyle w:val="LTAntwortRessortText"/>
      </w:pPr>
      <w:r>
        <w:t>Presse- und Rundfunkfreiheit sind wesentliche Pfeiler unserer freiheitlich-demokratischen Grundordnung. Die Grenzen der grundsätzlich den öffentlich-rechtlichen Rundfunkanstalten obliegenden Programmgestaltung sind insbesondere im Medienstaatsvertrag (MStV) sowie speziell zum Schutz von Kindern und Jugendlichen im Jugendmedienschutz</w:t>
      </w:r>
      <w:r w:rsidR="005673E1">
        <w:t>-S</w:t>
      </w:r>
      <w:r>
        <w:t>taatsvertrag (JMStV) geregelt. Zuständig für die Kontrolle der Einhaltung der Programmgrundsätze sowie für die Behandlung von Programmbeschwerden sind die jeweiligen Rundfunkräte bzw. beim ZDF der Fernsehrat.</w:t>
      </w:r>
    </w:p>
    <w:p w:rsidR="00DD3048" w:rsidRDefault="00DD3048">
      <w:bookmarkStart w:id="4" w:name="Frage_Nr_1_Ende"/>
      <w:bookmarkEnd w:id="4"/>
      <w:r>
        <w:br w:type="page"/>
      </w:r>
    </w:p>
    <w:p w:rsidR="00DD3048" w:rsidRDefault="00DD3048" w:rsidP="00DD3048">
      <w:pPr>
        <w:pStyle w:val="LTUeberschrRessort"/>
      </w:pPr>
      <w:r>
        <w:lastRenderedPageBreak/>
        <w:t xml:space="preserve">Geschäftsbereich des Staatsministeriums des Innern, für Sport und </w:t>
      </w:r>
      <w:r w:rsidR="00507330">
        <w:br/>
      </w:r>
      <w:r>
        <w:t>Integration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6"/>
        <w:gridCol w:w="5760"/>
      </w:tblGrid>
      <w:tr w:rsidR="00DD3048" w:rsidTr="007B0B33">
        <w:tc>
          <w:tcPr>
            <w:tcW w:w="2050" w:type="dxa"/>
          </w:tcPr>
          <w:p w:rsidR="00DD3048" w:rsidRDefault="00DD3048" w:rsidP="00DD3048">
            <w:pPr>
              <w:pStyle w:val="LTAnfrageInitiator"/>
            </w:pPr>
            <w:r>
              <w:t>Abgeordneter</w:t>
            </w:r>
            <w:r>
              <w:rPr>
                <w:b/>
              </w:rPr>
              <w:br/>
              <w:t>Horst</w:t>
            </w:r>
            <w:r>
              <w:rPr>
                <w:b/>
              </w:rPr>
              <w:br/>
              <w:t>Arnold</w:t>
            </w:r>
            <w:r>
              <w:rPr>
                <w:b/>
              </w:rPr>
              <w:br/>
            </w:r>
            <w:r>
              <w:t>(SPD)</w:t>
            </w:r>
            <w:bookmarkStart w:id="5" w:name="Frage_Nr_2"/>
            <w:bookmarkEnd w:id="5"/>
          </w:p>
        </w:tc>
        <w:tc>
          <w:tcPr>
            <w:tcW w:w="7200" w:type="dxa"/>
          </w:tcPr>
          <w:p w:rsidR="00DD3048" w:rsidRDefault="00622F33" w:rsidP="00DD3048">
            <w:pPr>
              <w:pStyle w:val="LTAnfrageText"/>
            </w:pPr>
            <w:r w:rsidRPr="00622F33">
              <w:t>Ich frage die Staatsregierung, inwieweit wurden VeRa und Palantir auf der letzten Bundesinnenministerkonferenz thematisiert (bitte mit Angabe des Inhaltes, dem Ziel und des/der Initiatoren) und welche chronologischen Stellungnahmen der Ministerien (Bund und Länder) wurden mit welchen mittelbaren und unmittelbaren Folgen auf die Vertragslage zwischen dem Freistaat Bayern und der Firma Palantir hinsichtlich der laufenden und bisher angefallenen Kosten sowie der tatsächlichen Umsetzung des Projekts in der bundesrepublikanischen polizeilichen Praxis dazu abgegeben?</w:t>
            </w:r>
          </w:p>
        </w:tc>
      </w:tr>
    </w:tbl>
    <w:p w:rsidR="00DD3048" w:rsidRDefault="00DD3048" w:rsidP="00DD3048">
      <w:pPr>
        <w:pStyle w:val="LTUeberschrAntwortRessort"/>
      </w:pPr>
      <w:r>
        <w:t>Antwort des Staatsministeriums des Innern, für Sport und Integration</w:t>
      </w:r>
    </w:p>
    <w:p w:rsidR="00DD3048" w:rsidRDefault="00DD3048" w:rsidP="00DD3048">
      <w:pPr>
        <w:pStyle w:val="LTAntwortRessortText"/>
      </w:pPr>
      <w:r>
        <w:t xml:space="preserve">Der 219. Sitzung der Ständigen Konferenz der Innenminister und -senatoren der Länder (IMK) vom 14. bis 16.06.2023 in Berlin lag zum Thema der </w:t>
      </w:r>
      <w:r w:rsidR="00622F33">
        <w:t>„</w:t>
      </w:r>
      <w:r>
        <w:t xml:space="preserve">Verbesserung der Analysefähigkeit der Polizeien des Bundes und der Länder </w:t>
      </w:r>
      <w:r w:rsidR="00622F33">
        <w:t>–</w:t>
      </w:r>
      <w:r>
        <w:t xml:space="preserve"> Abruf der Verfahrensübergreifenden Recherche- und Analyseplattform </w:t>
      </w:r>
      <w:r w:rsidR="00622F33">
        <w:rPr>
          <w:rFonts w:cs="Arial"/>
        </w:rPr>
        <w:t>‚</w:t>
      </w:r>
      <w:r>
        <w:t>VeRA</w:t>
      </w:r>
      <w:r w:rsidR="00622F33">
        <w:rPr>
          <w:rFonts w:cs="Arial"/>
        </w:rPr>
        <w:t>‘</w:t>
      </w:r>
      <w:r w:rsidR="00622F33">
        <w:t>“</w:t>
      </w:r>
      <w:r>
        <w:t xml:space="preserve"> ein Beschlussvorschlag vor, bei dem u.</w:t>
      </w:r>
      <w:r w:rsidR="00622F33">
        <w:t> </w:t>
      </w:r>
      <w:r>
        <w:t>a. Bayern Mitantragsteller war.</w:t>
      </w:r>
    </w:p>
    <w:p w:rsidR="00DD3048" w:rsidRDefault="00DD3048" w:rsidP="00DD3048">
      <w:pPr>
        <w:pStyle w:val="LTAntwortRessortText"/>
      </w:pPr>
      <w:r>
        <w:t xml:space="preserve">Nach diesem Beschlussvorschlag sollte die IMK feststellen, dass die Nutzung von Analyseplattformen zur Bekämpfung der schweren und organisierten Kriminalität durch die Ermöglichung einer zielgerichteten Datenanalyse einen wichtigen Beitrag zur effektiven Gefahrenabwehr und Strafverfolgung leistet. Die IMK sollte vor diesem Hintergrund unterstreichen, dass ein dringender polizeilicher Bedarf für die Implementierung entsprechender Plattformen bestehe. Bund und Länder hätten sich auf eine gemeinsame Beschaffung verständigt, welche mit der verfahrensübergreifenden Recherche- und Analyseplattform </w:t>
      </w:r>
      <w:r w:rsidR="00E845C2">
        <w:t>„</w:t>
      </w:r>
      <w:r>
        <w:t>VeRA</w:t>
      </w:r>
      <w:r w:rsidR="00E845C2">
        <w:t>“</w:t>
      </w:r>
      <w:r>
        <w:t xml:space="preserve"> umgesetzt worden sei. Die IMK sollte insoweit den unverzüglichen Abruf der Plattform </w:t>
      </w:r>
      <w:r w:rsidR="00E845C2">
        <w:t>„</w:t>
      </w:r>
      <w:r>
        <w:t>VeRA</w:t>
      </w:r>
      <w:r w:rsidR="00E845C2">
        <w:t>“</w:t>
      </w:r>
      <w:r>
        <w:t xml:space="preserve"> für die wirtschaftlichste und effizienteste Lösung halten, um vertrags- und haushaltskonform gemeinsame Standards umzusetzen.</w:t>
      </w:r>
    </w:p>
    <w:p w:rsidR="00DD3048" w:rsidRDefault="00DD3048" w:rsidP="00DD3048">
      <w:pPr>
        <w:pStyle w:val="LTAntwortRessortText"/>
      </w:pPr>
      <w:r>
        <w:t>Das Thema wurde im Rahmen der Sitzung erörtert. Ein Beschluss hierzu wurde nicht gefasst. Für die Beschlussfassung der IMK gilt das Einstimmigkeitsprinzip, sodass ein Beschluss nicht</w:t>
      </w:r>
      <w:r w:rsidR="00622F33">
        <w:t xml:space="preserve"> </w:t>
      </w:r>
      <w:r>
        <w:t>zustande kommt, sobald nur eines der Mitglieder diesen nicht unterstützt. Zu der jeweiligen Haltung anderer Länder kann keine Auskunft erteilt werden.</w:t>
      </w:r>
    </w:p>
    <w:p w:rsidR="00DD3048" w:rsidRDefault="00DD3048">
      <w:bookmarkStart w:id="6" w:name="Frage_Nr_2_Ende"/>
      <w:bookmarkEnd w:id="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2"/>
        <w:gridCol w:w="5774"/>
      </w:tblGrid>
      <w:tr w:rsidR="00DD3048" w:rsidTr="007B0B33">
        <w:tc>
          <w:tcPr>
            <w:tcW w:w="2050" w:type="dxa"/>
          </w:tcPr>
          <w:p w:rsidR="00DD3048" w:rsidRDefault="00DD3048" w:rsidP="00DD3048">
            <w:pPr>
              <w:pStyle w:val="LTAnfrageInitiator"/>
            </w:pPr>
            <w:r>
              <w:lastRenderedPageBreak/>
              <w:t>Abgeordneter</w:t>
            </w:r>
            <w:r>
              <w:rPr>
                <w:b/>
              </w:rPr>
              <w:br/>
              <w:t>Martin</w:t>
            </w:r>
            <w:r>
              <w:rPr>
                <w:b/>
              </w:rPr>
              <w:br/>
              <w:t>Böhm</w:t>
            </w:r>
            <w:r>
              <w:rPr>
                <w:b/>
              </w:rPr>
              <w:br/>
            </w:r>
            <w:r>
              <w:t>(AfD)</w:t>
            </w:r>
            <w:bookmarkStart w:id="7" w:name="Frage_Nr_3"/>
            <w:bookmarkEnd w:id="7"/>
          </w:p>
        </w:tc>
        <w:tc>
          <w:tcPr>
            <w:tcW w:w="7200" w:type="dxa"/>
          </w:tcPr>
          <w:p w:rsidR="00DD3048" w:rsidRDefault="00E845C2" w:rsidP="00DD3048">
            <w:pPr>
              <w:pStyle w:val="LTAnfrageText"/>
            </w:pPr>
            <w:r w:rsidRPr="00E845C2">
              <w:t>Ich frage die Staatsregierung, wie viele Vergewaltigungsfälle in Bayern im Jahr 2022 gemeldet wurden (bitte die Tatverdächtigen nach Staatsangehörigkeit unterteilen), welche Maßnahmen Bayern ergreift, um Opfer von Vergewaltigung zu unterstützen und welche Maßnahmen Bayern ergreift, um Frauen vor Vergewaltigung ( besonders im öffentlichen Raum) zu schützen?</w:t>
            </w:r>
          </w:p>
        </w:tc>
      </w:tr>
    </w:tbl>
    <w:p w:rsidR="00DD3048" w:rsidRDefault="00DD3048" w:rsidP="00DD3048">
      <w:pPr>
        <w:pStyle w:val="LTUeberschrAntwortRessort"/>
      </w:pPr>
      <w:r>
        <w:t>Antwort des Staatsministeriums des Innern, für Sport und Integration</w:t>
      </w:r>
    </w:p>
    <w:p w:rsidR="00DD3048" w:rsidRDefault="00DD3048" w:rsidP="00DD3048">
      <w:pPr>
        <w:pStyle w:val="LTAntwortRessortText"/>
      </w:pPr>
      <w:r>
        <w:t>Die Beantwortung der ersten Teilfrage erfolgt auf Basis der nach bundeseinheitlichen Richtlinien geführten Polizeilichen Kriminalstatistik (PKS). Diese Statistik enthält die der Bayerischen Polizei bekannt gewordenen Straftaten zum Zeitpunkt</w:t>
      </w:r>
      <w:r w:rsidR="00112920">
        <w:t xml:space="preserve"> der Abgabe an die Staatsanwalt</w:t>
      </w:r>
      <w:r>
        <w:t>schaft. In Bayern wurden im Berichtsjahr 2022 insgesamt 1</w:t>
      </w:r>
      <w:r w:rsidR="00112920">
        <w:t> 561 Fälle von Vergewaltigung er</w:t>
      </w:r>
      <w:r>
        <w:t>fasst.</w:t>
      </w:r>
    </w:p>
    <w:p w:rsidR="00DD3048" w:rsidRDefault="00DD3048" w:rsidP="00DD3048">
      <w:pPr>
        <w:pStyle w:val="LTAntwortRessortText"/>
      </w:pPr>
      <w:r>
        <w:t>Eine Untergliederung der Tatverdächtigen nach Staatsangehörigkeit war in der zur Verfügung stehenden Zeit nicht möglich.</w:t>
      </w:r>
    </w:p>
    <w:p w:rsidR="00DD3048" w:rsidRDefault="00DD3048" w:rsidP="00DD3048">
      <w:pPr>
        <w:pStyle w:val="LTAntwortRessortText"/>
      </w:pPr>
      <w:r>
        <w:t>In Bayern sind bei allen Polizeipräsidien die sog. Beauftragten der Polizei für Kriminalitätsopfer (BPfK) eingerichtet. Diese bieten eine am Einzelfall orientierte, aktive Opferhilfe an. Die Beauftragten informieren über den konkreten Ablauf eines Ermittlungs- und Strafverfahrens, vermitteln in örtliche bzw. spezifische Beratungs- und Hilfeeinrichtungen weiter und geben individuelle, verhaltensorientierte Präventionshinweise. Zudem hat die Bayerische Polizei flächendeckend kriminalpolizeiliche Beratungsstellen etabliert. Hier stehen den Opfern von Straftaten und deren Angehörigen und Unterstützern speziell geschulte Polizeibeamte mit Rat und Tat zur Seite. Gleiches gilt in diesem Bereich für die sog. Jugend- und Schulverbindungsbeam-ten.</w:t>
      </w:r>
    </w:p>
    <w:p w:rsidR="00DD3048" w:rsidRDefault="00DD3048" w:rsidP="00DD3048">
      <w:pPr>
        <w:pStyle w:val="LTAntwortRessortText"/>
      </w:pPr>
      <w:r>
        <w:t xml:space="preserve">Die polizeilichen Ermittlungen bei Vergewaltigungen erfolgen gemäß dem Rahmenkatalog des Staatsministeriums des Innern, für Sport und Integration durch qualifizierte Beamte der Kriminalpolizei. Neben den kriminalpolizeilichen Ermittlungen leisten die Beamten Opferunterstützung sowie einen Beitrag zur Kriminalprävention. Geregelt sind diese zu treffenden Maßnahmen insbesondere in der bayernweiten </w:t>
      </w:r>
      <w:r w:rsidR="00112920">
        <w:t>„</w:t>
      </w:r>
      <w:r>
        <w:t>Rahmenkonzeption zur Bekämpfung von Straftaten gegen die sexuelle Selbstbestimmung</w:t>
      </w:r>
      <w:r w:rsidR="00112920">
        <w:t>“ sowie in der bayernweiten „</w:t>
      </w:r>
      <w:r>
        <w:t>Rahmenkonzeption Operativer Opferschutz</w:t>
      </w:r>
      <w:r w:rsidR="00112920">
        <w:t>“</w:t>
      </w:r>
      <w:r>
        <w:t xml:space="preserve">. Dem Opfer werden zeitnah entsprechende Unterlagen übergeben bzw. Hilfsangebote dargestellt, beispielsweise in Form des Merkblatts </w:t>
      </w:r>
      <w:r w:rsidR="00112920">
        <w:t>„</w:t>
      </w:r>
      <w:r>
        <w:t>Rechte von Verletzten und Geschädigten im Strafverfahren</w:t>
      </w:r>
      <w:r w:rsidR="00112920">
        <w:t>“</w:t>
      </w:r>
      <w:r>
        <w:t xml:space="preserve"> sowie des Merkblatts </w:t>
      </w:r>
      <w:r w:rsidR="00112920">
        <w:t>„</w:t>
      </w:r>
      <w:r>
        <w:t>Opferentschädigungsgesetz</w:t>
      </w:r>
      <w:r w:rsidR="00112920">
        <w:t>“</w:t>
      </w:r>
      <w:r>
        <w:t>. Im Übrigen sind alle Polizeibeamtinnen und -beamten in Bayern entsprechend geschult, sodass sie in der Lage sind, mit Opfern von Sexual- und Gewalterfahrungen professionell umzugehen und diese bei der Anzeigenerstattung zu unterstützen bzw. über g</w:t>
      </w:r>
      <w:r w:rsidR="00112920">
        <w:t>eeignete Hilfsangebote zu infor</w:t>
      </w:r>
      <w:r>
        <w:t>mieren.</w:t>
      </w:r>
    </w:p>
    <w:p w:rsidR="00DD3048" w:rsidRDefault="00DD3048" w:rsidP="00DD3048">
      <w:pPr>
        <w:pStyle w:val="LTAntwortRessortText"/>
      </w:pPr>
      <w:r>
        <w:t>In Bayern gibt es 35 staatlich geförderte Fachberatungsstellen, welche sich auf die Beratung von häuslicher und/oder sexualisierter Gewalt betroffener Frauen und ihrer Kinder spezialisiert haben. Die Fachberatungsstellen leisten Hilfe und Unterstützung in allen das Opfer betreffenden Fragen.</w:t>
      </w:r>
    </w:p>
    <w:p w:rsidR="00DD3048" w:rsidRDefault="00DD3048" w:rsidP="00DD3048">
      <w:pPr>
        <w:pStyle w:val="LTAntwortRessortText"/>
      </w:pPr>
      <w:r>
        <w:t>Zudem haben Opfer von Vergewaltigung, die aufgrund der Vergewaltigung an (dauerhaften) gesundheitlichen Schäden leiden, grundsätzlich einen Anspruch auf Ent</w:t>
      </w:r>
      <w:r>
        <w:lastRenderedPageBreak/>
        <w:t>schädigung nach dem Opferentschädigungsgesetz, wenn die gesetzlichen Voraussetzungen (gesundheitliche oder wirtschaftliche Folgen aufgrund einer gesundheitlichen Schädigung durch einen vorsätzlichen, rechtswidrigen tätlichen Angriff) dafür vorliegen.</w:t>
      </w:r>
    </w:p>
    <w:p w:rsidR="00DD3048" w:rsidRDefault="00DD3048" w:rsidP="00DD3048">
      <w:pPr>
        <w:pStyle w:val="LTAntwortRessortText"/>
      </w:pPr>
      <w:r>
        <w:t>Seit 01.01.2021 besteht für Gewaltopfer auch ein Anspruch auf Leistungen in Traumaambulanzen. Sie dienen der schnellen, niedrigschwelligen psychotherapeutischen Unterstützung für Opfer von Gewalttaten und sind an kooperierenden psychiatrischen Einrichtungen etabliert.</w:t>
      </w:r>
    </w:p>
    <w:p w:rsidR="00DD3048" w:rsidRDefault="00DD3048" w:rsidP="00DD3048">
      <w:pPr>
        <w:pStyle w:val="LTAntwortRessortText"/>
      </w:pPr>
      <w:r>
        <w:t xml:space="preserve">Durch Inkrafttreten des </w:t>
      </w:r>
      <w:r w:rsidR="00112920">
        <w:t>Sozialgesetzbuchs (</w:t>
      </w:r>
      <w:r>
        <w:t>SGB</w:t>
      </w:r>
      <w:r w:rsidR="00112920">
        <w:t>) Vierzehntes Buch (</w:t>
      </w:r>
      <w:r>
        <w:t>XIV</w:t>
      </w:r>
      <w:r w:rsidR="00112920">
        <w:t>)</w:t>
      </w:r>
      <w:r>
        <w:t xml:space="preserve"> ab dem 01.01.2024 wird die Lebenssituation von Gewaltopfern sowie ihrer Angehörigen und Hinterbliebenen deutlich verbessert.</w:t>
      </w:r>
    </w:p>
    <w:p w:rsidR="00DD3048" w:rsidRDefault="00DD3048" w:rsidP="00DD3048">
      <w:pPr>
        <w:pStyle w:val="LTAntwortRessortText"/>
      </w:pPr>
      <w:r>
        <w:t>Insbesondere wird der Kreis derjenigen, die Leistungen des SER (Soziales Entschädigungsrecht) beziehen können, durch das SGB XIV erweitert; auch Opfer psychischer Gewalt (v.</w:t>
      </w:r>
      <w:r w:rsidR="00202447">
        <w:t> </w:t>
      </w:r>
      <w:r>
        <w:t>a. Fälle sexueller Gewalt), Opfer von Schockschäden und Opfer von Stalking (nur qualifizierte oder erfolgsqualifizierte Nachstellung, nicht die einfache) sind künftig leistungsberechtigt. Weiter</w:t>
      </w:r>
      <w:r w:rsidR="00E845C2">
        <w:t xml:space="preserve"> </w:t>
      </w:r>
      <w:r>
        <w:t>kommt es durch eine neue Regelung zur Beweiserleichterung bei der Kausalitätsprüfung psychischer Erkrankungen zu Verbesserungen für Opfer sexueller oder psychischer Gewalt.</w:t>
      </w:r>
      <w:r w:rsidR="00E845C2">
        <w:t xml:space="preserve"> </w:t>
      </w:r>
      <w:r>
        <w:t>Durch sog. Schnelle Hilfen werden Betroffene in einem erleichterten niedrigschwelligen Verfahren zeitnah unterstützt.</w:t>
      </w:r>
    </w:p>
    <w:p w:rsidR="00DD3048" w:rsidRDefault="00DD3048" w:rsidP="00DD3048">
      <w:pPr>
        <w:pStyle w:val="LTAntwortRessortText"/>
      </w:pPr>
      <w:r>
        <w:t>Der Internetauftritt des Programms Polizeiliche Kriminalprävention der Länder und des Bundes (ProPK)</w:t>
      </w:r>
      <w:r w:rsidR="00202447">
        <w:rPr>
          <w:rStyle w:val="Funotenzeichen"/>
        </w:rPr>
        <w:footnoteReference w:id="1"/>
      </w:r>
      <w:r w:rsidR="00202447">
        <w:t xml:space="preserve"> </w:t>
      </w:r>
      <w:r>
        <w:t>bietet weitere Informationen für Opfer an. Eine Besonderheit der Internetseite ist die Auflistung von Beratungsstellen und polizeilichen Fachdienststellen für Sexualdelikte in den Bundesländern, mit deren Angabe das Opfer um Hilfe ersuchen kann. Des Weiteren wurde ein YouTube Channel von ProPK eingerichtet, unter dem Videos zu benannten Thematiken gezeigt werden.</w:t>
      </w:r>
    </w:p>
    <w:p w:rsidR="00DD3048" w:rsidRDefault="00DD3048" w:rsidP="00DD3048">
      <w:pPr>
        <w:pStyle w:val="LTAntwortRessortText"/>
      </w:pPr>
      <w:r>
        <w:t>Zum Aufgabengebiet der Fachberatungsstellen für von häuslicher und/oder sexualisierter Gewalt betroffene Frauen gehört neben der Beratung von gewaltb</w:t>
      </w:r>
      <w:r w:rsidR="00B25813">
        <w:t>etroffenen Frauen auch die ziel</w:t>
      </w:r>
      <w:r>
        <w:t>gruppenspezifische und -übergreifende Präventionsarbeit, um Frauen vor Gewalt zu schützen. Einige Fachberatungsstellen bieten auch Selbstverteidigungskurse und Aufklärungsaktio</w:t>
      </w:r>
      <w:r w:rsidR="00B25813">
        <w:t>nen zu bestimmten Themen wie z. </w:t>
      </w:r>
      <w:r>
        <w:t>B. K.O.-Tropfen an.</w:t>
      </w:r>
    </w:p>
    <w:p w:rsidR="00DD3048" w:rsidRDefault="00DD3048" w:rsidP="00DD3048">
      <w:pPr>
        <w:pStyle w:val="LTAntwortRessortText"/>
      </w:pPr>
      <w:r>
        <w:t xml:space="preserve">Informationen über weitergehende Präventionsangebote finden sich unter </w:t>
      </w:r>
      <w:r w:rsidR="00B25813">
        <w:rPr>
          <w:rStyle w:val="Funotenzeichen"/>
        </w:rPr>
        <w:footnoteReference w:id="2"/>
      </w:r>
      <w:r>
        <w:t>.</w:t>
      </w:r>
    </w:p>
    <w:p w:rsidR="00DD3048" w:rsidRDefault="00DD3048" w:rsidP="00DD3048">
      <w:pPr>
        <w:pStyle w:val="LTAntwortRessortText"/>
      </w:pPr>
      <w:r>
        <w:t>Ergeben sich Hinweise auf eine konkrete Gefährdung einer Person, so können im Rahmen des sog. Operativen Opferschutzes entsprechende Maßnahmen zum Schutz des Opfers getroffen werden. Neben gezielten Gefährderansprachen bei bekannten Tätern kommen beispielsweise, abhängig vom Einzelfall, eine Wohnsitzverlegung, Auskunftssperren oder auch Namensänderungen in Betracht. Darüber hinaus kann die Polizei auf Gru</w:t>
      </w:r>
      <w:r w:rsidR="00B25813">
        <w:t>ndlage des Polizeiaufgabengeset</w:t>
      </w:r>
      <w:r>
        <w:t>zes Kontaktverbote, Platzverweise sowie Aufenthaltsverbote/-gebote gegen die Täter erlassen. Bei Verstoß gegen diese Maßnahmen können die Betroffenen ggf. in Gewahrsam genommen werden. Zudem besteht auf richterliche Anordnung und unter Prüfung des Einzelfalls auch die Möglichkeit einer elektronischen Aufenthaltsüberwachung.</w:t>
      </w:r>
    </w:p>
    <w:p w:rsidR="00DD3048" w:rsidRDefault="00DD3048" w:rsidP="00DD3048">
      <w:pPr>
        <w:pStyle w:val="LTAntwortRessortText"/>
      </w:pPr>
      <w:r>
        <w:lastRenderedPageBreak/>
        <w:t>Zudem beinhaltet das polizeiliche Konzept HEADS (Haftentlassenen-Auskunftsdatei-Sexualtäter) eine engmaschige Betreuung von justiziell verurteilten Sexualstraftätern. Seit 2017 besteht neben den Haftentlassenen zudem die Möglichkeit, auch andere Straftäter mit sexuell auffälligem Verhalten über eine Generalklausel in das Konzept aufzunehmen.</w:t>
      </w:r>
    </w:p>
    <w:p w:rsidR="00DD3048" w:rsidRDefault="00DD3048" w:rsidP="00DD3048">
      <w:pPr>
        <w:pStyle w:val="LTAntwortRessortText"/>
      </w:pPr>
      <w:r>
        <w:t xml:space="preserve">Die seitens der Bayerischen Polizei zur Steigerung der objektiven Sicherheitslage sowie des Sicherheitsgefühls im öffentlichen Raumen getroffenen präventiven Maßnahmen richten sich grundsätzlich an alle Bürgerinnen und Bürger </w:t>
      </w:r>
      <w:r w:rsidR="00B25813">
        <w:t>–</w:t>
      </w:r>
      <w:r>
        <w:t xml:space="preserve"> unabhängig des jeweiligen Geschlechtes. U.</w:t>
      </w:r>
      <w:r w:rsidR="00B25813">
        <w:t> </w:t>
      </w:r>
      <w:r>
        <w:t>a. sind dies:</w:t>
      </w:r>
    </w:p>
    <w:p w:rsidR="00DD3048" w:rsidRDefault="00E845C2" w:rsidP="00E845C2">
      <w:pPr>
        <w:pStyle w:val="LTAntwortRessortText"/>
        <w:spacing w:before="120"/>
        <w:ind w:left="680" w:hanging="340"/>
      </w:pPr>
      <w:r>
        <w:t>–</w:t>
      </w:r>
      <w:r>
        <w:tab/>
      </w:r>
      <w:r w:rsidR="00DD3048">
        <w:t>Erhöhung der Präsenz bei erkannten Kriminalitätsschwerpunkten und poten</w:t>
      </w:r>
      <w:r w:rsidR="00B25813">
        <w:t>z</w:t>
      </w:r>
      <w:r w:rsidR="00DD3048">
        <w:t>iellen Angsträumen</w:t>
      </w:r>
    </w:p>
    <w:p w:rsidR="00DD3048" w:rsidRDefault="00E845C2" w:rsidP="00E845C2">
      <w:pPr>
        <w:pStyle w:val="LTAntwortRessortText"/>
        <w:spacing w:before="120"/>
        <w:ind w:left="680" w:hanging="340"/>
      </w:pPr>
      <w:r>
        <w:t>–</w:t>
      </w:r>
      <w:r>
        <w:tab/>
      </w:r>
      <w:r w:rsidR="00DD3048">
        <w:t>Konzept-/Schwerpunkteinsätze an Bahnhöfen und in Öffentlichen Verkehrsmitteln</w:t>
      </w:r>
    </w:p>
    <w:p w:rsidR="00DD3048" w:rsidRDefault="00E845C2" w:rsidP="00E845C2">
      <w:pPr>
        <w:pStyle w:val="LTAntwortRessortText"/>
        <w:spacing w:before="120"/>
        <w:ind w:left="680" w:hanging="340"/>
      </w:pPr>
      <w:r>
        <w:t>–</w:t>
      </w:r>
      <w:r>
        <w:tab/>
      </w:r>
      <w:r w:rsidR="00DD3048">
        <w:t>Gemeinsame Streifengänge und Kontrollaktionen mit der Bundespolizei, den Kommunalen Sicherheitsdiensten sowie den zuständigen Ordnungsämtern im Bereich des ÖPNV</w:t>
      </w:r>
    </w:p>
    <w:p w:rsidR="00DD3048" w:rsidRDefault="00E845C2" w:rsidP="00E845C2">
      <w:pPr>
        <w:pStyle w:val="LTAntwortRessortText"/>
        <w:spacing w:before="120"/>
        <w:ind w:left="680" w:hanging="340"/>
      </w:pPr>
      <w:r>
        <w:t>–</w:t>
      </w:r>
      <w:r>
        <w:tab/>
      </w:r>
      <w:r w:rsidR="00DD3048">
        <w:t xml:space="preserve">Einrichtung eines Kompetenzzentrums für den gesamten Themenbereich </w:t>
      </w:r>
      <w:r w:rsidR="00B25813">
        <w:t>„</w:t>
      </w:r>
      <w:r w:rsidR="00DD3048">
        <w:t>Sicherheit im öffentlichen Raum</w:t>
      </w:r>
      <w:r w:rsidR="00B25813">
        <w:t>“</w:t>
      </w:r>
      <w:r w:rsidR="00DD3048">
        <w:t xml:space="preserve"> beim Polizeipräsidium Unterfranken</w:t>
      </w:r>
    </w:p>
    <w:p w:rsidR="00DD3048" w:rsidRDefault="00E845C2" w:rsidP="00E845C2">
      <w:pPr>
        <w:pStyle w:val="LTAntwortRessortText"/>
        <w:spacing w:before="120"/>
        <w:ind w:left="680" w:hanging="340"/>
      </w:pPr>
      <w:r>
        <w:t>–</w:t>
      </w:r>
      <w:r>
        <w:tab/>
      </w:r>
      <w:r w:rsidR="00DD3048">
        <w:t>Beratende Zusammenarbeit mit den Kommunen im Rahmen der städtebaulichen Kriminalprävention</w:t>
      </w:r>
    </w:p>
    <w:p w:rsidR="00DD3048" w:rsidRDefault="00E845C2" w:rsidP="00E845C2">
      <w:pPr>
        <w:pStyle w:val="LTAntwortRessortText"/>
        <w:spacing w:before="120"/>
        <w:ind w:left="680" w:hanging="340"/>
      </w:pPr>
      <w:r>
        <w:t>–</w:t>
      </w:r>
      <w:r>
        <w:tab/>
      </w:r>
      <w:r w:rsidR="00DD3048">
        <w:t>Steigerung der Präsenz im öffentlichen Raum durch die Erweiterung der Bayerischen Sicherheitswacht</w:t>
      </w:r>
    </w:p>
    <w:p w:rsidR="00DD3048" w:rsidRDefault="00E845C2" w:rsidP="00E845C2">
      <w:pPr>
        <w:pStyle w:val="LTAntwortRessortText"/>
        <w:spacing w:before="120"/>
        <w:ind w:left="680" w:hanging="340"/>
      </w:pPr>
      <w:r>
        <w:t>–</w:t>
      </w:r>
      <w:r>
        <w:tab/>
      </w:r>
      <w:r w:rsidR="00DD3048">
        <w:t>Einsatz und Ausbau von präventivpolizeilicher Videoüberwachung</w:t>
      </w:r>
    </w:p>
    <w:p w:rsidR="00DD3048" w:rsidRDefault="00E845C2" w:rsidP="00E845C2">
      <w:pPr>
        <w:pStyle w:val="LTAntwortRessortText"/>
        <w:spacing w:before="120"/>
        <w:ind w:left="680" w:hanging="340"/>
      </w:pPr>
      <w:r>
        <w:t>–</w:t>
      </w:r>
      <w:r>
        <w:tab/>
      </w:r>
      <w:r w:rsidR="00DD3048">
        <w:t>Entwicklung und Einsatz eines modernen und teilautomatisierten Lage-Analysetools (LIMA360)</w:t>
      </w:r>
    </w:p>
    <w:p w:rsidR="00DD3048" w:rsidRDefault="00DD3048">
      <w:bookmarkStart w:id="8" w:name="Frage_Nr_3_Ende"/>
      <w:bookmarkEnd w:id="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DD3048" w:rsidTr="007B0B33">
        <w:tc>
          <w:tcPr>
            <w:tcW w:w="2050" w:type="dxa"/>
          </w:tcPr>
          <w:p w:rsidR="00DD3048" w:rsidRDefault="00DD3048" w:rsidP="00DD3048">
            <w:pPr>
              <w:pStyle w:val="LTAnfrageInitiator"/>
            </w:pPr>
            <w:r>
              <w:lastRenderedPageBreak/>
              <w:t>Abgeordnete</w:t>
            </w:r>
            <w:r>
              <w:rPr>
                <w:b/>
              </w:rPr>
              <w:br/>
              <w:t>Gülseren</w:t>
            </w:r>
            <w:r>
              <w:rPr>
                <w:b/>
              </w:rPr>
              <w:br/>
              <w:t>Demirel</w:t>
            </w:r>
            <w:r>
              <w:rPr>
                <w:b/>
              </w:rPr>
              <w:br/>
            </w:r>
            <w:r>
              <w:t>(BÜNDNIS 90/DIE GRÜNEN)</w:t>
            </w:r>
            <w:bookmarkStart w:id="9" w:name="Frage_Nr_4"/>
            <w:bookmarkEnd w:id="9"/>
          </w:p>
        </w:tc>
        <w:tc>
          <w:tcPr>
            <w:tcW w:w="7200" w:type="dxa"/>
          </w:tcPr>
          <w:p w:rsidR="00DD3048" w:rsidRDefault="007B02FF" w:rsidP="00DD3048">
            <w:pPr>
              <w:pStyle w:val="LTAnfrageText"/>
            </w:pPr>
            <w:r w:rsidRPr="007B02FF">
              <w:t>Nachdem es in der Antwort des Staatsministeriums des Innern, für Sport und Integration vom 25.05.2023 auf meine Anfrage zum Plenum heißt (Drs. 18/29289), dass die 650 Beratungsvollzeitstellen der Flüchtlings- und Integrationsberatung nicht vollständig besetzt sind und daher auch ehrenamtliche Flüchtlingshelferinnen und -helfer weiterhin die Unterstützung der Geflüchteten in Bayern übernehmen müssen, frage ich, wie die Staatsregierung die Ehrenamtlichen im Bereich der Flüchtlingshilfe neben der Aufstockung der Zahl der Integrationslotsinnen und -lotsen (bitte den aktuellen Zahl und die besetzten Stellen benennen) unterstützt, welche weitere Maßnahmen geplant sind, um die Unterstützung der Ehrenamtlichen zu fördern (u. a. Schulung, Fortbildung, Übernahme von Fahrtkosten, Veranstaltungen) und da die Organisationen der Flüchtlingshilfe bisher nicht vom Freistaat direkt gefördert werden, sondern nur Städte und Landkreise dies auf freiwilliger Basis und auch nur für kommunale Initiativen vornehmen, welche Planungen werden für eine langfristige Förderung (unabhängig der Projektförderung) der Arbeit der Ehrenamtlichen seitens der Staatsregierung angestrebt?</w:t>
            </w:r>
          </w:p>
        </w:tc>
      </w:tr>
    </w:tbl>
    <w:p w:rsidR="00DD3048" w:rsidRDefault="00DD3048" w:rsidP="00DD3048">
      <w:pPr>
        <w:pStyle w:val="LTUeberschrAntwortRessort"/>
      </w:pPr>
      <w:r>
        <w:t>Antwort des Staatsministeriums des Innern, für Sport und Integration</w:t>
      </w:r>
    </w:p>
    <w:p w:rsidR="00DD3048" w:rsidRDefault="00DD3048" w:rsidP="00DD3048">
      <w:pPr>
        <w:pStyle w:val="LTAntwortRessortText"/>
      </w:pPr>
      <w:r>
        <w:t>Die im Wortlaut der Anfrage suggerierte Kausalität zwischen den nicht vollständig besetzten Beratungsstellen der Flüchtlings- und Integrationsberatung und der Unterstützung der Geflüchteten durch ehrenamtliche Flüchtlingshelferinnen und Flüchtlingshelfer gibt es nicht.</w:t>
      </w:r>
      <w:r w:rsidR="007B02FF">
        <w:t xml:space="preserve"> </w:t>
      </w:r>
      <w:r>
        <w:t>Integration ist keine rein staatliche, sondern vielmehr eine Gemeinschaftsaufgabe, weshalb es ein Nebeneinander von Haupt- und Nebenamt gibt. Die Besetzung von Beraterstellen obliegt im Übrigen ausschließlich den jeweiligen Trägern.</w:t>
      </w:r>
    </w:p>
    <w:p w:rsidR="00DD3048" w:rsidRDefault="00DD3048" w:rsidP="00DD3048">
      <w:pPr>
        <w:pStyle w:val="LTAntwortRessortText"/>
      </w:pPr>
      <w:r>
        <w:t xml:space="preserve">Das Ehrenamt ist ein wichtiger Eckpfeiler im Bereich Asyl und Integration. Die tatkräftige Unterstützung und das großartige Engagement der ehrenamtlichen Helferinnen und Helfer tragen dabei nicht nur maßgeblich zu einer gelingenden Asyl- und Integrationsarbeit vor Ort bei, sondern auch zum Erhalt des sozialen Friedens und zur Stärkung des gesellschaftlichen Zusammenhalts. Der Austausch und die Kommunikation mit den Ehrenamtlichen ist der Bayerischen Staatsregierung dabei generell ein großes Anliegen. So werden durch das </w:t>
      </w:r>
      <w:r w:rsidR="007B02FF">
        <w:t>Staatsmi</w:t>
      </w:r>
      <w:r>
        <w:t>nisterium des Innern, für Sport und Integration regelmäßige Infobriefe über wesentliche Maßnahmen und Neuregelungen in den Bereichen Asyl und Integration auch an Ehrenamtliche versendet, mit dem Ziel, ihnen die Tätigkeit vor Ort zu erleichtern. Staatsminister Joachim Hermann lud zudem am 10.</w:t>
      </w:r>
      <w:r w:rsidR="007B02FF">
        <w:t>11.</w:t>
      </w:r>
      <w:r>
        <w:t xml:space="preserve">2022 ehrenamtliche Helferinnen und Helfer aus ganz Bayern zum dritten </w:t>
      </w:r>
      <w:r w:rsidR="007B02FF">
        <w:t>„</w:t>
      </w:r>
      <w:r>
        <w:t>Dialog digital</w:t>
      </w:r>
      <w:r w:rsidR="007B02FF">
        <w:t>“</w:t>
      </w:r>
      <w:r>
        <w:t xml:space="preserve"> ein. In diesem virtuellen Forum haben Ehrenamtliche die Möglichkeit, Fragen zu aktuellen Herausforderungen zu stellen.</w:t>
      </w:r>
    </w:p>
    <w:p w:rsidR="00DD3048" w:rsidRDefault="00DD3048" w:rsidP="00DD3048">
      <w:pPr>
        <w:pStyle w:val="LTAntwortRessortText"/>
      </w:pPr>
      <w:r>
        <w:t xml:space="preserve">Darüber hinaus fördert der Freistaat Bayern mit den </w:t>
      </w:r>
      <w:r w:rsidR="007B02FF">
        <w:t>„</w:t>
      </w:r>
      <w:r>
        <w:t>besonderen Maßnahmen</w:t>
      </w:r>
      <w:r w:rsidR="007B02FF">
        <w:t>“</w:t>
      </w:r>
      <w:r>
        <w:t xml:space="preserve"> gemäß der Beratungs- und Integrationsrichtlinie auch die Arbeit von Ehrenamtlichen sowie von Organisationen und Initiativen der Flüchtlingshilfe. Unterstützt werden die Ehrenamtlichen auch im Rahmen des von der Landesarbeitsgemeinschaft der Freiwilligenagenturen/-zentren und Koordinierungszentren Bürgerschaftlichen Engage</w:t>
      </w:r>
      <w:r>
        <w:lastRenderedPageBreak/>
        <w:t>m</w:t>
      </w:r>
      <w:r w:rsidR="007B02FF">
        <w:t>ents in Bayern (lagfa bayern e. </w:t>
      </w:r>
      <w:r>
        <w:t xml:space="preserve">V.) koordinierten Projekts </w:t>
      </w:r>
      <w:r w:rsidR="007B02FF">
        <w:t>„</w:t>
      </w:r>
      <w:r>
        <w:t>Sprache schafft Chancen</w:t>
      </w:r>
      <w:r w:rsidR="007B02FF">
        <w:t>“</w:t>
      </w:r>
      <w:r>
        <w:t>, in dem Ehrenamtliche, Menschen mit Flucht- oder Migrationshintergrund in Sprachtandems oder Sprachkursen die deutsche Sprache beibringen.</w:t>
      </w:r>
    </w:p>
    <w:p w:rsidR="00DD3048" w:rsidRDefault="00DD3048" w:rsidP="00DD3048">
      <w:pPr>
        <w:pStyle w:val="LTAntwortRessortText"/>
      </w:pPr>
      <w:r>
        <w:t>Mit dem Bayerischen Integrationspreis sowie den Integrationspreisen der Regierungen werden Projekte ausgezeichnet, die mit Ideenreichtum, Tatkraft und persönlichem Engagement eine besondere Vorbildfunktion im Bereich der Integration einnehmen, mit dem Ziel, den Engagierten zu danken und über die mit den Preisverleihungen verbundenen Öffentlichkeitsarbeit zur Nachahmung anzuregen.</w:t>
      </w:r>
    </w:p>
    <w:p w:rsidR="00DD3048" w:rsidRDefault="00DD3048" w:rsidP="00DD3048">
      <w:pPr>
        <w:pStyle w:val="LTAntwortRessortText"/>
      </w:pPr>
      <w:r>
        <w:t>Daneben fördert der Freistaat Bayern hauptamtliche Integrationslotsinnen und -lotsen. Diese unterstützen die Ehrenamtlichen auf kommunaler Ebene als zentrale Ansprechpartner bei allen Fragen aus den Bereichen Asyl und Integration. Um die Integrationslotsinnen und -lotsen vor dem Hintergrund des hohen Zugangs von Kriegsflüchtlingen aus der Ukraine zu stärken, hat die Staatsregierung für die Jahre 2022 und 2023 eine ukrainebedingte Sonderförderung auf den Weg gebracht. Die Gesamtförderung wurde von bisher max. 60.000 Euro um 40.000 Euro auf bis zu 100.000 Euro je Förderkommune erhöht, so dass insgesamt bis zu 1,5 Vollzeitstellen pro Kommune gefördert werden können.</w:t>
      </w:r>
    </w:p>
    <w:p w:rsidR="00DD3048" w:rsidRDefault="00DD3048" w:rsidP="00DD3048">
      <w:pPr>
        <w:pStyle w:val="LTAntwortRessortText"/>
      </w:pPr>
      <w:r>
        <w:t>Aktuell haben 93 von 96 Landkreisen und kreisfreien Städten Integrationslotsinnen und -lotsen beantragt. Lediglich bei drei dieser Kommunen ist derzeit keine Integrationslotsenstelle besetzt</w:t>
      </w:r>
      <w:r w:rsidR="007B02FF">
        <w:t xml:space="preserve"> –</w:t>
      </w:r>
      <w:r>
        <w:t xml:space="preserve"> diese sollen aber zeitnah wieder bzw. neu besetzt werden.</w:t>
      </w:r>
    </w:p>
    <w:p w:rsidR="00DD3048" w:rsidRDefault="00DD3048" w:rsidP="00DD3048">
      <w:pPr>
        <w:pStyle w:val="LTAntwortRessortText"/>
      </w:pPr>
      <w:r>
        <w:t>Die hauptamtlichen Integrationslotsinnen und -lotsen sollen insbesondere</w:t>
      </w:r>
    </w:p>
    <w:p w:rsidR="00DD3048" w:rsidRDefault="007B02FF" w:rsidP="007B02FF">
      <w:pPr>
        <w:pStyle w:val="LTAntwortRessortText"/>
        <w:spacing w:before="120"/>
        <w:ind w:left="680" w:hanging="340"/>
      </w:pPr>
      <w:r>
        <w:t>–</w:t>
      </w:r>
      <w:r>
        <w:tab/>
      </w:r>
      <w:r w:rsidR="00DD3048">
        <w:t>zentrale Ansprechpartner und Netzwerker für Ehrenamtliche sein,</w:t>
      </w:r>
    </w:p>
    <w:p w:rsidR="00DD3048" w:rsidRDefault="007B02FF" w:rsidP="007B02FF">
      <w:pPr>
        <w:pStyle w:val="LTAntwortRessortText"/>
        <w:spacing w:before="120"/>
        <w:ind w:left="680" w:hanging="340"/>
      </w:pPr>
      <w:r>
        <w:t>–</w:t>
      </w:r>
      <w:r>
        <w:tab/>
      </w:r>
      <w:r w:rsidR="00DD3048">
        <w:t>die Ehrenamtlichen bei Bedarf praxisbezogen informieren und unterstützen, insbesondere durch die Organisation und Durchführung von Schulungen und Fortbildungen,</w:t>
      </w:r>
    </w:p>
    <w:p w:rsidR="00DD3048" w:rsidRDefault="007B02FF" w:rsidP="007B02FF">
      <w:pPr>
        <w:pStyle w:val="LTAntwortRessortText"/>
        <w:spacing w:before="120"/>
        <w:ind w:left="680" w:hanging="340"/>
      </w:pPr>
      <w:r>
        <w:t>–</w:t>
      </w:r>
      <w:r>
        <w:tab/>
      </w:r>
      <w:r w:rsidR="00DD3048">
        <w:t>im Bereich des Freiwilligenmanagements die Motivation der Ehrenamtlichen fördern sowie die Auswahl und Gewinnung neuer Ehrenamtlicher unterstützen; dies umfasst insbesondere auch die Gewinnung Ehrenamtlicher mit Migrationsgeschichte für Bereiche inner- und außerhalb des Zuwanderungskontexts.</w:t>
      </w:r>
    </w:p>
    <w:p w:rsidR="00DD3048" w:rsidRDefault="00DD3048" w:rsidP="00DD3048">
      <w:pPr>
        <w:pStyle w:val="LTAntwortRessortText"/>
      </w:pPr>
      <w:r>
        <w:t>Zuwendungsfähig sind projektbezogene Personalausgaben und Sachausgaben, ebenso die Aufwendungen für die Durchführung von Supervisionen sowie die Organisation und Durchführung aufgabenmäßiger Veranstaltungen; dies umfasst unter anderem Schulungen und Fortbildungen. Ferner sind die Beschaffungsausgaben für Schulungshefte im Rahmen der Mieterqualifikation von Menschen mit Migrationsgeschichte sowie die im Projekt erstatteten Fahrtkosten von Ehrenamtlichen zuwendungsfähig.</w:t>
      </w:r>
    </w:p>
    <w:p w:rsidR="00DD3048" w:rsidRDefault="00DD3048" w:rsidP="00DD3048">
      <w:pPr>
        <w:pStyle w:val="LTAntwortRessortText"/>
      </w:pPr>
      <w:r>
        <w:t>Die genannten Maßnahmen werden auch künftig von</w:t>
      </w:r>
      <w:r w:rsidR="007B02FF">
        <w:t>s</w:t>
      </w:r>
      <w:r>
        <w:t>eiten des Freistaat</w:t>
      </w:r>
      <w:r w:rsidR="007B02FF">
        <w:t>e</w:t>
      </w:r>
      <w:r>
        <w:t>s fortgesetzt.</w:t>
      </w:r>
    </w:p>
    <w:p w:rsidR="00DD3048" w:rsidRDefault="00DD3048">
      <w:bookmarkStart w:id="10" w:name="Frage_Nr_4_Ende"/>
      <w:bookmarkEnd w:id="1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7"/>
        <w:gridCol w:w="5759"/>
      </w:tblGrid>
      <w:tr w:rsidR="00DD3048" w:rsidTr="007B0B33">
        <w:tc>
          <w:tcPr>
            <w:tcW w:w="2050" w:type="dxa"/>
          </w:tcPr>
          <w:p w:rsidR="00DD3048" w:rsidRDefault="00DD3048" w:rsidP="00DD3048">
            <w:pPr>
              <w:pStyle w:val="LTAnfrageInitiator"/>
            </w:pPr>
            <w:r>
              <w:lastRenderedPageBreak/>
              <w:t>Abgeordnete</w:t>
            </w:r>
            <w:r>
              <w:rPr>
                <w:b/>
              </w:rPr>
              <w:br/>
              <w:t>Anne</w:t>
            </w:r>
            <w:r>
              <w:rPr>
                <w:b/>
              </w:rPr>
              <w:br/>
              <w:t>Franke</w:t>
            </w:r>
            <w:r>
              <w:rPr>
                <w:b/>
              </w:rPr>
              <w:br/>
            </w:r>
            <w:r>
              <w:t>(BÜNDNIS 90/DIE GRÜNEN)</w:t>
            </w:r>
            <w:bookmarkStart w:id="11" w:name="Frage_Nr_5"/>
            <w:bookmarkEnd w:id="11"/>
          </w:p>
        </w:tc>
        <w:tc>
          <w:tcPr>
            <w:tcW w:w="7200" w:type="dxa"/>
          </w:tcPr>
          <w:p w:rsidR="00DD3048" w:rsidRDefault="00074366" w:rsidP="00DD3048">
            <w:pPr>
              <w:pStyle w:val="LTAnfrageText"/>
            </w:pPr>
            <w:r w:rsidRPr="00074366">
              <w:t xml:space="preserve">Ich frage die Staatsregierung, inwieweit hat sie nach dem einstimmigen Votum „80.3 Material“ des Ausschusses für Eingaben und Beschwerden am 08.02.2023 zu Petition EB.2085.18 – dass die bisherige dringende Empfehlung des Staatsministeriums des Innern, für Sport und Integration an die Kommunen, gemeindeeigene Grundstücke nur nach öffentlicher Ausschreibung zu veräußern (Bekanntmachung vom 15.05.1992, Ziffer 3) zukünftig verbindliche Gesetzeskraft erhalten soll – inzwischen eine entsprechende Gesetzesänderung (Änderung Gemeindeordnung) in die Wege geleitet, und wann ist mit dem Einbringen in das parlamentarische Gesetzgebungsverfahren zu rechnen?  </w:t>
            </w:r>
          </w:p>
        </w:tc>
      </w:tr>
    </w:tbl>
    <w:p w:rsidR="00DD3048" w:rsidRDefault="00DD3048" w:rsidP="00DD3048">
      <w:pPr>
        <w:pStyle w:val="LTUeberschrAntwortRessort"/>
      </w:pPr>
      <w:r>
        <w:t>Antwort des Staatsministeriums des Innern, für Sport und Integration</w:t>
      </w:r>
    </w:p>
    <w:p w:rsidR="00DD3048" w:rsidRDefault="00DD3048" w:rsidP="00DD3048">
      <w:pPr>
        <w:pStyle w:val="LTAntwortRessortText"/>
      </w:pPr>
      <w:r>
        <w:t xml:space="preserve">Der Ausschuss für Eingaben und Beschwerden hat die Petition </w:t>
      </w:r>
      <w:r w:rsidR="00074366">
        <w:t>EB.2085.18 der Staatsregierung „</w:t>
      </w:r>
      <w:r>
        <w:t>als Material</w:t>
      </w:r>
      <w:r w:rsidR="00074366">
        <w:t>“</w:t>
      </w:r>
      <w:r>
        <w:t xml:space="preserve"> überwiesen. Damit brachte der Ausschuss zum Aus</w:t>
      </w:r>
      <w:r w:rsidRPr="00074366">
        <w:rPr>
          <w:spacing w:val="-2"/>
        </w:rPr>
        <w:t>druck, dass er das Anliegen der Petition für geeignet hielt, im Rahmen einer Rechts</w:t>
      </w:r>
      <w:r w:rsidR="00074366" w:rsidRPr="00074366">
        <w:rPr>
          <w:spacing w:val="-2"/>
        </w:rPr>
        <w:softHyphen/>
      </w:r>
      <w:r w:rsidRPr="00074366">
        <w:rPr>
          <w:spacing w:val="-2"/>
        </w:rPr>
        <w:t>änderung</w:t>
      </w:r>
      <w:r>
        <w:t xml:space="preserve"> oder einer sonstigen Verwaltungsentscheidung in eine Prüfung einbezogen zu werden. Eine Pflicht der Staatsregierung zur Einbringung eines Gesetzentwurfs ergibt sich aus dem Beschluss des Petitionsausschusses nicht.</w:t>
      </w:r>
    </w:p>
    <w:p w:rsidR="00DD3048" w:rsidRDefault="00DD3048" w:rsidP="00DD3048">
      <w:pPr>
        <w:pStyle w:val="LTAntwortRessortText"/>
      </w:pPr>
      <w:r>
        <w:t>Das Staatsministerium des Innern, für Sport und Integration</w:t>
      </w:r>
      <w:r w:rsidR="000E5D4E">
        <w:t xml:space="preserve"> (StMI)</w:t>
      </w:r>
      <w:r>
        <w:t xml:space="preserve"> hat mit Schreiben vom </w:t>
      </w:r>
      <w:r w:rsidR="00074366">
        <w:t>0</w:t>
      </w:r>
      <w:r>
        <w:t>3.</w:t>
      </w:r>
      <w:r w:rsidR="00074366">
        <w:t>11.</w:t>
      </w:r>
      <w:r>
        <w:t xml:space="preserve">2022 zu dem Ziel der Petition, eine Änderung des Art. 75 Abs. 1 Satz 2 Gemeindeordnung (GO) zu erreichen, bereits umfassend gegenüber dem Landtag Stellung genommen und das Anliegen des Petenten gewürdigt. Danach setzt eine transparente und diskriminierungsfreie Grundstücksveräußerung durch die Gemeinden nicht zwingend die Durchführung eines öffentlichen Ausschreibungsverfahrens voraus. Es gibt für Gemeinden mehrere zulässige Wege, den Wert eines zu veräußernden Grundstücks korrekt zu ermitteln. Das </w:t>
      </w:r>
      <w:r w:rsidR="000E5D4E">
        <w:t>StMI</w:t>
      </w:r>
      <w:r>
        <w:t xml:space="preserve"> hat mit Bekanntmachung vom 15.</w:t>
      </w:r>
      <w:r w:rsidR="000E5D4E">
        <w:t>03.</w:t>
      </w:r>
      <w:r>
        <w:t>1992 (AllMBl. 1992, 535) Hinweise zur Wertermittlung bei der Veräußerung von kommunalen Vermögensgegenständen gegeben. Darin wird</w:t>
      </w:r>
      <w:r w:rsidR="00074366">
        <w:t xml:space="preserve"> </w:t>
      </w:r>
      <w:r>
        <w:t xml:space="preserve">den Kommunen dringend empfohlen, Vermögensgegenstände </w:t>
      </w:r>
      <w:r w:rsidR="000E5D4E">
        <w:t>nur nach öffentlicher Ausschrei</w:t>
      </w:r>
      <w:r>
        <w:t>bung zu veräußern. Diese Bekanntmachung stellt eine normkonkretisierende Verwaltungsvorschrift dar und ist durch die staatlichen Rechtsaufsichtsbehörden bei der kommunalaufsichtlichen Beratung der Kommunen zu beachten. Es bedarf keiner zusätzlichen Regelung in der Gemeindeordnung.</w:t>
      </w:r>
    </w:p>
    <w:p w:rsidR="00DD3048" w:rsidRDefault="00DD3048" w:rsidP="00DD3048">
      <w:pPr>
        <w:pStyle w:val="LTAntwortRessortText"/>
      </w:pPr>
      <w:r>
        <w:t xml:space="preserve">Eine gesetzliche Pflicht, gemeindliche Grundstücke nur nach einer öffentlichen Ausschreibung zu veräußern, würde das verfassungsrechtlich gewährleistete Selbstverwaltungsrecht tangieren. Für eine Einschränkung sieht das Staatsministerium des Innern, für Sport und Integration weiterhin keinen Bedarf. Es bestehen insbesondere keine Anhaltspunkte dafür, dass Gemeinden regelmäßig gegen die Vorgaben des Art. 75 GO </w:t>
      </w:r>
      <w:r w:rsidR="000E5D4E">
        <w:t>–</w:t>
      </w:r>
      <w:r>
        <w:t xml:space="preserve"> insbesondere gegen das grundsätzliche Verbot zur Veräußerung unter Wert </w:t>
      </w:r>
      <w:r w:rsidR="000E5D4E">
        <w:t>–</w:t>
      </w:r>
      <w:r>
        <w:t xml:space="preserve"> verstoßen würden.</w:t>
      </w:r>
    </w:p>
    <w:p w:rsidR="00DD3048" w:rsidRDefault="00DD3048">
      <w:bookmarkStart w:id="12" w:name="Frage_Nr_5_Ende"/>
      <w:bookmarkEnd w:id="1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6"/>
        <w:gridCol w:w="5790"/>
      </w:tblGrid>
      <w:tr w:rsidR="00DD3048" w:rsidTr="007B0B33">
        <w:tc>
          <w:tcPr>
            <w:tcW w:w="2050" w:type="dxa"/>
          </w:tcPr>
          <w:p w:rsidR="00DD3048" w:rsidRDefault="00DD3048" w:rsidP="00DD3048">
            <w:pPr>
              <w:pStyle w:val="LTAnfrageInitiator"/>
            </w:pPr>
            <w:r>
              <w:lastRenderedPageBreak/>
              <w:t>Abgeordneter</w:t>
            </w:r>
            <w:r>
              <w:rPr>
                <w:b/>
              </w:rPr>
              <w:br/>
              <w:t>Harald</w:t>
            </w:r>
            <w:r>
              <w:rPr>
                <w:b/>
              </w:rPr>
              <w:br/>
              <w:t>Güller</w:t>
            </w:r>
            <w:r>
              <w:rPr>
                <w:b/>
              </w:rPr>
              <w:br/>
            </w:r>
            <w:r>
              <w:t>(SPD)</w:t>
            </w:r>
            <w:bookmarkStart w:id="13" w:name="Frage_Nr_6"/>
            <w:bookmarkEnd w:id="13"/>
          </w:p>
        </w:tc>
        <w:tc>
          <w:tcPr>
            <w:tcW w:w="7200" w:type="dxa"/>
          </w:tcPr>
          <w:p w:rsidR="00DD3048" w:rsidRDefault="00B44DB2" w:rsidP="00DD3048">
            <w:pPr>
              <w:pStyle w:val="LTAnfrageText"/>
            </w:pPr>
            <w:r w:rsidRPr="00B44DB2">
              <w:t>Im Anschluss an die Antwort auf meine Anfrage zum Plenum in der 21. KW 2023</w:t>
            </w:r>
            <w:r w:rsidR="00A560EA">
              <w:t xml:space="preserve"> </w:t>
            </w:r>
            <w:r w:rsidRPr="00B44DB2">
              <w:t>(Drs. 18/29289) frage ich die Staatsregierung für die Notarztstandorte Dillingen, Nördlingen und Schwabmünchen, wie viele Schichten in den jeweiligen Standorten vom 23.05.2023 bis heute nicht besetzt wurden, welche Besetzungsquoten sich daraus jeweils ergeben und wie viele Schichten an den drei Standorten nach heutiger Planung bis Ende Juli nicht besetzt sind?</w:t>
            </w:r>
          </w:p>
        </w:tc>
      </w:tr>
    </w:tbl>
    <w:p w:rsidR="00DD3048" w:rsidRDefault="00DD3048" w:rsidP="00DD3048">
      <w:pPr>
        <w:pStyle w:val="LTUeberschrAntwortRessort"/>
      </w:pPr>
      <w:r>
        <w:t>Antwort des Staatsministeriums des Innern, für Sport und Integration</w:t>
      </w:r>
    </w:p>
    <w:p w:rsidR="00DD3048" w:rsidRDefault="00DD3048" w:rsidP="00DD3048">
      <w:pPr>
        <w:pStyle w:val="LTAntwortRessortText"/>
      </w:pPr>
      <w:r>
        <w:t>Gemäß Art. 14 Abs. 2 Satz 1 Bayerischen Rettungsdienstgesetz (BayRDG) stellen der Zweckverband für Rettungsdienst und Feuerwehralarmierung und die Kassenärztliche Vereinigung Bayerns (KVB) gemeinsam für alle Notfallpatienten die Mitwirkung von Ärzten in der bodengebundenen Notfallrettung sicher. Daher liegen dem Staatsministerium des Innern, für Sport und Integration keine unmittelbaren Informationen über die Besetzung von Notarztstandorten vor.</w:t>
      </w:r>
    </w:p>
    <w:p w:rsidR="00DD3048" w:rsidRDefault="00DD3048" w:rsidP="00DD3048">
      <w:pPr>
        <w:pStyle w:val="LTAntwortRessortText"/>
      </w:pPr>
      <w:r>
        <w:t>Nach Mitteilung der KVB existieren an verschiedenen Notarztstandorten Schichten in unterschiedlicher Länge. Im Folgenden werden daher die Besetzungsquoten an den Notarztstandorten Dillingen, Nördlingen und Schwabmünchen im Rettung</w:t>
      </w:r>
      <w:r w:rsidR="00611DAF">
        <w:t>sdienstbereich Augsburg im Zeit</w:t>
      </w:r>
      <w:r>
        <w:t>raum 23.</w:t>
      </w:r>
      <w:r w:rsidR="00611DAF">
        <w:t>05.</w:t>
      </w:r>
      <w:r>
        <w:t xml:space="preserve">2023 bis </w:t>
      </w:r>
      <w:r w:rsidR="00611DAF">
        <w:t>0</w:t>
      </w:r>
      <w:r>
        <w:t>2.</w:t>
      </w:r>
      <w:r w:rsidR="00611DAF">
        <w:t>07.</w:t>
      </w:r>
      <w:r>
        <w:t>2023 dargestellt. Die Besetzungsquoten sind als vorläufig zu betrachten, da etwa zunächst nicht besetzte Dienste kurzfristig noch besetzt werden können, die Aktualisierung im Dienstplan aber ggf. mit zeitlicher Verzögerung erfolgt.</w:t>
      </w:r>
    </w:p>
    <w:p w:rsidR="00DD3048" w:rsidRDefault="00DD3048" w:rsidP="00DD3048">
      <w:pPr>
        <w:pStyle w:val="LTAntwortRessortText"/>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2979"/>
      </w:tblGrid>
      <w:tr w:rsidR="00611DAF" w:rsidRPr="00611DAF" w:rsidTr="00611DAF">
        <w:trPr>
          <w:trHeight w:val="395"/>
          <w:jc w:val="center"/>
        </w:trPr>
        <w:tc>
          <w:tcPr>
            <w:tcW w:w="2830" w:type="dxa"/>
            <w:shd w:val="clear" w:color="auto" w:fill="auto"/>
          </w:tcPr>
          <w:p w:rsidR="00611DAF" w:rsidRPr="00611DAF" w:rsidRDefault="00611DAF" w:rsidP="00D84EBE">
            <w:pPr>
              <w:pStyle w:val="TableParagraph"/>
              <w:spacing w:before="59"/>
              <w:ind w:left="590"/>
              <w:rPr>
                <w:rFonts w:ascii="Arial" w:hAnsi="Arial" w:cs="Arial"/>
                <w:b/>
                <w:sz w:val="20"/>
              </w:rPr>
            </w:pPr>
            <w:r w:rsidRPr="00611DAF">
              <w:rPr>
                <w:rFonts w:ascii="Arial" w:hAnsi="Arial" w:cs="Arial"/>
                <w:b/>
                <w:sz w:val="20"/>
              </w:rPr>
              <w:t>Notarztstandort</w:t>
            </w:r>
          </w:p>
        </w:tc>
        <w:tc>
          <w:tcPr>
            <w:tcW w:w="2979" w:type="dxa"/>
            <w:shd w:val="clear" w:color="auto" w:fill="auto"/>
          </w:tcPr>
          <w:p w:rsidR="00611DAF" w:rsidRPr="00611DAF" w:rsidRDefault="00611DAF" w:rsidP="00D84EBE">
            <w:pPr>
              <w:pStyle w:val="TableParagraph"/>
              <w:spacing w:before="59"/>
              <w:ind w:left="635"/>
              <w:rPr>
                <w:rFonts w:ascii="Arial" w:hAnsi="Arial" w:cs="Arial"/>
                <w:b/>
                <w:sz w:val="20"/>
              </w:rPr>
            </w:pPr>
            <w:r w:rsidRPr="00611DAF">
              <w:rPr>
                <w:rFonts w:ascii="Arial" w:hAnsi="Arial" w:cs="Arial"/>
                <w:b/>
                <w:sz w:val="20"/>
              </w:rPr>
              <w:t>Besetzungsquote</w:t>
            </w:r>
          </w:p>
        </w:tc>
      </w:tr>
      <w:tr w:rsidR="00611DAF" w:rsidRPr="00611DAF" w:rsidTr="00611DAF">
        <w:trPr>
          <w:trHeight w:val="398"/>
          <w:jc w:val="center"/>
        </w:trPr>
        <w:tc>
          <w:tcPr>
            <w:tcW w:w="2830" w:type="dxa"/>
            <w:shd w:val="clear" w:color="auto" w:fill="auto"/>
          </w:tcPr>
          <w:p w:rsidR="00611DAF" w:rsidRPr="00611DAF" w:rsidRDefault="00611DAF" w:rsidP="00D84EBE">
            <w:pPr>
              <w:pStyle w:val="TableParagraph"/>
              <w:spacing w:before="56"/>
              <w:rPr>
                <w:rFonts w:ascii="Arial" w:hAnsi="Arial" w:cs="Arial"/>
                <w:sz w:val="20"/>
              </w:rPr>
            </w:pPr>
            <w:r w:rsidRPr="00611DAF">
              <w:rPr>
                <w:rFonts w:ascii="Arial" w:hAnsi="Arial" w:cs="Arial"/>
                <w:sz w:val="20"/>
              </w:rPr>
              <w:t>Dillingen</w:t>
            </w:r>
          </w:p>
        </w:tc>
        <w:tc>
          <w:tcPr>
            <w:tcW w:w="2979" w:type="dxa"/>
            <w:shd w:val="clear" w:color="auto" w:fill="auto"/>
          </w:tcPr>
          <w:p w:rsidR="00611DAF" w:rsidRPr="00611DAF" w:rsidRDefault="00611DAF" w:rsidP="00D84EBE">
            <w:pPr>
              <w:pStyle w:val="TableParagraph"/>
              <w:spacing w:before="56"/>
              <w:rPr>
                <w:rFonts w:ascii="Arial" w:hAnsi="Arial" w:cs="Arial"/>
                <w:sz w:val="20"/>
              </w:rPr>
            </w:pPr>
            <w:r w:rsidRPr="00611DAF">
              <w:rPr>
                <w:rFonts w:ascii="Arial" w:hAnsi="Arial" w:cs="Arial"/>
                <w:sz w:val="20"/>
              </w:rPr>
              <w:t xml:space="preserve">76,20 </w:t>
            </w:r>
            <w:r>
              <w:rPr>
                <w:rFonts w:ascii="Arial" w:hAnsi="Arial" w:cs="Arial"/>
                <w:sz w:val="20"/>
              </w:rPr>
              <w:t>Prozent</w:t>
            </w:r>
          </w:p>
        </w:tc>
      </w:tr>
      <w:tr w:rsidR="00611DAF" w:rsidRPr="00611DAF" w:rsidTr="00611DAF">
        <w:trPr>
          <w:trHeight w:val="395"/>
          <w:jc w:val="center"/>
        </w:trPr>
        <w:tc>
          <w:tcPr>
            <w:tcW w:w="2830" w:type="dxa"/>
            <w:shd w:val="clear" w:color="auto" w:fill="auto"/>
          </w:tcPr>
          <w:p w:rsidR="00611DAF" w:rsidRPr="00611DAF" w:rsidRDefault="00611DAF" w:rsidP="00D84EBE">
            <w:pPr>
              <w:pStyle w:val="TableParagraph"/>
              <w:rPr>
                <w:rFonts w:ascii="Arial" w:hAnsi="Arial" w:cs="Arial"/>
                <w:sz w:val="20"/>
              </w:rPr>
            </w:pPr>
            <w:r w:rsidRPr="00611DAF">
              <w:rPr>
                <w:rFonts w:ascii="Arial" w:hAnsi="Arial" w:cs="Arial"/>
                <w:sz w:val="20"/>
              </w:rPr>
              <w:t>Nördlingen</w:t>
            </w:r>
          </w:p>
        </w:tc>
        <w:tc>
          <w:tcPr>
            <w:tcW w:w="2979" w:type="dxa"/>
            <w:shd w:val="clear" w:color="auto" w:fill="auto"/>
          </w:tcPr>
          <w:p w:rsidR="00611DAF" w:rsidRPr="00611DAF" w:rsidRDefault="00611DAF" w:rsidP="00D84EBE">
            <w:pPr>
              <w:pStyle w:val="TableParagraph"/>
              <w:rPr>
                <w:rFonts w:ascii="Arial" w:hAnsi="Arial" w:cs="Arial"/>
                <w:sz w:val="20"/>
              </w:rPr>
            </w:pPr>
            <w:r w:rsidRPr="00611DAF">
              <w:rPr>
                <w:rFonts w:ascii="Arial" w:hAnsi="Arial" w:cs="Arial"/>
                <w:sz w:val="20"/>
              </w:rPr>
              <w:t xml:space="preserve">83,50 </w:t>
            </w:r>
            <w:r>
              <w:rPr>
                <w:rFonts w:ascii="Arial" w:hAnsi="Arial" w:cs="Arial"/>
                <w:sz w:val="20"/>
              </w:rPr>
              <w:t>Prozent</w:t>
            </w:r>
          </w:p>
        </w:tc>
      </w:tr>
      <w:tr w:rsidR="00611DAF" w:rsidRPr="00611DAF" w:rsidTr="00611DAF">
        <w:trPr>
          <w:trHeight w:val="395"/>
          <w:jc w:val="center"/>
        </w:trPr>
        <w:tc>
          <w:tcPr>
            <w:tcW w:w="2830" w:type="dxa"/>
            <w:shd w:val="clear" w:color="auto" w:fill="auto"/>
          </w:tcPr>
          <w:p w:rsidR="00611DAF" w:rsidRPr="00611DAF" w:rsidRDefault="00611DAF" w:rsidP="00D84EBE">
            <w:pPr>
              <w:pStyle w:val="TableParagraph"/>
              <w:rPr>
                <w:rFonts w:ascii="Arial" w:hAnsi="Arial" w:cs="Arial"/>
                <w:sz w:val="20"/>
              </w:rPr>
            </w:pPr>
            <w:r w:rsidRPr="00611DAF">
              <w:rPr>
                <w:rFonts w:ascii="Arial" w:hAnsi="Arial" w:cs="Arial"/>
                <w:sz w:val="20"/>
              </w:rPr>
              <w:t>Schwabmünchen</w:t>
            </w:r>
          </w:p>
        </w:tc>
        <w:tc>
          <w:tcPr>
            <w:tcW w:w="2979" w:type="dxa"/>
            <w:shd w:val="clear" w:color="auto" w:fill="auto"/>
          </w:tcPr>
          <w:p w:rsidR="00611DAF" w:rsidRPr="00611DAF" w:rsidRDefault="00611DAF" w:rsidP="00D84EBE">
            <w:pPr>
              <w:pStyle w:val="TableParagraph"/>
              <w:rPr>
                <w:rFonts w:ascii="Arial" w:hAnsi="Arial" w:cs="Arial"/>
                <w:sz w:val="20"/>
              </w:rPr>
            </w:pPr>
            <w:r w:rsidRPr="00611DAF">
              <w:rPr>
                <w:rFonts w:ascii="Arial" w:hAnsi="Arial" w:cs="Arial"/>
                <w:sz w:val="20"/>
              </w:rPr>
              <w:t xml:space="preserve">80,70 </w:t>
            </w:r>
            <w:r>
              <w:rPr>
                <w:rFonts w:ascii="Arial" w:hAnsi="Arial" w:cs="Arial"/>
                <w:sz w:val="20"/>
              </w:rPr>
              <w:t>Prozent</w:t>
            </w:r>
          </w:p>
        </w:tc>
      </w:tr>
    </w:tbl>
    <w:p w:rsidR="00DD3048" w:rsidRDefault="00DD3048" w:rsidP="00DD3048">
      <w:pPr>
        <w:pStyle w:val="LTAntwortRessortText"/>
      </w:pPr>
    </w:p>
    <w:p w:rsidR="00DD3048" w:rsidRDefault="00DD3048" w:rsidP="00DD3048">
      <w:pPr>
        <w:pStyle w:val="LTAntwortRessortText"/>
      </w:pPr>
      <w:r>
        <w:t xml:space="preserve">Des Weiteren teilt die KVB folgende unbesetzte Zeiten für den Zeitraum </w:t>
      </w:r>
      <w:r w:rsidR="00611DAF">
        <w:t>0</w:t>
      </w:r>
      <w:r>
        <w:t>3.</w:t>
      </w:r>
      <w:r w:rsidR="00611DAF">
        <w:t>07.</w:t>
      </w:r>
      <w:r>
        <w:t>2023 bis 31.</w:t>
      </w:r>
      <w:r w:rsidR="00611DAF">
        <w:t>07.</w:t>
      </w:r>
      <w:r>
        <w:t xml:space="preserve">2023 (Stand: </w:t>
      </w:r>
      <w:r w:rsidR="00611DAF">
        <w:t>0</w:t>
      </w:r>
      <w:r>
        <w:t>2.</w:t>
      </w:r>
      <w:r w:rsidR="00611DAF">
        <w:t>07.</w:t>
      </w:r>
      <w:r>
        <w:t>2023) mit:</w:t>
      </w:r>
    </w:p>
    <w:p w:rsidR="00611DAF" w:rsidRDefault="00611DAF" w:rsidP="00DD3048">
      <w:pPr>
        <w:pStyle w:val="LTAntwortRessortText"/>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2979"/>
      </w:tblGrid>
      <w:tr w:rsidR="00611DAF" w:rsidRPr="00611DAF" w:rsidTr="00611DAF">
        <w:trPr>
          <w:trHeight w:val="395"/>
          <w:jc w:val="center"/>
        </w:trPr>
        <w:tc>
          <w:tcPr>
            <w:tcW w:w="2830" w:type="dxa"/>
            <w:shd w:val="clear" w:color="auto" w:fill="auto"/>
          </w:tcPr>
          <w:p w:rsidR="00611DAF" w:rsidRPr="00611DAF" w:rsidRDefault="00611DAF" w:rsidP="00D84EBE">
            <w:pPr>
              <w:pStyle w:val="TableParagraph"/>
              <w:spacing w:before="59"/>
              <w:ind w:left="590"/>
              <w:rPr>
                <w:rFonts w:ascii="Arial" w:hAnsi="Arial" w:cs="Arial"/>
                <w:b/>
                <w:sz w:val="20"/>
              </w:rPr>
            </w:pPr>
            <w:r w:rsidRPr="00611DAF">
              <w:rPr>
                <w:rFonts w:ascii="Arial" w:hAnsi="Arial" w:cs="Arial"/>
                <w:b/>
                <w:sz w:val="20"/>
              </w:rPr>
              <w:t>Notarztstandort</w:t>
            </w:r>
          </w:p>
        </w:tc>
        <w:tc>
          <w:tcPr>
            <w:tcW w:w="2979" w:type="dxa"/>
            <w:shd w:val="clear" w:color="auto" w:fill="auto"/>
          </w:tcPr>
          <w:p w:rsidR="00611DAF" w:rsidRPr="00611DAF" w:rsidRDefault="00611DAF" w:rsidP="00D84EBE">
            <w:pPr>
              <w:pStyle w:val="TableParagraph"/>
              <w:spacing w:before="59"/>
              <w:ind w:left="187"/>
              <w:rPr>
                <w:rFonts w:ascii="Arial" w:hAnsi="Arial" w:cs="Arial"/>
                <w:b/>
                <w:sz w:val="20"/>
              </w:rPr>
            </w:pPr>
            <w:r w:rsidRPr="00611DAF">
              <w:rPr>
                <w:rFonts w:ascii="Arial" w:hAnsi="Arial" w:cs="Arial"/>
                <w:b/>
                <w:sz w:val="20"/>
              </w:rPr>
              <w:t>unbesetzte Dienststunden</w:t>
            </w:r>
          </w:p>
        </w:tc>
      </w:tr>
      <w:tr w:rsidR="00611DAF" w:rsidRPr="00611DAF" w:rsidTr="00611DAF">
        <w:trPr>
          <w:trHeight w:val="395"/>
          <w:jc w:val="center"/>
        </w:trPr>
        <w:tc>
          <w:tcPr>
            <w:tcW w:w="2830" w:type="dxa"/>
            <w:shd w:val="clear" w:color="auto" w:fill="auto"/>
          </w:tcPr>
          <w:p w:rsidR="00611DAF" w:rsidRPr="00611DAF" w:rsidRDefault="00611DAF" w:rsidP="00D84EBE">
            <w:pPr>
              <w:pStyle w:val="TableParagraph"/>
              <w:rPr>
                <w:rFonts w:ascii="Arial" w:hAnsi="Arial" w:cs="Arial"/>
                <w:sz w:val="20"/>
              </w:rPr>
            </w:pPr>
            <w:r w:rsidRPr="00611DAF">
              <w:rPr>
                <w:rFonts w:ascii="Arial" w:hAnsi="Arial" w:cs="Arial"/>
                <w:sz w:val="20"/>
              </w:rPr>
              <w:t>Dillingen</w:t>
            </w:r>
          </w:p>
        </w:tc>
        <w:tc>
          <w:tcPr>
            <w:tcW w:w="2979" w:type="dxa"/>
            <w:shd w:val="clear" w:color="auto" w:fill="auto"/>
          </w:tcPr>
          <w:p w:rsidR="00611DAF" w:rsidRPr="00611DAF" w:rsidRDefault="00611DAF" w:rsidP="00D84EBE">
            <w:pPr>
              <w:pStyle w:val="TableParagraph"/>
              <w:rPr>
                <w:rFonts w:ascii="Arial" w:hAnsi="Arial" w:cs="Arial"/>
                <w:sz w:val="20"/>
              </w:rPr>
            </w:pPr>
            <w:r w:rsidRPr="00611DAF">
              <w:rPr>
                <w:rFonts w:ascii="Arial" w:hAnsi="Arial" w:cs="Arial"/>
                <w:sz w:val="20"/>
              </w:rPr>
              <w:t>216,5 Stunden</w:t>
            </w:r>
          </w:p>
        </w:tc>
      </w:tr>
      <w:tr w:rsidR="00611DAF" w:rsidRPr="00611DAF" w:rsidTr="00611DAF">
        <w:trPr>
          <w:trHeight w:val="395"/>
          <w:jc w:val="center"/>
        </w:trPr>
        <w:tc>
          <w:tcPr>
            <w:tcW w:w="2830" w:type="dxa"/>
            <w:shd w:val="clear" w:color="auto" w:fill="auto"/>
          </w:tcPr>
          <w:p w:rsidR="00611DAF" w:rsidRPr="00611DAF" w:rsidRDefault="00611DAF" w:rsidP="00D84EBE">
            <w:pPr>
              <w:pStyle w:val="TableParagraph"/>
              <w:rPr>
                <w:rFonts w:ascii="Arial" w:hAnsi="Arial" w:cs="Arial"/>
                <w:sz w:val="20"/>
              </w:rPr>
            </w:pPr>
            <w:r w:rsidRPr="00611DAF">
              <w:rPr>
                <w:rFonts w:ascii="Arial" w:hAnsi="Arial" w:cs="Arial"/>
                <w:sz w:val="20"/>
              </w:rPr>
              <w:t>Nördlingen</w:t>
            </w:r>
          </w:p>
        </w:tc>
        <w:tc>
          <w:tcPr>
            <w:tcW w:w="2979" w:type="dxa"/>
            <w:shd w:val="clear" w:color="auto" w:fill="auto"/>
          </w:tcPr>
          <w:p w:rsidR="00611DAF" w:rsidRPr="00611DAF" w:rsidRDefault="00611DAF" w:rsidP="00D84EBE">
            <w:pPr>
              <w:pStyle w:val="TableParagraph"/>
              <w:rPr>
                <w:rFonts w:ascii="Arial" w:hAnsi="Arial" w:cs="Arial"/>
                <w:sz w:val="20"/>
              </w:rPr>
            </w:pPr>
            <w:r w:rsidRPr="00611DAF">
              <w:rPr>
                <w:rFonts w:ascii="Arial" w:hAnsi="Arial" w:cs="Arial"/>
                <w:sz w:val="20"/>
              </w:rPr>
              <w:t>340,5 Stunden</w:t>
            </w:r>
          </w:p>
        </w:tc>
      </w:tr>
      <w:tr w:rsidR="00611DAF" w:rsidRPr="00611DAF" w:rsidTr="00611DAF">
        <w:trPr>
          <w:trHeight w:val="395"/>
          <w:jc w:val="center"/>
        </w:trPr>
        <w:tc>
          <w:tcPr>
            <w:tcW w:w="2830" w:type="dxa"/>
            <w:shd w:val="clear" w:color="auto" w:fill="auto"/>
          </w:tcPr>
          <w:p w:rsidR="00611DAF" w:rsidRPr="00611DAF" w:rsidRDefault="00611DAF" w:rsidP="00D84EBE">
            <w:pPr>
              <w:pStyle w:val="TableParagraph"/>
              <w:rPr>
                <w:rFonts w:ascii="Arial" w:hAnsi="Arial" w:cs="Arial"/>
                <w:sz w:val="20"/>
              </w:rPr>
            </w:pPr>
            <w:r w:rsidRPr="00611DAF">
              <w:rPr>
                <w:rFonts w:ascii="Arial" w:hAnsi="Arial" w:cs="Arial"/>
                <w:sz w:val="20"/>
              </w:rPr>
              <w:t>Schwabmünchen</w:t>
            </w:r>
          </w:p>
        </w:tc>
        <w:tc>
          <w:tcPr>
            <w:tcW w:w="2979" w:type="dxa"/>
            <w:shd w:val="clear" w:color="auto" w:fill="auto"/>
          </w:tcPr>
          <w:p w:rsidR="00611DAF" w:rsidRPr="00611DAF" w:rsidRDefault="00611DAF" w:rsidP="00D84EBE">
            <w:pPr>
              <w:pStyle w:val="TableParagraph"/>
              <w:rPr>
                <w:rFonts w:ascii="Arial" w:hAnsi="Arial" w:cs="Arial"/>
                <w:sz w:val="20"/>
              </w:rPr>
            </w:pPr>
            <w:r w:rsidRPr="00611DAF">
              <w:rPr>
                <w:rFonts w:ascii="Arial" w:hAnsi="Arial" w:cs="Arial"/>
                <w:sz w:val="20"/>
              </w:rPr>
              <w:t>216,0 Stunden</w:t>
            </w:r>
          </w:p>
        </w:tc>
      </w:tr>
    </w:tbl>
    <w:p w:rsidR="00DD3048" w:rsidRDefault="00DD3048" w:rsidP="00DD3048">
      <w:pPr>
        <w:pStyle w:val="LTAntwortRessortText"/>
      </w:pPr>
    </w:p>
    <w:p w:rsidR="00DD3048" w:rsidRDefault="00DD3048" w:rsidP="00DD3048">
      <w:pPr>
        <w:pStyle w:val="LTAntwortRessortText"/>
      </w:pPr>
      <w:r>
        <w:lastRenderedPageBreak/>
        <w:t>Auch insoweit ist darauf hinzuweisen, dass ggf. Dienste du</w:t>
      </w:r>
      <w:r w:rsidR="00611DAF">
        <w:t>rch die KVB noch kurzfristig be</w:t>
      </w:r>
      <w:r>
        <w:t>setzt werden können.</w:t>
      </w:r>
    </w:p>
    <w:p w:rsidR="00DD3048" w:rsidRDefault="00DD3048" w:rsidP="00DD3048">
      <w:pPr>
        <w:pStyle w:val="LTAntwortRessortText"/>
      </w:pPr>
      <w:r>
        <w:t>Im Übrigen wird auf die Stellungnahme der Staatsregierung auf die Anfrage zum Plenum des Abgeordneten Harald Güller</w:t>
      </w:r>
      <w:r w:rsidR="00611DAF">
        <w:t xml:space="preserve"> (SPD)</w:t>
      </w:r>
      <w:r>
        <w:t xml:space="preserve"> zur Plenarsitzung vom 23.</w:t>
      </w:r>
      <w:r w:rsidR="00611DAF">
        <w:t>05.</w:t>
      </w:r>
      <w:r>
        <w:t>2023 verwiesen.</w:t>
      </w:r>
    </w:p>
    <w:p w:rsidR="00DD3048" w:rsidRDefault="00DD3048">
      <w:bookmarkStart w:id="14" w:name="Frage_Nr_6_Ende"/>
      <w:bookmarkEnd w:id="1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6"/>
        <w:gridCol w:w="5790"/>
      </w:tblGrid>
      <w:tr w:rsidR="00DD3048" w:rsidTr="007B0B33">
        <w:tc>
          <w:tcPr>
            <w:tcW w:w="2050" w:type="dxa"/>
          </w:tcPr>
          <w:p w:rsidR="00DD3048" w:rsidRDefault="00DD3048" w:rsidP="00DD3048">
            <w:pPr>
              <w:pStyle w:val="LTAnfrageInitiator"/>
            </w:pPr>
            <w:r>
              <w:lastRenderedPageBreak/>
              <w:t>Abgeordneter</w:t>
            </w:r>
            <w:r>
              <w:rPr>
                <w:b/>
              </w:rPr>
              <w:br/>
              <w:t>Volkmar</w:t>
            </w:r>
            <w:r>
              <w:rPr>
                <w:b/>
              </w:rPr>
              <w:br/>
              <w:t>Halbleib</w:t>
            </w:r>
            <w:r>
              <w:rPr>
                <w:b/>
              </w:rPr>
              <w:br/>
            </w:r>
            <w:r>
              <w:t>(SPD)</w:t>
            </w:r>
            <w:bookmarkStart w:id="15" w:name="Frage_Nr_7"/>
            <w:bookmarkEnd w:id="15"/>
          </w:p>
        </w:tc>
        <w:tc>
          <w:tcPr>
            <w:tcW w:w="7200" w:type="dxa"/>
          </w:tcPr>
          <w:p w:rsidR="00DD3048" w:rsidRDefault="00773734" w:rsidP="00BD2C23">
            <w:pPr>
              <w:pStyle w:val="LTAnfrageText"/>
            </w:pPr>
            <w:r w:rsidRPr="00773734">
              <w:t xml:space="preserve">Vor dem Hintergrund der andauernden Diskussion um die Befreiung der Ortsdurchfahrt des Marktes Winterhausen vom Schwerlastverkehr (mit Ausnahme des Ziel- und Quellverkehrs) und den bisherigen Stellungnahmen des Landratsamtes und der Regierung von Unterfranken (vgl. Mainpost vom 28.03.2023 „Warum die Winterhäuser den Kampf gegen den </w:t>
            </w:r>
            <w:r w:rsidR="00BD2C23" w:rsidRPr="00773734">
              <w:t>L</w:t>
            </w:r>
            <w:r w:rsidR="00BD2C23">
              <w:t>kw</w:t>
            </w:r>
            <w:r w:rsidRPr="00773734">
              <w:t xml:space="preserve">-Verkehr nicht aufgeben“) und im Hinblick auf die Tatsache, dass dem </w:t>
            </w:r>
            <w:r w:rsidR="00BD2C23" w:rsidRPr="00773734">
              <w:t>L</w:t>
            </w:r>
            <w:r w:rsidR="00BD2C23">
              <w:t>kw</w:t>
            </w:r>
            <w:r w:rsidRPr="00773734">
              <w:t xml:space="preserve">-Verkehr ohne Fahrzeit- und Fahrstreckenverlängerung und ohne Belastung anderer Gebiete auf der dem Main direkt gegenüber liegenden Bundestraße 13 eine absolut gleichwertige Alternativroute zur Verfügung steht, frage ich die Staatsregierung, welche Behörde für die Entscheidung für Durchfahrtsbeschränkungen für </w:t>
            </w:r>
            <w:r w:rsidR="00BD2C23">
              <w:t>Lkw</w:t>
            </w:r>
            <w:r w:rsidR="00BD2C23" w:rsidRPr="00773734">
              <w:t xml:space="preserve"> </w:t>
            </w:r>
            <w:r w:rsidRPr="00773734">
              <w:t xml:space="preserve">zuständig ist und ob eine von dieser Behörde ausgesprochene Durchfahrtsbeschränkung für </w:t>
            </w:r>
            <w:r w:rsidR="00BD2C23">
              <w:t>Lkw</w:t>
            </w:r>
            <w:r w:rsidR="00BD2C23" w:rsidRPr="00773734">
              <w:t xml:space="preserve"> </w:t>
            </w:r>
            <w:r w:rsidRPr="00773734">
              <w:t xml:space="preserve">in Winterhausen (zwischen der Mainbrücke und Ortsausgang in Richtung Goßmannsdorf, ausgenommen Ziel- und Quellverkehr) seitens der Aufsichtsbehörden des Freistaates rechtsaufsichtlich beanstandet werden wird bzw. bei welchen Staatsstraßen-Ortsdurchfahrten in Bayern bereits eine Sperrung des Durchgangsverkehrs für </w:t>
            </w:r>
            <w:r w:rsidR="00BD2C23">
              <w:t>Lkw</w:t>
            </w:r>
            <w:r w:rsidR="00BD2C23" w:rsidRPr="00773734">
              <w:t xml:space="preserve"> </w:t>
            </w:r>
            <w:r w:rsidRPr="00773734">
              <w:t>erfolgt ist?</w:t>
            </w:r>
          </w:p>
        </w:tc>
      </w:tr>
    </w:tbl>
    <w:p w:rsidR="00DD3048" w:rsidRDefault="00DD3048" w:rsidP="00DD3048">
      <w:pPr>
        <w:pStyle w:val="LTUeberschrAntwortRessort"/>
      </w:pPr>
      <w:r>
        <w:t>Antwort des Staatsministeriums des Innern, für Sport und Integration</w:t>
      </w:r>
    </w:p>
    <w:p w:rsidR="00DD3048" w:rsidRDefault="00DD3048" w:rsidP="00DD3048">
      <w:pPr>
        <w:pStyle w:val="LTAntwortRessortText"/>
      </w:pPr>
      <w:r>
        <w:t>Verkehrszeichen und Verkehrseinrichtungen sind nach den bundeseinheitlichen Vorgaben nur dort anzuordnen, wo dies auf Grund der besonderen Umstände zwingend erforderlich ist. Insbesondere Beschränkungen und Verbote des fließenden Verkehrs, und damit auch Lkw-Durchfahrtsverbote, dürfen nur angeordnet werden, wenn auf</w:t>
      </w:r>
      <w:r w:rsidR="00773734">
        <w:t>g</w:t>
      </w:r>
      <w:r>
        <w:t xml:space="preserve">rund </w:t>
      </w:r>
      <w:r w:rsidR="00773734">
        <w:t>–</w:t>
      </w:r>
      <w:r>
        <w:t xml:space="preserve"> erstens </w:t>
      </w:r>
      <w:r w:rsidR="00773734">
        <w:t>–</w:t>
      </w:r>
      <w:r>
        <w:t xml:space="preserve"> der besonderen örtlichen Verhältnisse eine Gefahrenlage besteht, die </w:t>
      </w:r>
      <w:r w:rsidR="00773734">
        <w:t>–</w:t>
      </w:r>
      <w:r>
        <w:t xml:space="preserve"> zweitens </w:t>
      </w:r>
      <w:r w:rsidR="00773734">
        <w:t>–</w:t>
      </w:r>
      <w:r>
        <w:t xml:space="preserve"> das allgemeine Risiko einer Beeinträchtigung der in § 45 Straßenverkehrs-Ordnung</w:t>
      </w:r>
      <w:r w:rsidR="00773734">
        <w:t xml:space="preserve"> </w:t>
      </w:r>
      <w:r>
        <w:t>(StVO) genannten Rechtsgüter erheblich übersteigt (§ 45 Abs. 9 Satz 1 und 3 StVO). In § 45 StVO genannte Rechtsgüter sind insbesondere Gründe der Sicherheit oder Ordnung des Verkehrs oder auch der Schutz der Wohnbevölkerung vor Lärm und Abgasen (§ 45 Abs. 1 Satz 1 und Satz 2 Nr. 3 StVO). Anhaltspunkte hierfür bieten prinzipiell nur objektive und nachprüfbare Maßstäbe (bspw. Häufung von Verkehrsunfällen, Überschreitung von Lärmimmissionswerten usw.). We</w:t>
      </w:r>
      <w:r w:rsidR="00773734">
        <w:t>iter gilt der Grundsatz der Ver</w:t>
      </w:r>
      <w:r>
        <w:t>hältnismäßigkeit.</w:t>
      </w:r>
    </w:p>
    <w:p w:rsidR="00DD3048" w:rsidRDefault="00DD3048" w:rsidP="00DD3048">
      <w:pPr>
        <w:pStyle w:val="LTAntwortRessortText"/>
      </w:pPr>
      <w:r>
        <w:t>Die zuständige Straßenverkehrsbehörde entscheidet über straßenverkehrsrechtliche Maßnahmen in pflichtgemäßer Ermessensausübung unter Einbeziehung insbesondere der Verkehrsbedeutung der betroffenen Straße (hier eine Staatsstraße, Art. 3 Abs. 1 Nr. 1 Bayer</w:t>
      </w:r>
      <w:r w:rsidR="00773734">
        <w:t>isches Straßen- und Wegegesetz –</w:t>
      </w:r>
      <w:r>
        <w:t xml:space="preserve"> BayStrWG), des Gemeingebrauchs an Straßen für jedermann (hier gemäß Art. 6, 14 BayStrWG), der Interessen und Belange der Verkehrsteilnehmer und der Interessen und Belange der Anwohner.</w:t>
      </w:r>
      <w:r w:rsidR="00773734">
        <w:t xml:space="preserve"> </w:t>
      </w:r>
      <w:r>
        <w:t>Über Lkw-Durchfahrtsverbote auf Staatsstraßen entscheiden in Bayern die unteren Straßenverkehrsbehörden. Dies sind die Landratsämter, kreisfreien Gemeinden und Großen Kreisstädte.</w:t>
      </w:r>
    </w:p>
    <w:p w:rsidR="00DD3048" w:rsidRDefault="00DD3048" w:rsidP="00DD3048">
      <w:pPr>
        <w:pStyle w:val="LTAntwortRessortText"/>
      </w:pPr>
      <w:r>
        <w:t xml:space="preserve">Ordnet die Straßenverkehrsbehörde ein Verkehrszeichen an, trägt sie die materielle Beweislast dafür, dass die Voraussetzungen hierfür erfüllt sind. Es obliegt ihr daher, die zugrundeliegenden Umstände zu ermitteln, zu dokumentieren und aktenkundig zu machen (VGH München, Beschluss vom 28.12.2020 </w:t>
      </w:r>
      <w:r w:rsidR="00773734">
        <w:t>–</w:t>
      </w:r>
      <w:r>
        <w:t xml:space="preserve"> 11 ZB 20.2176). Fach</w:t>
      </w:r>
      <w:r>
        <w:lastRenderedPageBreak/>
        <w:t>aufsichtlich können rechtswidrige verkehrsrechtliche Maßnahmen durch die zuständigen Fachaufsichtsbehörden, hier die Regierung von Unterfranken, beanstandet werden.</w:t>
      </w:r>
    </w:p>
    <w:p w:rsidR="00DD3048" w:rsidRDefault="00DD3048" w:rsidP="00DD3048">
      <w:pPr>
        <w:pStyle w:val="LTAntwortRessortText"/>
      </w:pPr>
      <w:r>
        <w:t>Bestehende Lkw-Durchfahrtsverbote auf Staatsstraßen in Bayern konnten in der Kürze der Zeit nicht ermittelt werden.</w:t>
      </w:r>
    </w:p>
    <w:p w:rsidR="00DD3048" w:rsidRDefault="00DD3048">
      <w:bookmarkStart w:id="16" w:name="Frage_Nr_7_Ende"/>
      <w:bookmarkEnd w:id="1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9"/>
        <w:gridCol w:w="5767"/>
      </w:tblGrid>
      <w:tr w:rsidR="00DD3048" w:rsidTr="007B0B33">
        <w:tc>
          <w:tcPr>
            <w:tcW w:w="2050" w:type="dxa"/>
          </w:tcPr>
          <w:p w:rsidR="00DD3048" w:rsidRDefault="00DD3048" w:rsidP="00DD3048">
            <w:pPr>
              <w:pStyle w:val="LTAnfrageInitiator"/>
            </w:pPr>
            <w:r>
              <w:lastRenderedPageBreak/>
              <w:t>Abgeordnete</w:t>
            </w:r>
            <w:r>
              <w:rPr>
                <w:b/>
              </w:rPr>
              <w:br/>
              <w:t>Alexandra</w:t>
            </w:r>
            <w:r>
              <w:rPr>
                <w:b/>
              </w:rPr>
              <w:br/>
              <w:t>Hiersemann</w:t>
            </w:r>
            <w:r>
              <w:rPr>
                <w:b/>
              </w:rPr>
              <w:br/>
            </w:r>
            <w:r>
              <w:t>(SPD)</w:t>
            </w:r>
            <w:bookmarkStart w:id="17" w:name="Frage_Nr_8"/>
            <w:bookmarkEnd w:id="17"/>
          </w:p>
        </w:tc>
        <w:tc>
          <w:tcPr>
            <w:tcW w:w="7200" w:type="dxa"/>
          </w:tcPr>
          <w:p w:rsidR="00DD3048" w:rsidRDefault="0041530F" w:rsidP="00DD3048">
            <w:pPr>
              <w:pStyle w:val="LTAnfrageText"/>
            </w:pPr>
            <w:r w:rsidRPr="0041530F">
              <w:t>Vor dem Hintergrund, dass für nach der Genfer Flüchtlingskonvention anerkannte, syrische Flüchtlinge keine Pflicht zur Passbeschaffung bei der syrischen Botschaft besteht, sie mit ihrer Anerkennung als Flüchtling einen von Deutschland ausgestellten Reiseausweis für Flüchtlinge erhalten, für den Fall, dass diese Betroffenen dennoch einen syrischen Pass beantragen oder verlängern lassen, dies zur Einleitung eines Widerrufsverfahrens ihrer Anerkennung führen kann (da angenommen wird, dass sich die betroffene Person damit erneut dem Schutz des Verfolgerstaates unterstellt, vgl. § 73 Abs. 1 Nr. 1 Asylgesetz) und auch aufgrund des Grundsatzurteils des Bundesverwaltungsgerichts (BVerwG) vom 23.09.2020 – AZ.: 1 C 36.19 mit dem die Identitätsklärung im Rahmen der Einbürgerung mithilfe eines Stufenmodels konkretisiert wurde, sodass in Fällen, in denen feststeht, dass amtliche Ausweispapiere nicht vorgelegt oder zumutbar vom Einbürgerungsbewerber beschafft werden können, auch auf andere Art die Identitätsfeststellung erfolgen kann, insbesondere durch Vorlage nichtamtlicher Dokumente, jedoch weiterhin in bayerischen Ausländerbehörden selbst Geburtsurkunden und beglaubigte Auszüge aus dem Personenregister inkl. Fotos der Betroffenen als nicht ausreichend beurteilt werden, um Niederlassungserlaubnisse oder Einbürgerungsgesuche zu genehmigen, frage ich die Staatsregierung, mithilfe welcher Unterlagen die Betroffenen ihrer Mitwirkungspflicht nachkommen können (auch nach dem oben genannten Stufenmodel), ob es hierzu seitens der Staatsregierung eine Weisung gegenüber den Ausländerbehörden in Bayern gibt, um eine bayernweite, rechtssichere Ausgestaltung in der Praxis sicherzustellen (falls ja, bitte übermitteln) und wie die Betroffenen angesichts des geschilderten Spannungsfeldes dennoch ihr Recht auf eine Niederlassungserlaubnis oder eine Einbürgerung erhalten, wenn sie keine ID-Karte oder Reisepass besitzen?</w:t>
            </w:r>
          </w:p>
        </w:tc>
      </w:tr>
    </w:tbl>
    <w:p w:rsidR="00DD3048" w:rsidRDefault="00DD3048" w:rsidP="00DD3048">
      <w:pPr>
        <w:pStyle w:val="LTUeberschrAntwortRessort"/>
      </w:pPr>
      <w:r>
        <w:t>Antwort des Staatsministeriums des Innern, für Sport und Integration</w:t>
      </w:r>
    </w:p>
    <w:p w:rsidR="00DD3048" w:rsidRDefault="00DD3048" w:rsidP="00DD3048">
      <w:pPr>
        <w:pStyle w:val="LTAntwortRessortText"/>
      </w:pPr>
      <w:r>
        <w:t>Die Klärung der Identität hat unter anderem aus Sicherheitsüberlegungen herausragende Bedeutung. Es ist ein unabweisbares Grundbedürfnis jedes Staates zum Schutze der eigenen Bevölkerung zu wissen, wer sich im Staatsgebiet aufhält. Die Erteilung eines Aufenthaltstitels setzt deshalb gem. § 5 Abs. 1 Nr. 1a Aufenthaltsgesetz (AufenthG) in der Regel voraus, dass die Identität geklärt ist. Bei der Einbürgerung ist die Klärung von Identität und Staatsangehörigkeit zwingende gesetzliche Einbürgerungsvoraussetzung.</w:t>
      </w:r>
    </w:p>
    <w:p w:rsidR="00DD3048" w:rsidRDefault="00DD3048" w:rsidP="00DD3048">
      <w:pPr>
        <w:pStyle w:val="LTAntwortRessortText"/>
      </w:pPr>
      <w:r>
        <w:t>Die mit dem Erfordernis der Identitätsklärung verbundenen legitimen sicherheitsrechtlichen Belange sind</w:t>
      </w:r>
      <w:r w:rsidR="00BE02D0">
        <w:t xml:space="preserve"> mit dem durch Art. 2 Abs. 1 i. </w:t>
      </w:r>
      <w:r>
        <w:t>V.</w:t>
      </w:r>
      <w:r w:rsidR="00BE02D0">
        <w:t> </w:t>
      </w:r>
      <w:r>
        <w:t xml:space="preserve">m. Art. 1 Abs. 1 GG geschützten Recht des Ausländers, eine Klärung seiner Identität </w:t>
      </w:r>
      <w:r w:rsidR="00BE02D0">
        <w:t>–</w:t>
      </w:r>
      <w:r>
        <w:t xml:space="preserve"> auch bei Beweisnot </w:t>
      </w:r>
      <w:r w:rsidR="00BE02D0">
        <w:t>–</w:t>
      </w:r>
      <w:r>
        <w:t xml:space="preserve"> bewirken zu können, nach der verwaltungsgerichtlichen Rechtsprechung im Rahmen einer gestuften Prüfung einem angemessenen Ausgleich zuzuführen (sog. Stufenmodell). Der Inhalt des Stufenmodells war bereits mehrfach Gegentand parlamentarischer Beratungen bzw. Anfragen und wurde ggü. der Fragestellerin in </w:t>
      </w:r>
      <w:r>
        <w:lastRenderedPageBreak/>
        <w:t>Drs.</w:t>
      </w:r>
      <w:r w:rsidR="00BE02D0">
        <w:t> </w:t>
      </w:r>
      <w:r>
        <w:t>18/25070 vom 07.11.2022 als Antwort auf eine Anfrage zum Plenum zur Plenarsitzung am 08.11.2022 erläutert. Da für die Erteilung von Aufenthaltserlaubnissen für Schutzberechtigte nach § 25 Abs. 1 bis 3 AufenthG eine Identitätsklärung nicht erforderlich ist (§ 5 Abs. 3 S</w:t>
      </w:r>
      <w:r w:rsidR="005438FC">
        <w:t>atz</w:t>
      </w:r>
      <w:r>
        <w:t xml:space="preserve"> 1 AufenthG), wird die Frage der Identitätsklärung insbesondere vor der Erteilung einer unbefristeten Niederlassungserlaubnis oder bei einem Einbürgerungsantrag besonders bedeutsam.</w:t>
      </w:r>
    </w:p>
    <w:p w:rsidR="00DD3048" w:rsidRDefault="00BE02D0" w:rsidP="00DD3048">
      <w:pPr>
        <w:pStyle w:val="LTAntwortRessortText"/>
      </w:pPr>
      <w:r>
        <w:t>Mit I</w:t>
      </w:r>
      <w:r w:rsidR="00DD3048">
        <w:t>nnenministeriellem Schreiben (IMS) vom 22.09.2021 wurden den Ausländerbehörden entsprechende Hinweise zur Identitätsklärung gegeben. Bezüglich der Klärung der Identität eines Einbürgerungsbewerbers gilt das Ausgeführte analog. Über Handlungsempfehlungen des Bundesministeriums des Innern</w:t>
      </w:r>
      <w:r>
        <w:t xml:space="preserve"> und für Heimat</w:t>
      </w:r>
      <w:r w:rsidR="00DD3048">
        <w:t xml:space="preserve"> mit entsprechenden Vorgaben zur Identitätsklärung im Einbürgerungsverfahren sind die Staatsangehörigkeitsbehörden mit E-Mail vom 28.06.2019 unterrichtet worden.</w:t>
      </w:r>
    </w:p>
    <w:p w:rsidR="00DD3048" w:rsidRDefault="00DD3048">
      <w:bookmarkStart w:id="18" w:name="Frage_Nr_8_Ende"/>
      <w:bookmarkEnd w:id="1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6"/>
        <w:gridCol w:w="5810"/>
      </w:tblGrid>
      <w:tr w:rsidR="00DD3048" w:rsidTr="007B0B33">
        <w:tc>
          <w:tcPr>
            <w:tcW w:w="2050" w:type="dxa"/>
          </w:tcPr>
          <w:p w:rsidR="00DD3048" w:rsidRDefault="00DD3048" w:rsidP="00DD3048">
            <w:pPr>
              <w:pStyle w:val="LTAnfrageInitiator"/>
            </w:pPr>
            <w:r>
              <w:lastRenderedPageBreak/>
              <w:t>Abgeordneter</w:t>
            </w:r>
            <w:r>
              <w:rPr>
                <w:b/>
              </w:rPr>
              <w:br/>
              <w:t>Gerd</w:t>
            </w:r>
            <w:r>
              <w:rPr>
                <w:b/>
              </w:rPr>
              <w:br/>
              <w:t>Mannes</w:t>
            </w:r>
            <w:r>
              <w:rPr>
                <w:b/>
              </w:rPr>
              <w:br/>
            </w:r>
            <w:r>
              <w:t>(AfD)</w:t>
            </w:r>
            <w:bookmarkStart w:id="19" w:name="Frage_Nr_9"/>
            <w:bookmarkEnd w:id="19"/>
          </w:p>
        </w:tc>
        <w:tc>
          <w:tcPr>
            <w:tcW w:w="7200" w:type="dxa"/>
          </w:tcPr>
          <w:p w:rsidR="00DD3048" w:rsidRDefault="006B5825" w:rsidP="00DD3048">
            <w:pPr>
              <w:pStyle w:val="LTAnfrageText"/>
            </w:pPr>
            <w:r w:rsidRPr="006B5825">
              <w:t xml:space="preserve">Ich frage die Staatsregierung, wie viele Ukrainer kamen seit dem 24.02.2022 brutto nach Bayern, wie viele sich in Bayern aufhaltende Ukrainer haben seit dem 24.02.2022 Bürgergeld, Leistungen nach dem Zweiten Buch Sozialgesetzbuch (SGB II) oder irgendeine Form von Asylleistungen erhalten (wenn möglich, bitte jeweils tabellarisch aufschlüsseln) und wie viele Ukrainer, die seit dem 24.02.2022 nach Bayern gekommen sind, sind seither langfristig (dauerhaft) wieder in die Ukraine zurückgekehrt oder sind seither kurzfristig (z. B. kürzer als drei Monate) in die Ukraine zurückgegangen, aber letztlich wieder nach Bayern/Deutschland zurückgekommen (bitte jeweils tabellarisch aufschlüsseln)? </w:t>
            </w:r>
          </w:p>
        </w:tc>
      </w:tr>
    </w:tbl>
    <w:p w:rsidR="00DD3048" w:rsidRDefault="00DD3048" w:rsidP="00DD3048">
      <w:pPr>
        <w:pStyle w:val="LTUeberschrAntwortRessort"/>
      </w:pPr>
      <w:r>
        <w:t>Antwort des Staatsministeriums des Innern, für Sport und Integration</w:t>
      </w:r>
    </w:p>
    <w:p w:rsidR="00DD3048" w:rsidRDefault="00DD3048" w:rsidP="00DD3048">
      <w:pPr>
        <w:pStyle w:val="LTAntwortRessortText"/>
      </w:pPr>
      <w:r>
        <w:t>Die in Deutschland und damit auch im Freistaat Bayern aufhältigen Kriegsflüchtlinge aus der Ukraine werden im Ausländerzentralregister (AZR) erfasst, einer Datenbank des Bundes. Nach den seitens des Bundesamts für Migration und Flüchtlinge (BAMF) zur Verfügung gestellten Daten d</w:t>
      </w:r>
      <w:r w:rsidR="006B5825">
        <w:t>es AZR waren im Februar rd. 157 </w:t>
      </w:r>
      <w:r>
        <w:t>300 Kriegsflüchtlinge aus der Ukraine für Bayern im AZR registriert. Bei der genannten Zahl handelt es sich um den Höchststand seit Beginn des russischen Angriffskrieges. Aktuell sind rd. 150</w:t>
      </w:r>
      <w:r w:rsidR="006B5825">
        <w:t> </w:t>
      </w:r>
      <w:r>
        <w:t>500 Kriegsflüchtlinge aus der Ukraine für Bayern im AZR registriert.</w:t>
      </w:r>
    </w:p>
    <w:p w:rsidR="00DD3048" w:rsidRDefault="00DD3048" w:rsidP="00DD3048">
      <w:pPr>
        <w:pStyle w:val="LTAntwortRessortText"/>
      </w:pPr>
      <w:r>
        <w:t>Kriegsflüchtlinge aus der Ukraine sind im Übrigen im Bundesgebiet für einen Zeitraum von 90 Tagen ab Einreise vorübergehend vom Erfordernis eines Aufenthaltstitels befreit. Sie stellen in aller Regel keinen Asylantrag und sind daher nicht verpflichtet, in einer Asylunterkunft zu wohnen. Wer sich nicht längerfristig im Bundesgebiet aufhalten möchte, unterliegt zudem keiner Meldepflicht.</w:t>
      </w:r>
    </w:p>
    <w:p w:rsidR="00DD3048" w:rsidRDefault="00DD3048" w:rsidP="00DD3048">
      <w:pPr>
        <w:pStyle w:val="LTAntwortRessortText"/>
      </w:pPr>
      <w:r>
        <w:t>Dem Staatsministerium des Innern, für Sport und Integration liegen keine Erkenntnisse vor, wie viele Kriegsflüchtlinge aus der Ukraine bereits wieder langfristig in ihre Heimat zurückgekehrt oder kurzfristig wieder nach Bayern zurückgekehrt sind.</w:t>
      </w:r>
    </w:p>
    <w:p w:rsidR="00DD3048" w:rsidRDefault="00DD3048" w:rsidP="00DD3048">
      <w:pPr>
        <w:pStyle w:val="LTAntwortRessortText"/>
      </w:pPr>
      <w:r>
        <w:t xml:space="preserve">Nach dem Rechtskreiswechsel vom Asylbewerberleistungsgesetz ins </w:t>
      </w:r>
      <w:r w:rsidR="006B5825">
        <w:t>Sozialgesetzbuch (</w:t>
      </w:r>
      <w:r>
        <w:t>SGB</w:t>
      </w:r>
      <w:r w:rsidR="006B5825">
        <w:t>) Zweites Buch</w:t>
      </w:r>
      <w:r>
        <w:t xml:space="preserve"> </w:t>
      </w:r>
      <w:r w:rsidR="006B5825">
        <w:t>(</w:t>
      </w:r>
      <w:r>
        <w:t>II</w:t>
      </w:r>
      <w:r w:rsidR="006B5825">
        <w:t>)</w:t>
      </w:r>
      <w:r>
        <w:t xml:space="preserve"> haben zum Höchststand im Jahr 2022 im August 2022 91</w:t>
      </w:r>
      <w:r w:rsidR="006B5825">
        <w:t> </w:t>
      </w:r>
      <w:r>
        <w:t>807 ukrainische Staatsangehörige SGB II-Leistungen als Regelleistungsberechtigte erhalten.</w:t>
      </w:r>
    </w:p>
    <w:p w:rsidR="00DD3048" w:rsidRDefault="00DD3048" w:rsidP="00DD3048">
      <w:pPr>
        <w:pStyle w:val="LTAntwortRessortText"/>
      </w:pPr>
      <w:r>
        <w:t>Derzeit, nach aktuellsten Daten der Statistik der Bundesagentur für Arbeit vom 30.06.2023, bezogen im März 2023 93</w:t>
      </w:r>
      <w:r w:rsidR="006B5825">
        <w:t> </w:t>
      </w:r>
      <w:r>
        <w:t>657 ukrainische Staatsangehörige das zum 01.01.2023 neu eingeführte Bürgergeld als Regelleistungsberechtigte.</w:t>
      </w:r>
    </w:p>
    <w:p w:rsidR="00DD3048" w:rsidRDefault="00DD3048" w:rsidP="00DD3048">
      <w:pPr>
        <w:pStyle w:val="LTAntwortRessortText"/>
      </w:pPr>
      <w:r>
        <w:t>Eine statistische Auswertung von Leistungen nach dem Asylbewerberleistungsgesetz liegt nicht vor und kann in der zur Beantwortung der Anfrage zum Plenum zur Verfügung stehenden Zeit nicht geleistet werden.</w:t>
      </w:r>
    </w:p>
    <w:p w:rsidR="00DD3048" w:rsidRDefault="00DD3048">
      <w:bookmarkStart w:id="20" w:name="Frage_Nr_9_Ende"/>
      <w:bookmarkEnd w:id="2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6"/>
        <w:gridCol w:w="5790"/>
      </w:tblGrid>
      <w:tr w:rsidR="00DD3048" w:rsidTr="007B0B33">
        <w:tc>
          <w:tcPr>
            <w:tcW w:w="2050" w:type="dxa"/>
          </w:tcPr>
          <w:p w:rsidR="00DD3048" w:rsidRDefault="00DD3048" w:rsidP="00DD3048">
            <w:pPr>
              <w:pStyle w:val="LTAnfrageInitiator"/>
            </w:pPr>
            <w:r>
              <w:lastRenderedPageBreak/>
              <w:t>Abgeordneter</w:t>
            </w:r>
            <w:r>
              <w:rPr>
                <w:b/>
              </w:rPr>
              <w:br/>
              <w:t>Markus</w:t>
            </w:r>
            <w:r>
              <w:rPr>
                <w:b/>
              </w:rPr>
              <w:br/>
              <w:t>Rinderspacher</w:t>
            </w:r>
            <w:r>
              <w:rPr>
                <w:b/>
              </w:rPr>
              <w:br/>
            </w:r>
            <w:r>
              <w:t>(SPD)</w:t>
            </w:r>
            <w:bookmarkStart w:id="21" w:name="Frage_Nr_10"/>
            <w:bookmarkEnd w:id="21"/>
          </w:p>
        </w:tc>
        <w:tc>
          <w:tcPr>
            <w:tcW w:w="7200" w:type="dxa"/>
          </w:tcPr>
          <w:p w:rsidR="00DD3048" w:rsidRDefault="006B5825" w:rsidP="00DD3048">
            <w:pPr>
              <w:pStyle w:val="LTAnfrageText"/>
            </w:pPr>
            <w:r w:rsidRPr="006B5825">
              <w:t xml:space="preserve">Ich frage die Staatsregierung, wie ist die jeweilige personelle Soll- und Iststärke aller regionalen Polizeiinspektionen in München und Oberbayern zum 30.06.2023 (bitte aufgeschlüsselt nach Polizeiinspektionen angeben), wie hoch ist die jeweilige verfügbare Personalstärke aller regionalen Polizeiinspektionen in München und Oberbayern zum 30.06.2023 (bitte aufgeschlüsselt nach Polizeiinspektionen angeben) und wie hoch ist der Mehrarbeitsbestand für die Beamtinnen und Beamten der Bayerischen Polizei in München, Oberbayern und Bayern zum 30.06.2023 (bitte aufgeschlüsselt im Gesamten, nach Präsidien und Polizeiinspektionen angeben)?  </w:t>
            </w:r>
          </w:p>
        </w:tc>
      </w:tr>
    </w:tbl>
    <w:p w:rsidR="00DD3048" w:rsidRDefault="00DD3048" w:rsidP="00DD3048">
      <w:pPr>
        <w:pStyle w:val="LTUeberschrAntwortRessort"/>
      </w:pPr>
      <w:r>
        <w:t>Antwort des Staatsministeriums des Innern, für Sport und Integration</w:t>
      </w:r>
    </w:p>
    <w:p w:rsidR="00DD3048" w:rsidRDefault="00DD3048" w:rsidP="00DD3048">
      <w:pPr>
        <w:pStyle w:val="LTAntwortRessortText"/>
      </w:pPr>
      <w:r>
        <w:t xml:space="preserve">Bereits zum Juli 2020 wurde eine systemtechnische Umstellung der Datenerhebung von Personalkennzahlen vollzogen. Hierbei mussten systembedingt </w:t>
      </w:r>
      <w:r w:rsidR="006B5825">
        <w:t>–</w:t>
      </w:r>
      <w:r>
        <w:t xml:space="preserve"> aus Gründen der Qualitätssiche</w:t>
      </w:r>
      <w:r w:rsidR="006B5825">
        <w:t>rung –</w:t>
      </w:r>
      <w:r>
        <w:t xml:space="preserve"> die bisherigen Erhebungsstichtage 1. Januar bzw. 1. Juli auf den 31. Januar bzw. 31. Juli umgestellt werden. Die angefragten Personalstärken zum 30.</w:t>
      </w:r>
      <w:r w:rsidR="006B5825">
        <w:t>06.</w:t>
      </w:r>
      <w:r>
        <w:t>2023 liegen demnach nicht vor. Es werden daher die Stärken zum Stichtag 31.</w:t>
      </w:r>
      <w:r w:rsidR="006B5825">
        <w:t>01.</w:t>
      </w:r>
      <w:r>
        <w:t>2023 beauskunftet (Anlage 1</w:t>
      </w:r>
      <w:r w:rsidR="007735EA">
        <w:rPr>
          <w:rStyle w:val="Funotenzeichen"/>
        </w:rPr>
        <w:footnoteReference w:id="3"/>
      </w:r>
      <w:r w:rsidR="007735EA">
        <w:t xml:space="preserve"> </w:t>
      </w:r>
      <w:r>
        <w:t>).</w:t>
      </w:r>
    </w:p>
    <w:p w:rsidR="00DD3048" w:rsidRDefault="00DD3048" w:rsidP="00DD3048">
      <w:pPr>
        <w:pStyle w:val="LTAntwortRessortText"/>
      </w:pPr>
      <w:r>
        <w:t>Die Sollstärken der angefragten Dienststellen können der Antwort des Staatsministeriums des Innern, für Sport und Integration</w:t>
      </w:r>
      <w:r w:rsidR="007735EA">
        <w:t xml:space="preserve"> (StMI)</w:t>
      </w:r>
      <w:r>
        <w:t xml:space="preserve"> vom 30.</w:t>
      </w:r>
      <w:r w:rsidR="006B5825">
        <w:t>01.</w:t>
      </w:r>
      <w:r>
        <w:t xml:space="preserve">2020 </w:t>
      </w:r>
      <w:r w:rsidR="006B5825">
        <w:t>auf die</w:t>
      </w:r>
      <w:r>
        <w:t xml:space="preserve"> Schriftliche Anfrage des Abgeordneten Markus Rinderspacher (SPD) vom </w:t>
      </w:r>
      <w:r w:rsidR="006B5825">
        <w:t>0</w:t>
      </w:r>
      <w:r>
        <w:t>1.</w:t>
      </w:r>
      <w:r w:rsidR="006B5825">
        <w:t>01.</w:t>
      </w:r>
      <w:r>
        <w:t>2020 (Drs. 18/6077 vom 27.</w:t>
      </w:r>
      <w:r w:rsidR="006B5825">
        <w:t>03.</w:t>
      </w:r>
      <w:r>
        <w:t xml:space="preserve">2020, berichtigt am </w:t>
      </w:r>
      <w:r w:rsidR="006B5825">
        <w:t>0</w:t>
      </w:r>
      <w:r>
        <w:t>7.</w:t>
      </w:r>
      <w:r w:rsidR="006B5825">
        <w:t>04.</w:t>
      </w:r>
      <w:r>
        <w:t>2020) entnommen werden.</w:t>
      </w:r>
    </w:p>
    <w:p w:rsidR="00DD3048" w:rsidRDefault="00DD3048" w:rsidP="00DD3048">
      <w:pPr>
        <w:pStyle w:val="LTAntwortRessortText"/>
      </w:pPr>
      <w:r>
        <w:t>Unter Iststärke versteht man die tatsächlich zu einer Dienststelle versetzten oder umgesetzten Beamtinnen und Beamten.</w:t>
      </w:r>
    </w:p>
    <w:p w:rsidR="00DD3048" w:rsidRDefault="00DD3048" w:rsidP="00DD3048">
      <w:pPr>
        <w:pStyle w:val="LTAntwortRessortText"/>
      </w:pPr>
      <w:r>
        <w:t>Die Verfügbare Personalstärke (VPS) einer einzelnen Polizeidienststelle wird aus der teilzeitbereinigten Iststärke abzüglich Abwesenheiten (insbesondere verfügte Abordnungen zu anderen Dienststellen/Organisationseinheiten, Studium für die nächsthöhere Qualifikationsebene,</w:t>
      </w:r>
      <w:r w:rsidR="006B5825">
        <w:t xml:space="preserve"> </w:t>
      </w:r>
      <w:r>
        <w:t>Mutterschutz, Elternzeit, Sonderurlaub, langfristige Erkrankungen oder Freistellungen) und zuzüglich verfügter Zuordnungen berechnet. Als langfristige Erkrankungen in diesem Sinne gelten zusammenhängende Zeiträume von mehr als sechs Wochen. Nachdem die VPS im Zusammenhang mit einer punktuellen Erhebung der verfügbaren Beamten zu einem bestimmten Stichtag aufgrund vorgenannter Aspekte nicht unerheblichen Schwankungen unterliegt, wird der durchschnittliche Wert der VPS für die Halbjahre eines Kalenderjahres angegeben.</w:t>
      </w:r>
    </w:p>
    <w:p w:rsidR="00DD3048" w:rsidRDefault="00DD3048" w:rsidP="00DD3048">
      <w:pPr>
        <w:pStyle w:val="LTAntwortRessortText"/>
      </w:pPr>
      <w:r>
        <w:t>Im Hinblick auf die Fragestellung zur Mehrarbeit darf auf die Antwort des</w:t>
      </w:r>
      <w:r w:rsidR="007735EA">
        <w:t xml:space="preserve"> StMI</w:t>
      </w:r>
      <w:r>
        <w:t xml:space="preserve"> vom 15.</w:t>
      </w:r>
      <w:r w:rsidR="007735EA">
        <w:t>02.</w:t>
      </w:r>
      <w:r>
        <w:t xml:space="preserve">2023 </w:t>
      </w:r>
      <w:r w:rsidR="007735EA">
        <w:t>auf die</w:t>
      </w:r>
      <w:r>
        <w:t xml:space="preserve"> Schriftliche Anfrage des Abgeordneten Markus Rinderspacher </w:t>
      </w:r>
      <w:r w:rsidR="007735EA">
        <w:t xml:space="preserve">(SPD) </w:t>
      </w:r>
      <w:r>
        <w:t xml:space="preserve">vom </w:t>
      </w:r>
      <w:r w:rsidR="007735EA">
        <w:t>0</w:t>
      </w:r>
      <w:r>
        <w:t>2.</w:t>
      </w:r>
      <w:r w:rsidR="007735EA">
        <w:t>01.</w:t>
      </w:r>
      <w:r>
        <w:t>2023 (Drs. 18/27468 vom 12.</w:t>
      </w:r>
      <w:r w:rsidR="007735EA">
        <w:t>05.</w:t>
      </w:r>
      <w:r>
        <w:t>2023) verwiesen werden, der der Bestand an Mehrarbeitsstunden für die gesamte Bayerische Polizei und für die einzelnen Polizeiverbände entnommen werden kann.</w:t>
      </w:r>
    </w:p>
    <w:p w:rsidR="00DD3048" w:rsidRDefault="00DD3048" w:rsidP="00DD3048">
      <w:pPr>
        <w:pStyle w:val="LTAntwortRessortText"/>
      </w:pPr>
      <w:r>
        <w:t>Das St</w:t>
      </w:r>
      <w:r w:rsidR="007735EA">
        <w:t>MI</w:t>
      </w:r>
      <w:r>
        <w:t xml:space="preserve"> erhebt jährlich zum festgelegten Stichtag 30. November den Mehrarbeitsstundenbestand für alle Beamtinnen und Beamten der Bayerischen Polizei. Die Mehrarbeit von Dienststellen nachgeordneter Organisationseinheiten (Stationen, </w:t>
      </w:r>
      <w:r>
        <w:lastRenderedPageBreak/>
        <w:t>Wachen etc.) wird nicht einzeln erfasst, sondern ist in der Gesamtzahl der jeweilig übergeordneten Dienststellen enthalten. Die Darstellung der Mehrarbeit pro Beamtin und Beamten bezieht sich auf die Iststärke der Organisationseinheit zum jeweiligen Zeitpunkt.</w:t>
      </w:r>
    </w:p>
    <w:p w:rsidR="00DD3048" w:rsidRDefault="00DD3048" w:rsidP="00DD3048">
      <w:pPr>
        <w:pStyle w:val="LTAntwortRessortText"/>
      </w:pPr>
      <w:r>
        <w:t>Im Einzelnen zeigte sich zum 30.</w:t>
      </w:r>
      <w:r w:rsidR="007735EA">
        <w:t>11.</w:t>
      </w:r>
      <w:r>
        <w:t>2022 der als Anlage 2</w:t>
      </w:r>
      <w:r w:rsidR="007735EA">
        <w:t xml:space="preserve"> </w:t>
      </w:r>
      <w:r w:rsidR="007735EA">
        <w:rPr>
          <w:rStyle w:val="Funotenzeichen"/>
        </w:rPr>
        <w:footnoteReference w:id="4"/>
      </w:r>
      <w:r>
        <w:t xml:space="preserve"> beigefügte Bestand an gemeldeten Mehrarbeitsstunden für die Präsidien Oberbayern Nord, Oberbayern Süd und München.</w:t>
      </w:r>
    </w:p>
    <w:p w:rsidR="00DD3048" w:rsidRDefault="00DD3048">
      <w:bookmarkStart w:id="22" w:name="Frage_Nr_10_Ende"/>
      <w:bookmarkEnd w:id="2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4"/>
        <w:gridCol w:w="5782"/>
      </w:tblGrid>
      <w:tr w:rsidR="00DD3048" w:rsidTr="007B0B33">
        <w:tc>
          <w:tcPr>
            <w:tcW w:w="2050" w:type="dxa"/>
          </w:tcPr>
          <w:p w:rsidR="00DD3048" w:rsidRDefault="00DD3048" w:rsidP="00DD3048">
            <w:pPr>
              <w:pStyle w:val="LTAnfrageInitiator"/>
            </w:pPr>
            <w:r>
              <w:lastRenderedPageBreak/>
              <w:t>Abgeordneter</w:t>
            </w:r>
            <w:r>
              <w:rPr>
                <w:b/>
              </w:rPr>
              <w:br/>
              <w:t>Florian</w:t>
            </w:r>
            <w:r>
              <w:rPr>
                <w:b/>
              </w:rPr>
              <w:br/>
              <w:t>Ritter</w:t>
            </w:r>
            <w:r>
              <w:rPr>
                <w:b/>
              </w:rPr>
              <w:br/>
            </w:r>
            <w:r>
              <w:t>(SPD)</w:t>
            </w:r>
            <w:bookmarkStart w:id="23" w:name="Frage_Nr_11"/>
            <w:bookmarkEnd w:id="23"/>
          </w:p>
        </w:tc>
        <w:tc>
          <w:tcPr>
            <w:tcW w:w="7200" w:type="dxa"/>
          </w:tcPr>
          <w:p w:rsidR="00DD3048" w:rsidRDefault="002F72A7" w:rsidP="00DD3048">
            <w:pPr>
              <w:pStyle w:val="LTAnfrageText"/>
            </w:pPr>
            <w:r w:rsidRPr="002F72A7">
              <w:t xml:space="preserve">Nachdem die österreichischen Sicherheitsbehörden große Mengen an Waffen, Munition und NS-Devotionalien bei sich dort wohl in Gründung befindlichen Outlaw Motorcycle Gangs (OMCG) sichergestellt haben und da Ausgangpunkt laut Medien die Festnahme eines deutschen Staatsbürgers und mutmaßlichen Waffenlieferanten bei der Einreise nach Österreich war, bei dem Schusswaffen, Kriegsmaterial und Munition sichergestellt wurde und der sich laut Staatsanwaltschaft Ried in Bayern in U-Haft befindet, frage ich die Staatsregierung, welche Ergebnisse die letzten Durchsuchungen bei bayerischen OMCGs hinsichtlich Waffen, Munition, Geld und NS-Devotionalien erbracht haben, ob bayerische Ableger die Expansion der OMCGs nach Österreich in irgendeiner Weise, insbesondere materiell, unterstützt haben und welche Tatvorwürfe gegen den beim Grenzübertritt verhafteten Angehörigen der Bandidos vorliegen?  </w:t>
            </w:r>
          </w:p>
        </w:tc>
      </w:tr>
    </w:tbl>
    <w:p w:rsidR="00DD3048" w:rsidRDefault="00DD3048" w:rsidP="00DD3048">
      <w:pPr>
        <w:pStyle w:val="LTUeberschrAntwortRessort"/>
      </w:pPr>
      <w:r>
        <w:t>Antwort des Staatsministeriums des Innern, für Sport und Integration</w:t>
      </w:r>
    </w:p>
    <w:p w:rsidR="00DD3048" w:rsidRDefault="00DD3048" w:rsidP="00DD3048">
      <w:pPr>
        <w:pStyle w:val="LTAntwortRessortText"/>
      </w:pPr>
      <w:r>
        <w:t>In Bezug auf den ersten Teil der Anfrage sind keine expliziten, validen Rechercheparameter, die eine automatisierte statistische Auswertung im Sinne der Fragestellung ermöglichen würden, vorhanden. Die Fragestellung ließe sich nur nach einer umfangreichen manuellen (Einzel-)Auswertung insbesondere von polizeilichen, aber auch staatsanwaltschaftlichen Akten und Datenbeständen innerhalb aller polizeilichen Verbände beantworten.</w:t>
      </w:r>
    </w:p>
    <w:p w:rsidR="00DD3048" w:rsidRDefault="00DD3048" w:rsidP="00DD3048">
      <w:pPr>
        <w:pStyle w:val="LTAntwortRessortText"/>
      </w:pPr>
      <w:r>
        <w:t>Eine derart umfangreiche manuelle (Einzel-)Auswertung für eine valide Beantwortung dieser (Teil-)Fragestellung ist innerhalb der Antwortfrist auch eingedenk der Bedeutung des sich aus</w:t>
      </w:r>
      <w:r w:rsidR="002F72A7">
        <w:t xml:space="preserve"> </w:t>
      </w:r>
      <w:r>
        <w:t xml:space="preserve">Art. 13 Abs. 2, 16a Abs. 1 und 2 S. 1 </w:t>
      </w:r>
      <w:r w:rsidR="00F86E48">
        <w:t xml:space="preserve">der Bayerischen Verfassung </w:t>
      </w:r>
      <w:r>
        <w:t>ergebenden Fragerechts der Abgeordneten des Landtags nicht darstellbar.</w:t>
      </w:r>
    </w:p>
    <w:p w:rsidR="00DD3048" w:rsidRDefault="00DD3048" w:rsidP="00DD3048">
      <w:pPr>
        <w:pStyle w:val="LTAntwortRessortText"/>
      </w:pPr>
      <w:r>
        <w:t xml:space="preserve">Hinsichtlich Teil 2 der Fragestellung sind weder dem Landeskriminalamt (BLKA) noch den vom Grenzverkehr mit Österreich maßgeblich betroffenen Polizeipräsidien Oberbayern Süd und Niederbayern eine Beteiligung bayerischer </w:t>
      </w:r>
      <w:r w:rsidR="002F72A7">
        <w:t>„</w:t>
      </w:r>
      <w:r>
        <w:t>Ableger</w:t>
      </w:r>
      <w:r w:rsidR="002F72A7">
        <w:t>“</w:t>
      </w:r>
      <w:r>
        <w:t xml:space="preserve"> von Outlaw Motorcycle Gangs (OMCG) oder Rockergruppierungen bei der Gründung bzw. dem Aufbau eines </w:t>
      </w:r>
      <w:r w:rsidR="002F72A7">
        <w:t>„</w:t>
      </w:r>
      <w:r>
        <w:t>Ablegers</w:t>
      </w:r>
      <w:r w:rsidR="002F72A7">
        <w:t>“</w:t>
      </w:r>
      <w:r>
        <w:t xml:space="preserve"> in Österreich bekannt.</w:t>
      </w:r>
    </w:p>
    <w:p w:rsidR="00DD3048" w:rsidRDefault="00DD3048" w:rsidP="00DD3048">
      <w:pPr>
        <w:pStyle w:val="LTAntwortRessortText"/>
      </w:pPr>
      <w:r>
        <w:t>Es darf jedoch darauf hingewiesen werden, dass Mitglieder oftmals und auch mehrfach innerhalb von OMCGs ihre Mitgliedschaft und zum Teil auch überregional zu anderen örtlichen Ablegern ändern bzw. wechseln. Aufgrund der zur Beantwortung zur Verfügung stehenden Zeit war diesbezüglich jedoch eine entsprechend detaillierte Abfrage aller Polizeiverbände im Sinne einer validen Beantwortung nicht möglich.</w:t>
      </w:r>
    </w:p>
    <w:p w:rsidR="00DD3048" w:rsidRDefault="00DD3048" w:rsidP="00DD3048">
      <w:pPr>
        <w:pStyle w:val="LTAntwortRessortText"/>
      </w:pPr>
      <w:r>
        <w:t>Zu Teil 3 der Fragestellung können wir nach Einbindung des Staatsministeriums der Justiz mitteilen, dass ein Ende November 2022 beim Grenzübertritt aus Österreich festgenommener Beschuldigter durch die Staatsanwaltschaft Landshut u.</w:t>
      </w:r>
      <w:r w:rsidR="002F72A7">
        <w:t> </w:t>
      </w:r>
      <w:r>
        <w:t>a. wegen Verstoßes gegen das Kriegswaffenkontrollgesetz verfolgt wird.</w:t>
      </w:r>
    </w:p>
    <w:p w:rsidR="00DD3048" w:rsidRDefault="00DD3048">
      <w:bookmarkStart w:id="24" w:name="Frage_Nr_11_Ende"/>
      <w:bookmarkEnd w:id="2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5"/>
        <w:gridCol w:w="5781"/>
      </w:tblGrid>
      <w:tr w:rsidR="00DD3048" w:rsidTr="007B0B33">
        <w:tc>
          <w:tcPr>
            <w:tcW w:w="2050" w:type="dxa"/>
          </w:tcPr>
          <w:p w:rsidR="00DD3048" w:rsidRDefault="00DD3048" w:rsidP="00DD3048">
            <w:pPr>
              <w:pStyle w:val="LTAnfrageInitiator"/>
            </w:pPr>
            <w:r>
              <w:lastRenderedPageBreak/>
              <w:t>Abgeordneter</w:t>
            </w:r>
            <w:r>
              <w:rPr>
                <w:b/>
              </w:rPr>
              <w:br/>
              <w:t>Jan</w:t>
            </w:r>
            <w:r>
              <w:rPr>
                <w:b/>
              </w:rPr>
              <w:br/>
              <w:t>Schiffers</w:t>
            </w:r>
            <w:r>
              <w:rPr>
                <w:b/>
              </w:rPr>
              <w:br/>
            </w:r>
            <w:r>
              <w:t>(AfD)</w:t>
            </w:r>
            <w:bookmarkStart w:id="25" w:name="Frage_Nr_12"/>
            <w:bookmarkEnd w:id="25"/>
          </w:p>
        </w:tc>
        <w:tc>
          <w:tcPr>
            <w:tcW w:w="7200" w:type="dxa"/>
          </w:tcPr>
          <w:p w:rsidR="00DD3048" w:rsidRDefault="005B7466" w:rsidP="00DD3048">
            <w:pPr>
              <w:pStyle w:val="LTAnfrageText"/>
            </w:pPr>
            <w:r w:rsidRPr="005B7466">
              <w:t xml:space="preserve">Ich frage die Staatsregierung, mit welchen Ausweispapieren ist der in der vergangenen Woche festgenommene IS-Terrorver-dächtige in die Bundesrepublik Deutschland eingereist, wie ist der aktuelle Aufenthaltsstatus des Verdächtigen und lagen bereits vor der Festnahme Straftaten oder Abschiebegründe gegen den Verdächtigen vor? </w:t>
            </w:r>
          </w:p>
        </w:tc>
      </w:tr>
    </w:tbl>
    <w:p w:rsidR="00DD3048" w:rsidRDefault="00DD3048" w:rsidP="00DD3048">
      <w:pPr>
        <w:pStyle w:val="LTUeberschrAntwortRessort"/>
      </w:pPr>
      <w:r>
        <w:t>Antwort des Staatsministeriums des Innern, für Sport und Integration</w:t>
      </w:r>
    </w:p>
    <w:p w:rsidR="00DD3048" w:rsidRDefault="00DD3048" w:rsidP="00DD3048">
      <w:pPr>
        <w:pStyle w:val="LTAntwortRessortText"/>
      </w:pPr>
      <w:r>
        <w:t>Es wird davon ausgegangen, dass sich die Anfrage u.</w:t>
      </w:r>
      <w:r w:rsidR="00430FCA">
        <w:t> </w:t>
      </w:r>
      <w:r>
        <w:t>a. auf die aktuelle Berichterstattung (u.</w:t>
      </w:r>
      <w:r w:rsidR="00430FCA">
        <w:t> </w:t>
      </w:r>
      <w:r>
        <w:t xml:space="preserve">a. Stern, Bayerischer Rundfunk, Süddeutsche Zeitung) anlässlich der Verhaftung eines mutmaßlichen Terroristen des </w:t>
      </w:r>
      <w:r w:rsidR="00430FCA">
        <w:t>„</w:t>
      </w:r>
      <w:r>
        <w:t>Islamischen Staats</w:t>
      </w:r>
      <w:r w:rsidR="00430FCA">
        <w:t>“</w:t>
      </w:r>
      <w:r>
        <w:t xml:space="preserve"> mit tadschikischer Staatsangehörigkeit am Donnerstag, den 29.06.2023 im Landkreis Kronach, bezieht.</w:t>
      </w:r>
    </w:p>
    <w:p w:rsidR="00DD3048" w:rsidRDefault="00DD3048" w:rsidP="00DD3048">
      <w:pPr>
        <w:pStyle w:val="LTAntwortRessortText"/>
      </w:pPr>
      <w:r>
        <w:t>Die Einreise erfolgte mit einem gültigen tadschikischen Reisepass. Aufgrund einer erfolgten Asylantragstellung befindet sich der Betroffene im Status der Aufenthaltsgestattung und ist daher nicht vollziehbar ausreisepflichtig.</w:t>
      </w:r>
    </w:p>
    <w:p w:rsidR="00DD3048" w:rsidRDefault="00DD3048" w:rsidP="00DD3048">
      <w:pPr>
        <w:pStyle w:val="LTAntwortRessortText"/>
      </w:pPr>
      <w:r>
        <w:t>Die Fragestellung, ob bereits vor der Festnahme Straftaten gegen den Verdächtigen vorlagen, zielt auf die Offenlegung personenbezogener Daten zu einer Einzelperson ab. Die dem parlamentarischen Fragerecht durch die grundrechtlich geschützten Persönlichkeitsrechte der Betroffenen gesetzten Grenzen (vgl. hierzu BayVerfGH, Entscheidungen vom 11.</w:t>
      </w:r>
      <w:r w:rsidR="00430FCA">
        <w:t>09.</w:t>
      </w:r>
      <w:r>
        <w:t>2014, Az.: Vf. 67-IVa-13, Rz. 36 und vom 20.</w:t>
      </w:r>
      <w:r w:rsidR="00430FCA">
        <w:t>03.</w:t>
      </w:r>
      <w:r>
        <w:t xml:space="preserve">2014, Az. Vf. 72-IVa-12, Rz. 83f. </w:t>
      </w:r>
      <w:r w:rsidR="00430FCA">
        <w:t>–</w:t>
      </w:r>
      <w:r>
        <w:t xml:space="preserve"> jeweils mit weiteren Nachweisen) sind daher zu berücksichtigen. Die gebotene Abwägung dieser grundrechtlich geschützten Positionen der Betroffenen mit dem Recht der Abgeordneten auf umfassende Information ergibt im vorliegenden Fall, dass hier eine Beantwortung nicht statthaft ist. Ein überwiegendes Informationsinteresse, das eine Offenlegung von Angaben zu Einzelpersonen rechtfertigt, die für den Fragesteller oder Dritte, denen die Information durch die Drucklegung zugänglich werden, zumindest aufgrund von Zusatzinformationen identifiziert</w:t>
      </w:r>
      <w:r w:rsidR="00430FCA">
        <w:t xml:space="preserve"> </w:t>
      </w:r>
      <w:r>
        <w:t>werden können, ist weder dargelegt noch erkennbar. Im vorliegenden Fall ergeben sich auch unter Berücksichtigung der vorgesehenen Drucklegung kein</w:t>
      </w:r>
      <w:r w:rsidR="00430FCA">
        <w:t>e Anhaltspunkte für ein spezifi</w:t>
      </w:r>
      <w:r>
        <w:t>sches, die Schutzrechte des Betroffenen überwiegendes parlamentarisches Kontrollinteresse.</w:t>
      </w:r>
    </w:p>
    <w:p w:rsidR="00DD3048" w:rsidRDefault="00DD3048">
      <w:bookmarkStart w:id="26" w:name="Frage_Nr_12_Ende"/>
      <w:bookmarkEnd w:id="2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9"/>
        <w:gridCol w:w="5797"/>
      </w:tblGrid>
      <w:tr w:rsidR="00DD3048" w:rsidTr="007B0B33">
        <w:tc>
          <w:tcPr>
            <w:tcW w:w="2050" w:type="dxa"/>
          </w:tcPr>
          <w:p w:rsidR="00DD3048" w:rsidRDefault="00DD3048" w:rsidP="00DD3048">
            <w:pPr>
              <w:pStyle w:val="LTAnfrageInitiator"/>
            </w:pPr>
            <w:r>
              <w:lastRenderedPageBreak/>
              <w:t>Abgeordneter</w:t>
            </w:r>
            <w:r>
              <w:rPr>
                <w:b/>
              </w:rPr>
              <w:br/>
              <w:t>Ulrich</w:t>
            </w:r>
            <w:r>
              <w:rPr>
                <w:b/>
              </w:rPr>
              <w:br/>
              <w:t>Singer</w:t>
            </w:r>
            <w:r>
              <w:rPr>
                <w:b/>
              </w:rPr>
              <w:br/>
            </w:r>
            <w:r>
              <w:t>(AfD)</w:t>
            </w:r>
            <w:bookmarkStart w:id="27" w:name="Frage_Nr_13"/>
            <w:bookmarkEnd w:id="27"/>
          </w:p>
        </w:tc>
        <w:tc>
          <w:tcPr>
            <w:tcW w:w="7200" w:type="dxa"/>
          </w:tcPr>
          <w:p w:rsidR="00DD3048" w:rsidRDefault="00D84EBE" w:rsidP="00DD3048">
            <w:pPr>
              <w:pStyle w:val="LTAnfrageText"/>
            </w:pPr>
            <w:r w:rsidRPr="00D84EBE">
              <w:t>Ich frage die Staatsregierung, wie viele straffällige Kinder und Jugendliche gab es in Bayern im Jahr 2022 im Vergleich zu 2014, 2015, 2016, 2017, 2018, 2019, 2020 und 2021 (bitte einzeln in Jahren und Alter auflisten), welche Maßnahmen möchte die Staatsregierung ergreifen, um zu verhindern, dass sich Kinder und Jugendliche teilweise auf sozialen Medien wie z. B. „TikTok“ für Gewalttaten feiern lassen und angespornt werden, es nachzumachen, und falls keine solche Maßnahmen geplant sind, warum nicht?</w:t>
            </w:r>
          </w:p>
        </w:tc>
      </w:tr>
    </w:tbl>
    <w:p w:rsidR="00DD3048" w:rsidRDefault="00DD3048" w:rsidP="00DD3048">
      <w:pPr>
        <w:pStyle w:val="LTUeberschrAntwortRessort"/>
      </w:pPr>
      <w:r>
        <w:t>Antwort des Staatsministeriums des Innern, für Sport und Integration</w:t>
      </w:r>
    </w:p>
    <w:p w:rsidR="00DD3048" w:rsidRDefault="00DD3048" w:rsidP="00DD3048">
      <w:pPr>
        <w:pStyle w:val="LTAntwortRessortText"/>
      </w:pPr>
      <w:r>
        <w:t>Die Beantwortung der ersten Teilfrage erfolgt auf Basis der nach bundeseinheitlichen Richtlinien geführten Polizeilichen Kriminalstatistik (PKS). Diese Statistik enthält alle der Bayerischen)Polizei bekannt gewordenen Straftaten zum Zeitpunkt der Abgabe an die Staatsanwaltschaft.</w:t>
      </w:r>
    </w:p>
    <w:p w:rsidR="00DD3048" w:rsidRDefault="00DD3048" w:rsidP="00DD3048">
      <w:pPr>
        <w:pStyle w:val="LTAntwortRessortText"/>
      </w:pPr>
      <w:r>
        <w:t>Nachfolgende Tabelle stellt die Anzahl der als Tatverdächtige in die Statistik eingegangenen Minderjährigen und Heranwachsenden für ganz Bayern dar:</w:t>
      </w:r>
    </w:p>
    <w:p w:rsidR="00DD3048" w:rsidRDefault="00DD3048" w:rsidP="00DD3048">
      <w:pPr>
        <w:pStyle w:val="LTAntwortRessortText"/>
      </w:pPr>
    </w:p>
    <w:tbl>
      <w:tblPr>
        <w:tblStyle w:val="TableNormal"/>
        <w:tblW w:w="902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56"/>
        <w:gridCol w:w="739"/>
        <w:gridCol w:w="1044"/>
        <w:gridCol w:w="1105"/>
        <w:gridCol w:w="524"/>
        <w:gridCol w:w="454"/>
        <w:gridCol w:w="456"/>
        <w:gridCol w:w="454"/>
        <w:gridCol w:w="454"/>
        <w:gridCol w:w="531"/>
        <w:gridCol w:w="521"/>
        <w:gridCol w:w="523"/>
        <w:gridCol w:w="531"/>
        <w:gridCol w:w="636"/>
        <w:gridCol w:w="598"/>
      </w:tblGrid>
      <w:tr w:rsidR="00D84EBE" w:rsidRPr="00D84EBE" w:rsidTr="00B235A5">
        <w:trPr>
          <w:trHeight w:val="316"/>
          <w:jc w:val="center"/>
        </w:trPr>
        <w:tc>
          <w:tcPr>
            <w:tcW w:w="9026" w:type="dxa"/>
            <w:gridSpan w:val="15"/>
            <w:shd w:val="clear" w:color="auto" w:fill="auto"/>
            <w:vAlign w:val="center"/>
          </w:tcPr>
          <w:p w:rsidR="00D84EBE" w:rsidRPr="00D84EBE" w:rsidRDefault="00D84EBE" w:rsidP="00D84EBE">
            <w:pPr>
              <w:pStyle w:val="TableParagraph"/>
              <w:spacing w:before="0"/>
              <w:ind w:left="0"/>
              <w:jc w:val="center"/>
              <w:rPr>
                <w:rFonts w:ascii="Arial" w:hAnsi="Arial" w:cs="Arial"/>
                <w:b/>
                <w:sz w:val="14"/>
                <w:szCs w:val="16"/>
              </w:rPr>
            </w:pPr>
            <w:r w:rsidRPr="00D84EBE">
              <w:rPr>
                <w:rFonts w:ascii="Arial" w:hAnsi="Arial" w:cs="Arial"/>
                <w:b/>
                <w:sz w:val="14"/>
                <w:szCs w:val="16"/>
              </w:rPr>
              <w:t>Tatverdächtige unter 21 Jahre, Bayern gesamt</w:t>
            </w:r>
          </w:p>
        </w:tc>
      </w:tr>
      <w:tr w:rsidR="00D84EBE" w:rsidRPr="00D84EBE" w:rsidTr="00B235A5">
        <w:trPr>
          <w:trHeight w:val="320"/>
          <w:jc w:val="center"/>
        </w:trPr>
        <w:tc>
          <w:tcPr>
            <w:tcW w:w="456" w:type="dxa"/>
            <w:vMerge w:val="restart"/>
            <w:tcBorders>
              <w:left w:val="single" w:sz="4" w:space="0" w:color="000000"/>
              <w:bottom w:val="single" w:sz="4" w:space="0" w:color="000000"/>
              <w:right w:val="single" w:sz="4" w:space="0" w:color="000000"/>
            </w:tcBorders>
            <w:shd w:val="clear" w:color="auto" w:fill="auto"/>
            <w:vAlign w:val="center"/>
          </w:tcPr>
          <w:p w:rsidR="00D84EBE" w:rsidRPr="00D84EBE" w:rsidRDefault="00D84EBE" w:rsidP="00D84EBE">
            <w:pPr>
              <w:pStyle w:val="TableParagraph"/>
              <w:spacing w:before="0"/>
              <w:ind w:left="0"/>
              <w:jc w:val="center"/>
              <w:rPr>
                <w:rFonts w:ascii="Arial" w:hAnsi="Arial" w:cs="Arial"/>
                <w:sz w:val="14"/>
                <w:szCs w:val="16"/>
              </w:rPr>
            </w:pPr>
            <w:r w:rsidRPr="00D84EBE">
              <w:rPr>
                <w:rFonts w:ascii="Arial" w:hAnsi="Arial" w:cs="Arial"/>
                <w:sz w:val="14"/>
                <w:szCs w:val="16"/>
              </w:rPr>
              <w:t>Jahr</w:t>
            </w:r>
          </w:p>
        </w:tc>
        <w:tc>
          <w:tcPr>
            <w:tcW w:w="739" w:type="dxa"/>
            <w:vMerge w:val="restart"/>
            <w:tcBorders>
              <w:left w:val="single" w:sz="4" w:space="0" w:color="000000"/>
              <w:bottom w:val="single" w:sz="4" w:space="0" w:color="000000"/>
              <w:right w:val="single" w:sz="4" w:space="0" w:color="000000"/>
            </w:tcBorders>
            <w:shd w:val="clear" w:color="auto" w:fill="auto"/>
            <w:vAlign w:val="center"/>
          </w:tcPr>
          <w:p w:rsidR="00D84EBE" w:rsidRPr="00D84EBE" w:rsidRDefault="00D84EBE" w:rsidP="00D84EBE">
            <w:pPr>
              <w:pStyle w:val="TableParagraph"/>
              <w:spacing w:before="0"/>
              <w:ind w:left="0"/>
              <w:jc w:val="center"/>
              <w:rPr>
                <w:rFonts w:ascii="Arial" w:hAnsi="Arial" w:cs="Arial"/>
                <w:sz w:val="14"/>
                <w:szCs w:val="16"/>
              </w:rPr>
            </w:pPr>
            <w:r w:rsidRPr="00D84EBE">
              <w:rPr>
                <w:rFonts w:ascii="Arial" w:hAnsi="Arial" w:cs="Arial"/>
                <w:sz w:val="14"/>
                <w:szCs w:val="16"/>
              </w:rPr>
              <w:t>Schlüssel der Tat</w:t>
            </w:r>
          </w:p>
        </w:tc>
        <w:tc>
          <w:tcPr>
            <w:tcW w:w="1044" w:type="dxa"/>
            <w:vMerge w:val="restart"/>
            <w:tcBorders>
              <w:left w:val="single" w:sz="4" w:space="0" w:color="000000"/>
              <w:bottom w:val="single" w:sz="4" w:space="0" w:color="000000"/>
              <w:right w:val="single" w:sz="4" w:space="0" w:color="000000"/>
            </w:tcBorders>
            <w:shd w:val="clear" w:color="auto" w:fill="auto"/>
            <w:vAlign w:val="center"/>
          </w:tcPr>
          <w:p w:rsidR="00D84EBE" w:rsidRPr="00D84EBE" w:rsidRDefault="00D84EBE" w:rsidP="00D84EBE">
            <w:pPr>
              <w:pStyle w:val="TableParagraph"/>
              <w:spacing w:before="0"/>
              <w:ind w:left="0"/>
              <w:jc w:val="center"/>
              <w:rPr>
                <w:rFonts w:ascii="Arial" w:hAnsi="Arial" w:cs="Arial"/>
                <w:sz w:val="14"/>
                <w:szCs w:val="16"/>
              </w:rPr>
            </w:pPr>
            <w:r w:rsidRPr="00D84EBE">
              <w:rPr>
                <w:rFonts w:ascii="Arial" w:hAnsi="Arial" w:cs="Arial"/>
                <w:sz w:val="14"/>
                <w:szCs w:val="16"/>
              </w:rPr>
              <w:t>Straftat</w:t>
            </w:r>
          </w:p>
        </w:tc>
        <w:tc>
          <w:tcPr>
            <w:tcW w:w="1105" w:type="dxa"/>
            <w:vMerge w:val="restart"/>
            <w:tcBorders>
              <w:left w:val="single" w:sz="4" w:space="0" w:color="000000"/>
              <w:bottom w:val="single" w:sz="4" w:space="0" w:color="000000"/>
              <w:right w:val="single" w:sz="4" w:space="0" w:color="000000"/>
            </w:tcBorders>
            <w:shd w:val="clear" w:color="auto" w:fill="auto"/>
            <w:vAlign w:val="center"/>
          </w:tcPr>
          <w:p w:rsidR="00D84EBE" w:rsidRPr="00D84EBE" w:rsidRDefault="00D84EBE" w:rsidP="00D84EBE">
            <w:pPr>
              <w:pStyle w:val="TableParagraph"/>
              <w:spacing w:before="0"/>
              <w:ind w:left="0"/>
              <w:jc w:val="center"/>
              <w:rPr>
                <w:rFonts w:ascii="Arial" w:hAnsi="Arial" w:cs="Arial"/>
                <w:sz w:val="14"/>
                <w:szCs w:val="16"/>
              </w:rPr>
            </w:pPr>
            <w:r w:rsidRPr="00D84EBE">
              <w:rPr>
                <w:rFonts w:ascii="Arial" w:hAnsi="Arial" w:cs="Arial"/>
                <w:sz w:val="14"/>
                <w:szCs w:val="16"/>
              </w:rPr>
              <w:t>TV gesamt</w:t>
            </w:r>
          </w:p>
        </w:tc>
        <w:tc>
          <w:tcPr>
            <w:tcW w:w="2342" w:type="dxa"/>
            <w:gridSpan w:val="5"/>
            <w:tcBorders>
              <w:left w:val="single" w:sz="4" w:space="0" w:color="000000"/>
              <w:bottom w:val="single" w:sz="4" w:space="0" w:color="000000"/>
              <w:right w:val="single" w:sz="4" w:space="0" w:color="000000"/>
            </w:tcBorders>
            <w:shd w:val="clear" w:color="auto" w:fill="auto"/>
            <w:vAlign w:val="center"/>
          </w:tcPr>
          <w:p w:rsidR="00D84EBE" w:rsidRPr="00D84EBE" w:rsidRDefault="00D84EBE" w:rsidP="00D84EBE">
            <w:pPr>
              <w:pStyle w:val="TableParagraph"/>
              <w:spacing w:before="0"/>
              <w:ind w:left="0"/>
              <w:jc w:val="center"/>
              <w:rPr>
                <w:rFonts w:ascii="Arial" w:hAnsi="Arial" w:cs="Arial"/>
                <w:sz w:val="14"/>
                <w:szCs w:val="16"/>
              </w:rPr>
            </w:pPr>
            <w:r w:rsidRPr="00D84EBE">
              <w:rPr>
                <w:rFonts w:ascii="Arial" w:hAnsi="Arial" w:cs="Arial"/>
                <w:sz w:val="14"/>
                <w:szCs w:val="16"/>
              </w:rPr>
              <w:t>Kinder</w:t>
            </w:r>
          </w:p>
        </w:tc>
        <w:tc>
          <w:tcPr>
            <w:tcW w:w="531" w:type="dxa"/>
            <w:vMerge w:val="restart"/>
            <w:tcBorders>
              <w:left w:val="single" w:sz="4" w:space="0" w:color="000000"/>
              <w:bottom w:val="single" w:sz="4" w:space="0" w:color="000000"/>
              <w:right w:val="single" w:sz="4" w:space="0" w:color="000000"/>
            </w:tcBorders>
            <w:shd w:val="clear" w:color="auto" w:fill="auto"/>
            <w:vAlign w:val="center"/>
          </w:tcPr>
          <w:p w:rsidR="00D84EBE" w:rsidRPr="00D84EBE" w:rsidRDefault="00D84EBE" w:rsidP="00D84EBE">
            <w:pPr>
              <w:pStyle w:val="TableParagraph"/>
              <w:spacing w:before="0"/>
              <w:ind w:left="0"/>
              <w:jc w:val="center"/>
              <w:rPr>
                <w:rFonts w:ascii="Arial" w:hAnsi="Arial" w:cs="Arial"/>
                <w:sz w:val="14"/>
                <w:szCs w:val="16"/>
              </w:rPr>
            </w:pPr>
            <w:r w:rsidRPr="00D84EBE">
              <w:rPr>
                <w:rFonts w:ascii="Arial" w:hAnsi="Arial" w:cs="Arial"/>
                <w:sz w:val="14"/>
                <w:szCs w:val="16"/>
              </w:rPr>
              <w:t>&lt; 14</w:t>
            </w:r>
          </w:p>
        </w:tc>
        <w:tc>
          <w:tcPr>
            <w:tcW w:w="1044" w:type="dxa"/>
            <w:gridSpan w:val="2"/>
            <w:tcBorders>
              <w:left w:val="single" w:sz="4" w:space="0" w:color="000000"/>
              <w:bottom w:val="single" w:sz="4" w:space="0" w:color="000000"/>
              <w:right w:val="single" w:sz="4" w:space="0" w:color="000000"/>
            </w:tcBorders>
            <w:shd w:val="clear" w:color="auto" w:fill="auto"/>
            <w:vAlign w:val="center"/>
          </w:tcPr>
          <w:p w:rsidR="00D84EBE" w:rsidRPr="00D84EBE" w:rsidRDefault="00D84EBE" w:rsidP="00D84EBE">
            <w:pPr>
              <w:pStyle w:val="TableParagraph"/>
              <w:spacing w:before="77"/>
              <w:ind w:left="0"/>
              <w:jc w:val="center"/>
              <w:rPr>
                <w:rFonts w:ascii="Arial" w:hAnsi="Arial" w:cs="Arial"/>
                <w:sz w:val="14"/>
                <w:szCs w:val="16"/>
              </w:rPr>
            </w:pPr>
            <w:r w:rsidRPr="00D84EBE">
              <w:rPr>
                <w:rFonts w:ascii="Arial" w:hAnsi="Arial" w:cs="Arial"/>
                <w:sz w:val="14"/>
                <w:szCs w:val="16"/>
              </w:rPr>
              <w:t>Jugendliche</w:t>
            </w:r>
          </w:p>
        </w:tc>
        <w:tc>
          <w:tcPr>
            <w:tcW w:w="531" w:type="dxa"/>
            <w:tcBorders>
              <w:left w:val="single" w:sz="4" w:space="0" w:color="000000"/>
              <w:bottom w:val="nil"/>
              <w:right w:val="single" w:sz="4" w:space="0" w:color="000000"/>
            </w:tcBorders>
            <w:shd w:val="clear" w:color="auto" w:fill="auto"/>
            <w:vAlign w:val="center"/>
          </w:tcPr>
          <w:p w:rsidR="00D84EBE" w:rsidRPr="00D84EBE" w:rsidRDefault="00D84EBE" w:rsidP="00D84EBE">
            <w:pPr>
              <w:pStyle w:val="TableParagraph"/>
              <w:spacing w:before="0"/>
              <w:ind w:left="0" w:right="39"/>
              <w:jc w:val="center"/>
              <w:rPr>
                <w:rFonts w:ascii="Arial" w:hAnsi="Arial" w:cs="Arial"/>
                <w:sz w:val="14"/>
                <w:szCs w:val="16"/>
              </w:rPr>
            </w:pPr>
            <w:r w:rsidRPr="00D84EBE">
              <w:rPr>
                <w:rFonts w:ascii="Arial" w:hAnsi="Arial" w:cs="Arial"/>
                <w:sz w:val="14"/>
                <w:szCs w:val="16"/>
              </w:rPr>
              <w:t>14</w:t>
            </w:r>
          </w:p>
        </w:tc>
        <w:tc>
          <w:tcPr>
            <w:tcW w:w="636" w:type="dxa"/>
            <w:tcBorders>
              <w:left w:val="single" w:sz="4" w:space="0" w:color="000000"/>
              <w:bottom w:val="single" w:sz="4" w:space="0" w:color="000000"/>
              <w:right w:val="single" w:sz="4" w:space="0" w:color="000000"/>
            </w:tcBorders>
            <w:shd w:val="clear" w:color="auto" w:fill="auto"/>
            <w:vAlign w:val="center"/>
          </w:tcPr>
          <w:p w:rsidR="00D84EBE" w:rsidRPr="00D84EBE" w:rsidRDefault="00D84EBE" w:rsidP="00D84EBE">
            <w:pPr>
              <w:pStyle w:val="TableParagraph"/>
              <w:spacing w:before="0"/>
              <w:ind w:left="0" w:right="91"/>
              <w:jc w:val="center"/>
              <w:rPr>
                <w:rFonts w:ascii="Arial" w:hAnsi="Arial" w:cs="Arial"/>
                <w:sz w:val="14"/>
                <w:szCs w:val="16"/>
              </w:rPr>
            </w:pPr>
            <w:r w:rsidRPr="00D84EBE">
              <w:rPr>
                <w:rFonts w:ascii="Arial" w:hAnsi="Arial" w:cs="Arial"/>
                <w:sz w:val="14"/>
                <w:szCs w:val="16"/>
              </w:rPr>
              <w:t>Heran-</w:t>
            </w:r>
          </w:p>
          <w:p w:rsidR="00D84EBE" w:rsidRPr="00D84EBE" w:rsidRDefault="00D84EBE" w:rsidP="00D84EBE">
            <w:pPr>
              <w:pStyle w:val="TableParagraph"/>
              <w:spacing w:before="0"/>
              <w:ind w:left="0" w:right="91"/>
              <w:jc w:val="center"/>
              <w:rPr>
                <w:rFonts w:ascii="Arial" w:hAnsi="Arial" w:cs="Arial"/>
                <w:sz w:val="14"/>
                <w:szCs w:val="16"/>
              </w:rPr>
            </w:pPr>
            <w:r w:rsidRPr="00D84EBE">
              <w:rPr>
                <w:rFonts w:ascii="Arial" w:hAnsi="Arial" w:cs="Arial"/>
                <w:sz w:val="14"/>
                <w:szCs w:val="16"/>
              </w:rPr>
              <w:t>w.</w:t>
            </w:r>
          </w:p>
        </w:tc>
        <w:tc>
          <w:tcPr>
            <w:tcW w:w="598" w:type="dxa"/>
            <w:vMerge w:val="restart"/>
            <w:tcBorders>
              <w:left w:val="single" w:sz="4" w:space="0" w:color="000000"/>
              <w:bottom w:val="single" w:sz="4" w:space="0" w:color="000000"/>
              <w:right w:val="single" w:sz="4" w:space="0" w:color="000000"/>
            </w:tcBorders>
            <w:shd w:val="clear" w:color="auto" w:fill="auto"/>
            <w:vAlign w:val="center"/>
          </w:tcPr>
          <w:p w:rsidR="00D84EBE" w:rsidRPr="00D84EBE" w:rsidRDefault="00D84EBE" w:rsidP="00D84EBE">
            <w:pPr>
              <w:pStyle w:val="TableParagraph"/>
              <w:spacing w:before="0"/>
              <w:ind w:left="0"/>
              <w:jc w:val="center"/>
              <w:rPr>
                <w:rFonts w:ascii="Arial" w:hAnsi="Arial" w:cs="Arial"/>
                <w:sz w:val="14"/>
                <w:szCs w:val="16"/>
              </w:rPr>
            </w:pPr>
            <w:r w:rsidRPr="00D84EBE">
              <w:rPr>
                <w:rFonts w:ascii="Arial" w:hAnsi="Arial" w:cs="Arial"/>
                <w:sz w:val="14"/>
                <w:szCs w:val="16"/>
              </w:rPr>
              <w:t>&lt; 21</w:t>
            </w:r>
          </w:p>
        </w:tc>
      </w:tr>
      <w:tr w:rsidR="00D84EBE" w:rsidRPr="00D84EBE" w:rsidTr="00B235A5">
        <w:trPr>
          <w:trHeight w:val="302"/>
          <w:jc w:val="center"/>
        </w:trPr>
        <w:tc>
          <w:tcPr>
            <w:tcW w:w="456" w:type="dxa"/>
            <w:vMerge/>
            <w:tcBorders>
              <w:top w:val="nil"/>
              <w:left w:val="single" w:sz="4" w:space="0" w:color="000000"/>
              <w:bottom w:val="single" w:sz="4" w:space="0" w:color="000000"/>
              <w:right w:val="single" w:sz="4" w:space="0" w:color="000000"/>
            </w:tcBorders>
            <w:shd w:val="clear" w:color="auto" w:fill="auto"/>
          </w:tcPr>
          <w:p w:rsidR="00D84EBE" w:rsidRPr="00D84EBE" w:rsidRDefault="00D84EBE" w:rsidP="00D84EBE">
            <w:pPr>
              <w:rPr>
                <w:rFonts w:cs="Arial"/>
                <w:sz w:val="14"/>
                <w:szCs w:val="16"/>
              </w:rPr>
            </w:pPr>
          </w:p>
        </w:tc>
        <w:tc>
          <w:tcPr>
            <w:tcW w:w="739" w:type="dxa"/>
            <w:vMerge/>
            <w:tcBorders>
              <w:top w:val="nil"/>
              <w:left w:val="single" w:sz="4" w:space="0" w:color="000000"/>
              <w:bottom w:val="single" w:sz="4" w:space="0" w:color="000000"/>
              <w:right w:val="single" w:sz="4" w:space="0" w:color="000000"/>
            </w:tcBorders>
            <w:shd w:val="clear" w:color="auto" w:fill="auto"/>
          </w:tcPr>
          <w:p w:rsidR="00D84EBE" w:rsidRPr="00D84EBE" w:rsidRDefault="00D84EBE" w:rsidP="00D84EBE">
            <w:pPr>
              <w:rPr>
                <w:rFonts w:cs="Arial"/>
                <w:sz w:val="14"/>
                <w:szCs w:val="16"/>
              </w:rPr>
            </w:pPr>
          </w:p>
        </w:tc>
        <w:tc>
          <w:tcPr>
            <w:tcW w:w="1044" w:type="dxa"/>
            <w:vMerge/>
            <w:tcBorders>
              <w:top w:val="nil"/>
              <w:left w:val="single" w:sz="4" w:space="0" w:color="000000"/>
              <w:bottom w:val="single" w:sz="4" w:space="0" w:color="000000"/>
              <w:right w:val="single" w:sz="4" w:space="0" w:color="000000"/>
            </w:tcBorders>
            <w:shd w:val="clear" w:color="auto" w:fill="auto"/>
          </w:tcPr>
          <w:p w:rsidR="00D84EBE" w:rsidRPr="00D84EBE" w:rsidRDefault="00D84EBE" w:rsidP="00D84EBE">
            <w:pPr>
              <w:rPr>
                <w:rFonts w:cs="Arial"/>
                <w:sz w:val="14"/>
                <w:szCs w:val="16"/>
              </w:rPr>
            </w:pPr>
          </w:p>
        </w:tc>
        <w:tc>
          <w:tcPr>
            <w:tcW w:w="1105" w:type="dxa"/>
            <w:vMerge/>
            <w:tcBorders>
              <w:top w:val="nil"/>
              <w:left w:val="single" w:sz="4" w:space="0" w:color="000000"/>
              <w:bottom w:val="single" w:sz="4" w:space="0" w:color="000000"/>
              <w:right w:val="single" w:sz="4" w:space="0" w:color="000000"/>
            </w:tcBorders>
            <w:shd w:val="clear" w:color="auto" w:fill="auto"/>
          </w:tcPr>
          <w:p w:rsidR="00D84EBE" w:rsidRPr="00D84EBE" w:rsidRDefault="00D84EBE" w:rsidP="00D84EBE">
            <w:pPr>
              <w:rPr>
                <w:rFonts w:cs="Arial"/>
                <w:sz w:val="14"/>
                <w:szCs w:val="16"/>
              </w:rPr>
            </w:pPr>
          </w:p>
        </w:tc>
        <w:tc>
          <w:tcPr>
            <w:tcW w:w="5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84EBE" w:rsidRPr="00D84EBE" w:rsidRDefault="00D84EBE" w:rsidP="00D84EBE">
            <w:pPr>
              <w:pStyle w:val="TableParagraph"/>
              <w:spacing w:before="3"/>
              <w:jc w:val="center"/>
              <w:rPr>
                <w:rFonts w:ascii="Arial" w:hAnsi="Arial" w:cs="Arial"/>
                <w:sz w:val="14"/>
                <w:szCs w:val="16"/>
              </w:rPr>
            </w:pPr>
          </w:p>
          <w:p w:rsidR="00D84EBE" w:rsidRPr="00D84EBE" w:rsidRDefault="00D84EBE" w:rsidP="00D84EBE">
            <w:pPr>
              <w:pStyle w:val="TableParagraph"/>
              <w:spacing w:before="0"/>
              <w:ind w:left="169"/>
              <w:jc w:val="center"/>
              <w:rPr>
                <w:rFonts w:ascii="Arial" w:hAnsi="Arial" w:cs="Arial"/>
                <w:sz w:val="14"/>
                <w:szCs w:val="16"/>
              </w:rPr>
            </w:pPr>
            <w:r w:rsidRPr="00D84EBE">
              <w:rPr>
                <w:rFonts w:ascii="Arial" w:hAnsi="Arial" w:cs="Arial"/>
                <w:sz w:val="14"/>
                <w:szCs w:val="16"/>
              </w:rPr>
              <w:t>&lt; 6</w:t>
            </w:r>
          </w:p>
        </w:tc>
        <w:tc>
          <w:tcPr>
            <w:tcW w:w="454" w:type="dxa"/>
            <w:tcBorders>
              <w:top w:val="single" w:sz="4" w:space="0" w:color="000000"/>
              <w:left w:val="single" w:sz="4" w:space="0" w:color="000000"/>
              <w:bottom w:val="nil"/>
              <w:right w:val="single" w:sz="4" w:space="0" w:color="000000"/>
            </w:tcBorders>
            <w:shd w:val="clear" w:color="auto" w:fill="auto"/>
            <w:vAlign w:val="center"/>
          </w:tcPr>
          <w:p w:rsidR="00D84EBE" w:rsidRPr="00D84EBE" w:rsidRDefault="00D84EBE" w:rsidP="00D84EBE">
            <w:pPr>
              <w:pStyle w:val="TableParagraph"/>
              <w:spacing w:before="68"/>
              <w:ind w:left="16"/>
              <w:jc w:val="center"/>
              <w:rPr>
                <w:rFonts w:ascii="Arial" w:hAnsi="Arial" w:cs="Arial"/>
                <w:sz w:val="14"/>
                <w:szCs w:val="16"/>
              </w:rPr>
            </w:pPr>
            <w:r w:rsidRPr="00D84EBE">
              <w:rPr>
                <w:rFonts w:ascii="Arial" w:hAnsi="Arial" w:cs="Arial"/>
                <w:w w:val="99"/>
                <w:sz w:val="14"/>
                <w:szCs w:val="16"/>
              </w:rPr>
              <w:t>6</w:t>
            </w:r>
          </w:p>
        </w:tc>
        <w:tc>
          <w:tcPr>
            <w:tcW w:w="456" w:type="dxa"/>
            <w:tcBorders>
              <w:top w:val="single" w:sz="4" w:space="0" w:color="000000"/>
              <w:left w:val="single" w:sz="4" w:space="0" w:color="000000"/>
              <w:bottom w:val="nil"/>
              <w:right w:val="single" w:sz="4" w:space="0" w:color="000000"/>
            </w:tcBorders>
            <w:shd w:val="clear" w:color="auto" w:fill="auto"/>
            <w:vAlign w:val="center"/>
          </w:tcPr>
          <w:p w:rsidR="00D84EBE" w:rsidRPr="00D84EBE" w:rsidRDefault="00D84EBE" w:rsidP="00D84EBE">
            <w:pPr>
              <w:pStyle w:val="TableParagraph"/>
              <w:spacing w:before="68"/>
              <w:ind w:left="18"/>
              <w:jc w:val="center"/>
              <w:rPr>
                <w:rFonts w:ascii="Arial" w:hAnsi="Arial" w:cs="Arial"/>
                <w:sz w:val="14"/>
                <w:szCs w:val="16"/>
              </w:rPr>
            </w:pPr>
            <w:r w:rsidRPr="00D84EBE">
              <w:rPr>
                <w:rFonts w:ascii="Arial" w:hAnsi="Arial" w:cs="Arial"/>
                <w:w w:val="99"/>
                <w:sz w:val="14"/>
                <w:szCs w:val="16"/>
              </w:rPr>
              <w:t>8</w:t>
            </w:r>
          </w:p>
        </w:tc>
        <w:tc>
          <w:tcPr>
            <w:tcW w:w="454" w:type="dxa"/>
            <w:tcBorders>
              <w:top w:val="single" w:sz="4" w:space="0" w:color="000000"/>
              <w:left w:val="single" w:sz="4" w:space="0" w:color="000000"/>
              <w:bottom w:val="nil"/>
              <w:right w:val="single" w:sz="4" w:space="0" w:color="000000"/>
            </w:tcBorders>
            <w:shd w:val="clear" w:color="auto" w:fill="auto"/>
            <w:vAlign w:val="center"/>
          </w:tcPr>
          <w:p w:rsidR="00D84EBE" w:rsidRPr="00D84EBE" w:rsidRDefault="00D84EBE" w:rsidP="00D84EBE">
            <w:pPr>
              <w:pStyle w:val="TableParagraph"/>
              <w:spacing w:before="68"/>
              <w:ind w:left="48" w:right="34"/>
              <w:jc w:val="center"/>
              <w:rPr>
                <w:rFonts w:ascii="Arial" w:hAnsi="Arial" w:cs="Arial"/>
                <w:sz w:val="14"/>
                <w:szCs w:val="16"/>
              </w:rPr>
            </w:pPr>
            <w:r w:rsidRPr="00D84EBE">
              <w:rPr>
                <w:rFonts w:ascii="Arial" w:hAnsi="Arial" w:cs="Arial"/>
                <w:sz w:val="14"/>
                <w:szCs w:val="16"/>
              </w:rPr>
              <w:t>10</w:t>
            </w:r>
          </w:p>
        </w:tc>
        <w:tc>
          <w:tcPr>
            <w:tcW w:w="454" w:type="dxa"/>
            <w:tcBorders>
              <w:top w:val="single" w:sz="4" w:space="0" w:color="000000"/>
              <w:left w:val="single" w:sz="4" w:space="0" w:color="000000"/>
              <w:bottom w:val="nil"/>
              <w:right w:val="single" w:sz="4" w:space="0" w:color="000000"/>
            </w:tcBorders>
            <w:shd w:val="clear" w:color="auto" w:fill="auto"/>
            <w:vAlign w:val="center"/>
          </w:tcPr>
          <w:p w:rsidR="00D84EBE" w:rsidRPr="00D84EBE" w:rsidRDefault="00D84EBE" w:rsidP="00D84EBE">
            <w:pPr>
              <w:pStyle w:val="TableParagraph"/>
              <w:spacing w:before="68"/>
              <w:ind w:left="52" w:right="34"/>
              <w:jc w:val="center"/>
              <w:rPr>
                <w:rFonts w:ascii="Arial" w:hAnsi="Arial" w:cs="Arial"/>
                <w:sz w:val="14"/>
                <w:szCs w:val="16"/>
              </w:rPr>
            </w:pPr>
            <w:r w:rsidRPr="00D84EBE">
              <w:rPr>
                <w:rFonts w:ascii="Arial" w:hAnsi="Arial" w:cs="Arial"/>
                <w:sz w:val="14"/>
                <w:szCs w:val="16"/>
              </w:rPr>
              <w:t>12</w:t>
            </w:r>
          </w:p>
        </w:tc>
        <w:tc>
          <w:tcPr>
            <w:tcW w:w="531" w:type="dxa"/>
            <w:vMerge/>
            <w:tcBorders>
              <w:top w:val="nil"/>
              <w:left w:val="single" w:sz="4" w:space="0" w:color="000000"/>
              <w:bottom w:val="single" w:sz="4" w:space="0" w:color="000000"/>
              <w:right w:val="single" w:sz="4" w:space="0" w:color="000000"/>
            </w:tcBorders>
            <w:shd w:val="clear" w:color="auto" w:fill="auto"/>
          </w:tcPr>
          <w:p w:rsidR="00D84EBE" w:rsidRPr="00D84EBE" w:rsidRDefault="00D84EBE" w:rsidP="00D84EBE">
            <w:pPr>
              <w:rPr>
                <w:rFonts w:cs="Arial"/>
                <w:sz w:val="14"/>
                <w:szCs w:val="16"/>
              </w:rPr>
            </w:pPr>
          </w:p>
        </w:tc>
        <w:tc>
          <w:tcPr>
            <w:tcW w:w="521" w:type="dxa"/>
            <w:tcBorders>
              <w:top w:val="single" w:sz="4" w:space="0" w:color="000000"/>
              <w:left w:val="single" w:sz="4" w:space="0" w:color="000000"/>
              <w:bottom w:val="nil"/>
              <w:right w:val="single" w:sz="4" w:space="0" w:color="000000"/>
            </w:tcBorders>
            <w:shd w:val="clear" w:color="auto" w:fill="auto"/>
            <w:vAlign w:val="center"/>
          </w:tcPr>
          <w:p w:rsidR="00D84EBE" w:rsidRPr="00D84EBE" w:rsidRDefault="00D84EBE" w:rsidP="00D84EBE">
            <w:pPr>
              <w:pStyle w:val="TableParagraph"/>
              <w:spacing w:before="68"/>
              <w:ind w:left="48" w:right="37"/>
              <w:jc w:val="center"/>
              <w:rPr>
                <w:rFonts w:ascii="Arial" w:hAnsi="Arial" w:cs="Arial"/>
                <w:sz w:val="14"/>
                <w:szCs w:val="16"/>
              </w:rPr>
            </w:pPr>
            <w:r w:rsidRPr="00D84EBE">
              <w:rPr>
                <w:rFonts w:ascii="Arial" w:hAnsi="Arial" w:cs="Arial"/>
                <w:sz w:val="14"/>
                <w:szCs w:val="16"/>
              </w:rPr>
              <w:t>14</w:t>
            </w:r>
          </w:p>
        </w:tc>
        <w:tc>
          <w:tcPr>
            <w:tcW w:w="523" w:type="dxa"/>
            <w:tcBorders>
              <w:top w:val="single" w:sz="4" w:space="0" w:color="000000"/>
              <w:left w:val="single" w:sz="4" w:space="0" w:color="000000"/>
              <w:bottom w:val="nil"/>
              <w:right w:val="single" w:sz="4" w:space="0" w:color="000000"/>
            </w:tcBorders>
            <w:shd w:val="clear" w:color="auto" w:fill="auto"/>
            <w:vAlign w:val="center"/>
          </w:tcPr>
          <w:p w:rsidR="00D84EBE" w:rsidRPr="00D84EBE" w:rsidRDefault="00D84EBE" w:rsidP="00D84EBE">
            <w:pPr>
              <w:pStyle w:val="TableParagraph"/>
              <w:spacing w:before="68"/>
              <w:ind w:left="52" w:right="34"/>
              <w:jc w:val="center"/>
              <w:rPr>
                <w:rFonts w:ascii="Arial" w:hAnsi="Arial" w:cs="Arial"/>
                <w:sz w:val="14"/>
                <w:szCs w:val="16"/>
              </w:rPr>
            </w:pPr>
            <w:r w:rsidRPr="00D84EBE">
              <w:rPr>
                <w:rFonts w:ascii="Arial" w:hAnsi="Arial" w:cs="Arial"/>
                <w:sz w:val="14"/>
                <w:szCs w:val="16"/>
              </w:rPr>
              <w:t>16</w:t>
            </w:r>
          </w:p>
        </w:tc>
        <w:tc>
          <w:tcPr>
            <w:tcW w:w="531" w:type="dxa"/>
            <w:tcBorders>
              <w:top w:val="nil"/>
              <w:left w:val="single" w:sz="4" w:space="0" w:color="000000"/>
              <w:bottom w:val="nil"/>
              <w:right w:val="single" w:sz="4" w:space="0" w:color="000000"/>
            </w:tcBorders>
            <w:shd w:val="clear" w:color="auto" w:fill="auto"/>
            <w:vAlign w:val="center"/>
          </w:tcPr>
          <w:p w:rsidR="00D84EBE" w:rsidRPr="00D84EBE" w:rsidRDefault="00D84EBE" w:rsidP="00D84EBE">
            <w:pPr>
              <w:pStyle w:val="TableParagraph"/>
              <w:spacing w:before="0" w:line="183" w:lineRule="exact"/>
              <w:ind w:left="55" w:right="38"/>
              <w:jc w:val="center"/>
              <w:rPr>
                <w:rFonts w:ascii="Arial" w:hAnsi="Arial" w:cs="Arial"/>
                <w:sz w:val="14"/>
                <w:szCs w:val="16"/>
              </w:rPr>
            </w:pPr>
            <w:r w:rsidRPr="00D84EBE">
              <w:rPr>
                <w:rFonts w:ascii="Arial" w:hAnsi="Arial" w:cs="Arial"/>
                <w:sz w:val="14"/>
                <w:szCs w:val="16"/>
              </w:rPr>
              <w:t>&lt; 18</w:t>
            </w:r>
          </w:p>
        </w:tc>
        <w:tc>
          <w:tcPr>
            <w:tcW w:w="636" w:type="dxa"/>
            <w:tcBorders>
              <w:top w:val="single" w:sz="4" w:space="0" w:color="000000"/>
              <w:left w:val="single" w:sz="4" w:space="0" w:color="000000"/>
              <w:bottom w:val="nil"/>
              <w:right w:val="single" w:sz="4" w:space="0" w:color="000000"/>
            </w:tcBorders>
            <w:shd w:val="clear" w:color="auto" w:fill="auto"/>
            <w:vAlign w:val="center"/>
          </w:tcPr>
          <w:p w:rsidR="00D84EBE" w:rsidRPr="00D84EBE" w:rsidRDefault="00D84EBE" w:rsidP="00D84EBE">
            <w:pPr>
              <w:pStyle w:val="TableParagraph"/>
              <w:spacing w:before="57"/>
              <w:ind w:left="105" w:right="89"/>
              <w:jc w:val="center"/>
              <w:rPr>
                <w:rFonts w:ascii="Arial" w:hAnsi="Arial" w:cs="Arial"/>
                <w:sz w:val="14"/>
                <w:szCs w:val="16"/>
              </w:rPr>
            </w:pPr>
            <w:r w:rsidRPr="00D84EBE">
              <w:rPr>
                <w:rFonts w:ascii="Arial" w:hAnsi="Arial" w:cs="Arial"/>
                <w:sz w:val="14"/>
                <w:szCs w:val="16"/>
              </w:rPr>
              <w:t>18</w:t>
            </w:r>
          </w:p>
        </w:tc>
        <w:tc>
          <w:tcPr>
            <w:tcW w:w="598" w:type="dxa"/>
            <w:vMerge/>
            <w:tcBorders>
              <w:top w:val="nil"/>
              <w:left w:val="single" w:sz="4" w:space="0" w:color="000000"/>
              <w:bottom w:val="single" w:sz="4" w:space="0" w:color="000000"/>
              <w:right w:val="single" w:sz="4" w:space="0" w:color="000000"/>
            </w:tcBorders>
            <w:shd w:val="clear" w:color="auto" w:fill="auto"/>
          </w:tcPr>
          <w:p w:rsidR="00D84EBE" w:rsidRPr="00D84EBE" w:rsidRDefault="00D84EBE" w:rsidP="00D84EBE">
            <w:pPr>
              <w:rPr>
                <w:rFonts w:cs="Arial"/>
                <w:sz w:val="14"/>
                <w:szCs w:val="16"/>
              </w:rPr>
            </w:pPr>
          </w:p>
        </w:tc>
      </w:tr>
      <w:tr w:rsidR="00D84EBE" w:rsidRPr="00D84EBE" w:rsidTr="00B235A5">
        <w:trPr>
          <w:trHeight w:val="298"/>
          <w:jc w:val="center"/>
        </w:trPr>
        <w:tc>
          <w:tcPr>
            <w:tcW w:w="456" w:type="dxa"/>
            <w:vMerge/>
            <w:tcBorders>
              <w:top w:val="nil"/>
              <w:left w:val="single" w:sz="4" w:space="0" w:color="000000"/>
              <w:bottom w:val="single" w:sz="4" w:space="0" w:color="000000"/>
              <w:right w:val="single" w:sz="4" w:space="0" w:color="000000"/>
            </w:tcBorders>
            <w:shd w:val="clear" w:color="auto" w:fill="auto"/>
          </w:tcPr>
          <w:p w:rsidR="00D84EBE" w:rsidRPr="00D84EBE" w:rsidRDefault="00D84EBE" w:rsidP="00D84EBE">
            <w:pPr>
              <w:rPr>
                <w:rFonts w:cs="Arial"/>
                <w:sz w:val="14"/>
                <w:szCs w:val="16"/>
              </w:rPr>
            </w:pPr>
          </w:p>
        </w:tc>
        <w:tc>
          <w:tcPr>
            <w:tcW w:w="739" w:type="dxa"/>
            <w:vMerge/>
            <w:tcBorders>
              <w:top w:val="nil"/>
              <w:left w:val="single" w:sz="4" w:space="0" w:color="000000"/>
              <w:bottom w:val="single" w:sz="4" w:space="0" w:color="000000"/>
              <w:right w:val="single" w:sz="4" w:space="0" w:color="000000"/>
            </w:tcBorders>
            <w:shd w:val="clear" w:color="auto" w:fill="auto"/>
          </w:tcPr>
          <w:p w:rsidR="00D84EBE" w:rsidRPr="00D84EBE" w:rsidRDefault="00D84EBE" w:rsidP="00D84EBE">
            <w:pPr>
              <w:rPr>
                <w:rFonts w:cs="Arial"/>
                <w:sz w:val="14"/>
                <w:szCs w:val="16"/>
              </w:rPr>
            </w:pPr>
          </w:p>
        </w:tc>
        <w:tc>
          <w:tcPr>
            <w:tcW w:w="1044" w:type="dxa"/>
            <w:vMerge/>
            <w:tcBorders>
              <w:top w:val="nil"/>
              <w:left w:val="single" w:sz="4" w:space="0" w:color="000000"/>
              <w:bottom w:val="single" w:sz="4" w:space="0" w:color="000000"/>
              <w:right w:val="single" w:sz="4" w:space="0" w:color="000000"/>
            </w:tcBorders>
            <w:shd w:val="clear" w:color="auto" w:fill="auto"/>
          </w:tcPr>
          <w:p w:rsidR="00D84EBE" w:rsidRPr="00D84EBE" w:rsidRDefault="00D84EBE" w:rsidP="00D84EBE">
            <w:pPr>
              <w:rPr>
                <w:rFonts w:cs="Arial"/>
                <w:sz w:val="14"/>
                <w:szCs w:val="16"/>
              </w:rPr>
            </w:pPr>
          </w:p>
        </w:tc>
        <w:tc>
          <w:tcPr>
            <w:tcW w:w="1105" w:type="dxa"/>
            <w:vMerge/>
            <w:tcBorders>
              <w:top w:val="nil"/>
              <w:left w:val="single" w:sz="4" w:space="0" w:color="000000"/>
              <w:bottom w:val="single" w:sz="4" w:space="0" w:color="000000"/>
              <w:right w:val="single" w:sz="4" w:space="0" w:color="000000"/>
            </w:tcBorders>
            <w:shd w:val="clear" w:color="auto" w:fill="auto"/>
          </w:tcPr>
          <w:p w:rsidR="00D84EBE" w:rsidRPr="00D84EBE" w:rsidRDefault="00D84EBE" w:rsidP="00D84EBE">
            <w:pPr>
              <w:rPr>
                <w:rFonts w:cs="Arial"/>
                <w:sz w:val="14"/>
                <w:szCs w:val="16"/>
              </w:rPr>
            </w:pPr>
          </w:p>
        </w:tc>
        <w:tc>
          <w:tcPr>
            <w:tcW w:w="524" w:type="dxa"/>
            <w:vMerge/>
            <w:tcBorders>
              <w:top w:val="nil"/>
              <w:left w:val="single" w:sz="4" w:space="0" w:color="000000"/>
              <w:bottom w:val="single" w:sz="4" w:space="0" w:color="000000"/>
              <w:right w:val="single" w:sz="4" w:space="0" w:color="000000"/>
            </w:tcBorders>
            <w:shd w:val="clear" w:color="auto" w:fill="auto"/>
            <w:vAlign w:val="center"/>
          </w:tcPr>
          <w:p w:rsidR="00D84EBE" w:rsidRPr="00D84EBE" w:rsidRDefault="00D84EBE" w:rsidP="00D84EBE">
            <w:pPr>
              <w:jc w:val="center"/>
              <w:rPr>
                <w:rFonts w:cs="Arial"/>
                <w:sz w:val="14"/>
                <w:szCs w:val="16"/>
              </w:rPr>
            </w:pPr>
          </w:p>
        </w:tc>
        <w:tc>
          <w:tcPr>
            <w:tcW w:w="454" w:type="dxa"/>
            <w:tcBorders>
              <w:top w:val="nil"/>
              <w:left w:val="single" w:sz="4" w:space="0" w:color="000000"/>
              <w:bottom w:val="single" w:sz="4" w:space="0" w:color="000000"/>
              <w:right w:val="single" w:sz="4" w:space="0" w:color="000000"/>
            </w:tcBorders>
            <w:shd w:val="clear" w:color="auto" w:fill="auto"/>
            <w:vAlign w:val="center"/>
          </w:tcPr>
          <w:p w:rsidR="00D84EBE" w:rsidRPr="00D84EBE" w:rsidRDefault="00D84EBE" w:rsidP="00D84EBE">
            <w:pPr>
              <w:pStyle w:val="TableParagraph"/>
              <w:spacing w:before="65"/>
              <w:ind w:right="100"/>
              <w:jc w:val="center"/>
              <w:rPr>
                <w:rFonts w:ascii="Arial" w:hAnsi="Arial" w:cs="Arial"/>
                <w:sz w:val="14"/>
                <w:szCs w:val="16"/>
              </w:rPr>
            </w:pPr>
            <w:r w:rsidRPr="00D84EBE">
              <w:rPr>
                <w:rFonts w:ascii="Arial" w:hAnsi="Arial" w:cs="Arial"/>
                <w:sz w:val="14"/>
                <w:szCs w:val="16"/>
              </w:rPr>
              <w:t>&lt; 8</w:t>
            </w:r>
          </w:p>
        </w:tc>
        <w:tc>
          <w:tcPr>
            <w:tcW w:w="456" w:type="dxa"/>
            <w:tcBorders>
              <w:top w:val="nil"/>
              <w:left w:val="single" w:sz="4" w:space="0" w:color="000000"/>
              <w:bottom w:val="single" w:sz="4" w:space="0" w:color="000000"/>
              <w:right w:val="single" w:sz="4" w:space="0" w:color="000000"/>
            </w:tcBorders>
            <w:shd w:val="clear" w:color="auto" w:fill="auto"/>
            <w:vAlign w:val="center"/>
          </w:tcPr>
          <w:p w:rsidR="00D84EBE" w:rsidRPr="00D84EBE" w:rsidRDefault="00D84EBE" w:rsidP="00D84EBE">
            <w:pPr>
              <w:pStyle w:val="TableParagraph"/>
              <w:spacing w:before="65"/>
              <w:ind w:left="54" w:right="36"/>
              <w:jc w:val="center"/>
              <w:rPr>
                <w:rFonts w:ascii="Arial" w:hAnsi="Arial" w:cs="Arial"/>
                <w:sz w:val="14"/>
                <w:szCs w:val="16"/>
              </w:rPr>
            </w:pPr>
            <w:r w:rsidRPr="00D84EBE">
              <w:rPr>
                <w:rFonts w:ascii="Arial" w:hAnsi="Arial" w:cs="Arial"/>
                <w:sz w:val="14"/>
                <w:szCs w:val="16"/>
              </w:rPr>
              <w:t>&lt; 10</w:t>
            </w:r>
          </w:p>
        </w:tc>
        <w:tc>
          <w:tcPr>
            <w:tcW w:w="454" w:type="dxa"/>
            <w:tcBorders>
              <w:top w:val="nil"/>
              <w:left w:val="single" w:sz="4" w:space="0" w:color="000000"/>
              <w:bottom w:val="single" w:sz="4" w:space="0" w:color="000000"/>
              <w:right w:val="single" w:sz="4" w:space="0" w:color="000000"/>
            </w:tcBorders>
            <w:shd w:val="clear" w:color="auto" w:fill="auto"/>
            <w:vAlign w:val="center"/>
          </w:tcPr>
          <w:p w:rsidR="00D84EBE" w:rsidRPr="00D84EBE" w:rsidRDefault="00D84EBE" w:rsidP="00D84EBE">
            <w:pPr>
              <w:pStyle w:val="TableParagraph"/>
              <w:spacing w:before="65"/>
              <w:ind w:left="49" w:right="34"/>
              <w:jc w:val="center"/>
              <w:rPr>
                <w:rFonts w:ascii="Arial" w:hAnsi="Arial" w:cs="Arial"/>
                <w:sz w:val="14"/>
                <w:szCs w:val="16"/>
              </w:rPr>
            </w:pPr>
            <w:r w:rsidRPr="00D84EBE">
              <w:rPr>
                <w:rFonts w:ascii="Arial" w:hAnsi="Arial" w:cs="Arial"/>
                <w:sz w:val="14"/>
                <w:szCs w:val="16"/>
              </w:rPr>
              <w:t>&lt; 12</w:t>
            </w:r>
          </w:p>
        </w:tc>
        <w:tc>
          <w:tcPr>
            <w:tcW w:w="454" w:type="dxa"/>
            <w:tcBorders>
              <w:top w:val="nil"/>
              <w:left w:val="single" w:sz="4" w:space="0" w:color="000000"/>
              <w:bottom w:val="single" w:sz="4" w:space="0" w:color="000000"/>
              <w:right w:val="single" w:sz="4" w:space="0" w:color="000000"/>
            </w:tcBorders>
            <w:shd w:val="clear" w:color="auto" w:fill="auto"/>
            <w:vAlign w:val="center"/>
          </w:tcPr>
          <w:p w:rsidR="00D84EBE" w:rsidRPr="00D84EBE" w:rsidRDefault="00D84EBE" w:rsidP="00D84EBE">
            <w:pPr>
              <w:pStyle w:val="TableParagraph"/>
              <w:spacing w:before="65"/>
              <w:ind w:left="52" w:right="32"/>
              <w:jc w:val="center"/>
              <w:rPr>
                <w:rFonts w:ascii="Arial" w:hAnsi="Arial" w:cs="Arial"/>
                <w:sz w:val="14"/>
                <w:szCs w:val="16"/>
              </w:rPr>
            </w:pPr>
            <w:r w:rsidRPr="00D84EBE">
              <w:rPr>
                <w:rFonts w:ascii="Arial" w:hAnsi="Arial" w:cs="Arial"/>
                <w:sz w:val="14"/>
                <w:szCs w:val="16"/>
              </w:rPr>
              <w:t>&lt; 14</w:t>
            </w:r>
          </w:p>
        </w:tc>
        <w:tc>
          <w:tcPr>
            <w:tcW w:w="531" w:type="dxa"/>
            <w:vMerge/>
            <w:tcBorders>
              <w:top w:val="nil"/>
              <w:left w:val="single" w:sz="4" w:space="0" w:color="000000"/>
              <w:bottom w:val="single" w:sz="4" w:space="0" w:color="000000"/>
              <w:right w:val="single" w:sz="4" w:space="0" w:color="000000"/>
            </w:tcBorders>
            <w:shd w:val="clear" w:color="auto" w:fill="auto"/>
          </w:tcPr>
          <w:p w:rsidR="00D84EBE" w:rsidRPr="00D84EBE" w:rsidRDefault="00D84EBE" w:rsidP="00D84EBE">
            <w:pPr>
              <w:rPr>
                <w:rFonts w:cs="Arial"/>
                <w:sz w:val="14"/>
                <w:szCs w:val="16"/>
              </w:rPr>
            </w:pPr>
          </w:p>
        </w:tc>
        <w:tc>
          <w:tcPr>
            <w:tcW w:w="521" w:type="dxa"/>
            <w:tcBorders>
              <w:top w:val="nil"/>
              <w:left w:val="single" w:sz="4" w:space="0" w:color="000000"/>
              <w:bottom w:val="single" w:sz="4" w:space="0" w:color="000000"/>
              <w:right w:val="single" w:sz="4" w:space="0" w:color="000000"/>
            </w:tcBorders>
            <w:shd w:val="clear" w:color="auto" w:fill="auto"/>
            <w:vAlign w:val="center"/>
          </w:tcPr>
          <w:p w:rsidR="00D84EBE" w:rsidRPr="00D84EBE" w:rsidRDefault="00D84EBE" w:rsidP="00D84EBE">
            <w:pPr>
              <w:pStyle w:val="TableParagraph"/>
              <w:spacing w:before="65"/>
              <w:ind w:left="48" w:right="35"/>
              <w:jc w:val="center"/>
              <w:rPr>
                <w:rFonts w:ascii="Arial" w:hAnsi="Arial" w:cs="Arial"/>
                <w:sz w:val="14"/>
                <w:szCs w:val="16"/>
              </w:rPr>
            </w:pPr>
            <w:r w:rsidRPr="00D84EBE">
              <w:rPr>
                <w:rFonts w:ascii="Arial" w:hAnsi="Arial" w:cs="Arial"/>
                <w:sz w:val="14"/>
                <w:szCs w:val="16"/>
              </w:rPr>
              <w:t>&lt; 16</w:t>
            </w:r>
          </w:p>
        </w:tc>
        <w:tc>
          <w:tcPr>
            <w:tcW w:w="523" w:type="dxa"/>
            <w:tcBorders>
              <w:top w:val="nil"/>
              <w:left w:val="single" w:sz="4" w:space="0" w:color="000000"/>
              <w:bottom w:val="single" w:sz="4" w:space="0" w:color="000000"/>
              <w:right w:val="single" w:sz="4" w:space="0" w:color="000000"/>
            </w:tcBorders>
            <w:shd w:val="clear" w:color="auto" w:fill="auto"/>
            <w:vAlign w:val="center"/>
          </w:tcPr>
          <w:p w:rsidR="00D84EBE" w:rsidRPr="00D84EBE" w:rsidRDefault="00D84EBE" w:rsidP="00D84EBE">
            <w:pPr>
              <w:pStyle w:val="TableParagraph"/>
              <w:spacing w:before="65"/>
              <w:ind w:right="98"/>
              <w:jc w:val="center"/>
              <w:rPr>
                <w:rFonts w:ascii="Arial" w:hAnsi="Arial" w:cs="Arial"/>
                <w:sz w:val="14"/>
                <w:szCs w:val="16"/>
              </w:rPr>
            </w:pPr>
            <w:r w:rsidRPr="00D84EBE">
              <w:rPr>
                <w:rFonts w:ascii="Arial" w:hAnsi="Arial" w:cs="Arial"/>
                <w:sz w:val="14"/>
                <w:szCs w:val="16"/>
              </w:rPr>
              <w:t>&lt; 18</w:t>
            </w:r>
          </w:p>
        </w:tc>
        <w:tc>
          <w:tcPr>
            <w:tcW w:w="531" w:type="dxa"/>
            <w:tcBorders>
              <w:top w:val="nil"/>
              <w:left w:val="single" w:sz="4" w:space="0" w:color="000000"/>
              <w:bottom w:val="single" w:sz="4" w:space="0" w:color="000000"/>
              <w:right w:val="single" w:sz="4" w:space="0" w:color="000000"/>
            </w:tcBorders>
            <w:shd w:val="clear" w:color="auto" w:fill="auto"/>
            <w:vAlign w:val="center"/>
          </w:tcPr>
          <w:p w:rsidR="00D84EBE" w:rsidRPr="00D84EBE" w:rsidRDefault="00D84EBE" w:rsidP="00D84EBE">
            <w:pPr>
              <w:pStyle w:val="TableParagraph"/>
              <w:spacing w:before="0"/>
              <w:jc w:val="center"/>
              <w:rPr>
                <w:rFonts w:ascii="Arial" w:hAnsi="Arial" w:cs="Arial"/>
                <w:sz w:val="14"/>
                <w:szCs w:val="16"/>
              </w:rPr>
            </w:pPr>
          </w:p>
        </w:tc>
        <w:tc>
          <w:tcPr>
            <w:tcW w:w="636" w:type="dxa"/>
            <w:tcBorders>
              <w:top w:val="nil"/>
              <w:left w:val="single" w:sz="4" w:space="0" w:color="000000"/>
              <w:bottom w:val="single" w:sz="4" w:space="0" w:color="000000"/>
              <w:right w:val="single" w:sz="4" w:space="0" w:color="000000"/>
            </w:tcBorders>
            <w:shd w:val="clear" w:color="auto" w:fill="auto"/>
            <w:vAlign w:val="center"/>
          </w:tcPr>
          <w:p w:rsidR="00D84EBE" w:rsidRPr="00D84EBE" w:rsidRDefault="00D84EBE" w:rsidP="00D84EBE">
            <w:pPr>
              <w:pStyle w:val="TableParagraph"/>
              <w:spacing w:before="56"/>
              <w:ind w:left="155"/>
              <w:jc w:val="center"/>
              <w:rPr>
                <w:rFonts w:ascii="Arial" w:hAnsi="Arial" w:cs="Arial"/>
                <w:sz w:val="14"/>
                <w:szCs w:val="16"/>
              </w:rPr>
            </w:pPr>
            <w:r w:rsidRPr="00D84EBE">
              <w:rPr>
                <w:rFonts w:ascii="Arial" w:hAnsi="Arial" w:cs="Arial"/>
                <w:sz w:val="14"/>
                <w:szCs w:val="16"/>
              </w:rPr>
              <w:t>&lt; 21</w:t>
            </w:r>
          </w:p>
        </w:tc>
        <w:tc>
          <w:tcPr>
            <w:tcW w:w="598" w:type="dxa"/>
            <w:vMerge/>
            <w:tcBorders>
              <w:top w:val="nil"/>
              <w:left w:val="single" w:sz="4" w:space="0" w:color="000000"/>
              <w:bottom w:val="single" w:sz="4" w:space="0" w:color="000000"/>
              <w:right w:val="single" w:sz="4" w:space="0" w:color="000000"/>
            </w:tcBorders>
            <w:shd w:val="clear" w:color="auto" w:fill="auto"/>
          </w:tcPr>
          <w:p w:rsidR="00D84EBE" w:rsidRPr="00D84EBE" w:rsidRDefault="00D84EBE" w:rsidP="00D84EBE">
            <w:pPr>
              <w:rPr>
                <w:rFonts w:cs="Arial"/>
                <w:sz w:val="14"/>
                <w:szCs w:val="16"/>
              </w:rPr>
            </w:pPr>
          </w:p>
        </w:tc>
      </w:tr>
      <w:tr w:rsidR="00D84EBE" w:rsidRPr="00D84EBE" w:rsidTr="00B235A5">
        <w:trPr>
          <w:trHeight w:val="359"/>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D84EBE" w:rsidRPr="00D84EBE" w:rsidRDefault="00D84EBE" w:rsidP="00D84EBE">
            <w:pPr>
              <w:pStyle w:val="TableParagraph"/>
              <w:spacing w:before="94"/>
              <w:ind w:left="76"/>
              <w:rPr>
                <w:rFonts w:ascii="Arial" w:hAnsi="Arial" w:cs="Arial"/>
                <w:sz w:val="14"/>
                <w:szCs w:val="16"/>
              </w:rPr>
            </w:pPr>
            <w:r w:rsidRPr="00D84EBE">
              <w:rPr>
                <w:rFonts w:ascii="Arial" w:hAnsi="Arial" w:cs="Arial"/>
                <w:sz w:val="14"/>
                <w:szCs w:val="16"/>
              </w:rPr>
              <w:t>2022</w:t>
            </w:r>
          </w:p>
        </w:tc>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D84EBE" w:rsidRPr="00D84EBE" w:rsidRDefault="00D84EBE" w:rsidP="00D84EBE">
            <w:pPr>
              <w:pStyle w:val="TableParagraph"/>
              <w:spacing w:before="94"/>
              <w:ind w:left="74"/>
              <w:rPr>
                <w:rFonts w:ascii="Arial" w:hAnsi="Arial" w:cs="Arial"/>
                <w:sz w:val="14"/>
                <w:szCs w:val="16"/>
              </w:rPr>
            </w:pPr>
            <w:r w:rsidRPr="00D84EBE">
              <w:rPr>
                <w:rFonts w:ascii="Arial" w:hAnsi="Arial" w:cs="Arial"/>
                <w:sz w:val="14"/>
                <w:szCs w:val="16"/>
              </w:rPr>
              <w:t>------</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D84EBE" w:rsidRPr="00D84EBE" w:rsidRDefault="00D84EBE" w:rsidP="00D84EBE">
            <w:pPr>
              <w:pStyle w:val="TableParagraph"/>
              <w:spacing w:before="15"/>
              <w:ind w:left="76" w:right="148"/>
              <w:rPr>
                <w:rFonts w:ascii="Arial" w:hAnsi="Arial" w:cs="Arial"/>
                <w:sz w:val="14"/>
                <w:szCs w:val="16"/>
              </w:rPr>
            </w:pPr>
            <w:r w:rsidRPr="00D84EBE">
              <w:rPr>
                <w:rFonts w:ascii="Arial" w:hAnsi="Arial" w:cs="Arial"/>
                <w:sz w:val="14"/>
                <w:szCs w:val="16"/>
              </w:rPr>
              <w:t>Straftaten insgesamt</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EBE" w:rsidRPr="00D84EBE" w:rsidRDefault="00D84EBE" w:rsidP="00095981">
            <w:pPr>
              <w:pStyle w:val="TableParagraph"/>
              <w:spacing w:before="0"/>
              <w:ind w:left="0"/>
              <w:jc w:val="right"/>
              <w:rPr>
                <w:rFonts w:ascii="Arial" w:hAnsi="Arial" w:cs="Arial"/>
                <w:sz w:val="14"/>
                <w:szCs w:val="16"/>
              </w:rPr>
            </w:pPr>
            <w:r w:rsidRPr="00D84EBE">
              <w:rPr>
                <w:rFonts w:ascii="Arial" w:hAnsi="Arial" w:cs="Arial"/>
                <w:w w:val="95"/>
                <w:sz w:val="14"/>
                <w:szCs w:val="16"/>
              </w:rPr>
              <w:t>307</w:t>
            </w:r>
            <w:r>
              <w:rPr>
                <w:rFonts w:ascii="Arial" w:hAnsi="Arial" w:cs="Arial"/>
                <w:w w:val="95"/>
                <w:sz w:val="14"/>
                <w:szCs w:val="16"/>
              </w:rPr>
              <w:t> </w:t>
            </w:r>
            <w:r w:rsidRPr="00D84EBE">
              <w:rPr>
                <w:rFonts w:ascii="Arial" w:hAnsi="Arial" w:cs="Arial"/>
                <w:w w:val="95"/>
                <w:sz w:val="14"/>
                <w:szCs w:val="16"/>
              </w:rPr>
              <w:t>529</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EBE" w:rsidRPr="00D84EBE" w:rsidRDefault="00D84EBE" w:rsidP="00095981">
            <w:pPr>
              <w:pStyle w:val="TableParagraph"/>
              <w:spacing w:before="0"/>
              <w:ind w:left="0"/>
              <w:jc w:val="right"/>
              <w:rPr>
                <w:rFonts w:ascii="Arial" w:hAnsi="Arial" w:cs="Arial"/>
                <w:sz w:val="14"/>
                <w:szCs w:val="16"/>
              </w:rPr>
            </w:pPr>
            <w:r w:rsidRPr="00D84EBE">
              <w:rPr>
                <w:rFonts w:ascii="Arial" w:hAnsi="Arial" w:cs="Arial"/>
                <w:w w:val="95"/>
                <w:sz w:val="14"/>
                <w:szCs w:val="16"/>
              </w:rPr>
              <w:t>916</w:t>
            </w:r>
          </w:p>
        </w:tc>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EBE" w:rsidRPr="00D84EBE" w:rsidRDefault="00D84EBE" w:rsidP="00095981">
            <w:pPr>
              <w:pStyle w:val="TableParagraph"/>
              <w:spacing w:before="0"/>
              <w:ind w:left="0"/>
              <w:jc w:val="right"/>
              <w:rPr>
                <w:rFonts w:ascii="Arial" w:hAnsi="Arial" w:cs="Arial"/>
                <w:sz w:val="14"/>
                <w:szCs w:val="16"/>
              </w:rPr>
            </w:pPr>
            <w:r w:rsidRPr="00D84EBE">
              <w:rPr>
                <w:rFonts w:ascii="Arial" w:hAnsi="Arial" w:cs="Arial"/>
                <w:w w:val="95"/>
                <w:sz w:val="14"/>
                <w:szCs w:val="16"/>
              </w:rPr>
              <w:t>608</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EBE" w:rsidRPr="00D84EBE" w:rsidRDefault="00D84EBE" w:rsidP="00095981">
            <w:pPr>
              <w:pStyle w:val="TableParagraph"/>
              <w:spacing w:before="0"/>
              <w:ind w:left="0"/>
              <w:jc w:val="right"/>
              <w:rPr>
                <w:rFonts w:ascii="Arial" w:hAnsi="Arial" w:cs="Arial"/>
                <w:sz w:val="14"/>
                <w:szCs w:val="16"/>
              </w:rPr>
            </w:pPr>
            <w:r w:rsidRPr="00D84EBE">
              <w:rPr>
                <w:rFonts w:ascii="Arial" w:hAnsi="Arial" w:cs="Arial"/>
                <w:sz w:val="14"/>
                <w:szCs w:val="16"/>
              </w:rPr>
              <w:t>1.088</w:t>
            </w:r>
          </w:p>
        </w:tc>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EBE" w:rsidRPr="00D84EBE" w:rsidRDefault="00D84EBE" w:rsidP="00095981">
            <w:pPr>
              <w:pStyle w:val="TableParagraph"/>
              <w:spacing w:before="0"/>
              <w:ind w:left="0"/>
              <w:jc w:val="right"/>
              <w:rPr>
                <w:rFonts w:ascii="Arial" w:hAnsi="Arial" w:cs="Arial"/>
                <w:sz w:val="14"/>
                <w:szCs w:val="16"/>
              </w:rPr>
            </w:pPr>
            <w:r w:rsidRPr="00D84EBE">
              <w:rPr>
                <w:rFonts w:ascii="Arial" w:hAnsi="Arial" w:cs="Arial"/>
                <w:sz w:val="14"/>
                <w:szCs w:val="16"/>
              </w:rPr>
              <w:t>2</w:t>
            </w:r>
            <w:r w:rsidR="00095981">
              <w:rPr>
                <w:rFonts w:ascii="Arial" w:hAnsi="Arial" w:cs="Arial"/>
                <w:sz w:val="14"/>
                <w:szCs w:val="16"/>
              </w:rPr>
              <w:t> </w:t>
            </w:r>
            <w:r w:rsidRPr="00D84EBE">
              <w:rPr>
                <w:rFonts w:ascii="Arial" w:hAnsi="Arial" w:cs="Arial"/>
                <w:sz w:val="14"/>
                <w:szCs w:val="16"/>
              </w:rPr>
              <w:t>747</w:t>
            </w:r>
          </w:p>
        </w:tc>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EBE" w:rsidRPr="00D84EBE" w:rsidRDefault="00D84EBE" w:rsidP="00095981">
            <w:pPr>
              <w:pStyle w:val="TableParagraph"/>
              <w:spacing w:before="0"/>
              <w:ind w:left="0"/>
              <w:jc w:val="right"/>
              <w:rPr>
                <w:rFonts w:ascii="Arial" w:hAnsi="Arial" w:cs="Arial"/>
                <w:sz w:val="14"/>
                <w:szCs w:val="16"/>
              </w:rPr>
            </w:pPr>
            <w:r w:rsidRPr="00D84EBE">
              <w:rPr>
                <w:rFonts w:ascii="Arial" w:hAnsi="Arial" w:cs="Arial"/>
                <w:sz w:val="14"/>
                <w:szCs w:val="16"/>
              </w:rPr>
              <w:t>7</w:t>
            </w:r>
            <w:r w:rsidR="00095981">
              <w:rPr>
                <w:rFonts w:ascii="Arial" w:hAnsi="Arial" w:cs="Arial"/>
                <w:sz w:val="14"/>
                <w:szCs w:val="16"/>
              </w:rPr>
              <w:t> </w:t>
            </w:r>
            <w:r w:rsidRPr="00D84EBE">
              <w:rPr>
                <w:rFonts w:ascii="Arial" w:hAnsi="Arial" w:cs="Arial"/>
                <w:sz w:val="14"/>
                <w:szCs w:val="16"/>
              </w:rPr>
              <w:t>119</w:t>
            </w:r>
          </w:p>
        </w:tc>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EBE" w:rsidRPr="00D84EBE" w:rsidRDefault="00095981" w:rsidP="00095981">
            <w:pPr>
              <w:pStyle w:val="TableParagraph"/>
              <w:spacing w:before="0"/>
              <w:ind w:left="0"/>
              <w:jc w:val="right"/>
              <w:rPr>
                <w:rFonts w:ascii="Arial" w:hAnsi="Arial" w:cs="Arial"/>
                <w:sz w:val="14"/>
                <w:szCs w:val="16"/>
              </w:rPr>
            </w:pPr>
            <w:r>
              <w:rPr>
                <w:rFonts w:ascii="Arial" w:hAnsi="Arial" w:cs="Arial"/>
                <w:w w:val="95"/>
                <w:sz w:val="14"/>
                <w:szCs w:val="16"/>
              </w:rPr>
              <w:t>12 </w:t>
            </w:r>
            <w:r w:rsidR="00D84EBE" w:rsidRPr="00D84EBE">
              <w:rPr>
                <w:rFonts w:ascii="Arial" w:hAnsi="Arial" w:cs="Arial"/>
                <w:w w:val="95"/>
                <w:sz w:val="14"/>
                <w:szCs w:val="16"/>
              </w:rPr>
              <w:t>478</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EBE" w:rsidRPr="00D84EBE" w:rsidRDefault="00095981" w:rsidP="00095981">
            <w:pPr>
              <w:pStyle w:val="TableParagraph"/>
              <w:spacing w:before="0"/>
              <w:ind w:left="0"/>
              <w:jc w:val="right"/>
              <w:rPr>
                <w:rFonts w:ascii="Arial" w:hAnsi="Arial" w:cs="Arial"/>
                <w:sz w:val="14"/>
                <w:szCs w:val="16"/>
              </w:rPr>
            </w:pPr>
            <w:r>
              <w:rPr>
                <w:rFonts w:ascii="Arial" w:hAnsi="Arial" w:cs="Arial"/>
                <w:sz w:val="14"/>
                <w:szCs w:val="16"/>
              </w:rPr>
              <w:t>12 </w:t>
            </w:r>
            <w:r w:rsidR="00D84EBE" w:rsidRPr="00D84EBE">
              <w:rPr>
                <w:rFonts w:ascii="Arial" w:hAnsi="Arial" w:cs="Arial"/>
                <w:sz w:val="14"/>
                <w:szCs w:val="16"/>
              </w:rPr>
              <w:t>518</w:t>
            </w: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EBE" w:rsidRPr="00D84EBE" w:rsidRDefault="00095981" w:rsidP="00095981">
            <w:pPr>
              <w:pStyle w:val="TableParagraph"/>
              <w:spacing w:before="0"/>
              <w:ind w:left="0"/>
              <w:jc w:val="right"/>
              <w:rPr>
                <w:rFonts w:ascii="Arial" w:hAnsi="Arial" w:cs="Arial"/>
                <w:sz w:val="14"/>
                <w:szCs w:val="16"/>
              </w:rPr>
            </w:pPr>
            <w:r>
              <w:rPr>
                <w:rFonts w:ascii="Arial" w:hAnsi="Arial" w:cs="Arial"/>
                <w:w w:val="95"/>
                <w:sz w:val="14"/>
                <w:szCs w:val="16"/>
              </w:rPr>
              <w:t>14 </w:t>
            </w:r>
            <w:r w:rsidR="00D84EBE" w:rsidRPr="00D84EBE">
              <w:rPr>
                <w:rFonts w:ascii="Arial" w:hAnsi="Arial" w:cs="Arial"/>
                <w:w w:val="95"/>
                <w:sz w:val="14"/>
                <w:szCs w:val="16"/>
              </w:rPr>
              <w:t>564</w:t>
            </w:r>
          </w:p>
        </w:tc>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EBE" w:rsidRPr="00D84EBE" w:rsidRDefault="00095981" w:rsidP="00095981">
            <w:pPr>
              <w:pStyle w:val="TableParagraph"/>
              <w:spacing w:before="0"/>
              <w:ind w:left="0"/>
              <w:jc w:val="right"/>
              <w:rPr>
                <w:rFonts w:ascii="Arial" w:hAnsi="Arial" w:cs="Arial"/>
                <w:sz w:val="14"/>
                <w:szCs w:val="16"/>
              </w:rPr>
            </w:pPr>
            <w:r>
              <w:rPr>
                <w:rFonts w:ascii="Arial" w:hAnsi="Arial" w:cs="Arial"/>
                <w:sz w:val="14"/>
                <w:szCs w:val="16"/>
              </w:rPr>
              <w:t>27 </w:t>
            </w:r>
            <w:r w:rsidR="00D84EBE" w:rsidRPr="00D84EBE">
              <w:rPr>
                <w:rFonts w:ascii="Arial" w:hAnsi="Arial" w:cs="Arial"/>
                <w:sz w:val="14"/>
                <w:szCs w:val="16"/>
              </w:rPr>
              <w:t>082</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EBE" w:rsidRPr="00D84EBE" w:rsidRDefault="00095981" w:rsidP="00095981">
            <w:pPr>
              <w:pStyle w:val="TableParagraph"/>
              <w:spacing w:before="0"/>
              <w:ind w:left="0"/>
              <w:jc w:val="right"/>
              <w:rPr>
                <w:rFonts w:ascii="Arial" w:hAnsi="Arial" w:cs="Arial"/>
                <w:sz w:val="14"/>
                <w:szCs w:val="16"/>
              </w:rPr>
            </w:pPr>
            <w:r>
              <w:rPr>
                <w:rFonts w:ascii="Arial" w:hAnsi="Arial" w:cs="Arial"/>
                <w:w w:val="95"/>
                <w:sz w:val="14"/>
                <w:szCs w:val="16"/>
              </w:rPr>
              <w:t>25 </w:t>
            </w:r>
            <w:r w:rsidR="00D84EBE" w:rsidRPr="00D84EBE">
              <w:rPr>
                <w:rFonts w:ascii="Arial" w:hAnsi="Arial" w:cs="Arial"/>
                <w:w w:val="95"/>
                <w:sz w:val="14"/>
                <w:szCs w:val="16"/>
              </w:rPr>
              <w:t>827</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EBE" w:rsidRPr="00D84EBE" w:rsidRDefault="00095981" w:rsidP="00095981">
            <w:pPr>
              <w:pStyle w:val="TableParagraph"/>
              <w:spacing w:before="0"/>
              <w:ind w:left="0"/>
              <w:jc w:val="right"/>
              <w:rPr>
                <w:rFonts w:ascii="Arial" w:hAnsi="Arial" w:cs="Arial"/>
                <w:sz w:val="14"/>
                <w:szCs w:val="16"/>
              </w:rPr>
            </w:pPr>
            <w:r>
              <w:rPr>
                <w:rFonts w:ascii="Arial" w:hAnsi="Arial" w:cs="Arial"/>
                <w:sz w:val="14"/>
                <w:szCs w:val="16"/>
              </w:rPr>
              <w:t>65 </w:t>
            </w:r>
            <w:r w:rsidR="00D84EBE" w:rsidRPr="00D84EBE">
              <w:rPr>
                <w:rFonts w:ascii="Arial" w:hAnsi="Arial" w:cs="Arial"/>
                <w:sz w:val="14"/>
                <w:szCs w:val="16"/>
              </w:rPr>
              <w:t>387</w:t>
            </w:r>
          </w:p>
        </w:tc>
      </w:tr>
      <w:tr w:rsidR="00D84EBE" w:rsidRPr="00D84EBE" w:rsidTr="00B235A5">
        <w:trPr>
          <w:trHeight w:val="360"/>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D84EBE" w:rsidRPr="00D84EBE" w:rsidRDefault="00D84EBE" w:rsidP="00D84EBE">
            <w:pPr>
              <w:pStyle w:val="TableParagraph"/>
              <w:ind w:left="76"/>
              <w:rPr>
                <w:rFonts w:ascii="Arial" w:hAnsi="Arial" w:cs="Arial"/>
                <w:sz w:val="14"/>
                <w:szCs w:val="16"/>
              </w:rPr>
            </w:pPr>
            <w:r w:rsidRPr="00D84EBE">
              <w:rPr>
                <w:rFonts w:ascii="Arial" w:hAnsi="Arial" w:cs="Arial"/>
                <w:sz w:val="14"/>
                <w:szCs w:val="16"/>
              </w:rPr>
              <w:t>2021</w:t>
            </w:r>
          </w:p>
        </w:tc>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D84EBE" w:rsidRPr="00D84EBE" w:rsidRDefault="00D84EBE" w:rsidP="00D84EBE">
            <w:pPr>
              <w:pStyle w:val="TableParagraph"/>
              <w:ind w:left="74"/>
              <w:rPr>
                <w:rFonts w:ascii="Arial" w:hAnsi="Arial" w:cs="Arial"/>
                <w:sz w:val="14"/>
                <w:szCs w:val="16"/>
              </w:rPr>
            </w:pPr>
            <w:r w:rsidRPr="00D84EBE">
              <w:rPr>
                <w:rFonts w:ascii="Arial" w:hAnsi="Arial" w:cs="Arial"/>
                <w:sz w:val="14"/>
                <w:szCs w:val="16"/>
              </w:rPr>
              <w:t>------</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D84EBE" w:rsidRPr="00D84EBE" w:rsidRDefault="00D84EBE" w:rsidP="00D84EBE">
            <w:pPr>
              <w:pStyle w:val="TableParagraph"/>
              <w:spacing w:before="16"/>
              <w:ind w:left="76" w:right="148"/>
              <w:rPr>
                <w:rFonts w:ascii="Arial" w:hAnsi="Arial" w:cs="Arial"/>
                <w:sz w:val="14"/>
                <w:szCs w:val="16"/>
              </w:rPr>
            </w:pPr>
            <w:r w:rsidRPr="00D84EBE">
              <w:rPr>
                <w:rFonts w:ascii="Arial" w:hAnsi="Arial" w:cs="Arial"/>
                <w:sz w:val="14"/>
                <w:szCs w:val="16"/>
              </w:rPr>
              <w:t>Straftaten insgesamt</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EBE" w:rsidRPr="00D84EBE" w:rsidRDefault="00D84EBE" w:rsidP="00095981">
            <w:pPr>
              <w:pStyle w:val="TableParagraph"/>
              <w:spacing w:before="0"/>
              <w:ind w:left="0"/>
              <w:jc w:val="right"/>
              <w:rPr>
                <w:rFonts w:ascii="Arial" w:hAnsi="Arial" w:cs="Arial"/>
                <w:sz w:val="14"/>
                <w:szCs w:val="16"/>
              </w:rPr>
            </w:pPr>
            <w:r>
              <w:rPr>
                <w:rFonts w:ascii="Arial" w:hAnsi="Arial" w:cs="Arial"/>
                <w:w w:val="95"/>
                <w:sz w:val="14"/>
                <w:szCs w:val="16"/>
              </w:rPr>
              <w:t>265 </w:t>
            </w:r>
            <w:r w:rsidRPr="00D84EBE">
              <w:rPr>
                <w:rFonts w:ascii="Arial" w:hAnsi="Arial" w:cs="Arial"/>
                <w:w w:val="95"/>
                <w:sz w:val="14"/>
                <w:szCs w:val="16"/>
              </w:rPr>
              <w:t>055</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EBE" w:rsidRPr="00D84EBE" w:rsidRDefault="00D84EBE" w:rsidP="00095981">
            <w:pPr>
              <w:pStyle w:val="TableParagraph"/>
              <w:spacing w:before="0"/>
              <w:ind w:left="0"/>
              <w:jc w:val="right"/>
              <w:rPr>
                <w:rFonts w:ascii="Arial" w:hAnsi="Arial" w:cs="Arial"/>
                <w:sz w:val="14"/>
                <w:szCs w:val="16"/>
              </w:rPr>
            </w:pPr>
            <w:r w:rsidRPr="00D84EBE">
              <w:rPr>
                <w:rFonts w:ascii="Arial" w:hAnsi="Arial" w:cs="Arial"/>
                <w:w w:val="95"/>
                <w:sz w:val="14"/>
                <w:szCs w:val="16"/>
              </w:rPr>
              <w:t>708</w:t>
            </w:r>
          </w:p>
        </w:tc>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EBE" w:rsidRPr="00D84EBE" w:rsidRDefault="00D84EBE" w:rsidP="00095981">
            <w:pPr>
              <w:pStyle w:val="TableParagraph"/>
              <w:spacing w:before="0"/>
              <w:ind w:left="0"/>
              <w:jc w:val="right"/>
              <w:rPr>
                <w:rFonts w:ascii="Arial" w:hAnsi="Arial" w:cs="Arial"/>
                <w:sz w:val="14"/>
                <w:szCs w:val="16"/>
              </w:rPr>
            </w:pPr>
            <w:r w:rsidRPr="00D84EBE">
              <w:rPr>
                <w:rFonts w:ascii="Arial" w:hAnsi="Arial" w:cs="Arial"/>
                <w:w w:val="95"/>
                <w:sz w:val="14"/>
                <w:szCs w:val="16"/>
              </w:rPr>
              <w:t>400</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EBE" w:rsidRPr="00D84EBE" w:rsidRDefault="00D84EBE" w:rsidP="00095981">
            <w:pPr>
              <w:pStyle w:val="TableParagraph"/>
              <w:spacing w:before="0"/>
              <w:ind w:left="0"/>
              <w:jc w:val="right"/>
              <w:rPr>
                <w:rFonts w:ascii="Arial" w:hAnsi="Arial" w:cs="Arial"/>
                <w:sz w:val="14"/>
                <w:szCs w:val="16"/>
              </w:rPr>
            </w:pPr>
            <w:r w:rsidRPr="00D84EBE">
              <w:rPr>
                <w:rFonts w:ascii="Arial" w:hAnsi="Arial" w:cs="Arial"/>
                <w:sz w:val="14"/>
                <w:szCs w:val="16"/>
              </w:rPr>
              <w:t>846</w:t>
            </w:r>
          </w:p>
        </w:tc>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EBE" w:rsidRPr="00D84EBE" w:rsidRDefault="00095981" w:rsidP="00095981">
            <w:pPr>
              <w:pStyle w:val="TableParagraph"/>
              <w:spacing w:before="0"/>
              <w:ind w:left="0"/>
              <w:jc w:val="right"/>
              <w:rPr>
                <w:rFonts w:ascii="Arial" w:hAnsi="Arial" w:cs="Arial"/>
                <w:sz w:val="14"/>
                <w:szCs w:val="16"/>
              </w:rPr>
            </w:pPr>
            <w:r>
              <w:rPr>
                <w:rFonts w:ascii="Arial" w:hAnsi="Arial" w:cs="Arial"/>
                <w:sz w:val="14"/>
                <w:szCs w:val="16"/>
              </w:rPr>
              <w:t>2 </w:t>
            </w:r>
            <w:r w:rsidR="00D84EBE" w:rsidRPr="00D84EBE">
              <w:rPr>
                <w:rFonts w:ascii="Arial" w:hAnsi="Arial" w:cs="Arial"/>
                <w:sz w:val="14"/>
                <w:szCs w:val="16"/>
              </w:rPr>
              <w:t>023</w:t>
            </w:r>
          </w:p>
        </w:tc>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EBE" w:rsidRPr="00D84EBE" w:rsidRDefault="00095981" w:rsidP="00095981">
            <w:pPr>
              <w:pStyle w:val="TableParagraph"/>
              <w:spacing w:before="0"/>
              <w:ind w:left="0"/>
              <w:jc w:val="right"/>
              <w:rPr>
                <w:rFonts w:ascii="Arial" w:hAnsi="Arial" w:cs="Arial"/>
                <w:sz w:val="14"/>
                <w:szCs w:val="16"/>
              </w:rPr>
            </w:pPr>
            <w:r>
              <w:rPr>
                <w:rFonts w:ascii="Arial" w:hAnsi="Arial" w:cs="Arial"/>
                <w:sz w:val="14"/>
                <w:szCs w:val="16"/>
              </w:rPr>
              <w:t>4 </w:t>
            </w:r>
            <w:r w:rsidR="00D84EBE" w:rsidRPr="00D84EBE">
              <w:rPr>
                <w:rFonts w:ascii="Arial" w:hAnsi="Arial" w:cs="Arial"/>
                <w:sz w:val="14"/>
                <w:szCs w:val="16"/>
              </w:rPr>
              <w:t>970</w:t>
            </w:r>
          </w:p>
        </w:tc>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EBE" w:rsidRPr="00D84EBE" w:rsidRDefault="00095981" w:rsidP="00095981">
            <w:pPr>
              <w:pStyle w:val="TableParagraph"/>
              <w:spacing w:before="0"/>
              <w:ind w:left="0"/>
              <w:jc w:val="right"/>
              <w:rPr>
                <w:rFonts w:ascii="Arial" w:hAnsi="Arial" w:cs="Arial"/>
                <w:sz w:val="14"/>
                <w:szCs w:val="16"/>
              </w:rPr>
            </w:pPr>
            <w:r>
              <w:rPr>
                <w:rFonts w:ascii="Arial" w:hAnsi="Arial" w:cs="Arial"/>
                <w:w w:val="95"/>
                <w:sz w:val="14"/>
                <w:szCs w:val="16"/>
              </w:rPr>
              <w:t>8 </w:t>
            </w:r>
            <w:r w:rsidR="00D84EBE" w:rsidRPr="00D84EBE">
              <w:rPr>
                <w:rFonts w:ascii="Arial" w:hAnsi="Arial" w:cs="Arial"/>
                <w:w w:val="95"/>
                <w:sz w:val="14"/>
                <w:szCs w:val="16"/>
              </w:rPr>
              <w:t>947</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EBE" w:rsidRPr="00D84EBE" w:rsidRDefault="00095981" w:rsidP="00095981">
            <w:pPr>
              <w:pStyle w:val="TableParagraph"/>
              <w:spacing w:before="0"/>
              <w:ind w:left="0"/>
              <w:jc w:val="right"/>
              <w:rPr>
                <w:rFonts w:ascii="Arial" w:hAnsi="Arial" w:cs="Arial"/>
                <w:sz w:val="14"/>
                <w:szCs w:val="16"/>
              </w:rPr>
            </w:pPr>
            <w:r>
              <w:rPr>
                <w:rFonts w:ascii="Arial" w:hAnsi="Arial" w:cs="Arial"/>
                <w:sz w:val="14"/>
                <w:szCs w:val="16"/>
              </w:rPr>
              <w:t>9 </w:t>
            </w:r>
            <w:r w:rsidR="00D84EBE" w:rsidRPr="00D84EBE">
              <w:rPr>
                <w:rFonts w:ascii="Arial" w:hAnsi="Arial" w:cs="Arial"/>
                <w:sz w:val="14"/>
                <w:szCs w:val="16"/>
              </w:rPr>
              <w:t>748</w:t>
            </w: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EBE" w:rsidRPr="00D84EBE" w:rsidRDefault="00095981" w:rsidP="00095981">
            <w:pPr>
              <w:pStyle w:val="TableParagraph"/>
              <w:spacing w:before="0"/>
              <w:ind w:left="0"/>
              <w:jc w:val="right"/>
              <w:rPr>
                <w:rFonts w:ascii="Arial" w:hAnsi="Arial" w:cs="Arial"/>
                <w:sz w:val="14"/>
                <w:szCs w:val="16"/>
              </w:rPr>
            </w:pPr>
            <w:r>
              <w:rPr>
                <w:rFonts w:ascii="Arial" w:hAnsi="Arial" w:cs="Arial"/>
                <w:w w:val="95"/>
                <w:sz w:val="14"/>
                <w:szCs w:val="16"/>
              </w:rPr>
              <w:t>12 </w:t>
            </w:r>
            <w:r w:rsidR="00D84EBE" w:rsidRPr="00D84EBE">
              <w:rPr>
                <w:rFonts w:ascii="Arial" w:hAnsi="Arial" w:cs="Arial"/>
                <w:w w:val="95"/>
                <w:sz w:val="14"/>
                <w:szCs w:val="16"/>
              </w:rPr>
              <w:t>469</w:t>
            </w:r>
          </w:p>
        </w:tc>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EBE" w:rsidRPr="00D84EBE" w:rsidRDefault="00095981" w:rsidP="00095981">
            <w:pPr>
              <w:pStyle w:val="TableParagraph"/>
              <w:spacing w:before="0"/>
              <w:ind w:left="0"/>
              <w:jc w:val="right"/>
              <w:rPr>
                <w:rFonts w:ascii="Arial" w:hAnsi="Arial" w:cs="Arial"/>
                <w:sz w:val="14"/>
                <w:szCs w:val="16"/>
              </w:rPr>
            </w:pPr>
            <w:r>
              <w:rPr>
                <w:rFonts w:ascii="Arial" w:hAnsi="Arial" w:cs="Arial"/>
                <w:sz w:val="14"/>
                <w:szCs w:val="16"/>
              </w:rPr>
              <w:t>22 </w:t>
            </w:r>
            <w:r w:rsidR="00D84EBE" w:rsidRPr="00D84EBE">
              <w:rPr>
                <w:rFonts w:ascii="Arial" w:hAnsi="Arial" w:cs="Arial"/>
                <w:sz w:val="14"/>
                <w:szCs w:val="16"/>
              </w:rPr>
              <w:t>217</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EBE" w:rsidRPr="00D84EBE" w:rsidRDefault="00095981" w:rsidP="00095981">
            <w:pPr>
              <w:pStyle w:val="TableParagraph"/>
              <w:spacing w:before="0"/>
              <w:ind w:left="0"/>
              <w:jc w:val="right"/>
              <w:rPr>
                <w:rFonts w:ascii="Arial" w:hAnsi="Arial" w:cs="Arial"/>
                <w:sz w:val="14"/>
                <w:szCs w:val="16"/>
              </w:rPr>
            </w:pPr>
            <w:r>
              <w:rPr>
                <w:rFonts w:ascii="Arial" w:hAnsi="Arial" w:cs="Arial"/>
                <w:w w:val="95"/>
                <w:sz w:val="14"/>
                <w:szCs w:val="16"/>
              </w:rPr>
              <w:t>22 </w:t>
            </w:r>
            <w:r w:rsidR="00D84EBE" w:rsidRPr="00D84EBE">
              <w:rPr>
                <w:rFonts w:ascii="Arial" w:hAnsi="Arial" w:cs="Arial"/>
                <w:w w:val="95"/>
                <w:sz w:val="14"/>
                <w:szCs w:val="16"/>
              </w:rPr>
              <w:t>112</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EBE" w:rsidRPr="00D84EBE" w:rsidRDefault="00095981" w:rsidP="00095981">
            <w:pPr>
              <w:pStyle w:val="TableParagraph"/>
              <w:spacing w:before="0"/>
              <w:ind w:left="0"/>
              <w:jc w:val="right"/>
              <w:rPr>
                <w:rFonts w:ascii="Arial" w:hAnsi="Arial" w:cs="Arial"/>
                <w:sz w:val="14"/>
                <w:szCs w:val="16"/>
              </w:rPr>
            </w:pPr>
            <w:r>
              <w:rPr>
                <w:rFonts w:ascii="Arial" w:hAnsi="Arial" w:cs="Arial"/>
                <w:sz w:val="14"/>
                <w:szCs w:val="16"/>
              </w:rPr>
              <w:t>53 </w:t>
            </w:r>
            <w:r w:rsidR="00D84EBE" w:rsidRPr="00D84EBE">
              <w:rPr>
                <w:rFonts w:ascii="Arial" w:hAnsi="Arial" w:cs="Arial"/>
                <w:sz w:val="14"/>
                <w:szCs w:val="16"/>
              </w:rPr>
              <w:t>276</w:t>
            </w:r>
          </w:p>
        </w:tc>
      </w:tr>
      <w:tr w:rsidR="00D84EBE" w:rsidRPr="00D84EBE" w:rsidTr="00B235A5">
        <w:trPr>
          <w:trHeight w:val="359"/>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D84EBE" w:rsidRPr="00D84EBE" w:rsidRDefault="00D84EBE" w:rsidP="00D84EBE">
            <w:pPr>
              <w:pStyle w:val="TableParagraph"/>
              <w:ind w:left="76"/>
              <w:rPr>
                <w:rFonts w:ascii="Arial" w:hAnsi="Arial" w:cs="Arial"/>
                <w:sz w:val="14"/>
                <w:szCs w:val="16"/>
              </w:rPr>
            </w:pPr>
            <w:r w:rsidRPr="00D84EBE">
              <w:rPr>
                <w:rFonts w:ascii="Arial" w:hAnsi="Arial" w:cs="Arial"/>
                <w:sz w:val="14"/>
                <w:szCs w:val="16"/>
              </w:rPr>
              <w:t>2020</w:t>
            </w:r>
          </w:p>
        </w:tc>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D84EBE" w:rsidRPr="00D84EBE" w:rsidRDefault="00D84EBE" w:rsidP="00D84EBE">
            <w:pPr>
              <w:pStyle w:val="TableParagraph"/>
              <w:ind w:left="74"/>
              <w:rPr>
                <w:rFonts w:ascii="Arial" w:hAnsi="Arial" w:cs="Arial"/>
                <w:sz w:val="14"/>
                <w:szCs w:val="16"/>
              </w:rPr>
            </w:pPr>
            <w:r w:rsidRPr="00D84EBE">
              <w:rPr>
                <w:rFonts w:ascii="Arial" w:hAnsi="Arial" w:cs="Arial"/>
                <w:sz w:val="14"/>
                <w:szCs w:val="16"/>
              </w:rPr>
              <w:t>------</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D84EBE" w:rsidRPr="00D84EBE" w:rsidRDefault="00D84EBE" w:rsidP="00D84EBE">
            <w:pPr>
              <w:pStyle w:val="TableParagraph"/>
              <w:spacing w:before="15"/>
              <w:ind w:left="76" w:right="148"/>
              <w:rPr>
                <w:rFonts w:ascii="Arial" w:hAnsi="Arial" w:cs="Arial"/>
                <w:sz w:val="14"/>
                <w:szCs w:val="16"/>
              </w:rPr>
            </w:pPr>
            <w:r w:rsidRPr="00D84EBE">
              <w:rPr>
                <w:rFonts w:ascii="Arial" w:hAnsi="Arial" w:cs="Arial"/>
                <w:sz w:val="14"/>
                <w:szCs w:val="16"/>
              </w:rPr>
              <w:t>Straftaten insgesamt</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EBE" w:rsidRPr="00D84EBE" w:rsidRDefault="00D84EBE" w:rsidP="00095981">
            <w:pPr>
              <w:pStyle w:val="TableParagraph"/>
              <w:spacing w:before="0"/>
              <w:ind w:left="0"/>
              <w:jc w:val="right"/>
              <w:rPr>
                <w:rFonts w:ascii="Arial" w:hAnsi="Arial" w:cs="Arial"/>
                <w:sz w:val="14"/>
                <w:szCs w:val="16"/>
              </w:rPr>
            </w:pPr>
            <w:r>
              <w:rPr>
                <w:rFonts w:ascii="Arial" w:hAnsi="Arial" w:cs="Arial"/>
                <w:w w:val="95"/>
                <w:sz w:val="14"/>
                <w:szCs w:val="16"/>
              </w:rPr>
              <w:t>280 </w:t>
            </w:r>
            <w:r w:rsidRPr="00D84EBE">
              <w:rPr>
                <w:rFonts w:ascii="Arial" w:hAnsi="Arial" w:cs="Arial"/>
                <w:w w:val="95"/>
                <w:sz w:val="14"/>
                <w:szCs w:val="16"/>
              </w:rPr>
              <w:t>275</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EBE" w:rsidRPr="00D84EBE" w:rsidRDefault="00D84EBE" w:rsidP="00095981">
            <w:pPr>
              <w:pStyle w:val="TableParagraph"/>
              <w:spacing w:before="0"/>
              <w:ind w:left="0"/>
              <w:jc w:val="right"/>
              <w:rPr>
                <w:rFonts w:ascii="Arial" w:hAnsi="Arial" w:cs="Arial"/>
                <w:sz w:val="14"/>
                <w:szCs w:val="16"/>
              </w:rPr>
            </w:pPr>
            <w:r w:rsidRPr="00D84EBE">
              <w:rPr>
                <w:rFonts w:ascii="Arial" w:hAnsi="Arial" w:cs="Arial"/>
                <w:w w:val="95"/>
                <w:sz w:val="14"/>
                <w:szCs w:val="16"/>
              </w:rPr>
              <w:t>520</w:t>
            </w:r>
          </w:p>
        </w:tc>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EBE" w:rsidRPr="00D84EBE" w:rsidRDefault="00D84EBE" w:rsidP="00095981">
            <w:pPr>
              <w:pStyle w:val="TableParagraph"/>
              <w:spacing w:before="0"/>
              <w:ind w:left="0"/>
              <w:jc w:val="right"/>
              <w:rPr>
                <w:rFonts w:ascii="Arial" w:hAnsi="Arial" w:cs="Arial"/>
                <w:sz w:val="14"/>
                <w:szCs w:val="16"/>
              </w:rPr>
            </w:pPr>
            <w:r w:rsidRPr="00D84EBE">
              <w:rPr>
                <w:rFonts w:ascii="Arial" w:hAnsi="Arial" w:cs="Arial"/>
                <w:w w:val="95"/>
                <w:sz w:val="14"/>
                <w:szCs w:val="16"/>
              </w:rPr>
              <w:t>342</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EBE" w:rsidRPr="00D84EBE" w:rsidRDefault="00D84EBE" w:rsidP="00095981">
            <w:pPr>
              <w:pStyle w:val="TableParagraph"/>
              <w:spacing w:before="0"/>
              <w:ind w:left="0"/>
              <w:jc w:val="right"/>
              <w:rPr>
                <w:rFonts w:ascii="Arial" w:hAnsi="Arial" w:cs="Arial"/>
                <w:sz w:val="14"/>
                <w:szCs w:val="16"/>
              </w:rPr>
            </w:pPr>
            <w:r w:rsidRPr="00D84EBE">
              <w:rPr>
                <w:rFonts w:ascii="Arial" w:hAnsi="Arial" w:cs="Arial"/>
                <w:sz w:val="14"/>
                <w:szCs w:val="16"/>
              </w:rPr>
              <w:t>724</w:t>
            </w:r>
          </w:p>
        </w:tc>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EBE" w:rsidRPr="00D84EBE" w:rsidRDefault="00095981" w:rsidP="00095981">
            <w:pPr>
              <w:pStyle w:val="TableParagraph"/>
              <w:spacing w:before="0"/>
              <w:ind w:left="0"/>
              <w:jc w:val="right"/>
              <w:rPr>
                <w:rFonts w:ascii="Arial" w:hAnsi="Arial" w:cs="Arial"/>
                <w:sz w:val="14"/>
                <w:szCs w:val="16"/>
              </w:rPr>
            </w:pPr>
            <w:r>
              <w:rPr>
                <w:rFonts w:ascii="Arial" w:hAnsi="Arial" w:cs="Arial"/>
                <w:sz w:val="14"/>
                <w:szCs w:val="16"/>
              </w:rPr>
              <w:t>1 </w:t>
            </w:r>
            <w:r w:rsidR="00D84EBE" w:rsidRPr="00D84EBE">
              <w:rPr>
                <w:rFonts w:ascii="Arial" w:hAnsi="Arial" w:cs="Arial"/>
                <w:sz w:val="14"/>
                <w:szCs w:val="16"/>
              </w:rPr>
              <w:t>653</w:t>
            </w:r>
          </w:p>
        </w:tc>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EBE" w:rsidRPr="00D84EBE" w:rsidRDefault="00095981" w:rsidP="00095981">
            <w:pPr>
              <w:pStyle w:val="TableParagraph"/>
              <w:spacing w:before="0"/>
              <w:ind w:left="0"/>
              <w:jc w:val="right"/>
              <w:rPr>
                <w:rFonts w:ascii="Arial" w:hAnsi="Arial" w:cs="Arial"/>
                <w:sz w:val="14"/>
                <w:szCs w:val="16"/>
              </w:rPr>
            </w:pPr>
            <w:r>
              <w:rPr>
                <w:rFonts w:ascii="Arial" w:hAnsi="Arial" w:cs="Arial"/>
                <w:sz w:val="14"/>
                <w:szCs w:val="16"/>
              </w:rPr>
              <w:t>4 </w:t>
            </w:r>
            <w:r w:rsidR="00D84EBE" w:rsidRPr="00D84EBE">
              <w:rPr>
                <w:rFonts w:ascii="Arial" w:hAnsi="Arial" w:cs="Arial"/>
                <w:sz w:val="14"/>
                <w:szCs w:val="16"/>
              </w:rPr>
              <w:t>241</w:t>
            </w:r>
          </w:p>
        </w:tc>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EBE" w:rsidRPr="00D84EBE" w:rsidRDefault="00095981" w:rsidP="00095981">
            <w:pPr>
              <w:pStyle w:val="TableParagraph"/>
              <w:spacing w:before="0"/>
              <w:ind w:left="0"/>
              <w:jc w:val="right"/>
              <w:rPr>
                <w:rFonts w:ascii="Arial" w:hAnsi="Arial" w:cs="Arial"/>
                <w:sz w:val="14"/>
                <w:szCs w:val="16"/>
              </w:rPr>
            </w:pPr>
            <w:r>
              <w:rPr>
                <w:rFonts w:ascii="Arial" w:hAnsi="Arial" w:cs="Arial"/>
                <w:w w:val="95"/>
                <w:sz w:val="14"/>
                <w:szCs w:val="16"/>
              </w:rPr>
              <w:t>7 </w:t>
            </w:r>
            <w:r w:rsidR="00D84EBE" w:rsidRPr="00D84EBE">
              <w:rPr>
                <w:rFonts w:ascii="Arial" w:hAnsi="Arial" w:cs="Arial"/>
                <w:w w:val="95"/>
                <w:sz w:val="14"/>
                <w:szCs w:val="16"/>
              </w:rPr>
              <w:t>480</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EBE" w:rsidRPr="00D84EBE" w:rsidRDefault="00095981" w:rsidP="00095981">
            <w:pPr>
              <w:pStyle w:val="TableParagraph"/>
              <w:spacing w:before="0"/>
              <w:ind w:left="0"/>
              <w:jc w:val="right"/>
              <w:rPr>
                <w:rFonts w:ascii="Arial" w:hAnsi="Arial" w:cs="Arial"/>
                <w:sz w:val="14"/>
                <w:szCs w:val="16"/>
              </w:rPr>
            </w:pPr>
            <w:r>
              <w:rPr>
                <w:rFonts w:ascii="Arial" w:hAnsi="Arial" w:cs="Arial"/>
                <w:sz w:val="14"/>
                <w:szCs w:val="16"/>
              </w:rPr>
              <w:t>9 </w:t>
            </w:r>
            <w:r w:rsidR="00D84EBE" w:rsidRPr="00D84EBE">
              <w:rPr>
                <w:rFonts w:ascii="Arial" w:hAnsi="Arial" w:cs="Arial"/>
                <w:sz w:val="14"/>
                <w:szCs w:val="16"/>
              </w:rPr>
              <w:t>520</w:t>
            </w: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EBE" w:rsidRPr="00D84EBE" w:rsidRDefault="00095981" w:rsidP="00095981">
            <w:pPr>
              <w:pStyle w:val="TableParagraph"/>
              <w:spacing w:before="0"/>
              <w:ind w:left="0"/>
              <w:jc w:val="right"/>
              <w:rPr>
                <w:rFonts w:ascii="Arial" w:hAnsi="Arial" w:cs="Arial"/>
                <w:sz w:val="14"/>
                <w:szCs w:val="16"/>
              </w:rPr>
            </w:pPr>
            <w:r>
              <w:rPr>
                <w:rFonts w:ascii="Arial" w:hAnsi="Arial" w:cs="Arial"/>
                <w:w w:val="95"/>
                <w:sz w:val="14"/>
                <w:szCs w:val="16"/>
              </w:rPr>
              <w:t>12 </w:t>
            </w:r>
            <w:r w:rsidR="00D84EBE" w:rsidRPr="00D84EBE">
              <w:rPr>
                <w:rFonts w:ascii="Arial" w:hAnsi="Arial" w:cs="Arial"/>
                <w:w w:val="95"/>
                <w:sz w:val="14"/>
                <w:szCs w:val="16"/>
              </w:rPr>
              <w:t>751</w:t>
            </w:r>
          </w:p>
        </w:tc>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EBE" w:rsidRPr="00D84EBE" w:rsidRDefault="00095981" w:rsidP="00095981">
            <w:pPr>
              <w:pStyle w:val="TableParagraph"/>
              <w:spacing w:before="0"/>
              <w:ind w:left="0"/>
              <w:jc w:val="right"/>
              <w:rPr>
                <w:rFonts w:ascii="Arial" w:hAnsi="Arial" w:cs="Arial"/>
                <w:sz w:val="14"/>
                <w:szCs w:val="16"/>
              </w:rPr>
            </w:pPr>
            <w:r>
              <w:rPr>
                <w:rFonts w:ascii="Arial" w:hAnsi="Arial" w:cs="Arial"/>
                <w:sz w:val="14"/>
                <w:szCs w:val="16"/>
              </w:rPr>
              <w:t>22 </w:t>
            </w:r>
            <w:r w:rsidR="00D84EBE" w:rsidRPr="00D84EBE">
              <w:rPr>
                <w:rFonts w:ascii="Arial" w:hAnsi="Arial" w:cs="Arial"/>
                <w:sz w:val="14"/>
                <w:szCs w:val="16"/>
              </w:rPr>
              <w:t>271</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EBE" w:rsidRPr="00D84EBE" w:rsidRDefault="00095981" w:rsidP="00095981">
            <w:pPr>
              <w:pStyle w:val="TableParagraph"/>
              <w:spacing w:before="0"/>
              <w:ind w:left="0"/>
              <w:jc w:val="right"/>
              <w:rPr>
                <w:rFonts w:ascii="Arial" w:hAnsi="Arial" w:cs="Arial"/>
                <w:sz w:val="14"/>
                <w:szCs w:val="16"/>
              </w:rPr>
            </w:pPr>
            <w:r>
              <w:rPr>
                <w:rFonts w:ascii="Arial" w:hAnsi="Arial" w:cs="Arial"/>
                <w:w w:val="95"/>
                <w:sz w:val="14"/>
                <w:szCs w:val="16"/>
              </w:rPr>
              <w:t>24 </w:t>
            </w:r>
            <w:r w:rsidR="00D84EBE" w:rsidRPr="00D84EBE">
              <w:rPr>
                <w:rFonts w:ascii="Arial" w:hAnsi="Arial" w:cs="Arial"/>
                <w:w w:val="95"/>
                <w:sz w:val="14"/>
                <w:szCs w:val="16"/>
              </w:rPr>
              <w:t>668</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EBE" w:rsidRPr="00D84EBE" w:rsidRDefault="00095981" w:rsidP="00095981">
            <w:pPr>
              <w:pStyle w:val="TableParagraph"/>
              <w:spacing w:before="0"/>
              <w:ind w:left="0"/>
              <w:jc w:val="right"/>
              <w:rPr>
                <w:rFonts w:ascii="Arial" w:hAnsi="Arial" w:cs="Arial"/>
                <w:sz w:val="14"/>
                <w:szCs w:val="16"/>
              </w:rPr>
            </w:pPr>
            <w:r>
              <w:rPr>
                <w:rFonts w:ascii="Arial" w:hAnsi="Arial" w:cs="Arial"/>
                <w:sz w:val="14"/>
                <w:szCs w:val="16"/>
              </w:rPr>
              <w:t>54 </w:t>
            </w:r>
            <w:r w:rsidR="00D84EBE" w:rsidRPr="00D84EBE">
              <w:rPr>
                <w:rFonts w:ascii="Arial" w:hAnsi="Arial" w:cs="Arial"/>
                <w:sz w:val="14"/>
                <w:szCs w:val="16"/>
              </w:rPr>
              <w:t>419</w:t>
            </w:r>
          </w:p>
        </w:tc>
      </w:tr>
      <w:tr w:rsidR="00D84EBE" w:rsidRPr="00D84EBE" w:rsidTr="00B235A5">
        <w:trPr>
          <w:trHeight w:val="359"/>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D84EBE" w:rsidRPr="00D84EBE" w:rsidRDefault="00D84EBE" w:rsidP="00D84EBE">
            <w:pPr>
              <w:pStyle w:val="TableParagraph"/>
              <w:ind w:left="76"/>
              <w:rPr>
                <w:rFonts w:ascii="Arial" w:hAnsi="Arial" w:cs="Arial"/>
                <w:sz w:val="14"/>
                <w:szCs w:val="16"/>
              </w:rPr>
            </w:pPr>
            <w:r w:rsidRPr="00D84EBE">
              <w:rPr>
                <w:rFonts w:ascii="Arial" w:hAnsi="Arial" w:cs="Arial"/>
                <w:sz w:val="14"/>
                <w:szCs w:val="16"/>
              </w:rPr>
              <w:t>2019</w:t>
            </w:r>
          </w:p>
        </w:tc>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D84EBE" w:rsidRPr="00D84EBE" w:rsidRDefault="00D84EBE" w:rsidP="00D84EBE">
            <w:pPr>
              <w:pStyle w:val="TableParagraph"/>
              <w:ind w:left="74"/>
              <w:rPr>
                <w:rFonts w:ascii="Arial" w:hAnsi="Arial" w:cs="Arial"/>
                <w:sz w:val="14"/>
                <w:szCs w:val="16"/>
              </w:rPr>
            </w:pPr>
            <w:r w:rsidRPr="00D84EBE">
              <w:rPr>
                <w:rFonts w:ascii="Arial" w:hAnsi="Arial" w:cs="Arial"/>
                <w:sz w:val="14"/>
                <w:szCs w:val="16"/>
              </w:rPr>
              <w:t>------</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D84EBE" w:rsidRPr="00D84EBE" w:rsidRDefault="00D84EBE" w:rsidP="00D84EBE">
            <w:pPr>
              <w:pStyle w:val="TableParagraph"/>
              <w:spacing w:before="15"/>
              <w:ind w:left="76" w:right="148"/>
              <w:rPr>
                <w:rFonts w:ascii="Arial" w:hAnsi="Arial" w:cs="Arial"/>
                <w:sz w:val="14"/>
                <w:szCs w:val="16"/>
              </w:rPr>
            </w:pPr>
            <w:r w:rsidRPr="00D84EBE">
              <w:rPr>
                <w:rFonts w:ascii="Arial" w:hAnsi="Arial" w:cs="Arial"/>
                <w:sz w:val="14"/>
                <w:szCs w:val="16"/>
              </w:rPr>
              <w:t>Straftaten insgesamt</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EBE" w:rsidRPr="00D84EBE" w:rsidRDefault="00D84EBE" w:rsidP="00095981">
            <w:pPr>
              <w:pStyle w:val="TableParagraph"/>
              <w:spacing w:before="0"/>
              <w:ind w:left="0"/>
              <w:jc w:val="right"/>
              <w:rPr>
                <w:rFonts w:ascii="Arial" w:hAnsi="Arial" w:cs="Arial"/>
                <w:sz w:val="14"/>
                <w:szCs w:val="16"/>
              </w:rPr>
            </w:pPr>
            <w:r>
              <w:rPr>
                <w:rFonts w:ascii="Arial" w:hAnsi="Arial" w:cs="Arial"/>
                <w:w w:val="95"/>
                <w:sz w:val="14"/>
                <w:szCs w:val="16"/>
              </w:rPr>
              <w:t>289 </w:t>
            </w:r>
            <w:r w:rsidRPr="00D84EBE">
              <w:rPr>
                <w:rFonts w:ascii="Arial" w:hAnsi="Arial" w:cs="Arial"/>
                <w:w w:val="95"/>
                <w:sz w:val="14"/>
                <w:szCs w:val="16"/>
              </w:rPr>
              <w:t>856</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EBE" w:rsidRPr="00D84EBE" w:rsidRDefault="00D84EBE" w:rsidP="00095981">
            <w:pPr>
              <w:pStyle w:val="TableParagraph"/>
              <w:spacing w:before="0"/>
              <w:ind w:left="0"/>
              <w:jc w:val="right"/>
              <w:rPr>
                <w:rFonts w:ascii="Arial" w:hAnsi="Arial" w:cs="Arial"/>
                <w:sz w:val="14"/>
                <w:szCs w:val="16"/>
              </w:rPr>
            </w:pPr>
            <w:r w:rsidRPr="00D84EBE">
              <w:rPr>
                <w:rFonts w:ascii="Arial" w:hAnsi="Arial" w:cs="Arial"/>
                <w:w w:val="95"/>
                <w:sz w:val="14"/>
                <w:szCs w:val="16"/>
              </w:rPr>
              <w:t>700</w:t>
            </w:r>
          </w:p>
        </w:tc>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EBE" w:rsidRPr="00D84EBE" w:rsidRDefault="00D84EBE" w:rsidP="00095981">
            <w:pPr>
              <w:pStyle w:val="TableParagraph"/>
              <w:spacing w:before="0"/>
              <w:ind w:left="0"/>
              <w:jc w:val="right"/>
              <w:rPr>
                <w:rFonts w:ascii="Arial" w:hAnsi="Arial" w:cs="Arial"/>
                <w:sz w:val="14"/>
                <w:szCs w:val="16"/>
              </w:rPr>
            </w:pPr>
            <w:r w:rsidRPr="00D84EBE">
              <w:rPr>
                <w:rFonts w:ascii="Arial" w:hAnsi="Arial" w:cs="Arial"/>
                <w:w w:val="95"/>
                <w:sz w:val="14"/>
                <w:szCs w:val="16"/>
              </w:rPr>
              <w:t>432</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EBE" w:rsidRPr="00D84EBE" w:rsidRDefault="00D84EBE" w:rsidP="00095981">
            <w:pPr>
              <w:pStyle w:val="TableParagraph"/>
              <w:spacing w:before="0"/>
              <w:ind w:left="0"/>
              <w:jc w:val="right"/>
              <w:rPr>
                <w:rFonts w:ascii="Arial" w:hAnsi="Arial" w:cs="Arial"/>
                <w:sz w:val="14"/>
                <w:szCs w:val="16"/>
              </w:rPr>
            </w:pPr>
            <w:r w:rsidRPr="00D84EBE">
              <w:rPr>
                <w:rFonts w:ascii="Arial" w:hAnsi="Arial" w:cs="Arial"/>
                <w:sz w:val="14"/>
                <w:szCs w:val="16"/>
              </w:rPr>
              <w:t>836</w:t>
            </w:r>
          </w:p>
        </w:tc>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EBE" w:rsidRPr="00D84EBE" w:rsidRDefault="00095981" w:rsidP="00095981">
            <w:pPr>
              <w:pStyle w:val="TableParagraph"/>
              <w:spacing w:before="0"/>
              <w:ind w:left="0"/>
              <w:jc w:val="right"/>
              <w:rPr>
                <w:rFonts w:ascii="Arial" w:hAnsi="Arial" w:cs="Arial"/>
                <w:sz w:val="14"/>
                <w:szCs w:val="16"/>
              </w:rPr>
            </w:pPr>
            <w:r>
              <w:rPr>
                <w:rFonts w:ascii="Arial" w:hAnsi="Arial" w:cs="Arial"/>
                <w:sz w:val="14"/>
                <w:szCs w:val="16"/>
              </w:rPr>
              <w:t>1 </w:t>
            </w:r>
            <w:r w:rsidR="00D84EBE" w:rsidRPr="00D84EBE">
              <w:rPr>
                <w:rFonts w:ascii="Arial" w:hAnsi="Arial" w:cs="Arial"/>
                <w:sz w:val="14"/>
                <w:szCs w:val="16"/>
              </w:rPr>
              <w:t>959</w:t>
            </w:r>
          </w:p>
        </w:tc>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EBE" w:rsidRPr="00D84EBE" w:rsidRDefault="00095981" w:rsidP="00095981">
            <w:pPr>
              <w:pStyle w:val="TableParagraph"/>
              <w:spacing w:before="0"/>
              <w:ind w:left="0"/>
              <w:jc w:val="right"/>
              <w:rPr>
                <w:rFonts w:ascii="Arial" w:hAnsi="Arial" w:cs="Arial"/>
                <w:sz w:val="14"/>
                <w:szCs w:val="16"/>
              </w:rPr>
            </w:pPr>
            <w:r>
              <w:rPr>
                <w:rFonts w:ascii="Arial" w:hAnsi="Arial" w:cs="Arial"/>
                <w:sz w:val="14"/>
                <w:szCs w:val="16"/>
              </w:rPr>
              <w:t>4 </w:t>
            </w:r>
            <w:r w:rsidR="00D84EBE" w:rsidRPr="00D84EBE">
              <w:rPr>
                <w:rFonts w:ascii="Arial" w:hAnsi="Arial" w:cs="Arial"/>
                <w:sz w:val="14"/>
                <w:szCs w:val="16"/>
              </w:rPr>
              <w:t>831</w:t>
            </w:r>
          </w:p>
        </w:tc>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EBE" w:rsidRPr="00D84EBE" w:rsidRDefault="00095981" w:rsidP="00095981">
            <w:pPr>
              <w:pStyle w:val="TableParagraph"/>
              <w:spacing w:before="0"/>
              <w:ind w:left="0"/>
              <w:jc w:val="right"/>
              <w:rPr>
                <w:rFonts w:ascii="Arial" w:hAnsi="Arial" w:cs="Arial"/>
                <w:sz w:val="14"/>
                <w:szCs w:val="16"/>
              </w:rPr>
            </w:pPr>
            <w:r>
              <w:rPr>
                <w:rFonts w:ascii="Arial" w:hAnsi="Arial" w:cs="Arial"/>
                <w:w w:val="95"/>
                <w:sz w:val="14"/>
                <w:szCs w:val="16"/>
              </w:rPr>
              <w:t>8 </w:t>
            </w:r>
            <w:r w:rsidR="00D84EBE" w:rsidRPr="00D84EBE">
              <w:rPr>
                <w:rFonts w:ascii="Arial" w:hAnsi="Arial" w:cs="Arial"/>
                <w:w w:val="95"/>
                <w:sz w:val="14"/>
                <w:szCs w:val="16"/>
              </w:rPr>
              <w:t>758</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EBE" w:rsidRPr="00D84EBE" w:rsidRDefault="00095981" w:rsidP="00095981">
            <w:pPr>
              <w:pStyle w:val="TableParagraph"/>
              <w:spacing w:before="0"/>
              <w:ind w:left="0"/>
              <w:jc w:val="right"/>
              <w:rPr>
                <w:rFonts w:ascii="Arial" w:hAnsi="Arial" w:cs="Arial"/>
                <w:sz w:val="14"/>
                <w:szCs w:val="16"/>
              </w:rPr>
            </w:pPr>
            <w:r>
              <w:rPr>
                <w:rFonts w:ascii="Arial" w:hAnsi="Arial" w:cs="Arial"/>
                <w:sz w:val="14"/>
                <w:szCs w:val="16"/>
              </w:rPr>
              <w:t>10 </w:t>
            </w:r>
            <w:r w:rsidR="00D84EBE" w:rsidRPr="00D84EBE">
              <w:rPr>
                <w:rFonts w:ascii="Arial" w:hAnsi="Arial" w:cs="Arial"/>
                <w:sz w:val="14"/>
                <w:szCs w:val="16"/>
              </w:rPr>
              <w:t>286</w:t>
            </w: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EBE" w:rsidRPr="00D84EBE" w:rsidRDefault="00095981" w:rsidP="00095981">
            <w:pPr>
              <w:pStyle w:val="TableParagraph"/>
              <w:spacing w:before="0"/>
              <w:ind w:left="0"/>
              <w:jc w:val="right"/>
              <w:rPr>
                <w:rFonts w:ascii="Arial" w:hAnsi="Arial" w:cs="Arial"/>
                <w:sz w:val="14"/>
                <w:szCs w:val="16"/>
              </w:rPr>
            </w:pPr>
            <w:r>
              <w:rPr>
                <w:rFonts w:ascii="Arial" w:hAnsi="Arial" w:cs="Arial"/>
                <w:w w:val="95"/>
                <w:sz w:val="14"/>
                <w:szCs w:val="16"/>
              </w:rPr>
              <w:t>13 </w:t>
            </w:r>
            <w:r w:rsidR="00D84EBE" w:rsidRPr="00D84EBE">
              <w:rPr>
                <w:rFonts w:ascii="Arial" w:hAnsi="Arial" w:cs="Arial"/>
                <w:w w:val="95"/>
                <w:sz w:val="14"/>
                <w:szCs w:val="16"/>
              </w:rPr>
              <w:t>570</w:t>
            </w:r>
          </w:p>
        </w:tc>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EBE" w:rsidRPr="00D84EBE" w:rsidRDefault="00095981" w:rsidP="00095981">
            <w:pPr>
              <w:pStyle w:val="TableParagraph"/>
              <w:spacing w:before="0"/>
              <w:ind w:left="0"/>
              <w:jc w:val="right"/>
              <w:rPr>
                <w:rFonts w:ascii="Arial" w:hAnsi="Arial" w:cs="Arial"/>
                <w:sz w:val="14"/>
                <w:szCs w:val="16"/>
              </w:rPr>
            </w:pPr>
            <w:r>
              <w:rPr>
                <w:rFonts w:ascii="Arial" w:hAnsi="Arial" w:cs="Arial"/>
                <w:sz w:val="14"/>
                <w:szCs w:val="16"/>
              </w:rPr>
              <w:t>23 </w:t>
            </w:r>
            <w:r w:rsidR="00D84EBE" w:rsidRPr="00D84EBE">
              <w:rPr>
                <w:rFonts w:ascii="Arial" w:hAnsi="Arial" w:cs="Arial"/>
                <w:sz w:val="14"/>
                <w:szCs w:val="16"/>
              </w:rPr>
              <w:t>856</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EBE" w:rsidRPr="00D84EBE" w:rsidRDefault="00095981" w:rsidP="00095981">
            <w:pPr>
              <w:pStyle w:val="TableParagraph"/>
              <w:spacing w:before="0"/>
              <w:ind w:left="0"/>
              <w:jc w:val="right"/>
              <w:rPr>
                <w:rFonts w:ascii="Arial" w:hAnsi="Arial" w:cs="Arial"/>
                <w:sz w:val="14"/>
                <w:szCs w:val="16"/>
              </w:rPr>
            </w:pPr>
            <w:r>
              <w:rPr>
                <w:rFonts w:ascii="Arial" w:hAnsi="Arial" w:cs="Arial"/>
                <w:w w:val="95"/>
                <w:sz w:val="14"/>
                <w:szCs w:val="16"/>
              </w:rPr>
              <w:t>27 </w:t>
            </w:r>
            <w:r w:rsidR="00D84EBE" w:rsidRPr="00D84EBE">
              <w:rPr>
                <w:rFonts w:ascii="Arial" w:hAnsi="Arial" w:cs="Arial"/>
                <w:w w:val="95"/>
                <w:sz w:val="14"/>
                <w:szCs w:val="16"/>
              </w:rPr>
              <w:t>205</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EBE" w:rsidRPr="00D84EBE" w:rsidRDefault="00095981" w:rsidP="00095981">
            <w:pPr>
              <w:pStyle w:val="TableParagraph"/>
              <w:spacing w:before="0"/>
              <w:ind w:left="0"/>
              <w:jc w:val="right"/>
              <w:rPr>
                <w:rFonts w:ascii="Arial" w:hAnsi="Arial" w:cs="Arial"/>
                <w:sz w:val="14"/>
                <w:szCs w:val="16"/>
              </w:rPr>
            </w:pPr>
            <w:r>
              <w:rPr>
                <w:rFonts w:ascii="Arial" w:hAnsi="Arial" w:cs="Arial"/>
                <w:sz w:val="14"/>
                <w:szCs w:val="16"/>
              </w:rPr>
              <w:t>59 </w:t>
            </w:r>
            <w:r w:rsidR="00D84EBE" w:rsidRPr="00D84EBE">
              <w:rPr>
                <w:rFonts w:ascii="Arial" w:hAnsi="Arial" w:cs="Arial"/>
                <w:sz w:val="14"/>
                <w:szCs w:val="16"/>
              </w:rPr>
              <w:t>819</w:t>
            </w:r>
          </w:p>
        </w:tc>
      </w:tr>
      <w:tr w:rsidR="00D84EBE" w:rsidRPr="00D84EBE" w:rsidTr="00B235A5">
        <w:trPr>
          <w:trHeight w:val="361"/>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D84EBE" w:rsidRPr="00D84EBE" w:rsidRDefault="00D84EBE" w:rsidP="00D84EBE">
            <w:pPr>
              <w:pStyle w:val="TableParagraph"/>
              <w:ind w:left="76"/>
              <w:rPr>
                <w:rFonts w:ascii="Arial" w:hAnsi="Arial" w:cs="Arial"/>
                <w:sz w:val="14"/>
                <w:szCs w:val="16"/>
              </w:rPr>
            </w:pPr>
            <w:r w:rsidRPr="00D84EBE">
              <w:rPr>
                <w:rFonts w:ascii="Arial" w:hAnsi="Arial" w:cs="Arial"/>
                <w:sz w:val="14"/>
                <w:szCs w:val="16"/>
              </w:rPr>
              <w:t>2018</w:t>
            </w:r>
          </w:p>
        </w:tc>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D84EBE" w:rsidRPr="00D84EBE" w:rsidRDefault="00D84EBE" w:rsidP="00D84EBE">
            <w:pPr>
              <w:pStyle w:val="TableParagraph"/>
              <w:ind w:left="74"/>
              <w:rPr>
                <w:rFonts w:ascii="Arial" w:hAnsi="Arial" w:cs="Arial"/>
                <w:sz w:val="14"/>
                <w:szCs w:val="16"/>
              </w:rPr>
            </w:pPr>
            <w:r w:rsidRPr="00D84EBE">
              <w:rPr>
                <w:rFonts w:ascii="Arial" w:hAnsi="Arial" w:cs="Arial"/>
                <w:sz w:val="14"/>
                <w:szCs w:val="16"/>
              </w:rPr>
              <w:t>------</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D84EBE" w:rsidRPr="00D84EBE" w:rsidRDefault="00D84EBE" w:rsidP="00D84EBE">
            <w:pPr>
              <w:pStyle w:val="TableParagraph"/>
              <w:spacing w:before="18"/>
              <w:ind w:left="76" w:right="148"/>
              <w:rPr>
                <w:rFonts w:ascii="Arial" w:hAnsi="Arial" w:cs="Arial"/>
                <w:sz w:val="14"/>
                <w:szCs w:val="16"/>
              </w:rPr>
            </w:pPr>
            <w:r w:rsidRPr="00D84EBE">
              <w:rPr>
                <w:rFonts w:ascii="Arial" w:hAnsi="Arial" w:cs="Arial"/>
                <w:sz w:val="14"/>
                <w:szCs w:val="16"/>
              </w:rPr>
              <w:t>Straftaten insgesamt</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EBE" w:rsidRPr="00D84EBE" w:rsidRDefault="00D84EBE" w:rsidP="00095981">
            <w:pPr>
              <w:pStyle w:val="TableParagraph"/>
              <w:spacing w:before="0"/>
              <w:ind w:left="0"/>
              <w:jc w:val="right"/>
              <w:rPr>
                <w:rFonts w:ascii="Arial" w:hAnsi="Arial" w:cs="Arial"/>
                <w:sz w:val="14"/>
                <w:szCs w:val="16"/>
              </w:rPr>
            </w:pPr>
            <w:r>
              <w:rPr>
                <w:rFonts w:ascii="Arial" w:hAnsi="Arial" w:cs="Arial"/>
                <w:w w:val="95"/>
                <w:sz w:val="14"/>
                <w:szCs w:val="16"/>
              </w:rPr>
              <w:t>297 </w:t>
            </w:r>
            <w:r w:rsidRPr="00D84EBE">
              <w:rPr>
                <w:rFonts w:ascii="Arial" w:hAnsi="Arial" w:cs="Arial"/>
                <w:w w:val="95"/>
                <w:sz w:val="14"/>
                <w:szCs w:val="16"/>
              </w:rPr>
              <w:t>832</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EBE" w:rsidRPr="00D84EBE" w:rsidRDefault="00D84EBE" w:rsidP="00095981">
            <w:pPr>
              <w:pStyle w:val="TableParagraph"/>
              <w:spacing w:before="0"/>
              <w:ind w:left="0"/>
              <w:jc w:val="right"/>
              <w:rPr>
                <w:rFonts w:ascii="Arial" w:hAnsi="Arial" w:cs="Arial"/>
                <w:sz w:val="14"/>
                <w:szCs w:val="16"/>
              </w:rPr>
            </w:pPr>
            <w:r w:rsidRPr="00D84EBE">
              <w:rPr>
                <w:rFonts w:ascii="Arial" w:hAnsi="Arial" w:cs="Arial"/>
                <w:w w:val="95"/>
                <w:sz w:val="14"/>
                <w:szCs w:val="16"/>
              </w:rPr>
              <w:t>1</w:t>
            </w:r>
            <w:r w:rsidR="00095981">
              <w:rPr>
                <w:rFonts w:ascii="Arial" w:hAnsi="Arial" w:cs="Arial"/>
                <w:w w:val="95"/>
                <w:sz w:val="14"/>
                <w:szCs w:val="16"/>
              </w:rPr>
              <w:t> </w:t>
            </w:r>
            <w:r w:rsidRPr="00D84EBE">
              <w:rPr>
                <w:rFonts w:ascii="Arial" w:hAnsi="Arial" w:cs="Arial"/>
                <w:w w:val="95"/>
                <w:sz w:val="14"/>
                <w:szCs w:val="16"/>
              </w:rPr>
              <w:t>201</w:t>
            </w:r>
          </w:p>
        </w:tc>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EBE" w:rsidRPr="00D84EBE" w:rsidRDefault="00D84EBE" w:rsidP="00095981">
            <w:pPr>
              <w:pStyle w:val="TableParagraph"/>
              <w:spacing w:before="0"/>
              <w:ind w:left="0"/>
              <w:jc w:val="right"/>
              <w:rPr>
                <w:rFonts w:ascii="Arial" w:hAnsi="Arial" w:cs="Arial"/>
                <w:sz w:val="14"/>
                <w:szCs w:val="16"/>
              </w:rPr>
            </w:pPr>
            <w:r w:rsidRPr="00D84EBE">
              <w:rPr>
                <w:rFonts w:ascii="Arial" w:hAnsi="Arial" w:cs="Arial"/>
                <w:w w:val="95"/>
                <w:sz w:val="14"/>
                <w:szCs w:val="16"/>
              </w:rPr>
              <w:t>642</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EBE" w:rsidRPr="00D84EBE" w:rsidRDefault="00D84EBE" w:rsidP="00095981">
            <w:pPr>
              <w:pStyle w:val="TableParagraph"/>
              <w:spacing w:before="0"/>
              <w:ind w:left="0"/>
              <w:jc w:val="right"/>
              <w:rPr>
                <w:rFonts w:ascii="Arial" w:hAnsi="Arial" w:cs="Arial"/>
                <w:sz w:val="14"/>
                <w:szCs w:val="16"/>
              </w:rPr>
            </w:pPr>
            <w:r w:rsidRPr="00D84EBE">
              <w:rPr>
                <w:rFonts w:ascii="Arial" w:hAnsi="Arial" w:cs="Arial"/>
                <w:sz w:val="14"/>
                <w:szCs w:val="16"/>
              </w:rPr>
              <w:t>1</w:t>
            </w:r>
            <w:r w:rsidR="00095981">
              <w:rPr>
                <w:rFonts w:ascii="Arial" w:hAnsi="Arial" w:cs="Arial"/>
                <w:sz w:val="14"/>
                <w:szCs w:val="16"/>
              </w:rPr>
              <w:t> </w:t>
            </w:r>
            <w:r w:rsidRPr="00D84EBE">
              <w:rPr>
                <w:rFonts w:ascii="Arial" w:hAnsi="Arial" w:cs="Arial"/>
                <w:sz w:val="14"/>
                <w:szCs w:val="16"/>
              </w:rPr>
              <w:t>071</w:t>
            </w:r>
          </w:p>
        </w:tc>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EBE" w:rsidRPr="00D84EBE" w:rsidRDefault="00D84EBE" w:rsidP="00095981">
            <w:pPr>
              <w:pStyle w:val="TableParagraph"/>
              <w:spacing w:before="0"/>
              <w:ind w:left="0"/>
              <w:jc w:val="right"/>
              <w:rPr>
                <w:rFonts w:ascii="Arial" w:hAnsi="Arial" w:cs="Arial"/>
                <w:sz w:val="14"/>
                <w:szCs w:val="16"/>
              </w:rPr>
            </w:pPr>
            <w:r w:rsidRPr="00D84EBE">
              <w:rPr>
                <w:rFonts w:ascii="Arial" w:hAnsi="Arial" w:cs="Arial"/>
                <w:sz w:val="14"/>
                <w:szCs w:val="16"/>
              </w:rPr>
              <w:t>1</w:t>
            </w:r>
            <w:r w:rsidR="00095981">
              <w:rPr>
                <w:rFonts w:ascii="Arial" w:hAnsi="Arial" w:cs="Arial"/>
                <w:sz w:val="14"/>
                <w:szCs w:val="16"/>
              </w:rPr>
              <w:t> </w:t>
            </w:r>
            <w:r w:rsidRPr="00D84EBE">
              <w:rPr>
                <w:rFonts w:ascii="Arial" w:hAnsi="Arial" w:cs="Arial"/>
                <w:sz w:val="14"/>
                <w:szCs w:val="16"/>
              </w:rPr>
              <w:t>931</w:t>
            </w:r>
          </w:p>
        </w:tc>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EBE" w:rsidRPr="00D84EBE" w:rsidRDefault="00095981" w:rsidP="00095981">
            <w:pPr>
              <w:pStyle w:val="TableParagraph"/>
              <w:spacing w:before="0"/>
              <w:ind w:left="0"/>
              <w:jc w:val="right"/>
              <w:rPr>
                <w:rFonts w:ascii="Arial" w:hAnsi="Arial" w:cs="Arial"/>
                <w:sz w:val="14"/>
                <w:szCs w:val="16"/>
              </w:rPr>
            </w:pPr>
            <w:r>
              <w:rPr>
                <w:rFonts w:ascii="Arial" w:hAnsi="Arial" w:cs="Arial"/>
                <w:sz w:val="14"/>
                <w:szCs w:val="16"/>
              </w:rPr>
              <w:t>4 </w:t>
            </w:r>
            <w:r w:rsidR="00D84EBE" w:rsidRPr="00D84EBE">
              <w:rPr>
                <w:rFonts w:ascii="Arial" w:hAnsi="Arial" w:cs="Arial"/>
                <w:sz w:val="14"/>
                <w:szCs w:val="16"/>
              </w:rPr>
              <w:t>586</w:t>
            </w:r>
          </w:p>
        </w:tc>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EBE" w:rsidRPr="00D84EBE" w:rsidRDefault="00095981" w:rsidP="00095981">
            <w:pPr>
              <w:pStyle w:val="TableParagraph"/>
              <w:spacing w:before="0"/>
              <w:ind w:left="0"/>
              <w:jc w:val="right"/>
              <w:rPr>
                <w:rFonts w:ascii="Arial" w:hAnsi="Arial" w:cs="Arial"/>
                <w:sz w:val="14"/>
                <w:szCs w:val="16"/>
              </w:rPr>
            </w:pPr>
            <w:r>
              <w:rPr>
                <w:rFonts w:ascii="Arial" w:hAnsi="Arial" w:cs="Arial"/>
                <w:w w:val="95"/>
                <w:sz w:val="14"/>
                <w:szCs w:val="16"/>
              </w:rPr>
              <w:t>9 </w:t>
            </w:r>
            <w:r w:rsidR="00D84EBE" w:rsidRPr="00D84EBE">
              <w:rPr>
                <w:rFonts w:ascii="Arial" w:hAnsi="Arial" w:cs="Arial"/>
                <w:w w:val="95"/>
                <w:sz w:val="14"/>
                <w:szCs w:val="16"/>
              </w:rPr>
              <w:t>431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EBE" w:rsidRPr="00D84EBE" w:rsidRDefault="00095981" w:rsidP="00095981">
            <w:pPr>
              <w:pStyle w:val="TableParagraph"/>
              <w:spacing w:before="0"/>
              <w:ind w:left="0"/>
              <w:jc w:val="right"/>
              <w:rPr>
                <w:rFonts w:ascii="Arial" w:hAnsi="Arial" w:cs="Arial"/>
                <w:sz w:val="14"/>
                <w:szCs w:val="16"/>
              </w:rPr>
            </w:pPr>
            <w:r>
              <w:rPr>
                <w:rFonts w:ascii="Arial" w:hAnsi="Arial" w:cs="Arial"/>
                <w:sz w:val="14"/>
                <w:szCs w:val="16"/>
              </w:rPr>
              <w:t>9 </w:t>
            </w:r>
            <w:r w:rsidR="00D84EBE" w:rsidRPr="00D84EBE">
              <w:rPr>
                <w:rFonts w:ascii="Arial" w:hAnsi="Arial" w:cs="Arial"/>
                <w:sz w:val="14"/>
                <w:szCs w:val="16"/>
              </w:rPr>
              <w:t>611</w:t>
            </w: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EBE" w:rsidRPr="00D84EBE" w:rsidRDefault="00095981" w:rsidP="00095981">
            <w:pPr>
              <w:pStyle w:val="TableParagraph"/>
              <w:spacing w:before="0"/>
              <w:ind w:left="0"/>
              <w:jc w:val="right"/>
              <w:rPr>
                <w:rFonts w:ascii="Arial" w:hAnsi="Arial" w:cs="Arial"/>
                <w:sz w:val="14"/>
                <w:szCs w:val="16"/>
              </w:rPr>
            </w:pPr>
            <w:r>
              <w:rPr>
                <w:rFonts w:ascii="Arial" w:hAnsi="Arial" w:cs="Arial"/>
                <w:w w:val="95"/>
                <w:sz w:val="14"/>
                <w:szCs w:val="16"/>
              </w:rPr>
              <w:t>13 </w:t>
            </w:r>
            <w:r w:rsidR="00D84EBE" w:rsidRPr="00D84EBE">
              <w:rPr>
                <w:rFonts w:ascii="Arial" w:hAnsi="Arial" w:cs="Arial"/>
                <w:w w:val="95"/>
                <w:sz w:val="14"/>
                <w:szCs w:val="16"/>
              </w:rPr>
              <w:t>779</w:t>
            </w:r>
          </w:p>
        </w:tc>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EBE" w:rsidRPr="00D84EBE" w:rsidRDefault="00095981" w:rsidP="00095981">
            <w:pPr>
              <w:pStyle w:val="TableParagraph"/>
              <w:spacing w:before="0"/>
              <w:ind w:left="0"/>
              <w:jc w:val="right"/>
              <w:rPr>
                <w:rFonts w:ascii="Arial" w:hAnsi="Arial" w:cs="Arial"/>
                <w:sz w:val="14"/>
                <w:szCs w:val="16"/>
              </w:rPr>
            </w:pPr>
            <w:r>
              <w:rPr>
                <w:rFonts w:ascii="Arial" w:hAnsi="Arial" w:cs="Arial"/>
                <w:sz w:val="14"/>
                <w:szCs w:val="16"/>
              </w:rPr>
              <w:t>23 </w:t>
            </w:r>
            <w:r w:rsidR="00D84EBE" w:rsidRPr="00D84EBE">
              <w:rPr>
                <w:rFonts w:ascii="Arial" w:hAnsi="Arial" w:cs="Arial"/>
                <w:sz w:val="14"/>
                <w:szCs w:val="16"/>
              </w:rPr>
              <w:t>390</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EBE" w:rsidRPr="00D84EBE" w:rsidRDefault="00095981" w:rsidP="00095981">
            <w:pPr>
              <w:pStyle w:val="TableParagraph"/>
              <w:spacing w:before="0"/>
              <w:ind w:left="0"/>
              <w:jc w:val="right"/>
              <w:rPr>
                <w:rFonts w:ascii="Arial" w:hAnsi="Arial" w:cs="Arial"/>
                <w:sz w:val="14"/>
                <w:szCs w:val="16"/>
              </w:rPr>
            </w:pPr>
            <w:r>
              <w:rPr>
                <w:rFonts w:ascii="Arial" w:hAnsi="Arial" w:cs="Arial"/>
                <w:w w:val="95"/>
                <w:sz w:val="14"/>
                <w:szCs w:val="16"/>
              </w:rPr>
              <w:t>29 </w:t>
            </w:r>
            <w:r w:rsidR="00D84EBE" w:rsidRPr="00D84EBE">
              <w:rPr>
                <w:rFonts w:ascii="Arial" w:hAnsi="Arial" w:cs="Arial"/>
                <w:w w:val="95"/>
                <w:sz w:val="14"/>
                <w:szCs w:val="16"/>
              </w:rPr>
              <w:t>714</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EBE" w:rsidRPr="00D84EBE" w:rsidRDefault="00095981" w:rsidP="00095981">
            <w:pPr>
              <w:pStyle w:val="TableParagraph"/>
              <w:spacing w:before="0"/>
              <w:ind w:left="0"/>
              <w:jc w:val="right"/>
              <w:rPr>
                <w:rFonts w:ascii="Arial" w:hAnsi="Arial" w:cs="Arial"/>
                <w:sz w:val="14"/>
                <w:szCs w:val="16"/>
              </w:rPr>
            </w:pPr>
            <w:r>
              <w:rPr>
                <w:rFonts w:ascii="Arial" w:hAnsi="Arial" w:cs="Arial"/>
                <w:sz w:val="14"/>
                <w:szCs w:val="16"/>
              </w:rPr>
              <w:t>62 </w:t>
            </w:r>
            <w:r w:rsidR="00D84EBE" w:rsidRPr="00D84EBE">
              <w:rPr>
                <w:rFonts w:ascii="Arial" w:hAnsi="Arial" w:cs="Arial"/>
                <w:sz w:val="14"/>
                <w:szCs w:val="16"/>
              </w:rPr>
              <w:t>535</w:t>
            </w:r>
          </w:p>
        </w:tc>
      </w:tr>
      <w:tr w:rsidR="00D84EBE" w:rsidRPr="00D84EBE" w:rsidTr="00B235A5">
        <w:trPr>
          <w:trHeight w:val="359"/>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D84EBE" w:rsidRPr="00D84EBE" w:rsidRDefault="00D84EBE" w:rsidP="00D84EBE">
            <w:pPr>
              <w:pStyle w:val="TableParagraph"/>
              <w:spacing w:before="94"/>
              <w:ind w:left="76"/>
              <w:rPr>
                <w:rFonts w:ascii="Arial" w:hAnsi="Arial" w:cs="Arial"/>
                <w:sz w:val="14"/>
                <w:szCs w:val="16"/>
              </w:rPr>
            </w:pPr>
            <w:r w:rsidRPr="00D84EBE">
              <w:rPr>
                <w:rFonts w:ascii="Arial" w:hAnsi="Arial" w:cs="Arial"/>
                <w:sz w:val="14"/>
                <w:szCs w:val="16"/>
              </w:rPr>
              <w:t>2017</w:t>
            </w:r>
          </w:p>
        </w:tc>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D84EBE" w:rsidRPr="00D84EBE" w:rsidRDefault="00D84EBE" w:rsidP="00D84EBE">
            <w:pPr>
              <w:pStyle w:val="TableParagraph"/>
              <w:spacing w:before="94"/>
              <w:ind w:left="74"/>
              <w:rPr>
                <w:rFonts w:ascii="Arial" w:hAnsi="Arial" w:cs="Arial"/>
                <w:sz w:val="14"/>
                <w:szCs w:val="16"/>
              </w:rPr>
            </w:pPr>
            <w:r w:rsidRPr="00D84EBE">
              <w:rPr>
                <w:rFonts w:ascii="Arial" w:hAnsi="Arial" w:cs="Arial"/>
                <w:sz w:val="14"/>
                <w:szCs w:val="16"/>
              </w:rPr>
              <w:t>------</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D84EBE" w:rsidRPr="00D84EBE" w:rsidRDefault="00D84EBE" w:rsidP="00D84EBE">
            <w:pPr>
              <w:pStyle w:val="TableParagraph"/>
              <w:spacing w:before="15"/>
              <w:ind w:left="76" w:right="148"/>
              <w:rPr>
                <w:rFonts w:ascii="Arial" w:hAnsi="Arial" w:cs="Arial"/>
                <w:sz w:val="14"/>
                <w:szCs w:val="16"/>
              </w:rPr>
            </w:pPr>
            <w:r w:rsidRPr="00D84EBE">
              <w:rPr>
                <w:rFonts w:ascii="Arial" w:hAnsi="Arial" w:cs="Arial"/>
                <w:sz w:val="14"/>
                <w:szCs w:val="16"/>
              </w:rPr>
              <w:t>Straftaten insgesamt</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EBE" w:rsidRPr="00D84EBE" w:rsidRDefault="00D84EBE" w:rsidP="00095981">
            <w:pPr>
              <w:pStyle w:val="TableParagraph"/>
              <w:spacing w:before="0"/>
              <w:ind w:left="0"/>
              <w:jc w:val="right"/>
              <w:rPr>
                <w:rFonts w:ascii="Arial" w:hAnsi="Arial" w:cs="Arial"/>
                <w:sz w:val="14"/>
                <w:szCs w:val="16"/>
              </w:rPr>
            </w:pPr>
            <w:r>
              <w:rPr>
                <w:rFonts w:ascii="Arial" w:hAnsi="Arial" w:cs="Arial"/>
                <w:w w:val="95"/>
                <w:sz w:val="14"/>
                <w:szCs w:val="16"/>
              </w:rPr>
              <w:t>302 </w:t>
            </w:r>
            <w:r w:rsidRPr="00D84EBE">
              <w:rPr>
                <w:rFonts w:ascii="Arial" w:hAnsi="Arial" w:cs="Arial"/>
                <w:w w:val="95"/>
                <w:sz w:val="14"/>
                <w:szCs w:val="16"/>
              </w:rPr>
              <w:t>910</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EBE" w:rsidRPr="00D84EBE" w:rsidRDefault="00095981" w:rsidP="00095981">
            <w:pPr>
              <w:pStyle w:val="TableParagraph"/>
              <w:spacing w:before="0"/>
              <w:ind w:left="0"/>
              <w:jc w:val="right"/>
              <w:rPr>
                <w:rFonts w:ascii="Arial" w:hAnsi="Arial" w:cs="Arial"/>
                <w:sz w:val="14"/>
                <w:szCs w:val="16"/>
              </w:rPr>
            </w:pPr>
            <w:r>
              <w:rPr>
                <w:rFonts w:ascii="Arial" w:hAnsi="Arial" w:cs="Arial"/>
                <w:w w:val="95"/>
                <w:sz w:val="14"/>
                <w:szCs w:val="16"/>
              </w:rPr>
              <w:t>1 </w:t>
            </w:r>
            <w:r w:rsidR="00D84EBE" w:rsidRPr="00D84EBE">
              <w:rPr>
                <w:rFonts w:ascii="Arial" w:hAnsi="Arial" w:cs="Arial"/>
                <w:w w:val="95"/>
                <w:sz w:val="14"/>
                <w:szCs w:val="16"/>
              </w:rPr>
              <w:t>302</w:t>
            </w:r>
          </w:p>
        </w:tc>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EBE" w:rsidRPr="00D84EBE" w:rsidRDefault="00D84EBE" w:rsidP="00095981">
            <w:pPr>
              <w:pStyle w:val="TableParagraph"/>
              <w:spacing w:before="0"/>
              <w:ind w:left="0"/>
              <w:jc w:val="right"/>
              <w:rPr>
                <w:rFonts w:ascii="Arial" w:hAnsi="Arial" w:cs="Arial"/>
                <w:sz w:val="14"/>
                <w:szCs w:val="16"/>
              </w:rPr>
            </w:pPr>
            <w:r w:rsidRPr="00D84EBE">
              <w:rPr>
                <w:rFonts w:ascii="Arial" w:hAnsi="Arial" w:cs="Arial"/>
                <w:w w:val="95"/>
                <w:sz w:val="14"/>
                <w:szCs w:val="16"/>
              </w:rPr>
              <w:t>621</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EBE" w:rsidRPr="00D84EBE" w:rsidRDefault="00095981" w:rsidP="00095981">
            <w:pPr>
              <w:pStyle w:val="TableParagraph"/>
              <w:spacing w:before="0"/>
              <w:ind w:left="0"/>
              <w:jc w:val="right"/>
              <w:rPr>
                <w:rFonts w:ascii="Arial" w:hAnsi="Arial" w:cs="Arial"/>
                <w:sz w:val="14"/>
                <w:szCs w:val="16"/>
              </w:rPr>
            </w:pPr>
            <w:r>
              <w:rPr>
                <w:rFonts w:ascii="Arial" w:hAnsi="Arial" w:cs="Arial"/>
                <w:sz w:val="14"/>
                <w:szCs w:val="16"/>
              </w:rPr>
              <w:t>1 </w:t>
            </w:r>
            <w:r w:rsidR="00D84EBE" w:rsidRPr="00D84EBE">
              <w:rPr>
                <w:rFonts w:ascii="Arial" w:hAnsi="Arial" w:cs="Arial"/>
                <w:sz w:val="14"/>
                <w:szCs w:val="16"/>
              </w:rPr>
              <w:t>117</w:t>
            </w:r>
          </w:p>
        </w:tc>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EBE" w:rsidRPr="00D84EBE" w:rsidRDefault="00095981" w:rsidP="00095981">
            <w:pPr>
              <w:pStyle w:val="TableParagraph"/>
              <w:spacing w:before="0"/>
              <w:ind w:left="0"/>
              <w:jc w:val="right"/>
              <w:rPr>
                <w:rFonts w:ascii="Arial" w:hAnsi="Arial" w:cs="Arial"/>
                <w:sz w:val="14"/>
                <w:szCs w:val="16"/>
              </w:rPr>
            </w:pPr>
            <w:r>
              <w:rPr>
                <w:rFonts w:ascii="Arial" w:hAnsi="Arial" w:cs="Arial"/>
                <w:sz w:val="14"/>
                <w:szCs w:val="16"/>
              </w:rPr>
              <w:t>1 </w:t>
            </w:r>
            <w:r w:rsidR="00D84EBE" w:rsidRPr="00D84EBE">
              <w:rPr>
                <w:rFonts w:ascii="Arial" w:hAnsi="Arial" w:cs="Arial"/>
                <w:sz w:val="14"/>
                <w:szCs w:val="16"/>
              </w:rPr>
              <w:t>932</w:t>
            </w:r>
          </w:p>
        </w:tc>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EBE" w:rsidRPr="00D84EBE" w:rsidRDefault="00095981" w:rsidP="00095981">
            <w:pPr>
              <w:pStyle w:val="TableParagraph"/>
              <w:spacing w:before="0"/>
              <w:ind w:left="0"/>
              <w:jc w:val="right"/>
              <w:rPr>
                <w:rFonts w:ascii="Arial" w:hAnsi="Arial" w:cs="Arial"/>
                <w:sz w:val="14"/>
                <w:szCs w:val="16"/>
              </w:rPr>
            </w:pPr>
            <w:r>
              <w:rPr>
                <w:rFonts w:ascii="Arial" w:hAnsi="Arial" w:cs="Arial"/>
                <w:sz w:val="14"/>
                <w:szCs w:val="16"/>
              </w:rPr>
              <w:t>4 </w:t>
            </w:r>
            <w:r w:rsidR="00D84EBE" w:rsidRPr="00D84EBE">
              <w:rPr>
                <w:rFonts w:ascii="Arial" w:hAnsi="Arial" w:cs="Arial"/>
                <w:sz w:val="14"/>
                <w:szCs w:val="16"/>
              </w:rPr>
              <w:t>550</w:t>
            </w:r>
          </w:p>
        </w:tc>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EBE" w:rsidRPr="00D84EBE" w:rsidRDefault="00095981" w:rsidP="00095981">
            <w:pPr>
              <w:pStyle w:val="TableParagraph"/>
              <w:spacing w:before="0"/>
              <w:ind w:left="0"/>
              <w:jc w:val="right"/>
              <w:rPr>
                <w:rFonts w:ascii="Arial" w:hAnsi="Arial" w:cs="Arial"/>
                <w:sz w:val="14"/>
                <w:szCs w:val="16"/>
              </w:rPr>
            </w:pPr>
            <w:r>
              <w:rPr>
                <w:rFonts w:ascii="Arial" w:hAnsi="Arial" w:cs="Arial"/>
                <w:w w:val="95"/>
                <w:sz w:val="14"/>
                <w:szCs w:val="16"/>
              </w:rPr>
              <w:t>9 </w:t>
            </w:r>
            <w:r w:rsidR="00D84EBE" w:rsidRPr="00D84EBE">
              <w:rPr>
                <w:rFonts w:ascii="Arial" w:hAnsi="Arial" w:cs="Arial"/>
                <w:w w:val="95"/>
                <w:sz w:val="14"/>
                <w:szCs w:val="16"/>
              </w:rPr>
              <w:t>522</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EBE" w:rsidRPr="00D84EBE" w:rsidRDefault="00095981" w:rsidP="00095981">
            <w:pPr>
              <w:pStyle w:val="TableParagraph"/>
              <w:spacing w:before="0"/>
              <w:ind w:left="0"/>
              <w:jc w:val="right"/>
              <w:rPr>
                <w:rFonts w:ascii="Arial" w:hAnsi="Arial" w:cs="Arial"/>
                <w:sz w:val="14"/>
                <w:szCs w:val="16"/>
              </w:rPr>
            </w:pPr>
            <w:r>
              <w:rPr>
                <w:rFonts w:ascii="Arial" w:hAnsi="Arial" w:cs="Arial"/>
                <w:sz w:val="14"/>
                <w:szCs w:val="16"/>
              </w:rPr>
              <w:t>9 </w:t>
            </w:r>
            <w:r w:rsidR="00D84EBE" w:rsidRPr="00D84EBE">
              <w:rPr>
                <w:rFonts w:ascii="Arial" w:hAnsi="Arial" w:cs="Arial"/>
                <w:sz w:val="14"/>
                <w:szCs w:val="16"/>
              </w:rPr>
              <w:t>888</w:t>
            </w: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EBE" w:rsidRPr="00D84EBE" w:rsidRDefault="00095981" w:rsidP="00095981">
            <w:pPr>
              <w:pStyle w:val="TableParagraph"/>
              <w:spacing w:before="0"/>
              <w:ind w:left="0"/>
              <w:jc w:val="right"/>
              <w:rPr>
                <w:rFonts w:ascii="Arial" w:hAnsi="Arial" w:cs="Arial"/>
                <w:sz w:val="14"/>
                <w:szCs w:val="16"/>
              </w:rPr>
            </w:pPr>
            <w:r>
              <w:rPr>
                <w:rFonts w:ascii="Arial" w:hAnsi="Arial" w:cs="Arial"/>
                <w:w w:val="95"/>
                <w:sz w:val="14"/>
                <w:szCs w:val="16"/>
              </w:rPr>
              <w:t>15 </w:t>
            </w:r>
            <w:r w:rsidR="00D84EBE" w:rsidRPr="00D84EBE">
              <w:rPr>
                <w:rFonts w:ascii="Arial" w:hAnsi="Arial" w:cs="Arial"/>
                <w:w w:val="95"/>
                <w:sz w:val="14"/>
                <w:szCs w:val="16"/>
              </w:rPr>
              <w:t>611</w:t>
            </w:r>
          </w:p>
        </w:tc>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EBE" w:rsidRPr="00D84EBE" w:rsidRDefault="00095981" w:rsidP="00095981">
            <w:pPr>
              <w:pStyle w:val="TableParagraph"/>
              <w:spacing w:before="0"/>
              <w:ind w:left="0"/>
              <w:jc w:val="right"/>
              <w:rPr>
                <w:rFonts w:ascii="Arial" w:hAnsi="Arial" w:cs="Arial"/>
                <w:sz w:val="14"/>
                <w:szCs w:val="16"/>
              </w:rPr>
            </w:pPr>
            <w:r>
              <w:rPr>
                <w:rFonts w:ascii="Arial" w:hAnsi="Arial" w:cs="Arial"/>
                <w:sz w:val="14"/>
                <w:szCs w:val="16"/>
              </w:rPr>
              <w:t>25 </w:t>
            </w:r>
            <w:r w:rsidR="00D84EBE" w:rsidRPr="00D84EBE">
              <w:rPr>
                <w:rFonts w:ascii="Arial" w:hAnsi="Arial" w:cs="Arial"/>
                <w:sz w:val="14"/>
                <w:szCs w:val="16"/>
              </w:rPr>
              <w:t>499</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EBE" w:rsidRPr="00D84EBE" w:rsidRDefault="00095981" w:rsidP="00095981">
            <w:pPr>
              <w:pStyle w:val="TableParagraph"/>
              <w:spacing w:before="0"/>
              <w:ind w:left="0"/>
              <w:jc w:val="right"/>
              <w:rPr>
                <w:rFonts w:ascii="Arial" w:hAnsi="Arial" w:cs="Arial"/>
                <w:sz w:val="14"/>
                <w:szCs w:val="16"/>
              </w:rPr>
            </w:pPr>
            <w:r>
              <w:rPr>
                <w:rFonts w:ascii="Arial" w:hAnsi="Arial" w:cs="Arial"/>
                <w:w w:val="95"/>
                <w:sz w:val="14"/>
                <w:szCs w:val="16"/>
              </w:rPr>
              <w:t>31 </w:t>
            </w:r>
            <w:r w:rsidR="00D84EBE" w:rsidRPr="00D84EBE">
              <w:rPr>
                <w:rFonts w:ascii="Arial" w:hAnsi="Arial" w:cs="Arial"/>
                <w:w w:val="95"/>
                <w:sz w:val="14"/>
                <w:szCs w:val="16"/>
              </w:rPr>
              <w:t>643</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EBE" w:rsidRPr="00D84EBE" w:rsidRDefault="00095981" w:rsidP="00095981">
            <w:pPr>
              <w:pStyle w:val="TableParagraph"/>
              <w:spacing w:before="0"/>
              <w:ind w:left="0"/>
              <w:jc w:val="right"/>
              <w:rPr>
                <w:rFonts w:ascii="Arial" w:hAnsi="Arial" w:cs="Arial"/>
                <w:sz w:val="14"/>
                <w:szCs w:val="16"/>
              </w:rPr>
            </w:pPr>
            <w:r>
              <w:rPr>
                <w:rFonts w:ascii="Arial" w:hAnsi="Arial" w:cs="Arial"/>
                <w:sz w:val="14"/>
                <w:szCs w:val="16"/>
              </w:rPr>
              <w:t>66 </w:t>
            </w:r>
            <w:r w:rsidR="00D84EBE" w:rsidRPr="00D84EBE">
              <w:rPr>
                <w:rFonts w:ascii="Arial" w:hAnsi="Arial" w:cs="Arial"/>
                <w:sz w:val="14"/>
                <w:szCs w:val="16"/>
              </w:rPr>
              <w:t>664</w:t>
            </w:r>
          </w:p>
        </w:tc>
      </w:tr>
      <w:tr w:rsidR="00D84EBE" w:rsidRPr="00D84EBE" w:rsidTr="00B235A5">
        <w:trPr>
          <w:trHeight w:val="359"/>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D84EBE" w:rsidRPr="00D84EBE" w:rsidRDefault="00D84EBE" w:rsidP="00D84EBE">
            <w:pPr>
              <w:pStyle w:val="TableParagraph"/>
              <w:spacing w:before="94"/>
              <w:ind w:left="76"/>
              <w:rPr>
                <w:rFonts w:ascii="Arial" w:hAnsi="Arial" w:cs="Arial"/>
                <w:sz w:val="14"/>
                <w:szCs w:val="16"/>
              </w:rPr>
            </w:pPr>
            <w:r w:rsidRPr="00D84EBE">
              <w:rPr>
                <w:rFonts w:ascii="Arial" w:hAnsi="Arial" w:cs="Arial"/>
                <w:sz w:val="14"/>
                <w:szCs w:val="16"/>
              </w:rPr>
              <w:t>2016</w:t>
            </w:r>
          </w:p>
        </w:tc>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D84EBE" w:rsidRPr="00D84EBE" w:rsidRDefault="00D84EBE" w:rsidP="00D84EBE">
            <w:pPr>
              <w:pStyle w:val="TableParagraph"/>
              <w:spacing w:before="94"/>
              <w:ind w:left="74"/>
              <w:rPr>
                <w:rFonts w:ascii="Arial" w:hAnsi="Arial" w:cs="Arial"/>
                <w:sz w:val="14"/>
                <w:szCs w:val="16"/>
              </w:rPr>
            </w:pPr>
            <w:r w:rsidRPr="00D84EBE">
              <w:rPr>
                <w:rFonts w:ascii="Arial" w:hAnsi="Arial" w:cs="Arial"/>
                <w:sz w:val="14"/>
                <w:szCs w:val="16"/>
              </w:rPr>
              <w:t>------</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D84EBE" w:rsidRPr="00D84EBE" w:rsidRDefault="00D84EBE" w:rsidP="00D84EBE">
            <w:pPr>
              <w:pStyle w:val="TableParagraph"/>
              <w:spacing w:before="15"/>
              <w:ind w:left="76" w:right="148"/>
              <w:rPr>
                <w:rFonts w:ascii="Arial" w:hAnsi="Arial" w:cs="Arial"/>
                <w:sz w:val="14"/>
                <w:szCs w:val="16"/>
              </w:rPr>
            </w:pPr>
            <w:r w:rsidRPr="00D84EBE">
              <w:rPr>
                <w:rFonts w:ascii="Arial" w:hAnsi="Arial" w:cs="Arial"/>
                <w:sz w:val="14"/>
                <w:szCs w:val="16"/>
              </w:rPr>
              <w:t>Straftaten insgesamt</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EBE" w:rsidRPr="00D84EBE" w:rsidRDefault="00D84EBE" w:rsidP="00095981">
            <w:pPr>
              <w:pStyle w:val="TableParagraph"/>
              <w:spacing w:before="0"/>
              <w:ind w:left="0"/>
              <w:jc w:val="right"/>
              <w:rPr>
                <w:rFonts w:ascii="Arial" w:hAnsi="Arial" w:cs="Arial"/>
                <w:sz w:val="14"/>
                <w:szCs w:val="16"/>
              </w:rPr>
            </w:pPr>
            <w:r>
              <w:rPr>
                <w:rFonts w:ascii="Arial" w:hAnsi="Arial" w:cs="Arial"/>
                <w:w w:val="95"/>
                <w:sz w:val="14"/>
                <w:szCs w:val="16"/>
              </w:rPr>
              <w:t>446 </w:t>
            </w:r>
            <w:r w:rsidRPr="00D84EBE">
              <w:rPr>
                <w:rFonts w:ascii="Arial" w:hAnsi="Arial" w:cs="Arial"/>
                <w:w w:val="95"/>
                <w:sz w:val="14"/>
                <w:szCs w:val="16"/>
              </w:rPr>
              <w:t>433</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EBE" w:rsidRPr="00D84EBE" w:rsidRDefault="00D84EBE" w:rsidP="00095981">
            <w:pPr>
              <w:pStyle w:val="TableParagraph"/>
              <w:spacing w:before="0"/>
              <w:ind w:left="0"/>
              <w:jc w:val="right"/>
              <w:rPr>
                <w:rFonts w:ascii="Arial" w:hAnsi="Arial" w:cs="Arial"/>
                <w:sz w:val="14"/>
                <w:szCs w:val="16"/>
              </w:rPr>
            </w:pPr>
            <w:r w:rsidRPr="00D84EBE">
              <w:rPr>
                <w:rFonts w:ascii="Arial" w:hAnsi="Arial" w:cs="Arial"/>
                <w:w w:val="95"/>
                <w:sz w:val="14"/>
                <w:szCs w:val="16"/>
              </w:rPr>
              <w:t>11</w:t>
            </w:r>
            <w:r w:rsidR="00095981">
              <w:rPr>
                <w:rFonts w:ascii="Arial" w:hAnsi="Arial" w:cs="Arial"/>
                <w:w w:val="95"/>
                <w:sz w:val="14"/>
                <w:szCs w:val="16"/>
              </w:rPr>
              <w:t> </w:t>
            </w:r>
            <w:r w:rsidRPr="00D84EBE">
              <w:rPr>
                <w:rFonts w:ascii="Arial" w:hAnsi="Arial" w:cs="Arial"/>
                <w:w w:val="95"/>
                <w:sz w:val="14"/>
                <w:szCs w:val="16"/>
              </w:rPr>
              <w:t>051</w:t>
            </w:r>
          </w:p>
        </w:tc>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EBE" w:rsidRPr="00D84EBE" w:rsidRDefault="00D84EBE" w:rsidP="00095981">
            <w:pPr>
              <w:pStyle w:val="TableParagraph"/>
              <w:spacing w:before="0"/>
              <w:ind w:left="0"/>
              <w:jc w:val="right"/>
              <w:rPr>
                <w:rFonts w:ascii="Arial" w:hAnsi="Arial" w:cs="Arial"/>
                <w:sz w:val="14"/>
                <w:szCs w:val="16"/>
              </w:rPr>
            </w:pPr>
            <w:r w:rsidRPr="00D84EBE">
              <w:rPr>
                <w:rFonts w:ascii="Arial" w:hAnsi="Arial" w:cs="Arial"/>
                <w:w w:val="95"/>
                <w:sz w:val="14"/>
                <w:szCs w:val="16"/>
              </w:rPr>
              <w:t>3</w:t>
            </w:r>
            <w:r w:rsidR="00095981">
              <w:rPr>
                <w:rFonts w:ascii="Arial" w:hAnsi="Arial" w:cs="Arial"/>
                <w:w w:val="95"/>
                <w:sz w:val="14"/>
                <w:szCs w:val="16"/>
              </w:rPr>
              <w:t> </w:t>
            </w:r>
            <w:r w:rsidRPr="00D84EBE">
              <w:rPr>
                <w:rFonts w:ascii="Arial" w:hAnsi="Arial" w:cs="Arial"/>
                <w:w w:val="95"/>
                <w:sz w:val="14"/>
                <w:szCs w:val="16"/>
              </w:rPr>
              <w:t>766</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EBE" w:rsidRPr="00D84EBE" w:rsidRDefault="00095981" w:rsidP="00095981">
            <w:pPr>
              <w:pStyle w:val="TableParagraph"/>
              <w:spacing w:before="0"/>
              <w:ind w:left="0"/>
              <w:jc w:val="right"/>
              <w:rPr>
                <w:rFonts w:ascii="Arial" w:hAnsi="Arial" w:cs="Arial"/>
                <w:sz w:val="14"/>
                <w:szCs w:val="16"/>
              </w:rPr>
            </w:pPr>
            <w:r>
              <w:rPr>
                <w:rFonts w:ascii="Arial" w:hAnsi="Arial" w:cs="Arial"/>
                <w:sz w:val="14"/>
                <w:szCs w:val="16"/>
              </w:rPr>
              <w:t>3 </w:t>
            </w:r>
            <w:r w:rsidR="00D84EBE" w:rsidRPr="00D84EBE">
              <w:rPr>
                <w:rFonts w:ascii="Arial" w:hAnsi="Arial" w:cs="Arial"/>
                <w:sz w:val="14"/>
                <w:szCs w:val="16"/>
              </w:rPr>
              <w:t>763</w:t>
            </w:r>
          </w:p>
        </w:tc>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EBE" w:rsidRPr="00D84EBE" w:rsidRDefault="00095981" w:rsidP="00095981">
            <w:pPr>
              <w:pStyle w:val="TableParagraph"/>
              <w:spacing w:before="0"/>
              <w:ind w:left="0"/>
              <w:jc w:val="right"/>
              <w:rPr>
                <w:rFonts w:ascii="Arial" w:hAnsi="Arial" w:cs="Arial"/>
                <w:sz w:val="14"/>
                <w:szCs w:val="16"/>
              </w:rPr>
            </w:pPr>
            <w:r>
              <w:rPr>
                <w:rFonts w:ascii="Arial" w:hAnsi="Arial" w:cs="Arial"/>
                <w:sz w:val="14"/>
                <w:szCs w:val="16"/>
              </w:rPr>
              <w:t>4 </w:t>
            </w:r>
            <w:r w:rsidR="00D84EBE" w:rsidRPr="00D84EBE">
              <w:rPr>
                <w:rFonts w:ascii="Arial" w:hAnsi="Arial" w:cs="Arial"/>
                <w:sz w:val="14"/>
                <w:szCs w:val="16"/>
              </w:rPr>
              <w:t>441</w:t>
            </w:r>
          </w:p>
        </w:tc>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EBE" w:rsidRPr="00D84EBE" w:rsidRDefault="00095981" w:rsidP="00095981">
            <w:pPr>
              <w:pStyle w:val="TableParagraph"/>
              <w:spacing w:before="0"/>
              <w:ind w:left="0"/>
              <w:jc w:val="right"/>
              <w:rPr>
                <w:rFonts w:ascii="Arial" w:hAnsi="Arial" w:cs="Arial"/>
                <w:sz w:val="14"/>
                <w:szCs w:val="16"/>
              </w:rPr>
            </w:pPr>
            <w:r>
              <w:rPr>
                <w:rFonts w:ascii="Arial" w:hAnsi="Arial" w:cs="Arial"/>
                <w:sz w:val="14"/>
                <w:szCs w:val="16"/>
              </w:rPr>
              <w:t>6 </w:t>
            </w:r>
            <w:r w:rsidR="00D84EBE" w:rsidRPr="00D84EBE">
              <w:rPr>
                <w:rFonts w:ascii="Arial" w:hAnsi="Arial" w:cs="Arial"/>
                <w:sz w:val="14"/>
                <w:szCs w:val="16"/>
              </w:rPr>
              <w:t>508</w:t>
            </w:r>
          </w:p>
        </w:tc>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EBE" w:rsidRPr="00D84EBE" w:rsidRDefault="00095981" w:rsidP="00095981">
            <w:pPr>
              <w:pStyle w:val="TableParagraph"/>
              <w:spacing w:before="0"/>
              <w:ind w:left="0"/>
              <w:jc w:val="right"/>
              <w:rPr>
                <w:rFonts w:ascii="Arial" w:hAnsi="Arial" w:cs="Arial"/>
                <w:sz w:val="14"/>
                <w:szCs w:val="16"/>
              </w:rPr>
            </w:pPr>
            <w:r>
              <w:rPr>
                <w:rFonts w:ascii="Arial" w:hAnsi="Arial" w:cs="Arial"/>
                <w:w w:val="95"/>
                <w:sz w:val="14"/>
                <w:szCs w:val="16"/>
              </w:rPr>
              <w:t>29 </w:t>
            </w:r>
            <w:r w:rsidR="00D84EBE" w:rsidRPr="00D84EBE">
              <w:rPr>
                <w:rFonts w:ascii="Arial" w:hAnsi="Arial" w:cs="Arial"/>
                <w:w w:val="95"/>
                <w:sz w:val="14"/>
                <w:szCs w:val="16"/>
              </w:rPr>
              <w:t>529</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EBE" w:rsidRPr="00D84EBE" w:rsidRDefault="00095981" w:rsidP="00095981">
            <w:pPr>
              <w:pStyle w:val="TableParagraph"/>
              <w:spacing w:before="0"/>
              <w:ind w:left="0"/>
              <w:jc w:val="right"/>
              <w:rPr>
                <w:rFonts w:ascii="Arial" w:hAnsi="Arial" w:cs="Arial"/>
                <w:sz w:val="14"/>
                <w:szCs w:val="16"/>
              </w:rPr>
            </w:pPr>
            <w:r>
              <w:rPr>
                <w:rFonts w:ascii="Arial" w:hAnsi="Arial" w:cs="Arial"/>
                <w:sz w:val="14"/>
                <w:szCs w:val="16"/>
              </w:rPr>
              <w:t>15 </w:t>
            </w:r>
            <w:r w:rsidR="00D84EBE" w:rsidRPr="00D84EBE">
              <w:rPr>
                <w:rFonts w:ascii="Arial" w:hAnsi="Arial" w:cs="Arial"/>
                <w:sz w:val="14"/>
                <w:szCs w:val="16"/>
              </w:rPr>
              <w:t>562</w:t>
            </w: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EBE" w:rsidRPr="00D84EBE" w:rsidRDefault="00095981" w:rsidP="00095981">
            <w:pPr>
              <w:pStyle w:val="TableParagraph"/>
              <w:spacing w:before="0"/>
              <w:ind w:left="0"/>
              <w:jc w:val="right"/>
              <w:rPr>
                <w:rFonts w:ascii="Arial" w:hAnsi="Arial" w:cs="Arial"/>
                <w:sz w:val="14"/>
                <w:szCs w:val="16"/>
              </w:rPr>
            </w:pPr>
            <w:r>
              <w:rPr>
                <w:rFonts w:ascii="Arial" w:hAnsi="Arial" w:cs="Arial"/>
                <w:w w:val="95"/>
                <w:sz w:val="14"/>
                <w:szCs w:val="16"/>
              </w:rPr>
              <w:t>26 </w:t>
            </w:r>
            <w:r w:rsidR="00D84EBE" w:rsidRPr="00D84EBE">
              <w:rPr>
                <w:rFonts w:ascii="Arial" w:hAnsi="Arial" w:cs="Arial"/>
                <w:w w:val="95"/>
                <w:sz w:val="14"/>
                <w:szCs w:val="16"/>
              </w:rPr>
              <w:t>590</w:t>
            </w:r>
          </w:p>
        </w:tc>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EBE" w:rsidRPr="00D84EBE" w:rsidRDefault="00095981" w:rsidP="00095981">
            <w:pPr>
              <w:pStyle w:val="TableParagraph"/>
              <w:spacing w:before="0"/>
              <w:ind w:left="0"/>
              <w:jc w:val="right"/>
              <w:rPr>
                <w:rFonts w:ascii="Arial" w:hAnsi="Arial" w:cs="Arial"/>
                <w:sz w:val="14"/>
                <w:szCs w:val="16"/>
              </w:rPr>
            </w:pPr>
            <w:r>
              <w:rPr>
                <w:rFonts w:ascii="Arial" w:hAnsi="Arial" w:cs="Arial"/>
                <w:sz w:val="14"/>
                <w:szCs w:val="16"/>
              </w:rPr>
              <w:t>42 </w:t>
            </w:r>
            <w:r w:rsidR="00D84EBE" w:rsidRPr="00D84EBE">
              <w:rPr>
                <w:rFonts w:ascii="Arial" w:hAnsi="Arial" w:cs="Arial"/>
                <w:sz w:val="14"/>
                <w:szCs w:val="16"/>
              </w:rPr>
              <w:t>152</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EBE" w:rsidRPr="00D84EBE" w:rsidRDefault="00095981" w:rsidP="00095981">
            <w:pPr>
              <w:pStyle w:val="TableParagraph"/>
              <w:spacing w:before="0"/>
              <w:ind w:left="0"/>
              <w:jc w:val="right"/>
              <w:rPr>
                <w:rFonts w:ascii="Arial" w:hAnsi="Arial" w:cs="Arial"/>
                <w:sz w:val="14"/>
                <w:szCs w:val="16"/>
              </w:rPr>
            </w:pPr>
            <w:r>
              <w:rPr>
                <w:rFonts w:ascii="Arial" w:hAnsi="Arial" w:cs="Arial"/>
                <w:w w:val="95"/>
                <w:sz w:val="14"/>
                <w:szCs w:val="16"/>
              </w:rPr>
              <w:t>54 </w:t>
            </w:r>
            <w:r w:rsidR="00D84EBE" w:rsidRPr="00D84EBE">
              <w:rPr>
                <w:rFonts w:ascii="Arial" w:hAnsi="Arial" w:cs="Arial"/>
                <w:w w:val="95"/>
                <w:sz w:val="14"/>
                <w:szCs w:val="16"/>
              </w:rPr>
              <w:t>768</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EBE" w:rsidRPr="00D84EBE" w:rsidRDefault="00095981" w:rsidP="00095981">
            <w:pPr>
              <w:pStyle w:val="TableParagraph"/>
              <w:spacing w:before="0"/>
              <w:ind w:left="0"/>
              <w:jc w:val="right"/>
              <w:rPr>
                <w:rFonts w:ascii="Arial" w:hAnsi="Arial" w:cs="Arial"/>
                <w:sz w:val="14"/>
                <w:szCs w:val="16"/>
              </w:rPr>
            </w:pPr>
            <w:r>
              <w:rPr>
                <w:rFonts w:ascii="Arial" w:hAnsi="Arial" w:cs="Arial"/>
                <w:sz w:val="14"/>
                <w:szCs w:val="16"/>
              </w:rPr>
              <w:t>126 </w:t>
            </w:r>
            <w:r w:rsidR="00D84EBE" w:rsidRPr="00D84EBE">
              <w:rPr>
                <w:rFonts w:ascii="Arial" w:hAnsi="Arial" w:cs="Arial"/>
                <w:sz w:val="14"/>
                <w:szCs w:val="16"/>
              </w:rPr>
              <w:t>449</w:t>
            </w:r>
          </w:p>
        </w:tc>
      </w:tr>
      <w:tr w:rsidR="00B235A5" w:rsidRPr="00D84EBE" w:rsidTr="00B235A5">
        <w:trPr>
          <w:trHeight w:val="359"/>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5A5" w:rsidRPr="00B235A5" w:rsidRDefault="00B235A5" w:rsidP="00B235A5">
            <w:pPr>
              <w:pStyle w:val="TableParagraph"/>
              <w:spacing w:before="0"/>
              <w:ind w:left="0"/>
              <w:jc w:val="center"/>
              <w:rPr>
                <w:rFonts w:ascii="Arial" w:hAnsi="Arial" w:cs="Arial"/>
                <w:sz w:val="14"/>
                <w:szCs w:val="16"/>
              </w:rPr>
            </w:pPr>
            <w:r w:rsidRPr="00B235A5">
              <w:rPr>
                <w:rFonts w:ascii="Arial" w:hAnsi="Arial" w:cs="Arial"/>
                <w:sz w:val="14"/>
                <w:szCs w:val="16"/>
              </w:rPr>
              <w:t>2015</w:t>
            </w:r>
          </w:p>
        </w:tc>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B235A5" w:rsidRPr="00B235A5" w:rsidRDefault="00B235A5" w:rsidP="00B235A5">
            <w:pPr>
              <w:pStyle w:val="TableParagraph"/>
              <w:spacing w:before="15"/>
              <w:ind w:left="76" w:right="148"/>
              <w:rPr>
                <w:rFonts w:ascii="Arial" w:hAnsi="Arial" w:cs="Arial"/>
                <w:sz w:val="14"/>
                <w:szCs w:val="16"/>
              </w:rPr>
            </w:pPr>
            <w:r w:rsidRPr="00B235A5">
              <w:rPr>
                <w:rFonts w:ascii="Arial" w:hAnsi="Arial" w:cs="Arial"/>
                <w:sz w:val="14"/>
                <w:szCs w:val="16"/>
              </w:rPr>
              <w:t>------</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B235A5" w:rsidRPr="00B235A5" w:rsidRDefault="00B235A5" w:rsidP="00B235A5">
            <w:pPr>
              <w:pStyle w:val="TableParagraph"/>
              <w:spacing w:before="15"/>
              <w:ind w:left="76" w:right="148"/>
              <w:rPr>
                <w:rFonts w:ascii="Arial" w:hAnsi="Arial" w:cs="Arial"/>
                <w:sz w:val="14"/>
                <w:szCs w:val="16"/>
              </w:rPr>
            </w:pPr>
            <w:r w:rsidRPr="00B235A5">
              <w:rPr>
                <w:rFonts w:ascii="Arial" w:hAnsi="Arial" w:cs="Arial"/>
                <w:sz w:val="14"/>
                <w:szCs w:val="16"/>
              </w:rPr>
              <w:t>Straftaten insgesamt</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5A5" w:rsidRPr="00B235A5" w:rsidRDefault="00B235A5" w:rsidP="00B235A5">
            <w:pPr>
              <w:pStyle w:val="TableParagraph"/>
              <w:spacing w:before="0"/>
              <w:ind w:left="0"/>
              <w:jc w:val="right"/>
              <w:rPr>
                <w:rFonts w:ascii="Arial" w:hAnsi="Arial" w:cs="Arial"/>
                <w:w w:val="95"/>
                <w:sz w:val="14"/>
                <w:szCs w:val="16"/>
              </w:rPr>
            </w:pPr>
            <w:r>
              <w:rPr>
                <w:rFonts w:ascii="Arial" w:hAnsi="Arial" w:cs="Arial"/>
                <w:w w:val="95"/>
                <w:sz w:val="14"/>
                <w:szCs w:val="16"/>
              </w:rPr>
              <w:t>461 </w:t>
            </w:r>
            <w:r w:rsidRPr="00B235A5">
              <w:rPr>
                <w:rFonts w:ascii="Arial" w:hAnsi="Arial" w:cs="Arial"/>
                <w:w w:val="95"/>
                <w:sz w:val="14"/>
                <w:szCs w:val="16"/>
              </w:rPr>
              <w:t>302</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5A5" w:rsidRPr="00B235A5" w:rsidRDefault="00B235A5" w:rsidP="00B235A5">
            <w:pPr>
              <w:pStyle w:val="TableParagraph"/>
              <w:spacing w:before="0"/>
              <w:ind w:left="0"/>
              <w:jc w:val="right"/>
              <w:rPr>
                <w:rFonts w:ascii="Arial" w:hAnsi="Arial" w:cs="Arial"/>
                <w:w w:val="95"/>
                <w:sz w:val="14"/>
                <w:szCs w:val="16"/>
              </w:rPr>
            </w:pPr>
            <w:r>
              <w:rPr>
                <w:rFonts w:ascii="Arial" w:hAnsi="Arial" w:cs="Arial"/>
                <w:w w:val="95"/>
                <w:sz w:val="14"/>
                <w:szCs w:val="16"/>
              </w:rPr>
              <w:t>6 </w:t>
            </w:r>
            <w:r w:rsidRPr="00B235A5">
              <w:rPr>
                <w:rFonts w:ascii="Arial" w:hAnsi="Arial" w:cs="Arial"/>
                <w:w w:val="95"/>
                <w:sz w:val="14"/>
                <w:szCs w:val="16"/>
              </w:rPr>
              <w:t>442</w:t>
            </w:r>
          </w:p>
        </w:tc>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5A5" w:rsidRPr="00B235A5" w:rsidRDefault="00B235A5" w:rsidP="00B235A5">
            <w:pPr>
              <w:pStyle w:val="TableParagraph"/>
              <w:spacing w:before="0"/>
              <w:ind w:left="0"/>
              <w:jc w:val="right"/>
              <w:rPr>
                <w:rFonts w:ascii="Arial" w:hAnsi="Arial" w:cs="Arial"/>
                <w:w w:val="95"/>
                <w:sz w:val="14"/>
                <w:szCs w:val="16"/>
              </w:rPr>
            </w:pPr>
            <w:r w:rsidRPr="00B235A5">
              <w:rPr>
                <w:rFonts w:ascii="Arial" w:hAnsi="Arial" w:cs="Arial"/>
                <w:w w:val="95"/>
                <w:sz w:val="14"/>
                <w:szCs w:val="16"/>
              </w:rPr>
              <w:t>2</w:t>
            </w:r>
            <w:r>
              <w:rPr>
                <w:rFonts w:ascii="Arial" w:hAnsi="Arial" w:cs="Arial"/>
                <w:w w:val="95"/>
                <w:sz w:val="14"/>
                <w:szCs w:val="16"/>
              </w:rPr>
              <w:t> </w:t>
            </w:r>
            <w:r w:rsidRPr="00B235A5">
              <w:rPr>
                <w:rFonts w:ascii="Arial" w:hAnsi="Arial" w:cs="Arial"/>
                <w:w w:val="95"/>
                <w:sz w:val="14"/>
                <w:szCs w:val="16"/>
              </w:rPr>
              <w:t>411</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5A5" w:rsidRPr="00B235A5" w:rsidRDefault="00B235A5" w:rsidP="00B235A5">
            <w:pPr>
              <w:pStyle w:val="TableParagraph"/>
              <w:spacing w:before="0"/>
              <w:ind w:left="0"/>
              <w:jc w:val="right"/>
              <w:rPr>
                <w:rFonts w:ascii="Arial" w:hAnsi="Arial" w:cs="Arial"/>
                <w:w w:val="95"/>
                <w:sz w:val="14"/>
                <w:szCs w:val="16"/>
              </w:rPr>
            </w:pPr>
            <w:r>
              <w:rPr>
                <w:rFonts w:ascii="Arial" w:hAnsi="Arial" w:cs="Arial"/>
                <w:w w:val="95"/>
                <w:sz w:val="14"/>
                <w:szCs w:val="16"/>
              </w:rPr>
              <w:t>2 </w:t>
            </w:r>
            <w:r w:rsidRPr="00B235A5">
              <w:rPr>
                <w:rFonts w:ascii="Arial" w:hAnsi="Arial" w:cs="Arial"/>
                <w:w w:val="95"/>
                <w:sz w:val="14"/>
                <w:szCs w:val="16"/>
              </w:rPr>
              <w:t>593</w:t>
            </w:r>
          </w:p>
        </w:tc>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5A5" w:rsidRPr="00B235A5" w:rsidRDefault="00B235A5" w:rsidP="00B235A5">
            <w:pPr>
              <w:pStyle w:val="TableParagraph"/>
              <w:spacing w:before="0"/>
              <w:ind w:left="0"/>
              <w:jc w:val="right"/>
              <w:rPr>
                <w:rFonts w:ascii="Arial" w:hAnsi="Arial" w:cs="Arial"/>
                <w:w w:val="95"/>
                <w:sz w:val="14"/>
                <w:szCs w:val="16"/>
              </w:rPr>
            </w:pPr>
            <w:r>
              <w:rPr>
                <w:rFonts w:ascii="Arial" w:hAnsi="Arial" w:cs="Arial"/>
                <w:w w:val="95"/>
                <w:sz w:val="14"/>
                <w:szCs w:val="16"/>
              </w:rPr>
              <w:t>3 </w:t>
            </w:r>
            <w:r w:rsidRPr="00B235A5">
              <w:rPr>
                <w:rFonts w:ascii="Arial" w:hAnsi="Arial" w:cs="Arial"/>
                <w:w w:val="95"/>
                <w:sz w:val="14"/>
                <w:szCs w:val="16"/>
              </w:rPr>
              <w:t>175</w:t>
            </w:r>
          </w:p>
        </w:tc>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5A5" w:rsidRPr="00B235A5" w:rsidRDefault="00B235A5" w:rsidP="00B235A5">
            <w:pPr>
              <w:pStyle w:val="TableParagraph"/>
              <w:spacing w:before="0"/>
              <w:ind w:left="0"/>
              <w:jc w:val="right"/>
              <w:rPr>
                <w:rFonts w:ascii="Arial" w:hAnsi="Arial" w:cs="Arial"/>
                <w:w w:val="95"/>
                <w:sz w:val="14"/>
                <w:szCs w:val="16"/>
              </w:rPr>
            </w:pPr>
            <w:r>
              <w:rPr>
                <w:rFonts w:ascii="Arial" w:hAnsi="Arial" w:cs="Arial"/>
                <w:w w:val="95"/>
                <w:sz w:val="14"/>
                <w:szCs w:val="16"/>
              </w:rPr>
              <w:t>5 </w:t>
            </w:r>
            <w:r w:rsidRPr="00B235A5">
              <w:rPr>
                <w:rFonts w:ascii="Arial" w:hAnsi="Arial" w:cs="Arial"/>
                <w:w w:val="95"/>
                <w:sz w:val="14"/>
                <w:szCs w:val="16"/>
              </w:rPr>
              <w:t>920</w:t>
            </w:r>
          </w:p>
        </w:tc>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5A5" w:rsidRPr="00B235A5" w:rsidRDefault="00B235A5" w:rsidP="00B235A5">
            <w:pPr>
              <w:pStyle w:val="TableParagraph"/>
              <w:spacing w:before="0"/>
              <w:ind w:left="0"/>
              <w:jc w:val="right"/>
              <w:rPr>
                <w:rFonts w:ascii="Arial" w:hAnsi="Arial" w:cs="Arial"/>
                <w:w w:val="95"/>
                <w:sz w:val="14"/>
                <w:szCs w:val="16"/>
              </w:rPr>
            </w:pPr>
            <w:r>
              <w:rPr>
                <w:rFonts w:ascii="Arial" w:hAnsi="Arial" w:cs="Arial"/>
                <w:w w:val="95"/>
                <w:sz w:val="14"/>
                <w:szCs w:val="16"/>
              </w:rPr>
              <w:t>20 </w:t>
            </w:r>
            <w:r w:rsidRPr="00B235A5">
              <w:rPr>
                <w:rFonts w:ascii="Arial" w:hAnsi="Arial" w:cs="Arial"/>
                <w:w w:val="95"/>
                <w:sz w:val="14"/>
                <w:szCs w:val="16"/>
              </w:rPr>
              <w:t>541</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5A5" w:rsidRPr="00B235A5" w:rsidRDefault="00B235A5" w:rsidP="00B235A5">
            <w:pPr>
              <w:pStyle w:val="TableParagraph"/>
              <w:spacing w:before="0"/>
              <w:ind w:left="0"/>
              <w:jc w:val="right"/>
              <w:rPr>
                <w:rFonts w:ascii="Arial" w:hAnsi="Arial" w:cs="Arial"/>
                <w:w w:val="95"/>
                <w:sz w:val="14"/>
                <w:szCs w:val="16"/>
              </w:rPr>
            </w:pPr>
            <w:r>
              <w:rPr>
                <w:rFonts w:ascii="Arial" w:hAnsi="Arial" w:cs="Arial"/>
                <w:w w:val="95"/>
                <w:sz w:val="14"/>
                <w:szCs w:val="16"/>
              </w:rPr>
              <w:t>17 </w:t>
            </w:r>
            <w:r w:rsidRPr="00B235A5">
              <w:rPr>
                <w:rFonts w:ascii="Arial" w:hAnsi="Arial" w:cs="Arial"/>
                <w:w w:val="95"/>
                <w:sz w:val="14"/>
                <w:szCs w:val="16"/>
              </w:rPr>
              <w:t>906</w:t>
            </w: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5A5" w:rsidRPr="00B235A5" w:rsidRDefault="00B235A5" w:rsidP="00B235A5">
            <w:pPr>
              <w:pStyle w:val="TableParagraph"/>
              <w:spacing w:before="0"/>
              <w:ind w:left="0"/>
              <w:jc w:val="right"/>
              <w:rPr>
                <w:rFonts w:ascii="Arial" w:hAnsi="Arial" w:cs="Arial"/>
                <w:w w:val="95"/>
                <w:sz w:val="14"/>
                <w:szCs w:val="16"/>
              </w:rPr>
            </w:pPr>
            <w:r>
              <w:rPr>
                <w:rFonts w:ascii="Arial" w:hAnsi="Arial" w:cs="Arial"/>
                <w:w w:val="95"/>
                <w:sz w:val="14"/>
                <w:szCs w:val="16"/>
              </w:rPr>
              <w:t>31 </w:t>
            </w:r>
            <w:r w:rsidRPr="00B235A5">
              <w:rPr>
                <w:rFonts w:ascii="Arial" w:hAnsi="Arial" w:cs="Arial"/>
                <w:w w:val="95"/>
                <w:sz w:val="14"/>
                <w:szCs w:val="16"/>
              </w:rPr>
              <w:t>819</w:t>
            </w:r>
          </w:p>
        </w:tc>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5A5" w:rsidRPr="00B235A5" w:rsidRDefault="00B235A5" w:rsidP="00B235A5">
            <w:pPr>
              <w:pStyle w:val="TableParagraph"/>
              <w:spacing w:before="0"/>
              <w:ind w:left="0"/>
              <w:jc w:val="right"/>
              <w:rPr>
                <w:rFonts w:ascii="Arial" w:hAnsi="Arial" w:cs="Arial"/>
                <w:w w:val="95"/>
                <w:sz w:val="14"/>
                <w:szCs w:val="16"/>
              </w:rPr>
            </w:pPr>
            <w:r w:rsidRPr="00B235A5">
              <w:rPr>
                <w:rFonts w:ascii="Arial" w:hAnsi="Arial" w:cs="Arial"/>
                <w:w w:val="95"/>
                <w:sz w:val="14"/>
                <w:szCs w:val="16"/>
              </w:rPr>
              <w:t>49</w:t>
            </w:r>
            <w:r>
              <w:rPr>
                <w:rFonts w:ascii="Arial" w:hAnsi="Arial" w:cs="Arial"/>
                <w:w w:val="95"/>
                <w:sz w:val="14"/>
                <w:szCs w:val="16"/>
              </w:rPr>
              <w:t> </w:t>
            </w:r>
            <w:r w:rsidRPr="00B235A5">
              <w:rPr>
                <w:rFonts w:ascii="Arial" w:hAnsi="Arial" w:cs="Arial"/>
                <w:w w:val="95"/>
                <w:sz w:val="14"/>
                <w:szCs w:val="16"/>
              </w:rPr>
              <w:t>725</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5A5" w:rsidRPr="00B235A5" w:rsidRDefault="00B235A5" w:rsidP="00B235A5">
            <w:pPr>
              <w:pStyle w:val="TableParagraph"/>
              <w:spacing w:before="0"/>
              <w:ind w:left="0"/>
              <w:jc w:val="right"/>
              <w:rPr>
                <w:rFonts w:ascii="Arial" w:hAnsi="Arial" w:cs="Arial"/>
                <w:w w:val="95"/>
                <w:sz w:val="14"/>
                <w:szCs w:val="16"/>
              </w:rPr>
            </w:pPr>
            <w:r w:rsidRPr="00B235A5">
              <w:rPr>
                <w:rFonts w:ascii="Arial" w:hAnsi="Arial" w:cs="Arial"/>
                <w:w w:val="95"/>
                <w:sz w:val="14"/>
                <w:szCs w:val="16"/>
              </w:rPr>
              <w:t>57</w:t>
            </w:r>
            <w:r>
              <w:rPr>
                <w:rFonts w:ascii="Arial" w:hAnsi="Arial" w:cs="Arial"/>
                <w:w w:val="95"/>
                <w:sz w:val="14"/>
                <w:szCs w:val="16"/>
              </w:rPr>
              <w:t> </w:t>
            </w:r>
            <w:r w:rsidRPr="00B235A5">
              <w:rPr>
                <w:rFonts w:ascii="Arial" w:hAnsi="Arial" w:cs="Arial"/>
                <w:w w:val="95"/>
                <w:sz w:val="14"/>
                <w:szCs w:val="16"/>
              </w:rPr>
              <w:t>924</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5A5" w:rsidRPr="00B235A5" w:rsidRDefault="00B235A5" w:rsidP="00B235A5">
            <w:pPr>
              <w:pStyle w:val="TableParagraph"/>
              <w:spacing w:before="0"/>
              <w:ind w:left="0"/>
              <w:jc w:val="right"/>
              <w:rPr>
                <w:rFonts w:ascii="Arial" w:hAnsi="Arial" w:cs="Arial"/>
                <w:w w:val="95"/>
                <w:sz w:val="14"/>
                <w:szCs w:val="16"/>
              </w:rPr>
            </w:pPr>
            <w:r>
              <w:rPr>
                <w:rFonts w:ascii="Arial" w:hAnsi="Arial" w:cs="Arial"/>
                <w:w w:val="95"/>
                <w:sz w:val="14"/>
                <w:szCs w:val="16"/>
              </w:rPr>
              <w:t>128 </w:t>
            </w:r>
            <w:r w:rsidRPr="00B235A5">
              <w:rPr>
                <w:rFonts w:ascii="Arial" w:hAnsi="Arial" w:cs="Arial"/>
                <w:w w:val="95"/>
                <w:sz w:val="14"/>
                <w:szCs w:val="16"/>
              </w:rPr>
              <w:t>190</w:t>
            </w:r>
          </w:p>
        </w:tc>
      </w:tr>
      <w:tr w:rsidR="00B235A5" w:rsidRPr="00D84EBE" w:rsidTr="00B235A5">
        <w:trPr>
          <w:trHeight w:val="359"/>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5A5" w:rsidRPr="00B235A5" w:rsidRDefault="00B235A5" w:rsidP="00B235A5">
            <w:pPr>
              <w:pStyle w:val="TableParagraph"/>
              <w:spacing w:before="0"/>
              <w:ind w:left="0"/>
              <w:jc w:val="center"/>
              <w:rPr>
                <w:rFonts w:ascii="Arial" w:hAnsi="Arial" w:cs="Arial"/>
                <w:sz w:val="14"/>
                <w:szCs w:val="16"/>
              </w:rPr>
            </w:pPr>
            <w:r w:rsidRPr="00B235A5">
              <w:rPr>
                <w:rFonts w:ascii="Arial" w:hAnsi="Arial" w:cs="Arial"/>
                <w:sz w:val="14"/>
                <w:szCs w:val="16"/>
              </w:rPr>
              <w:t>2014</w:t>
            </w:r>
          </w:p>
        </w:tc>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B235A5" w:rsidRPr="00B235A5" w:rsidRDefault="00B235A5" w:rsidP="00B235A5">
            <w:pPr>
              <w:pStyle w:val="TableParagraph"/>
              <w:spacing w:before="15"/>
              <w:ind w:left="76" w:right="148"/>
              <w:rPr>
                <w:rFonts w:ascii="Arial" w:hAnsi="Arial" w:cs="Arial"/>
                <w:sz w:val="14"/>
                <w:szCs w:val="16"/>
              </w:rPr>
            </w:pPr>
            <w:r w:rsidRPr="00B235A5">
              <w:rPr>
                <w:rFonts w:ascii="Arial" w:hAnsi="Arial" w:cs="Arial"/>
                <w:sz w:val="14"/>
                <w:szCs w:val="16"/>
              </w:rPr>
              <w:t>------</w:t>
            </w: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B235A5" w:rsidRPr="00B235A5" w:rsidRDefault="00B235A5" w:rsidP="00B235A5">
            <w:pPr>
              <w:pStyle w:val="TableParagraph"/>
              <w:spacing w:before="15"/>
              <w:ind w:left="76" w:right="148"/>
              <w:rPr>
                <w:rFonts w:ascii="Arial" w:hAnsi="Arial" w:cs="Arial"/>
                <w:sz w:val="14"/>
                <w:szCs w:val="16"/>
              </w:rPr>
            </w:pPr>
            <w:r w:rsidRPr="00B235A5">
              <w:rPr>
                <w:rFonts w:ascii="Arial" w:hAnsi="Arial" w:cs="Arial"/>
                <w:sz w:val="14"/>
                <w:szCs w:val="16"/>
              </w:rPr>
              <w:t>Straftaten insgesamt</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5A5" w:rsidRPr="00B235A5" w:rsidRDefault="00B235A5" w:rsidP="00B235A5">
            <w:pPr>
              <w:pStyle w:val="TableParagraph"/>
              <w:spacing w:before="0"/>
              <w:ind w:left="0"/>
              <w:jc w:val="right"/>
              <w:rPr>
                <w:rFonts w:ascii="Arial" w:hAnsi="Arial" w:cs="Arial"/>
                <w:w w:val="95"/>
                <w:sz w:val="14"/>
                <w:szCs w:val="16"/>
              </w:rPr>
            </w:pPr>
            <w:r>
              <w:rPr>
                <w:rFonts w:ascii="Arial" w:hAnsi="Arial" w:cs="Arial"/>
                <w:w w:val="95"/>
                <w:sz w:val="14"/>
                <w:szCs w:val="16"/>
              </w:rPr>
              <w:t>302 </w:t>
            </w:r>
            <w:r w:rsidRPr="00B235A5">
              <w:rPr>
                <w:rFonts w:ascii="Arial" w:hAnsi="Arial" w:cs="Arial"/>
                <w:w w:val="95"/>
                <w:sz w:val="14"/>
                <w:szCs w:val="16"/>
              </w:rPr>
              <w:t>986</w:t>
            </w:r>
          </w:p>
        </w:tc>
        <w:tc>
          <w:tcPr>
            <w:tcW w:w="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5A5" w:rsidRPr="00B235A5" w:rsidRDefault="00B235A5" w:rsidP="00B235A5">
            <w:pPr>
              <w:pStyle w:val="TableParagraph"/>
              <w:spacing w:before="0"/>
              <w:ind w:left="0"/>
              <w:jc w:val="right"/>
              <w:rPr>
                <w:rFonts w:ascii="Arial" w:hAnsi="Arial" w:cs="Arial"/>
                <w:w w:val="95"/>
                <w:sz w:val="14"/>
                <w:szCs w:val="16"/>
              </w:rPr>
            </w:pPr>
            <w:r>
              <w:rPr>
                <w:rFonts w:ascii="Arial" w:hAnsi="Arial" w:cs="Arial"/>
                <w:w w:val="95"/>
                <w:sz w:val="14"/>
                <w:szCs w:val="16"/>
              </w:rPr>
              <w:t>1 </w:t>
            </w:r>
            <w:r w:rsidRPr="00B235A5">
              <w:rPr>
                <w:rFonts w:ascii="Arial" w:hAnsi="Arial" w:cs="Arial"/>
                <w:w w:val="95"/>
                <w:sz w:val="14"/>
                <w:szCs w:val="16"/>
              </w:rPr>
              <w:t>053</w:t>
            </w:r>
          </w:p>
        </w:tc>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5A5" w:rsidRPr="00B235A5" w:rsidRDefault="00B235A5" w:rsidP="00B235A5">
            <w:pPr>
              <w:pStyle w:val="TableParagraph"/>
              <w:spacing w:before="0"/>
              <w:ind w:left="0"/>
              <w:jc w:val="right"/>
              <w:rPr>
                <w:rFonts w:ascii="Arial" w:hAnsi="Arial" w:cs="Arial"/>
                <w:w w:val="95"/>
                <w:sz w:val="14"/>
                <w:szCs w:val="16"/>
              </w:rPr>
            </w:pPr>
            <w:r w:rsidRPr="00B235A5">
              <w:rPr>
                <w:rFonts w:ascii="Arial" w:hAnsi="Arial" w:cs="Arial"/>
                <w:w w:val="95"/>
                <w:sz w:val="14"/>
                <w:szCs w:val="16"/>
              </w:rPr>
              <w:t>566</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5A5" w:rsidRPr="00B235A5" w:rsidRDefault="00B235A5" w:rsidP="00B235A5">
            <w:pPr>
              <w:pStyle w:val="TableParagraph"/>
              <w:spacing w:before="0"/>
              <w:ind w:left="0"/>
              <w:jc w:val="right"/>
              <w:rPr>
                <w:rFonts w:ascii="Arial" w:hAnsi="Arial" w:cs="Arial"/>
                <w:w w:val="95"/>
                <w:sz w:val="14"/>
                <w:szCs w:val="16"/>
              </w:rPr>
            </w:pPr>
            <w:r>
              <w:rPr>
                <w:rFonts w:ascii="Arial" w:hAnsi="Arial" w:cs="Arial"/>
                <w:w w:val="95"/>
                <w:sz w:val="14"/>
                <w:szCs w:val="16"/>
              </w:rPr>
              <w:t>1 </w:t>
            </w:r>
            <w:r w:rsidRPr="00B235A5">
              <w:rPr>
                <w:rFonts w:ascii="Arial" w:hAnsi="Arial" w:cs="Arial"/>
                <w:w w:val="95"/>
                <w:sz w:val="14"/>
                <w:szCs w:val="16"/>
              </w:rPr>
              <w:t>042</w:t>
            </w:r>
          </w:p>
        </w:tc>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5A5" w:rsidRPr="00B235A5" w:rsidRDefault="00B235A5" w:rsidP="00B235A5">
            <w:pPr>
              <w:pStyle w:val="TableParagraph"/>
              <w:spacing w:before="0"/>
              <w:ind w:left="0"/>
              <w:jc w:val="right"/>
              <w:rPr>
                <w:rFonts w:ascii="Arial" w:hAnsi="Arial" w:cs="Arial"/>
                <w:w w:val="95"/>
                <w:sz w:val="14"/>
                <w:szCs w:val="16"/>
              </w:rPr>
            </w:pPr>
            <w:r w:rsidRPr="00B235A5">
              <w:rPr>
                <w:rFonts w:ascii="Arial" w:hAnsi="Arial" w:cs="Arial"/>
                <w:w w:val="95"/>
                <w:sz w:val="14"/>
                <w:szCs w:val="16"/>
              </w:rPr>
              <w:t>2</w:t>
            </w:r>
            <w:r>
              <w:rPr>
                <w:rFonts w:ascii="Arial" w:hAnsi="Arial" w:cs="Arial"/>
                <w:w w:val="95"/>
                <w:sz w:val="14"/>
                <w:szCs w:val="16"/>
              </w:rPr>
              <w:t> </w:t>
            </w:r>
            <w:r w:rsidRPr="00B235A5">
              <w:rPr>
                <w:rFonts w:ascii="Arial" w:hAnsi="Arial" w:cs="Arial"/>
                <w:w w:val="95"/>
                <w:sz w:val="14"/>
                <w:szCs w:val="16"/>
              </w:rPr>
              <w:t>026</w:t>
            </w:r>
          </w:p>
        </w:tc>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5A5" w:rsidRPr="00B235A5" w:rsidRDefault="00B235A5" w:rsidP="00B235A5">
            <w:pPr>
              <w:pStyle w:val="TableParagraph"/>
              <w:spacing w:before="0"/>
              <w:ind w:left="0"/>
              <w:jc w:val="right"/>
              <w:rPr>
                <w:rFonts w:ascii="Arial" w:hAnsi="Arial" w:cs="Arial"/>
                <w:w w:val="95"/>
                <w:sz w:val="14"/>
                <w:szCs w:val="16"/>
              </w:rPr>
            </w:pPr>
            <w:r>
              <w:rPr>
                <w:rFonts w:ascii="Arial" w:hAnsi="Arial" w:cs="Arial"/>
                <w:w w:val="95"/>
                <w:sz w:val="14"/>
                <w:szCs w:val="16"/>
              </w:rPr>
              <w:t>4 </w:t>
            </w:r>
            <w:r w:rsidRPr="00B235A5">
              <w:rPr>
                <w:rFonts w:ascii="Arial" w:hAnsi="Arial" w:cs="Arial"/>
                <w:w w:val="95"/>
                <w:sz w:val="14"/>
                <w:szCs w:val="16"/>
              </w:rPr>
              <w:t>775</w:t>
            </w:r>
          </w:p>
        </w:tc>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5A5" w:rsidRPr="00B235A5" w:rsidRDefault="00B235A5" w:rsidP="00B235A5">
            <w:pPr>
              <w:pStyle w:val="TableParagraph"/>
              <w:spacing w:before="0"/>
              <w:ind w:left="0"/>
              <w:jc w:val="right"/>
              <w:rPr>
                <w:rFonts w:ascii="Arial" w:hAnsi="Arial" w:cs="Arial"/>
                <w:w w:val="95"/>
                <w:sz w:val="14"/>
                <w:szCs w:val="16"/>
              </w:rPr>
            </w:pPr>
            <w:r>
              <w:rPr>
                <w:rFonts w:ascii="Arial" w:hAnsi="Arial" w:cs="Arial"/>
                <w:w w:val="95"/>
                <w:sz w:val="14"/>
                <w:szCs w:val="16"/>
              </w:rPr>
              <w:t>9 </w:t>
            </w:r>
            <w:r w:rsidRPr="00B235A5">
              <w:rPr>
                <w:rFonts w:ascii="Arial" w:hAnsi="Arial" w:cs="Arial"/>
                <w:w w:val="95"/>
                <w:sz w:val="14"/>
                <w:szCs w:val="16"/>
              </w:rPr>
              <w:t>462</w:t>
            </w: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5A5" w:rsidRPr="00B235A5" w:rsidRDefault="00B235A5" w:rsidP="00B235A5">
            <w:pPr>
              <w:pStyle w:val="TableParagraph"/>
              <w:spacing w:before="0"/>
              <w:ind w:left="0"/>
              <w:jc w:val="right"/>
              <w:rPr>
                <w:rFonts w:ascii="Arial" w:hAnsi="Arial" w:cs="Arial"/>
                <w:w w:val="95"/>
                <w:sz w:val="14"/>
                <w:szCs w:val="16"/>
              </w:rPr>
            </w:pPr>
            <w:r>
              <w:rPr>
                <w:rFonts w:ascii="Arial" w:hAnsi="Arial" w:cs="Arial"/>
                <w:w w:val="95"/>
                <w:sz w:val="14"/>
                <w:szCs w:val="16"/>
              </w:rPr>
              <w:t>10 </w:t>
            </w:r>
            <w:r w:rsidRPr="00B235A5">
              <w:rPr>
                <w:rFonts w:ascii="Arial" w:hAnsi="Arial" w:cs="Arial"/>
                <w:w w:val="95"/>
                <w:sz w:val="14"/>
                <w:szCs w:val="16"/>
              </w:rPr>
              <w:t>464</w:t>
            </w:r>
          </w:p>
        </w:tc>
        <w:tc>
          <w:tcPr>
            <w:tcW w:w="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5A5" w:rsidRPr="00B235A5" w:rsidRDefault="00B235A5" w:rsidP="00B235A5">
            <w:pPr>
              <w:pStyle w:val="TableParagraph"/>
              <w:spacing w:before="0"/>
              <w:ind w:left="0"/>
              <w:jc w:val="right"/>
              <w:rPr>
                <w:rFonts w:ascii="Arial" w:hAnsi="Arial" w:cs="Arial"/>
                <w:w w:val="95"/>
                <w:sz w:val="14"/>
                <w:szCs w:val="16"/>
              </w:rPr>
            </w:pPr>
            <w:r w:rsidRPr="00B235A5">
              <w:rPr>
                <w:rFonts w:ascii="Arial" w:hAnsi="Arial" w:cs="Arial"/>
                <w:w w:val="95"/>
                <w:sz w:val="14"/>
                <w:szCs w:val="16"/>
              </w:rPr>
              <w:t>16</w:t>
            </w:r>
            <w:r>
              <w:rPr>
                <w:rFonts w:ascii="Arial" w:hAnsi="Arial" w:cs="Arial"/>
                <w:w w:val="95"/>
                <w:sz w:val="14"/>
                <w:szCs w:val="16"/>
              </w:rPr>
              <w:t> </w:t>
            </w:r>
            <w:r w:rsidRPr="00B235A5">
              <w:rPr>
                <w:rFonts w:ascii="Arial" w:hAnsi="Arial" w:cs="Arial"/>
                <w:w w:val="95"/>
                <w:sz w:val="14"/>
                <w:szCs w:val="16"/>
              </w:rPr>
              <w:t>105</w:t>
            </w:r>
          </w:p>
        </w:tc>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5A5" w:rsidRPr="00B235A5" w:rsidRDefault="00B235A5" w:rsidP="00B235A5">
            <w:pPr>
              <w:pStyle w:val="TableParagraph"/>
              <w:spacing w:before="0"/>
              <w:ind w:left="0"/>
              <w:jc w:val="right"/>
              <w:rPr>
                <w:rFonts w:ascii="Arial" w:hAnsi="Arial" w:cs="Arial"/>
                <w:w w:val="95"/>
                <w:sz w:val="14"/>
                <w:szCs w:val="16"/>
              </w:rPr>
            </w:pPr>
            <w:r>
              <w:rPr>
                <w:rFonts w:ascii="Arial" w:hAnsi="Arial" w:cs="Arial"/>
                <w:w w:val="95"/>
                <w:sz w:val="14"/>
                <w:szCs w:val="16"/>
              </w:rPr>
              <w:t>26 </w:t>
            </w:r>
            <w:r w:rsidRPr="00B235A5">
              <w:rPr>
                <w:rFonts w:ascii="Arial" w:hAnsi="Arial" w:cs="Arial"/>
                <w:w w:val="95"/>
                <w:sz w:val="14"/>
                <w:szCs w:val="16"/>
              </w:rPr>
              <w:t>569</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5A5" w:rsidRPr="00B235A5" w:rsidRDefault="00B235A5" w:rsidP="00B235A5">
            <w:pPr>
              <w:pStyle w:val="TableParagraph"/>
              <w:spacing w:before="0"/>
              <w:ind w:left="0"/>
              <w:jc w:val="right"/>
              <w:rPr>
                <w:rFonts w:ascii="Arial" w:hAnsi="Arial" w:cs="Arial"/>
                <w:w w:val="95"/>
                <w:sz w:val="14"/>
                <w:szCs w:val="16"/>
              </w:rPr>
            </w:pPr>
            <w:r>
              <w:rPr>
                <w:rFonts w:ascii="Arial" w:hAnsi="Arial" w:cs="Arial"/>
                <w:w w:val="95"/>
                <w:sz w:val="14"/>
                <w:szCs w:val="16"/>
              </w:rPr>
              <w:t>30 </w:t>
            </w:r>
            <w:r w:rsidRPr="00B235A5">
              <w:rPr>
                <w:rFonts w:ascii="Arial" w:hAnsi="Arial" w:cs="Arial"/>
                <w:w w:val="95"/>
                <w:sz w:val="14"/>
                <w:szCs w:val="16"/>
              </w:rPr>
              <w:t>263</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5A5" w:rsidRPr="00B235A5" w:rsidRDefault="00B235A5" w:rsidP="00B235A5">
            <w:pPr>
              <w:pStyle w:val="TableParagraph"/>
              <w:spacing w:before="0"/>
              <w:ind w:left="0"/>
              <w:jc w:val="right"/>
              <w:rPr>
                <w:rFonts w:ascii="Arial" w:hAnsi="Arial" w:cs="Arial"/>
                <w:w w:val="95"/>
                <w:sz w:val="14"/>
                <w:szCs w:val="16"/>
              </w:rPr>
            </w:pPr>
            <w:r>
              <w:rPr>
                <w:rFonts w:ascii="Arial" w:hAnsi="Arial" w:cs="Arial"/>
                <w:w w:val="95"/>
                <w:sz w:val="14"/>
                <w:szCs w:val="16"/>
              </w:rPr>
              <w:t>66 </w:t>
            </w:r>
            <w:r w:rsidRPr="00B235A5">
              <w:rPr>
                <w:rFonts w:ascii="Arial" w:hAnsi="Arial" w:cs="Arial"/>
                <w:w w:val="95"/>
                <w:sz w:val="14"/>
                <w:szCs w:val="16"/>
              </w:rPr>
              <w:t>294</w:t>
            </w:r>
          </w:p>
        </w:tc>
      </w:tr>
    </w:tbl>
    <w:p w:rsidR="00DD3048" w:rsidRDefault="00DD3048" w:rsidP="00DD3048">
      <w:pPr>
        <w:pStyle w:val="LTAntwortRessortText"/>
      </w:pPr>
    </w:p>
    <w:p w:rsidR="00DD3048" w:rsidRDefault="00DD3048" w:rsidP="00DD3048">
      <w:pPr>
        <w:pStyle w:val="LTAntwortRessortText"/>
      </w:pPr>
      <w:r>
        <w:t>Die Staatsregierung misst dem Schutz von Kindern und Jugendlichen seit jeher eine große Bedeutung zu. Dabei gilt es die Kinder und Jugendliche auch davor zu schützen, Täter zu werden. Dies kann nur durch einen stetig an neue Anforderungen angepassten und kontinuierlich fortentwickelten, gesamtgesellschaftlichen Ansatz sowie durch behördenübergreifende präventive und repressive Konzepte und Maßnahmenpakete gelingen.</w:t>
      </w:r>
    </w:p>
    <w:p w:rsidR="00DD3048" w:rsidRDefault="00DD3048" w:rsidP="00DD3048">
      <w:pPr>
        <w:pStyle w:val="LTAntwortRessortText"/>
      </w:pPr>
      <w:r>
        <w:lastRenderedPageBreak/>
        <w:t>Dabei gilt es zunächst, Gewaltdelikte (als Basis für Bild- und Videomaterial) allgemein zu verhindern. Die Bayerische Polizei initiiert und beteiligt sich i</w:t>
      </w:r>
      <w:r w:rsidR="00864627">
        <w:t>m Rahmen polizeilicher Kriminal</w:t>
      </w:r>
      <w:r>
        <w:t>prävention intensiv an entsprechenden Programmen vor allem an weiterführenden Schulen. Dies schließt auch die Klassenstufen 5 bis 7 ein, welche überwiegend von strafunmündigen Schülerinnen und Schülern besucht werden.</w:t>
      </w:r>
    </w:p>
    <w:p w:rsidR="00DD3048" w:rsidRDefault="00DD3048" w:rsidP="00DD3048">
      <w:pPr>
        <w:pStyle w:val="LTAntwortRessortText"/>
      </w:pPr>
      <w:r>
        <w:t xml:space="preserve">Neben verschiedenen regionalen </w:t>
      </w:r>
      <w:r w:rsidR="00864627">
        <w:t>Programmen, wie beispielsweise „zammgrauft“</w:t>
      </w:r>
      <w:r>
        <w:t xml:space="preserve"> des Polizeipräsidiums München, stehen die Schulverbindungsbeamtinnen/-beamten und/oder Jugendbeamtinnen/-beamten der Polizei seit 2003 für das bayernweit etab</w:t>
      </w:r>
      <w:r w:rsidR="00864627">
        <w:t>lierte Präventionsprogramm PIT –</w:t>
      </w:r>
      <w:r>
        <w:t xml:space="preserve"> Prävention im Team zur Verfügung, welches von den Staatsministerien des Innern, für Sport und Integration (StMI) sowie </w:t>
      </w:r>
      <w:r w:rsidR="00864627">
        <w:t xml:space="preserve">für </w:t>
      </w:r>
      <w:r>
        <w:t>Unterricht und Kultus (StMUK) herausgegeben wurde.</w:t>
      </w:r>
    </w:p>
    <w:p w:rsidR="00DD3048" w:rsidRDefault="00DD3048" w:rsidP="00DD3048">
      <w:pPr>
        <w:pStyle w:val="LTAntwortRessortText"/>
      </w:pPr>
      <w:r>
        <w:t>Neben den Themenbereichen Eigentum, Sucht und angemessener Umgang mit digitalen Medien beinhaltet PIT das Thema Gewalt mit allen jugendtypischen Ausprägungen, darunter z.</w:t>
      </w:r>
      <w:r w:rsidR="00864627">
        <w:t> </w:t>
      </w:r>
      <w:r>
        <w:t>B. auch Mobbing und Cybermobbing sowie Gewalt, auch unter Einsatz gefährlicher Gegenstände wie Messer.</w:t>
      </w:r>
    </w:p>
    <w:p w:rsidR="00DD3048" w:rsidRDefault="00DD3048" w:rsidP="00DD3048">
      <w:pPr>
        <w:pStyle w:val="LTAntwortRessortText"/>
      </w:pPr>
      <w:r>
        <w:t>Die verschiedenen Themenbereiche wurden und werden seit Bestehen des Programms immer wieder aktualisiert und an neue Phänomene im Bereich der Jugendkriminalität angepasst. Aktu</w:t>
      </w:r>
      <w:r w:rsidR="00864627">
        <w:t>ell betrifft dies den Bereich „</w:t>
      </w:r>
      <w:r>
        <w:t>Gewalt</w:t>
      </w:r>
      <w:r w:rsidR="00864627">
        <w:t>“</w:t>
      </w:r>
      <w:r>
        <w:t>.</w:t>
      </w:r>
    </w:p>
    <w:p w:rsidR="00DD3048" w:rsidRDefault="00DD3048" w:rsidP="00DD3048">
      <w:pPr>
        <w:pStyle w:val="LTAntwortRessortText"/>
      </w:pPr>
      <w:r>
        <w:t xml:space="preserve">Das StMUK misst der Gewaltprävention an Schulen einen hohen Stellenwert zu und hat zahlreiche und vielfältige Maßnahmen zur Prävention und Intervention bei Gewalt und Mobbing ergriffen. Gewaltprävention und die Förderung von prosozialem Verhalten </w:t>
      </w:r>
      <w:r w:rsidR="00864627">
        <w:t>–</w:t>
      </w:r>
      <w:r>
        <w:t xml:space="preserve"> eingebettet in guten Unterricht und in ein positives Sozialklima </w:t>
      </w:r>
      <w:r w:rsidR="00864627">
        <w:t>–</w:t>
      </w:r>
      <w:r>
        <w:t xml:space="preserve"> nehmen an allen Schulen in Bayern daher eine</w:t>
      </w:r>
      <w:r w:rsidR="00864627">
        <w:t xml:space="preserve"> </w:t>
      </w:r>
      <w:r>
        <w:t>wichtige Rolle ein und sind in fachlich differenzierten, bedarfsgerechten Angeboten fest etabliert. Das Gesamtkonzept der Maßnahmen beruht auf der Vernetzung und Einbeziehung unterschiedlicher Akteure und der Umsetzung verschiedener Bausteine. Zuletzt hat das St</w:t>
      </w:r>
      <w:r w:rsidR="00864627">
        <w:t>MUK</w:t>
      </w:r>
      <w:r>
        <w:t xml:space="preserve"> mit</w:t>
      </w:r>
      <w:r w:rsidR="00F86E48">
        <w:t xml:space="preserve"> Kultusministeriellen Schreiben (</w:t>
      </w:r>
      <w:r>
        <w:t>KMS</w:t>
      </w:r>
      <w:r w:rsidR="00F86E48">
        <w:t>)</w:t>
      </w:r>
      <w:r>
        <w:t xml:space="preserve"> vom 18.11.2022 allen Schulen in Bayern einen Überblick über bestehende und neue Präventions- und Unterstützungsangebote bei Gewaltvorfällen im Lebensraum Schule übermittelt. Zudem sind auf der Website des StMUK mit der Stichwortsuche </w:t>
      </w:r>
      <w:r w:rsidR="007635DD">
        <w:t>„</w:t>
      </w:r>
      <w:r>
        <w:t>Gewaltprävention</w:t>
      </w:r>
      <w:r w:rsidR="007635DD">
        <w:t>“</w:t>
      </w:r>
      <w:r>
        <w:t xml:space="preserve"> zielgruppenspezifisch ausführliche Informationen auf</w:t>
      </w:r>
      <w:r w:rsidR="007635DD">
        <w:t>rufbar, z. </w:t>
      </w:r>
      <w:r>
        <w:t>B. für Lehrkräfte unter</w:t>
      </w:r>
      <w:r w:rsidR="007635DD">
        <w:t xml:space="preserve"> </w:t>
      </w:r>
      <w:r w:rsidR="007635DD">
        <w:rPr>
          <w:rStyle w:val="Funotenzeichen"/>
        </w:rPr>
        <w:footnoteReference w:id="5"/>
      </w:r>
      <w:r>
        <w:t>.</w:t>
      </w:r>
      <w:r w:rsidR="007635DD">
        <w:t xml:space="preserve"> </w:t>
      </w:r>
      <w:r>
        <w:t>Im Speziellen kommt dem Erwerb und dem Ausbau im Bereich der Medienkompetenz von Kindern und Jugendlichen bei der Verhinderung von Taten im Sinne der Anfrage eine herausragende Bedeutung zu.</w:t>
      </w:r>
    </w:p>
    <w:p w:rsidR="00DD3048" w:rsidRDefault="00DD3048" w:rsidP="00DD3048">
      <w:pPr>
        <w:pStyle w:val="LTAntwortRessortText"/>
      </w:pPr>
      <w:r>
        <w:t xml:space="preserve">Die Analyse und Bewertung von Vorzügen und Gefahren von </w:t>
      </w:r>
      <w:r w:rsidR="007635DD">
        <w:t>Medien sowie die kriteriengelei</w:t>
      </w:r>
      <w:r>
        <w:t>tete Abwägung des eigenen Umgangs mit sozialen Netzwerken sind daher als schulart- und fächerübergreifende Bildungs- und Erziehungsziele fest im LehrplanPLUS veranker</w:t>
      </w:r>
      <w:r w:rsidR="007635DD">
        <w:t>t. Mit der Aufklärungskampagne „</w:t>
      </w:r>
      <w:r>
        <w:t>Mach dein Handy nicht zur Waffe</w:t>
      </w:r>
      <w:r w:rsidR="007635DD">
        <w:t>“</w:t>
      </w:r>
      <w:r>
        <w:t xml:space="preserve"> werden Schülerinnen und Schüler für das Thema der digitalen Verbreitung strafbarer Inhalte sensi</w:t>
      </w:r>
      <w:r w:rsidR="007635DD">
        <w:t>bilisiert und über mögliche Fol</w:t>
      </w:r>
      <w:r>
        <w:t>gen strafbaren Verhaltens informiert. Ein besonderer Fokus wird in diesem Kontext auch auf die Zusammenarbeit von Schule und Elternhäusern in medienpädagogischen Fragen gelegt. Erziehungsberechtigte können beispielsweise auf ein umfassendes Informationsangebot mit kon</w:t>
      </w:r>
      <w:r w:rsidR="007635DD">
        <w:t>kreten Handlungstipps, u. </w:t>
      </w:r>
      <w:r>
        <w:t>a. zum Thema soziale Medien, zugreifen.</w:t>
      </w:r>
    </w:p>
    <w:p w:rsidR="00DD3048" w:rsidRDefault="00DD3048" w:rsidP="001C6CBB">
      <w:pPr>
        <w:pStyle w:val="LTAntwortRessortText"/>
      </w:pPr>
      <w:r>
        <w:t xml:space="preserve">Als weiteres Angebot bzw. Maßnahme zur Steigerung der Digitalkompetenz ist beispielhaft die Applikation </w:t>
      </w:r>
      <w:r w:rsidR="007635DD">
        <w:t>„</w:t>
      </w:r>
      <w:r>
        <w:t>Wo ist Goldi?</w:t>
      </w:r>
      <w:r w:rsidR="007635DD">
        <w:t>“</w:t>
      </w:r>
      <w:r>
        <w:t xml:space="preserve"> des Staatsministeriums für Digitales aufzuführen, die sich in einem spielerischen Ansatz an Kinder im Grundschulalter richtet.</w:t>
      </w:r>
      <w:bookmarkStart w:id="28" w:name="Frage_Nr_13_Ende"/>
      <w:bookmarkEnd w:id="28"/>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5"/>
        <w:gridCol w:w="5771"/>
      </w:tblGrid>
      <w:tr w:rsidR="00DD3048" w:rsidTr="007B0B33">
        <w:tc>
          <w:tcPr>
            <w:tcW w:w="2050" w:type="dxa"/>
          </w:tcPr>
          <w:p w:rsidR="00DD3048" w:rsidRDefault="00DD3048" w:rsidP="007635DD">
            <w:pPr>
              <w:pStyle w:val="LTAnfrageInitiator"/>
            </w:pPr>
            <w:r>
              <w:lastRenderedPageBreak/>
              <w:t>Abgeordneter</w:t>
            </w:r>
            <w:r>
              <w:rPr>
                <w:b/>
              </w:rPr>
              <w:br/>
              <w:t>Arif</w:t>
            </w:r>
            <w:r>
              <w:rPr>
                <w:b/>
              </w:rPr>
              <w:br/>
              <w:t>Ta</w:t>
            </w:r>
            <w:r w:rsidR="007635DD">
              <w:rPr>
                <w:rFonts w:cs="Arial"/>
                <w:b/>
              </w:rPr>
              <w:t>ş</w:t>
            </w:r>
            <w:r>
              <w:rPr>
                <w:b/>
              </w:rPr>
              <w:t>delen</w:t>
            </w:r>
            <w:r>
              <w:rPr>
                <w:b/>
              </w:rPr>
              <w:br/>
            </w:r>
            <w:r>
              <w:t>(SPD)</w:t>
            </w:r>
            <w:bookmarkStart w:id="29" w:name="Frage_Nr_14"/>
            <w:bookmarkEnd w:id="29"/>
          </w:p>
        </w:tc>
        <w:tc>
          <w:tcPr>
            <w:tcW w:w="7200" w:type="dxa"/>
          </w:tcPr>
          <w:p w:rsidR="00DD3048" w:rsidRDefault="00D379D6" w:rsidP="00DD3048">
            <w:pPr>
              <w:pStyle w:val="LTAnfrageText"/>
            </w:pPr>
            <w:r w:rsidRPr="00D379D6">
              <w:t xml:space="preserve">Vor dem Hintergrund, dass das Bundesverwaltungsgericht mit Urteil vom 11.10.2022, Az. 1 C 9.21 entschieden hat, dass einem subsidiär schutzberechtigten Ausländer die Ausstellung eines Reiseausweises für Ausländer nicht mit der Begründung verweigert werden darf, er könne einen Pass seines Herkunftsstaates auf zumutbare Weise erlangen, wenn der Herkunftsstaat für die Ausstellung eines Passes an die Unterzeichnung einer „Reueerklärung“ knüpft, diese Praxis von den eritreischen Behörden betrieben wird und das Urteil somit auf eritreische Staatsangehörige anwendbar ist, frage ich die Staatsregierung, wie viele eritreische Staatsangehörige wurden seit dem 18.01.2023 von den Ausländerbehörden aufgefordert, sich zur Passbeschaffung an das eritreische Konsulat zu wenden und ist der Staatsregierung bekannt, in wie vielen Fällen (absolut und prozentual) dort von den Personen im wehrdienstfähigen Alter eine Reueerklärung verlangt worden ist und wie sind die Ausländerbehörden damit umgegangen, wenn die Passbeschaffung auf Grund verweigerter Reueerklärungen erfolglos blieben? </w:t>
            </w:r>
          </w:p>
        </w:tc>
      </w:tr>
    </w:tbl>
    <w:p w:rsidR="00DD3048" w:rsidRDefault="00DD3048" w:rsidP="00DD3048">
      <w:pPr>
        <w:pStyle w:val="LTUeberschrAntwortRessort"/>
      </w:pPr>
      <w:r>
        <w:t>Antwort des Staatsministeriums des Innern, für Sport und Integration</w:t>
      </w:r>
    </w:p>
    <w:p w:rsidR="00DD3048" w:rsidRDefault="00DD3048" w:rsidP="00DD3048">
      <w:pPr>
        <w:pStyle w:val="LTAntwortRessortText"/>
      </w:pPr>
      <w:r>
        <w:t xml:space="preserve">Es wird auf die Antwort des Staatsministeriums des Innern, für Sport und Integration auf die Anfrage zum Plenum des Abgeordneten Albert Duin </w:t>
      </w:r>
      <w:r w:rsidR="00D379D6">
        <w:t xml:space="preserve">(FDP) </w:t>
      </w:r>
      <w:r>
        <w:t>zur Plenarsitzung vom 14.06.2023 (Drs. 18/29484 vom 12.06.2023, S. 3) verwiesen und ergänzend mitgeteilt, dass der Staatsregierung keine statistischen Daten zu den Fragen, wie viele eritreische Staatsangehörige seit dem 18.01.2023 von den Ausländerbehörden aufgefordert wurden, sich zur Passbeschaffung an das eritreische Konsulat zu wenden und in wie vielen Fällen dort von den Personen im wehrdienstfähigen Alter eine Reueerklärung verlangt worden ist, vorliegen.</w:t>
      </w:r>
    </w:p>
    <w:p w:rsidR="00DD3048" w:rsidRDefault="00DD3048">
      <w:bookmarkStart w:id="30" w:name="Frage_Nr_14_Ende"/>
      <w:bookmarkEnd w:id="30"/>
      <w:r>
        <w:br w:type="page"/>
      </w:r>
    </w:p>
    <w:p w:rsidR="00DD3048" w:rsidRDefault="00DD3048" w:rsidP="00DD3048">
      <w:pPr>
        <w:pStyle w:val="LTUeberschrRessort"/>
      </w:pPr>
      <w:r>
        <w:lastRenderedPageBreak/>
        <w:t>Geschäftsbereich des Staatsministeriums für Wohnen, Bau und Verkehr</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4"/>
        <w:gridCol w:w="5752"/>
      </w:tblGrid>
      <w:tr w:rsidR="00DD3048" w:rsidTr="007B0B33">
        <w:tc>
          <w:tcPr>
            <w:tcW w:w="2050" w:type="dxa"/>
          </w:tcPr>
          <w:p w:rsidR="00DD3048" w:rsidRDefault="00DD3048" w:rsidP="00DD3048">
            <w:pPr>
              <w:pStyle w:val="LTAnfrageInitiator"/>
            </w:pPr>
            <w:r>
              <w:t>Abgeordneter</w:t>
            </w:r>
            <w:r>
              <w:rPr>
                <w:b/>
              </w:rPr>
              <w:br/>
              <w:t>Benjamin</w:t>
            </w:r>
            <w:r>
              <w:rPr>
                <w:b/>
              </w:rPr>
              <w:br/>
              <w:t>Adjei</w:t>
            </w:r>
            <w:r>
              <w:rPr>
                <w:b/>
              </w:rPr>
              <w:br/>
            </w:r>
            <w:r>
              <w:t>(BÜNDNIS 90/DIE GRÜNEN)</w:t>
            </w:r>
            <w:bookmarkStart w:id="31" w:name="Frage_Nr_15"/>
            <w:bookmarkEnd w:id="31"/>
          </w:p>
        </w:tc>
        <w:tc>
          <w:tcPr>
            <w:tcW w:w="7200" w:type="dxa"/>
          </w:tcPr>
          <w:p w:rsidR="00DD3048" w:rsidRDefault="00D379D6" w:rsidP="0026527F">
            <w:pPr>
              <w:pStyle w:val="LTAnfrageText"/>
            </w:pPr>
            <w:r w:rsidRPr="00D379D6">
              <w:t>Ich frage die Staatsregierung, welche Ergebnisse haben die Planungen zu Betriebskonzepten, Kapazitätsuntersuchungen und eisenbahnwissenschaftlichen Bewertungen der DB Netz AG für die erforderlichen Ausbaumaßnahmen für einen S</w:t>
            </w:r>
            <w:r w:rsidR="0026527F">
              <w:noBreakHyphen/>
            </w:r>
            <w:r w:rsidRPr="00D379D6">
              <w:t>Bahn-Pendelverkehr zum BMW-Forschungs- und Innovationszentrum ergeben, welche Ergebnisse für den Schienenpersonennahverkehr auf dem gesamten Nordring hat die Untersuchung im Rahmen des Programms „Bahnausbau Region München“ bisher gebracht, und mit welchen kurz- und mittelfristigen Maßnahmen versucht die S-Bahn München die Unpünktlichkeit der S</w:t>
            </w:r>
            <w:r w:rsidR="0026527F">
              <w:t> </w:t>
            </w:r>
            <w:r w:rsidRPr="00D379D6">
              <w:t xml:space="preserve">1 in den Griff zu bekommen?  </w:t>
            </w:r>
          </w:p>
        </w:tc>
      </w:tr>
    </w:tbl>
    <w:p w:rsidR="00DD3048" w:rsidRDefault="00DD3048" w:rsidP="00DD3048">
      <w:pPr>
        <w:pStyle w:val="LTUeberschrAntwortRessort"/>
      </w:pPr>
      <w:r>
        <w:t>Antwort des Staatsministeriums für Wohnen, Bau und Verkehr</w:t>
      </w:r>
    </w:p>
    <w:p w:rsidR="00DD3048" w:rsidRDefault="00DD3048" w:rsidP="00DD3048">
      <w:pPr>
        <w:pStyle w:val="LTAntwortRessortText"/>
      </w:pPr>
      <w:r>
        <w:t xml:space="preserve">Nach Aussagen der projektverantwortlichen Deutschen Bahn </w:t>
      </w:r>
      <w:r w:rsidR="00D379D6">
        <w:t xml:space="preserve">AG </w:t>
      </w:r>
      <w:r>
        <w:t>(DB) sind die Planungen</w:t>
      </w:r>
      <w:r w:rsidR="00D379D6">
        <w:t xml:space="preserve"> </w:t>
      </w:r>
      <w:r>
        <w:t>zu Betriebskonzepten, die Kapazitätsuntersuchungen und die eisenbahnbetriebswissenschaftlichen</w:t>
      </w:r>
      <w:r w:rsidR="00D379D6">
        <w:t xml:space="preserve"> </w:t>
      </w:r>
      <w:r>
        <w:t>Bewertungen aktuell noch nicht abgeschlossen. Dies</w:t>
      </w:r>
      <w:r w:rsidR="00D379D6">
        <w:t xml:space="preserve"> </w:t>
      </w:r>
      <w:r>
        <w:t>gilt ebenso für die Untersuchung von Schienenpersonennahverkehr auf dem gesamten</w:t>
      </w:r>
      <w:r w:rsidR="00D379D6">
        <w:t xml:space="preserve"> </w:t>
      </w:r>
      <w:r>
        <w:t>Nordring. Die Verantwortung für den pünktlichen Betriebsablauf auf dem</w:t>
      </w:r>
      <w:r w:rsidR="00D379D6">
        <w:t xml:space="preserve"> </w:t>
      </w:r>
      <w:r>
        <w:t>S-Bahnnetz in München liegt bei der DB. Zur Verbesserung der Pünktlichkeit der</w:t>
      </w:r>
      <w:r w:rsidR="00D379D6">
        <w:t xml:space="preserve"> </w:t>
      </w:r>
      <w:r>
        <w:t>S</w:t>
      </w:r>
      <w:r w:rsidR="00D379D6">
        <w:t> </w:t>
      </w:r>
      <w:r>
        <w:t>1 hat die S-Bahn München im Dezember 2022 in Abstimmung mit der Bayerischen</w:t>
      </w:r>
      <w:r w:rsidR="00D379D6">
        <w:t xml:space="preserve"> </w:t>
      </w:r>
      <w:r>
        <w:t>Eisenbahngesellschaft eine überschlagende Wende am Bahnhof Flughafen</w:t>
      </w:r>
      <w:r w:rsidR="00D379D6">
        <w:t xml:space="preserve"> </w:t>
      </w:r>
      <w:r>
        <w:t>München Terminal eingeführt. Weiter sind zur Verbesserung der Pünktlichkeit</w:t>
      </w:r>
      <w:r w:rsidR="00D379D6">
        <w:t xml:space="preserve"> </w:t>
      </w:r>
      <w:r>
        <w:t>der S</w:t>
      </w:r>
      <w:r w:rsidR="00D379D6">
        <w:t> </w:t>
      </w:r>
      <w:r>
        <w:t>1 folgende kurz- und mittelfristige Maßnahmen eingeleitet worden:</w:t>
      </w:r>
    </w:p>
    <w:p w:rsidR="00DD3048" w:rsidRDefault="00D379D6" w:rsidP="00D379D6">
      <w:pPr>
        <w:pStyle w:val="LTAntwortRessortText"/>
        <w:spacing w:before="120"/>
        <w:ind w:left="680" w:hanging="340"/>
      </w:pPr>
      <w:r>
        <w:t>–</w:t>
      </w:r>
      <w:r>
        <w:tab/>
      </w:r>
      <w:r w:rsidR="00DD3048">
        <w:t>Minimierung von Haltezeitüberschreitungen durch Fahrgastlenkung mit Servicepersonal</w:t>
      </w:r>
      <w:r>
        <w:t xml:space="preserve"> </w:t>
      </w:r>
      <w:r w:rsidR="00DD3048">
        <w:t>an den Bahnsteigen auf der Stammstr</w:t>
      </w:r>
      <w:r>
        <w:t>ecke und am Flughafen Terminal,</w:t>
      </w:r>
    </w:p>
    <w:p w:rsidR="00DD3048" w:rsidRDefault="00D379D6" w:rsidP="00D379D6">
      <w:pPr>
        <w:pStyle w:val="LTAntwortRessortText"/>
        <w:spacing w:before="120"/>
        <w:ind w:left="680" w:hanging="340"/>
      </w:pPr>
      <w:r>
        <w:t>–</w:t>
      </w:r>
      <w:r>
        <w:tab/>
      </w:r>
      <w:r w:rsidR="00DD3048">
        <w:t>schnellstmögliche Beseitigung der Langsamfahrstelle infolge der unfallbedingten</w:t>
      </w:r>
      <w:r>
        <w:t xml:space="preserve"> </w:t>
      </w:r>
      <w:r w:rsidR="00DD3048">
        <w:t>Beschädigung des Bahnü</w:t>
      </w:r>
      <w:r>
        <w:t>bergangs Fasanerie durch die DB,</w:t>
      </w:r>
    </w:p>
    <w:p w:rsidR="00DD3048" w:rsidRDefault="00D379D6" w:rsidP="00D379D6">
      <w:pPr>
        <w:pStyle w:val="LTAntwortRessortText"/>
        <w:spacing w:before="120"/>
        <w:ind w:left="680" w:hanging="340"/>
      </w:pPr>
      <w:r>
        <w:t>–</w:t>
      </w:r>
      <w:r>
        <w:tab/>
      </w:r>
      <w:r w:rsidR="00DD3048">
        <w:t xml:space="preserve">Initiative </w:t>
      </w:r>
      <w:r>
        <w:t>„</w:t>
      </w:r>
      <w:r w:rsidR="00DD3048">
        <w:t xml:space="preserve">Starke S-Bahn München </w:t>
      </w:r>
      <w:r>
        <w:t>–</w:t>
      </w:r>
      <w:r w:rsidR="00DD3048">
        <w:t xml:space="preserve"> Programm 14plus</w:t>
      </w:r>
      <w:r>
        <w:t>“</w:t>
      </w:r>
      <w:r w:rsidR="00DD3048">
        <w:t xml:space="preserve"> als Maßnahmenpaket</w:t>
      </w:r>
      <w:r>
        <w:t xml:space="preserve"> </w:t>
      </w:r>
      <w:r w:rsidR="00DD3048">
        <w:t>zur Verbesserung der Pünktlichkeit, Zuverlässigkeit und Fahrgastinformation</w:t>
      </w:r>
      <w:r>
        <w:t xml:space="preserve"> </w:t>
      </w:r>
      <w:r w:rsidR="00DD3048">
        <w:t>im gesamten S-Bahn-Netz, also auch zugunsten der S</w:t>
      </w:r>
      <w:r>
        <w:t> </w:t>
      </w:r>
      <w:r w:rsidR="00DD3048">
        <w:t>1.</w:t>
      </w:r>
    </w:p>
    <w:p w:rsidR="00DD3048" w:rsidRDefault="00DD3048">
      <w:bookmarkStart w:id="32" w:name="Frage_Nr_15_Ende"/>
      <w:bookmarkEnd w:id="3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5"/>
        <w:gridCol w:w="5781"/>
      </w:tblGrid>
      <w:tr w:rsidR="00DD3048" w:rsidTr="007B0B33">
        <w:tc>
          <w:tcPr>
            <w:tcW w:w="2050" w:type="dxa"/>
          </w:tcPr>
          <w:p w:rsidR="00DD3048" w:rsidRDefault="00DD3048" w:rsidP="00DD3048">
            <w:pPr>
              <w:pStyle w:val="LTAnfrageInitiator"/>
            </w:pPr>
            <w:r>
              <w:lastRenderedPageBreak/>
              <w:t>Abgeordneter</w:t>
            </w:r>
            <w:r>
              <w:rPr>
                <w:b/>
              </w:rPr>
              <w:br/>
              <w:t>Florian</w:t>
            </w:r>
            <w:r>
              <w:rPr>
                <w:b/>
              </w:rPr>
              <w:br/>
              <w:t>Brunn</w:t>
            </w:r>
            <w:r>
              <w:rPr>
                <w:b/>
              </w:rPr>
              <w:br/>
            </w:r>
            <w:r>
              <w:t>(SPD)</w:t>
            </w:r>
            <w:bookmarkStart w:id="33" w:name="Frage_Nr_16"/>
            <w:bookmarkEnd w:id="33"/>
          </w:p>
        </w:tc>
        <w:tc>
          <w:tcPr>
            <w:tcW w:w="7200" w:type="dxa"/>
          </w:tcPr>
          <w:p w:rsidR="00DD3048" w:rsidRDefault="00B3473E" w:rsidP="00DD3048">
            <w:pPr>
              <w:pStyle w:val="LTAnfrageText"/>
            </w:pPr>
            <w:r w:rsidRPr="00B3473E">
              <w:t>Ich frage die Staatsregierung, wie viele Wohnungen wurden in Bayern seit dem 01.01.2019 bis heute neu gebaut, wie hoch war der Bestand an Mietwohnungen im Freistaat jeweils in den Jahren 2019, 2020, 2021 und 2022 und wie hoch war jeweils der Bestand an öffentlichen bzw. kommunalen Wohnungen des Freistaates sowie der bayerischen Großstädte (bitte jeweils getrennt ausweisen) in den Jahren 2019, 2020, 2021 und 2022?</w:t>
            </w:r>
          </w:p>
        </w:tc>
      </w:tr>
    </w:tbl>
    <w:p w:rsidR="00DD3048" w:rsidRDefault="00DD3048" w:rsidP="00DD3048">
      <w:pPr>
        <w:pStyle w:val="LTUeberschrAntwortRessort"/>
      </w:pPr>
      <w:r>
        <w:t>Antwort des Staatsministeriums für Wohnen, Bau und Verkehr</w:t>
      </w:r>
    </w:p>
    <w:p w:rsidR="00DD3048" w:rsidRDefault="00DD3048" w:rsidP="00DD3048">
      <w:pPr>
        <w:pStyle w:val="LTAntwortRessortText"/>
      </w:pPr>
      <w:r>
        <w:t>Zu Zahlen der Wohnungsbaufertigstellungen in den Jahren 2019 bis 2022 verweisen</w:t>
      </w:r>
      <w:r w:rsidR="00B3473E">
        <w:t xml:space="preserve"> </w:t>
      </w:r>
      <w:r>
        <w:t>wir auf</w:t>
      </w:r>
      <w:r w:rsidR="00BB4187">
        <w:t xml:space="preserve"> den Statistischen Bericht des</w:t>
      </w:r>
      <w:r>
        <w:t xml:space="preserve"> Landesamts für Statistik</w:t>
      </w:r>
      <w:r w:rsidR="00B3473E">
        <w:t xml:space="preserve"> </w:t>
      </w:r>
      <w:r>
        <w:t xml:space="preserve">F2200C </w:t>
      </w:r>
      <w:r w:rsidR="00BB4187">
        <w:t>„</w:t>
      </w:r>
      <w:r>
        <w:t>Baufertigstellungen in Bayern 2022</w:t>
      </w:r>
      <w:r w:rsidR="00BB4187">
        <w:t>“</w:t>
      </w:r>
      <w:r>
        <w:t>, abrufbar über das Internet unter</w:t>
      </w:r>
      <w:r w:rsidR="00B3473E">
        <w:t xml:space="preserve"> </w:t>
      </w:r>
      <w:r w:rsidR="00BB4187">
        <w:rPr>
          <w:rStyle w:val="Funotenzeichen"/>
        </w:rPr>
        <w:footnoteReference w:id="6"/>
      </w:r>
      <w:r>
        <w:t>. Zum Bestand an Wohnungen in Bayern in den</w:t>
      </w:r>
      <w:r w:rsidR="00B3473E">
        <w:t xml:space="preserve"> </w:t>
      </w:r>
      <w:r>
        <w:t>Jahren 2019 bis 2022 verweisen wir auf den Statistischen Bericht des Bayerischen</w:t>
      </w:r>
      <w:r w:rsidR="00B3473E">
        <w:t xml:space="preserve"> </w:t>
      </w:r>
      <w:r>
        <w:t>L</w:t>
      </w:r>
      <w:r w:rsidR="000241C2">
        <w:t>andesamts für Statistik F2400C „</w:t>
      </w:r>
      <w:r>
        <w:t>Bestand an Wohngebäuden und Wohnungen</w:t>
      </w:r>
      <w:r w:rsidR="00B3473E">
        <w:t xml:space="preserve"> </w:t>
      </w:r>
      <w:r>
        <w:t>in Bayern</w:t>
      </w:r>
      <w:r w:rsidR="000241C2">
        <w:t>“</w:t>
      </w:r>
      <w:r>
        <w:t xml:space="preserve">, abrufbar über das Internet unter </w:t>
      </w:r>
      <w:r w:rsidR="000241C2">
        <w:rPr>
          <w:rStyle w:val="Funotenzeichen"/>
        </w:rPr>
        <w:footnoteReference w:id="7"/>
      </w:r>
      <w:r>
        <w:t>. Miet- und Eigentumswohnungsquoten werden alle</w:t>
      </w:r>
      <w:r w:rsidR="00B3473E">
        <w:t xml:space="preserve"> </w:t>
      </w:r>
      <w:r>
        <w:t>vier Jahre im Rahmen der Mikrozensus-Zusatzerhebung zur Wohnsituation, zuletzt</w:t>
      </w:r>
      <w:r w:rsidR="00B3473E">
        <w:t xml:space="preserve"> </w:t>
      </w:r>
      <w:r>
        <w:t>2022, erhoben. Für Bayern lag der Anteil der Mietwohnungen 2022 bei 54,1</w:t>
      </w:r>
      <w:r w:rsidR="00B3473E">
        <w:t xml:space="preserve"> </w:t>
      </w:r>
      <w:r>
        <w:t>Prozent, für Eigentumswohnungen bei 45,9 Prozent. Der Gesamtbestand an öffentlichen</w:t>
      </w:r>
      <w:r w:rsidR="00B3473E">
        <w:t xml:space="preserve"> </w:t>
      </w:r>
      <w:r>
        <w:t>und kommunalen Wohnungen in Bayern sowie der bayerischen Großstädte</w:t>
      </w:r>
      <w:r w:rsidR="00B3473E">
        <w:t xml:space="preserve"> </w:t>
      </w:r>
      <w:r>
        <w:t>ist nicht bekannt.</w:t>
      </w:r>
    </w:p>
    <w:p w:rsidR="00DD3048" w:rsidRDefault="00DD3048">
      <w:bookmarkStart w:id="34" w:name="Frage_Nr_16_Ende"/>
      <w:bookmarkEnd w:id="3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4"/>
        <w:gridCol w:w="5752"/>
      </w:tblGrid>
      <w:tr w:rsidR="00DD3048" w:rsidTr="007B0B33">
        <w:tc>
          <w:tcPr>
            <w:tcW w:w="2050" w:type="dxa"/>
          </w:tcPr>
          <w:p w:rsidR="00DD3048" w:rsidRDefault="00DD3048" w:rsidP="00DD3048">
            <w:pPr>
              <w:pStyle w:val="LTAnfrageInitiator"/>
            </w:pPr>
            <w:r>
              <w:lastRenderedPageBreak/>
              <w:t>Abgeordneter</w:t>
            </w:r>
            <w:r>
              <w:rPr>
                <w:b/>
              </w:rPr>
              <w:br/>
              <w:t>Dr. Markus</w:t>
            </w:r>
            <w:r>
              <w:rPr>
                <w:b/>
              </w:rPr>
              <w:br/>
              <w:t>Büchler</w:t>
            </w:r>
            <w:r>
              <w:rPr>
                <w:b/>
              </w:rPr>
              <w:br/>
            </w:r>
            <w:r>
              <w:t>(BÜNDNIS 90/DIE GRÜNEN)</w:t>
            </w:r>
            <w:bookmarkStart w:id="35" w:name="Frage_Nr_17"/>
            <w:bookmarkEnd w:id="35"/>
          </w:p>
        </w:tc>
        <w:tc>
          <w:tcPr>
            <w:tcW w:w="7200" w:type="dxa"/>
          </w:tcPr>
          <w:p w:rsidR="00DD3048" w:rsidRDefault="00D41F24" w:rsidP="00DD3048">
            <w:pPr>
              <w:pStyle w:val="LTAnfrageText"/>
            </w:pPr>
            <w:r w:rsidRPr="00D41F24">
              <w:t>Ich frage die Staatsregierung, inwieweit wird der Freistaat vom Bundesministerium für Digitales und Verkehr (BMDV) in die aktuelle Fortschreibung des Zielfahrplans Deutschlandtakt eingebunden, welche seit dem dritten Gutachterentwurf fortgeschriebenen Nahverkehrskonzepte des Freistaates sollen vom BMDV berücksichtigt werden und inwieweit hält die Staatsregierung einen 10-Minuten-Takt für die S-Bahn München berücksichtigenswert?</w:t>
            </w:r>
          </w:p>
        </w:tc>
      </w:tr>
    </w:tbl>
    <w:p w:rsidR="00DD3048" w:rsidRDefault="00DD3048" w:rsidP="00DD3048">
      <w:pPr>
        <w:pStyle w:val="LTUeberschrAntwortRessort"/>
      </w:pPr>
      <w:r>
        <w:t>Antwort des Staatsministeriums für Wohnen, Bau und Verkehr</w:t>
      </w:r>
    </w:p>
    <w:p w:rsidR="00DD3048" w:rsidRDefault="00DD3048" w:rsidP="00DD3048">
      <w:pPr>
        <w:pStyle w:val="LTAntwortRessortText"/>
      </w:pPr>
      <w:r>
        <w:t>Das Bundesministerium für Digitales und Verkehr hat die Länder am 25.</w:t>
      </w:r>
      <w:r w:rsidR="00D41F24">
        <w:t>04.</w:t>
      </w:r>
      <w:r>
        <w:t>2023 aufgefordert, ihre Wünsche zur Fortschreibung des Zielfahrplans Deutschlandtakt</w:t>
      </w:r>
      <w:r w:rsidR="00D41F24">
        <w:t xml:space="preserve"> </w:t>
      </w:r>
      <w:r>
        <w:t>bis Mitte Juli 2023 zu übermitteln. Der Freistaat wird diese Möglichkeit</w:t>
      </w:r>
      <w:r w:rsidR="00D41F24">
        <w:t xml:space="preserve"> </w:t>
      </w:r>
      <w:r>
        <w:t>wahrnehmen.</w:t>
      </w:r>
    </w:p>
    <w:p w:rsidR="00DD3048" w:rsidRDefault="00DD3048">
      <w:bookmarkStart w:id="36" w:name="Frage_Nr_17_Ende"/>
      <w:bookmarkEnd w:id="3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4"/>
        <w:gridCol w:w="5752"/>
      </w:tblGrid>
      <w:tr w:rsidR="00DD3048" w:rsidTr="007B0B33">
        <w:tc>
          <w:tcPr>
            <w:tcW w:w="2050" w:type="dxa"/>
          </w:tcPr>
          <w:p w:rsidR="00DD3048" w:rsidRDefault="00DD3048" w:rsidP="00DD3048">
            <w:pPr>
              <w:pStyle w:val="LTAnfrageInitiator"/>
            </w:pPr>
            <w:r>
              <w:lastRenderedPageBreak/>
              <w:t>Abgeordnete</w:t>
            </w:r>
            <w:r>
              <w:rPr>
                <w:b/>
              </w:rPr>
              <w:br/>
              <w:t>Kerstin</w:t>
            </w:r>
            <w:r>
              <w:rPr>
                <w:b/>
              </w:rPr>
              <w:br/>
              <w:t>Celina</w:t>
            </w:r>
            <w:r>
              <w:rPr>
                <w:b/>
              </w:rPr>
              <w:br/>
            </w:r>
            <w:r>
              <w:t>(BÜNDNIS 90/DIE GRÜNEN)</w:t>
            </w:r>
            <w:bookmarkStart w:id="37" w:name="Frage_Nr_18"/>
            <w:bookmarkEnd w:id="37"/>
          </w:p>
        </w:tc>
        <w:tc>
          <w:tcPr>
            <w:tcW w:w="7200" w:type="dxa"/>
          </w:tcPr>
          <w:p w:rsidR="00DD3048" w:rsidRDefault="000A1424" w:rsidP="0026527F">
            <w:pPr>
              <w:pStyle w:val="LTAnfrageText"/>
            </w:pPr>
            <w:r w:rsidRPr="000A1424">
              <w:t xml:space="preserve">Nachdem bei Go-Ahead auf der Strecke des RE80 auch zu Stoßzeiten häufig nur einteilige und einstöckige Fahrzeuge eingesetzt werden, während die DB Regio zuvor meist zweiteilige Fahrzeuge einsetzte und nachdem bei der Zugverbindung von Würzburg nach München ohne Umstieg in Kombination mit dem bundesweit geltenden günstigen Deutschlandticket eine hohe Nachfrage zu erwarten ist, frage ich die Staatsregierung, welche Sitzplatzkapazität ist laut Ausschreibung für die Verkehre auf dem Flügelzug Würzburg–München vorgesehen, welche Maßnahmen ergreift die Staatsregierung, um Go-Ahead zu vertragsgemäßem Handeln zu bringen, insbesondere auch gemäß der Ausschreibung zu einem Einsatz von Schienenersatzverkehr (SEV) bei absehbar ausfallenden Zügen und wie steht sie dazu, Go-Ahead angesichts der vielen Ausfälle und Störungen den Auftrag zu entziehen und eine Notvergabe an ein anderes Eisenbahnverkehrsunternehmen (EVU) vorzunehmen?  </w:t>
            </w:r>
          </w:p>
        </w:tc>
      </w:tr>
    </w:tbl>
    <w:p w:rsidR="00DD3048" w:rsidRDefault="00DD3048" w:rsidP="00DD3048">
      <w:pPr>
        <w:pStyle w:val="LTUeberschrAntwortRessort"/>
      </w:pPr>
      <w:r>
        <w:t>Antwort des Staatsministeriums für Wohnen, Bau und Verkehr</w:t>
      </w:r>
    </w:p>
    <w:p w:rsidR="00DD3048" w:rsidRDefault="00DD3048" w:rsidP="00DD3048">
      <w:pPr>
        <w:pStyle w:val="LTAntwortRessortText"/>
      </w:pPr>
      <w:r>
        <w:t>Auf der Linie RE 80 fordert die Bayerische Eisenbahngesellschaft (BEG) zu den</w:t>
      </w:r>
      <w:r w:rsidR="000A1424">
        <w:t xml:space="preserve"> </w:t>
      </w:r>
      <w:r>
        <w:t>Hauptverkehrszeit</w:t>
      </w:r>
      <w:r w:rsidR="000A1424">
        <w:t>en zugscharf zwischen 700 und 1 </w:t>
      </w:r>
      <w:r>
        <w:t>000 Sitzplätze in der 2.Klasse sowie zusätzlich zwischen 54 und 76 Sitzplätze in der 1. Klasse. Diese</w:t>
      </w:r>
      <w:r w:rsidR="000A1424">
        <w:t xml:space="preserve"> </w:t>
      </w:r>
      <w:r>
        <w:t>sind durch das mit den Zugleistungen beauftragte Eisenbahnverkehrsunternehmen</w:t>
      </w:r>
      <w:r w:rsidR="000A1424">
        <w:t xml:space="preserve"> </w:t>
      </w:r>
      <w:r>
        <w:t>Go-Ahead mit entsprechenden vertraglich vereinbarten Zugkonfigurationen zu erbringen.</w:t>
      </w:r>
      <w:r w:rsidR="000A1424">
        <w:t xml:space="preserve"> </w:t>
      </w:r>
      <w:r>
        <w:t>Aufgrund der sich in den vergangenen Wochen wieder zugespitzten Personal-</w:t>
      </w:r>
      <w:r w:rsidR="000A1424">
        <w:t xml:space="preserve"> </w:t>
      </w:r>
      <w:r>
        <w:t>und Fahrzeugprobleme hat die Staatsregierung Go-Ahead nochmals mit</w:t>
      </w:r>
      <w:r w:rsidR="000A1424">
        <w:t xml:space="preserve"> </w:t>
      </w:r>
      <w:r>
        <w:t>Nachdruck aufgefordert, die vertraglichen Pflichten im Augsburger Netz Los 1 zu</w:t>
      </w:r>
      <w:r w:rsidR="000A1424">
        <w:t xml:space="preserve"> </w:t>
      </w:r>
      <w:r>
        <w:t>erfüllen. Alle Schlechtleistungen werden gemäß den vertraglichen Vereinbarungen</w:t>
      </w:r>
      <w:r w:rsidR="000A1424">
        <w:t xml:space="preserve"> </w:t>
      </w:r>
      <w:r>
        <w:t>durch den Freistaat finanziell sanktioniert. Bei Zugausfällen, die aufgrund eines</w:t>
      </w:r>
      <w:r w:rsidR="000A1424">
        <w:t xml:space="preserve"> </w:t>
      </w:r>
      <w:r>
        <w:t xml:space="preserve">Personal- oder Fahrzeugmangels entstehen, muss Go-Ahead </w:t>
      </w:r>
      <w:r w:rsidR="000A1424">
        <w:t>ein Pönale</w:t>
      </w:r>
      <w:r>
        <w:t xml:space="preserve"> bezahlen.</w:t>
      </w:r>
      <w:r w:rsidR="000A1424">
        <w:t xml:space="preserve"> </w:t>
      </w:r>
      <w:r>
        <w:t>Somit ist für Go-Ahead ein finanzieller Anreiz gegeben, die Personal- und</w:t>
      </w:r>
      <w:r w:rsidR="000A1424">
        <w:t xml:space="preserve"> </w:t>
      </w:r>
      <w:r>
        <w:t>Fahrzeugprobleme schnellstmöglich zu lösen. Unabhängig davon sind die Eisenbahnverkehrsunternehmen</w:t>
      </w:r>
      <w:r w:rsidR="000A1424">
        <w:t xml:space="preserve"> </w:t>
      </w:r>
      <w:r>
        <w:t>im bayerischen Schienenpersonennahverkehr vertraglich</w:t>
      </w:r>
      <w:r w:rsidR="000A1424">
        <w:t xml:space="preserve"> </w:t>
      </w:r>
      <w:r>
        <w:t>dazu verpflichtet, bei Zugausfällen einen Ersatzverkehr einzurichten.</w:t>
      </w:r>
      <w:r w:rsidR="000A1424">
        <w:t xml:space="preserve"> </w:t>
      </w:r>
      <w:r>
        <w:t>Die derzeitige Leistung von Go-Ahead ist inakzeptabel. Die BEG ist angewiesen,</w:t>
      </w:r>
      <w:r w:rsidR="000A1424">
        <w:t xml:space="preserve"> </w:t>
      </w:r>
      <w:r>
        <w:t>alle Möglichkeiten zur Verbesserung und Stabilisierung der Situation auf den</w:t>
      </w:r>
      <w:r w:rsidR="000A1424">
        <w:t xml:space="preserve"> </w:t>
      </w:r>
      <w:r>
        <w:t>Strecken von Go-Ahead auszuschöpfen.</w:t>
      </w:r>
    </w:p>
    <w:p w:rsidR="00DD3048" w:rsidRDefault="00DD3048">
      <w:bookmarkStart w:id="38" w:name="Frage_Nr_18_Ende"/>
      <w:bookmarkEnd w:id="3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7"/>
        <w:gridCol w:w="5759"/>
      </w:tblGrid>
      <w:tr w:rsidR="00DD3048" w:rsidTr="007B0B33">
        <w:tc>
          <w:tcPr>
            <w:tcW w:w="2050" w:type="dxa"/>
          </w:tcPr>
          <w:p w:rsidR="00DD3048" w:rsidRDefault="00DD3048" w:rsidP="00DD3048">
            <w:pPr>
              <w:pStyle w:val="LTAnfrageInitiator"/>
            </w:pPr>
            <w:r>
              <w:lastRenderedPageBreak/>
              <w:t>Abgeordneter</w:t>
            </w:r>
            <w:r>
              <w:rPr>
                <w:b/>
              </w:rPr>
              <w:br/>
              <w:t>Patrick</w:t>
            </w:r>
            <w:r>
              <w:rPr>
                <w:b/>
              </w:rPr>
              <w:br/>
              <w:t>Friedl</w:t>
            </w:r>
            <w:r>
              <w:rPr>
                <w:b/>
              </w:rPr>
              <w:br/>
            </w:r>
            <w:r>
              <w:t>(BÜNDNIS 90/DIE GRÜNEN)</w:t>
            </w:r>
            <w:bookmarkStart w:id="39" w:name="Frage_Nr_19"/>
            <w:bookmarkEnd w:id="39"/>
          </w:p>
        </w:tc>
        <w:tc>
          <w:tcPr>
            <w:tcW w:w="7200" w:type="dxa"/>
          </w:tcPr>
          <w:p w:rsidR="00DD3048" w:rsidRDefault="00307D56" w:rsidP="00DD3048">
            <w:pPr>
              <w:pStyle w:val="LTAnfrageText"/>
            </w:pPr>
            <w:r w:rsidRPr="00307D56">
              <w:t>Angesichts der weiter bestehenden erheblichen Probleme der Bahnlinie RE80</w:t>
            </w:r>
            <w:r w:rsidR="0026527F">
              <w:t>,</w:t>
            </w:r>
            <w:r w:rsidRPr="00307D56">
              <w:t xml:space="preserve"> die wiederholt berichtet wurden und zu zahlreichen Anfragen und Anträgen an die Staatsregierung geführt haben, sowie dem Umstand, dass Go-Ahead öffentlich verlautbart hat aufgrund von Personalmangel das Potsdamer Bahnunternehmen Wedler Franz Logistik (WFL) als „Subunternehmen“ beauftragt zu haben, die Strecke der Regionalzuglinie RE80 zu übernehmen (siehe MAINPOST vom 27.05.2023, in der es hieß: „Go-Ahead sei es nach eigenen Angaben bisher nicht gelungen, genug ausgebildete Lokführerinnen und Lokführer für die Strecke zu finden“) frage ich die Staatsregierung, welche Fahrten der Linie RE80 sind bis heute seit dem Start am 11.12.2022 gänzlich ausgefallen (bitte mit Auflistung nach Datum, Uhrzeit und Angabe der eingesetzten Ersatzverkehre) und wie oft erfolgte ein Einsatz nicht der Ausschreibung entsprechender Fahrzeuge durch Go-Ahead bzw. jetzt durch WFL (bitte unter Angabe von Datum Uhrzeit und fehlender Funktionalitäten, wie fehlender Barrierefreiheit, fehlende Klimatisierung, fehlende einsatzfähige Toiletten, etc.) und wie bewertet die Staatsregierung diese Vorgänge der nicht vertragsgemäßen Bedienung, des Einsatzes nicht ordnungsgemäßer Züge sowie der Einschaltung eines „Subunternehmens“ (insbesondere hinsichtlich des Eingeständnisses nach über einem halben Jahr Betriebsproblemen noch immer nicht ausreichend Personal für den übernommenen Auftrag der Bedienung der Linie RE80 zu haben)?  </w:t>
            </w:r>
          </w:p>
        </w:tc>
      </w:tr>
    </w:tbl>
    <w:p w:rsidR="00DD3048" w:rsidRDefault="00DD3048" w:rsidP="00DD3048">
      <w:pPr>
        <w:pStyle w:val="LTUeberschrAntwortRessort"/>
      </w:pPr>
      <w:r>
        <w:t>Antwort des Staatsministeriums für Wohnen, Bau und Verkehr</w:t>
      </w:r>
    </w:p>
    <w:p w:rsidR="00DD3048" w:rsidRDefault="00DD3048" w:rsidP="007F08F8">
      <w:pPr>
        <w:pStyle w:val="LTAntwortRessortText"/>
      </w:pPr>
      <w:r>
        <w:t>Die Wedler Franz Logistik (WFL) hat seit dem 11.</w:t>
      </w:r>
      <w:r w:rsidR="00996F09">
        <w:t>06.</w:t>
      </w:r>
      <w:r>
        <w:t>2023 vorübergehend drei</w:t>
      </w:r>
      <w:r w:rsidR="00996F09">
        <w:t xml:space="preserve"> </w:t>
      </w:r>
      <w:r>
        <w:t>Umläufe zwischen Würzburg und Treuchtlingen übernommen. Die übrigen Leistungen</w:t>
      </w:r>
      <w:r w:rsidR="00996F09">
        <w:t xml:space="preserve"> </w:t>
      </w:r>
      <w:r>
        <w:t>auf der Linie RE 80 werden weiterhin von Go-Ahead mit eigenen Zügen</w:t>
      </w:r>
      <w:r w:rsidR="00996F09">
        <w:t xml:space="preserve"> </w:t>
      </w:r>
      <w:r>
        <w:t>erbracht. Bei der Beauftragung eines Subunternehmens erwartet die Staatsregierung,</w:t>
      </w:r>
      <w:r w:rsidR="00996F09">
        <w:t xml:space="preserve"> </w:t>
      </w:r>
      <w:r>
        <w:t>dass die eingesetzten Fahrzeuge so wenig wie möglich von den vertraglichen</w:t>
      </w:r>
      <w:r w:rsidR="00996F09">
        <w:t xml:space="preserve"> </w:t>
      </w:r>
      <w:r>
        <w:t>Fahrzeuganforderungen abweichen. Der Bayerischen Eisenbahngesellschaft</w:t>
      </w:r>
      <w:r w:rsidR="00996F09">
        <w:t xml:space="preserve"> </w:t>
      </w:r>
      <w:r>
        <w:t>(BEG) liegen die Qualitätsberichte der Eisenbahnverkehrsunternehmen derzeit</w:t>
      </w:r>
      <w:r w:rsidR="00996F09">
        <w:t xml:space="preserve"> </w:t>
      </w:r>
      <w:r>
        <w:t>bis einschließlich Mai 2023 vor. Eine detaillierte Einzelauflistung aller (Teil-)Zugausfälle auf der Linie RE 80 im Zeitraum vom 11.</w:t>
      </w:r>
      <w:r w:rsidR="00996F09">
        <w:t>12.</w:t>
      </w:r>
      <w:r>
        <w:t>2022 (Fahrplanwechsel)</w:t>
      </w:r>
      <w:r w:rsidR="00996F09">
        <w:t xml:space="preserve"> </w:t>
      </w:r>
      <w:r>
        <w:t>bis Ende Mai 2023 ist der beigefügten Tabelle</w:t>
      </w:r>
      <w:r w:rsidR="00996F09">
        <w:rPr>
          <w:rStyle w:val="Funotenzeichen"/>
        </w:rPr>
        <w:footnoteReference w:id="8"/>
      </w:r>
      <w:r>
        <w:t xml:space="preserve"> zu entnehmen. Die</w:t>
      </w:r>
      <w:r w:rsidR="00996F09">
        <w:t xml:space="preserve"> </w:t>
      </w:r>
      <w:r>
        <w:t>Staatsregierung hat Go-Ahead zuletzt nochmals mit Nachdruck aufgefordert, die</w:t>
      </w:r>
      <w:r w:rsidR="00996F09">
        <w:t xml:space="preserve"> </w:t>
      </w:r>
      <w:r>
        <w:t>vertraglichen Pflichten zu erfüllen. Alle Schlechtleistungen werden gemäß den</w:t>
      </w:r>
      <w:r w:rsidR="00996F09">
        <w:t xml:space="preserve"> </w:t>
      </w:r>
      <w:r>
        <w:t>vertraglichen Vereinbarungen durch den Freistaat finanziell sanktioniert. Bei</w:t>
      </w:r>
      <w:r w:rsidR="00996F09">
        <w:t xml:space="preserve"> </w:t>
      </w:r>
      <w:r>
        <w:t>Zugausfällen, die aufgrund eines Personal- oder Fahrzeugmangels entstehen,</w:t>
      </w:r>
      <w:r w:rsidR="00996F09">
        <w:t xml:space="preserve"> </w:t>
      </w:r>
      <w:r>
        <w:t>muss Go-Ahead ein Pönale bezahlen. Somit ist für Go-Ahead ein finanzieller</w:t>
      </w:r>
      <w:r w:rsidR="00996F09">
        <w:t xml:space="preserve"> </w:t>
      </w:r>
      <w:r>
        <w:t>Anreiz gegeben, die Personal- und Fahrzeugprobleme schnellstmöglich zu lösen.</w:t>
      </w:r>
      <w:r w:rsidR="00996F09">
        <w:t xml:space="preserve"> </w:t>
      </w:r>
      <w:r>
        <w:t>Unabhängig davon sind die Eisenbahnverkehrsunternehmen im bayerischen</w:t>
      </w:r>
      <w:r w:rsidR="00996F09">
        <w:t xml:space="preserve"> </w:t>
      </w:r>
      <w:r>
        <w:t>Schienenpersonennahverkehr vertraglich dazu verpflichtet, bei Zugausfällen einen</w:t>
      </w:r>
      <w:r w:rsidR="00996F09">
        <w:t xml:space="preserve"> </w:t>
      </w:r>
      <w:r>
        <w:t>Ersatzverkehr einzurichten. Die derzeitige Leistung von Go-Ahead ist inakzeptabel.</w:t>
      </w:r>
      <w:r w:rsidR="00996F09">
        <w:t xml:space="preserve"> </w:t>
      </w:r>
      <w:r>
        <w:t>Die BEG ist angewiesen, alle Möglichkeiten zur Verbesserung und Stabilisierung</w:t>
      </w:r>
      <w:r w:rsidR="00996F09">
        <w:t xml:space="preserve"> </w:t>
      </w:r>
      <w:r>
        <w:t>der Situation auf den Strecken von Go-Ahead auszuschöpfen.</w:t>
      </w:r>
      <w:bookmarkStart w:id="40" w:name="Frage_Nr_19_Ende"/>
      <w:bookmarkEnd w:id="4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5"/>
        <w:gridCol w:w="5751"/>
      </w:tblGrid>
      <w:tr w:rsidR="00DD3048" w:rsidTr="007B0B33">
        <w:tc>
          <w:tcPr>
            <w:tcW w:w="2050" w:type="dxa"/>
          </w:tcPr>
          <w:p w:rsidR="00DD3048" w:rsidRDefault="00DD3048" w:rsidP="00DD3048">
            <w:pPr>
              <w:pStyle w:val="LTAnfrageInitiator"/>
            </w:pPr>
            <w:r>
              <w:lastRenderedPageBreak/>
              <w:t>Abgeordnete</w:t>
            </w:r>
            <w:r>
              <w:rPr>
                <w:b/>
              </w:rPr>
              <w:br/>
              <w:t>Christina</w:t>
            </w:r>
            <w:r>
              <w:rPr>
                <w:b/>
              </w:rPr>
              <w:br/>
              <w:t>Haubrich</w:t>
            </w:r>
            <w:r>
              <w:rPr>
                <w:b/>
              </w:rPr>
              <w:br/>
            </w:r>
            <w:r>
              <w:t>(BÜNDNIS 90/DIE GRÜNEN)</w:t>
            </w:r>
            <w:bookmarkStart w:id="41" w:name="Frage_Nr_20"/>
            <w:bookmarkEnd w:id="41"/>
          </w:p>
        </w:tc>
        <w:tc>
          <w:tcPr>
            <w:tcW w:w="7200" w:type="dxa"/>
          </w:tcPr>
          <w:p w:rsidR="00DD3048" w:rsidRDefault="002643D2" w:rsidP="00DD3048">
            <w:pPr>
              <w:pStyle w:val="LTAnfrageText"/>
            </w:pPr>
            <w:r w:rsidRPr="002643D2">
              <w:t>Nach aktueller Aussage des Staatsministers für Wohnen, Bau und Verkehr Christian Bernreiter, dass sich der Freistaat für den Viertelstundentakt der Bahnlinie Augsburg–Friedberg (Paartalbahn) einsetzen werde, frage ich die Staatsregierung, welche Maßnahmen sie für den Erhalt des 15-Minuten-Takts plant, wie der aktuelle Zeitplan aussieht und welche Alternativen im Falle eines Scheiterns des Taktes die Staatsregierung zur Verfügung stellen möchte?</w:t>
            </w:r>
          </w:p>
        </w:tc>
      </w:tr>
    </w:tbl>
    <w:p w:rsidR="00DD3048" w:rsidRDefault="00DD3048" w:rsidP="00DD3048">
      <w:pPr>
        <w:pStyle w:val="LTUeberschrAntwortRessort"/>
      </w:pPr>
      <w:r>
        <w:t>Antwort des Staatsministeriums für Wohnen, Bau und Verkehr</w:t>
      </w:r>
    </w:p>
    <w:p w:rsidR="00DD3048" w:rsidRDefault="00DD3048" w:rsidP="00DD3048">
      <w:pPr>
        <w:pStyle w:val="LTAntwortRessortText"/>
      </w:pPr>
      <w:r>
        <w:t>Die grundgesetzliche Zuständigkeit sowohl für die bundeseigene Schieneninfrastruktur</w:t>
      </w:r>
      <w:r w:rsidR="002643D2">
        <w:t xml:space="preserve"> </w:t>
      </w:r>
      <w:r>
        <w:t>als auch für den Schienenpersonenfern- und Schienengüterverkehr liegt</w:t>
      </w:r>
      <w:r w:rsidR="002643D2">
        <w:t xml:space="preserve"> </w:t>
      </w:r>
      <w:r>
        <w:t>beim Bund. Es ist daher Aufgabe des Bundes, die Schieneninfrastruktur zu ertüchtigen,</w:t>
      </w:r>
      <w:r w:rsidR="002643D2">
        <w:t xml:space="preserve"> </w:t>
      </w:r>
      <w:r>
        <w:t>wenn durch Verkehrszuwächse im Fern- und Güterverkehr Bestandsverkehre</w:t>
      </w:r>
      <w:r w:rsidR="002643D2">
        <w:t xml:space="preserve"> </w:t>
      </w:r>
      <w:r>
        <w:t>im Regionalverkehr nicht mehr durchgeführt werden könnten.</w:t>
      </w:r>
      <w:r w:rsidR="002643D2">
        <w:t xml:space="preserve"> </w:t>
      </w:r>
      <w:r>
        <w:t>Die Staatsregierung möchte den Viertelstundentakt nach Friedberg als attraktives</w:t>
      </w:r>
      <w:r w:rsidR="002643D2">
        <w:t xml:space="preserve"> </w:t>
      </w:r>
      <w:r>
        <w:t>Angebot im Schienenpersonennahverkehr beibehalten und wird die Beibehaltung</w:t>
      </w:r>
      <w:r w:rsidR="002643D2">
        <w:t xml:space="preserve"> </w:t>
      </w:r>
      <w:r>
        <w:t>des Viertelstundentaktes im Abschnitt Augsburg</w:t>
      </w:r>
      <w:r w:rsidR="002643D2">
        <w:t>–</w:t>
      </w:r>
      <w:r>
        <w:t>Friedberg für die anstehende</w:t>
      </w:r>
      <w:r w:rsidR="002643D2">
        <w:t xml:space="preserve"> </w:t>
      </w:r>
      <w:r>
        <w:t>Fortschreibung des Zielfahrplans Deutschlandtakt beim Bund anmelden.</w:t>
      </w:r>
    </w:p>
    <w:p w:rsidR="00DD3048" w:rsidRDefault="00DD3048">
      <w:bookmarkStart w:id="42" w:name="Frage_Nr_20_Ende"/>
      <w:bookmarkEnd w:id="4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6"/>
        <w:gridCol w:w="5760"/>
      </w:tblGrid>
      <w:tr w:rsidR="00DD3048" w:rsidTr="007B0B33">
        <w:tc>
          <w:tcPr>
            <w:tcW w:w="2050" w:type="dxa"/>
          </w:tcPr>
          <w:p w:rsidR="00DD3048" w:rsidRDefault="00DD3048" w:rsidP="00DD3048">
            <w:pPr>
              <w:pStyle w:val="LTAnfrageInitiator"/>
            </w:pPr>
            <w:r>
              <w:lastRenderedPageBreak/>
              <w:t>Abgeordneter</w:t>
            </w:r>
            <w:r>
              <w:rPr>
                <w:b/>
              </w:rPr>
              <w:br/>
              <w:t>Elmar</w:t>
            </w:r>
            <w:r>
              <w:rPr>
                <w:b/>
              </w:rPr>
              <w:br/>
              <w:t>Hayn</w:t>
            </w:r>
            <w:r>
              <w:rPr>
                <w:b/>
              </w:rPr>
              <w:br/>
            </w:r>
            <w:r>
              <w:t>(BÜNDNIS 90/DIE GRÜNEN)</w:t>
            </w:r>
            <w:bookmarkStart w:id="43" w:name="Frage_Nr_21"/>
            <w:bookmarkEnd w:id="43"/>
          </w:p>
        </w:tc>
        <w:tc>
          <w:tcPr>
            <w:tcW w:w="7200" w:type="dxa"/>
          </w:tcPr>
          <w:p w:rsidR="00DD3048" w:rsidRDefault="007F5B16" w:rsidP="00AD3CEE">
            <w:pPr>
              <w:pStyle w:val="LTAnfrageText"/>
            </w:pPr>
            <w:r w:rsidRPr="007F5B16">
              <w:t>Vor dem Hintergrund vor unter anderem im Regensburger Viertel in Nürnberg entstehenden freifinanzierten und belegungsgebundenen Wohnungen durch das Siedlungswerk Nürnberg (SWN) ebenso wie im Luitpoldviertel Quartier 5 durch die KIB (KIB Gewerbe- und Wohnbau GmbH &amp; Co. KG) für die BayernHeim und öffentlichkeitswirksamen Hinweisen, dass bezahlbare Wohnungen entstehen würden, frage ich die Staatsregierung, welche Vorhaben sind aktuell im Bau bzw. der Planung in Nürnberg mit geplanter Baufertigstellung bis 2028 (bitte Angabe der Anzahl von Wohnungen, bitte aufschlüsseln nach Wohnungsgröße und mit der Unterscheidung Freifinanziert/EOF – Einkommensorientierte Förderung je Stufe, Standort und jeweiligem Baufertigstellungjahr), mit welchen (Kalt</w:t>
            </w:r>
            <w:r w:rsidR="00AD3CEE">
              <w:noBreakHyphen/>
            </w:r>
            <w:r w:rsidRPr="007F5B16">
              <w:t xml:space="preserve">)Quadratmeter-Mietpreisen sollen die Wohnungen vermietet werden (bitte aufschlüsseln nach Größe und mit der Unterscheidung Freifinanziert/EOF sowie nach Bauvorhaben und Standort) und wie hoch liegen die geplanten/aktuellen Kosten je Quadratmeter (bitte aufschlüsseln nach den einzelnen Bauvorhaben)? </w:t>
            </w:r>
          </w:p>
        </w:tc>
      </w:tr>
    </w:tbl>
    <w:p w:rsidR="00DD3048" w:rsidRDefault="00DD3048" w:rsidP="00DD3048">
      <w:pPr>
        <w:pStyle w:val="LTUeberschrAntwortRessort"/>
      </w:pPr>
      <w:r>
        <w:t>Antwort des Staatsministeriums für Wohnen, Bau und Verkehr</w:t>
      </w:r>
    </w:p>
    <w:p w:rsidR="00DD3048" w:rsidRDefault="00DD3048" w:rsidP="00DD3048">
      <w:pPr>
        <w:pStyle w:val="LTAntwortRessortText"/>
      </w:pPr>
      <w:r>
        <w:t>Die BayernHeim GmbH hat in Nürnberg mit geplanter Baufertigstellung bis 2028</w:t>
      </w:r>
      <w:r w:rsidR="007F5B16">
        <w:t xml:space="preserve"> </w:t>
      </w:r>
      <w:r>
        <w:t>derzeit zwei Vorhaben in Bau.</w:t>
      </w:r>
      <w:r w:rsidR="00421881">
        <w:tab/>
      </w:r>
      <w:r w:rsidR="00421881">
        <w:br/>
      </w:r>
    </w:p>
    <w:p w:rsidR="007F5B16" w:rsidRDefault="007F5B16" w:rsidP="001F4A8D">
      <w:pPr>
        <w:pStyle w:val="LTAntwortRessortText"/>
        <w:tabs>
          <w:tab w:val="center" w:pos="2835"/>
        </w:tabs>
        <w:spacing w:before="120"/>
        <w:ind w:left="3175" w:hanging="2835"/>
      </w:pPr>
      <w:r>
        <w:t xml:space="preserve">Bauvorhaben in Bau </w:t>
      </w:r>
      <w:r w:rsidR="001F4A8D">
        <w:tab/>
      </w:r>
      <w:r w:rsidR="001F4A8D">
        <w:tab/>
      </w:r>
      <w:r>
        <w:t>Nürnberg, Lichtenreuth WA 19</w:t>
      </w:r>
    </w:p>
    <w:p w:rsidR="007F5B16" w:rsidRDefault="007F5B16" w:rsidP="00447483">
      <w:pPr>
        <w:pStyle w:val="LTAntwortRessortText"/>
        <w:tabs>
          <w:tab w:val="center" w:pos="2835"/>
        </w:tabs>
        <w:spacing w:before="120"/>
        <w:ind w:left="3175" w:hanging="2835"/>
      </w:pPr>
      <w:r>
        <w:t>Standort</w:t>
      </w:r>
      <w:r>
        <w:tab/>
      </w:r>
      <w:r>
        <w:tab/>
        <w:t>Lichtenreuth</w:t>
      </w:r>
    </w:p>
    <w:p w:rsidR="007F5B16" w:rsidRDefault="007F5B16" w:rsidP="00447483">
      <w:pPr>
        <w:pStyle w:val="LTAntwortRessortText"/>
        <w:tabs>
          <w:tab w:val="center" w:pos="3119"/>
        </w:tabs>
        <w:spacing w:before="120"/>
        <w:ind w:left="3175" w:hanging="2835"/>
      </w:pPr>
      <w:r>
        <w:t>Baufertigstellungsjahr</w:t>
      </w:r>
      <w:r>
        <w:tab/>
      </w:r>
      <w:r w:rsidR="00447483">
        <w:tab/>
      </w:r>
      <w:r>
        <w:t xml:space="preserve">2024 </w:t>
      </w:r>
    </w:p>
    <w:p w:rsidR="00DD3048" w:rsidRDefault="007F5B16" w:rsidP="00447483">
      <w:pPr>
        <w:pStyle w:val="LTAntwortRessortText"/>
        <w:tabs>
          <w:tab w:val="center" w:pos="2977"/>
        </w:tabs>
        <w:spacing w:before="120"/>
        <w:ind w:left="3175" w:hanging="2835"/>
      </w:pPr>
      <w:r>
        <w:t>Kosten pro Quadratmeter</w:t>
      </w:r>
      <w:r>
        <w:tab/>
      </w:r>
      <w:r>
        <w:tab/>
        <w:t>Stillschweigen zwischen den Vertragsparteien vereinbart</w:t>
      </w:r>
    </w:p>
    <w:p w:rsidR="007F5B16" w:rsidRDefault="007F5B16" w:rsidP="00DF7A1B">
      <w:pPr>
        <w:pStyle w:val="LTAntwortRessortText"/>
        <w:spacing w:before="0"/>
      </w:pPr>
    </w:p>
    <w:tbl>
      <w:tblPr>
        <w:tblStyle w:val="TableGrid"/>
        <w:tblW w:w="9778" w:type="dxa"/>
        <w:jc w:val="center"/>
        <w:tblInd w:w="0" w:type="dxa"/>
        <w:tblCellMar>
          <w:top w:w="55" w:type="dxa"/>
          <w:left w:w="43" w:type="dxa"/>
          <w:bottom w:w="26" w:type="dxa"/>
          <w:right w:w="40" w:type="dxa"/>
        </w:tblCellMar>
        <w:tblLook w:val="04A0" w:firstRow="1" w:lastRow="0" w:firstColumn="1" w:lastColumn="0" w:noHBand="0" w:noVBand="1"/>
      </w:tblPr>
      <w:tblGrid>
        <w:gridCol w:w="1194"/>
        <w:gridCol w:w="1229"/>
        <w:gridCol w:w="991"/>
        <w:gridCol w:w="727"/>
        <w:gridCol w:w="725"/>
        <w:gridCol w:w="716"/>
        <w:gridCol w:w="716"/>
        <w:gridCol w:w="1003"/>
        <w:gridCol w:w="1303"/>
        <w:gridCol w:w="1174"/>
      </w:tblGrid>
      <w:tr w:rsidR="009715A4" w:rsidRPr="009715A4" w:rsidTr="009715A4">
        <w:trPr>
          <w:trHeight w:val="249"/>
          <w:jc w:val="center"/>
        </w:trPr>
        <w:tc>
          <w:tcPr>
            <w:tcW w:w="1195" w:type="dxa"/>
            <w:vMerge w:val="restart"/>
            <w:tcBorders>
              <w:top w:val="single" w:sz="5" w:space="0" w:color="000000"/>
              <w:left w:val="single" w:sz="5" w:space="0" w:color="000000"/>
              <w:bottom w:val="single" w:sz="4" w:space="0" w:color="000000"/>
              <w:right w:val="single" w:sz="5" w:space="0" w:color="000000"/>
            </w:tcBorders>
            <w:vAlign w:val="center"/>
          </w:tcPr>
          <w:p w:rsidR="009715A4" w:rsidRPr="009715A4" w:rsidRDefault="009715A4" w:rsidP="009715A4">
            <w:pPr>
              <w:jc w:val="center"/>
              <w:rPr>
                <w:rFonts w:cs="Arial"/>
                <w:sz w:val="18"/>
                <w:szCs w:val="18"/>
              </w:rPr>
            </w:pPr>
            <w:r w:rsidRPr="009715A4">
              <w:rPr>
                <w:rFonts w:eastAsia="Calibri" w:cs="Arial"/>
                <w:sz w:val="18"/>
                <w:szCs w:val="18"/>
              </w:rPr>
              <w:t>Anzahl</w:t>
            </w:r>
          </w:p>
          <w:p w:rsidR="009715A4" w:rsidRPr="009715A4" w:rsidRDefault="009715A4" w:rsidP="009715A4">
            <w:pPr>
              <w:jc w:val="center"/>
              <w:rPr>
                <w:rFonts w:cs="Arial"/>
                <w:sz w:val="18"/>
                <w:szCs w:val="18"/>
              </w:rPr>
            </w:pPr>
            <w:r w:rsidRPr="009715A4">
              <w:rPr>
                <w:rFonts w:eastAsia="Calibri" w:cs="Arial"/>
                <w:sz w:val="18"/>
                <w:szCs w:val="18"/>
              </w:rPr>
              <w:t>Wohnungen</w:t>
            </w:r>
          </w:p>
        </w:tc>
        <w:tc>
          <w:tcPr>
            <w:tcW w:w="1229" w:type="dxa"/>
            <w:vMerge w:val="restart"/>
            <w:tcBorders>
              <w:top w:val="single" w:sz="5" w:space="0" w:color="000000"/>
              <w:left w:val="single" w:sz="5" w:space="0" w:color="000000"/>
              <w:bottom w:val="single" w:sz="4" w:space="0" w:color="000000"/>
              <w:right w:val="single" w:sz="5" w:space="0" w:color="000000"/>
            </w:tcBorders>
            <w:vAlign w:val="center"/>
          </w:tcPr>
          <w:p w:rsidR="009715A4" w:rsidRPr="009715A4" w:rsidRDefault="009715A4" w:rsidP="009715A4">
            <w:pPr>
              <w:jc w:val="center"/>
              <w:rPr>
                <w:rFonts w:cs="Arial"/>
                <w:sz w:val="18"/>
                <w:szCs w:val="18"/>
              </w:rPr>
            </w:pPr>
            <w:r w:rsidRPr="009715A4">
              <w:rPr>
                <w:rFonts w:eastAsia="Calibri" w:cs="Arial"/>
                <w:sz w:val="18"/>
                <w:szCs w:val="18"/>
              </w:rPr>
              <w:t>Wohnungsgrößen</w:t>
            </w:r>
          </w:p>
        </w:tc>
        <w:tc>
          <w:tcPr>
            <w:tcW w:w="991" w:type="dxa"/>
            <w:tcBorders>
              <w:top w:val="single" w:sz="5" w:space="0" w:color="000000"/>
              <w:left w:val="single" w:sz="5" w:space="0" w:color="000000"/>
              <w:bottom w:val="single" w:sz="5" w:space="0" w:color="000000"/>
              <w:right w:val="single" w:sz="4" w:space="0" w:color="D4D4D4"/>
            </w:tcBorders>
            <w:vAlign w:val="center"/>
          </w:tcPr>
          <w:p w:rsidR="009715A4" w:rsidRPr="009715A4" w:rsidRDefault="009715A4" w:rsidP="009715A4">
            <w:pPr>
              <w:jc w:val="center"/>
              <w:rPr>
                <w:rFonts w:cs="Arial"/>
                <w:sz w:val="18"/>
                <w:szCs w:val="18"/>
              </w:rPr>
            </w:pPr>
          </w:p>
        </w:tc>
        <w:tc>
          <w:tcPr>
            <w:tcW w:w="727" w:type="dxa"/>
            <w:tcBorders>
              <w:top w:val="single" w:sz="5" w:space="0" w:color="000000"/>
              <w:left w:val="single" w:sz="4" w:space="0" w:color="D4D4D4"/>
              <w:bottom w:val="single" w:sz="5" w:space="0" w:color="000000"/>
              <w:right w:val="single" w:sz="6" w:space="0" w:color="D4D4D4"/>
            </w:tcBorders>
            <w:vAlign w:val="center"/>
          </w:tcPr>
          <w:p w:rsidR="009715A4" w:rsidRPr="009715A4" w:rsidRDefault="009715A4" w:rsidP="009715A4">
            <w:pPr>
              <w:jc w:val="center"/>
              <w:rPr>
                <w:rFonts w:cs="Arial"/>
                <w:sz w:val="18"/>
                <w:szCs w:val="18"/>
              </w:rPr>
            </w:pPr>
          </w:p>
        </w:tc>
        <w:tc>
          <w:tcPr>
            <w:tcW w:w="725" w:type="dxa"/>
            <w:tcBorders>
              <w:top w:val="single" w:sz="5" w:space="0" w:color="000000"/>
              <w:left w:val="single" w:sz="6" w:space="0" w:color="D4D4D4"/>
              <w:bottom w:val="single" w:sz="5" w:space="0" w:color="000000"/>
              <w:right w:val="single" w:sz="5" w:space="0" w:color="D4D4D4"/>
            </w:tcBorders>
            <w:vAlign w:val="center"/>
          </w:tcPr>
          <w:p w:rsidR="009715A4" w:rsidRPr="009715A4" w:rsidRDefault="009715A4" w:rsidP="009715A4">
            <w:pPr>
              <w:jc w:val="center"/>
              <w:rPr>
                <w:rFonts w:cs="Arial"/>
                <w:sz w:val="18"/>
                <w:szCs w:val="18"/>
              </w:rPr>
            </w:pPr>
          </w:p>
        </w:tc>
        <w:tc>
          <w:tcPr>
            <w:tcW w:w="716" w:type="dxa"/>
            <w:tcBorders>
              <w:top w:val="single" w:sz="5" w:space="0" w:color="000000"/>
              <w:left w:val="single" w:sz="5" w:space="0" w:color="D4D4D4"/>
              <w:bottom w:val="single" w:sz="5" w:space="0" w:color="000000"/>
              <w:right w:val="single" w:sz="5" w:space="0" w:color="D4D4D4"/>
            </w:tcBorders>
            <w:vAlign w:val="center"/>
          </w:tcPr>
          <w:p w:rsidR="009715A4" w:rsidRPr="009715A4" w:rsidRDefault="009715A4" w:rsidP="009715A4">
            <w:pPr>
              <w:jc w:val="center"/>
              <w:rPr>
                <w:rFonts w:cs="Arial"/>
                <w:sz w:val="18"/>
                <w:szCs w:val="18"/>
              </w:rPr>
            </w:pPr>
          </w:p>
        </w:tc>
        <w:tc>
          <w:tcPr>
            <w:tcW w:w="716" w:type="dxa"/>
            <w:tcBorders>
              <w:top w:val="single" w:sz="5" w:space="0" w:color="000000"/>
              <w:left w:val="single" w:sz="5" w:space="0" w:color="D4D4D4"/>
              <w:bottom w:val="single" w:sz="5" w:space="0" w:color="000000"/>
              <w:right w:val="single" w:sz="4" w:space="0" w:color="D4D4D4"/>
            </w:tcBorders>
            <w:vAlign w:val="center"/>
          </w:tcPr>
          <w:p w:rsidR="009715A4" w:rsidRPr="009715A4" w:rsidRDefault="009715A4" w:rsidP="009715A4">
            <w:pPr>
              <w:jc w:val="center"/>
              <w:rPr>
                <w:rFonts w:cs="Arial"/>
                <w:sz w:val="18"/>
                <w:szCs w:val="18"/>
              </w:rPr>
            </w:pPr>
          </w:p>
        </w:tc>
        <w:tc>
          <w:tcPr>
            <w:tcW w:w="1003" w:type="dxa"/>
            <w:tcBorders>
              <w:top w:val="single" w:sz="5" w:space="0" w:color="000000"/>
              <w:left w:val="single" w:sz="4" w:space="0" w:color="D4D4D4"/>
              <w:bottom w:val="single" w:sz="5" w:space="0" w:color="000000"/>
              <w:right w:val="single" w:sz="6" w:space="0" w:color="000000"/>
            </w:tcBorders>
            <w:vAlign w:val="center"/>
          </w:tcPr>
          <w:p w:rsidR="009715A4" w:rsidRPr="009715A4" w:rsidRDefault="009715A4" w:rsidP="009715A4">
            <w:pPr>
              <w:jc w:val="center"/>
              <w:rPr>
                <w:rFonts w:cs="Arial"/>
                <w:sz w:val="18"/>
                <w:szCs w:val="18"/>
              </w:rPr>
            </w:pPr>
          </w:p>
        </w:tc>
        <w:tc>
          <w:tcPr>
            <w:tcW w:w="1303" w:type="dxa"/>
            <w:vMerge w:val="restart"/>
            <w:tcBorders>
              <w:top w:val="single" w:sz="5" w:space="0" w:color="000000"/>
              <w:left w:val="single" w:sz="6" w:space="0" w:color="000000"/>
              <w:bottom w:val="single" w:sz="4" w:space="0" w:color="000000"/>
              <w:right w:val="single" w:sz="4" w:space="0" w:color="000000"/>
            </w:tcBorders>
            <w:vAlign w:val="center"/>
          </w:tcPr>
          <w:p w:rsidR="009715A4" w:rsidRPr="009715A4" w:rsidRDefault="009715A4" w:rsidP="009715A4">
            <w:pPr>
              <w:jc w:val="center"/>
              <w:rPr>
                <w:rFonts w:cs="Arial"/>
                <w:sz w:val="18"/>
                <w:szCs w:val="18"/>
              </w:rPr>
            </w:pPr>
            <w:r w:rsidRPr="009715A4">
              <w:rPr>
                <w:rFonts w:eastAsia="Calibri" w:cs="Arial"/>
                <w:sz w:val="18"/>
                <w:szCs w:val="18"/>
              </w:rPr>
              <w:t>Bewilligungs-/ Kaltmiete</w:t>
            </w:r>
          </w:p>
        </w:tc>
        <w:tc>
          <w:tcPr>
            <w:tcW w:w="1174" w:type="dxa"/>
            <w:vMerge w:val="restart"/>
            <w:tcBorders>
              <w:top w:val="single" w:sz="5" w:space="0" w:color="000000"/>
              <w:left w:val="single" w:sz="4" w:space="0" w:color="000000"/>
              <w:bottom w:val="single" w:sz="4" w:space="0" w:color="000000"/>
              <w:right w:val="single" w:sz="5" w:space="0" w:color="000000"/>
            </w:tcBorders>
            <w:vAlign w:val="center"/>
          </w:tcPr>
          <w:p w:rsidR="009715A4" w:rsidRPr="009715A4" w:rsidRDefault="009715A4" w:rsidP="009715A4">
            <w:pPr>
              <w:jc w:val="center"/>
              <w:rPr>
                <w:rFonts w:cs="Arial"/>
                <w:sz w:val="18"/>
                <w:szCs w:val="18"/>
              </w:rPr>
            </w:pPr>
            <w:r w:rsidRPr="009715A4">
              <w:rPr>
                <w:rFonts w:eastAsia="Calibri" w:cs="Arial"/>
                <w:sz w:val="18"/>
                <w:szCs w:val="18"/>
              </w:rPr>
              <w:t>Miete</w:t>
            </w:r>
            <w:r>
              <w:rPr>
                <w:rFonts w:eastAsia="Calibri" w:cs="Arial"/>
                <w:sz w:val="18"/>
                <w:szCs w:val="18"/>
              </w:rPr>
              <w:t xml:space="preserve"> </w:t>
            </w:r>
            <w:r>
              <w:rPr>
                <w:rFonts w:eastAsia="Calibri" w:cs="Arial"/>
                <w:sz w:val="18"/>
                <w:szCs w:val="18"/>
              </w:rPr>
              <w:br/>
            </w:r>
            <w:r w:rsidRPr="009715A4">
              <w:rPr>
                <w:rFonts w:eastAsia="Calibri" w:cs="Arial"/>
                <w:sz w:val="18"/>
                <w:szCs w:val="18"/>
              </w:rPr>
              <w:t>freifinanziert</w:t>
            </w:r>
          </w:p>
        </w:tc>
      </w:tr>
      <w:tr w:rsidR="009715A4" w:rsidRPr="009715A4" w:rsidTr="009715A4">
        <w:trPr>
          <w:trHeight w:val="799"/>
          <w:jc w:val="center"/>
        </w:trPr>
        <w:tc>
          <w:tcPr>
            <w:tcW w:w="0" w:type="auto"/>
            <w:vMerge/>
            <w:tcBorders>
              <w:top w:val="nil"/>
              <w:left w:val="single" w:sz="5" w:space="0" w:color="000000"/>
              <w:bottom w:val="single" w:sz="4" w:space="0" w:color="000000"/>
              <w:right w:val="single" w:sz="5" w:space="0" w:color="000000"/>
            </w:tcBorders>
            <w:vAlign w:val="center"/>
          </w:tcPr>
          <w:p w:rsidR="009715A4" w:rsidRPr="009715A4" w:rsidRDefault="009715A4" w:rsidP="009715A4">
            <w:pPr>
              <w:jc w:val="center"/>
              <w:rPr>
                <w:rFonts w:cs="Arial"/>
                <w:sz w:val="18"/>
                <w:szCs w:val="18"/>
              </w:rPr>
            </w:pPr>
          </w:p>
        </w:tc>
        <w:tc>
          <w:tcPr>
            <w:tcW w:w="0" w:type="auto"/>
            <w:vMerge/>
            <w:tcBorders>
              <w:top w:val="nil"/>
              <w:left w:val="single" w:sz="5" w:space="0" w:color="000000"/>
              <w:bottom w:val="single" w:sz="4" w:space="0" w:color="000000"/>
              <w:right w:val="single" w:sz="5" w:space="0" w:color="000000"/>
            </w:tcBorders>
            <w:vAlign w:val="center"/>
          </w:tcPr>
          <w:p w:rsidR="009715A4" w:rsidRPr="009715A4" w:rsidRDefault="009715A4" w:rsidP="009715A4">
            <w:pPr>
              <w:jc w:val="center"/>
              <w:rPr>
                <w:rFonts w:cs="Arial"/>
                <w:sz w:val="18"/>
                <w:szCs w:val="18"/>
              </w:rPr>
            </w:pPr>
          </w:p>
        </w:tc>
        <w:tc>
          <w:tcPr>
            <w:tcW w:w="991" w:type="dxa"/>
            <w:tcBorders>
              <w:top w:val="single" w:sz="5" w:space="0" w:color="000000"/>
              <w:left w:val="single" w:sz="5" w:space="0" w:color="000000"/>
              <w:bottom w:val="single" w:sz="4" w:space="0" w:color="000000"/>
              <w:right w:val="single" w:sz="4" w:space="0" w:color="000000"/>
            </w:tcBorders>
            <w:vAlign w:val="center"/>
          </w:tcPr>
          <w:p w:rsidR="009715A4" w:rsidRPr="009715A4" w:rsidRDefault="009715A4" w:rsidP="009715A4">
            <w:pPr>
              <w:jc w:val="center"/>
              <w:rPr>
                <w:rFonts w:cs="Arial"/>
                <w:sz w:val="18"/>
                <w:szCs w:val="18"/>
              </w:rPr>
            </w:pPr>
            <w:r w:rsidRPr="009715A4">
              <w:rPr>
                <w:rFonts w:eastAsia="Calibri" w:cs="Arial"/>
                <w:sz w:val="18"/>
                <w:szCs w:val="18"/>
              </w:rPr>
              <w:t>Anzahl gesamt</w:t>
            </w:r>
          </w:p>
        </w:tc>
        <w:tc>
          <w:tcPr>
            <w:tcW w:w="727" w:type="dxa"/>
            <w:tcBorders>
              <w:top w:val="single" w:sz="5" w:space="0" w:color="000000"/>
              <w:left w:val="single" w:sz="4" w:space="0" w:color="000000"/>
              <w:bottom w:val="single" w:sz="4" w:space="0" w:color="000000"/>
              <w:right w:val="single" w:sz="6" w:space="0" w:color="000000"/>
            </w:tcBorders>
            <w:vAlign w:val="center"/>
          </w:tcPr>
          <w:p w:rsidR="009715A4" w:rsidRPr="009715A4" w:rsidRDefault="009715A4" w:rsidP="009715A4">
            <w:pPr>
              <w:jc w:val="center"/>
              <w:rPr>
                <w:rFonts w:cs="Arial"/>
                <w:sz w:val="18"/>
                <w:szCs w:val="18"/>
              </w:rPr>
            </w:pPr>
            <w:r w:rsidRPr="009715A4">
              <w:rPr>
                <w:rFonts w:eastAsia="Calibri" w:cs="Arial"/>
                <w:sz w:val="18"/>
                <w:szCs w:val="18"/>
              </w:rPr>
              <w:t>davon</w:t>
            </w:r>
          </w:p>
          <w:p w:rsidR="009715A4" w:rsidRPr="009715A4" w:rsidRDefault="009715A4" w:rsidP="009715A4">
            <w:pPr>
              <w:jc w:val="center"/>
              <w:rPr>
                <w:rFonts w:cs="Arial"/>
                <w:sz w:val="18"/>
                <w:szCs w:val="18"/>
              </w:rPr>
            </w:pPr>
            <w:r w:rsidRPr="009715A4">
              <w:rPr>
                <w:rFonts w:eastAsia="Calibri" w:cs="Arial"/>
                <w:sz w:val="18"/>
                <w:szCs w:val="18"/>
              </w:rPr>
              <w:t>EOF</w:t>
            </w:r>
          </w:p>
        </w:tc>
        <w:tc>
          <w:tcPr>
            <w:tcW w:w="725" w:type="dxa"/>
            <w:tcBorders>
              <w:top w:val="single" w:sz="5" w:space="0" w:color="000000"/>
              <w:left w:val="single" w:sz="6" w:space="0" w:color="000000"/>
              <w:bottom w:val="single" w:sz="4" w:space="0" w:color="000000"/>
              <w:right w:val="single" w:sz="5" w:space="0" w:color="000000"/>
            </w:tcBorders>
            <w:vAlign w:val="center"/>
          </w:tcPr>
          <w:p w:rsidR="009715A4" w:rsidRPr="009715A4" w:rsidRDefault="009715A4" w:rsidP="009715A4">
            <w:pPr>
              <w:jc w:val="center"/>
              <w:rPr>
                <w:rFonts w:cs="Arial"/>
                <w:sz w:val="18"/>
                <w:szCs w:val="18"/>
              </w:rPr>
            </w:pPr>
            <w:r w:rsidRPr="009715A4">
              <w:rPr>
                <w:rFonts w:eastAsia="Calibri" w:cs="Arial"/>
                <w:sz w:val="18"/>
                <w:szCs w:val="18"/>
              </w:rPr>
              <w:t>davon</w:t>
            </w:r>
          </w:p>
          <w:p w:rsidR="009715A4" w:rsidRPr="009715A4" w:rsidRDefault="009715A4" w:rsidP="009715A4">
            <w:pPr>
              <w:jc w:val="center"/>
              <w:rPr>
                <w:rFonts w:cs="Arial"/>
                <w:sz w:val="18"/>
                <w:szCs w:val="18"/>
              </w:rPr>
            </w:pPr>
            <w:r w:rsidRPr="009715A4">
              <w:rPr>
                <w:rFonts w:eastAsia="Calibri" w:cs="Arial"/>
                <w:sz w:val="18"/>
                <w:szCs w:val="18"/>
              </w:rPr>
              <w:t>Stufe 1</w:t>
            </w:r>
          </w:p>
        </w:tc>
        <w:tc>
          <w:tcPr>
            <w:tcW w:w="716" w:type="dxa"/>
            <w:tcBorders>
              <w:top w:val="single" w:sz="5" w:space="0" w:color="000000"/>
              <w:left w:val="single" w:sz="5" w:space="0" w:color="000000"/>
              <w:bottom w:val="single" w:sz="4" w:space="0" w:color="000000"/>
              <w:right w:val="single" w:sz="5" w:space="0" w:color="000000"/>
            </w:tcBorders>
            <w:vAlign w:val="center"/>
          </w:tcPr>
          <w:p w:rsidR="009715A4" w:rsidRPr="009715A4" w:rsidRDefault="009715A4" w:rsidP="009715A4">
            <w:pPr>
              <w:jc w:val="center"/>
              <w:rPr>
                <w:rFonts w:cs="Arial"/>
                <w:sz w:val="18"/>
                <w:szCs w:val="18"/>
              </w:rPr>
            </w:pPr>
            <w:r w:rsidRPr="009715A4">
              <w:rPr>
                <w:rFonts w:eastAsia="Calibri" w:cs="Arial"/>
                <w:sz w:val="18"/>
                <w:szCs w:val="18"/>
              </w:rPr>
              <w:t>davon</w:t>
            </w:r>
          </w:p>
          <w:p w:rsidR="009715A4" w:rsidRPr="009715A4" w:rsidRDefault="009715A4" w:rsidP="009715A4">
            <w:pPr>
              <w:jc w:val="center"/>
              <w:rPr>
                <w:rFonts w:cs="Arial"/>
                <w:sz w:val="18"/>
                <w:szCs w:val="18"/>
              </w:rPr>
            </w:pPr>
            <w:r w:rsidRPr="009715A4">
              <w:rPr>
                <w:rFonts w:eastAsia="Calibri" w:cs="Arial"/>
                <w:sz w:val="18"/>
                <w:szCs w:val="18"/>
              </w:rPr>
              <w:t>Stufe 2</w:t>
            </w:r>
          </w:p>
        </w:tc>
        <w:tc>
          <w:tcPr>
            <w:tcW w:w="716" w:type="dxa"/>
            <w:tcBorders>
              <w:top w:val="single" w:sz="5" w:space="0" w:color="000000"/>
              <w:left w:val="single" w:sz="5" w:space="0" w:color="000000"/>
              <w:bottom w:val="single" w:sz="4" w:space="0" w:color="000000"/>
              <w:right w:val="single" w:sz="5" w:space="0" w:color="000000"/>
            </w:tcBorders>
            <w:vAlign w:val="center"/>
          </w:tcPr>
          <w:p w:rsidR="009715A4" w:rsidRPr="009715A4" w:rsidRDefault="009715A4" w:rsidP="009715A4">
            <w:pPr>
              <w:jc w:val="center"/>
              <w:rPr>
                <w:rFonts w:cs="Arial"/>
                <w:sz w:val="18"/>
                <w:szCs w:val="18"/>
              </w:rPr>
            </w:pPr>
            <w:r w:rsidRPr="009715A4">
              <w:rPr>
                <w:rFonts w:eastAsia="Calibri" w:cs="Arial"/>
                <w:sz w:val="18"/>
                <w:szCs w:val="18"/>
              </w:rPr>
              <w:t>davon</w:t>
            </w:r>
          </w:p>
          <w:p w:rsidR="009715A4" w:rsidRPr="009715A4" w:rsidRDefault="009715A4" w:rsidP="009715A4">
            <w:pPr>
              <w:jc w:val="center"/>
              <w:rPr>
                <w:rFonts w:cs="Arial"/>
                <w:sz w:val="18"/>
                <w:szCs w:val="18"/>
              </w:rPr>
            </w:pPr>
            <w:r w:rsidRPr="009715A4">
              <w:rPr>
                <w:rFonts w:eastAsia="Calibri" w:cs="Arial"/>
                <w:sz w:val="18"/>
                <w:szCs w:val="18"/>
              </w:rPr>
              <w:t>Stufe 3</w:t>
            </w:r>
          </w:p>
        </w:tc>
        <w:tc>
          <w:tcPr>
            <w:tcW w:w="1003" w:type="dxa"/>
            <w:tcBorders>
              <w:top w:val="single" w:sz="5" w:space="0" w:color="000000"/>
              <w:left w:val="single" w:sz="5" w:space="0" w:color="000000"/>
              <w:bottom w:val="single" w:sz="4" w:space="0" w:color="000000"/>
              <w:right w:val="single" w:sz="6" w:space="0" w:color="000000"/>
            </w:tcBorders>
            <w:vAlign w:val="center"/>
          </w:tcPr>
          <w:p w:rsidR="009715A4" w:rsidRPr="009715A4" w:rsidRDefault="009715A4" w:rsidP="009715A4">
            <w:pPr>
              <w:jc w:val="center"/>
              <w:rPr>
                <w:rFonts w:cs="Arial"/>
                <w:sz w:val="18"/>
                <w:szCs w:val="18"/>
              </w:rPr>
            </w:pPr>
            <w:r w:rsidRPr="009715A4">
              <w:rPr>
                <w:rFonts w:eastAsia="Calibri" w:cs="Arial"/>
                <w:sz w:val="18"/>
                <w:szCs w:val="18"/>
              </w:rPr>
              <w:t>davon frei-</w:t>
            </w:r>
          </w:p>
          <w:p w:rsidR="009715A4" w:rsidRPr="009715A4" w:rsidRDefault="009715A4" w:rsidP="009715A4">
            <w:pPr>
              <w:jc w:val="center"/>
              <w:rPr>
                <w:rFonts w:cs="Arial"/>
                <w:sz w:val="18"/>
                <w:szCs w:val="18"/>
              </w:rPr>
            </w:pPr>
            <w:r w:rsidRPr="009715A4">
              <w:rPr>
                <w:rFonts w:eastAsia="Calibri" w:cs="Arial"/>
                <w:sz w:val="18"/>
                <w:szCs w:val="18"/>
              </w:rPr>
              <w:t>finanziert</w:t>
            </w:r>
          </w:p>
        </w:tc>
        <w:tc>
          <w:tcPr>
            <w:tcW w:w="0" w:type="auto"/>
            <w:vMerge/>
            <w:tcBorders>
              <w:top w:val="nil"/>
              <w:left w:val="single" w:sz="6" w:space="0" w:color="000000"/>
              <w:bottom w:val="single" w:sz="4" w:space="0" w:color="000000"/>
              <w:right w:val="single" w:sz="4" w:space="0" w:color="000000"/>
            </w:tcBorders>
          </w:tcPr>
          <w:p w:rsidR="009715A4" w:rsidRPr="009715A4" w:rsidRDefault="009715A4" w:rsidP="009715A4">
            <w:pPr>
              <w:rPr>
                <w:rFonts w:cs="Arial"/>
                <w:sz w:val="18"/>
                <w:szCs w:val="18"/>
              </w:rPr>
            </w:pPr>
          </w:p>
        </w:tc>
        <w:tc>
          <w:tcPr>
            <w:tcW w:w="0" w:type="auto"/>
            <w:vMerge/>
            <w:tcBorders>
              <w:top w:val="nil"/>
              <w:left w:val="single" w:sz="4" w:space="0" w:color="000000"/>
              <w:bottom w:val="single" w:sz="4" w:space="0" w:color="000000"/>
              <w:right w:val="single" w:sz="5" w:space="0" w:color="000000"/>
            </w:tcBorders>
          </w:tcPr>
          <w:p w:rsidR="009715A4" w:rsidRPr="009715A4" w:rsidRDefault="009715A4" w:rsidP="009715A4">
            <w:pPr>
              <w:rPr>
                <w:rFonts w:cs="Arial"/>
                <w:sz w:val="18"/>
                <w:szCs w:val="18"/>
              </w:rPr>
            </w:pPr>
          </w:p>
        </w:tc>
      </w:tr>
      <w:tr w:rsidR="009715A4" w:rsidRPr="009715A4" w:rsidTr="009715A4">
        <w:trPr>
          <w:trHeight w:val="1129"/>
          <w:jc w:val="center"/>
        </w:trPr>
        <w:tc>
          <w:tcPr>
            <w:tcW w:w="1195" w:type="dxa"/>
            <w:tcBorders>
              <w:top w:val="single" w:sz="4" w:space="0" w:color="000000"/>
              <w:left w:val="single" w:sz="5" w:space="0" w:color="000000"/>
              <w:bottom w:val="single" w:sz="5" w:space="0" w:color="000000"/>
              <w:right w:val="single" w:sz="5" w:space="0" w:color="000000"/>
            </w:tcBorders>
            <w:vAlign w:val="center"/>
          </w:tcPr>
          <w:p w:rsidR="009715A4" w:rsidRPr="009715A4" w:rsidRDefault="009715A4" w:rsidP="009715A4">
            <w:pPr>
              <w:jc w:val="center"/>
              <w:rPr>
                <w:rFonts w:cs="Arial"/>
                <w:sz w:val="18"/>
                <w:szCs w:val="18"/>
              </w:rPr>
            </w:pPr>
            <w:r w:rsidRPr="009715A4">
              <w:rPr>
                <w:rFonts w:eastAsia="Calibri" w:cs="Arial"/>
                <w:sz w:val="18"/>
                <w:szCs w:val="18"/>
              </w:rPr>
              <w:t>249</w:t>
            </w:r>
          </w:p>
        </w:tc>
        <w:tc>
          <w:tcPr>
            <w:tcW w:w="1229" w:type="dxa"/>
            <w:tcBorders>
              <w:top w:val="single" w:sz="4" w:space="0" w:color="000000"/>
              <w:left w:val="single" w:sz="5" w:space="0" w:color="000000"/>
              <w:bottom w:val="single" w:sz="5" w:space="0" w:color="000000"/>
              <w:right w:val="single" w:sz="5" w:space="0" w:color="000000"/>
            </w:tcBorders>
          </w:tcPr>
          <w:p w:rsidR="009715A4" w:rsidRPr="009715A4" w:rsidRDefault="009715A4" w:rsidP="009715A4">
            <w:pPr>
              <w:rPr>
                <w:rFonts w:cs="Arial"/>
                <w:sz w:val="18"/>
                <w:szCs w:val="18"/>
              </w:rPr>
            </w:pPr>
            <w:r w:rsidRPr="009715A4">
              <w:rPr>
                <w:rFonts w:eastAsia="Calibri" w:cs="Arial"/>
                <w:sz w:val="18"/>
                <w:szCs w:val="18"/>
              </w:rPr>
              <w:t>1-Zi.-Whg.</w:t>
            </w:r>
          </w:p>
          <w:p w:rsidR="009715A4" w:rsidRPr="009715A4" w:rsidRDefault="009715A4" w:rsidP="009715A4">
            <w:pPr>
              <w:rPr>
                <w:rFonts w:cs="Arial"/>
                <w:sz w:val="18"/>
                <w:szCs w:val="18"/>
              </w:rPr>
            </w:pPr>
            <w:r w:rsidRPr="009715A4">
              <w:rPr>
                <w:rFonts w:eastAsia="Calibri" w:cs="Arial"/>
                <w:sz w:val="18"/>
                <w:szCs w:val="18"/>
              </w:rPr>
              <w:t>2-Zi.-Whg.</w:t>
            </w:r>
          </w:p>
          <w:p w:rsidR="009715A4" w:rsidRPr="009715A4" w:rsidRDefault="009715A4" w:rsidP="009715A4">
            <w:pPr>
              <w:rPr>
                <w:rFonts w:cs="Arial"/>
                <w:sz w:val="18"/>
                <w:szCs w:val="18"/>
              </w:rPr>
            </w:pPr>
            <w:r w:rsidRPr="009715A4">
              <w:rPr>
                <w:rFonts w:eastAsia="Calibri" w:cs="Arial"/>
                <w:sz w:val="18"/>
                <w:szCs w:val="18"/>
              </w:rPr>
              <w:t>3-Zi.-Whg.</w:t>
            </w:r>
          </w:p>
          <w:p w:rsidR="009715A4" w:rsidRPr="009715A4" w:rsidRDefault="009715A4" w:rsidP="009715A4">
            <w:pPr>
              <w:rPr>
                <w:rFonts w:cs="Arial"/>
                <w:sz w:val="18"/>
                <w:szCs w:val="18"/>
              </w:rPr>
            </w:pPr>
            <w:r w:rsidRPr="009715A4">
              <w:rPr>
                <w:rFonts w:eastAsia="Calibri" w:cs="Arial"/>
                <w:sz w:val="18"/>
                <w:szCs w:val="18"/>
              </w:rPr>
              <w:t>4-Zi.-Whg.</w:t>
            </w:r>
          </w:p>
          <w:p w:rsidR="009715A4" w:rsidRPr="009715A4" w:rsidRDefault="009715A4" w:rsidP="009715A4">
            <w:pPr>
              <w:rPr>
                <w:rFonts w:cs="Arial"/>
                <w:sz w:val="18"/>
                <w:szCs w:val="18"/>
              </w:rPr>
            </w:pPr>
            <w:r w:rsidRPr="009715A4">
              <w:rPr>
                <w:rFonts w:eastAsia="Calibri" w:cs="Arial"/>
                <w:sz w:val="18"/>
                <w:szCs w:val="18"/>
              </w:rPr>
              <w:t>5-Zi.-Whg.</w:t>
            </w:r>
          </w:p>
        </w:tc>
        <w:tc>
          <w:tcPr>
            <w:tcW w:w="991" w:type="dxa"/>
            <w:tcBorders>
              <w:top w:val="single" w:sz="4" w:space="0" w:color="000000"/>
              <w:left w:val="single" w:sz="5" w:space="0" w:color="000000"/>
              <w:bottom w:val="single" w:sz="5" w:space="0" w:color="000000"/>
              <w:right w:val="single" w:sz="4" w:space="0" w:color="000000"/>
            </w:tcBorders>
          </w:tcPr>
          <w:p w:rsidR="009715A4" w:rsidRPr="009715A4" w:rsidRDefault="009715A4" w:rsidP="009715A4">
            <w:pPr>
              <w:jc w:val="center"/>
              <w:rPr>
                <w:rFonts w:cs="Arial"/>
                <w:sz w:val="18"/>
                <w:szCs w:val="18"/>
              </w:rPr>
            </w:pPr>
            <w:r w:rsidRPr="009715A4">
              <w:rPr>
                <w:rFonts w:eastAsia="Calibri" w:cs="Arial"/>
                <w:sz w:val="18"/>
                <w:szCs w:val="18"/>
              </w:rPr>
              <w:t>5</w:t>
            </w:r>
          </w:p>
          <w:p w:rsidR="009715A4" w:rsidRPr="009715A4" w:rsidRDefault="009715A4" w:rsidP="009715A4">
            <w:pPr>
              <w:jc w:val="center"/>
              <w:rPr>
                <w:rFonts w:cs="Arial"/>
                <w:sz w:val="18"/>
                <w:szCs w:val="18"/>
              </w:rPr>
            </w:pPr>
            <w:r w:rsidRPr="009715A4">
              <w:rPr>
                <w:rFonts w:eastAsia="Calibri" w:cs="Arial"/>
                <w:sz w:val="18"/>
                <w:szCs w:val="18"/>
              </w:rPr>
              <w:t>101</w:t>
            </w:r>
          </w:p>
          <w:p w:rsidR="009715A4" w:rsidRPr="009715A4" w:rsidRDefault="009715A4" w:rsidP="009715A4">
            <w:pPr>
              <w:jc w:val="center"/>
              <w:rPr>
                <w:rFonts w:cs="Arial"/>
                <w:sz w:val="18"/>
                <w:szCs w:val="18"/>
              </w:rPr>
            </w:pPr>
            <w:r w:rsidRPr="009715A4">
              <w:rPr>
                <w:rFonts w:eastAsia="Calibri" w:cs="Arial"/>
                <w:sz w:val="18"/>
                <w:szCs w:val="18"/>
              </w:rPr>
              <w:t>28</w:t>
            </w:r>
          </w:p>
          <w:p w:rsidR="009715A4" w:rsidRPr="009715A4" w:rsidRDefault="009715A4" w:rsidP="009715A4">
            <w:pPr>
              <w:jc w:val="center"/>
              <w:rPr>
                <w:rFonts w:cs="Arial"/>
                <w:sz w:val="18"/>
                <w:szCs w:val="18"/>
              </w:rPr>
            </w:pPr>
            <w:r w:rsidRPr="009715A4">
              <w:rPr>
                <w:rFonts w:eastAsia="Calibri" w:cs="Arial"/>
                <w:sz w:val="18"/>
                <w:szCs w:val="18"/>
              </w:rPr>
              <w:t>88</w:t>
            </w:r>
          </w:p>
          <w:p w:rsidR="009715A4" w:rsidRPr="009715A4" w:rsidRDefault="009715A4" w:rsidP="009715A4">
            <w:pPr>
              <w:jc w:val="center"/>
              <w:rPr>
                <w:rFonts w:cs="Arial"/>
                <w:sz w:val="18"/>
                <w:szCs w:val="18"/>
              </w:rPr>
            </w:pPr>
            <w:r w:rsidRPr="009715A4">
              <w:rPr>
                <w:rFonts w:eastAsia="Calibri" w:cs="Arial"/>
                <w:sz w:val="18"/>
                <w:szCs w:val="18"/>
              </w:rPr>
              <w:t>27</w:t>
            </w:r>
          </w:p>
        </w:tc>
        <w:tc>
          <w:tcPr>
            <w:tcW w:w="727" w:type="dxa"/>
            <w:tcBorders>
              <w:top w:val="single" w:sz="4" w:space="0" w:color="000000"/>
              <w:left w:val="single" w:sz="4" w:space="0" w:color="000000"/>
              <w:bottom w:val="single" w:sz="5" w:space="0" w:color="000000"/>
              <w:right w:val="single" w:sz="6" w:space="0" w:color="000000"/>
            </w:tcBorders>
          </w:tcPr>
          <w:p w:rsidR="009715A4" w:rsidRPr="009715A4" w:rsidRDefault="009715A4" w:rsidP="009715A4">
            <w:pPr>
              <w:jc w:val="center"/>
              <w:rPr>
                <w:rFonts w:cs="Arial"/>
                <w:sz w:val="18"/>
                <w:szCs w:val="18"/>
              </w:rPr>
            </w:pPr>
            <w:r w:rsidRPr="009715A4">
              <w:rPr>
                <w:rFonts w:eastAsia="Calibri" w:cs="Arial"/>
                <w:sz w:val="18"/>
                <w:szCs w:val="18"/>
              </w:rPr>
              <w:t>5</w:t>
            </w:r>
          </w:p>
          <w:p w:rsidR="009715A4" w:rsidRPr="009715A4" w:rsidRDefault="009715A4" w:rsidP="009715A4">
            <w:pPr>
              <w:jc w:val="center"/>
              <w:rPr>
                <w:rFonts w:cs="Arial"/>
                <w:sz w:val="18"/>
                <w:szCs w:val="18"/>
              </w:rPr>
            </w:pPr>
            <w:r w:rsidRPr="009715A4">
              <w:rPr>
                <w:rFonts w:eastAsia="Calibri" w:cs="Arial"/>
                <w:sz w:val="18"/>
                <w:szCs w:val="18"/>
              </w:rPr>
              <w:t>101</w:t>
            </w:r>
          </w:p>
          <w:p w:rsidR="009715A4" w:rsidRPr="009715A4" w:rsidRDefault="009715A4" w:rsidP="009715A4">
            <w:pPr>
              <w:jc w:val="center"/>
              <w:rPr>
                <w:rFonts w:cs="Arial"/>
                <w:sz w:val="18"/>
                <w:szCs w:val="18"/>
              </w:rPr>
            </w:pPr>
            <w:r w:rsidRPr="009715A4">
              <w:rPr>
                <w:rFonts w:eastAsia="Calibri" w:cs="Arial"/>
                <w:sz w:val="18"/>
                <w:szCs w:val="18"/>
              </w:rPr>
              <w:t>28</w:t>
            </w:r>
          </w:p>
          <w:p w:rsidR="009715A4" w:rsidRPr="009715A4" w:rsidRDefault="009715A4" w:rsidP="009715A4">
            <w:pPr>
              <w:jc w:val="center"/>
              <w:rPr>
                <w:rFonts w:cs="Arial"/>
                <w:sz w:val="18"/>
                <w:szCs w:val="18"/>
              </w:rPr>
            </w:pPr>
            <w:r w:rsidRPr="009715A4">
              <w:rPr>
                <w:rFonts w:eastAsia="Calibri" w:cs="Arial"/>
                <w:sz w:val="18"/>
                <w:szCs w:val="18"/>
              </w:rPr>
              <w:t>88</w:t>
            </w:r>
          </w:p>
          <w:p w:rsidR="009715A4" w:rsidRPr="009715A4" w:rsidRDefault="009715A4" w:rsidP="009715A4">
            <w:pPr>
              <w:jc w:val="center"/>
              <w:rPr>
                <w:rFonts w:cs="Arial"/>
                <w:sz w:val="18"/>
                <w:szCs w:val="18"/>
              </w:rPr>
            </w:pPr>
            <w:r w:rsidRPr="009715A4">
              <w:rPr>
                <w:rFonts w:eastAsia="Calibri" w:cs="Arial"/>
                <w:sz w:val="18"/>
                <w:szCs w:val="18"/>
              </w:rPr>
              <w:t>27</w:t>
            </w:r>
          </w:p>
        </w:tc>
        <w:tc>
          <w:tcPr>
            <w:tcW w:w="725" w:type="dxa"/>
            <w:tcBorders>
              <w:top w:val="single" w:sz="4" w:space="0" w:color="000000"/>
              <w:left w:val="single" w:sz="6" w:space="0" w:color="000000"/>
              <w:bottom w:val="single" w:sz="5" w:space="0" w:color="000000"/>
              <w:right w:val="single" w:sz="5" w:space="0" w:color="000000"/>
            </w:tcBorders>
          </w:tcPr>
          <w:p w:rsidR="009715A4" w:rsidRPr="009715A4" w:rsidRDefault="009715A4" w:rsidP="009715A4">
            <w:pPr>
              <w:jc w:val="center"/>
              <w:rPr>
                <w:rFonts w:cs="Arial"/>
                <w:sz w:val="18"/>
                <w:szCs w:val="18"/>
              </w:rPr>
            </w:pPr>
            <w:r w:rsidRPr="009715A4">
              <w:rPr>
                <w:rFonts w:eastAsia="Calibri" w:cs="Arial"/>
                <w:sz w:val="18"/>
                <w:szCs w:val="18"/>
              </w:rPr>
              <w:t>0</w:t>
            </w:r>
          </w:p>
          <w:p w:rsidR="009715A4" w:rsidRPr="009715A4" w:rsidRDefault="009715A4" w:rsidP="009715A4">
            <w:pPr>
              <w:jc w:val="center"/>
              <w:rPr>
                <w:rFonts w:cs="Arial"/>
                <w:sz w:val="18"/>
                <w:szCs w:val="18"/>
              </w:rPr>
            </w:pPr>
            <w:r w:rsidRPr="009715A4">
              <w:rPr>
                <w:rFonts w:eastAsia="Calibri" w:cs="Arial"/>
                <w:sz w:val="18"/>
                <w:szCs w:val="18"/>
              </w:rPr>
              <w:t>87</w:t>
            </w:r>
          </w:p>
          <w:p w:rsidR="009715A4" w:rsidRPr="009715A4" w:rsidRDefault="009715A4" w:rsidP="009715A4">
            <w:pPr>
              <w:jc w:val="center"/>
              <w:rPr>
                <w:rFonts w:cs="Arial"/>
                <w:sz w:val="18"/>
                <w:szCs w:val="18"/>
              </w:rPr>
            </w:pPr>
            <w:r w:rsidRPr="009715A4">
              <w:rPr>
                <w:rFonts w:eastAsia="Calibri" w:cs="Arial"/>
                <w:sz w:val="18"/>
                <w:szCs w:val="18"/>
              </w:rPr>
              <w:t>22</w:t>
            </w:r>
          </w:p>
          <w:p w:rsidR="009715A4" w:rsidRPr="009715A4" w:rsidRDefault="009715A4" w:rsidP="009715A4">
            <w:pPr>
              <w:jc w:val="center"/>
              <w:rPr>
                <w:rFonts w:cs="Arial"/>
                <w:sz w:val="18"/>
                <w:szCs w:val="18"/>
              </w:rPr>
            </w:pPr>
            <w:r w:rsidRPr="009715A4">
              <w:rPr>
                <w:rFonts w:eastAsia="Calibri" w:cs="Arial"/>
                <w:sz w:val="18"/>
                <w:szCs w:val="18"/>
              </w:rPr>
              <w:t>88</w:t>
            </w:r>
          </w:p>
          <w:p w:rsidR="009715A4" w:rsidRPr="009715A4" w:rsidRDefault="009715A4" w:rsidP="009715A4">
            <w:pPr>
              <w:jc w:val="center"/>
              <w:rPr>
                <w:rFonts w:cs="Arial"/>
                <w:sz w:val="18"/>
                <w:szCs w:val="18"/>
              </w:rPr>
            </w:pPr>
            <w:r w:rsidRPr="009715A4">
              <w:rPr>
                <w:rFonts w:eastAsia="Calibri" w:cs="Arial"/>
                <w:sz w:val="18"/>
                <w:szCs w:val="18"/>
              </w:rPr>
              <w:t>27</w:t>
            </w:r>
          </w:p>
        </w:tc>
        <w:tc>
          <w:tcPr>
            <w:tcW w:w="716" w:type="dxa"/>
            <w:tcBorders>
              <w:top w:val="single" w:sz="4" w:space="0" w:color="000000"/>
              <w:left w:val="single" w:sz="5" w:space="0" w:color="000000"/>
              <w:bottom w:val="single" w:sz="5" w:space="0" w:color="000000"/>
              <w:right w:val="single" w:sz="5" w:space="0" w:color="000000"/>
            </w:tcBorders>
          </w:tcPr>
          <w:p w:rsidR="009715A4" w:rsidRPr="009715A4" w:rsidRDefault="009715A4" w:rsidP="009715A4">
            <w:pPr>
              <w:jc w:val="center"/>
              <w:rPr>
                <w:rFonts w:cs="Arial"/>
                <w:sz w:val="18"/>
                <w:szCs w:val="18"/>
              </w:rPr>
            </w:pPr>
            <w:r w:rsidRPr="009715A4">
              <w:rPr>
                <w:rFonts w:eastAsia="Calibri" w:cs="Arial"/>
                <w:sz w:val="18"/>
                <w:szCs w:val="18"/>
              </w:rPr>
              <w:t>5</w:t>
            </w:r>
          </w:p>
          <w:p w:rsidR="009715A4" w:rsidRPr="009715A4" w:rsidRDefault="009715A4" w:rsidP="009715A4">
            <w:pPr>
              <w:jc w:val="center"/>
              <w:rPr>
                <w:rFonts w:cs="Arial"/>
                <w:sz w:val="18"/>
                <w:szCs w:val="18"/>
              </w:rPr>
            </w:pPr>
            <w:r w:rsidRPr="009715A4">
              <w:rPr>
                <w:rFonts w:eastAsia="Calibri" w:cs="Arial"/>
                <w:sz w:val="18"/>
                <w:szCs w:val="18"/>
              </w:rPr>
              <w:t>14</w:t>
            </w:r>
          </w:p>
          <w:p w:rsidR="009715A4" w:rsidRPr="009715A4" w:rsidRDefault="009715A4" w:rsidP="009715A4">
            <w:pPr>
              <w:jc w:val="center"/>
              <w:rPr>
                <w:rFonts w:cs="Arial"/>
                <w:sz w:val="18"/>
                <w:szCs w:val="18"/>
              </w:rPr>
            </w:pPr>
            <w:r w:rsidRPr="009715A4">
              <w:rPr>
                <w:rFonts w:eastAsia="Calibri" w:cs="Arial"/>
                <w:sz w:val="18"/>
                <w:szCs w:val="18"/>
              </w:rPr>
              <w:t>6</w:t>
            </w:r>
          </w:p>
          <w:p w:rsidR="009715A4" w:rsidRPr="009715A4" w:rsidRDefault="009715A4" w:rsidP="009715A4">
            <w:pPr>
              <w:jc w:val="center"/>
              <w:rPr>
                <w:rFonts w:cs="Arial"/>
                <w:sz w:val="18"/>
                <w:szCs w:val="18"/>
              </w:rPr>
            </w:pPr>
            <w:r w:rsidRPr="009715A4">
              <w:rPr>
                <w:rFonts w:eastAsia="Calibri" w:cs="Arial"/>
                <w:sz w:val="18"/>
                <w:szCs w:val="18"/>
              </w:rPr>
              <w:t>0</w:t>
            </w:r>
          </w:p>
          <w:p w:rsidR="009715A4" w:rsidRPr="009715A4" w:rsidRDefault="009715A4" w:rsidP="009715A4">
            <w:pPr>
              <w:jc w:val="center"/>
              <w:rPr>
                <w:rFonts w:cs="Arial"/>
                <w:sz w:val="18"/>
                <w:szCs w:val="18"/>
              </w:rPr>
            </w:pPr>
            <w:r w:rsidRPr="009715A4">
              <w:rPr>
                <w:rFonts w:eastAsia="Calibri" w:cs="Arial"/>
                <w:sz w:val="18"/>
                <w:szCs w:val="18"/>
              </w:rPr>
              <w:t>0</w:t>
            </w:r>
          </w:p>
        </w:tc>
        <w:tc>
          <w:tcPr>
            <w:tcW w:w="716" w:type="dxa"/>
            <w:tcBorders>
              <w:top w:val="single" w:sz="4" w:space="0" w:color="000000"/>
              <w:left w:val="single" w:sz="5" w:space="0" w:color="000000"/>
              <w:bottom w:val="single" w:sz="5" w:space="0" w:color="000000"/>
              <w:right w:val="single" w:sz="5" w:space="0" w:color="000000"/>
            </w:tcBorders>
          </w:tcPr>
          <w:p w:rsidR="009715A4" w:rsidRPr="009715A4" w:rsidRDefault="009715A4" w:rsidP="009715A4">
            <w:pPr>
              <w:jc w:val="center"/>
              <w:rPr>
                <w:rFonts w:cs="Arial"/>
                <w:sz w:val="18"/>
                <w:szCs w:val="18"/>
              </w:rPr>
            </w:pPr>
            <w:r w:rsidRPr="009715A4">
              <w:rPr>
                <w:rFonts w:eastAsia="Calibri" w:cs="Arial"/>
                <w:sz w:val="18"/>
                <w:szCs w:val="18"/>
              </w:rPr>
              <w:t>0</w:t>
            </w:r>
          </w:p>
          <w:p w:rsidR="009715A4" w:rsidRPr="009715A4" w:rsidRDefault="009715A4" w:rsidP="009715A4">
            <w:pPr>
              <w:jc w:val="center"/>
              <w:rPr>
                <w:rFonts w:cs="Arial"/>
                <w:sz w:val="18"/>
                <w:szCs w:val="18"/>
              </w:rPr>
            </w:pPr>
            <w:r w:rsidRPr="009715A4">
              <w:rPr>
                <w:rFonts w:eastAsia="Calibri" w:cs="Arial"/>
                <w:sz w:val="18"/>
                <w:szCs w:val="18"/>
              </w:rPr>
              <w:t>0</w:t>
            </w:r>
          </w:p>
          <w:p w:rsidR="009715A4" w:rsidRPr="009715A4" w:rsidRDefault="009715A4" w:rsidP="009715A4">
            <w:pPr>
              <w:jc w:val="center"/>
              <w:rPr>
                <w:rFonts w:cs="Arial"/>
                <w:sz w:val="18"/>
                <w:szCs w:val="18"/>
              </w:rPr>
            </w:pPr>
            <w:r w:rsidRPr="009715A4">
              <w:rPr>
                <w:rFonts w:eastAsia="Calibri" w:cs="Arial"/>
                <w:sz w:val="18"/>
                <w:szCs w:val="18"/>
              </w:rPr>
              <w:t>0</w:t>
            </w:r>
          </w:p>
          <w:p w:rsidR="009715A4" w:rsidRPr="009715A4" w:rsidRDefault="009715A4" w:rsidP="009715A4">
            <w:pPr>
              <w:jc w:val="center"/>
              <w:rPr>
                <w:rFonts w:cs="Arial"/>
                <w:sz w:val="18"/>
                <w:szCs w:val="18"/>
              </w:rPr>
            </w:pPr>
            <w:r w:rsidRPr="009715A4">
              <w:rPr>
                <w:rFonts w:eastAsia="Calibri" w:cs="Arial"/>
                <w:sz w:val="18"/>
                <w:szCs w:val="18"/>
              </w:rPr>
              <w:t>0</w:t>
            </w:r>
          </w:p>
          <w:p w:rsidR="009715A4" w:rsidRPr="009715A4" w:rsidRDefault="009715A4" w:rsidP="009715A4">
            <w:pPr>
              <w:jc w:val="center"/>
              <w:rPr>
                <w:rFonts w:cs="Arial"/>
                <w:sz w:val="18"/>
                <w:szCs w:val="18"/>
              </w:rPr>
            </w:pPr>
            <w:r w:rsidRPr="009715A4">
              <w:rPr>
                <w:rFonts w:eastAsia="Calibri" w:cs="Arial"/>
                <w:sz w:val="18"/>
                <w:szCs w:val="18"/>
              </w:rPr>
              <w:t>0</w:t>
            </w:r>
          </w:p>
        </w:tc>
        <w:tc>
          <w:tcPr>
            <w:tcW w:w="1003" w:type="dxa"/>
            <w:tcBorders>
              <w:top w:val="single" w:sz="4" w:space="0" w:color="000000"/>
              <w:left w:val="single" w:sz="5" w:space="0" w:color="000000"/>
              <w:bottom w:val="single" w:sz="5" w:space="0" w:color="000000"/>
              <w:right w:val="single" w:sz="6" w:space="0" w:color="000000"/>
            </w:tcBorders>
            <w:vAlign w:val="center"/>
          </w:tcPr>
          <w:p w:rsidR="009715A4" w:rsidRPr="009715A4" w:rsidRDefault="009715A4" w:rsidP="009715A4">
            <w:pPr>
              <w:jc w:val="center"/>
              <w:rPr>
                <w:rFonts w:cs="Arial"/>
                <w:sz w:val="18"/>
                <w:szCs w:val="18"/>
              </w:rPr>
            </w:pPr>
            <w:r w:rsidRPr="009715A4">
              <w:rPr>
                <w:rFonts w:eastAsia="Calibri" w:cs="Arial"/>
                <w:sz w:val="18"/>
                <w:szCs w:val="18"/>
              </w:rPr>
              <w:t>0</w:t>
            </w:r>
          </w:p>
        </w:tc>
        <w:tc>
          <w:tcPr>
            <w:tcW w:w="1303" w:type="dxa"/>
            <w:tcBorders>
              <w:top w:val="single" w:sz="4" w:space="0" w:color="000000"/>
              <w:left w:val="single" w:sz="6" w:space="0" w:color="000000"/>
              <w:bottom w:val="single" w:sz="5" w:space="0" w:color="000000"/>
              <w:right w:val="single" w:sz="4" w:space="0" w:color="000000"/>
            </w:tcBorders>
            <w:vAlign w:val="center"/>
          </w:tcPr>
          <w:p w:rsidR="009715A4" w:rsidRPr="009715A4" w:rsidRDefault="009715A4" w:rsidP="009715A4">
            <w:pPr>
              <w:jc w:val="center"/>
              <w:rPr>
                <w:rFonts w:cs="Arial"/>
                <w:sz w:val="18"/>
                <w:szCs w:val="18"/>
              </w:rPr>
            </w:pPr>
            <w:r w:rsidRPr="009715A4">
              <w:rPr>
                <w:rFonts w:eastAsia="Calibri" w:cs="Arial"/>
                <w:sz w:val="18"/>
                <w:szCs w:val="18"/>
              </w:rPr>
              <w:t xml:space="preserve">11,36 </w:t>
            </w:r>
            <w:r>
              <w:rPr>
                <w:rFonts w:eastAsia="Calibri" w:cs="Arial"/>
                <w:sz w:val="18"/>
                <w:szCs w:val="18"/>
              </w:rPr>
              <w:t>Euro</w:t>
            </w:r>
            <w:r w:rsidRPr="009715A4">
              <w:rPr>
                <w:rFonts w:eastAsia="Calibri" w:cs="Arial"/>
                <w:sz w:val="18"/>
                <w:szCs w:val="18"/>
              </w:rPr>
              <w:t>/m²</w:t>
            </w:r>
          </w:p>
          <w:p w:rsidR="009715A4" w:rsidRPr="009715A4" w:rsidRDefault="009715A4" w:rsidP="009715A4">
            <w:pPr>
              <w:rPr>
                <w:rFonts w:cs="Arial"/>
                <w:sz w:val="18"/>
                <w:szCs w:val="18"/>
              </w:rPr>
            </w:pPr>
            <w:r w:rsidRPr="009715A4">
              <w:rPr>
                <w:rFonts w:eastAsia="Calibri" w:cs="Arial"/>
                <w:sz w:val="18"/>
                <w:szCs w:val="18"/>
              </w:rPr>
              <w:t>Wohnfläche</w:t>
            </w:r>
          </w:p>
        </w:tc>
        <w:tc>
          <w:tcPr>
            <w:tcW w:w="1174" w:type="dxa"/>
            <w:tcBorders>
              <w:top w:val="single" w:sz="4" w:space="0" w:color="000000"/>
              <w:left w:val="single" w:sz="4" w:space="0" w:color="000000"/>
              <w:bottom w:val="single" w:sz="5" w:space="0" w:color="000000"/>
              <w:right w:val="single" w:sz="5" w:space="0" w:color="000000"/>
            </w:tcBorders>
            <w:vAlign w:val="center"/>
          </w:tcPr>
          <w:p w:rsidR="009715A4" w:rsidRPr="009715A4" w:rsidRDefault="009715A4" w:rsidP="009715A4">
            <w:pPr>
              <w:jc w:val="center"/>
              <w:rPr>
                <w:rFonts w:cs="Arial"/>
                <w:sz w:val="18"/>
                <w:szCs w:val="18"/>
              </w:rPr>
            </w:pPr>
            <w:r w:rsidRPr="009715A4">
              <w:rPr>
                <w:rFonts w:eastAsia="Calibri" w:cs="Arial"/>
                <w:sz w:val="18"/>
                <w:szCs w:val="18"/>
              </w:rPr>
              <w:t>-</w:t>
            </w:r>
          </w:p>
        </w:tc>
      </w:tr>
    </w:tbl>
    <w:p w:rsidR="009715A4" w:rsidRDefault="009715A4" w:rsidP="00DD3048">
      <w:pPr>
        <w:pStyle w:val="LTAntwortRessortText"/>
      </w:pPr>
    </w:p>
    <w:p w:rsidR="00421881" w:rsidRDefault="00F947DD" w:rsidP="00421881">
      <w:pPr>
        <w:pStyle w:val="LTAntwortRessortText"/>
        <w:tabs>
          <w:tab w:val="center" w:pos="2835"/>
        </w:tabs>
        <w:spacing w:before="120"/>
        <w:ind w:left="3175" w:hanging="2835"/>
      </w:pPr>
      <w:r>
        <w:br w:type="column"/>
      </w:r>
      <w:r w:rsidR="00421881">
        <w:lastRenderedPageBreak/>
        <w:t xml:space="preserve">Bauvorhaben in Bau </w:t>
      </w:r>
      <w:r w:rsidR="00421881">
        <w:tab/>
      </w:r>
      <w:r w:rsidR="00421881">
        <w:tab/>
        <w:t>Nürnberg, Luitpoldviertel</w:t>
      </w:r>
    </w:p>
    <w:p w:rsidR="00421881" w:rsidRDefault="00421881" w:rsidP="00421881">
      <w:pPr>
        <w:pStyle w:val="LTAntwortRessortText"/>
        <w:tabs>
          <w:tab w:val="center" w:pos="2835"/>
        </w:tabs>
        <w:spacing w:before="120"/>
        <w:ind w:left="3175" w:hanging="2835"/>
      </w:pPr>
      <w:r>
        <w:t>Standort</w:t>
      </w:r>
      <w:r>
        <w:tab/>
      </w:r>
      <w:r>
        <w:tab/>
      </w:r>
      <w:r w:rsidR="00F947DD">
        <w:t>Regensburger Straße</w:t>
      </w:r>
    </w:p>
    <w:p w:rsidR="00421881" w:rsidRDefault="00421881" w:rsidP="00421881">
      <w:pPr>
        <w:pStyle w:val="LTAntwortRessortText"/>
        <w:tabs>
          <w:tab w:val="center" w:pos="3119"/>
        </w:tabs>
        <w:spacing w:before="120"/>
        <w:ind w:left="3175" w:hanging="2835"/>
      </w:pPr>
      <w:r>
        <w:t>Baufertigstellungsjahr</w:t>
      </w:r>
      <w:r>
        <w:tab/>
      </w:r>
      <w:r>
        <w:tab/>
        <w:t xml:space="preserve">2024 </w:t>
      </w:r>
    </w:p>
    <w:p w:rsidR="00421881" w:rsidRDefault="00421881" w:rsidP="00421881">
      <w:pPr>
        <w:pStyle w:val="LTAntwortRessortText"/>
        <w:tabs>
          <w:tab w:val="center" w:pos="2977"/>
        </w:tabs>
        <w:spacing w:before="120"/>
        <w:ind w:left="3175" w:hanging="2835"/>
      </w:pPr>
      <w:r>
        <w:t>Kosten pro Quadratmeter</w:t>
      </w:r>
      <w:r>
        <w:tab/>
      </w:r>
      <w:r>
        <w:tab/>
        <w:t>Stillschweigen zwischen den Vertragsparteien vereinbart</w:t>
      </w:r>
    </w:p>
    <w:p w:rsidR="00421881" w:rsidRDefault="00421881" w:rsidP="00704D65">
      <w:pPr>
        <w:pStyle w:val="LTAntwortRessortText"/>
        <w:spacing w:before="0"/>
      </w:pPr>
    </w:p>
    <w:tbl>
      <w:tblPr>
        <w:tblStyle w:val="TableGrid"/>
        <w:tblW w:w="9763" w:type="dxa"/>
        <w:jc w:val="center"/>
        <w:tblInd w:w="0" w:type="dxa"/>
        <w:tblCellMar>
          <w:top w:w="55" w:type="dxa"/>
          <w:left w:w="41" w:type="dxa"/>
          <w:bottom w:w="6" w:type="dxa"/>
          <w:right w:w="42" w:type="dxa"/>
        </w:tblCellMar>
        <w:tblLook w:val="04A0" w:firstRow="1" w:lastRow="0" w:firstColumn="1" w:lastColumn="0" w:noHBand="0" w:noVBand="1"/>
      </w:tblPr>
      <w:tblGrid>
        <w:gridCol w:w="1191"/>
        <w:gridCol w:w="1229"/>
        <w:gridCol w:w="989"/>
        <w:gridCol w:w="725"/>
        <w:gridCol w:w="725"/>
        <w:gridCol w:w="715"/>
        <w:gridCol w:w="715"/>
        <w:gridCol w:w="998"/>
        <w:gridCol w:w="1304"/>
        <w:gridCol w:w="1172"/>
      </w:tblGrid>
      <w:tr w:rsidR="00F947DD" w:rsidRPr="00F947DD" w:rsidTr="00F947DD">
        <w:trPr>
          <w:trHeight w:val="285"/>
          <w:jc w:val="center"/>
        </w:trPr>
        <w:tc>
          <w:tcPr>
            <w:tcW w:w="1192" w:type="dxa"/>
            <w:vMerge w:val="restart"/>
            <w:tcBorders>
              <w:top w:val="single" w:sz="5" w:space="0" w:color="000000"/>
              <w:left w:val="single" w:sz="5" w:space="0" w:color="000000"/>
              <w:bottom w:val="single" w:sz="4" w:space="0" w:color="000000"/>
              <w:right w:val="single" w:sz="4" w:space="0" w:color="000000"/>
            </w:tcBorders>
            <w:vAlign w:val="center"/>
          </w:tcPr>
          <w:p w:rsidR="00F947DD" w:rsidRPr="00F947DD" w:rsidRDefault="00F947DD" w:rsidP="00F947DD">
            <w:pPr>
              <w:jc w:val="center"/>
              <w:rPr>
                <w:rFonts w:cs="Arial"/>
                <w:sz w:val="18"/>
                <w:szCs w:val="18"/>
              </w:rPr>
            </w:pPr>
            <w:r w:rsidRPr="00F947DD">
              <w:rPr>
                <w:rFonts w:eastAsia="Calibri" w:cs="Arial"/>
                <w:sz w:val="18"/>
                <w:szCs w:val="18"/>
              </w:rPr>
              <w:t>Anzahl</w:t>
            </w:r>
          </w:p>
          <w:p w:rsidR="00F947DD" w:rsidRPr="00F947DD" w:rsidRDefault="00F947DD" w:rsidP="00F947DD">
            <w:pPr>
              <w:jc w:val="center"/>
              <w:rPr>
                <w:rFonts w:cs="Arial"/>
                <w:sz w:val="18"/>
                <w:szCs w:val="18"/>
              </w:rPr>
            </w:pPr>
            <w:r w:rsidRPr="00F947DD">
              <w:rPr>
                <w:rFonts w:eastAsia="Calibri" w:cs="Arial"/>
                <w:sz w:val="18"/>
                <w:szCs w:val="18"/>
              </w:rPr>
              <w:t>Wohnungen</w:t>
            </w:r>
          </w:p>
        </w:tc>
        <w:tc>
          <w:tcPr>
            <w:tcW w:w="1229" w:type="dxa"/>
            <w:vMerge w:val="restart"/>
            <w:tcBorders>
              <w:top w:val="single" w:sz="5" w:space="0" w:color="000000"/>
              <w:left w:val="single" w:sz="4" w:space="0" w:color="000000"/>
              <w:bottom w:val="single" w:sz="4" w:space="0" w:color="000000"/>
              <w:right w:val="single" w:sz="4" w:space="0" w:color="000000"/>
            </w:tcBorders>
            <w:vAlign w:val="center"/>
          </w:tcPr>
          <w:p w:rsidR="00F947DD" w:rsidRPr="00F947DD" w:rsidRDefault="00F947DD" w:rsidP="00F947DD">
            <w:pPr>
              <w:jc w:val="center"/>
              <w:rPr>
                <w:rFonts w:cs="Arial"/>
                <w:sz w:val="18"/>
                <w:szCs w:val="18"/>
              </w:rPr>
            </w:pPr>
            <w:r w:rsidRPr="00F947DD">
              <w:rPr>
                <w:rFonts w:eastAsia="Calibri" w:cs="Arial"/>
                <w:sz w:val="18"/>
                <w:szCs w:val="18"/>
              </w:rPr>
              <w:t>Wohnungsgrößen</w:t>
            </w:r>
          </w:p>
        </w:tc>
        <w:tc>
          <w:tcPr>
            <w:tcW w:w="989" w:type="dxa"/>
            <w:tcBorders>
              <w:top w:val="single" w:sz="5" w:space="0" w:color="000000"/>
              <w:left w:val="single" w:sz="4" w:space="0" w:color="000000"/>
              <w:bottom w:val="single" w:sz="4" w:space="0" w:color="000000"/>
              <w:right w:val="single" w:sz="4" w:space="0" w:color="D4D4D4"/>
            </w:tcBorders>
            <w:vAlign w:val="center"/>
          </w:tcPr>
          <w:p w:rsidR="00F947DD" w:rsidRPr="00F947DD" w:rsidRDefault="00F947DD" w:rsidP="00F947DD">
            <w:pPr>
              <w:jc w:val="center"/>
              <w:rPr>
                <w:rFonts w:cs="Arial"/>
                <w:sz w:val="18"/>
                <w:szCs w:val="18"/>
              </w:rPr>
            </w:pPr>
          </w:p>
        </w:tc>
        <w:tc>
          <w:tcPr>
            <w:tcW w:w="725" w:type="dxa"/>
            <w:tcBorders>
              <w:top w:val="single" w:sz="5" w:space="0" w:color="000000"/>
              <w:left w:val="single" w:sz="4" w:space="0" w:color="D4D4D4"/>
              <w:bottom w:val="single" w:sz="4" w:space="0" w:color="000000"/>
              <w:right w:val="single" w:sz="4" w:space="0" w:color="D4D4D4"/>
            </w:tcBorders>
            <w:vAlign w:val="center"/>
          </w:tcPr>
          <w:p w:rsidR="00F947DD" w:rsidRPr="00F947DD" w:rsidRDefault="00F947DD" w:rsidP="00F947DD">
            <w:pPr>
              <w:jc w:val="center"/>
              <w:rPr>
                <w:rFonts w:cs="Arial"/>
                <w:sz w:val="18"/>
                <w:szCs w:val="18"/>
              </w:rPr>
            </w:pPr>
          </w:p>
        </w:tc>
        <w:tc>
          <w:tcPr>
            <w:tcW w:w="725" w:type="dxa"/>
            <w:tcBorders>
              <w:top w:val="single" w:sz="5" w:space="0" w:color="000000"/>
              <w:left w:val="single" w:sz="4" w:space="0" w:color="D4D4D4"/>
              <w:bottom w:val="single" w:sz="4" w:space="0" w:color="000000"/>
              <w:right w:val="single" w:sz="4" w:space="0" w:color="D4D4D4"/>
            </w:tcBorders>
            <w:vAlign w:val="center"/>
          </w:tcPr>
          <w:p w:rsidR="00F947DD" w:rsidRPr="00F947DD" w:rsidRDefault="00F947DD" w:rsidP="00F947DD">
            <w:pPr>
              <w:jc w:val="center"/>
              <w:rPr>
                <w:rFonts w:cs="Arial"/>
                <w:sz w:val="18"/>
                <w:szCs w:val="18"/>
              </w:rPr>
            </w:pPr>
          </w:p>
        </w:tc>
        <w:tc>
          <w:tcPr>
            <w:tcW w:w="715" w:type="dxa"/>
            <w:tcBorders>
              <w:top w:val="single" w:sz="5" w:space="0" w:color="000000"/>
              <w:left w:val="single" w:sz="4" w:space="0" w:color="D4D4D4"/>
              <w:bottom w:val="single" w:sz="4" w:space="0" w:color="000000"/>
              <w:right w:val="single" w:sz="4" w:space="0" w:color="D4D4D4"/>
            </w:tcBorders>
            <w:vAlign w:val="center"/>
          </w:tcPr>
          <w:p w:rsidR="00F947DD" w:rsidRPr="00F947DD" w:rsidRDefault="00F947DD" w:rsidP="00F947DD">
            <w:pPr>
              <w:jc w:val="center"/>
              <w:rPr>
                <w:rFonts w:cs="Arial"/>
                <w:sz w:val="18"/>
                <w:szCs w:val="18"/>
              </w:rPr>
            </w:pPr>
          </w:p>
        </w:tc>
        <w:tc>
          <w:tcPr>
            <w:tcW w:w="715" w:type="dxa"/>
            <w:tcBorders>
              <w:top w:val="single" w:sz="5" w:space="0" w:color="000000"/>
              <w:left w:val="single" w:sz="4" w:space="0" w:color="D4D4D4"/>
              <w:bottom w:val="single" w:sz="4" w:space="0" w:color="000000"/>
              <w:right w:val="single" w:sz="4" w:space="0" w:color="D4D4D4"/>
            </w:tcBorders>
            <w:vAlign w:val="center"/>
          </w:tcPr>
          <w:p w:rsidR="00F947DD" w:rsidRPr="00F947DD" w:rsidRDefault="00F947DD" w:rsidP="00F947DD">
            <w:pPr>
              <w:jc w:val="center"/>
              <w:rPr>
                <w:rFonts w:cs="Arial"/>
                <w:sz w:val="18"/>
                <w:szCs w:val="18"/>
              </w:rPr>
            </w:pPr>
          </w:p>
        </w:tc>
        <w:tc>
          <w:tcPr>
            <w:tcW w:w="998" w:type="dxa"/>
            <w:tcBorders>
              <w:top w:val="single" w:sz="5" w:space="0" w:color="000000"/>
              <w:left w:val="single" w:sz="4" w:space="0" w:color="D4D4D4"/>
              <w:bottom w:val="single" w:sz="4" w:space="0" w:color="000000"/>
              <w:right w:val="single" w:sz="4" w:space="0" w:color="000000"/>
            </w:tcBorders>
            <w:vAlign w:val="center"/>
          </w:tcPr>
          <w:p w:rsidR="00F947DD" w:rsidRPr="00F947DD" w:rsidRDefault="00F947DD" w:rsidP="00F947DD">
            <w:pPr>
              <w:jc w:val="center"/>
              <w:rPr>
                <w:rFonts w:cs="Arial"/>
                <w:sz w:val="18"/>
                <w:szCs w:val="18"/>
              </w:rPr>
            </w:pPr>
          </w:p>
        </w:tc>
        <w:tc>
          <w:tcPr>
            <w:tcW w:w="1304" w:type="dxa"/>
            <w:vMerge w:val="restart"/>
            <w:tcBorders>
              <w:top w:val="single" w:sz="5" w:space="0" w:color="000000"/>
              <w:left w:val="single" w:sz="4" w:space="0" w:color="000000"/>
              <w:bottom w:val="single" w:sz="4" w:space="0" w:color="000000"/>
              <w:right w:val="single" w:sz="6" w:space="0" w:color="000000"/>
            </w:tcBorders>
            <w:vAlign w:val="center"/>
          </w:tcPr>
          <w:p w:rsidR="00F947DD" w:rsidRPr="00F947DD" w:rsidRDefault="00F947DD" w:rsidP="00F947DD">
            <w:pPr>
              <w:jc w:val="center"/>
              <w:rPr>
                <w:rFonts w:cs="Arial"/>
                <w:sz w:val="18"/>
                <w:szCs w:val="18"/>
              </w:rPr>
            </w:pPr>
            <w:r w:rsidRPr="00F947DD">
              <w:rPr>
                <w:rFonts w:eastAsia="Calibri" w:cs="Arial"/>
                <w:sz w:val="18"/>
                <w:szCs w:val="18"/>
              </w:rPr>
              <w:t>Bewilligungs-/ Kaltmiete</w:t>
            </w:r>
          </w:p>
        </w:tc>
        <w:tc>
          <w:tcPr>
            <w:tcW w:w="1172" w:type="dxa"/>
            <w:vMerge w:val="restart"/>
            <w:tcBorders>
              <w:top w:val="single" w:sz="5" w:space="0" w:color="000000"/>
              <w:left w:val="single" w:sz="6" w:space="0" w:color="000000"/>
              <w:bottom w:val="single" w:sz="4" w:space="0" w:color="000000"/>
              <w:right w:val="single" w:sz="5" w:space="0" w:color="000000"/>
            </w:tcBorders>
            <w:vAlign w:val="center"/>
          </w:tcPr>
          <w:p w:rsidR="00F947DD" w:rsidRPr="00F947DD" w:rsidRDefault="00F947DD" w:rsidP="00F947DD">
            <w:pPr>
              <w:jc w:val="center"/>
              <w:rPr>
                <w:rFonts w:cs="Arial"/>
                <w:sz w:val="18"/>
                <w:szCs w:val="18"/>
              </w:rPr>
            </w:pPr>
            <w:r w:rsidRPr="00F947DD">
              <w:rPr>
                <w:rFonts w:eastAsia="Calibri" w:cs="Arial"/>
                <w:sz w:val="18"/>
                <w:szCs w:val="18"/>
              </w:rPr>
              <w:t>Miete</w:t>
            </w:r>
          </w:p>
          <w:p w:rsidR="00F947DD" w:rsidRPr="00F947DD" w:rsidRDefault="00F947DD" w:rsidP="00F947DD">
            <w:pPr>
              <w:jc w:val="center"/>
              <w:rPr>
                <w:rFonts w:cs="Arial"/>
                <w:sz w:val="18"/>
                <w:szCs w:val="18"/>
              </w:rPr>
            </w:pPr>
            <w:r w:rsidRPr="00F947DD">
              <w:rPr>
                <w:rFonts w:eastAsia="Calibri" w:cs="Arial"/>
                <w:sz w:val="18"/>
                <w:szCs w:val="18"/>
              </w:rPr>
              <w:t>freifinanziert</w:t>
            </w:r>
          </w:p>
        </w:tc>
      </w:tr>
      <w:tr w:rsidR="00F947DD" w:rsidRPr="00F947DD" w:rsidTr="00F947DD">
        <w:trPr>
          <w:trHeight w:val="778"/>
          <w:jc w:val="center"/>
        </w:trPr>
        <w:tc>
          <w:tcPr>
            <w:tcW w:w="0" w:type="auto"/>
            <w:vMerge/>
            <w:tcBorders>
              <w:top w:val="nil"/>
              <w:left w:val="single" w:sz="5" w:space="0" w:color="000000"/>
              <w:bottom w:val="single" w:sz="4" w:space="0" w:color="000000"/>
              <w:right w:val="single" w:sz="4" w:space="0" w:color="000000"/>
            </w:tcBorders>
            <w:vAlign w:val="center"/>
          </w:tcPr>
          <w:p w:rsidR="00F947DD" w:rsidRPr="00F947DD" w:rsidRDefault="00F947DD" w:rsidP="00F947DD">
            <w:pPr>
              <w:jc w:val="center"/>
              <w:rPr>
                <w:rFonts w:cs="Arial"/>
                <w:sz w:val="18"/>
                <w:szCs w:val="18"/>
              </w:rPr>
            </w:pPr>
          </w:p>
        </w:tc>
        <w:tc>
          <w:tcPr>
            <w:tcW w:w="0" w:type="auto"/>
            <w:vMerge/>
            <w:tcBorders>
              <w:top w:val="nil"/>
              <w:left w:val="single" w:sz="4" w:space="0" w:color="000000"/>
              <w:bottom w:val="single" w:sz="4" w:space="0" w:color="000000"/>
              <w:right w:val="single" w:sz="4" w:space="0" w:color="000000"/>
            </w:tcBorders>
            <w:vAlign w:val="center"/>
          </w:tcPr>
          <w:p w:rsidR="00F947DD" w:rsidRPr="00F947DD" w:rsidRDefault="00F947DD" w:rsidP="00F947DD">
            <w:pPr>
              <w:jc w:val="center"/>
              <w:rPr>
                <w:rFonts w:cs="Arial"/>
                <w:sz w:val="18"/>
                <w:szCs w:val="18"/>
              </w:rPr>
            </w:pPr>
          </w:p>
        </w:tc>
        <w:tc>
          <w:tcPr>
            <w:tcW w:w="989" w:type="dxa"/>
            <w:tcBorders>
              <w:top w:val="single" w:sz="4" w:space="0" w:color="000000"/>
              <w:left w:val="single" w:sz="4" w:space="0" w:color="000000"/>
              <w:bottom w:val="single" w:sz="4" w:space="0" w:color="000000"/>
              <w:right w:val="single" w:sz="4" w:space="0" w:color="000000"/>
            </w:tcBorders>
            <w:vAlign w:val="center"/>
          </w:tcPr>
          <w:p w:rsidR="00F947DD" w:rsidRPr="00F947DD" w:rsidRDefault="00F947DD" w:rsidP="00F947DD">
            <w:pPr>
              <w:jc w:val="center"/>
              <w:rPr>
                <w:rFonts w:cs="Arial"/>
                <w:sz w:val="18"/>
                <w:szCs w:val="18"/>
              </w:rPr>
            </w:pPr>
            <w:r w:rsidRPr="00F947DD">
              <w:rPr>
                <w:rFonts w:eastAsia="Calibri" w:cs="Arial"/>
                <w:sz w:val="18"/>
                <w:szCs w:val="18"/>
              </w:rPr>
              <w:t>Anzahl gesamt</w:t>
            </w:r>
          </w:p>
        </w:tc>
        <w:tc>
          <w:tcPr>
            <w:tcW w:w="725" w:type="dxa"/>
            <w:tcBorders>
              <w:top w:val="single" w:sz="4" w:space="0" w:color="000000"/>
              <w:left w:val="single" w:sz="4" w:space="0" w:color="000000"/>
              <w:bottom w:val="single" w:sz="4" w:space="0" w:color="000000"/>
              <w:right w:val="single" w:sz="4" w:space="0" w:color="000000"/>
            </w:tcBorders>
            <w:vAlign w:val="center"/>
          </w:tcPr>
          <w:p w:rsidR="00F947DD" w:rsidRPr="00F947DD" w:rsidRDefault="00F947DD" w:rsidP="00F947DD">
            <w:pPr>
              <w:jc w:val="center"/>
              <w:rPr>
                <w:rFonts w:cs="Arial"/>
                <w:sz w:val="18"/>
                <w:szCs w:val="18"/>
              </w:rPr>
            </w:pPr>
            <w:r w:rsidRPr="00F947DD">
              <w:rPr>
                <w:rFonts w:eastAsia="Calibri" w:cs="Arial"/>
                <w:sz w:val="18"/>
                <w:szCs w:val="18"/>
              </w:rPr>
              <w:t>davon EOF</w:t>
            </w:r>
          </w:p>
        </w:tc>
        <w:tc>
          <w:tcPr>
            <w:tcW w:w="725" w:type="dxa"/>
            <w:tcBorders>
              <w:top w:val="single" w:sz="4" w:space="0" w:color="000000"/>
              <w:left w:val="single" w:sz="4" w:space="0" w:color="000000"/>
              <w:bottom w:val="single" w:sz="4" w:space="0" w:color="000000"/>
              <w:right w:val="single" w:sz="4" w:space="0" w:color="000000"/>
            </w:tcBorders>
            <w:vAlign w:val="center"/>
          </w:tcPr>
          <w:p w:rsidR="00F947DD" w:rsidRPr="00F947DD" w:rsidRDefault="00F947DD" w:rsidP="00F947DD">
            <w:pPr>
              <w:jc w:val="center"/>
              <w:rPr>
                <w:rFonts w:cs="Arial"/>
                <w:sz w:val="18"/>
                <w:szCs w:val="18"/>
              </w:rPr>
            </w:pPr>
            <w:r w:rsidRPr="00F947DD">
              <w:rPr>
                <w:rFonts w:eastAsia="Calibri" w:cs="Arial"/>
                <w:sz w:val="18"/>
                <w:szCs w:val="18"/>
              </w:rPr>
              <w:t>davon</w:t>
            </w:r>
          </w:p>
          <w:p w:rsidR="00F947DD" w:rsidRPr="00F947DD" w:rsidRDefault="00F947DD" w:rsidP="00F947DD">
            <w:pPr>
              <w:jc w:val="center"/>
              <w:rPr>
                <w:rFonts w:cs="Arial"/>
                <w:sz w:val="18"/>
                <w:szCs w:val="18"/>
              </w:rPr>
            </w:pPr>
            <w:r w:rsidRPr="00F947DD">
              <w:rPr>
                <w:rFonts w:eastAsia="Calibri" w:cs="Arial"/>
                <w:sz w:val="18"/>
                <w:szCs w:val="18"/>
              </w:rPr>
              <w:t>Stufe 1</w:t>
            </w:r>
          </w:p>
        </w:tc>
        <w:tc>
          <w:tcPr>
            <w:tcW w:w="715" w:type="dxa"/>
            <w:tcBorders>
              <w:top w:val="single" w:sz="4" w:space="0" w:color="000000"/>
              <w:left w:val="single" w:sz="4" w:space="0" w:color="000000"/>
              <w:bottom w:val="single" w:sz="4" w:space="0" w:color="000000"/>
              <w:right w:val="single" w:sz="4" w:space="0" w:color="000000"/>
            </w:tcBorders>
            <w:vAlign w:val="center"/>
          </w:tcPr>
          <w:p w:rsidR="00F947DD" w:rsidRPr="00F947DD" w:rsidRDefault="00F947DD" w:rsidP="00F947DD">
            <w:pPr>
              <w:jc w:val="center"/>
              <w:rPr>
                <w:rFonts w:cs="Arial"/>
                <w:sz w:val="18"/>
                <w:szCs w:val="18"/>
              </w:rPr>
            </w:pPr>
            <w:r w:rsidRPr="00F947DD">
              <w:rPr>
                <w:rFonts w:eastAsia="Calibri" w:cs="Arial"/>
                <w:sz w:val="18"/>
                <w:szCs w:val="18"/>
              </w:rPr>
              <w:t>davon</w:t>
            </w:r>
          </w:p>
          <w:p w:rsidR="00F947DD" w:rsidRPr="00F947DD" w:rsidRDefault="00F947DD" w:rsidP="00F947DD">
            <w:pPr>
              <w:jc w:val="center"/>
              <w:rPr>
                <w:rFonts w:cs="Arial"/>
                <w:sz w:val="18"/>
                <w:szCs w:val="18"/>
              </w:rPr>
            </w:pPr>
            <w:r w:rsidRPr="00F947DD">
              <w:rPr>
                <w:rFonts w:eastAsia="Calibri" w:cs="Arial"/>
                <w:sz w:val="18"/>
                <w:szCs w:val="18"/>
              </w:rPr>
              <w:t>Stufe 2</w:t>
            </w:r>
          </w:p>
        </w:tc>
        <w:tc>
          <w:tcPr>
            <w:tcW w:w="715" w:type="dxa"/>
            <w:tcBorders>
              <w:top w:val="single" w:sz="4" w:space="0" w:color="000000"/>
              <w:left w:val="single" w:sz="4" w:space="0" w:color="000000"/>
              <w:bottom w:val="single" w:sz="4" w:space="0" w:color="000000"/>
              <w:right w:val="single" w:sz="4" w:space="0" w:color="000000"/>
            </w:tcBorders>
            <w:vAlign w:val="center"/>
          </w:tcPr>
          <w:p w:rsidR="00F947DD" w:rsidRPr="00F947DD" w:rsidRDefault="00F947DD" w:rsidP="00F947DD">
            <w:pPr>
              <w:jc w:val="center"/>
              <w:rPr>
                <w:rFonts w:cs="Arial"/>
                <w:sz w:val="18"/>
                <w:szCs w:val="18"/>
              </w:rPr>
            </w:pPr>
            <w:r w:rsidRPr="00F947DD">
              <w:rPr>
                <w:rFonts w:eastAsia="Calibri" w:cs="Arial"/>
                <w:sz w:val="18"/>
                <w:szCs w:val="18"/>
              </w:rPr>
              <w:t>davon</w:t>
            </w:r>
          </w:p>
          <w:p w:rsidR="00F947DD" w:rsidRPr="00F947DD" w:rsidRDefault="00F947DD" w:rsidP="00F947DD">
            <w:pPr>
              <w:jc w:val="center"/>
              <w:rPr>
                <w:rFonts w:cs="Arial"/>
                <w:sz w:val="18"/>
                <w:szCs w:val="18"/>
              </w:rPr>
            </w:pPr>
            <w:r w:rsidRPr="00F947DD">
              <w:rPr>
                <w:rFonts w:eastAsia="Calibri" w:cs="Arial"/>
                <w:sz w:val="18"/>
                <w:szCs w:val="18"/>
              </w:rPr>
              <w:t>Stufe 3</w:t>
            </w:r>
          </w:p>
        </w:tc>
        <w:tc>
          <w:tcPr>
            <w:tcW w:w="998" w:type="dxa"/>
            <w:tcBorders>
              <w:top w:val="single" w:sz="4" w:space="0" w:color="000000"/>
              <w:left w:val="single" w:sz="4" w:space="0" w:color="000000"/>
              <w:bottom w:val="single" w:sz="4" w:space="0" w:color="000000"/>
              <w:right w:val="single" w:sz="4" w:space="0" w:color="000000"/>
            </w:tcBorders>
            <w:vAlign w:val="center"/>
          </w:tcPr>
          <w:p w:rsidR="00F947DD" w:rsidRPr="00F947DD" w:rsidRDefault="00F947DD" w:rsidP="00F947DD">
            <w:pPr>
              <w:jc w:val="center"/>
              <w:rPr>
                <w:rFonts w:cs="Arial"/>
                <w:sz w:val="18"/>
                <w:szCs w:val="18"/>
              </w:rPr>
            </w:pPr>
            <w:r w:rsidRPr="00F947DD">
              <w:rPr>
                <w:rFonts w:eastAsia="Calibri" w:cs="Arial"/>
                <w:sz w:val="18"/>
                <w:szCs w:val="18"/>
              </w:rPr>
              <w:t>davon frei-</w:t>
            </w:r>
          </w:p>
          <w:p w:rsidR="00F947DD" w:rsidRPr="00F947DD" w:rsidRDefault="00F947DD" w:rsidP="00F947DD">
            <w:pPr>
              <w:jc w:val="center"/>
              <w:rPr>
                <w:rFonts w:cs="Arial"/>
                <w:sz w:val="18"/>
                <w:szCs w:val="18"/>
              </w:rPr>
            </w:pPr>
            <w:r w:rsidRPr="00F947DD">
              <w:rPr>
                <w:rFonts w:eastAsia="Calibri" w:cs="Arial"/>
                <w:sz w:val="18"/>
                <w:szCs w:val="18"/>
              </w:rPr>
              <w:t>finanziert</w:t>
            </w:r>
          </w:p>
        </w:tc>
        <w:tc>
          <w:tcPr>
            <w:tcW w:w="0" w:type="auto"/>
            <w:vMerge/>
            <w:tcBorders>
              <w:top w:val="nil"/>
              <w:left w:val="single" w:sz="4" w:space="0" w:color="000000"/>
              <w:bottom w:val="single" w:sz="4" w:space="0" w:color="000000"/>
              <w:right w:val="single" w:sz="6" w:space="0" w:color="000000"/>
            </w:tcBorders>
          </w:tcPr>
          <w:p w:rsidR="00F947DD" w:rsidRPr="00F947DD" w:rsidRDefault="00F947DD" w:rsidP="00F947DD">
            <w:pPr>
              <w:rPr>
                <w:rFonts w:cs="Arial"/>
                <w:sz w:val="18"/>
                <w:szCs w:val="18"/>
              </w:rPr>
            </w:pPr>
          </w:p>
        </w:tc>
        <w:tc>
          <w:tcPr>
            <w:tcW w:w="0" w:type="auto"/>
            <w:vMerge/>
            <w:tcBorders>
              <w:top w:val="nil"/>
              <w:left w:val="single" w:sz="6" w:space="0" w:color="000000"/>
              <w:bottom w:val="single" w:sz="4" w:space="0" w:color="000000"/>
              <w:right w:val="single" w:sz="5" w:space="0" w:color="000000"/>
            </w:tcBorders>
          </w:tcPr>
          <w:p w:rsidR="00F947DD" w:rsidRPr="00F947DD" w:rsidRDefault="00F947DD" w:rsidP="00F947DD">
            <w:pPr>
              <w:rPr>
                <w:rFonts w:cs="Arial"/>
                <w:sz w:val="18"/>
                <w:szCs w:val="18"/>
              </w:rPr>
            </w:pPr>
          </w:p>
        </w:tc>
      </w:tr>
      <w:tr w:rsidR="00F947DD" w:rsidRPr="00F947DD" w:rsidTr="00F947DD">
        <w:trPr>
          <w:trHeight w:val="1020"/>
          <w:jc w:val="center"/>
        </w:trPr>
        <w:tc>
          <w:tcPr>
            <w:tcW w:w="1192" w:type="dxa"/>
            <w:tcBorders>
              <w:top w:val="single" w:sz="4" w:space="0" w:color="000000"/>
              <w:left w:val="single" w:sz="5" w:space="0" w:color="000000"/>
              <w:bottom w:val="single" w:sz="5" w:space="0" w:color="000000"/>
              <w:right w:val="single" w:sz="4" w:space="0" w:color="000000"/>
            </w:tcBorders>
            <w:vAlign w:val="center"/>
          </w:tcPr>
          <w:p w:rsidR="00F947DD" w:rsidRPr="00F947DD" w:rsidRDefault="00F947DD" w:rsidP="00F947DD">
            <w:pPr>
              <w:jc w:val="center"/>
              <w:rPr>
                <w:rFonts w:cs="Arial"/>
                <w:sz w:val="18"/>
                <w:szCs w:val="18"/>
              </w:rPr>
            </w:pPr>
            <w:r w:rsidRPr="00F947DD">
              <w:rPr>
                <w:rFonts w:eastAsia="Calibri" w:cs="Arial"/>
                <w:sz w:val="18"/>
                <w:szCs w:val="18"/>
              </w:rPr>
              <w:t>86</w:t>
            </w:r>
          </w:p>
        </w:tc>
        <w:tc>
          <w:tcPr>
            <w:tcW w:w="1229" w:type="dxa"/>
            <w:tcBorders>
              <w:top w:val="single" w:sz="4" w:space="0" w:color="000000"/>
              <w:left w:val="single" w:sz="4" w:space="0" w:color="000000"/>
              <w:bottom w:val="single" w:sz="5" w:space="0" w:color="000000"/>
              <w:right w:val="single" w:sz="4" w:space="0" w:color="000000"/>
            </w:tcBorders>
          </w:tcPr>
          <w:p w:rsidR="00F947DD" w:rsidRPr="00F947DD" w:rsidRDefault="00F947DD" w:rsidP="00F947DD">
            <w:pPr>
              <w:rPr>
                <w:rFonts w:cs="Arial"/>
                <w:sz w:val="18"/>
                <w:szCs w:val="18"/>
              </w:rPr>
            </w:pPr>
            <w:r w:rsidRPr="00F947DD">
              <w:rPr>
                <w:rFonts w:eastAsia="Calibri" w:cs="Arial"/>
                <w:sz w:val="18"/>
                <w:szCs w:val="18"/>
              </w:rPr>
              <w:t>1-Zi.-Whg.</w:t>
            </w:r>
          </w:p>
          <w:p w:rsidR="00F947DD" w:rsidRPr="00F947DD" w:rsidRDefault="00F947DD" w:rsidP="00F947DD">
            <w:pPr>
              <w:rPr>
                <w:rFonts w:cs="Arial"/>
                <w:sz w:val="18"/>
                <w:szCs w:val="18"/>
              </w:rPr>
            </w:pPr>
            <w:r w:rsidRPr="00F947DD">
              <w:rPr>
                <w:rFonts w:eastAsia="Calibri" w:cs="Arial"/>
                <w:sz w:val="18"/>
                <w:szCs w:val="18"/>
              </w:rPr>
              <w:t>2-Zi.-Whg.</w:t>
            </w:r>
          </w:p>
          <w:p w:rsidR="00F947DD" w:rsidRPr="00F947DD" w:rsidRDefault="00F947DD" w:rsidP="00F947DD">
            <w:pPr>
              <w:rPr>
                <w:rFonts w:cs="Arial"/>
                <w:sz w:val="18"/>
                <w:szCs w:val="18"/>
              </w:rPr>
            </w:pPr>
            <w:r w:rsidRPr="00F947DD">
              <w:rPr>
                <w:rFonts w:eastAsia="Calibri" w:cs="Arial"/>
                <w:sz w:val="18"/>
                <w:szCs w:val="18"/>
              </w:rPr>
              <w:t>3-Zi.-Whg.</w:t>
            </w:r>
          </w:p>
          <w:p w:rsidR="00F947DD" w:rsidRPr="00F947DD" w:rsidRDefault="00F947DD" w:rsidP="00F947DD">
            <w:pPr>
              <w:rPr>
                <w:rFonts w:cs="Arial"/>
                <w:sz w:val="18"/>
                <w:szCs w:val="18"/>
              </w:rPr>
            </w:pPr>
            <w:r w:rsidRPr="00F947DD">
              <w:rPr>
                <w:rFonts w:eastAsia="Calibri" w:cs="Arial"/>
                <w:sz w:val="18"/>
                <w:szCs w:val="18"/>
              </w:rPr>
              <w:t>4-Zi.-Whg.</w:t>
            </w:r>
          </w:p>
          <w:p w:rsidR="00F947DD" w:rsidRPr="00F947DD" w:rsidRDefault="00F947DD" w:rsidP="00F947DD">
            <w:pPr>
              <w:rPr>
                <w:rFonts w:cs="Arial"/>
                <w:sz w:val="18"/>
                <w:szCs w:val="18"/>
              </w:rPr>
            </w:pPr>
            <w:r w:rsidRPr="00F947DD">
              <w:rPr>
                <w:rFonts w:eastAsia="Calibri" w:cs="Arial"/>
                <w:sz w:val="18"/>
                <w:szCs w:val="18"/>
              </w:rPr>
              <w:t>5-Zi.-Whg.</w:t>
            </w:r>
          </w:p>
        </w:tc>
        <w:tc>
          <w:tcPr>
            <w:tcW w:w="989" w:type="dxa"/>
            <w:tcBorders>
              <w:top w:val="single" w:sz="4" w:space="0" w:color="000000"/>
              <w:left w:val="single" w:sz="4" w:space="0" w:color="000000"/>
              <w:bottom w:val="single" w:sz="5" w:space="0" w:color="000000"/>
              <w:right w:val="single" w:sz="4" w:space="0" w:color="000000"/>
            </w:tcBorders>
          </w:tcPr>
          <w:p w:rsidR="00F947DD" w:rsidRPr="00F947DD" w:rsidRDefault="00F947DD" w:rsidP="00F947DD">
            <w:pPr>
              <w:jc w:val="center"/>
              <w:rPr>
                <w:rFonts w:cs="Arial"/>
                <w:sz w:val="18"/>
                <w:szCs w:val="18"/>
              </w:rPr>
            </w:pPr>
            <w:r w:rsidRPr="00F947DD">
              <w:rPr>
                <w:rFonts w:eastAsia="Calibri" w:cs="Arial"/>
                <w:sz w:val="18"/>
                <w:szCs w:val="18"/>
              </w:rPr>
              <w:t>0</w:t>
            </w:r>
          </w:p>
          <w:p w:rsidR="00F947DD" w:rsidRPr="00F947DD" w:rsidRDefault="00F947DD" w:rsidP="00F947DD">
            <w:pPr>
              <w:jc w:val="center"/>
              <w:rPr>
                <w:rFonts w:cs="Arial"/>
                <w:sz w:val="18"/>
                <w:szCs w:val="18"/>
              </w:rPr>
            </w:pPr>
            <w:r w:rsidRPr="00F947DD">
              <w:rPr>
                <w:rFonts w:eastAsia="Calibri" w:cs="Arial"/>
                <w:sz w:val="18"/>
                <w:szCs w:val="18"/>
              </w:rPr>
              <w:t>30</w:t>
            </w:r>
          </w:p>
          <w:p w:rsidR="00F947DD" w:rsidRPr="00F947DD" w:rsidRDefault="00F947DD" w:rsidP="00F947DD">
            <w:pPr>
              <w:jc w:val="center"/>
              <w:rPr>
                <w:rFonts w:cs="Arial"/>
                <w:sz w:val="18"/>
                <w:szCs w:val="18"/>
              </w:rPr>
            </w:pPr>
            <w:r w:rsidRPr="00F947DD">
              <w:rPr>
                <w:rFonts w:eastAsia="Calibri" w:cs="Arial"/>
                <w:sz w:val="18"/>
                <w:szCs w:val="18"/>
              </w:rPr>
              <w:t>25</w:t>
            </w:r>
          </w:p>
          <w:p w:rsidR="00F947DD" w:rsidRPr="00F947DD" w:rsidRDefault="00F947DD" w:rsidP="00F947DD">
            <w:pPr>
              <w:jc w:val="center"/>
              <w:rPr>
                <w:rFonts w:cs="Arial"/>
                <w:sz w:val="18"/>
                <w:szCs w:val="18"/>
              </w:rPr>
            </w:pPr>
            <w:r w:rsidRPr="00F947DD">
              <w:rPr>
                <w:rFonts w:eastAsia="Calibri" w:cs="Arial"/>
                <w:sz w:val="18"/>
                <w:szCs w:val="18"/>
              </w:rPr>
              <w:t>31</w:t>
            </w:r>
          </w:p>
          <w:p w:rsidR="00F947DD" w:rsidRPr="00F947DD" w:rsidRDefault="00F947DD" w:rsidP="00F947DD">
            <w:pPr>
              <w:jc w:val="center"/>
              <w:rPr>
                <w:rFonts w:cs="Arial"/>
                <w:sz w:val="18"/>
                <w:szCs w:val="18"/>
              </w:rPr>
            </w:pPr>
            <w:r w:rsidRPr="00F947DD">
              <w:rPr>
                <w:rFonts w:eastAsia="Calibri" w:cs="Arial"/>
                <w:sz w:val="18"/>
                <w:szCs w:val="18"/>
              </w:rPr>
              <w:t>0</w:t>
            </w:r>
          </w:p>
        </w:tc>
        <w:tc>
          <w:tcPr>
            <w:tcW w:w="725" w:type="dxa"/>
            <w:tcBorders>
              <w:top w:val="single" w:sz="4" w:space="0" w:color="000000"/>
              <w:left w:val="single" w:sz="4" w:space="0" w:color="000000"/>
              <w:bottom w:val="single" w:sz="5" w:space="0" w:color="000000"/>
              <w:right w:val="single" w:sz="4" w:space="0" w:color="000000"/>
            </w:tcBorders>
          </w:tcPr>
          <w:p w:rsidR="00F947DD" w:rsidRPr="00F947DD" w:rsidRDefault="00F947DD" w:rsidP="00F947DD">
            <w:pPr>
              <w:jc w:val="center"/>
              <w:rPr>
                <w:rFonts w:cs="Arial"/>
                <w:sz w:val="18"/>
                <w:szCs w:val="18"/>
              </w:rPr>
            </w:pPr>
            <w:r w:rsidRPr="00F947DD">
              <w:rPr>
                <w:rFonts w:eastAsia="Calibri" w:cs="Arial"/>
                <w:sz w:val="18"/>
                <w:szCs w:val="18"/>
              </w:rPr>
              <w:t>0</w:t>
            </w:r>
          </w:p>
          <w:p w:rsidR="00F947DD" w:rsidRPr="00F947DD" w:rsidRDefault="00F947DD" w:rsidP="00F947DD">
            <w:pPr>
              <w:jc w:val="center"/>
              <w:rPr>
                <w:rFonts w:cs="Arial"/>
                <w:sz w:val="18"/>
                <w:szCs w:val="18"/>
              </w:rPr>
            </w:pPr>
            <w:r w:rsidRPr="00F947DD">
              <w:rPr>
                <w:rFonts w:eastAsia="Calibri" w:cs="Arial"/>
                <w:sz w:val="18"/>
                <w:szCs w:val="18"/>
              </w:rPr>
              <w:t>30</w:t>
            </w:r>
          </w:p>
          <w:p w:rsidR="00F947DD" w:rsidRPr="00F947DD" w:rsidRDefault="00F947DD" w:rsidP="00F947DD">
            <w:pPr>
              <w:jc w:val="center"/>
              <w:rPr>
                <w:rFonts w:cs="Arial"/>
                <w:sz w:val="18"/>
                <w:szCs w:val="18"/>
              </w:rPr>
            </w:pPr>
            <w:r w:rsidRPr="00F947DD">
              <w:rPr>
                <w:rFonts w:eastAsia="Calibri" w:cs="Arial"/>
                <w:sz w:val="18"/>
                <w:szCs w:val="18"/>
              </w:rPr>
              <w:t>25</w:t>
            </w:r>
          </w:p>
          <w:p w:rsidR="00F947DD" w:rsidRPr="00F947DD" w:rsidRDefault="00F947DD" w:rsidP="00F947DD">
            <w:pPr>
              <w:jc w:val="center"/>
              <w:rPr>
                <w:rFonts w:cs="Arial"/>
                <w:sz w:val="18"/>
                <w:szCs w:val="18"/>
              </w:rPr>
            </w:pPr>
            <w:r w:rsidRPr="00F947DD">
              <w:rPr>
                <w:rFonts w:eastAsia="Calibri" w:cs="Arial"/>
                <w:sz w:val="18"/>
                <w:szCs w:val="18"/>
              </w:rPr>
              <w:t>31</w:t>
            </w:r>
          </w:p>
          <w:p w:rsidR="00F947DD" w:rsidRPr="00F947DD" w:rsidRDefault="00F947DD" w:rsidP="00F947DD">
            <w:pPr>
              <w:jc w:val="center"/>
              <w:rPr>
                <w:rFonts w:cs="Arial"/>
                <w:sz w:val="18"/>
                <w:szCs w:val="18"/>
              </w:rPr>
            </w:pPr>
            <w:r w:rsidRPr="00F947DD">
              <w:rPr>
                <w:rFonts w:eastAsia="Calibri" w:cs="Arial"/>
                <w:sz w:val="18"/>
                <w:szCs w:val="18"/>
              </w:rPr>
              <w:t>0</w:t>
            </w:r>
          </w:p>
        </w:tc>
        <w:tc>
          <w:tcPr>
            <w:tcW w:w="725" w:type="dxa"/>
            <w:tcBorders>
              <w:top w:val="single" w:sz="4" w:space="0" w:color="000000"/>
              <w:left w:val="single" w:sz="4" w:space="0" w:color="000000"/>
              <w:bottom w:val="single" w:sz="5" w:space="0" w:color="000000"/>
              <w:right w:val="single" w:sz="4" w:space="0" w:color="000000"/>
            </w:tcBorders>
          </w:tcPr>
          <w:p w:rsidR="00F947DD" w:rsidRPr="00F947DD" w:rsidRDefault="00F947DD" w:rsidP="00F947DD">
            <w:pPr>
              <w:jc w:val="center"/>
              <w:rPr>
                <w:rFonts w:cs="Arial"/>
                <w:sz w:val="18"/>
                <w:szCs w:val="18"/>
              </w:rPr>
            </w:pPr>
            <w:r w:rsidRPr="00F947DD">
              <w:rPr>
                <w:rFonts w:eastAsia="Calibri" w:cs="Arial"/>
                <w:sz w:val="18"/>
                <w:szCs w:val="18"/>
              </w:rPr>
              <w:t>0</w:t>
            </w:r>
          </w:p>
          <w:p w:rsidR="00F947DD" w:rsidRPr="00F947DD" w:rsidRDefault="00F947DD" w:rsidP="00F947DD">
            <w:pPr>
              <w:jc w:val="center"/>
              <w:rPr>
                <w:rFonts w:cs="Arial"/>
                <w:sz w:val="18"/>
                <w:szCs w:val="18"/>
              </w:rPr>
            </w:pPr>
            <w:r w:rsidRPr="00F947DD">
              <w:rPr>
                <w:rFonts w:eastAsia="Calibri" w:cs="Arial"/>
                <w:sz w:val="18"/>
                <w:szCs w:val="18"/>
              </w:rPr>
              <w:t>18</w:t>
            </w:r>
          </w:p>
          <w:p w:rsidR="00F947DD" w:rsidRPr="00F947DD" w:rsidRDefault="00F947DD" w:rsidP="00F947DD">
            <w:pPr>
              <w:jc w:val="center"/>
              <w:rPr>
                <w:rFonts w:cs="Arial"/>
                <w:sz w:val="18"/>
                <w:szCs w:val="18"/>
              </w:rPr>
            </w:pPr>
            <w:r w:rsidRPr="00F947DD">
              <w:rPr>
                <w:rFonts w:eastAsia="Calibri" w:cs="Arial"/>
                <w:sz w:val="18"/>
                <w:szCs w:val="18"/>
              </w:rPr>
              <w:t>17</w:t>
            </w:r>
          </w:p>
          <w:p w:rsidR="00F947DD" w:rsidRPr="00F947DD" w:rsidRDefault="00F947DD" w:rsidP="00F947DD">
            <w:pPr>
              <w:jc w:val="center"/>
              <w:rPr>
                <w:rFonts w:cs="Arial"/>
                <w:sz w:val="18"/>
                <w:szCs w:val="18"/>
              </w:rPr>
            </w:pPr>
            <w:r w:rsidRPr="00F947DD">
              <w:rPr>
                <w:rFonts w:eastAsia="Calibri" w:cs="Arial"/>
                <w:sz w:val="18"/>
                <w:szCs w:val="18"/>
              </w:rPr>
              <w:t>26</w:t>
            </w:r>
          </w:p>
          <w:p w:rsidR="00F947DD" w:rsidRPr="00F947DD" w:rsidRDefault="00F947DD" w:rsidP="00F947DD">
            <w:pPr>
              <w:jc w:val="center"/>
              <w:rPr>
                <w:rFonts w:cs="Arial"/>
                <w:sz w:val="18"/>
                <w:szCs w:val="18"/>
              </w:rPr>
            </w:pPr>
            <w:r w:rsidRPr="00F947DD">
              <w:rPr>
                <w:rFonts w:eastAsia="Calibri" w:cs="Arial"/>
                <w:sz w:val="18"/>
                <w:szCs w:val="18"/>
              </w:rPr>
              <w:t>0</w:t>
            </w:r>
          </w:p>
        </w:tc>
        <w:tc>
          <w:tcPr>
            <w:tcW w:w="715" w:type="dxa"/>
            <w:tcBorders>
              <w:top w:val="single" w:sz="4" w:space="0" w:color="000000"/>
              <w:left w:val="single" w:sz="4" w:space="0" w:color="000000"/>
              <w:bottom w:val="single" w:sz="5" w:space="0" w:color="000000"/>
              <w:right w:val="single" w:sz="4" w:space="0" w:color="000000"/>
            </w:tcBorders>
          </w:tcPr>
          <w:p w:rsidR="00F947DD" w:rsidRPr="00F947DD" w:rsidRDefault="00F947DD" w:rsidP="00F947DD">
            <w:pPr>
              <w:jc w:val="center"/>
              <w:rPr>
                <w:rFonts w:cs="Arial"/>
                <w:sz w:val="18"/>
                <w:szCs w:val="18"/>
              </w:rPr>
            </w:pPr>
            <w:r w:rsidRPr="00F947DD">
              <w:rPr>
                <w:rFonts w:eastAsia="Calibri" w:cs="Arial"/>
                <w:sz w:val="18"/>
                <w:szCs w:val="18"/>
              </w:rPr>
              <w:t>0</w:t>
            </w:r>
          </w:p>
          <w:p w:rsidR="00F947DD" w:rsidRPr="00F947DD" w:rsidRDefault="00F947DD" w:rsidP="00F947DD">
            <w:pPr>
              <w:jc w:val="center"/>
              <w:rPr>
                <w:rFonts w:cs="Arial"/>
                <w:sz w:val="18"/>
                <w:szCs w:val="18"/>
              </w:rPr>
            </w:pPr>
            <w:r w:rsidRPr="00F947DD">
              <w:rPr>
                <w:rFonts w:eastAsia="Calibri" w:cs="Arial"/>
                <w:sz w:val="18"/>
                <w:szCs w:val="18"/>
              </w:rPr>
              <w:t>12</w:t>
            </w:r>
          </w:p>
          <w:p w:rsidR="00F947DD" w:rsidRPr="00F947DD" w:rsidRDefault="00F947DD" w:rsidP="00F947DD">
            <w:pPr>
              <w:jc w:val="center"/>
              <w:rPr>
                <w:rFonts w:cs="Arial"/>
                <w:sz w:val="18"/>
                <w:szCs w:val="18"/>
              </w:rPr>
            </w:pPr>
            <w:r w:rsidRPr="00F947DD">
              <w:rPr>
                <w:rFonts w:eastAsia="Calibri" w:cs="Arial"/>
                <w:sz w:val="18"/>
                <w:szCs w:val="18"/>
              </w:rPr>
              <w:t>8</w:t>
            </w:r>
          </w:p>
          <w:p w:rsidR="00F947DD" w:rsidRPr="00F947DD" w:rsidRDefault="00F947DD" w:rsidP="00F947DD">
            <w:pPr>
              <w:jc w:val="center"/>
              <w:rPr>
                <w:rFonts w:cs="Arial"/>
                <w:sz w:val="18"/>
                <w:szCs w:val="18"/>
              </w:rPr>
            </w:pPr>
            <w:r w:rsidRPr="00F947DD">
              <w:rPr>
                <w:rFonts w:eastAsia="Calibri" w:cs="Arial"/>
                <w:sz w:val="18"/>
                <w:szCs w:val="18"/>
              </w:rPr>
              <w:t>5</w:t>
            </w:r>
          </w:p>
          <w:p w:rsidR="00F947DD" w:rsidRPr="00F947DD" w:rsidRDefault="00F947DD" w:rsidP="00F947DD">
            <w:pPr>
              <w:jc w:val="center"/>
              <w:rPr>
                <w:rFonts w:cs="Arial"/>
                <w:sz w:val="18"/>
                <w:szCs w:val="18"/>
              </w:rPr>
            </w:pPr>
            <w:r w:rsidRPr="00F947DD">
              <w:rPr>
                <w:rFonts w:eastAsia="Calibri" w:cs="Arial"/>
                <w:sz w:val="18"/>
                <w:szCs w:val="18"/>
              </w:rPr>
              <w:t>0</w:t>
            </w:r>
          </w:p>
        </w:tc>
        <w:tc>
          <w:tcPr>
            <w:tcW w:w="715" w:type="dxa"/>
            <w:tcBorders>
              <w:top w:val="single" w:sz="4" w:space="0" w:color="000000"/>
              <w:left w:val="single" w:sz="4" w:space="0" w:color="000000"/>
              <w:bottom w:val="single" w:sz="5" w:space="0" w:color="000000"/>
              <w:right w:val="single" w:sz="4" w:space="0" w:color="000000"/>
            </w:tcBorders>
          </w:tcPr>
          <w:p w:rsidR="00F947DD" w:rsidRPr="00F947DD" w:rsidRDefault="00F947DD" w:rsidP="00F947DD">
            <w:pPr>
              <w:jc w:val="center"/>
              <w:rPr>
                <w:rFonts w:cs="Arial"/>
                <w:sz w:val="18"/>
                <w:szCs w:val="18"/>
              </w:rPr>
            </w:pPr>
            <w:r w:rsidRPr="00F947DD">
              <w:rPr>
                <w:rFonts w:eastAsia="Calibri" w:cs="Arial"/>
                <w:sz w:val="18"/>
                <w:szCs w:val="18"/>
              </w:rPr>
              <w:t>0</w:t>
            </w:r>
          </w:p>
          <w:p w:rsidR="00F947DD" w:rsidRPr="00F947DD" w:rsidRDefault="00F947DD" w:rsidP="00F947DD">
            <w:pPr>
              <w:jc w:val="center"/>
              <w:rPr>
                <w:rFonts w:cs="Arial"/>
                <w:sz w:val="18"/>
                <w:szCs w:val="18"/>
              </w:rPr>
            </w:pPr>
            <w:r w:rsidRPr="00F947DD">
              <w:rPr>
                <w:rFonts w:eastAsia="Calibri" w:cs="Arial"/>
                <w:sz w:val="18"/>
                <w:szCs w:val="18"/>
              </w:rPr>
              <w:t>0</w:t>
            </w:r>
          </w:p>
          <w:p w:rsidR="00F947DD" w:rsidRPr="00F947DD" w:rsidRDefault="00F947DD" w:rsidP="00F947DD">
            <w:pPr>
              <w:jc w:val="center"/>
              <w:rPr>
                <w:rFonts w:cs="Arial"/>
                <w:sz w:val="18"/>
                <w:szCs w:val="18"/>
              </w:rPr>
            </w:pPr>
            <w:r w:rsidRPr="00F947DD">
              <w:rPr>
                <w:rFonts w:eastAsia="Calibri" w:cs="Arial"/>
                <w:sz w:val="18"/>
                <w:szCs w:val="18"/>
              </w:rPr>
              <w:t>0</w:t>
            </w:r>
          </w:p>
          <w:p w:rsidR="00F947DD" w:rsidRPr="00F947DD" w:rsidRDefault="00F947DD" w:rsidP="00F947DD">
            <w:pPr>
              <w:jc w:val="center"/>
              <w:rPr>
                <w:rFonts w:cs="Arial"/>
                <w:sz w:val="18"/>
                <w:szCs w:val="18"/>
              </w:rPr>
            </w:pPr>
            <w:r w:rsidRPr="00F947DD">
              <w:rPr>
                <w:rFonts w:eastAsia="Calibri" w:cs="Arial"/>
                <w:sz w:val="18"/>
                <w:szCs w:val="18"/>
              </w:rPr>
              <w:t>0</w:t>
            </w:r>
          </w:p>
          <w:p w:rsidR="00F947DD" w:rsidRPr="00F947DD" w:rsidRDefault="00F947DD" w:rsidP="00F947DD">
            <w:pPr>
              <w:jc w:val="center"/>
              <w:rPr>
                <w:rFonts w:cs="Arial"/>
                <w:sz w:val="18"/>
                <w:szCs w:val="18"/>
              </w:rPr>
            </w:pPr>
            <w:r w:rsidRPr="00F947DD">
              <w:rPr>
                <w:rFonts w:eastAsia="Calibri" w:cs="Arial"/>
                <w:sz w:val="18"/>
                <w:szCs w:val="18"/>
              </w:rPr>
              <w:t>0</w:t>
            </w:r>
          </w:p>
        </w:tc>
        <w:tc>
          <w:tcPr>
            <w:tcW w:w="998" w:type="dxa"/>
            <w:tcBorders>
              <w:top w:val="single" w:sz="4" w:space="0" w:color="000000"/>
              <w:left w:val="single" w:sz="4" w:space="0" w:color="000000"/>
              <w:bottom w:val="single" w:sz="5" w:space="0" w:color="000000"/>
              <w:right w:val="single" w:sz="4" w:space="0" w:color="000000"/>
            </w:tcBorders>
            <w:vAlign w:val="center"/>
          </w:tcPr>
          <w:p w:rsidR="00F947DD" w:rsidRPr="00F947DD" w:rsidRDefault="00F947DD" w:rsidP="00F947DD">
            <w:pPr>
              <w:jc w:val="center"/>
              <w:rPr>
                <w:rFonts w:cs="Arial"/>
                <w:sz w:val="18"/>
                <w:szCs w:val="18"/>
              </w:rPr>
            </w:pPr>
            <w:r w:rsidRPr="00F947DD">
              <w:rPr>
                <w:rFonts w:eastAsia="Calibri" w:cs="Arial"/>
                <w:sz w:val="18"/>
                <w:szCs w:val="18"/>
              </w:rPr>
              <w:t>0</w:t>
            </w:r>
          </w:p>
        </w:tc>
        <w:tc>
          <w:tcPr>
            <w:tcW w:w="1304" w:type="dxa"/>
            <w:tcBorders>
              <w:top w:val="single" w:sz="4" w:space="0" w:color="000000"/>
              <w:left w:val="single" w:sz="4" w:space="0" w:color="000000"/>
              <w:bottom w:val="single" w:sz="5" w:space="0" w:color="000000"/>
              <w:right w:val="single" w:sz="6" w:space="0" w:color="000000"/>
            </w:tcBorders>
            <w:vAlign w:val="center"/>
          </w:tcPr>
          <w:p w:rsidR="00F947DD" w:rsidRPr="00F947DD" w:rsidRDefault="00F947DD" w:rsidP="00F947DD">
            <w:pPr>
              <w:rPr>
                <w:rFonts w:cs="Arial"/>
                <w:sz w:val="18"/>
                <w:szCs w:val="18"/>
              </w:rPr>
            </w:pPr>
            <w:r w:rsidRPr="00F947DD">
              <w:rPr>
                <w:rFonts w:eastAsia="Calibri" w:cs="Arial"/>
                <w:sz w:val="18"/>
                <w:szCs w:val="18"/>
              </w:rPr>
              <w:t xml:space="preserve">Ø 11,04 </w:t>
            </w:r>
            <w:r>
              <w:rPr>
                <w:rFonts w:eastAsia="Calibri" w:cs="Arial"/>
                <w:sz w:val="18"/>
                <w:szCs w:val="18"/>
              </w:rPr>
              <w:t>Euro</w:t>
            </w:r>
            <w:r w:rsidRPr="00F947DD">
              <w:rPr>
                <w:rFonts w:eastAsia="Calibri" w:cs="Arial"/>
                <w:sz w:val="18"/>
                <w:szCs w:val="18"/>
              </w:rPr>
              <w:t>/m²</w:t>
            </w:r>
          </w:p>
          <w:p w:rsidR="00F947DD" w:rsidRPr="00F947DD" w:rsidRDefault="00F947DD" w:rsidP="00F947DD">
            <w:pPr>
              <w:rPr>
                <w:rFonts w:cs="Arial"/>
                <w:sz w:val="18"/>
                <w:szCs w:val="18"/>
              </w:rPr>
            </w:pPr>
            <w:r w:rsidRPr="00F947DD">
              <w:rPr>
                <w:rFonts w:eastAsia="Calibri" w:cs="Arial"/>
                <w:sz w:val="18"/>
                <w:szCs w:val="18"/>
              </w:rPr>
              <w:t>Wohnfläche</w:t>
            </w:r>
          </w:p>
        </w:tc>
        <w:tc>
          <w:tcPr>
            <w:tcW w:w="1172" w:type="dxa"/>
            <w:tcBorders>
              <w:top w:val="single" w:sz="4" w:space="0" w:color="000000"/>
              <w:left w:val="single" w:sz="6" w:space="0" w:color="000000"/>
              <w:bottom w:val="single" w:sz="5" w:space="0" w:color="000000"/>
              <w:right w:val="single" w:sz="5" w:space="0" w:color="000000"/>
            </w:tcBorders>
            <w:vAlign w:val="center"/>
          </w:tcPr>
          <w:p w:rsidR="00F947DD" w:rsidRPr="00F947DD" w:rsidRDefault="00F947DD" w:rsidP="00F947DD">
            <w:pPr>
              <w:jc w:val="center"/>
              <w:rPr>
                <w:rFonts w:cs="Arial"/>
                <w:sz w:val="18"/>
                <w:szCs w:val="18"/>
              </w:rPr>
            </w:pPr>
            <w:r w:rsidRPr="00F947DD">
              <w:rPr>
                <w:rFonts w:eastAsia="Calibri" w:cs="Arial"/>
                <w:sz w:val="18"/>
                <w:szCs w:val="18"/>
              </w:rPr>
              <w:t>-</w:t>
            </w:r>
          </w:p>
        </w:tc>
      </w:tr>
    </w:tbl>
    <w:p w:rsidR="00ED6428" w:rsidRDefault="00ED6428" w:rsidP="00DD3048">
      <w:pPr>
        <w:pStyle w:val="LTAntwortRessortText"/>
      </w:pPr>
    </w:p>
    <w:p w:rsidR="00ED6428" w:rsidRDefault="00ED6428" w:rsidP="00704D65">
      <w:pPr>
        <w:spacing w:before="240" w:line="360" w:lineRule="auto"/>
        <w:ind w:left="340"/>
      </w:pPr>
      <w:r>
        <w:t>Die Siedlungswerk Nürnberg GmbH hat in Nürnberg mit geplanter Baufertigstellung bis 2028 derzeit zwei Vorhaben in Bau.</w:t>
      </w:r>
    </w:p>
    <w:p w:rsidR="00704D65" w:rsidRDefault="00704D65" w:rsidP="00704D65">
      <w:pPr>
        <w:spacing w:before="240" w:line="360" w:lineRule="auto"/>
        <w:ind w:left="340"/>
      </w:pPr>
    </w:p>
    <w:p w:rsidR="00704D65" w:rsidRDefault="00704D65" w:rsidP="00704D65">
      <w:pPr>
        <w:pStyle w:val="LTAntwortRessortText"/>
        <w:tabs>
          <w:tab w:val="center" w:pos="2835"/>
        </w:tabs>
        <w:spacing w:before="120"/>
        <w:ind w:left="3175" w:hanging="2835"/>
      </w:pPr>
      <w:r>
        <w:t xml:space="preserve">Bauvorhaben in Bau </w:t>
      </w:r>
      <w:r>
        <w:tab/>
      </w:r>
      <w:r>
        <w:tab/>
        <w:t>Nürnberg, Regensburger Straße</w:t>
      </w:r>
    </w:p>
    <w:p w:rsidR="00704D65" w:rsidRDefault="00704D65" w:rsidP="00704D65">
      <w:pPr>
        <w:pStyle w:val="LTAntwortRessortText"/>
        <w:tabs>
          <w:tab w:val="center" w:pos="2835"/>
        </w:tabs>
        <w:spacing w:before="120"/>
        <w:ind w:left="3175" w:hanging="2835"/>
      </w:pPr>
      <w:r>
        <w:t>Standort</w:t>
      </w:r>
      <w:r>
        <w:tab/>
      </w:r>
      <w:r>
        <w:tab/>
        <w:t>Regensburger Straße</w:t>
      </w:r>
    </w:p>
    <w:p w:rsidR="00704D65" w:rsidRDefault="00704D65" w:rsidP="00704D65">
      <w:pPr>
        <w:pStyle w:val="LTAntwortRessortText"/>
        <w:tabs>
          <w:tab w:val="center" w:pos="3119"/>
        </w:tabs>
        <w:spacing w:before="120"/>
        <w:ind w:left="3175" w:hanging="2835"/>
      </w:pPr>
      <w:r>
        <w:t>Baufertigstellungsjahr</w:t>
      </w:r>
      <w:r>
        <w:tab/>
      </w:r>
      <w:r>
        <w:tab/>
        <w:t>BT I: 146 WE ca. IV. Quartal Ende 2023</w:t>
      </w:r>
    </w:p>
    <w:p w:rsidR="00704D65" w:rsidRDefault="00704D65" w:rsidP="00704D65">
      <w:pPr>
        <w:pStyle w:val="LTAntwortRessortText"/>
        <w:tabs>
          <w:tab w:val="center" w:pos="3119"/>
        </w:tabs>
        <w:spacing w:before="120"/>
        <w:ind w:left="3175" w:hanging="2835"/>
      </w:pPr>
      <w:r>
        <w:tab/>
      </w:r>
      <w:r>
        <w:tab/>
        <w:t>BT II: 235 WE Ende I. Quartal 2024</w:t>
      </w:r>
    </w:p>
    <w:p w:rsidR="00704D65" w:rsidRDefault="00704D65" w:rsidP="00704D65">
      <w:pPr>
        <w:pStyle w:val="LTAntwortRessortText"/>
        <w:tabs>
          <w:tab w:val="center" w:pos="2977"/>
        </w:tabs>
        <w:spacing w:before="120"/>
        <w:ind w:left="3175" w:hanging="2835"/>
      </w:pPr>
      <w:r>
        <w:t>Kosten pro Quadratmeter</w:t>
      </w:r>
      <w:r>
        <w:tab/>
      </w:r>
      <w:r>
        <w:tab/>
        <w:t>2.333 Euro pro Quadratmeter (Kostengruppen 300 und 400)</w:t>
      </w:r>
    </w:p>
    <w:p w:rsidR="00ED6428" w:rsidRDefault="00ED6428" w:rsidP="00DD3048">
      <w:pPr>
        <w:pStyle w:val="LTAntwortRessortText"/>
      </w:pP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80"/>
        <w:gridCol w:w="1215"/>
        <w:gridCol w:w="980"/>
        <w:gridCol w:w="716"/>
        <w:gridCol w:w="716"/>
        <w:gridCol w:w="709"/>
        <w:gridCol w:w="707"/>
        <w:gridCol w:w="102"/>
        <w:gridCol w:w="101"/>
        <w:gridCol w:w="786"/>
        <w:gridCol w:w="1287"/>
        <w:gridCol w:w="1161"/>
      </w:tblGrid>
      <w:tr w:rsidR="00F52A46" w:rsidRPr="00F52A46" w:rsidTr="00F52A46">
        <w:trPr>
          <w:trHeight w:val="211"/>
          <w:jc w:val="center"/>
        </w:trPr>
        <w:tc>
          <w:tcPr>
            <w:tcW w:w="1180" w:type="dxa"/>
            <w:vMerge w:val="restart"/>
            <w:vAlign w:val="center"/>
          </w:tcPr>
          <w:p w:rsidR="00F52A46" w:rsidRPr="00661D97" w:rsidRDefault="00F52A46" w:rsidP="00F52A46">
            <w:pPr>
              <w:pStyle w:val="TableParagraph"/>
              <w:spacing w:before="0" w:line="240" w:lineRule="exact"/>
              <w:ind w:left="0"/>
              <w:jc w:val="center"/>
              <w:rPr>
                <w:rFonts w:ascii="Arial" w:hAnsi="Arial" w:cs="Arial"/>
                <w:sz w:val="18"/>
                <w:szCs w:val="18"/>
                <w:lang w:val="de-DE"/>
              </w:rPr>
            </w:pPr>
            <w:r w:rsidRPr="00661D97">
              <w:rPr>
                <w:rFonts w:ascii="Arial" w:hAnsi="Arial" w:cs="Arial"/>
                <w:sz w:val="18"/>
                <w:szCs w:val="18"/>
                <w:lang w:val="de-DE"/>
              </w:rPr>
              <w:t xml:space="preserve">Anzahl </w:t>
            </w:r>
            <w:r w:rsidRPr="00661D97">
              <w:rPr>
                <w:rFonts w:ascii="Arial" w:hAnsi="Arial" w:cs="Arial"/>
                <w:sz w:val="18"/>
                <w:szCs w:val="18"/>
                <w:lang w:val="de-DE"/>
              </w:rPr>
              <w:br/>
              <w:t>Wohnungen</w:t>
            </w:r>
          </w:p>
        </w:tc>
        <w:tc>
          <w:tcPr>
            <w:tcW w:w="1215" w:type="dxa"/>
            <w:vMerge w:val="restart"/>
            <w:vAlign w:val="center"/>
          </w:tcPr>
          <w:p w:rsidR="00F52A46" w:rsidRPr="00661D97" w:rsidRDefault="00F52A46" w:rsidP="00F52A46">
            <w:pPr>
              <w:pStyle w:val="TableParagraph"/>
              <w:spacing w:before="0" w:line="240" w:lineRule="exact"/>
              <w:ind w:left="0"/>
              <w:jc w:val="center"/>
              <w:rPr>
                <w:rFonts w:ascii="Arial" w:hAnsi="Arial" w:cs="Arial"/>
                <w:sz w:val="18"/>
                <w:szCs w:val="18"/>
                <w:lang w:val="de-DE"/>
              </w:rPr>
            </w:pPr>
            <w:r w:rsidRPr="00661D97">
              <w:rPr>
                <w:rFonts w:ascii="Arial" w:hAnsi="Arial" w:cs="Arial"/>
                <w:sz w:val="18"/>
                <w:szCs w:val="18"/>
                <w:lang w:val="de-DE"/>
              </w:rPr>
              <w:t>Wohnungs- größen</w:t>
            </w:r>
          </w:p>
        </w:tc>
        <w:tc>
          <w:tcPr>
            <w:tcW w:w="980" w:type="dxa"/>
            <w:tcBorders>
              <w:right w:val="single" w:sz="6" w:space="0" w:color="D3D3D3"/>
            </w:tcBorders>
            <w:vAlign w:val="center"/>
          </w:tcPr>
          <w:p w:rsidR="00F52A46" w:rsidRPr="00661D97" w:rsidRDefault="00F52A46" w:rsidP="00F52A46">
            <w:pPr>
              <w:pStyle w:val="TableParagraph"/>
              <w:spacing w:before="0" w:line="240" w:lineRule="exact"/>
              <w:ind w:left="0"/>
              <w:jc w:val="center"/>
              <w:rPr>
                <w:rFonts w:ascii="Arial" w:hAnsi="Arial" w:cs="Arial"/>
                <w:sz w:val="18"/>
                <w:szCs w:val="18"/>
                <w:lang w:val="de-DE"/>
              </w:rPr>
            </w:pPr>
          </w:p>
        </w:tc>
        <w:tc>
          <w:tcPr>
            <w:tcW w:w="716" w:type="dxa"/>
            <w:tcBorders>
              <w:left w:val="single" w:sz="6" w:space="0" w:color="D3D3D3"/>
              <w:right w:val="single" w:sz="6" w:space="0" w:color="D3D3D3"/>
            </w:tcBorders>
            <w:vAlign w:val="center"/>
          </w:tcPr>
          <w:p w:rsidR="00F52A46" w:rsidRPr="00661D97" w:rsidRDefault="00F52A46" w:rsidP="00F52A46">
            <w:pPr>
              <w:pStyle w:val="TableParagraph"/>
              <w:spacing w:before="0" w:line="240" w:lineRule="exact"/>
              <w:ind w:left="0"/>
              <w:jc w:val="center"/>
              <w:rPr>
                <w:rFonts w:ascii="Arial" w:hAnsi="Arial" w:cs="Arial"/>
                <w:sz w:val="18"/>
                <w:szCs w:val="18"/>
                <w:lang w:val="de-DE"/>
              </w:rPr>
            </w:pPr>
          </w:p>
        </w:tc>
        <w:tc>
          <w:tcPr>
            <w:tcW w:w="716" w:type="dxa"/>
            <w:tcBorders>
              <w:left w:val="single" w:sz="6" w:space="0" w:color="D3D3D3"/>
              <w:right w:val="single" w:sz="6" w:space="0" w:color="D3D3D3"/>
            </w:tcBorders>
            <w:vAlign w:val="center"/>
          </w:tcPr>
          <w:p w:rsidR="00F52A46" w:rsidRPr="00661D97" w:rsidRDefault="00F52A46" w:rsidP="00F52A46">
            <w:pPr>
              <w:pStyle w:val="TableParagraph"/>
              <w:spacing w:before="0" w:line="240" w:lineRule="exact"/>
              <w:ind w:left="0"/>
              <w:jc w:val="center"/>
              <w:rPr>
                <w:rFonts w:ascii="Arial" w:hAnsi="Arial" w:cs="Arial"/>
                <w:sz w:val="18"/>
                <w:szCs w:val="18"/>
                <w:lang w:val="de-DE"/>
              </w:rPr>
            </w:pPr>
          </w:p>
        </w:tc>
        <w:tc>
          <w:tcPr>
            <w:tcW w:w="709" w:type="dxa"/>
            <w:tcBorders>
              <w:left w:val="single" w:sz="6" w:space="0" w:color="D3D3D3"/>
              <w:right w:val="single" w:sz="6" w:space="0" w:color="D3D3D3"/>
            </w:tcBorders>
            <w:vAlign w:val="center"/>
          </w:tcPr>
          <w:p w:rsidR="00F52A46" w:rsidRPr="00661D97" w:rsidRDefault="00F52A46" w:rsidP="00F52A46">
            <w:pPr>
              <w:pStyle w:val="TableParagraph"/>
              <w:spacing w:before="0" w:line="240" w:lineRule="exact"/>
              <w:ind w:left="0"/>
              <w:jc w:val="center"/>
              <w:rPr>
                <w:rFonts w:ascii="Arial" w:hAnsi="Arial" w:cs="Arial"/>
                <w:sz w:val="18"/>
                <w:szCs w:val="18"/>
                <w:lang w:val="de-DE"/>
              </w:rPr>
            </w:pPr>
          </w:p>
        </w:tc>
        <w:tc>
          <w:tcPr>
            <w:tcW w:w="707" w:type="dxa"/>
            <w:tcBorders>
              <w:left w:val="single" w:sz="6" w:space="0" w:color="D3D3D3"/>
              <w:right w:val="single" w:sz="6" w:space="0" w:color="D3D3D3"/>
            </w:tcBorders>
            <w:vAlign w:val="center"/>
          </w:tcPr>
          <w:p w:rsidR="00F52A46" w:rsidRPr="00661D97" w:rsidRDefault="00F52A46" w:rsidP="00F52A46">
            <w:pPr>
              <w:pStyle w:val="TableParagraph"/>
              <w:spacing w:before="0" w:line="240" w:lineRule="exact"/>
              <w:ind w:left="0"/>
              <w:jc w:val="center"/>
              <w:rPr>
                <w:rFonts w:ascii="Arial" w:hAnsi="Arial" w:cs="Arial"/>
                <w:sz w:val="18"/>
                <w:szCs w:val="18"/>
                <w:lang w:val="de-DE"/>
              </w:rPr>
            </w:pPr>
          </w:p>
        </w:tc>
        <w:tc>
          <w:tcPr>
            <w:tcW w:w="989" w:type="dxa"/>
            <w:gridSpan w:val="3"/>
            <w:tcBorders>
              <w:left w:val="single" w:sz="6" w:space="0" w:color="D3D3D3"/>
            </w:tcBorders>
            <w:vAlign w:val="center"/>
          </w:tcPr>
          <w:p w:rsidR="00F52A46" w:rsidRPr="00661D97" w:rsidRDefault="00F52A46" w:rsidP="00F52A46">
            <w:pPr>
              <w:pStyle w:val="TableParagraph"/>
              <w:spacing w:before="0" w:line="240" w:lineRule="exact"/>
              <w:ind w:left="0"/>
              <w:jc w:val="center"/>
              <w:rPr>
                <w:rFonts w:ascii="Arial" w:hAnsi="Arial" w:cs="Arial"/>
                <w:sz w:val="18"/>
                <w:szCs w:val="18"/>
                <w:lang w:val="de-DE"/>
              </w:rPr>
            </w:pPr>
          </w:p>
        </w:tc>
        <w:tc>
          <w:tcPr>
            <w:tcW w:w="1287" w:type="dxa"/>
            <w:vMerge w:val="restart"/>
            <w:vAlign w:val="center"/>
          </w:tcPr>
          <w:p w:rsidR="00F52A46" w:rsidRPr="00661D97" w:rsidRDefault="00F52A46" w:rsidP="00F52A46">
            <w:pPr>
              <w:pStyle w:val="TableParagraph"/>
              <w:spacing w:before="0" w:line="240" w:lineRule="exact"/>
              <w:ind w:left="0"/>
              <w:jc w:val="center"/>
              <w:rPr>
                <w:rFonts w:ascii="Arial" w:hAnsi="Arial" w:cs="Arial"/>
                <w:sz w:val="18"/>
                <w:szCs w:val="18"/>
                <w:lang w:val="de-DE"/>
              </w:rPr>
            </w:pPr>
            <w:r w:rsidRPr="00661D97">
              <w:rPr>
                <w:rFonts w:ascii="Arial" w:hAnsi="Arial" w:cs="Arial"/>
                <w:sz w:val="18"/>
                <w:szCs w:val="18"/>
                <w:lang w:val="de-DE"/>
              </w:rPr>
              <w:t>Bewilligungs-/ Kaltmiete</w:t>
            </w:r>
          </w:p>
        </w:tc>
        <w:tc>
          <w:tcPr>
            <w:tcW w:w="1161" w:type="dxa"/>
            <w:vMerge w:val="restart"/>
            <w:vAlign w:val="center"/>
          </w:tcPr>
          <w:p w:rsidR="00F52A46" w:rsidRPr="00661D97" w:rsidRDefault="00F52A46" w:rsidP="00F52A46">
            <w:pPr>
              <w:pStyle w:val="TableParagraph"/>
              <w:spacing w:before="0" w:line="240" w:lineRule="exact"/>
              <w:ind w:left="0"/>
              <w:jc w:val="center"/>
              <w:rPr>
                <w:rFonts w:ascii="Arial" w:hAnsi="Arial" w:cs="Arial"/>
                <w:sz w:val="18"/>
                <w:szCs w:val="18"/>
                <w:lang w:val="de-DE"/>
              </w:rPr>
            </w:pPr>
            <w:r w:rsidRPr="00661D97">
              <w:rPr>
                <w:rFonts w:ascii="Arial" w:hAnsi="Arial" w:cs="Arial"/>
                <w:sz w:val="18"/>
                <w:szCs w:val="18"/>
                <w:lang w:val="de-DE"/>
              </w:rPr>
              <w:t>Miete freifinanziert</w:t>
            </w:r>
          </w:p>
        </w:tc>
      </w:tr>
      <w:tr w:rsidR="00F52A46" w:rsidRPr="00F52A46" w:rsidTr="00F52A46">
        <w:trPr>
          <w:trHeight w:val="828"/>
          <w:jc w:val="center"/>
        </w:trPr>
        <w:tc>
          <w:tcPr>
            <w:tcW w:w="1180" w:type="dxa"/>
            <w:vMerge/>
            <w:tcBorders>
              <w:top w:val="nil"/>
            </w:tcBorders>
          </w:tcPr>
          <w:p w:rsidR="00F52A46" w:rsidRPr="00F52A46" w:rsidRDefault="00F52A46" w:rsidP="00F52A46">
            <w:pPr>
              <w:spacing w:line="240" w:lineRule="exact"/>
              <w:rPr>
                <w:rFonts w:cs="Arial"/>
                <w:sz w:val="18"/>
                <w:szCs w:val="18"/>
                <w:lang w:val="de-DE"/>
              </w:rPr>
            </w:pPr>
          </w:p>
        </w:tc>
        <w:tc>
          <w:tcPr>
            <w:tcW w:w="1215" w:type="dxa"/>
            <w:vMerge/>
            <w:tcBorders>
              <w:top w:val="nil"/>
            </w:tcBorders>
          </w:tcPr>
          <w:p w:rsidR="00F52A46" w:rsidRPr="00F52A46" w:rsidRDefault="00F52A46" w:rsidP="00F52A46">
            <w:pPr>
              <w:spacing w:line="240" w:lineRule="exact"/>
              <w:rPr>
                <w:rFonts w:cs="Arial"/>
                <w:sz w:val="18"/>
                <w:szCs w:val="18"/>
                <w:lang w:val="de-DE"/>
              </w:rPr>
            </w:pPr>
          </w:p>
        </w:tc>
        <w:tc>
          <w:tcPr>
            <w:tcW w:w="980" w:type="dxa"/>
            <w:vAlign w:val="center"/>
          </w:tcPr>
          <w:p w:rsidR="00F52A46" w:rsidRPr="00661D97" w:rsidRDefault="00F52A46" w:rsidP="00F52A46">
            <w:pPr>
              <w:pStyle w:val="TableParagraph"/>
              <w:spacing w:before="0" w:line="240" w:lineRule="exact"/>
              <w:ind w:left="0"/>
              <w:jc w:val="center"/>
              <w:rPr>
                <w:rFonts w:ascii="Arial" w:hAnsi="Arial" w:cs="Arial"/>
                <w:sz w:val="18"/>
                <w:szCs w:val="18"/>
                <w:lang w:val="de-DE"/>
              </w:rPr>
            </w:pPr>
            <w:r w:rsidRPr="00661D97">
              <w:rPr>
                <w:rFonts w:ascii="Arial" w:hAnsi="Arial" w:cs="Arial"/>
                <w:sz w:val="18"/>
                <w:szCs w:val="18"/>
                <w:lang w:val="de-DE"/>
              </w:rPr>
              <w:t>Anzahl gesamt</w:t>
            </w:r>
          </w:p>
        </w:tc>
        <w:tc>
          <w:tcPr>
            <w:tcW w:w="716" w:type="dxa"/>
            <w:vAlign w:val="center"/>
          </w:tcPr>
          <w:p w:rsidR="00F52A46" w:rsidRPr="00661D97" w:rsidRDefault="00F52A46" w:rsidP="00F52A46">
            <w:pPr>
              <w:pStyle w:val="TableParagraph"/>
              <w:spacing w:before="0" w:line="240" w:lineRule="exact"/>
              <w:ind w:left="0"/>
              <w:jc w:val="center"/>
              <w:rPr>
                <w:rFonts w:ascii="Arial" w:hAnsi="Arial" w:cs="Arial"/>
                <w:sz w:val="18"/>
                <w:szCs w:val="18"/>
                <w:lang w:val="de-DE"/>
              </w:rPr>
            </w:pPr>
            <w:r w:rsidRPr="00661D97">
              <w:rPr>
                <w:rFonts w:ascii="Arial" w:hAnsi="Arial" w:cs="Arial"/>
                <w:sz w:val="18"/>
                <w:szCs w:val="18"/>
                <w:lang w:val="de-DE"/>
              </w:rPr>
              <w:t>davon</w:t>
            </w:r>
            <w:r w:rsidRPr="00661D97">
              <w:rPr>
                <w:rFonts w:ascii="Arial" w:hAnsi="Arial" w:cs="Arial"/>
                <w:w w:val="99"/>
                <w:sz w:val="18"/>
                <w:szCs w:val="18"/>
                <w:lang w:val="de-DE"/>
              </w:rPr>
              <w:t xml:space="preserve"> </w:t>
            </w:r>
            <w:r w:rsidRPr="00661D97">
              <w:rPr>
                <w:rFonts w:ascii="Arial" w:hAnsi="Arial" w:cs="Arial"/>
                <w:sz w:val="18"/>
                <w:szCs w:val="18"/>
                <w:lang w:val="de-DE"/>
              </w:rPr>
              <w:t>EOF</w:t>
            </w:r>
          </w:p>
        </w:tc>
        <w:tc>
          <w:tcPr>
            <w:tcW w:w="716" w:type="dxa"/>
            <w:vAlign w:val="center"/>
          </w:tcPr>
          <w:p w:rsidR="00F52A46" w:rsidRPr="00661D97" w:rsidRDefault="00F52A46" w:rsidP="00F52A46">
            <w:pPr>
              <w:pStyle w:val="TableParagraph"/>
              <w:spacing w:before="0" w:line="240" w:lineRule="exact"/>
              <w:ind w:left="0"/>
              <w:jc w:val="center"/>
              <w:rPr>
                <w:rFonts w:ascii="Arial" w:hAnsi="Arial" w:cs="Arial"/>
                <w:sz w:val="18"/>
                <w:szCs w:val="18"/>
                <w:lang w:val="de-DE"/>
              </w:rPr>
            </w:pPr>
            <w:r w:rsidRPr="00661D97">
              <w:rPr>
                <w:rFonts w:ascii="Arial" w:hAnsi="Arial" w:cs="Arial"/>
                <w:sz w:val="18"/>
                <w:szCs w:val="18"/>
                <w:lang w:val="de-DE"/>
              </w:rPr>
              <w:t>davon Stufe 1</w:t>
            </w:r>
          </w:p>
        </w:tc>
        <w:tc>
          <w:tcPr>
            <w:tcW w:w="709" w:type="dxa"/>
            <w:vAlign w:val="center"/>
          </w:tcPr>
          <w:p w:rsidR="00F52A46" w:rsidRPr="00661D97" w:rsidRDefault="00F52A46" w:rsidP="00F52A46">
            <w:pPr>
              <w:pStyle w:val="TableParagraph"/>
              <w:spacing w:before="0" w:line="240" w:lineRule="exact"/>
              <w:ind w:left="0"/>
              <w:jc w:val="center"/>
              <w:rPr>
                <w:rFonts w:ascii="Arial" w:hAnsi="Arial" w:cs="Arial"/>
                <w:sz w:val="18"/>
                <w:szCs w:val="18"/>
                <w:lang w:val="de-DE"/>
              </w:rPr>
            </w:pPr>
            <w:r w:rsidRPr="00661D97">
              <w:rPr>
                <w:rFonts w:ascii="Arial" w:hAnsi="Arial" w:cs="Arial"/>
                <w:sz w:val="18"/>
                <w:szCs w:val="18"/>
                <w:lang w:val="de-DE"/>
              </w:rPr>
              <w:t>davon Stufe 2</w:t>
            </w:r>
          </w:p>
        </w:tc>
        <w:tc>
          <w:tcPr>
            <w:tcW w:w="707" w:type="dxa"/>
            <w:vAlign w:val="center"/>
          </w:tcPr>
          <w:p w:rsidR="00F52A46" w:rsidRPr="00661D97" w:rsidRDefault="00F52A46" w:rsidP="00F52A46">
            <w:pPr>
              <w:pStyle w:val="TableParagraph"/>
              <w:spacing w:before="0" w:line="240" w:lineRule="exact"/>
              <w:ind w:left="0"/>
              <w:jc w:val="center"/>
              <w:rPr>
                <w:rFonts w:ascii="Arial" w:hAnsi="Arial" w:cs="Arial"/>
                <w:sz w:val="18"/>
                <w:szCs w:val="18"/>
                <w:lang w:val="de-DE"/>
              </w:rPr>
            </w:pPr>
            <w:r w:rsidRPr="00661D97">
              <w:rPr>
                <w:rFonts w:ascii="Arial" w:hAnsi="Arial" w:cs="Arial"/>
                <w:sz w:val="18"/>
                <w:szCs w:val="18"/>
                <w:lang w:val="de-DE"/>
              </w:rPr>
              <w:t>davon Stufe 3</w:t>
            </w:r>
          </w:p>
        </w:tc>
        <w:tc>
          <w:tcPr>
            <w:tcW w:w="989" w:type="dxa"/>
            <w:gridSpan w:val="3"/>
            <w:vAlign w:val="center"/>
          </w:tcPr>
          <w:p w:rsidR="00F52A46" w:rsidRPr="00661D97" w:rsidRDefault="00F52A46" w:rsidP="00F52A46">
            <w:pPr>
              <w:pStyle w:val="TableParagraph"/>
              <w:spacing w:before="0" w:line="240" w:lineRule="exact"/>
              <w:ind w:left="0"/>
              <w:jc w:val="center"/>
              <w:rPr>
                <w:rFonts w:ascii="Arial" w:hAnsi="Arial" w:cs="Arial"/>
                <w:sz w:val="18"/>
                <w:szCs w:val="18"/>
                <w:lang w:val="de-DE"/>
              </w:rPr>
            </w:pPr>
            <w:r w:rsidRPr="00661D97">
              <w:rPr>
                <w:rFonts w:ascii="Arial" w:hAnsi="Arial" w:cs="Arial"/>
                <w:sz w:val="18"/>
                <w:szCs w:val="18"/>
                <w:lang w:val="de-DE"/>
              </w:rPr>
              <w:t>davon frei- finanziert</w:t>
            </w:r>
          </w:p>
        </w:tc>
        <w:tc>
          <w:tcPr>
            <w:tcW w:w="1287" w:type="dxa"/>
            <w:vMerge/>
            <w:tcBorders>
              <w:top w:val="nil"/>
            </w:tcBorders>
          </w:tcPr>
          <w:p w:rsidR="00F52A46" w:rsidRPr="00F52A46" w:rsidRDefault="00F52A46" w:rsidP="00F52A46">
            <w:pPr>
              <w:spacing w:line="240" w:lineRule="exact"/>
              <w:rPr>
                <w:rFonts w:cs="Arial"/>
                <w:sz w:val="18"/>
                <w:szCs w:val="18"/>
                <w:lang w:val="de-DE"/>
              </w:rPr>
            </w:pPr>
          </w:p>
        </w:tc>
        <w:tc>
          <w:tcPr>
            <w:tcW w:w="1161" w:type="dxa"/>
            <w:vMerge/>
            <w:tcBorders>
              <w:top w:val="nil"/>
            </w:tcBorders>
          </w:tcPr>
          <w:p w:rsidR="00F52A46" w:rsidRPr="00F52A46" w:rsidRDefault="00F52A46" w:rsidP="00F52A46">
            <w:pPr>
              <w:spacing w:line="240" w:lineRule="exact"/>
              <w:rPr>
                <w:rFonts w:cs="Arial"/>
                <w:sz w:val="18"/>
                <w:szCs w:val="18"/>
                <w:lang w:val="de-DE"/>
              </w:rPr>
            </w:pPr>
          </w:p>
        </w:tc>
      </w:tr>
      <w:tr w:rsidR="00F52A46" w:rsidRPr="00F52A46" w:rsidTr="00F52A46">
        <w:trPr>
          <w:trHeight w:val="669"/>
          <w:jc w:val="center"/>
        </w:trPr>
        <w:tc>
          <w:tcPr>
            <w:tcW w:w="1180" w:type="dxa"/>
            <w:vMerge w:val="restart"/>
          </w:tcPr>
          <w:p w:rsidR="00F52A46" w:rsidRPr="00AD3CEE" w:rsidRDefault="00F52A46" w:rsidP="00F52A46">
            <w:pPr>
              <w:pStyle w:val="TableParagraph"/>
              <w:spacing w:before="0" w:line="240" w:lineRule="exact"/>
              <w:ind w:left="0"/>
              <w:rPr>
                <w:rFonts w:ascii="Arial" w:hAnsi="Arial" w:cs="Arial"/>
                <w:sz w:val="18"/>
                <w:szCs w:val="18"/>
                <w:lang w:val="de-DE"/>
              </w:rPr>
            </w:pPr>
          </w:p>
          <w:p w:rsidR="00F52A46" w:rsidRPr="00AD3CEE" w:rsidRDefault="00F52A46" w:rsidP="00F52A46">
            <w:pPr>
              <w:pStyle w:val="TableParagraph"/>
              <w:spacing w:before="0" w:line="240" w:lineRule="exact"/>
              <w:ind w:left="0"/>
              <w:rPr>
                <w:rFonts w:ascii="Arial" w:hAnsi="Arial" w:cs="Arial"/>
                <w:sz w:val="18"/>
                <w:szCs w:val="18"/>
                <w:lang w:val="de-DE"/>
              </w:rPr>
            </w:pPr>
          </w:p>
          <w:p w:rsidR="00F52A46" w:rsidRPr="00AD3CEE" w:rsidRDefault="00F52A46" w:rsidP="00F52A46">
            <w:pPr>
              <w:pStyle w:val="TableParagraph"/>
              <w:spacing w:before="0" w:line="240" w:lineRule="exact"/>
              <w:ind w:left="0"/>
              <w:jc w:val="center"/>
              <w:rPr>
                <w:rFonts w:ascii="Arial" w:hAnsi="Arial" w:cs="Arial"/>
                <w:sz w:val="18"/>
                <w:szCs w:val="18"/>
                <w:lang w:val="de-DE"/>
              </w:rPr>
            </w:pPr>
            <w:r w:rsidRPr="00AD3CEE">
              <w:rPr>
                <w:rFonts w:ascii="Arial" w:hAnsi="Arial" w:cs="Arial"/>
                <w:sz w:val="18"/>
                <w:szCs w:val="18"/>
              </w:rPr>
              <w:t>381</w:t>
            </w:r>
          </w:p>
        </w:tc>
        <w:tc>
          <w:tcPr>
            <w:tcW w:w="1215" w:type="dxa"/>
            <w:vMerge w:val="restart"/>
          </w:tcPr>
          <w:p w:rsidR="00F52A46" w:rsidRPr="00AD3CEE" w:rsidRDefault="00F52A46" w:rsidP="00F52A46">
            <w:pPr>
              <w:pStyle w:val="TableParagraph"/>
              <w:numPr>
                <w:ilvl w:val="0"/>
                <w:numId w:val="25"/>
              </w:numPr>
              <w:tabs>
                <w:tab w:val="left" w:pos="347"/>
              </w:tabs>
              <w:spacing w:before="0" w:line="240" w:lineRule="exact"/>
              <w:ind w:left="0" w:firstLine="0"/>
              <w:rPr>
                <w:rFonts w:ascii="Arial" w:hAnsi="Arial" w:cs="Arial"/>
                <w:sz w:val="18"/>
                <w:szCs w:val="18"/>
                <w:lang w:val="de-DE"/>
              </w:rPr>
            </w:pPr>
            <w:r w:rsidRPr="00AD3CEE">
              <w:rPr>
                <w:rFonts w:ascii="Arial" w:hAnsi="Arial" w:cs="Arial"/>
                <w:sz w:val="18"/>
                <w:szCs w:val="18"/>
              </w:rPr>
              <w:t>Zi.-Whg.</w:t>
            </w:r>
          </w:p>
          <w:p w:rsidR="00F52A46" w:rsidRPr="00AD3CEE" w:rsidRDefault="00F52A46" w:rsidP="00F52A46">
            <w:pPr>
              <w:pStyle w:val="TableParagraph"/>
              <w:numPr>
                <w:ilvl w:val="0"/>
                <w:numId w:val="25"/>
              </w:numPr>
              <w:tabs>
                <w:tab w:val="left" w:pos="347"/>
              </w:tabs>
              <w:spacing w:before="0" w:line="240" w:lineRule="exact"/>
              <w:ind w:left="0" w:firstLine="0"/>
              <w:rPr>
                <w:rFonts w:ascii="Arial" w:hAnsi="Arial" w:cs="Arial"/>
                <w:sz w:val="18"/>
                <w:szCs w:val="18"/>
                <w:lang w:val="de-DE"/>
              </w:rPr>
            </w:pPr>
            <w:r w:rsidRPr="00AD3CEE">
              <w:rPr>
                <w:rFonts w:ascii="Arial" w:hAnsi="Arial" w:cs="Arial"/>
                <w:sz w:val="18"/>
                <w:szCs w:val="18"/>
              </w:rPr>
              <w:t>Zi.-Whg.</w:t>
            </w:r>
          </w:p>
          <w:p w:rsidR="00F52A46" w:rsidRPr="00AD3CEE" w:rsidRDefault="00F52A46" w:rsidP="00F52A46">
            <w:pPr>
              <w:pStyle w:val="TableParagraph"/>
              <w:numPr>
                <w:ilvl w:val="0"/>
                <w:numId w:val="25"/>
              </w:numPr>
              <w:tabs>
                <w:tab w:val="left" w:pos="347"/>
              </w:tabs>
              <w:spacing w:before="0" w:line="240" w:lineRule="exact"/>
              <w:ind w:left="0" w:firstLine="0"/>
              <w:rPr>
                <w:rFonts w:ascii="Arial" w:hAnsi="Arial" w:cs="Arial"/>
                <w:sz w:val="18"/>
                <w:szCs w:val="18"/>
                <w:lang w:val="de-DE"/>
              </w:rPr>
            </w:pPr>
            <w:r w:rsidRPr="00AD3CEE">
              <w:rPr>
                <w:rFonts w:ascii="Arial" w:hAnsi="Arial" w:cs="Arial"/>
                <w:sz w:val="18"/>
                <w:szCs w:val="18"/>
              </w:rPr>
              <w:t>Zi.-Whg.</w:t>
            </w:r>
          </w:p>
          <w:p w:rsidR="00F52A46" w:rsidRPr="00AD3CEE" w:rsidRDefault="00F52A46" w:rsidP="00F52A46">
            <w:pPr>
              <w:pStyle w:val="TableParagraph"/>
              <w:numPr>
                <w:ilvl w:val="0"/>
                <w:numId w:val="25"/>
              </w:numPr>
              <w:tabs>
                <w:tab w:val="left" w:pos="368"/>
              </w:tabs>
              <w:spacing w:before="0" w:line="240" w:lineRule="exact"/>
              <w:ind w:left="0" w:firstLine="0"/>
              <w:rPr>
                <w:rFonts w:ascii="Arial" w:hAnsi="Arial" w:cs="Arial"/>
                <w:sz w:val="18"/>
                <w:szCs w:val="18"/>
                <w:lang w:val="de-DE"/>
              </w:rPr>
            </w:pPr>
            <w:r w:rsidRPr="00AD3CEE">
              <w:rPr>
                <w:rFonts w:ascii="Arial" w:hAnsi="Arial" w:cs="Arial"/>
                <w:sz w:val="18"/>
                <w:szCs w:val="18"/>
              </w:rPr>
              <w:t>Zi.-Whg.</w:t>
            </w:r>
          </w:p>
          <w:p w:rsidR="00F52A46" w:rsidRPr="00AD3CEE" w:rsidRDefault="00F52A46" w:rsidP="00F52A46">
            <w:pPr>
              <w:pStyle w:val="TableParagraph"/>
              <w:numPr>
                <w:ilvl w:val="0"/>
                <w:numId w:val="25"/>
              </w:numPr>
              <w:tabs>
                <w:tab w:val="left" w:pos="368"/>
              </w:tabs>
              <w:spacing w:before="0" w:line="240" w:lineRule="exact"/>
              <w:ind w:left="0" w:firstLine="0"/>
              <w:rPr>
                <w:rFonts w:ascii="Arial" w:hAnsi="Arial" w:cs="Arial"/>
                <w:sz w:val="18"/>
                <w:szCs w:val="18"/>
                <w:lang w:val="de-DE"/>
              </w:rPr>
            </w:pPr>
            <w:r w:rsidRPr="00AD3CEE">
              <w:rPr>
                <w:rFonts w:ascii="Arial" w:hAnsi="Arial" w:cs="Arial"/>
                <w:sz w:val="18"/>
                <w:szCs w:val="18"/>
              </w:rPr>
              <w:t>Zi.-Whg.</w:t>
            </w:r>
          </w:p>
        </w:tc>
        <w:tc>
          <w:tcPr>
            <w:tcW w:w="980" w:type="dxa"/>
            <w:vMerge w:val="restart"/>
          </w:tcPr>
          <w:p w:rsidR="00F52A46" w:rsidRPr="00F52A46" w:rsidRDefault="00F52A46" w:rsidP="00F52A46">
            <w:pPr>
              <w:pStyle w:val="TableParagraph"/>
              <w:spacing w:before="0" w:line="240" w:lineRule="exact"/>
              <w:ind w:left="0"/>
              <w:rPr>
                <w:rFonts w:ascii="Arial" w:hAnsi="Arial" w:cs="Arial"/>
                <w:sz w:val="18"/>
                <w:szCs w:val="18"/>
                <w:lang w:val="de-DE"/>
              </w:rPr>
            </w:pPr>
          </w:p>
          <w:p w:rsidR="00F52A46" w:rsidRPr="00F52A46" w:rsidRDefault="00F52A46" w:rsidP="00F52A46">
            <w:pPr>
              <w:pStyle w:val="TableParagraph"/>
              <w:spacing w:before="0" w:line="240" w:lineRule="exact"/>
              <w:ind w:left="0"/>
              <w:rPr>
                <w:rFonts w:ascii="Arial" w:hAnsi="Arial" w:cs="Arial"/>
                <w:sz w:val="18"/>
                <w:szCs w:val="18"/>
                <w:lang w:val="de-DE"/>
              </w:rPr>
            </w:pPr>
          </w:p>
          <w:p w:rsidR="00F52A46" w:rsidRPr="00F52A46" w:rsidRDefault="00F52A46" w:rsidP="00F52A46">
            <w:pPr>
              <w:pStyle w:val="TableParagraph"/>
              <w:spacing w:before="0" w:line="240" w:lineRule="exact"/>
              <w:ind w:left="0"/>
              <w:jc w:val="center"/>
              <w:rPr>
                <w:rFonts w:ascii="Arial" w:hAnsi="Arial" w:cs="Arial"/>
                <w:sz w:val="18"/>
                <w:szCs w:val="18"/>
                <w:lang w:val="de-DE"/>
              </w:rPr>
            </w:pPr>
            <w:r w:rsidRPr="00F52A46">
              <w:rPr>
                <w:rFonts w:ascii="Arial" w:hAnsi="Arial" w:cs="Arial"/>
                <w:w w:val="99"/>
                <w:sz w:val="18"/>
                <w:szCs w:val="18"/>
                <w:lang w:val="de-DE"/>
              </w:rPr>
              <w:t>-</w:t>
            </w:r>
          </w:p>
        </w:tc>
        <w:tc>
          <w:tcPr>
            <w:tcW w:w="716" w:type="dxa"/>
            <w:vMerge w:val="restart"/>
          </w:tcPr>
          <w:p w:rsidR="00F52A46" w:rsidRPr="00F52A46" w:rsidRDefault="00F52A46" w:rsidP="00F52A46">
            <w:pPr>
              <w:pStyle w:val="TableParagraph"/>
              <w:spacing w:before="0" w:line="240" w:lineRule="exact"/>
              <w:ind w:left="0"/>
              <w:jc w:val="center"/>
              <w:rPr>
                <w:rFonts w:ascii="Arial" w:hAnsi="Arial" w:cs="Arial"/>
                <w:sz w:val="18"/>
                <w:szCs w:val="18"/>
                <w:lang w:val="de-DE"/>
              </w:rPr>
            </w:pPr>
            <w:r w:rsidRPr="00F52A46">
              <w:rPr>
                <w:rFonts w:ascii="Arial" w:hAnsi="Arial" w:cs="Arial"/>
                <w:w w:val="99"/>
                <w:sz w:val="18"/>
                <w:szCs w:val="18"/>
                <w:lang w:val="de-DE"/>
              </w:rPr>
              <w:t>1</w:t>
            </w:r>
          </w:p>
          <w:p w:rsidR="00F52A46" w:rsidRPr="00F52A46" w:rsidRDefault="00F52A46" w:rsidP="00F52A46">
            <w:pPr>
              <w:pStyle w:val="TableParagraph"/>
              <w:spacing w:before="0" w:line="240" w:lineRule="exact"/>
              <w:ind w:left="0"/>
              <w:jc w:val="center"/>
              <w:rPr>
                <w:rFonts w:ascii="Arial" w:hAnsi="Arial" w:cs="Arial"/>
                <w:sz w:val="18"/>
                <w:szCs w:val="18"/>
                <w:lang w:val="de-DE"/>
              </w:rPr>
            </w:pPr>
            <w:r w:rsidRPr="00F52A46">
              <w:rPr>
                <w:rFonts w:ascii="Arial" w:hAnsi="Arial" w:cs="Arial"/>
                <w:spacing w:val="-6"/>
                <w:sz w:val="18"/>
                <w:szCs w:val="18"/>
                <w:lang w:val="de-DE"/>
              </w:rPr>
              <w:t>29</w:t>
            </w:r>
          </w:p>
          <w:p w:rsidR="00F52A46" w:rsidRPr="00F52A46" w:rsidRDefault="00F52A46" w:rsidP="00F52A46">
            <w:pPr>
              <w:pStyle w:val="TableParagraph"/>
              <w:spacing w:before="0" w:line="240" w:lineRule="exact"/>
              <w:ind w:left="0"/>
              <w:jc w:val="center"/>
              <w:rPr>
                <w:rFonts w:ascii="Arial" w:hAnsi="Arial" w:cs="Arial"/>
                <w:sz w:val="18"/>
                <w:szCs w:val="18"/>
                <w:lang w:val="de-DE"/>
              </w:rPr>
            </w:pPr>
            <w:r w:rsidRPr="00F52A46">
              <w:rPr>
                <w:rFonts w:ascii="Arial" w:hAnsi="Arial" w:cs="Arial"/>
                <w:spacing w:val="-6"/>
                <w:sz w:val="18"/>
                <w:szCs w:val="18"/>
                <w:lang w:val="de-DE"/>
              </w:rPr>
              <w:t>81</w:t>
            </w:r>
          </w:p>
          <w:p w:rsidR="00F52A46" w:rsidRPr="00F52A46" w:rsidRDefault="00F52A46" w:rsidP="00F52A46">
            <w:pPr>
              <w:pStyle w:val="TableParagraph"/>
              <w:spacing w:before="0" w:line="240" w:lineRule="exact"/>
              <w:ind w:left="0"/>
              <w:jc w:val="center"/>
              <w:rPr>
                <w:rFonts w:ascii="Arial" w:hAnsi="Arial" w:cs="Arial"/>
                <w:sz w:val="18"/>
                <w:szCs w:val="18"/>
                <w:lang w:val="de-DE"/>
              </w:rPr>
            </w:pPr>
            <w:r w:rsidRPr="00F52A46">
              <w:rPr>
                <w:rFonts w:ascii="Arial" w:hAnsi="Arial" w:cs="Arial"/>
                <w:spacing w:val="-6"/>
                <w:sz w:val="18"/>
                <w:szCs w:val="18"/>
                <w:lang w:val="de-DE"/>
              </w:rPr>
              <w:t>50</w:t>
            </w:r>
          </w:p>
          <w:p w:rsidR="00F52A46" w:rsidRPr="00F52A46" w:rsidRDefault="00F52A46" w:rsidP="00F52A46">
            <w:pPr>
              <w:pStyle w:val="TableParagraph"/>
              <w:spacing w:before="0" w:line="240" w:lineRule="exact"/>
              <w:ind w:left="0"/>
              <w:jc w:val="center"/>
              <w:rPr>
                <w:rFonts w:ascii="Arial" w:hAnsi="Arial" w:cs="Arial"/>
                <w:sz w:val="18"/>
                <w:szCs w:val="18"/>
                <w:lang w:val="de-DE"/>
              </w:rPr>
            </w:pPr>
            <w:r w:rsidRPr="00F52A46">
              <w:rPr>
                <w:rFonts w:ascii="Arial" w:hAnsi="Arial" w:cs="Arial"/>
                <w:w w:val="99"/>
                <w:sz w:val="18"/>
                <w:szCs w:val="18"/>
                <w:lang w:val="de-DE"/>
              </w:rPr>
              <w:t>9</w:t>
            </w:r>
          </w:p>
        </w:tc>
        <w:tc>
          <w:tcPr>
            <w:tcW w:w="716" w:type="dxa"/>
            <w:vMerge w:val="restart"/>
          </w:tcPr>
          <w:p w:rsidR="00F52A46" w:rsidRPr="00F52A46" w:rsidRDefault="00F52A46" w:rsidP="00F52A46">
            <w:pPr>
              <w:pStyle w:val="TableParagraph"/>
              <w:spacing w:before="0" w:line="240" w:lineRule="exact"/>
              <w:ind w:left="0"/>
              <w:jc w:val="center"/>
              <w:rPr>
                <w:rFonts w:ascii="Arial" w:hAnsi="Arial" w:cs="Arial"/>
                <w:sz w:val="18"/>
                <w:szCs w:val="18"/>
                <w:lang w:val="de-DE"/>
              </w:rPr>
            </w:pPr>
            <w:r w:rsidRPr="00F52A46">
              <w:rPr>
                <w:rFonts w:ascii="Arial" w:hAnsi="Arial" w:cs="Arial"/>
                <w:w w:val="99"/>
                <w:sz w:val="18"/>
                <w:szCs w:val="18"/>
                <w:lang w:val="de-DE"/>
              </w:rPr>
              <w:t>1</w:t>
            </w:r>
          </w:p>
          <w:p w:rsidR="00F52A46" w:rsidRPr="00F52A46" w:rsidRDefault="00F52A46" w:rsidP="00F52A46">
            <w:pPr>
              <w:pStyle w:val="TableParagraph"/>
              <w:spacing w:before="0" w:line="240" w:lineRule="exact"/>
              <w:ind w:left="0"/>
              <w:jc w:val="center"/>
              <w:rPr>
                <w:rFonts w:ascii="Arial" w:hAnsi="Arial" w:cs="Arial"/>
                <w:sz w:val="18"/>
                <w:szCs w:val="18"/>
                <w:lang w:val="de-DE"/>
              </w:rPr>
            </w:pPr>
            <w:r w:rsidRPr="00F52A46">
              <w:rPr>
                <w:rFonts w:ascii="Arial" w:hAnsi="Arial" w:cs="Arial"/>
                <w:sz w:val="18"/>
                <w:szCs w:val="18"/>
                <w:lang w:val="de-DE"/>
              </w:rPr>
              <w:t>25</w:t>
            </w:r>
          </w:p>
          <w:p w:rsidR="00F52A46" w:rsidRPr="00F52A46" w:rsidRDefault="00F52A46" w:rsidP="00F52A46">
            <w:pPr>
              <w:pStyle w:val="TableParagraph"/>
              <w:spacing w:before="0" w:line="240" w:lineRule="exact"/>
              <w:ind w:left="0"/>
              <w:jc w:val="center"/>
              <w:rPr>
                <w:rFonts w:ascii="Arial" w:hAnsi="Arial" w:cs="Arial"/>
                <w:sz w:val="18"/>
                <w:szCs w:val="18"/>
                <w:lang w:val="de-DE"/>
              </w:rPr>
            </w:pPr>
            <w:r w:rsidRPr="00F52A46">
              <w:rPr>
                <w:rFonts w:ascii="Arial" w:hAnsi="Arial" w:cs="Arial"/>
                <w:sz w:val="18"/>
                <w:szCs w:val="18"/>
                <w:lang w:val="de-DE"/>
              </w:rPr>
              <w:t>74</w:t>
            </w:r>
          </w:p>
          <w:p w:rsidR="00F52A46" w:rsidRPr="00F52A46" w:rsidRDefault="00F52A46" w:rsidP="00F52A46">
            <w:pPr>
              <w:pStyle w:val="TableParagraph"/>
              <w:spacing w:before="0" w:line="240" w:lineRule="exact"/>
              <w:ind w:left="0"/>
              <w:jc w:val="center"/>
              <w:rPr>
                <w:rFonts w:ascii="Arial" w:hAnsi="Arial" w:cs="Arial"/>
                <w:sz w:val="18"/>
                <w:szCs w:val="18"/>
                <w:lang w:val="de-DE"/>
              </w:rPr>
            </w:pPr>
            <w:r w:rsidRPr="00F52A46">
              <w:rPr>
                <w:rFonts w:ascii="Arial" w:hAnsi="Arial" w:cs="Arial"/>
                <w:sz w:val="18"/>
                <w:szCs w:val="18"/>
                <w:lang w:val="de-DE"/>
              </w:rPr>
              <w:t>46</w:t>
            </w:r>
          </w:p>
          <w:p w:rsidR="00F52A46" w:rsidRPr="00F52A46" w:rsidRDefault="00F52A46" w:rsidP="00F52A46">
            <w:pPr>
              <w:pStyle w:val="TableParagraph"/>
              <w:spacing w:before="0" w:line="240" w:lineRule="exact"/>
              <w:ind w:left="0"/>
              <w:jc w:val="center"/>
              <w:rPr>
                <w:rFonts w:ascii="Arial" w:hAnsi="Arial" w:cs="Arial"/>
                <w:sz w:val="18"/>
                <w:szCs w:val="18"/>
                <w:lang w:val="de-DE"/>
              </w:rPr>
            </w:pPr>
            <w:r w:rsidRPr="00F52A46">
              <w:rPr>
                <w:rFonts w:ascii="Arial" w:hAnsi="Arial" w:cs="Arial"/>
                <w:w w:val="99"/>
                <w:sz w:val="18"/>
                <w:szCs w:val="18"/>
                <w:lang w:val="de-DE"/>
              </w:rPr>
              <w:t>7</w:t>
            </w:r>
          </w:p>
        </w:tc>
        <w:tc>
          <w:tcPr>
            <w:tcW w:w="709" w:type="dxa"/>
            <w:vMerge w:val="restart"/>
          </w:tcPr>
          <w:p w:rsidR="00F52A46" w:rsidRPr="00F52A46" w:rsidRDefault="00F52A46" w:rsidP="00F52A46">
            <w:pPr>
              <w:pStyle w:val="TableParagraph"/>
              <w:spacing w:before="0" w:line="240" w:lineRule="exact"/>
              <w:ind w:left="0"/>
              <w:jc w:val="center"/>
              <w:rPr>
                <w:rFonts w:ascii="Arial" w:hAnsi="Arial" w:cs="Arial"/>
                <w:sz w:val="18"/>
                <w:szCs w:val="18"/>
                <w:lang w:val="de-DE"/>
              </w:rPr>
            </w:pPr>
            <w:r w:rsidRPr="00F52A46">
              <w:rPr>
                <w:rFonts w:ascii="Arial" w:hAnsi="Arial" w:cs="Arial"/>
                <w:w w:val="99"/>
                <w:sz w:val="18"/>
                <w:szCs w:val="18"/>
                <w:lang w:val="de-DE"/>
              </w:rPr>
              <w:t>0</w:t>
            </w:r>
          </w:p>
          <w:p w:rsidR="00F52A46" w:rsidRPr="00F52A46" w:rsidRDefault="00F52A46" w:rsidP="00F52A46">
            <w:pPr>
              <w:pStyle w:val="TableParagraph"/>
              <w:spacing w:before="0" w:line="240" w:lineRule="exact"/>
              <w:ind w:left="0"/>
              <w:jc w:val="center"/>
              <w:rPr>
                <w:rFonts w:ascii="Arial" w:hAnsi="Arial" w:cs="Arial"/>
                <w:sz w:val="18"/>
                <w:szCs w:val="18"/>
                <w:lang w:val="de-DE"/>
              </w:rPr>
            </w:pPr>
            <w:r w:rsidRPr="00F52A46">
              <w:rPr>
                <w:rFonts w:ascii="Arial" w:hAnsi="Arial" w:cs="Arial"/>
                <w:w w:val="99"/>
                <w:sz w:val="18"/>
                <w:szCs w:val="18"/>
                <w:lang w:val="de-DE"/>
              </w:rPr>
              <w:t>4</w:t>
            </w:r>
          </w:p>
          <w:p w:rsidR="00F52A46" w:rsidRPr="00F52A46" w:rsidRDefault="00F52A46" w:rsidP="00F52A46">
            <w:pPr>
              <w:pStyle w:val="TableParagraph"/>
              <w:spacing w:before="0" w:line="240" w:lineRule="exact"/>
              <w:ind w:left="0"/>
              <w:jc w:val="center"/>
              <w:rPr>
                <w:rFonts w:ascii="Arial" w:hAnsi="Arial" w:cs="Arial"/>
                <w:sz w:val="18"/>
                <w:szCs w:val="18"/>
                <w:lang w:val="de-DE"/>
              </w:rPr>
            </w:pPr>
            <w:r w:rsidRPr="00F52A46">
              <w:rPr>
                <w:rFonts w:ascii="Arial" w:hAnsi="Arial" w:cs="Arial"/>
                <w:w w:val="99"/>
                <w:sz w:val="18"/>
                <w:szCs w:val="18"/>
                <w:lang w:val="de-DE"/>
              </w:rPr>
              <w:t>7</w:t>
            </w:r>
          </w:p>
          <w:p w:rsidR="00F52A46" w:rsidRPr="00F52A46" w:rsidRDefault="00F52A46" w:rsidP="00F52A46">
            <w:pPr>
              <w:pStyle w:val="TableParagraph"/>
              <w:spacing w:before="0" w:line="240" w:lineRule="exact"/>
              <w:ind w:left="0"/>
              <w:jc w:val="center"/>
              <w:rPr>
                <w:rFonts w:ascii="Arial" w:hAnsi="Arial" w:cs="Arial"/>
                <w:sz w:val="18"/>
                <w:szCs w:val="18"/>
                <w:lang w:val="de-DE"/>
              </w:rPr>
            </w:pPr>
            <w:r w:rsidRPr="00F52A46">
              <w:rPr>
                <w:rFonts w:ascii="Arial" w:hAnsi="Arial" w:cs="Arial"/>
                <w:w w:val="99"/>
                <w:sz w:val="18"/>
                <w:szCs w:val="18"/>
                <w:lang w:val="de-DE"/>
              </w:rPr>
              <w:t>4</w:t>
            </w:r>
          </w:p>
          <w:p w:rsidR="00F52A46" w:rsidRPr="00F52A46" w:rsidRDefault="00F52A46" w:rsidP="00F52A46">
            <w:pPr>
              <w:pStyle w:val="TableParagraph"/>
              <w:spacing w:before="0" w:line="240" w:lineRule="exact"/>
              <w:ind w:left="0"/>
              <w:jc w:val="center"/>
              <w:rPr>
                <w:rFonts w:ascii="Arial" w:hAnsi="Arial" w:cs="Arial"/>
                <w:sz w:val="18"/>
                <w:szCs w:val="18"/>
                <w:lang w:val="de-DE"/>
              </w:rPr>
            </w:pPr>
            <w:r w:rsidRPr="00F52A46">
              <w:rPr>
                <w:rFonts w:ascii="Arial" w:hAnsi="Arial" w:cs="Arial"/>
                <w:w w:val="99"/>
                <w:sz w:val="18"/>
                <w:szCs w:val="18"/>
                <w:lang w:val="de-DE"/>
              </w:rPr>
              <w:t>2</w:t>
            </w:r>
          </w:p>
        </w:tc>
        <w:tc>
          <w:tcPr>
            <w:tcW w:w="707" w:type="dxa"/>
            <w:vMerge w:val="restart"/>
          </w:tcPr>
          <w:p w:rsidR="00F52A46" w:rsidRPr="00F52A46" w:rsidRDefault="00F52A46" w:rsidP="00F52A46">
            <w:pPr>
              <w:pStyle w:val="TableParagraph"/>
              <w:spacing w:before="0" w:line="240" w:lineRule="exact"/>
              <w:ind w:left="0"/>
              <w:jc w:val="center"/>
              <w:rPr>
                <w:rFonts w:ascii="Arial" w:hAnsi="Arial" w:cs="Arial"/>
                <w:sz w:val="18"/>
                <w:szCs w:val="18"/>
                <w:lang w:val="de-DE"/>
              </w:rPr>
            </w:pPr>
            <w:r w:rsidRPr="00F52A46">
              <w:rPr>
                <w:rFonts w:ascii="Arial" w:hAnsi="Arial" w:cs="Arial"/>
                <w:w w:val="99"/>
                <w:sz w:val="18"/>
                <w:szCs w:val="18"/>
                <w:lang w:val="de-DE"/>
              </w:rPr>
              <w:t>0</w:t>
            </w:r>
          </w:p>
          <w:p w:rsidR="00F52A46" w:rsidRPr="00F52A46" w:rsidRDefault="00F52A46" w:rsidP="00F52A46">
            <w:pPr>
              <w:pStyle w:val="TableParagraph"/>
              <w:spacing w:before="0" w:line="240" w:lineRule="exact"/>
              <w:ind w:left="0"/>
              <w:jc w:val="center"/>
              <w:rPr>
                <w:rFonts w:ascii="Arial" w:hAnsi="Arial" w:cs="Arial"/>
                <w:sz w:val="18"/>
                <w:szCs w:val="18"/>
                <w:lang w:val="de-DE"/>
              </w:rPr>
            </w:pPr>
            <w:r w:rsidRPr="00F52A46">
              <w:rPr>
                <w:rFonts w:ascii="Arial" w:hAnsi="Arial" w:cs="Arial"/>
                <w:w w:val="99"/>
                <w:sz w:val="18"/>
                <w:szCs w:val="18"/>
                <w:lang w:val="de-DE"/>
              </w:rPr>
              <w:t>0</w:t>
            </w:r>
          </w:p>
          <w:p w:rsidR="00F52A46" w:rsidRPr="00F52A46" w:rsidRDefault="00F52A46" w:rsidP="00F52A46">
            <w:pPr>
              <w:pStyle w:val="TableParagraph"/>
              <w:spacing w:before="0" w:line="240" w:lineRule="exact"/>
              <w:ind w:left="0"/>
              <w:jc w:val="center"/>
              <w:rPr>
                <w:rFonts w:ascii="Arial" w:hAnsi="Arial" w:cs="Arial"/>
                <w:sz w:val="18"/>
                <w:szCs w:val="18"/>
                <w:lang w:val="de-DE"/>
              </w:rPr>
            </w:pPr>
            <w:r w:rsidRPr="00F52A46">
              <w:rPr>
                <w:rFonts w:ascii="Arial" w:hAnsi="Arial" w:cs="Arial"/>
                <w:w w:val="99"/>
                <w:sz w:val="18"/>
                <w:szCs w:val="18"/>
                <w:lang w:val="de-DE"/>
              </w:rPr>
              <w:t>0</w:t>
            </w:r>
          </w:p>
          <w:p w:rsidR="00F52A46" w:rsidRPr="00F52A46" w:rsidRDefault="00F52A46" w:rsidP="00F52A46">
            <w:pPr>
              <w:pStyle w:val="TableParagraph"/>
              <w:spacing w:before="0" w:line="240" w:lineRule="exact"/>
              <w:ind w:left="0"/>
              <w:jc w:val="center"/>
              <w:rPr>
                <w:rFonts w:ascii="Arial" w:hAnsi="Arial" w:cs="Arial"/>
                <w:sz w:val="18"/>
                <w:szCs w:val="18"/>
                <w:lang w:val="de-DE"/>
              </w:rPr>
            </w:pPr>
            <w:r w:rsidRPr="00F52A46">
              <w:rPr>
                <w:rFonts w:ascii="Arial" w:hAnsi="Arial" w:cs="Arial"/>
                <w:w w:val="99"/>
                <w:sz w:val="18"/>
                <w:szCs w:val="18"/>
                <w:lang w:val="de-DE"/>
              </w:rPr>
              <w:t>0</w:t>
            </w:r>
          </w:p>
          <w:p w:rsidR="00F52A46" w:rsidRPr="00F52A46" w:rsidRDefault="00F52A46" w:rsidP="00F52A46">
            <w:pPr>
              <w:pStyle w:val="TableParagraph"/>
              <w:spacing w:before="0" w:line="240" w:lineRule="exact"/>
              <w:ind w:left="0"/>
              <w:jc w:val="center"/>
              <w:rPr>
                <w:rFonts w:ascii="Arial" w:hAnsi="Arial" w:cs="Arial"/>
                <w:sz w:val="18"/>
                <w:szCs w:val="18"/>
                <w:lang w:val="de-DE"/>
              </w:rPr>
            </w:pPr>
            <w:r w:rsidRPr="00F52A46">
              <w:rPr>
                <w:rFonts w:ascii="Arial" w:hAnsi="Arial" w:cs="Arial"/>
                <w:w w:val="99"/>
                <w:sz w:val="18"/>
                <w:szCs w:val="18"/>
                <w:lang w:val="de-DE"/>
              </w:rPr>
              <w:t>0</w:t>
            </w:r>
          </w:p>
        </w:tc>
        <w:tc>
          <w:tcPr>
            <w:tcW w:w="102" w:type="dxa"/>
            <w:vMerge w:val="restart"/>
            <w:tcBorders>
              <w:bottom w:val="single" w:sz="12" w:space="0" w:color="000000"/>
              <w:right w:val="nil"/>
            </w:tcBorders>
          </w:tcPr>
          <w:p w:rsidR="00F52A46" w:rsidRPr="00F52A46" w:rsidRDefault="00F52A46" w:rsidP="00F52A46">
            <w:pPr>
              <w:pStyle w:val="TableParagraph"/>
              <w:spacing w:before="0" w:line="240" w:lineRule="exact"/>
              <w:ind w:left="0"/>
              <w:rPr>
                <w:rFonts w:ascii="Arial" w:hAnsi="Arial" w:cs="Arial"/>
                <w:sz w:val="18"/>
                <w:szCs w:val="18"/>
                <w:lang w:val="de-DE"/>
              </w:rPr>
            </w:pPr>
          </w:p>
        </w:tc>
        <w:tc>
          <w:tcPr>
            <w:tcW w:w="101" w:type="dxa"/>
            <w:tcBorders>
              <w:top w:val="nil"/>
              <w:left w:val="nil"/>
              <w:bottom w:val="nil"/>
              <w:right w:val="nil"/>
            </w:tcBorders>
          </w:tcPr>
          <w:p w:rsidR="00F52A46" w:rsidRPr="00F52A46" w:rsidRDefault="00F52A46" w:rsidP="00F52A46">
            <w:pPr>
              <w:pStyle w:val="TableParagraph"/>
              <w:spacing w:before="0" w:line="240" w:lineRule="exact"/>
              <w:ind w:left="0"/>
              <w:rPr>
                <w:rFonts w:ascii="Arial" w:hAnsi="Arial" w:cs="Arial"/>
                <w:sz w:val="18"/>
                <w:szCs w:val="18"/>
                <w:lang w:val="de-DE"/>
              </w:rPr>
            </w:pPr>
          </w:p>
        </w:tc>
        <w:tc>
          <w:tcPr>
            <w:tcW w:w="786" w:type="dxa"/>
            <w:vMerge w:val="restart"/>
            <w:tcBorders>
              <w:left w:val="nil"/>
            </w:tcBorders>
          </w:tcPr>
          <w:p w:rsidR="00F52A46" w:rsidRPr="00F52A46" w:rsidRDefault="00F52A46" w:rsidP="00F52A46">
            <w:pPr>
              <w:pStyle w:val="TableParagraph"/>
              <w:spacing w:before="0" w:line="240" w:lineRule="exact"/>
              <w:ind w:left="0"/>
              <w:rPr>
                <w:rFonts w:ascii="Arial" w:hAnsi="Arial" w:cs="Arial"/>
                <w:sz w:val="18"/>
                <w:szCs w:val="18"/>
                <w:lang w:val="de-DE"/>
              </w:rPr>
            </w:pPr>
          </w:p>
          <w:p w:rsidR="00F52A46" w:rsidRPr="00F52A46" w:rsidRDefault="00F52A46" w:rsidP="00F52A46">
            <w:pPr>
              <w:pStyle w:val="TableParagraph"/>
              <w:spacing w:before="0" w:line="240" w:lineRule="exact"/>
              <w:ind w:left="0"/>
              <w:rPr>
                <w:rFonts w:ascii="Arial" w:hAnsi="Arial" w:cs="Arial"/>
                <w:sz w:val="18"/>
                <w:szCs w:val="18"/>
                <w:lang w:val="de-DE"/>
              </w:rPr>
            </w:pPr>
          </w:p>
          <w:p w:rsidR="00F52A46" w:rsidRPr="00F52A46" w:rsidRDefault="00F52A46" w:rsidP="00F52A46">
            <w:pPr>
              <w:pStyle w:val="TableParagraph"/>
              <w:spacing w:before="0" w:line="240" w:lineRule="exact"/>
              <w:ind w:left="0"/>
              <w:rPr>
                <w:rFonts w:ascii="Arial" w:hAnsi="Arial" w:cs="Arial"/>
                <w:sz w:val="18"/>
                <w:szCs w:val="18"/>
                <w:lang w:val="de-DE"/>
              </w:rPr>
            </w:pPr>
            <w:r w:rsidRPr="00F52A46">
              <w:rPr>
                <w:rFonts w:ascii="Arial" w:hAnsi="Arial" w:cs="Arial"/>
                <w:sz w:val="18"/>
                <w:szCs w:val="18"/>
                <w:lang w:val="de-DE"/>
              </w:rPr>
              <w:t>} 211</w:t>
            </w:r>
          </w:p>
        </w:tc>
        <w:tc>
          <w:tcPr>
            <w:tcW w:w="1287" w:type="dxa"/>
            <w:vMerge w:val="restart"/>
          </w:tcPr>
          <w:p w:rsidR="00F52A46" w:rsidRPr="00F52A46" w:rsidRDefault="00F52A46" w:rsidP="00F52A46">
            <w:pPr>
              <w:pStyle w:val="TableParagraph"/>
              <w:spacing w:before="0" w:line="240" w:lineRule="exact"/>
              <w:ind w:left="0"/>
              <w:rPr>
                <w:rFonts w:ascii="Arial" w:hAnsi="Arial" w:cs="Arial"/>
                <w:sz w:val="18"/>
                <w:szCs w:val="18"/>
                <w:lang w:val="de-DE"/>
              </w:rPr>
            </w:pPr>
          </w:p>
          <w:p w:rsidR="00F52A46" w:rsidRPr="00F52A46" w:rsidRDefault="00F52A46" w:rsidP="00F52A46">
            <w:pPr>
              <w:pStyle w:val="TableParagraph"/>
              <w:spacing w:before="0" w:line="240" w:lineRule="exact"/>
              <w:ind w:left="0"/>
              <w:rPr>
                <w:rFonts w:ascii="Arial" w:hAnsi="Arial" w:cs="Arial"/>
                <w:sz w:val="18"/>
                <w:szCs w:val="18"/>
                <w:lang w:val="de-DE"/>
              </w:rPr>
            </w:pPr>
            <w:r w:rsidRPr="00F52A46">
              <w:rPr>
                <w:rFonts w:ascii="Arial" w:hAnsi="Arial" w:cs="Arial"/>
                <w:sz w:val="18"/>
                <w:szCs w:val="18"/>
                <w:lang w:val="de-DE"/>
              </w:rPr>
              <w:t>10,00 Euro/m² Wohnfläche</w:t>
            </w:r>
          </w:p>
        </w:tc>
        <w:tc>
          <w:tcPr>
            <w:tcW w:w="1161" w:type="dxa"/>
            <w:vMerge w:val="restart"/>
          </w:tcPr>
          <w:p w:rsidR="00F52A46" w:rsidRPr="00F52A46" w:rsidRDefault="00F52A46" w:rsidP="00F52A46">
            <w:pPr>
              <w:pStyle w:val="TableParagraph"/>
              <w:spacing w:before="0" w:line="240" w:lineRule="exact"/>
              <w:ind w:left="0"/>
              <w:rPr>
                <w:rFonts w:ascii="Arial" w:hAnsi="Arial" w:cs="Arial"/>
                <w:sz w:val="18"/>
                <w:szCs w:val="18"/>
                <w:lang w:val="de-DE"/>
              </w:rPr>
            </w:pPr>
          </w:p>
          <w:p w:rsidR="00F52A46" w:rsidRPr="00F52A46" w:rsidRDefault="00F52A46" w:rsidP="00F52A46">
            <w:pPr>
              <w:pStyle w:val="TableParagraph"/>
              <w:spacing w:before="0" w:line="240" w:lineRule="exact"/>
              <w:ind w:left="0"/>
              <w:rPr>
                <w:rFonts w:ascii="Arial" w:hAnsi="Arial" w:cs="Arial"/>
                <w:sz w:val="18"/>
                <w:szCs w:val="18"/>
                <w:lang w:val="de-DE"/>
              </w:rPr>
            </w:pPr>
            <w:r w:rsidRPr="00F52A46">
              <w:rPr>
                <w:rFonts w:ascii="Arial" w:hAnsi="Arial" w:cs="Arial"/>
                <w:sz w:val="18"/>
                <w:szCs w:val="18"/>
                <w:lang w:val="de-DE"/>
              </w:rPr>
              <w:t>10,00 Euro/m² Wohnfläche</w:t>
            </w:r>
          </w:p>
        </w:tc>
      </w:tr>
      <w:tr w:rsidR="00F52A46" w:rsidRPr="00F52A46" w:rsidTr="00F52A46">
        <w:trPr>
          <w:trHeight w:val="622"/>
          <w:jc w:val="center"/>
        </w:trPr>
        <w:tc>
          <w:tcPr>
            <w:tcW w:w="1180" w:type="dxa"/>
            <w:vMerge/>
            <w:tcBorders>
              <w:top w:val="nil"/>
            </w:tcBorders>
          </w:tcPr>
          <w:p w:rsidR="00F52A46" w:rsidRPr="00F52A46" w:rsidRDefault="00F52A46" w:rsidP="00F52A46">
            <w:pPr>
              <w:spacing w:line="240" w:lineRule="exact"/>
              <w:rPr>
                <w:rFonts w:cs="Arial"/>
                <w:sz w:val="18"/>
                <w:szCs w:val="18"/>
                <w:lang w:val="de-DE"/>
              </w:rPr>
            </w:pPr>
          </w:p>
        </w:tc>
        <w:tc>
          <w:tcPr>
            <w:tcW w:w="1215" w:type="dxa"/>
            <w:vMerge/>
            <w:tcBorders>
              <w:top w:val="nil"/>
            </w:tcBorders>
          </w:tcPr>
          <w:p w:rsidR="00F52A46" w:rsidRPr="00F52A46" w:rsidRDefault="00F52A46" w:rsidP="00F52A46">
            <w:pPr>
              <w:spacing w:line="240" w:lineRule="exact"/>
              <w:rPr>
                <w:rFonts w:cs="Arial"/>
                <w:sz w:val="18"/>
                <w:szCs w:val="18"/>
                <w:lang w:val="de-DE"/>
              </w:rPr>
            </w:pPr>
          </w:p>
        </w:tc>
        <w:tc>
          <w:tcPr>
            <w:tcW w:w="980" w:type="dxa"/>
            <w:vMerge/>
            <w:tcBorders>
              <w:top w:val="nil"/>
            </w:tcBorders>
          </w:tcPr>
          <w:p w:rsidR="00F52A46" w:rsidRPr="00F52A46" w:rsidRDefault="00F52A46" w:rsidP="00F52A46">
            <w:pPr>
              <w:spacing w:line="240" w:lineRule="exact"/>
              <w:rPr>
                <w:rFonts w:cs="Arial"/>
                <w:sz w:val="18"/>
                <w:szCs w:val="18"/>
                <w:lang w:val="de-DE"/>
              </w:rPr>
            </w:pPr>
          </w:p>
        </w:tc>
        <w:tc>
          <w:tcPr>
            <w:tcW w:w="716" w:type="dxa"/>
            <w:vMerge/>
            <w:tcBorders>
              <w:top w:val="nil"/>
            </w:tcBorders>
          </w:tcPr>
          <w:p w:rsidR="00F52A46" w:rsidRPr="00F52A46" w:rsidRDefault="00F52A46" w:rsidP="00F52A46">
            <w:pPr>
              <w:spacing w:line="240" w:lineRule="exact"/>
              <w:rPr>
                <w:rFonts w:cs="Arial"/>
                <w:sz w:val="18"/>
                <w:szCs w:val="18"/>
                <w:lang w:val="de-DE"/>
              </w:rPr>
            </w:pPr>
          </w:p>
        </w:tc>
        <w:tc>
          <w:tcPr>
            <w:tcW w:w="716" w:type="dxa"/>
            <w:vMerge/>
            <w:tcBorders>
              <w:top w:val="nil"/>
            </w:tcBorders>
          </w:tcPr>
          <w:p w:rsidR="00F52A46" w:rsidRPr="00F52A46" w:rsidRDefault="00F52A46" w:rsidP="00F52A46">
            <w:pPr>
              <w:spacing w:line="240" w:lineRule="exact"/>
              <w:rPr>
                <w:rFonts w:cs="Arial"/>
                <w:sz w:val="18"/>
                <w:szCs w:val="18"/>
                <w:lang w:val="de-DE"/>
              </w:rPr>
            </w:pPr>
          </w:p>
        </w:tc>
        <w:tc>
          <w:tcPr>
            <w:tcW w:w="709" w:type="dxa"/>
            <w:vMerge/>
            <w:tcBorders>
              <w:top w:val="nil"/>
            </w:tcBorders>
          </w:tcPr>
          <w:p w:rsidR="00F52A46" w:rsidRPr="00F52A46" w:rsidRDefault="00F52A46" w:rsidP="00F52A46">
            <w:pPr>
              <w:spacing w:line="240" w:lineRule="exact"/>
              <w:rPr>
                <w:rFonts w:cs="Arial"/>
                <w:sz w:val="18"/>
                <w:szCs w:val="18"/>
                <w:lang w:val="de-DE"/>
              </w:rPr>
            </w:pPr>
          </w:p>
        </w:tc>
        <w:tc>
          <w:tcPr>
            <w:tcW w:w="707" w:type="dxa"/>
            <w:vMerge/>
            <w:tcBorders>
              <w:top w:val="nil"/>
            </w:tcBorders>
          </w:tcPr>
          <w:p w:rsidR="00F52A46" w:rsidRPr="00F52A46" w:rsidRDefault="00F52A46" w:rsidP="00F52A46">
            <w:pPr>
              <w:spacing w:line="240" w:lineRule="exact"/>
              <w:rPr>
                <w:rFonts w:cs="Arial"/>
                <w:sz w:val="18"/>
                <w:szCs w:val="18"/>
                <w:lang w:val="de-DE"/>
              </w:rPr>
            </w:pPr>
          </w:p>
        </w:tc>
        <w:tc>
          <w:tcPr>
            <w:tcW w:w="102" w:type="dxa"/>
            <w:vMerge/>
            <w:tcBorders>
              <w:top w:val="nil"/>
              <w:bottom w:val="single" w:sz="12" w:space="0" w:color="000000"/>
              <w:right w:val="nil"/>
            </w:tcBorders>
          </w:tcPr>
          <w:p w:rsidR="00F52A46" w:rsidRPr="00F52A46" w:rsidRDefault="00F52A46" w:rsidP="00F52A46">
            <w:pPr>
              <w:spacing w:line="240" w:lineRule="exact"/>
              <w:rPr>
                <w:rFonts w:cs="Arial"/>
                <w:sz w:val="18"/>
                <w:szCs w:val="18"/>
                <w:lang w:val="de-DE"/>
              </w:rPr>
            </w:pPr>
          </w:p>
        </w:tc>
        <w:tc>
          <w:tcPr>
            <w:tcW w:w="101" w:type="dxa"/>
            <w:tcBorders>
              <w:top w:val="nil"/>
              <w:left w:val="nil"/>
              <w:bottom w:val="nil"/>
              <w:right w:val="nil"/>
            </w:tcBorders>
          </w:tcPr>
          <w:p w:rsidR="00F52A46" w:rsidRPr="00F52A46" w:rsidRDefault="00F52A46" w:rsidP="00F52A46">
            <w:pPr>
              <w:pStyle w:val="TableParagraph"/>
              <w:spacing w:before="0" w:line="240" w:lineRule="exact"/>
              <w:ind w:left="0"/>
              <w:rPr>
                <w:rFonts w:ascii="Arial" w:hAnsi="Arial" w:cs="Arial"/>
                <w:sz w:val="18"/>
                <w:szCs w:val="18"/>
                <w:lang w:val="de-DE"/>
              </w:rPr>
            </w:pPr>
          </w:p>
        </w:tc>
        <w:tc>
          <w:tcPr>
            <w:tcW w:w="786" w:type="dxa"/>
            <w:vMerge/>
            <w:tcBorders>
              <w:top w:val="nil"/>
              <w:left w:val="nil"/>
            </w:tcBorders>
          </w:tcPr>
          <w:p w:rsidR="00F52A46" w:rsidRPr="00F52A46" w:rsidRDefault="00F52A46" w:rsidP="00F52A46">
            <w:pPr>
              <w:spacing w:line="240" w:lineRule="exact"/>
              <w:rPr>
                <w:rFonts w:cs="Arial"/>
                <w:sz w:val="18"/>
                <w:szCs w:val="18"/>
                <w:lang w:val="de-DE"/>
              </w:rPr>
            </w:pPr>
          </w:p>
        </w:tc>
        <w:tc>
          <w:tcPr>
            <w:tcW w:w="1287" w:type="dxa"/>
            <w:vMerge/>
            <w:tcBorders>
              <w:top w:val="nil"/>
            </w:tcBorders>
          </w:tcPr>
          <w:p w:rsidR="00F52A46" w:rsidRPr="00F52A46" w:rsidRDefault="00F52A46" w:rsidP="00F52A46">
            <w:pPr>
              <w:spacing w:line="240" w:lineRule="exact"/>
              <w:rPr>
                <w:rFonts w:cs="Arial"/>
                <w:sz w:val="18"/>
                <w:szCs w:val="18"/>
                <w:lang w:val="de-DE"/>
              </w:rPr>
            </w:pPr>
          </w:p>
        </w:tc>
        <w:tc>
          <w:tcPr>
            <w:tcW w:w="1161" w:type="dxa"/>
            <w:vMerge/>
            <w:tcBorders>
              <w:top w:val="nil"/>
            </w:tcBorders>
          </w:tcPr>
          <w:p w:rsidR="00F52A46" w:rsidRPr="00F52A46" w:rsidRDefault="00F52A46" w:rsidP="00F52A46">
            <w:pPr>
              <w:spacing w:line="240" w:lineRule="exact"/>
              <w:rPr>
                <w:rFonts w:cs="Arial"/>
                <w:sz w:val="18"/>
                <w:szCs w:val="18"/>
                <w:lang w:val="de-DE"/>
              </w:rPr>
            </w:pPr>
          </w:p>
        </w:tc>
      </w:tr>
    </w:tbl>
    <w:p w:rsidR="00F52A46" w:rsidRDefault="00F52A46" w:rsidP="00DD3048">
      <w:pPr>
        <w:pStyle w:val="LTAntwortRessortText"/>
      </w:pPr>
    </w:p>
    <w:p w:rsidR="00661D97" w:rsidRDefault="00661D97" w:rsidP="00661D97">
      <w:pPr>
        <w:pStyle w:val="LTAntwortRessortText"/>
        <w:tabs>
          <w:tab w:val="center" w:pos="2835"/>
        </w:tabs>
        <w:spacing w:before="120"/>
        <w:ind w:left="3175" w:hanging="2835"/>
      </w:pPr>
      <w:r>
        <w:br w:type="column"/>
      </w:r>
      <w:r>
        <w:lastRenderedPageBreak/>
        <w:t xml:space="preserve">Bauvorhaben in Bau </w:t>
      </w:r>
      <w:r>
        <w:tab/>
      </w:r>
      <w:r>
        <w:tab/>
      </w:r>
      <w:r w:rsidRPr="00661D97">
        <w:t>Nürnberg, Dollnsteiner Straße</w:t>
      </w:r>
    </w:p>
    <w:p w:rsidR="00661D97" w:rsidRDefault="00661D97" w:rsidP="00661D97">
      <w:pPr>
        <w:pStyle w:val="LTAntwortRessortText"/>
        <w:tabs>
          <w:tab w:val="center" w:pos="2835"/>
        </w:tabs>
        <w:spacing w:before="120"/>
        <w:ind w:left="3175" w:hanging="2835"/>
      </w:pPr>
      <w:r>
        <w:t>Standort</w:t>
      </w:r>
      <w:r>
        <w:tab/>
      </w:r>
      <w:r>
        <w:tab/>
      </w:r>
      <w:r w:rsidRPr="00661D97">
        <w:t>Dollnsteiner Straße, Reichelsdorf</w:t>
      </w:r>
    </w:p>
    <w:p w:rsidR="00661D97" w:rsidRDefault="00661D97" w:rsidP="00661D97">
      <w:pPr>
        <w:pStyle w:val="LTAntwortRessortText"/>
        <w:tabs>
          <w:tab w:val="center" w:pos="3119"/>
        </w:tabs>
        <w:spacing w:before="120"/>
        <w:ind w:left="3175" w:hanging="2835"/>
      </w:pPr>
      <w:r>
        <w:t>Baufertigstellungsjahr</w:t>
      </w:r>
      <w:r>
        <w:tab/>
      </w:r>
      <w:r>
        <w:tab/>
        <w:t>2024</w:t>
      </w:r>
    </w:p>
    <w:p w:rsidR="00661D97" w:rsidRDefault="00661D97" w:rsidP="00661D97">
      <w:pPr>
        <w:pStyle w:val="LTAntwortRessortText"/>
        <w:tabs>
          <w:tab w:val="center" w:pos="2977"/>
        </w:tabs>
        <w:spacing w:before="120"/>
        <w:ind w:left="3175" w:hanging="2835"/>
      </w:pPr>
      <w:r>
        <w:t>Kosten pro Quadratmeter</w:t>
      </w:r>
      <w:r>
        <w:tab/>
      </w:r>
      <w:r>
        <w:tab/>
      </w:r>
      <w:r w:rsidRPr="00661D97">
        <w:t>2.623 Euro pro Quadratmeter (Kostengruppen 300 und 400)</w:t>
      </w:r>
    </w:p>
    <w:p w:rsidR="00661D97" w:rsidRDefault="00661D97" w:rsidP="00DD3048">
      <w:pPr>
        <w:pStyle w:val="LTAntwortRessortText"/>
      </w:pP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76"/>
        <w:gridCol w:w="1211"/>
        <w:gridCol w:w="978"/>
        <w:gridCol w:w="713"/>
        <w:gridCol w:w="715"/>
        <w:gridCol w:w="706"/>
        <w:gridCol w:w="706"/>
        <w:gridCol w:w="985"/>
        <w:gridCol w:w="1285"/>
        <w:gridCol w:w="1157"/>
      </w:tblGrid>
      <w:tr w:rsidR="00661D97" w:rsidRPr="00661D97" w:rsidTr="00661D97">
        <w:trPr>
          <w:trHeight w:val="247"/>
          <w:jc w:val="center"/>
        </w:trPr>
        <w:tc>
          <w:tcPr>
            <w:tcW w:w="1176" w:type="dxa"/>
            <w:vMerge w:val="restart"/>
            <w:tcBorders>
              <w:bottom w:val="single" w:sz="4" w:space="0" w:color="000000"/>
            </w:tcBorders>
            <w:vAlign w:val="center"/>
          </w:tcPr>
          <w:p w:rsidR="00661D97" w:rsidRPr="00661D97" w:rsidRDefault="00661D97" w:rsidP="00661D97">
            <w:pPr>
              <w:pStyle w:val="TableParagraph"/>
              <w:spacing w:before="0"/>
              <w:ind w:left="0"/>
              <w:jc w:val="center"/>
              <w:rPr>
                <w:rFonts w:ascii="Arial" w:hAnsi="Arial" w:cs="Arial"/>
                <w:sz w:val="18"/>
                <w:szCs w:val="18"/>
                <w:lang w:val="de-DE"/>
              </w:rPr>
            </w:pPr>
            <w:r w:rsidRPr="00661D97">
              <w:rPr>
                <w:rFonts w:ascii="Arial" w:hAnsi="Arial" w:cs="Arial"/>
                <w:sz w:val="18"/>
                <w:szCs w:val="18"/>
                <w:lang w:val="de-DE"/>
              </w:rPr>
              <w:t>Anzahl Wohnungen</w:t>
            </w:r>
          </w:p>
        </w:tc>
        <w:tc>
          <w:tcPr>
            <w:tcW w:w="1211" w:type="dxa"/>
            <w:vMerge w:val="restart"/>
            <w:tcBorders>
              <w:bottom w:val="single" w:sz="4" w:space="0" w:color="000000"/>
            </w:tcBorders>
            <w:vAlign w:val="center"/>
          </w:tcPr>
          <w:p w:rsidR="00661D97" w:rsidRPr="00661D97" w:rsidRDefault="00661D97" w:rsidP="00661D97">
            <w:pPr>
              <w:pStyle w:val="TableParagraph"/>
              <w:spacing w:before="0"/>
              <w:ind w:left="0"/>
              <w:jc w:val="center"/>
              <w:rPr>
                <w:rFonts w:ascii="Arial" w:hAnsi="Arial" w:cs="Arial"/>
                <w:sz w:val="18"/>
                <w:szCs w:val="18"/>
                <w:lang w:val="de-DE"/>
              </w:rPr>
            </w:pPr>
            <w:r w:rsidRPr="00661D97">
              <w:rPr>
                <w:rFonts w:ascii="Arial" w:hAnsi="Arial" w:cs="Arial"/>
                <w:sz w:val="18"/>
                <w:szCs w:val="18"/>
                <w:lang w:val="de-DE"/>
              </w:rPr>
              <w:t>Wohnungs- größen</w:t>
            </w:r>
          </w:p>
        </w:tc>
        <w:tc>
          <w:tcPr>
            <w:tcW w:w="978" w:type="dxa"/>
            <w:tcBorders>
              <w:bottom w:val="single" w:sz="4" w:space="0" w:color="000000"/>
              <w:right w:val="single" w:sz="6" w:space="0" w:color="D3D3D3"/>
            </w:tcBorders>
            <w:vAlign w:val="center"/>
          </w:tcPr>
          <w:p w:rsidR="00661D97" w:rsidRPr="00661D97" w:rsidRDefault="00661D97" w:rsidP="00661D97">
            <w:pPr>
              <w:pStyle w:val="TableParagraph"/>
              <w:spacing w:before="0"/>
              <w:ind w:left="0"/>
              <w:jc w:val="center"/>
              <w:rPr>
                <w:rFonts w:ascii="Arial" w:hAnsi="Arial" w:cs="Arial"/>
                <w:sz w:val="18"/>
                <w:szCs w:val="18"/>
                <w:lang w:val="de-DE"/>
              </w:rPr>
            </w:pPr>
          </w:p>
        </w:tc>
        <w:tc>
          <w:tcPr>
            <w:tcW w:w="713" w:type="dxa"/>
            <w:tcBorders>
              <w:left w:val="single" w:sz="6" w:space="0" w:color="D3D3D3"/>
              <w:bottom w:val="single" w:sz="4" w:space="0" w:color="000000"/>
              <w:right w:val="single" w:sz="4" w:space="0" w:color="D3D3D3"/>
            </w:tcBorders>
            <w:vAlign w:val="center"/>
          </w:tcPr>
          <w:p w:rsidR="00661D97" w:rsidRPr="00661D97" w:rsidRDefault="00661D97" w:rsidP="00661D97">
            <w:pPr>
              <w:pStyle w:val="TableParagraph"/>
              <w:spacing w:before="0"/>
              <w:ind w:left="0"/>
              <w:jc w:val="center"/>
              <w:rPr>
                <w:rFonts w:ascii="Arial" w:hAnsi="Arial" w:cs="Arial"/>
                <w:sz w:val="18"/>
                <w:szCs w:val="18"/>
                <w:lang w:val="de-DE"/>
              </w:rPr>
            </w:pPr>
          </w:p>
        </w:tc>
        <w:tc>
          <w:tcPr>
            <w:tcW w:w="715" w:type="dxa"/>
            <w:tcBorders>
              <w:left w:val="single" w:sz="4" w:space="0" w:color="D3D3D3"/>
              <w:bottom w:val="single" w:sz="4" w:space="0" w:color="000000"/>
              <w:right w:val="single" w:sz="6" w:space="0" w:color="D3D3D3"/>
            </w:tcBorders>
            <w:vAlign w:val="center"/>
          </w:tcPr>
          <w:p w:rsidR="00661D97" w:rsidRPr="00661D97" w:rsidRDefault="00661D97" w:rsidP="00661D97">
            <w:pPr>
              <w:pStyle w:val="TableParagraph"/>
              <w:spacing w:before="0"/>
              <w:ind w:left="0"/>
              <w:jc w:val="center"/>
              <w:rPr>
                <w:rFonts w:ascii="Arial" w:hAnsi="Arial" w:cs="Arial"/>
                <w:sz w:val="18"/>
                <w:szCs w:val="18"/>
                <w:lang w:val="de-DE"/>
              </w:rPr>
            </w:pPr>
          </w:p>
        </w:tc>
        <w:tc>
          <w:tcPr>
            <w:tcW w:w="706" w:type="dxa"/>
            <w:tcBorders>
              <w:left w:val="single" w:sz="6" w:space="0" w:color="D3D3D3"/>
              <w:bottom w:val="single" w:sz="4" w:space="0" w:color="000000"/>
              <w:right w:val="single" w:sz="6" w:space="0" w:color="D3D3D3"/>
            </w:tcBorders>
            <w:vAlign w:val="center"/>
          </w:tcPr>
          <w:p w:rsidR="00661D97" w:rsidRPr="00661D97" w:rsidRDefault="00661D97" w:rsidP="00661D97">
            <w:pPr>
              <w:pStyle w:val="TableParagraph"/>
              <w:spacing w:before="0"/>
              <w:ind w:left="0"/>
              <w:jc w:val="center"/>
              <w:rPr>
                <w:rFonts w:ascii="Arial" w:hAnsi="Arial" w:cs="Arial"/>
                <w:sz w:val="18"/>
                <w:szCs w:val="18"/>
                <w:lang w:val="de-DE"/>
              </w:rPr>
            </w:pPr>
          </w:p>
        </w:tc>
        <w:tc>
          <w:tcPr>
            <w:tcW w:w="706" w:type="dxa"/>
            <w:tcBorders>
              <w:left w:val="single" w:sz="6" w:space="0" w:color="D3D3D3"/>
              <w:bottom w:val="single" w:sz="4" w:space="0" w:color="000000"/>
              <w:right w:val="single" w:sz="6" w:space="0" w:color="D3D3D3"/>
            </w:tcBorders>
            <w:vAlign w:val="center"/>
          </w:tcPr>
          <w:p w:rsidR="00661D97" w:rsidRPr="00661D97" w:rsidRDefault="00661D97" w:rsidP="00661D97">
            <w:pPr>
              <w:pStyle w:val="TableParagraph"/>
              <w:spacing w:before="0"/>
              <w:ind w:left="0"/>
              <w:jc w:val="center"/>
              <w:rPr>
                <w:rFonts w:ascii="Arial" w:hAnsi="Arial" w:cs="Arial"/>
                <w:sz w:val="18"/>
                <w:szCs w:val="18"/>
                <w:lang w:val="de-DE"/>
              </w:rPr>
            </w:pPr>
          </w:p>
        </w:tc>
        <w:tc>
          <w:tcPr>
            <w:tcW w:w="985" w:type="dxa"/>
            <w:tcBorders>
              <w:left w:val="single" w:sz="6" w:space="0" w:color="D3D3D3"/>
              <w:bottom w:val="single" w:sz="4" w:space="0" w:color="000000"/>
              <w:right w:val="single" w:sz="4" w:space="0" w:color="000000"/>
            </w:tcBorders>
            <w:vAlign w:val="center"/>
          </w:tcPr>
          <w:p w:rsidR="00661D97" w:rsidRPr="00661D97" w:rsidRDefault="00661D97" w:rsidP="00661D97">
            <w:pPr>
              <w:pStyle w:val="TableParagraph"/>
              <w:spacing w:before="0"/>
              <w:ind w:left="0"/>
              <w:jc w:val="center"/>
              <w:rPr>
                <w:rFonts w:ascii="Arial" w:hAnsi="Arial" w:cs="Arial"/>
                <w:sz w:val="18"/>
                <w:szCs w:val="18"/>
                <w:lang w:val="de-DE"/>
              </w:rPr>
            </w:pPr>
          </w:p>
        </w:tc>
        <w:tc>
          <w:tcPr>
            <w:tcW w:w="1285" w:type="dxa"/>
            <w:vMerge w:val="restart"/>
            <w:tcBorders>
              <w:left w:val="single" w:sz="4" w:space="0" w:color="000000"/>
              <w:bottom w:val="single" w:sz="4" w:space="0" w:color="000000"/>
            </w:tcBorders>
            <w:vAlign w:val="center"/>
          </w:tcPr>
          <w:p w:rsidR="00661D97" w:rsidRPr="00661D97" w:rsidRDefault="00661D97" w:rsidP="00661D97">
            <w:pPr>
              <w:pStyle w:val="TableParagraph"/>
              <w:spacing w:before="0"/>
              <w:ind w:left="0"/>
              <w:jc w:val="center"/>
              <w:rPr>
                <w:rFonts w:ascii="Arial" w:hAnsi="Arial" w:cs="Arial"/>
                <w:sz w:val="18"/>
                <w:szCs w:val="18"/>
                <w:lang w:val="de-DE"/>
              </w:rPr>
            </w:pPr>
            <w:r w:rsidRPr="00661D97">
              <w:rPr>
                <w:rFonts w:ascii="Arial" w:hAnsi="Arial" w:cs="Arial"/>
                <w:sz w:val="18"/>
                <w:szCs w:val="18"/>
                <w:lang w:val="de-DE"/>
              </w:rPr>
              <w:t>Bewilligungs-/ Kaltmiete</w:t>
            </w:r>
          </w:p>
        </w:tc>
        <w:tc>
          <w:tcPr>
            <w:tcW w:w="1157" w:type="dxa"/>
            <w:vMerge w:val="restart"/>
            <w:tcBorders>
              <w:bottom w:val="single" w:sz="4" w:space="0" w:color="000000"/>
            </w:tcBorders>
            <w:vAlign w:val="center"/>
          </w:tcPr>
          <w:p w:rsidR="00661D97" w:rsidRPr="00661D97" w:rsidRDefault="00661D97" w:rsidP="00661D97">
            <w:pPr>
              <w:pStyle w:val="TableParagraph"/>
              <w:spacing w:before="0"/>
              <w:ind w:left="0"/>
              <w:jc w:val="center"/>
              <w:rPr>
                <w:rFonts w:ascii="Arial" w:hAnsi="Arial" w:cs="Arial"/>
                <w:sz w:val="18"/>
                <w:szCs w:val="18"/>
                <w:lang w:val="de-DE"/>
              </w:rPr>
            </w:pPr>
            <w:r w:rsidRPr="00661D97">
              <w:rPr>
                <w:rFonts w:ascii="Arial" w:hAnsi="Arial" w:cs="Arial"/>
                <w:sz w:val="18"/>
                <w:szCs w:val="18"/>
                <w:lang w:val="de-DE"/>
              </w:rPr>
              <w:t xml:space="preserve">Miete </w:t>
            </w:r>
            <w:r w:rsidRPr="00661D97">
              <w:rPr>
                <w:rFonts w:ascii="Arial" w:hAnsi="Arial" w:cs="Arial"/>
                <w:w w:val="95"/>
                <w:sz w:val="18"/>
                <w:szCs w:val="18"/>
                <w:lang w:val="de-DE"/>
              </w:rPr>
              <w:t>freifinanziert</w:t>
            </w:r>
          </w:p>
        </w:tc>
      </w:tr>
      <w:tr w:rsidR="00661D97" w:rsidRPr="00661D97" w:rsidTr="00661D97">
        <w:trPr>
          <w:trHeight w:val="820"/>
          <w:jc w:val="center"/>
        </w:trPr>
        <w:tc>
          <w:tcPr>
            <w:tcW w:w="1176" w:type="dxa"/>
            <w:vMerge/>
            <w:tcBorders>
              <w:top w:val="nil"/>
              <w:bottom w:val="single" w:sz="4" w:space="0" w:color="000000"/>
            </w:tcBorders>
          </w:tcPr>
          <w:p w:rsidR="00661D97" w:rsidRPr="00661D97" w:rsidRDefault="00661D97" w:rsidP="00661D97">
            <w:pPr>
              <w:rPr>
                <w:rFonts w:cs="Arial"/>
                <w:sz w:val="18"/>
                <w:szCs w:val="18"/>
                <w:lang w:val="de-DE"/>
              </w:rPr>
            </w:pPr>
          </w:p>
        </w:tc>
        <w:tc>
          <w:tcPr>
            <w:tcW w:w="1211" w:type="dxa"/>
            <w:vMerge/>
            <w:tcBorders>
              <w:top w:val="nil"/>
              <w:bottom w:val="single" w:sz="4" w:space="0" w:color="000000"/>
            </w:tcBorders>
          </w:tcPr>
          <w:p w:rsidR="00661D97" w:rsidRPr="00661D97" w:rsidRDefault="00661D97" w:rsidP="00661D97">
            <w:pPr>
              <w:rPr>
                <w:rFonts w:cs="Arial"/>
                <w:sz w:val="18"/>
                <w:szCs w:val="18"/>
                <w:lang w:val="de-DE"/>
              </w:rPr>
            </w:pPr>
          </w:p>
        </w:tc>
        <w:tc>
          <w:tcPr>
            <w:tcW w:w="978" w:type="dxa"/>
            <w:tcBorders>
              <w:top w:val="single" w:sz="4" w:space="0" w:color="000000"/>
              <w:bottom w:val="single" w:sz="4" w:space="0" w:color="000000"/>
            </w:tcBorders>
            <w:vAlign w:val="center"/>
          </w:tcPr>
          <w:p w:rsidR="00661D97" w:rsidRPr="00661D97" w:rsidRDefault="00661D97" w:rsidP="00661D97">
            <w:pPr>
              <w:pStyle w:val="TableParagraph"/>
              <w:spacing w:before="0"/>
              <w:ind w:left="0"/>
              <w:jc w:val="center"/>
              <w:rPr>
                <w:rFonts w:ascii="Arial" w:hAnsi="Arial" w:cs="Arial"/>
                <w:sz w:val="18"/>
                <w:szCs w:val="18"/>
                <w:lang w:val="de-DE"/>
              </w:rPr>
            </w:pPr>
            <w:r w:rsidRPr="00661D97">
              <w:rPr>
                <w:rFonts w:ascii="Arial" w:hAnsi="Arial" w:cs="Arial"/>
                <w:sz w:val="18"/>
                <w:szCs w:val="18"/>
                <w:lang w:val="de-DE"/>
              </w:rPr>
              <w:t>Anzahl gesamt</w:t>
            </w:r>
          </w:p>
        </w:tc>
        <w:tc>
          <w:tcPr>
            <w:tcW w:w="713" w:type="dxa"/>
            <w:tcBorders>
              <w:top w:val="single" w:sz="4" w:space="0" w:color="000000"/>
              <w:bottom w:val="single" w:sz="4" w:space="0" w:color="000000"/>
              <w:right w:val="single" w:sz="4" w:space="0" w:color="000000"/>
            </w:tcBorders>
            <w:vAlign w:val="center"/>
          </w:tcPr>
          <w:p w:rsidR="00661D97" w:rsidRPr="00661D97" w:rsidRDefault="00661D97" w:rsidP="00661D97">
            <w:pPr>
              <w:pStyle w:val="TableParagraph"/>
              <w:spacing w:before="0"/>
              <w:ind w:left="0"/>
              <w:jc w:val="center"/>
              <w:rPr>
                <w:rFonts w:ascii="Arial" w:hAnsi="Arial" w:cs="Arial"/>
                <w:sz w:val="18"/>
                <w:szCs w:val="18"/>
                <w:lang w:val="de-DE"/>
              </w:rPr>
            </w:pPr>
            <w:r w:rsidRPr="00661D97">
              <w:rPr>
                <w:rFonts w:ascii="Arial" w:hAnsi="Arial" w:cs="Arial"/>
                <w:sz w:val="18"/>
                <w:szCs w:val="18"/>
                <w:lang w:val="de-DE"/>
              </w:rPr>
              <w:t>davon EOF</w:t>
            </w:r>
          </w:p>
        </w:tc>
        <w:tc>
          <w:tcPr>
            <w:tcW w:w="715" w:type="dxa"/>
            <w:tcBorders>
              <w:top w:val="single" w:sz="4" w:space="0" w:color="000000"/>
              <w:left w:val="single" w:sz="4" w:space="0" w:color="000000"/>
              <w:bottom w:val="single" w:sz="4" w:space="0" w:color="000000"/>
            </w:tcBorders>
            <w:vAlign w:val="center"/>
          </w:tcPr>
          <w:p w:rsidR="00661D97" w:rsidRPr="00661D97" w:rsidRDefault="00661D97" w:rsidP="00661D97">
            <w:pPr>
              <w:pStyle w:val="TableParagraph"/>
              <w:spacing w:before="0"/>
              <w:ind w:left="0"/>
              <w:jc w:val="center"/>
              <w:rPr>
                <w:rFonts w:ascii="Arial" w:hAnsi="Arial" w:cs="Arial"/>
                <w:sz w:val="18"/>
                <w:szCs w:val="18"/>
                <w:lang w:val="de-DE"/>
              </w:rPr>
            </w:pPr>
          </w:p>
          <w:p w:rsidR="00661D97" w:rsidRPr="00661D97" w:rsidRDefault="00661D97" w:rsidP="00661D97">
            <w:pPr>
              <w:pStyle w:val="TableParagraph"/>
              <w:spacing w:before="0"/>
              <w:ind w:left="0"/>
              <w:jc w:val="center"/>
              <w:rPr>
                <w:rFonts w:ascii="Arial" w:hAnsi="Arial" w:cs="Arial"/>
                <w:sz w:val="18"/>
                <w:szCs w:val="18"/>
                <w:lang w:val="de-DE"/>
              </w:rPr>
            </w:pPr>
            <w:r w:rsidRPr="00661D97">
              <w:rPr>
                <w:rFonts w:ascii="Arial" w:hAnsi="Arial" w:cs="Arial"/>
                <w:sz w:val="18"/>
                <w:szCs w:val="18"/>
                <w:lang w:val="de-DE"/>
              </w:rPr>
              <w:t>davon Stufe 1</w:t>
            </w:r>
          </w:p>
        </w:tc>
        <w:tc>
          <w:tcPr>
            <w:tcW w:w="706" w:type="dxa"/>
            <w:tcBorders>
              <w:top w:val="single" w:sz="4" w:space="0" w:color="000000"/>
              <w:bottom w:val="single" w:sz="4" w:space="0" w:color="000000"/>
            </w:tcBorders>
            <w:vAlign w:val="center"/>
          </w:tcPr>
          <w:p w:rsidR="00661D97" w:rsidRPr="00661D97" w:rsidRDefault="00661D97" w:rsidP="00661D97">
            <w:pPr>
              <w:pStyle w:val="TableParagraph"/>
              <w:spacing w:before="0"/>
              <w:ind w:left="0"/>
              <w:jc w:val="center"/>
              <w:rPr>
                <w:rFonts w:ascii="Arial" w:hAnsi="Arial" w:cs="Arial"/>
                <w:sz w:val="18"/>
                <w:szCs w:val="18"/>
                <w:lang w:val="de-DE"/>
              </w:rPr>
            </w:pPr>
          </w:p>
          <w:p w:rsidR="00661D97" w:rsidRPr="00661D97" w:rsidRDefault="00661D97" w:rsidP="00661D97">
            <w:pPr>
              <w:pStyle w:val="TableParagraph"/>
              <w:spacing w:before="0"/>
              <w:ind w:left="0"/>
              <w:jc w:val="center"/>
              <w:rPr>
                <w:rFonts w:ascii="Arial" w:hAnsi="Arial" w:cs="Arial"/>
                <w:sz w:val="18"/>
                <w:szCs w:val="18"/>
                <w:lang w:val="de-DE"/>
              </w:rPr>
            </w:pPr>
            <w:r w:rsidRPr="00661D97">
              <w:rPr>
                <w:rFonts w:ascii="Arial" w:hAnsi="Arial" w:cs="Arial"/>
                <w:sz w:val="18"/>
                <w:szCs w:val="18"/>
                <w:lang w:val="de-DE"/>
              </w:rPr>
              <w:t>davon Stufe 2</w:t>
            </w:r>
          </w:p>
        </w:tc>
        <w:tc>
          <w:tcPr>
            <w:tcW w:w="706" w:type="dxa"/>
            <w:tcBorders>
              <w:top w:val="single" w:sz="4" w:space="0" w:color="000000"/>
              <w:bottom w:val="single" w:sz="4" w:space="0" w:color="000000"/>
            </w:tcBorders>
            <w:vAlign w:val="center"/>
          </w:tcPr>
          <w:p w:rsidR="00661D97" w:rsidRPr="00661D97" w:rsidRDefault="00661D97" w:rsidP="00661D97">
            <w:pPr>
              <w:pStyle w:val="TableParagraph"/>
              <w:spacing w:before="0"/>
              <w:ind w:left="0"/>
              <w:jc w:val="center"/>
              <w:rPr>
                <w:rFonts w:ascii="Arial" w:hAnsi="Arial" w:cs="Arial"/>
                <w:sz w:val="18"/>
                <w:szCs w:val="18"/>
                <w:lang w:val="de-DE"/>
              </w:rPr>
            </w:pPr>
          </w:p>
          <w:p w:rsidR="00661D97" w:rsidRPr="00661D97" w:rsidRDefault="00661D97" w:rsidP="00661D97">
            <w:pPr>
              <w:pStyle w:val="TableParagraph"/>
              <w:spacing w:before="0"/>
              <w:ind w:left="0"/>
              <w:jc w:val="center"/>
              <w:rPr>
                <w:rFonts w:ascii="Arial" w:hAnsi="Arial" w:cs="Arial"/>
                <w:sz w:val="18"/>
                <w:szCs w:val="18"/>
                <w:lang w:val="de-DE"/>
              </w:rPr>
            </w:pPr>
            <w:r w:rsidRPr="00661D97">
              <w:rPr>
                <w:rFonts w:ascii="Arial" w:hAnsi="Arial" w:cs="Arial"/>
                <w:sz w:val="18"/>
                <w:szCs w:val="18"/>
                <w:lang w:val="de-DE"/>
              </w:rPr>
              <w:t>davon Stufe 3</w:t>
            </w:r>
          </w:p>
        </w:tc>
        <w:tc>
          <w:tcPr>
            <w:tcW w:w="985" w:type="dxa"/>
            <w:tcBorders>
              <w:top w:val="single" w:sz="4" w:space="0" w:color="000000"/>
              <w:bottom w:val="single" w:sz="4" w:space="0" w:color="000000"/>
              <w:right w:val="single" w:sz="4" w:space="0" w:color="000000"/>
            </w:tcBorders>
            <w:vAlign w:val="center"/>
          </w:tcPr>
          <w:p w:rsidR="00661D97" w:rsidRPr="00661D97" w:rsidRDefault="00661D97" w:rsidP="00661D97">
            <w:pPr>
              <w:pStyle w:val="TableParagraph"/>
              <w:spacing w:before="0"/>
              <w:ind w:left="0"/>
              <w:jc w:val="center"/>
              <w:rPr>
                <w:rFonts w:ascii="Arial" w:hAnsi="Arial" w:cs="Arial"/>
                <w:sz w:val="18"/>
                <w:szCs w:val="18"/>
                <w:lang w:val="de-DE"/>
              </w:rPr>
            </w:pPr>
            <w:r w:rsidRPr="00661D97">
              <w:rPr>
                <w:rFonts w:ascii="Arial" w:hAnsi="Arial" w:cs="Arial"/>
                <w:sz w:val="18"/>
                <w:szCs w:val="18"/>
                <w:lang w:val="de-DE"/>
              </w:rPr>
              <w:t>davon frei- finanziert</w:t>
            </w:r>
          </w:p>
        </w:tc>
        <w:tc>
          <w:tcPr>
            <w:tcW w:w="1285" w:type="dxa"/>
            <w:vMerge/>
            <w:tcBorders>
              <w:top w:val="nil"/>
              <w:left w:val="single" w:sz="4" w:space="0" w:color="000000"/>
              <w:bottom w:val="single" w:sz="4" w:space="0" w:color="000000"/>
            </w:tcBorders>
          </w:tcPr>
          <w:p w:rsidR="00661D97" w:rsidRPr="00661D97" w:rsidRDefault="00661D97" w:rsidP="00661D97">
            <w:pPr>
              <w:rPr>
                <w:rFonts w:cs="Arial"/>
                <w:sz w:val="18"/>
                <w:szCs w:val="18"/>
                <w:lang w:val="de-DE"/>
              </w:rPr>
            </w:pPr>
          </w:p>
        </w:tc>
        <w:tc>
          <w:tcPr>
            <w:tcW w:w="1157" w:type="dxa"/>
            <w:vMerge/>
            <w:tcBorders>
              <w:top w:val="nil"/>
              <w:bottom w:val="single" w:sz="4" w:space="0" w:color="000000"/>
            </w:tcBorders>
          </w:tcPr>
          <w:p w:rsidR="00661D97" w:rsidRPr="00661D97" w:rsidRDefault="00661D97" w:rsidP="00661D97">
            <w:pPr>
              <w:rPr>
                <w:rFonts w:cs="Arial"/>
                <w:sz w:val="18"/>
                <w:szCs w:val="18"/>
                <w:lang w:val="de-DE"/>
              </w:rPr>
            </w:pPr>
          </w:p>
        </w:tc>
      </w:tr>
      <w:tr w:rsidR="00661D97" w:rsidRPr="00661D97" w:rsidTr="00661D97">
        <w:trPr>
          <w:trHeight w:val="260"/>
          <w:jc w:val="center"/>
        </w:trPr>
        <w:tc>
          <w:tcPr>
            <w:tcW w:w="1176" w:type="dxa"/>
            <w:tcBorders>
              <w:top w:val="single" w:sz="4" w:space="0" w:color="000000"/>
              <w:bottom w:val="nil"/>
            </w:tcBorders>
          </w:tcPr>
          <w:p w:rsidR="00661D97" w:rsidRPr="00661D97" w:rsidRDefault="00661D97" w:rsidP="00661D97">
            <w:pPr>
              <w:pStyle w:val="TableParagraph"/>
              <w:spacing w:before="0"/>
              <w:ind w:left="0"/>
              <w:rPr>
                <w:rFonts w:ascii="Arial" w:hAnsi="Arial" w:cs="Arial"/>
                <w:sz w:val="18"/>
                <w:szCs w:val="18"/>
                <w:lang w:val="de-DE"/>
              </w:rPr>
            </w:pPr>
          </w:p>
        </w:tc>
        <w:tc>
          <w:tcPr>
            <w:tcW w:w="1211" w:type="dxa"/>
            <w:tcBorders>
              <w:top w:val="single" w:sz="4" w:space="0" w:color="000000"/>
              <w:bottom w:val="nil"/>
            </w:tcBorders>
          </w:tcPr>
          <w:p w:rsidR="00661D97" w:rsidRPr="00661D97" w:rsidRDefault="00661D97" w:rsidP="00661D97">
            <w:pPr>
              <w:pStyle w:val="TableParagraph"/>
              <w:spacing w:before="0"/>
              <w:ind w:left="0"/>
              <w:rPr>
                <w:rFonts w:ascii="Arial" w:hAnsi="Arial" w:cs="Arial"/>
                <w:sz w:val="18"/>
                <w:szCs w:val="18"/>
                <w:lang w:val="de-DE"/>
              </w:rPr>
            </w:pPr>
            <w:r w:rsidRPr="00661D97">
              <w:rPr>
                <w:rFonts w:ascii="Arial" w:hAnsi="Arial" w:cs="Arial"/>
                <w:sz w:val="18"/>
                <w:szCs w:val="18"/>
                <w:lang w:val="de-DE"/>
              </w:rPr>
              <w:t>1-Zi.-Whg.</w:t>
            </w:r>
          </w:p>
        </w:tc>
        <w:tc>
          <w:tcPr>
            <w:tcW w:w="978" w:type="dxa"/>
            <w:tcBorders>
              <w:top w:val="single" w:sz="4" w:space="0" w:color="000000"/>
              <w:bottom w:val="nil"/>
            </w:tcBorders>
            <w:vAlign w:val="center"/>
          </w:tcPr>
          <w:p w:rsidR="00661D97" w:rsidRPr="00661D97" w:rsidRDefault="00661D97" w:rsidP="00661D97">
            <w:pPr>
              <w:pStyle w:val="TableParagraph"/>
              <w:spacing w:before="0"/>
              <w:ind w:left="0"/>
              <w:jc w:val="center"/>
              <w:rPr>
                <w:rFonts w:ascii="Arial" w:hAnsi="Arial" w:cs="Arial"/>
                <w:sz w:val="18"/>
                <w:szCs w:val="18"/>
                <w:lang w:val="de-DE"/>
              </w:rPr>
            </w:pPr>
            <w:r w:rsidRPr="00661D97">
              <w:rPr>
                <w:rFonts w:ascii="Arial" w:hAnsi="Arial" w:cs="Arial"/>
                <w:w w:val="99"/>
                <w:sz w:val="18"/>
                <w:szCs w:val="18"/>
                <w:lang w:val="de-DE"/>
              </w:rPr>
              <w:t>0</w:t>
            </w:r>
          </w:p>
        </w:tc>
        <w:tc>
          <w:tcPr>
            <w:tcW w:w="713" w:type="dxa"/>
            <w:tcBorders>
              <w:top w:val="single" w:sz="4" w:space="0" w:color="000000"/>
              <w:bottom w:val="nil"/>
              <w:right w:val="single" w:sz="4" w:space="0" w:color="000000"/>
            </w:tcBorders>
            <w:vAlign w:val="center"/>
          </w:tcPr>
          <w:p w:rsidR="00661D97" w:rsidRPr="00661D97" w:rsidRDefault="00661D97" w:rsidP="00661D97">
            <w:pPr>
              <w:pStyle w:val="TableParagraph"/>
              <w:spacing w:before="0"/>
              <w:ind w:left="0"/>
              <w:jc w:val="center"/>
              <w:rPr>
                <w:rFonts w:ascii="Arial" w:hAnsi="Arial" w:cs="Arial"/>
                <w:sz w:val="18"/>
                <w:szCs w:val="18"/>
                <w:lang w:val="de-DE"/>
              </w:rPr>
            </w:pPr>
            <w:r w:rsidRPr="00661D97">
              <w:rPr>
                <w:rFonts w:ascii="Arial" w:hAnsi="Arial" w:cs="Arial"/>
                <w:w w:val="99"/>
                <w:sz w:val="18"/>
                <w:szCs w:val="18"/>
                <w:lang w:val="de-DE"/>
              </w:rPr>
              <w:t>0</w:t>
            </w:r>
          </w:p>
        </w:tc>
        <w:tc>
          <w:tcPr>
            <w:tcW w:w="715" w:type="dxa"/>
            <w:tcBorders>
              <w:top w:val="single" w:sz="4" w:space="0" w:color="000000"/>
              <w:left w:val="single" w:sz="4" w:space="0" w:color="000000"/>
              <w:bottom w:val="nil"/>
            </w:tcBorders>
            <w:vAlign w:val="center"/>
          </w:tcPr>
          <w:p w:rsidR="00661D97" w:rsidRPr="00661D97" w:rsidRDefault="00661D97" w:rsidP="00661D97">
            <w:pPr>
              <w:pStyle w:val="TableParagraph"/>
              <w:spacing w:before="0"/>
              <w:ind w:left="0"/>
              <w:jc w:val="center"/>
              <w:rPr>
                <w:rFonts w:ascii="Arial" w:hAnsi="Arial" w:cs="Arial"/>
                <w:sz w:val="18"/>
                <w:szCs w:val="18"/>
                <w:lang w:val="de-DE"/>
              </w:rPr>
            </w:pPr>
            <w:r w:rsidRPr="00661D97">
              <w:rPr>
                <w:rFonts w:ascii="Arial" w:hAnsi="Arial" w:cs="Arial"/>
                <w:w w:val="99"/>
                <w:sz w:val="18"/>
                <w:szCs w:val="18"/>
                <w:lang w:val="de-DE"/>
              </w:rPr>
              <w:t>0</w:t>
            </w:r>
          </w:p>
        </w:tc>
        <w:tc>
          <w:tcPr>
            <w:tcW w:w="706" w:type="dxa"/>
            <w:tcBorders>
              <w:top w:val="single" w:sz="4" w:space="0" w:color="000000"/>
              <w:bottom w:val="nil"/>
            </w:tcBorders>
            <w:vAlign w:val="center"/>
          </w:tcPr>
          <w:p w:rsidR="00661D97" w:rsidRPr="00661D97" w:rsidRDefault="00661D97" w:rsidP="00661D97">
            <w:pPr>
              <w:pStyle w:val="TableParagraph"/>
              <w:spacing w:before="0"/>
              <w:ind w:left="0"/>
              <w:jc w:val="center"/>
              <w:rPr>
                <w:rFonts w:ascii="Arial" w:hAnsi="Arial" w:cs="Arial"/>
                <w:sz w:val="18"/>
                <w:szCs w:val="18"/>
                <w:lang w:val="de-DE"/>
              </w:rPr>
            </w:pPr>
            <w:r w:rsidRPr="00661D97">
              <w:rPr>
                <w:rFonts w:ascii="Arial" w:hAnsi="Arial" w:cs="Arial"/>
                <w:w w:val="99"/>
                <w:sz w:val="18"/>
                <w:szCs w:val="18"/>
                <w:lang w:val="de-DE"/>
              </w:rPr>
              <w:t>0</w:t>
            </w:r>
          </w:p>
        </w:tc>
        <w:tc>
          <w:tcPr>
            <w:tcW w:w="706" w:type="dxa"/>
            <w:tcBorders>
              <w:top w:val="single" w:sz="4" w:space="0" w:color="000000"/>
              <w:bottom w:val="nil"/>
            </w:tcBorders>
            <w:vAlign w:val="center"/>
          </w:tcPr>
          <w:p w:rsidR="00661D97" w:rsidRPr="00661D97" w:rsidRDefault="00661D97" w:rsidP="00661D97">
            <w:pPr>
              <w:pStyle w:val="TableParagraph"/>
              <w:spacing w:before="0"/>
              <w:ind w:left="0"/>
              <w:jc w:val="center"/>
              <w:rPr>
                <w:rFonts w:ascii="Arial" w:hAnsi="Arial" w:cs="Arial"/>
                <w:sz w:val="18"/>
                <w:szCs w:val="18"/>
                <w:lang w:val="de-DE"/>
              </w:rPr>
            </w:pPr>
            <w:r w:rsidRPr="00661D97">
              <w:rPr>
                <w:rFonts w:ascii="Arial" w:hAnsi="Arial" w:cs="Arial"/>
                <w:w w:val="99"/>
                <w:sz w:val="18"/>
                <w:szCs w:val="18"/>
                <w:lang w:val="de-DE"/>
              </w:rPr>
              <w:t>0</w:t>
            </w:r>
          </w:p>
        </w:tc>
        <w:tc>
          <w:tcPr>
            <w:tcW w:w="985" w:type="dxa"/>
            <w:tcBorders>
              <w:top w:val="single" w:sz="4" w:space="0" w:color="000000"/>
              <w:bottom w:val="nil"/>
              <w:right w:val="single" w:sz="4" w:space="0" w:color="000000"/>
            </w:tcBorders>
          </w:tcPr>
          <w:p w:rsidR="00661D97" w:rsidRPr="00661D97" w:rsidRDefault="00661D97" w:rsidP="00661D97">
            <w:pPr>
              <w:pStyle w:val="TableParagraph"/>
              <w:spacing w:before="0"/>
              <w:ind w:left="0"/>
              <w:rPr>
                <w:rFonts w:ascii="Arial" w:hAnsi="Arial" w:cs="Arial"/>
                <w:sz w:val="18"/>
                <w:szCs w:val="18"/>
                <w:lang w:val="de-DE"/>
              </w:rPr>
            </w:pPr>
          </w:p>
        </w:tc>
        <w:tc>
          <w:tcPr>
            <w:tcW w:w="1285" w:type="dxa"/>
            <w:tcBorders>
              <w:top w:val="single" w:sz="4" w:space="0" w:color="000000"/>
              <w:left w:val="single" w:sz="4" w:space="0" w:color="000000"/>
              <w:bottom w:val="nil"/>
            </w:tcBorders>
          </w:tcPr>
          <w:p w:rsidR="00661D97" w:rsidRPr="00661D97" w:rsidRDefault="00661D97" w:rsidP="00661D97">
            <w:pPr>
              <w:pStyle w:val="TableParagraph"/>
              <w:spacing w:before="0"/>
              <w:ind w:left="0"/>
              <w:rPr>
                <w:rFonts w:ascii="Arial" w:hAnsi="Arial" w:cs="Arial"/>
                <w:sz w:val="18"/>
                <w:szCs w:val="18"/>
                <w:lang w:val="de-DE"/>
              </w:rPr>
            </w:pPr>
          </w:p>
        </w:tc>
        <w:tc>
          <w:tcPr>
            <w:tcW w:w="1157" w:type="dxa"/>
            <w:tcBorders>
              <w:top w:val="single" w:sz="4" w:space="0" w:color="000000"/>
              <w:bottom w:val="nil"/>
            </w:tcBorders>
          </w:tcPr>
          <w:p w:rsidR="00661D97" w:rsidRPr="00661D97" w:rsidRDefault="00661D97" w:rsidP="00661D97">
            <w:pPr>
              <w:pStyle w:val="TableParagraph"/>
              <w:spacing w:before="0"/>
              <w:ind w:left="0"/>
              <w:rPr>
                <w:rFonts w:ascii="Arial" w:hAnsi="Arial" w:cs="Arial"/>
                <w:sz w:val="18"/>
                <w:szCs w:val="18"/>
                <w:lang w:val="de-DE"/>
              </w:rPr>
            </w:pPr>
          </w:p>
        </w:tc>
      </w:tr>
      <w:tr w:rsidR="00661D97" w:rsidRPr="00661D97" w:rsidTr="00661D97">
        <w:trPr>
          <w:trHeight w:val="784"/>
          <w:jc w:val="center"/>
        </w:trPr>
        <w:tc>
          <w:tcPr>
            <w:tcW w:w="1176" w:type="dxa"/>
            <w:tcBorders>
              <w:top w:val="nil"/>
              <w:bottom w:val="nil"/>
            </w:tcBorders>
          </w:tcPr>
          <w:p w:rsidR="00661D97" w:rsidRPr="00661D97" w:rsidRDefault="00661D97" w:rsidP="00661D97">
            <w:pPr>
              <w:pStyle w:val="TableParagraph"/>
              <w:spacing w:before="0"/>
              <w:ind w:left="0"/>
              <w:rPr>
                <w:rFonts w:ascii="Arial" w:hAnsi="Arial" w:cs="Arial"/>
                <w:sz w:val="18"/>
                <w:szCs w:val="18"/>
                <w:lang w:val="de-DE"/>
              </w:rPr>
            </w:pPr>
          </w:p>
          <w:p w:rsidR="00661D97" w:rsidRPr="00661D97" w:rsidRDefault="00661D97" w:rsidP="00661D97">
            <w:pPr>
              <w:pStyle w:val="TableParagraph"/>
              <w:spacing w:before="0"/>
              <w:ind w:left="0"/>
              <w:jc w:val="center"/>
              <w:rPr>
                <w:rFonts w:ascii="Arial" w:hAnsi="Arial" w:cs="Arial"/>
                <w:sz w:val="18"/>
                <w:szCs w:val="18"/>
                <w:lang w:val="de-DE"/>
              </w:rPr>
            </w:pPr>
            <w:r w:rsidRPr="00661D97">
              <w:rPr>
                <w:rFonts w:ascii="Arial" w:hAnsi="Arial" w:cs="Arial"/>
                <w:sz w:val="18"/>
                <w:szCs w:val="18"/>
                <w:lang w:val="de-DE"/>
              </w:rPr>
              <w:t>60</w:t>
            </w:r>
          </w:p>
        </w:tc>
        <w:tc>
          <w:tcPr>
            <w:tcW w:w="1211" w:type="dxa"/>
            <w:tcBorders>
              <w:top w:val="nil"/>
              <w:bottom w:val="nil"/>
            </w:tcBorders>
          </w:tcPr>
          <w:p w:rsidR="00661D97" w:rsidRPr="00661D97" w:rsidRDefault="00661D97" w:rsidP="00661D97">
            <w:pPr>
              <w:pStyle w:val="TableParagraph"/>
              <w:tabs>
                <w:tab w:val="left" w:pos="345"/>
              </w:tabs>
              <w:spacing w:before="0"/>
              <w:ind w:left="0"/>
              <w:rPr>
                <w:rFonts w:ascii="Arial" w:hAnsi="Arial" w:cs="Arial"/>
                <w:sz w:val="18"/>
                <w:szCs w:val="18"/>
                <w:lang w:val="de-DE"/>
              </w:rPr>
            </w:pPr>
            <w:r>
              <w:rPr>
                <w:rFonts w:ascii="Arial" w:hAnsi="Arial" w:cs="Arial"/>
                <w:sz w:val="18"/>
                <w:szCs w:val="18"/>
                <w:lang w:val="de-DE"/>
              </w:rPr>
              <w:t>2-</w:t>
            </w:r>
            <w:r w:rsidRPr="00661D97">
              <w:rPr>
                <w:rFonts w:ascii="Arial" w:hAnsi="Arial" w:cs="Arial"/>
                <w:sz w:val="18"/>
                <w:szCs w:val="18"/>
                <w:lang w:val="de-DE"/>
              </w:rPr>
              <w:t>Zi.-Whg.</w:t>
            </w:r>
          </w:p>
          <w:p w:rsidR="00661D97" w:rsidRPr="00661D97" w:rsidRDefault="00661D97" w:rsidP="00661D97">
            <w:pPr>
              <w:pStyle w:val="TableParagraph"/>
              <w:tabs>
                <w:tab w:val="left" w:pos="345"/>
              </w:tabs>
              <w:spacing w:before="0"/>
              <w:ind w:left="0"/>
              <w:rPr>
                <w:rFonts w:ascii="Arial" w:hAnsi="Arial" w:cs="Arial"/>
                <w:sz w:val="18"/>
                <w:szCs w:val="18"/>
                <w:lang w:val="de-DE"/>
              </w:rPr>
            </w:pPr>
            <w:r>
              <w:rPr>
                <w:rFonts w:ascii="Arial" w:hAnsi="Arial" w:cs="Arial"/>
                <w:sz w:val="18"/>
                <w:szCs w:val="18"/>
                <w:lang w:val="de-DE"/>
              </w:rPr>
              <w:t>3-</w:t>
            </w:r>
            <w:r w:rsidRPr="00661D97">
              <w:rPr>
                <w:rFonts w:ascii="Arial" w:hAnsi="Arial" w:cs="Arial"/>
                <w:sz w:val="18"/>
                <w:szCs w:val="18"/>
                <w:lang w:val="de-DE"/>
              </w:rPr>
              <w:t>Zi.-Whg.</w:t>
            </w:r>
          </w:p>
          <w:p w:rsidR="00661D97" w:rsidRPr="00661D97" w:rsidRDefault="00661D97" w:rsidP="00661D97">
            <w:pPr>
              <w:pStyle w:val="TableParagraph"/>
              <w:tabs>
                <w:tab w:val="left" w:pos="366"/>
              </w:tabs>
              <w:spacing w:before="0"/>
              <w:ind w:left="0"/>
              <w:rPr>
                <w:rFonts w:ascii="Arial" w:hAnsi="Arial" w:cs="Arial"/>
                <w:sz w:val="18"/>
                <w:szCs w:val="18"/>
                <w:lang w:val="de-DE"/>
              </w:rPr>
            </w:pPr>
            <w:r>
              <w:rPr>
                <w:rFonts w:ascii="Arial" w:hAnsi="Arial" w:cs="Arial"/>
                <w:sz w:val="18"/>
                <w:szCs w:val="18"/>
                <w:lang w:val="de-DE"/>
              </w:rPr>
              <w:t xml:space="preserve">4- </w:t>
            </w:r>
            <w:r w:rsidRPr="00661D97">
              <w:rPr>
                <w:rFonts w:ascii="Arial" w:hAnsi="Arial" w:cs="Arial"/>
                <w:sz w:val="18"/>
                <w:szCs w:val="18"/>
                <w:lang w:val="de-DE"/>
              </w:rPr>
              <w:t>Zi.-Whg.</w:t>
            </w:r>
          </w:p>
        </w:tc>
        <w:tc>
          <w:tcPr>
            <w:tcW w:w="978" w:type="dxa"/>
            <w:tcBorders>
              <w:top w:val="nil"/>
              <w:bottom w:val="nil"/>
            </w:tcBorders>
            <w:vAlign w:val="center"/>
          </w:tcPr>
          <w:p w:rsidR="00661D97" w:rsidRPr="00661D97" w:rsidRDefault="00661D97" w:rsidP="00661D97">
            <w:pPr>
              <w:pStyle w:val="TableParagraph"/>
              <w:spacing w:before="0"/>
              <w:ind w:left="0"/>
              <w:jc w:val="center"/>
              <w:rPr>
                <w:rFonts w:ascii="Arial" w:hAnsi="Arial" w:cs="Arial"/>
                <w:sz w:val="18"/>
                <w:szCs w:val="18"/>
                <w:lang w:val="de-DE"/>
              </w:rPr>
            </w:pPr>
            <w:r w:rsidRPr="00661D97">
              <w:rPr>
                <w:rFonts w:ascii="Arial" w:hAnsi="Arial" w:cs="Arial"/>
                <w:sz w:val="18"/>
                <w:szCs w:val="18"/>
                <w:lang w:val="de-DE"/>
              </w:rPr>
              <w:t>24</w:t>
            </w:r>
          </w:p>
          <w:p w:rsidR="00661D97" w:rsidRPr="00661D97" w:rsidRDefault="00661D97" w:rsidP="00661D97">
            <w:pPr>
              <w:pStyle w:val="TableParagraph"/>
              <w:spacing w:before="0"/>
              <w:ind w:left="0"/>
              <w:jc w:val="center"/>
              <w:rPr>
                <w:rFonts w:ascii="Arial" w:hAnsi="Arial" w:cs="Arial"/>
                <w:sz w:val="18"/>
                <w:szCs w:val="18"/>
                <w:lang w:val="de-DE"/>
              </w:rPr>
            </w:pPr>
            <w:r w:rsidRPr="00661D97">
              <w:rPr>
                <w:rFonts w:ascii="Arial" w:hAnsi="Arial" w:cs="Arial"/>
                <w:sz w:val="18"/>
                <w:szCs w:val="18"/>
                <w:lang w:val="de-DE"/>
              </w:rPr>
              <w:t>12</w:t>
            </w:r>
          </w:p>
          <w:p w:rsidR="00661D97" w:rsidRPr="00661D97" w:rsidRDefault="00661D97" w:rsidP="00661D97">
            <w:pPr>
              <w:pStyle w:val="TableParagraph"/>
              <w:spacing w:before="0"/>
              <w:ind w:left="0"/>
              <w:jc w:val="center"/>
              <w:rPr>
                <w:rFonts w:ascii="Arial" w:hAnsi="Arial" w:cs="Arial"/>
                <w:sz w:val="18"/>
                <w:szCs w:val="18"/>
                <w:lang w:val="de-DE"/>
              </w:rPr>
            </w:pPr>
            <w:r w:rsidRPr="00661D97">
              <w:rPr>
                <w:rFonts w:ascii="Arial" w:hAnsi="Arial" w:cs="Arial"/>
                <w:sz w:val="18"/>
                <w:szCs w:val="18"/>
                <w:lang w:val="de-DE"/>
              </w:rPr>
              <w:t>24</w:t>
            </w:r>
          </w:p>
        </w:tc>
        <w:tc>
          <w:tcPr>
            <w:tcW w:w="713" w:type="dxa"/>
            <w:tcBorders>
              <w:top w:val="nil"/>
              <w:bottom w:val="nil"/>
              <w:right w:val="single" w:sz="4" w:space="0" w:color="000000"/>
            </w:tcBorders>
            <w:vAlign w:val="center"/>
          </w:tcPr>
          <w:p w:rsidR="00661D97" w:rsidRPr="00661D97" w:rsidRDefault="00661D97" w:rsidP="00661D97">
            <w:pPr>
              <w:pStyle w:val="TableParagraph"/>
              <w:spacing w:before="0"/>
              <w:ind w:left="0"/>
              <w:jc w:val="center"/>
              <w:rPr>
                <w:rFonts w:ascii="Arial" w:hAnsi="Arial" w:cs="Arial"/>
                <w:sz w:val="18"/>
                <w:szCs w:val="18"/>
                <w:lang w:val="de-DE"/>
              </w:rPr>
            </w:pPr>
            <w:r w:rsidRPr="00661D97">
              <w:rPr>
                <w:rFonts w:ascii="Arial" w:hAnsi="Arial" w:cs="Arial"/>
                <w:sz w:val="18"/>
                <w:szCs w:val="18"/>
                <w:lang w:val="de-DE"/>
              </w:rPr>
              <w:t>24</w:t>
            </w:r>
          </w:p>
          <w:p w:rsidR="00661D97" w:rsidRPr="00661D97" w:rsidRDefault="00661D97" w:rsidP="00661D97">
            <w:pPr>
              <w:pStyle w:val="TableParagraph"/>
              <w:spacing w:before="0"/>
              <w:ind w:left="0"/>
              <w:jc w:val="center"/>
              <w:rPr>
                <w:rFonts w:ascii="Arial" w:hAnsi="Arial" w:cs="Arial"/>
                <w:sz w:val="18"/>
                <w:szCs w:val="18"/>
                <w:lang w:val="de-DE"/>
              </w:rPr>
            </w:pPr>
            <w:r w:rsidRPr="00661D97">
              <w:rPr>
                <w:rFonts w:ascii="Arial" w:hAnsi="Arial" w:cs="Arial"/>
                <w:sz w:val="18"/>
                <w:szCs w:val="18"/>
                <w:lang w:val="de-DE"/>
              </w:rPr>
              <w:t>12</w:t>
            </w:r>
          </w:p>
          <w:p w:rsidR="00661D97" w:rsidRPr="00661D97" w:rsidRDefault="00661D97" w:rsidP="00661D97">
            <w:pPr>
              <w:pStyle w:val="TableParagraph"/>
              <w:spacing w:before="0"/>
              <w:ind w:left="0"/>
              <w:jc w:val="center"/>
              <w:rPr>
                <w:rFonts w:ascii="Arial" w:hAnsi="Arial" w:cs="Arial"/>
                <w:sz w:val="18"/>
                <w:szCs w:val="18"/>
                <w:lang w:val="de-DE"/>
              </w:rPr>
            </w:pPr>
            <w:r w:rsidRPr="00661D97">
              <w:rPr>
                <w:rFonts w:ascii="Arial" w:hAnsi="Arial" w:cs="Arial"/>
                <w:sz w:val="18"/>
                <w:szCs w:val="18"/>
                <w:lang w:val="de-DE"/>
              </w:rPr>
              <w:t>24</w:t>
            </w:r>
          </w:p>
        </w:tc>
        <w:tc>
          <w:tcPr>
            <w:tcW w:w="715" w:type="dxa"/>
            <w:tcBorders>
              <w:top w:val="nil"/>
              <w:left w:val="single" w:sz="4" w:space="0" w:color="000000"/>
              <w:bottom w:val="nil"/>
            </w:tcBorders>
            <w:vAlign w:val="center"/>
          </w:tcPr>
          <w:p w:rsidR="00661D97" w:rsidRPr="00661D97" w:rsidRDefault="00661D97" w:rsidP="00661D97">
            <w:pPr>
              <w:pStyle w:val="TableParagraph"/>
              <w:spacing w:before="0"/>
              <w:ind w:left="0"/>
              <w:jc w:val="center"/>
              <w:rPr>
                <w:rFonts w:ascii="Arial" w:hAnsi="Arial" w:cs="Arial"/>
                <w:sz w:val="18"/>
                <w:szCs w:val="18"/>
                <w:lang w:val="de-DE"/>
              </w:rPr>
            </w:pPr>
            <w:r w:rsidRPr="00661D97">
              <w:rPr>
                <w:rFonts w:ascii="Arial" w:hAnsi="Arial" w:cs="Arial"/>
                <w:sz w:val="18"/>
                <w:szCs w:val="18"/>
                <w:lang w:val="de-DE"/>
              </w:rPr>
              <w:t>20</w:t>
            </w:r>
          </w:p>
          <w:p w:rsidR="00661D97" w:rsidRPr="00661D97" w:rsidRDefault="00661D97" w:rsidP="00661D97">
            <w:pPr>
              <w:pStyle w:val="TableParagraph"/>
              <w:spacing w:before="0"/>
              <w:ind w:left="0"/>
              <w:jc w:val="center"/>
              <w:rPr>
                <w:rFonts w:ascii="Arial" w:hAnsi="Arial" w:cs="Arial"/>
                <w:sz w:val="18"/>
                <w:szCs w:val="18"/>
                <w:lang w:val="de-DE"/>
              </w:rPr>
            </w:pPr>
            <w:r w:rsidRPr="00661D97">
              <w:rPr>
                <w:rFonts w:ascii="Arial" w:hAnsi="Arial" w:cs="Arial"/>
                <w:w w:val="99"/>
                <w:sz w:val="18"/>
                <w:szCs w:val="18"/>
                <w:lang w:val="de-DE"/>
              </w:rPr>
              <w:t>5</w:t>
            </w:r>
          </w:p>
          <w:p w:rsidR="00661D97" w:rsidRPr="00661D97" w:rsidRDefault="00661D97" w:rsidP="00661D97">
            <w:pPr>
              <w:pStyle w:val="TableParagraph"/>
              <w:spacing w:before="0"/>
              <w:ind w:left="0"/>
              <w:jc w:val="center"/>
              <w:rPr>
                <w:rFonts w:ascii="Arial" w:hAnsi="Arial" w:cs="Arial"/>
                <w:sz w:val="18"/>
                <w:szCs w:val="18"/>
                <w:lang w:val="de-DE"/>
              </w:rPr>
            </w:pPr>
            <w:r w:rsidRPr="00661D97">
              <w:rPr>
                <w:rFonts w:ascii="Arial" w:hAnsi="Arial" w:cs="Arial"/>
                <w:sz w:val="18"/>
                <w:szCs w:val="18"/>
                <w:lang w:val="de-DE"/>
              </w:rPr>
              <w:t>24</w:t>
            </w:r>
          </w:p>
        </w:tc>
        <w:tc>
          <w:tcPr>
            <w:tcW w:w="706" w:type="dxa"/>
            <w:tcBorders>
              <w:top w:val="nil"/>
              <w:bottom w:val="nil"/>
            </w:tcBorders>
            <w:vAlign w:val="center"/>
          </w:tcPr>
          <w:p w:rsidR="00661D97" w:rsidRPr="00661D97" w:rsidRDefault="00661D97" w:rsidP="00661D97">
            <w:pPr>
              <w:pStyle w:val="TableParagraph"/>
              <w:spacing w:before="0"/>
              <w:ind w:left="0"/>
              <w:jc w:val="center"/>
              <w:rPr>
                <w:rFonts w:ascii="Arial" w:hAnsi="Arial" w:cs="Arial"/>
                <w:sz w:val="18"/>
                <w:szCs w:val="18"/>
                <w:lang w:val="de-DE"/>
              </w:rPr>
            </w:pPr>
            <w:r w:rsidRPr="00661D97">
              <w:rPr>
                <w:rFonts w:ascii="Arial" w:hAnsi="Arial" w:cs="Arial"/>
                <w:w w:val="99"/>
                <w:sz w:val="18"/>
                <w:szCs w:val="18"/>
                <w:lang w:val="de-DE"/>
              </w:rPr>
              <w:t>4</w:t>
            </w:r>
          </w:p>
          <w:p w:rsidR="00661D97" w:rsidRPr="00661D97" w:rsidRDefault="00661D97" w:rsidP="00661D97">
            <w:pPr>
              <w:pStyle w:val="TableParagraph"/>
              <w:spacing w:before="0"/>
              <w:ind w:left="0"/>
              <w:jc w:val="center"/>
              <w:rPr>
                <w:rFonts w:ascii="Arial" w:hAnsi="Arial" w:cs="Arial"/>
                <w:sz w:val="18"/>
                <w:szCs w:val="18"/>
                <w:lang w:val="de-DE"/>
              </w:rPr>
            </w:pPr>
            <w:r w:rsidRPr="00661D97">
              <w:rPr>
                <w:rFonts w:ascii="Arial" w:hAnsi="Arial" w:cs="Arial"/>
                <w:w w:val="99"/>
                <w:sz w:val="18"/>
                <w:szCs w:val="18"/>
                <w:lang w:val="de-DE"/>
              </w:rPr>
              <w:t>7</w:t>
            </w:r>
          </w:p>
          <w:p w:rsidR="00661D97" w:rsidRPr="00661D97" w:rsidRDefault="00661D97" w:rsidP="00661D97">
            <w:pPr>
              <w:pStyle w:val="TableParagraph"/>
              <w:spacing w:before="0"/>
              <w:ind w:left="0"/>
              <w:jc w:val="center"/>
              <w:rPr>
                <w:rFonts w:ascii="Arial" w:hAnsi="Arial" w:cs="Arial"/>
                <w:sz w:val="18"/>
                <w:szCs w:val="18"/>
                <w:lang w:val="de-DE"/>
              </w:rPr>
            </w:pPr>
            <w:r w:rsidRPr="00661D97">
              <w:rPr>
                <w:rFonts w:ascii="Arial" w:hAnsi="Arial" w:cs="Arial"/>
                <w:w w:val="99"/>
                <w:sz w:val="18"/>
                <w:szCs w:val="18"/>
                <w:lang w:val="de-DE"/>
              </w:rPr>
              <w:t>0</w:t>
            </w:r>
          </w:p>
        </w:tc>
        <w:tc>
          <w:tcPr>
            <w:tcW w:w="706" w:type="dxa"/>
            <w:tcBorders>
              <w:top w:val="nil"/>
              <w:bottom w:val="nil"/>
            </w:tcBorders>
            <w:vAlign w:val="center"/>
          </w:tcPr>
          <w:p w:rsidR="00661D97" w:rsidRPr="00661D97" w:rsidRDefault="00661D97" w:rsidP="00661D97">
            <w:pPr>
              <w:pStyle w:val="TableParagraph"/>
              <w:spacing w:before="0"/>
              <w:ind w:left="0"/>
              <w:jc w:val="center"/>
              <w:rPr>
                <w:rFonts w:ascii="Arial" w:hAnsi="Arial" w:cs="Arial"/>
                <w:sz w:val="18"/>
                <w:szCs w:val="18"/>
                <w:lang w:val="de-DE"/>
              </w:rPr>
            </w:pPr>
            <w:r w:rsidRPr="00661D97">
              <w:rPr>
                <w:rFonts w:ascii="Arial" w:hAnsi="Arial" w:cs="Arial"/>
                <w:w w:val="99"/>
                <w:sz w:val="18"/>
                <w:szCs w:val="18"/>
                <w:lang w:val="de-DE"/>
              </w:rPr>
              <w:t>0</w:t>
            </w:r>
          </w:p>
          <w:p w:rsidR="00661D97" w:rsidRPr="00661D97" w:rsidRDefault="00661D97" w:rsidP="00661D97">
            <w:pPr>
              <w:pStyle w:val="TableParagraph"/>
              <w:spacing w:before="0"/>
              <w:ind w:left="0"/>
              <w:jc w:val="center"/>
              <w:rPr>
                <w:rFonts w:ascii="Arial" w:hAnsi="Arial" w:cs="Arial"/>
                <w:sz w:val="18"/>
                <w:szCs w:val="18"/>
                <w:lang w:val="de-DE"/>
              </w:rPr>
            </w:pPr>
            <w:r w:rsidRPr="00661D97">
              <w:rPr>
                <w:rFonts w:ascii="Arial" w:hAnsi="Arial" w:cs="Arial"/>
                <w:w w:val="99"/>
                <w:sz w:val="18"/>
                <w:szCs w:val="18"/>
                <w:lang w:val="de-DE"/>
              </w:rPr>
              <w:t>0</w:t>
            </w:r>
          </w:p>
          <w:p w:rsidR="00661D97" w:rsidRPr="00661D97" w:rsidRDefault="00661D97" w:rsidP="00661D97">
            <w:pPr>
              <w:pStyle w:val="TableParagraph"/>
              <w:spacing w:before="0"/>
              <w:ind w:left="0"/>
              <w:jc w:val="center"/>
              <w:rPr>
                <w:rFonts w:ascii="Arial" w:hAnsi="Arial" w:cs="Arial"/>
                <w:sz w:val="18"/>
                <w:szCs w:val="18"/>
                <w:lang w:val="de-DE"/>
              </w:rPr>
            </w:pPr>
            <w:r w:rsidRPr="00661D97">
              <w:rPr>
                <w:rFonts w:ascii="Arial" w:hAnsi="Arial" w:cs="Arial"/>
                <w:w w:val="99"/>
                <w:sz w:val="18"/>
                <w:szCs w:val="18"/>
                <w:lang w:val="de-DE"/>
              </w:rPr>
              <w:t>0</w:t>
            </w:r>
          </w:p>
        </w:tc>
        <w:tc>
          <w:tcPr>
            <w:tcW w:w="985" w:type="dxa"/>
            <w:tcBorders>
              <w:top w:val="nil"/>
              <w:bottom w:val="nil"/>
              <w:right w:val="single" w:sz="4" w:space="0" w:color="000000"/>
            </w:tcBorders>
          </w:tcPr>
          <w:p w:rsidR="00661D97" w:rsidRPr="00661D97" w:rsidRDefault="00661D97" w:rsidP="00661D97">
            <w:pPr>
              <w:pStyle w:val="TableParagraph"/>
              <w:spacing w:before="0"/>
              <w:ind w:left="0"/>
              <w:rPr>
                <w:rFonts w:ascii="Arial" w:hAnsi="Arial" w:cs="Arial"/>
                <w:sz w:val="18"/>
                <w:szCs w:val="18"/>
                <w:lang w:val="de-DE"/>
              </w:rPr>
            </w:pPr>
          </w:p>
          <w:p w:rsidR="00661D97" w:rsidRPr="00661D97" w:rsidRDefault="00661D97" w:rsidP="00661D97">
            <w:pPr>
              <w:pStyle w:val="TableParagraph"/>
              <w:spacing w:before="0"/>
              <w:ind w:left="0"/>
              <w:jc w:val="center"/>
              <w:rPr>
                <w:rFonts w:ascii="Arial" w:hAnsi="Arial" w:cs="Arial"/>
                <w:sz w:val="18"/>
                <w:szCs w:val="18"/>
                <w:lang w:val="de-DE"/>
              </w:rPr>
            </w:pPr>
            <w:r w:rsidRPr="00661D97">
              <w:rPr>
                <w:rFonts w:ascii="Arial" w:hAnsi="Arial" w:cs="Arial"/>
                <w:w w:val="99"/>
                <w:sz w:val="18"/>
                <w:szCs w:val="18"/>
                <w:lang w:val="de-DE"/>
              </w:rPr>
              <w:t>0</w:t>
            </w:r>
          </w:p>
        </w:tc>
        <w:tc>
          <w:tcPr>
            <w:tcW w:w="1285" w:type="dxa"/>
            <w:tcBorders>
              <w:top w:val="nil"/>
              <w:left w:val="single" w:sz="4" w:space="0" w:color="000000"/>
              <w:bottom w:val="nil"/>
            </w:tcBorders>
          </w:tcPr>
          <w:p w:rsidR="00661D97" w:rsidRPr="00661D97" w:rsidRDefault="00661D97" w:rsidP="00661D97">
            <w:pPr>
              <w:pStyle w:val="TableParagraph"/>
              <w:spacing w:before="0"/>
              <w:ind w:left="0"/>
              <w:rPr>
                <w:rFonts w:ascii="Arial" w:hAnsi="Arial" w:cs="Arial"/>
                <w:sz w:val="18"/>
                <w:szCs w:val="18"/>
                <w:lang w:val="de-DE"/>
              </w:rPr>
            </w:pPr>
            <w:r w:rsidRPr="00661D97">
              <w:rPr>
                <w:rFonts w:ascii="Arial" w:hAnsi="Arial" w:cs="Arial"/>
                <w:sz w:val="18"/>
                <w:szCs w:val="18"/>
                <w:lang w:val="de-DE"/>
              </w:rPr>
              <w:t>11,36 Euro/m² Wohnfläche</w:t>
            </w:r>
          </w:p>
        </w:tc>
        <w:tc>
          <w:tcPr>
            <w:tcW w:w="1157" w:type="dxa"/>
            <w:tcBorders>
              <w:top w:val="nil"/>
              <w:bottom w:val="nil"/>
            </w:tcBorders>
          </w:tcPr>
          <w:p w:rsidR="00661D97" w:rsidRPr="00661D97" w:rsidRDefault="00661D97" w:rsidP="00661D97">
            <w:pPr>
              <w:pStyle w:val="TableParagraph"/>
              <w:spacing w:before="0"/>
              <w:ind w:left="0"/>
              <w:rPr>
                <w:rFonts w:ascii="Arial" w:hAnsi="Arial" w:cs="Arial"/>
                <w:sz w:val="18"/>
                <w:szCs w:val="18"/>
                <w:lang w:val="de-DE"/>
              </w:rPr>
            </w:pPr>
          </w:p>
          <w:p w:rsidR="00661D97" w:rsidRPr="00661D97" w:rsidRDefault="00661D97" w:rsidP="00661D97">
            <w:pPr>
              <w:pStyle w:val="TableParagraph"/>
              <w:spacing w:before="0"/>
              <w:ind w:left="0"/>
              <w:jc w:val="center"/>
              <w:rPr>
                <w:rFonts w:ascii="Arial" w:hAnsi="Arial" w:cs="Arial"/>
                <w:sz w:val="18"/>
                <w:szCs w:val="18"/>
                <w:lang w:val="de-DE"/>
              </w:rPr>
            </w:pPr>
            <w:r w:rsidRPr="00661D97">
              <w:rPr>
                <w:rFonts w:ascii="Arial" w:hAnsi="Arial" w:cs="Arial"/>
                <w:w w:val="99"/>
                <w:sz w:val="18"/>
                <w:szCs w:val="18"/>
                <w:lang w:val="de-DE"/>
              </w:rPr>
              <w:t>-</w:t>
            </w:r>
          </w:p>
        </w:tc>
      </w:tr>
      <w:tr w:rsidR="00661D97" w:rsidRPr="00661D97" w:rsidTr="00661D97">
        <w:trPr>
          <w:trHeight w:val="251"/>
          <w:jc w:val="center"/>
        </w:trPr>
        <w:tc>
          <w:tcPr>
            <w:tcW w:w="1176" w:type="dxa"/>
            <w:tcBorders>
              <w:top w:val="nil"/>
            </w:tcBorders>
          </w:tcPr>
          <w:p w:rsidR="00661D97" w:rsidRPr="00661D97" w:rsidRDefault="00661D97" w:rsidP="00661D97">
            <w:pPr>
              <w:pStyle w:val="TableParagraph"/>
              <w:spacing w:before="0"/>
              <w:ind w:left="0"/>
              <w:rPr>
                <w:rFonts w:ascii="Arial" w:hAnsi="Arial" w:cs="Arial"/>
                <w:sz w:val="18"/>
                <w:szCs w:val="18"/>
                <w:lang w:val="de-DE"/>
              </w:rPr>
            </w:pPr>
          </w:p>
        </w:tc>
        <w:tc>
          <w:tcPr>
            <w:tcW w:w="1211" w:type="dxa"/>
            <w:tcBorders>
              <w:top w:val="nil"/>
            </w:tcBorders>
          </w:tcPr>
          <w:p w:rsidR="00661D97" w:rsidRPr="00661D97" w:rsidRDefault="00661D97" w:rsidP="00661D97">
            <w:pPr>
              <w:pStyle w:val="TableParagraph"/>
              <w:spacing w:before="0"/>
              <w:ind w:left="0"/>
              <w:rPr>
                <w:rFonts w:ascii="Arial" w:hAnsi="Arial" w:cs="Arial"/>
                <w:sz w:val="18"/>
                <w:szCs w:val="18"/>
                <w:lang w:val="de-DE"/>
              </w:rPr>
            </w:pPr>
            <w:r w:rsidRPr="00661D97">
              <w:rPr>
                <w:rFonts w:ascii="Arial" w:hAnsi="Arial" w:cs="Arial"/>
                <w:sz w:val="18"/>
                <w:szCs w:val="18"/>
                <w:lang w:val="de-DE"/>
              </w:rPr>
              <w:t>5-Zi.-Whg.</w:t>
            </w:r>
          </w:p>
        </w:tc>
        <w:tc>
          <w:tcPr>
            <w:tcW w:w="978" w:type="dxa"/>
            <w:tcBorders>
              <w:top w:val="nil"/>
            </w:tcBorders>
            <w:vAlign w:val="center"/>
          </w:tcPr>
          <w:p w:rsidR="00661D97" w:rsidRPr="00661D97" w:rsidRDefault="00661D97" w:rsidP="00661D97">
            <w:pPr>
              <w:pStyle w:val="TableParagraph"/>
              <w:spacing w:before="0"/>
              <w:ind w:left="0"/>
              <w:jc w:val="center"/>
              <w:rPr>
                <w:rFonts w:ascii="Arial" w:hAnsi="Arial" w:cs="Arial"/>
                <w:sz w:val="18"/>
                <w:szCs w:val="18"/>
                <w:lang w:val="de-DE"/>
              </w:rPr>
            </w:pPr>
            <w:r w:rsidRPr="00661D97">
              <w:rPr>
                <w:rFonts w:ascii="Arial" w:hAnsi="Arial" w:cs="Arial"/>
                <w:w w:val="99"/>
                <w:sz w:val="18"/>
                <w:szCs w:val="18"/>
                <w:lang w:val="de-DE"/>
              </w:rPr>
              <w:t>0</w:t>
            </w:r>
          </w:p>
        </w:tc>
        <w:tc>
          <w:tcPr>
            <w:tcW w:w="713" w:type="dxa"/>
            <w:tcBorders>
              <w:top w:val="nil"/>
              <w:right w:val="single" w:sz="4" w:space="0" w:color="000000"/>
            </w:tcBorders>
            <w:vAlign w:val="center"/>
          </w:tcPr>
          <w:p w:rsidR="00661D97" w:rsidRPr="00661D97" w:rsidRDefault="00661D97" w:rsidP="00661D97">
            <w:pPr>
              <w:pStyle w:val="TableParagraph"/>
              <w:spacing w:before="0"/>
              <w:ind w:left="0"/>
              <w:jc w:val="center"/>
              <w:rPr>
                <w:rFonts w:ascii="Arial" w:hAnsi="Arial" w:cs="Arial"/>
                <w:sz w:val="18"/>
                <w:szCs w:val="18"/>
                <w:lang w:val="de-DE"/>
              </w:rPr>
            </w:pPr>
            <w:r w:rsidRPr="00661D97">
              <w:rPr>
                <w:rFonts w:ascii="Arial" w:hAnsi="Arial" w:cs="Arial"/>
                <w:w w:val="99"/>
                <w:sz w:val="18"/>
                <w:szCs w:val="18"/>
                <w:lang w:val="de-DE"/>
              </w:rPr>
              <w:t>0</w:t>
            </w:r>
          </w:p>
        </w:tc>
        <w:tc>
          <w:tcPr>
            <w:tcW w:w="715" w:type="dxa"/>
            <w:tcBorders>
              <w:top w:val="nil"/>
              <w:left w:val="single" w:sz="4" w:space="0" w:color="000000"/>
            </w:tcBorders>
            <w:vAlign w:val="center"/>
          </w:tcPr>
          <w:p w:rsidR="00661D97" w:rsidRPr="00661D97" w:rsidRDefault="00661D97" w:rsidP="00661D97">
            <w:pPr>
              <w:pStyle w:val="TableParagraph"/>
              <w:spacing w:before="0"/>
              <w:ind w:left="0"/>
              <w:jc w:val="center"/>
              <w:rPr>
                <w:rFonts w:ascii="Arial" w:hAnsi="Arial" w:cs="Arial"/>
                <w:sz w:val="18"/>
                <w:szCs w:val="18"/>
                <w:lang w:val="de-DE"/>
              </w:rPr>
            </w:pPr>
            <w:r w:rsidRPr="00661D97">
              <w:rPr>
                <w:rFonts w:ascii="Arial" w:hAnsi="Arial" w:cs="Arial"/>
                <w:w w:val="99"/>
                <w:sz w:val="18"/>
                <w:szCs w:val="18"/>
                <w:lang w:val="de-DE"/>
              </w:rPr>
              <w:t>0</w:t>
            </w:r>
          </w:p>
        </w:tc>
        <w:tc>
          <w:tcPr>
            <w:tcW w:w="706" w:type="dxa"/>
            <w:tcBorders>
              <w:top w:val="nil"/>
            </w:tcBorders>
            <w:vAlign w:val="center"/>
          </w:tcPr>
          <w:p w:rsidR="00661D97" w:rsidRPr="00661D97" w:rsidRDefault="00661D97" w:rsidP="00661D97">
            <w:pPr>
              <w:pStyle w:val="TableParagraph"/>
              <w:spacing w:before="0"/>
              <w:ind w:left="0"/>
              <w:jc w:val="center"/>
              <w:rPr>
                <w:rFonts w:ascii="Arial" w:hAnsi="Arial" w:cs="Arial"/>
                <w:sz w:val="18"/>
                <w:szCs w:val="18"/>
                <w:lang w:val="de-DE"/>
              </w:rPr>
            </w:pPr>
            <w:r w:rsidRPr="00661D97">
              <w:rPr>
                <w:rFonts w:ascii="Arial" w:hAnsi="Arial" w:cs="Arial"/>
                <w:w w:val="99"/>
                <w:sz w:val="18"/>
                <w:szCs w:val="18"/>
                <w:lang w:val="de-DE"/>
              </w:rPr>
              <w:t>0</w:t>
            </w:r>
          </w:p>
        </w:tc>
        <w:tc>
          <w:tcPr>
            <w:tcW w:w="706" w:type="dxa"/>
            <w:tcBorders>
              <w:top w:val="nil"/>
            </w:tcBorders>
            <w:vAlign w:val="center"/>
          </w:tcPr>
          <w:p w:rsidR="00661D97" w:rsidRPr="00661D97" w:rsidRDefault="00661D97" w:rsidP="00661D97">
            <w:pPr>
              <w:pStyle w:val="TableParagraph"/>
              <w:spacing w:before="0"/>
              <w:ind w:left="0"/>
              <w:jc w:val="center"/>
              <w:rPr>
                <w:rFonts w:ascii="Arial" w:hAnsi="Arial" w:cs="Arial"/>
                <w:sz w:val="18"/>
                <w:szCs w:val="18"/>
                <w:lang w:val="de-DE"/>
              </w:rPr>
            </w:pPr>
            <w:r w:rsidRPr="00661D97">
              <w:rPr>
                <w:rFonts w:ascii="Arial" w:hAnsi="Arial" w:cs="Arial"/>
                <w:w w:val="99"/>
                <w:sz w:val="18"/>
                <w:szCs w:val="18"/>
                <w:lang w:val="de-DE"/>
              </w:rPr>
              <w:t>0</w:t>
            </w:r>
          </w:p>
        </w:tc>
        <w:tc>
          <w:tcPr>
            <w:tcW w:w="985" w:type="dxa"/>
            <w:tcBorders>
              <w:top w:val="nil"/>
              <w:right w:val="single" w:sz="4" w:space="0" w:color="000000"/>
            </w:tcBorders>
          </w:tcPr>
          <w:p w:rsidR="00661D97" w:rsidRPr="00661D97" w:rsidRDefault="00661D97" w:rsidP="00661D97">
            <w:pPr>
              <w:pStyle w:val="TableParagraph"/>
              <w:spacing w:before="0"/>
              <w:ind w:left="0"/>
              <w:rPr>
                <w:rFonts w:ascii="Arial" w:hAnsi="Arial" w:cs="Arial"/>
                <w:sz w:val="18"/>
                <w:szCs w:val="18"/>
                <w:lang w:val="de-DE"/>
              </w:rPr>
            </w:pPr>
          </w:p>
        </w:tc>
        <w:tc>
          <w:tcPr>
            <w:tcW w:w="1285" w:type="dxa"/>
            <w:tcBorders>
              <w:top w:val="nil"/>
              <w:left w:val="single" w:sz="4" w:space="0" w:color="000000"/>
            </w:tcBorders>
          </w:tcPr>
          <w:p w:rsidR="00661D97" w:rsidRPr="00661D97" w:rsidRDefault="00661D97" w:rsidP="00661D97">
            <w:pPr>
              <w:pStyle w:val="TableParagraph"/>
              <w:spacing w:before="0"/>
              <w:ind w:left="0"/>
              <w:rPr>
                <w:rFonts w:ascii="Arial" w:hAnsi="Arial" w:cs="Arial"/>
                <w:sz w:val="18"/>
                <w:szCs w:val="18"/>
                <w:lang w:val="de-DE"/>
              </w:rPr>
            </w:pPr>
          </w:p>
        </w:tc>
        <w:tc>
          <w:tcPr>
            <w:tcW w:w="1157" w:type="dxa"/>
            <w:tcBorders>
              <w:top w:val="nil"/>
            </w:tcBorders>
          </w:tcPr>
          <w:p w:rsidR="00661D97" w:rsidRPr="00661D97" w:rsidRDefault="00661D97" w:rsidP="00661D97">
            <w:pPr>
              <w:pStyle w:val="TableParagraph"/>
              <w:spacing w:before="0"/>
              <w:ind w:left="0"/>
              <w:rPr>
                <w:rFonts w:ascii="Arial" w:hAnsi="Arial" w:cs="Arial"/>
                <w:sz w:val="18"/>
                <w:szCs w:val="18"/>
                <w:lang w:val="de-DE"/>
              </w:rPr>
            </w:pPr>
          </w:p>
        </w:tc>
      </w:tr>
    </w:tbl>
    <w:p w:rsidR="00661D97" w:rsidRDefault="00661D97" w:rsidP="00DD3048">
      <w:pPr>
        <w:pStyle w:val="LTAntwortRessortText"/>
      </w:pPr>
    </w:p>
    <w:p w:rsidR="00DD3048" w:rsidRDefault="00DD3048" w:rsidP="00DD3048">
      <w:pPr>
        <w:pStyle w:val="LTAntwortRessortText"/>
      </w:pPr>
      <w:r>
        <w:t>Weitere Projekte der BayernHeim GmbH sowie der Siedlungswerk Nürnberg</w:t>
      </w:r>
      <w:r w:rsidR="00ED6428">
        <w:t xml:space="preserve"> </w:t>
      </w:r>
      <w:r>
        <w:t>GmbH in Nürnberg sind in Planung bzw. Vorbereitung. Ergänzend erfolgt der</w:t>
      </w:r>
      <w:r w:rsidR="00ED6428">
        <w:t xml:space="preserve"> </w:t>
      </w:r>
      <w:r>
        <w:t>Hinweis, dass durch die Einkommensorientierte Förderung die Mietbelastung für</w:t>
      </w:r>
      <w:r w:rsidR="00ED6428">
        <w:t xml:space="preserve"> </w:t>
      </w:r>
      <w:r>
        <w:t>Haushalte der Einkommensstufe I projektabhängig auf bis zu 5,10 Euro pro</w:t>
      </w:r>
      <w:r w:rsidR="00ED6428">
        <w:t xml:space="preserve"> </w:t>
      </w:r>
      <w:r>
        <w:t>Quadratmeter Wohnfläche verringert werden kann.</w:t>
      </w:r>
    </w:p>
    <w:p w:rsidR="00DD3048" w:rsidRDefault="00DD3048">
      <w:bookmarkStart w:id="44" w:name="Frage_Nr_21_Ende"/>
      <w:bookmarkEnd w:id="4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8"/>
        <w:gridCol w:w="5778"/>
      </w:tblGrid>
      <w:tr w:rsidR="00DD3048" w:rsidTr="007B0B33">
        <w:tc>
          <w:tcPr>
            <w:tcW w:w="2050" w:type="dxa"/>
          </w:tcPr>
          <w:p w:rsidR="00DD3048" w:rsidRDefault="00DD3048" w:rsidP="00DD3048">
            <w:pPr>
              <w:pStyle w:val="LTAnfrageInitiator"/>
            </w:pPr>
            <w:r>
              <w:lastRenderedPageBreak/>
              <w:t>Abgeordnete</w:t>
            </w:r>
            <w:r>
              <w:rPr>
                <w:b/>
              </w:rPr>
              <w:br/>
              <w:t>Ruth</w:t>
            </w:r>
            <w:r>
              <w:rPr>
                <w:b/>
              </w:rPr>
              <w:br/>
              <w:t>Müller</w:t>
            </w:r>
            <w:r>
              <w:rPr>
                <w:b/>
              </w:rPr>
              <w:br/>
            </w:r>
            <w:r>
              <w:t>(SPD)</w:t>
            </w:r>
            <w:bookmarkStart w:id="45" w:name="Frage_Nr_22"/>
            <w:bookmarkEnd w:id="45"/>
          </w:p>
        </w:tc>
        <w:tc>
          <w:tcPr>
            <w:tcW w:w="7200" w:type="dxa"/>
          </w:tcPr>
          <w:p w:rsidR="00DD3048" w:rsidRDefault="00DD4E70" w:rsidP="00DD3048">
            <w:pPr>
              <w:pStyle w:val="LTAnfrageText"/>
            </w:pPr>
            <w:r w:rsidRPr="00DD4E70">
              <w:t>Ich frage die Staatsregierung, in welchem Umfang wurde in Bayern in den vergangenen fünf Jahren durch die Schaffung von Pendlerparkplätzen an Bahnhöfen und überdachten Fahrradstellplätzen dazu beigetragen, den ÖPNV im ländlichen Raum zu stärken und damit für alle Menschen im Freistaat attraktiver zu machen (bitte Angabe der verwendeten Finanzmittel pro Regierungsbezirk, unterteilt nach Jahren und mit Einteilung nach Projektzugehörigkeit sowie Zuordnung zu Landes-, Bundes- oder kommunalen Finanzmitteln), wie viele Fahrradstellplätze und Pendlerparkplätze an Bahnhöfen sind in Bayern in den vergangenen fünf Jahren entstanden (bitte mit Angabe der prozentualen Steigerung im Vergleich) und welche Landesmittel standen den Kommunen für die Umsetzung zur Verfügung (bitte Auflistung mit Gegenüberstellung der zur Verfügung stehenden Mittel und der tatsächlich abgerufenen Mittel)?</w:t>
            </w:r>
          </w:p>
        </w:tc>
      </w:tr>
    </w:tbl>
    <w:p w:rsidR="00DD3048" w:rsidRDefault="00DD3048" w:rsidP="00DD3048">
      <w:pPr>
        <w:pStyle w:val="LTUeberschrAntwortRessort"/>
      </w:pPr>
      <w:r>
        <w:t>Antwort des Staatsministeriums für Wohnen, Bau und Verkehr</w:t>
      </w:r>
    </w:p>
    <w:p w:rsidR="00DD3048" w:rsidRDefault="00DD3048" w:rsidP="00DD3048">
      <w:pPr>
        <w:pStyle w:val="LTAntwortRessortText"/>
      </w:pPr>
      <w:r>
        <w:t>In den letzten fünf Jahren wurden in allen Regierungsbezirken Kommunen bei</w:t>
      </w:r>
      <w:r w:rsidR="00DD4E70">
        <w:t xml:space="preserve"> </w:t>
      </w:r>
      <w:r>
        <w:t>der Planung, Anlage sowie Erweiterung von Fahrradstellplätzen und Pendlerparkplätzen</w:t>
      </w:r>
      <w:r w:rsidR="00DD4E70">
        <w:t xml:space="preserve"> </w:t>
      </w:r>
      <w:r>
        <w:t>durch Fördermittel unterstützt.</w:t>
      </w:r>
      <w:r w:rsidR="00DD4E70">
        <w:t xml:space="preserve"> </w:t>
      </w:r>
      <w:r>
        <w:t>Die Förderung der Park&amp;Ride- und Bike&amp;Ride-Plätze in Bayern erfolgt u.</w:t>
      </w:r>
      <w:r w:rsidR="00DD4E70">
        <w:t> </w:t>
      </w:r>
      <w:r>
        <w:t>a. aus</w:t>
      </w:r>
      <w:r w:rsidR="00DD4E70">
        <w:t xml:space="preserve"> </w:t>
      </w:r>
      <w:r>
        <w:t>dem Bayerischen Gemeindeverkehrsfinanzierungsgesetz (Kap. 13 10 Tit. 883 09)</w:t>
      </w:r>
      <w:r w:rsidR="00DD4E70">
        <w:t xml:space="preserve"> </w:t>
      </w:r>
      <w:r>
        <w:t>ggf. mit Aufstockung aus Mitteln des Bayerischen Finanzausgleichsgesetzes</w:t>
      </w:r>
      <w:r w:rsidR="00DD4E70">
        <w:t xml:space="preserve"> </w:t>
      </w:r>
      <w:r>
        <w:t>(Kap. 13 10 TG 81). Für den Bau von Fahrradabstellanlagen kann die Förderung</w:t>
      </w:r>
      <w:r w:rsidR="00DD4E70">
        <w:t xml:space="preserve"> </w:t>
      </w:r>
      <w:r>
        <w:t>zusätzlich noch aus dem Bike&amp;Ride-Förderprogramm (Kap. 09 06 Tit. 883 80)</w:t>
      </w:r>
      <w:r w:rsidR="00DD4E70">
        <w:t xml:space="preserve"> </w:t>
      </w:r>
      <w:r>
        <w:t>aufgestockt werden. Den fünf großen Städten in Bayern standen und stehen auch</w:t>
      </w:r>
      <w:r w:rsidR="00DD4E70">
        <w:t xml:space="preserve"> </w:t>
      </w:r>
      <w:r>
        <w:t>noch bis einschließlich 2023 für die Schaffung von Fahrradabstellanlagen Mittel</w:t>
      </w:r>
      <w:r w:rsidR="00DD4E70">
        <w:t xml:space="preserve"> </w:t>
      </w:r>
      <w:r>
        <w:t>aus dem am 18.</w:t>
      </w:r>
      <w:r w:rsidR="00DD4E70">
        <w:t>07.</w:t>
      </w:r>
      <w:r>
        <w:t>2017 beschlossenen Maßnahmenpaket der Luftreinhaltung</w:t>
      </w:r>
      <w:r w:rsidR="00DD4E70">
        <w:t xml:space="preserve"> </w:t>
      </w:r>
      <w:r>
        <w:t>zur Verfügung (Kap. 09 08 Tit. 883 04). Auch Bundesmittel können die Kommunen</w:t>
      </w:r>
      <w:r w:rsidR="00DD4E70">
        <w:t xml:space="preserve"> </w:t>
      </w:r>
      <w:r>
        <w:t>für diese Maßnahmen in Anspruch genommen haben, etwa über die sogenannte</w:t>
      </w:r>
      <w:r w:rsidR="00DD4E70">
        <w:t xml:space="preserve"> </w:t>
      </w:r>
      <w:r>
        <w:t xml:space="preserve">Bike&amp;Ride-Offensive und das Sonderprogramm </w:t>
      </w:r>
      <w:r w:rsidR="00DD4E70">
        <w:t>„</w:t>
      </w:r>
      <w:r>
        <w:t>Stadt und Land</w:t>
      </w:r>
      <w:r w:rsidR="00DD4E70">
        <w:t>“</w:t>
      </w:r>
      <w:r>
        <w:t>. Über</w:t>
      </w:r>
      <w:r w:rsidR="00DD4E70">
        <w:t xml:space="preserve"> </w:t>
      </w:r>
      <w:r>
        <w:t>den Einsatz kommunaler Finanzmittel liegen keine Angaben vor. Weitere Angaben</w:t>
      </w:r>
      <w:r w:rsidR="00DD4E70">
        <w:t xml:space="preserve"> </w:t>
      </w:r>
      <w:r>
        <w:t>sind in der Kürze der für die Beantwortung zur Verfügung stehenden Zeit</w:t>
      </w:r>
      <w:r w:rsidR="00DD4E70">
        <w:t xml:space="preserve"> </w:t>
      </w:r>
      <w:r>
        <w:t>nicht möglich.</w:t>
      </w:r>
    </w:p>
    <w:p w:rsidR="00DD3048" w:rsidRDefault="00DD3048">
      <w:bookmarkStart w:id="46" w:name="Frage_Nr_22_Ende"/>
      <w:bookmarkEnd w:id="4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DD3048" w:rsidTr="007B0B33">
        <w:tc>
          <w:tcPr>
            <w:tcW w:w="2050" w:type="dxa"/>
          </w:tcPr>
          <w:p w:rsidR="00DD3048" w:rsidRDefault="00DD3048" w:rsidP="00DD3048">
            <w:pPr>
              <w:pStyle w:val="LTAnfrageInitiator"/>
            </w:pPr>
            <w:r>
              <w:lastRenderedPageBreak/>
              <w:t>Abgeordneter</w:t>
            </w:r>
            <w:r>
              <w:rPr>
                <w:b/>
              </w:rPr>
              <w:br/>
              <w:t>Tim</w:t>
            </w:r>
            <w:r>
              <w:rPr>
                <w:b/>
              </w:rPr>
              <w:br/>
              <w:t>Pargent</w:t>
            </w:r>
            <w:r>
              <w:rPr>
                <w:b/>
              </w:rPr>
              <w:br/>
            </w:r>
            <w:r>
              <w:t>(BÜNDNIS 90/DIE GRÜNEN)</w:t>
            </w:r>
            <w:bookmarkStart w:id="47" w:name="Frage_Nr_23"/>
            <w:bookmarkEnd w:id="47"/>
          </w:p>
        </w:tc>
        <w:tc>
          <w:tcPr>
            <w:tcW w:w="7200" w:type="dxa"/>
          </w:tcPr>
          <w:p w:rsidR="00DD3048" w:rsidRDefault="00191AD9" w:rsidP="00DD3048">
            <w:pPr>
              <w:pStyle w:val="LTAnfrageText"/>
            </w:pPr>
            <w:r w:rsidRPr="00191AD9">
              <w:t xml:space="preserve">Vor dem Hintergrund der Ankündigung von Staatsminister für Wohnen, Bau und Verkehr Christian Bernreiter im November 2022 für die geplante Ortsumgehung von Döllnitz (Gemeinde Kasendorf) 90 Prozent der Kosten zu übernehmen, frage ich die Staatsregierung, mit welchen Gesamtkosten derzeit zu rechnen ist, für welche Jahre die Mittel im Haushalt eingeplant sind (bitte genaue Höhe angeben) und wie der aktuelle Zeitplan für das Bauprojekt ist?  </w:t>
            </w:r>
          </w:p>
        </w:tc>
      </w:tr>
    </w:tbl>
    <w:p w:rsidR="00DD3048" w:rsidRDefault="00DD3048" w:rsidP="00DD3048">
      <w:pPr>
        <w:pStyle w:val="LTUeberschrAntwortRessort"/>
      </w:pPr>
      <w:r>
        <w:t>Antwort des Staatsministeriums für Wohnen, Bau und Verkehr</w:t>
      </w:r>
    </w:p>
    <w:p w:rsidR="00DD3048" w:rsidRDefault="00DD3048" w:rsidP="00DD3048">
      <w:pPr>
        <w:pStyle w:val="LTAntwortRessortText"/>
      </w:pPr>
      <w:r>
        <w:t>Die Ortsumgehung Döllnitz soll in kommunaler Sonderbaulast durch den Markt</w:t>
      </w:r>
      <w:r w:rsidR="00191AD9">
        <w:t xml:space="preserve"> </w:t>
      </w:r>
      <w:r>
        <w:t>Kasendorf mit Unterstützung durch den Freistaat mit Zuwendungen nach Art. 13f</w:t>
      </w:r>
      <w:r w:rsidR="00191AD9">
        <w:t xml:space="preserve"> </w:t>
      </w:r>
      <w:r>
        <w:t>Bayerische</w:t>
      </w:r>
      <w:r w:rsidR="00191AD9">
        <w:t>s Finanzausgleichsgesetz</w:t>
      </w:r>
      <w:r>
        <w:t xml:space="preserve"> mit einem Fördersatz von 90 Prozent</w:t>
      </w:r>
      <w:r w:rsidR="00191AD9">
        <w:t xml:space="preserve"> </w:t>
      </w:r>
      <w:r>
        <w:t>der zuwendungsfähigen Kosten verwirklicht werden.</w:t>
      </w:r>
    </w:p>
    <w:p w:rsidR="00DD3048" w:rsidRDefault="00DD3048" w:rsidP="00DD3048">
      <w:pPr>
        <w:pStyle w:val="LTAntwortRessortText"/>
      </w:pPr>
      <w:r>
        <w:t xml:space="preserve">Es ist vorgesehen, dass der Markt Kasendorf den Förderantrag bis zum </w:t>
      </w:r>
      <w:r w:rsidR="00191AD9">
        <w:t>0</w:t>
      </w:r>
      <w:r>
        <w:t>1.</w:t>
      </w:r>
      <w:r w:rsidR="00191AD9">
        <w:t>09.</w:t>
      </w:r>
      <w:r>
        <w:t>2023 bei der Regierung von Oberfranken einreicht. Die genaue Höhe der</w:t>
      </w:r>
      <w:r w:rsidR="00191AD9">
        <w:t xml:space="preserve"> </w:t>
      </w:r>
      <w:r>
        <w:t>benötigten Zuwendungen hängt insbesondere vom Ergebnis der noch durchzuführenden</w:t>
      </w:r>
      <w:r w:rsidR="00191AD9">
        <w:t xml:space="preserve"> </w:t>
      </w:r>
      <w:r>
        <w:t>Ausschreibungen für die Bauleistungen ab und kann daher derzeit noch</w:t>
      </w:r>
      <w:r w:rsidR="00191AD9">
        <w:t xml:space="preserve"> </w:t>
      </w:r>
      <w:r>
        <w:t>nicht angegeben werden. Die benötigten Mittel werden im Rahmen des Sonderbaulastprogramms</w:t>
      </w:r>
      <w:r w:rsidR="00191AD9">
        <w:t xml:space="preserve"> </w:t>
      </w:r>
      <w:r>
        <w:t>für die jeweiligen Haushaltsjahre eingeplant.</w:t>
      </w:r>
      <w:r w:rsidR="00191AD9">
        <w:t xml:space="preserve"> </w:t>
      </w:r>
      <w:r>
        <w:t>Die geschätzten Gesamtkosten belauf</w:t>
      </w:r>
      <w:r w:rsidR="00191AD9">
        <w:t>en sich derzeit auf etwa 6,2 Mi</w:t>
      </w:r>
      <w:r>
        <w:t>o</w:t>
      </w:r>
      <w:r w:rsidR="00191AD9">
        <w:t>.</w:t>
      </w:r>
      <w:r>
        <w:t xml:space="preserve"> Euro,</w:t>
      </w:r>
      <w:r w:rsidR="00191AD9">
        <w:t xml:space="preserve"> </w:t>
      </w:r>
      <w:r>
        <w:t>davon 5,7 Mio</w:t>
      </w:r>
      <w:r w:rsidR="00191AD9">
        <w:t>.</w:t>
      </w:r>
      <w:r>
        <w:t xml:space="preserve"> Euro Baukosten und 0,5 Mio</w:t>
      </w:r>
      <w:r w:rsidR="00191AD9">
        <w:t>.</w:t>
      </w:r>
      <w:r>
        <w:t xml:space="preserve"> Euro für den Grunderwerb.</w:t>
      </w:r>
    </w:p>
    <w:p w:rsidR="00DD3048" w:rsidRDefault="00DD3048" w:rsidP="00DD3048">
      <w:pPr>
        <w:pStyle w:val="LTAntwortRessortText"/>
      </w:pPr>
      <w:r>
        <w:t>Der aktuelle Zeitplan sieht vor, im Frühjahr 2024 mit den Bauarbeiten zu beginnen.</w:t>
      </w:r>
      <w:r w:rsidR="00191AD9">
        <w:t xml:space="preserve"> </w:t>
      </w:r>
      <w:r>
        <w:t>Es wird mit einer Bauzeit von rund 1,5 Jahren gerechnet.</w:t>
      </w:r>
    </w:p>
    <w:p w:rsidR="00DD3048" w:rsidRDefault="00DD3048">
      <w:bookmarkStart w:id="48" w:name="Frage_Nr_23_Ende"/>
      <w:bookmarkEnd w:id="4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0"/>
        <w:gridCol w:w="5766"/>
      </w:tblGrid>
      <w:tr w:rsidR="00DD3048" w:rsidTr="007B0B33">
        <w:tc>
          <w:tcPr>
            <w:tcW w:w="2050" w:type="dxa"/>
          </w:tcPr>
          <w:p w:rsidR="00DD3048" w:rsidRDefault="00DD3048" w:rsidP="00DD3048">
            <w:pPr>
              <w:pStyle w:val="LTAnfrageInitiator"/>
            </w:pPr>
            <w:r>
              <w:lastRenderedPageBreak/>
              <w:t>Abgeordnete</w:t>
            </w:r>
            <w:r>
              <w:rPr>
                <w:b/>
              </w:rPr>
              <w:br/>
              <w:t>Stephanie</w:t>
            </w:r>
            <w:r>
              <w:rPr>
                <w:b/>
              </w:rPr>
              <w:br/>
              <w:t>Schuhknecht</w:t>
            </w:r>
            <w:r>
              <w:rPr>
                <w:b/>
              </w:rPr>
              <w:br/>
            </w:r>
            <w:r>
              <w:t>(BÜNDNIS 90/DIE GRÜNEN)</w:t>
            </w:r>
            <w:bookmarkStart w:id="49" w:name="Frage_Nr_24"/>
            <w:bookmarkEnd w:id="49"/>
          </w:p>
        </w:tc>
        <w:tc>
          <w:tcPr>
            <w:tcW w:w="7200" w:type="dxa"/>
          </w:tcPr>
          <w:p w:rsidR="00DD3048" w:rsidRDefault="00191AD9" w:rsidP="00DD3048">
            <w:pPr>
              <w:pStyle w:val="LTAnfrageText"/>
            </w:pPr>
            <w:r w:rsidRPr="00191AD9">
              <w:t>In der Ausschreibung zur Neuvergabe der Strecke München–Augsburg–Ulm/Donauwörth/Treuchtlingen wurde festgehalten, dass im Interesse einer guten Betriebsqualität am Münchner Hbf außer in Randzeiten eine Mindestwendezeit von 20 Minuten einzuhalten ist, weshalb ich die Staatsregierung frage, aus welchem Grund können die Mindestwendezeiten regelhaft aktuell nicht eingehalten werden (bitte ausführlich begründen), könnten die Mindestwendezeiten eingehalten werden, wenn laufende Infrastrukturmaßnahmen am Münchner Hbf abgeschlossen sind (Bahnhofssanierung, 2. Stammstrecke usw.) bzw. wenn aktuell keine Infrastrukturmaßnahen laufen würden und was unternimmt die Staatsregierung, damit auch im Vergleich zu DB Regio und anderen Bahnen für Go</w:t>
            </w:r>
            <w:r w:rsidR="00AD3CEE">
              <w:t>-</w:t>
            </w:r>
            <w:r w:rsidRPr="00191AD9">
              <w:t>Ahead schnellstmöglich wieder die Mindestwendezeiten im Münchner Hbf zur Verfügung stehen?</w:t>
            </w:r>
          </w:p>
        </w:tc>
      </w:tr>
    </w:tbl>
    <w:p w:rsidR="00DD3048" w:rsidRDefault="00DD3048" w:rsidP="00DD3048">
      <w:pPr>
        <w:pStyle w:val="LTUeberschrAntwortRessort"/>
      </w:pPr>
      <w:r>
        <w:t>Antwort des Staatsministeriums für Wohnen, Bau und Verkehr</w:t>
      </w:r>
    </w:p>
    <w:p w:rsidR="00DD3048" w:rsidRDefault="00DD3048" w:rsidP="00DD3048">
      <w:pPr>
        <w:pStyle w:val="LTAntwortRessortText"/>
      </w:pPr>
      <w:r>
        <w:t>Die Vergabe der Bahnsteiggleise im Münchner Hauptbahnhof erfolgt durch den</w:t>
      </w:r>
      <w:r w:rsidR="00191AD9">
        <w:t xml:space="preserve"> </w:t>
      </w:r>
      <w:r>
        <w:t>Infrastrukturbetreiber DB Netz AG. Go-Ahead hatte bei der Trassenanmeldung</w:t>
      </w:r>
      <w:r w:rsidR="00191AD9">
        <w:t xml:space="preserve"> </w:t>
      </w:r>
      <w:r>
        <w:t>für den Fahrplan 2023 im April 2022 bei DB Netz AG entsprechende Mindestwendezeiten im Münchner Hauptbahnhof beantragt. Im Herbst 2022 teilte DB</w:t>
      </w:r>
      <w:r w:rsidR="00191AD9">
        <w:t xml:space="preserve"> </w:t>
      </w:r>
      <w:r>
        <w:t>Netz der Go-Ahead mit, dass dies in den meisten Fällen nicht möglich sei, weil</w:t>
      </w:r>
      <w:r w:rsidR="00191AD9">
        <w:t xml:space="preserve"> </w:t>
      </w:r>
      <w:r>
        <w:t>dort kein Bahnsteiggleis frei sei, um eine Mindestwendezeit von 20 Minuten zu</w:t>
      </w:r>
      <w:r w:rsidR="00191AD9">
        <w:t xml:space="preserve"> </w:t>
      </w:r>
      <w:r>
        <w:t>realisieren. Ursache ist somit die knappe Kapazität im Münchner Hauptbahnhof.</w:t>
      </w:r>
      <w:r w:rsidR="00191AD9">
        <w:t xml:space="preserve"> </w:t>
      </w:r>
      <w:r>
        <w:t>Die DB Netz AG priorisiert den Fernverkehr. Eine Lösung ist nur durch einen</w:t>
      </w:r>
      <w:r w:rsidR="00191AD9">
        <w:t xml:space="preserve"> I</w:t>
      </w:r>
      <w:r>
        <w:t>nfrastrukturausbau möglich, für den gemäß Grundgesetz der Bund die Verantwortung</w:t>
      </w:r>
      <w:r w:rsidR="00191AD9">
        <w:t xml:space="preserve"> </w:t>
      </w:r>
      <w:r>
        <w:t>hat. Dies gilt auch für die Bahnsteiggleise am Hauptbahnhof München.</w:t>
      </w:r>
      <w:r w:rsidR="00191AD9">
        <w:t xml:space="preserve"> </w:t>
      </w:r>
      <w:r>
        <w:t>Die Staatsregierung fordert die Weiterentwicklung der Schieneninfrastruktur</w:t>
      </w:r>
      <w:r w:rsidR="00191AD9">
        <w:t xml:space="preserve"> </w:t>
      </w:r>
      <w:r>
        <w:t>durch den Bund, um ein weiteres Wachstum und robuste Fahrpläne im Schienenpersonennahverkehr</w:t>
      </w:r>
      <w:r w:rsidR="00191AD9">
        <w:t xml:space="preserve"> </w:t>
      </w:r>
      <w:r>
        <w:t>zu ermöglichen.</w:t>
      </w:r>
    </w:p>
    <w:p w:rsidR="00DD3048" w:rsidRDefault="00DD3048">
      <w:bookmarkStart w:id="50" w:name="Frage_Nr_24_Ende"/>
      <w:bookmarkEnd w:id="5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0"/>
        <w:gridCol w:w="5756"/>
      </w:tblGrid>
      <w:tr w:rsidR="00DD3048" w:rsidTr="007B0B33">
        <w:tc>
          <w:tcPr>
            <w:tcW w:w="2050" w:type="dxa"/>
          </w:tcPr>
          <w:p w:rsidR="00DD3048" w:rsidRDefault="00DD3048" w:rsidP="00DD3048">
            <w:pPr>
              <w:pStyle w:val="LTAnfrageInitiator"/>
            </w:pPr>
            <w:r>
              <w:lastRenderedPageBreak/>
              <w:t>Abgeordneter</w:t>
            </w:r>
            <w:r>
              <w:rPr>
                <w:b/>
              </w:rPr>
              <w:br/>
              <w:t>Christian</w:t>
            </w:r>
            <w:r>
              <w:rPr>
                <w:b/>
              </w:rPr>
              <w:br/>
              <w:t>Zwanziger</w:t>
            </w:r>
            <w:r>
              <w:rPr>
                <w:b/>
              </w:rPr>
              <w:br/>
            </w:r>
            <w:r>
              <w:t>(BÜNDNIS 90/DIE GRÜNEN)</w:t>
            </w:r>
            <w:bookmarkStart w:id="51" w:name="Frage_Nr_25"/>
            <w:bookmarkEnd w:id="51"/>
          </w:p>
        </w:tc>
        <w:tc>
          <w:tcPr>
            <w:tcW w:w="7200" w:type="dxa"/>
          </w:tcPr>
          <w:p w:rsidR="00DD3048" w:rsidRDefault="00191AD9" w:rsidP="00DD3048">
            <w:pPr>
              <w:pStyle w:val="LTAnfrageText"/>
            </w:pPr>
            <w:r w:rsidRPr="00191AD9">
              <w:t>Ich frage die Staatsregierung, welche Maßnahmen wurden mit Mitteln des Sonderfonds „Innenstädte beleben“ bisher umgesetzt, wie beurteilt die Staatsregierung den Erfolg dieses Sonderfonds bisher und sieht die Staatsregierung einen Widerspruch, wenn aus Mitteln des Sonderfonds Maßnahmen zur Belebung der Innenstadt gefördert werden, die durch den Bau von großflächigem Einzelhandel am Ortsrand notwendig werden, wie beispielsweise eine LED-Werbetafel am Aischparkcenter in Höchstadt, die unter anderem auf Angebote in der Innenstadt aufmerksam machen sollen?</w:t>
            </w:r>
          </w:p>
        </w:tc>
      </w:tr>
    </w:tbl>
    <w:p w:rsidR="00DD3048" w:rsidRDefault="00DD3048" w:rsidP="00DD3048">
      <w:pPr>
        <w:pStyle w:val="LTUeberschrAntwortRessort"/>
      </w:pPr>
      <w:r>
        <w:t>Antwort des Staatsministeriums für Wohnen, Bau und Verkehr</w:t>
      </w:r>
    </w:p>
    <w:p w:rsidR="00DD3048" w:rsidRDefault="00DD3048" w:rsidP="00DD3048">
      <w:pPr>
        <w:pStyle w:val="LTAntwortRessortText"/>
      </w:pPr>
      <w:r>
        <w:t>Eine kurzfristige Abfrage bei allen Regierungen und bei allen betroffenen Gemeinden</w:t>
      </w:r>
      <w:r w:rsidR="00191AD9">
        <w:t xml:space="preserve"> </w:t>
      </w:r>
      <w:r>
        <w:t>sowie die sich daran anschließende Auswertung aller umgesetzten Maßnahmen</w:t>
      </w:r>
      <w:r w:rsidR="00191AD9">
        <w:t xml:space="preserve"> </w:t>
      </w:r>
      <w:r>
        <w:t xml:space="preserve">seit Auflage des Sonderfonds </w:t>
      </w:r>
      <w:r w:rsidR="00191AD9">
        <w:t>„</w:t>
      </w:r>
      <w:r>
        <w:t>Innenstädte beleben</w:t>
      </w:r>
      <w:r w:rsidR="00191AD9">
        <w:t>“</w:t>
      </w:r>
      <w:r>
        <w:t xml:space="preserve"> im Jahr 2021 sind in</w:t>
      </w:r>
      <w:r w:rsidR="00191AD9">
        <w:t xml:space="preserve"> </w:t>
      </w:r>
      <w:r>
        <w:t>der Kürze der für die Beantwortung zur Verfügung stehenden Zeit nicht möglich.</w:t>
      </w:r>
      <w:r w:rsidR="00191AD9">
        <w:t xml:space="preserve"> </w:t>
      </w:r>
      <w:r>
        <w:t>Allgemein kann festgestellt werden, dass der Sonderfonds sehr erfolgreich gestartet</w:t>
      </w:r>
      <w:r w:rsidR="00191AD9">
        <w:t xml:space="preserve"> </w:t>
      </w:r>
      <w:r>
        <w:t>ist. Die</w:t>
      </w:r>
      <w:r w:rsidR="00191AD9">
        <w:t xml:space="preserve"> zur Verfügung stehenden 100 Mio.</w:t>
      </w:r>
      <w:r>
        <w:t xml:space="preserve"> Euro konnten für beantragte</w:t>
      </w:r>
      <w:r w:rsidR="00191AD9">
        <w:t xml:space="preserve"> </w:t>
      </w:r>
      <w:r>
        <w:t>Fördermaßnahmen in allen 279 aufgenommenen Gemeinden bewilligt werden.</w:t>
      </w:r>
      <w:r w:rsidR="00191AD9">
        <w:t xml:space="preserve"> </w:t>
      </w:r>
      <w:r>
        <w:t>Die bewilligten Fördermaßnahmen befinden sich aktuell in unterschiedlichen</w:t>
      </w:r>
      <w:r w:rsidR="00191AD9">
        <w:t xml:space="preserve"> </w:t>
      </w:r>
      <w:r>
        <w:t>Umsetzungsphasen (gestartet/in Umsetzung/durchgeführt). Die Errichtung einer</w:t>
      </w:r>
      <w:r w:rsidR="00191AD9">
        <w:t xml:space="preserve"> </w:t>
      </w:r>
      <w:r>
        <w:t>LED-Leinwand im Randbereich des Grundstückes des Aisch-Park-Centers am</w:t>
      </w:r>
      <w:r w:rsidR="00191AD9">
        <w:t xml:space="preserve"> </w:t>
      </w:r>
      <w:r>
        <w:t xml:space="preserve">Kieferndorfer Weg in Höchstadt wurde im Rahmen des Projektfonds </w:t>
      </w:r>
      <w:r w:rsidR="00191AD9">
        <w:t>„</w:t>
      </w:r>
      <w:r>
        <w:t>Innenstädte</w:t>
      </w:r>
      <w:r w:rsidR="00191AD9">
        <w:t xml:space="preserve"> </w:t>
      </w:r>
      <w:r>
        <w:t>beleben</w:t>
      </w:r>
      <w:r w:rsidR="00191AD9">
        <w:t>“</w:t>
      </w:r>
      <w:r>
        <w:t xml:space="preserve"> gefördert. Die verstärkte Besucherfrequenz des Aisch-Park-Centers soll</w:t>
      </w:r>
      <w:r w:rsidR="00191AD9">
        <w:t xml:space="preserve"> </w:t>
      </w:r>
      <w:r>
        <w:t>genutzt werden, um auf Angebote der innerstädtischen Gewerbetreibenden sowie</w:t>
      </w:r>
      <w:r w:rsidR="00191AD9">
        <w:t xml:space="preserve"> </w:t>
      </w:r>
      <w:r>
        <w:t>auf Veranstaltungen und Aktionen im Innenstadtbereich aufmerksam zu machen.</w:t>
      </w:r>
    </w:p>
    <w:p w:rsidR="00DD3048" w:rsidRDefault="00DD3048">
      <w:bookmarkStart w:id="52" w:name="Frage_Nr_25_Ende"/>
      <w:bookmarkEnd w:id="52"/>
      <w:r>
        <w:br w:type="page"/>
      </w:r>
    </w:p>
    <w:p w:rsidR="00DD3048" w:rsidRDefault="00DD3048" w:rsidP="00DD3048">
      <w:pPr>
        <w:pStyle w:val="LTUeberschrRessort"/>
      </w:pPr>
      <w:r>
        <w:lastRenderedPageBreak/>
        <w:t>Geschäftsbereich des Staatsministeriums für Unterricht und Kultus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0"/>
        <w:gridCol w:w="5726"/>
      </w:tblGrid>
      <w:tr w:rsidR="00DD3048" w:rsidTr="007B0B33">
        <w:tc>
          <w:tcPr>
            <w:tcW w:w="2050" w:type="dxa"/>
          </w:tcPr>
          <w:p w:rsidR="00DD3048" w:rsidRDefault="00DD3048" w:rsidP="00DD3048">
            <w:pPr>
              <w:pStyle w:val="LTAnfrageInitiator"/>
            </w:pPr>
            <w:r>
              <w:t>Abgeordneter</w:t>
            </w:r>
            <w:r>
              <w:rPr>
                <w:b/>
              </w:rPr>
              <w:br/>
              <w:t>Matthias</w:t>
            </w:r>
            <w:r>
              <w:rPr>
                <w:b/>
              </w:rPr>
              <w:br/>
              <w:t>Fischbach</w:t>
            </w:r>
            <w:r>
              <w:rPr>
                <w:b/>
              </w:rPr>
              <w:br/>
            </w:r>
            <w:r>
              <w:t>(FDP)</w:t>
            </w:r>
            <w:bookmarkStart w:id="53" w:name="Frage_Nr_26"/>
            <w:bookmarkEnd w:id="53"/>
          </w:p>
        </w:tc>
        <w:tc>
          <w:tcPr>
            <w:tcW w:w="7200" w:type="dxa"/>
          </w:tcPr>
          <w:p w:rsidR="00DD3048" w:rsidRDefault="00191AD9" w:rsidP="00DD3048">
            <w:pPr>
              <w:pStyle w:val="LTAnfrageText"/>
            </w:pPr>
            <w:r w:rsidRPr="00191AD9">
              <w:t>Ich frage die Staatsregierung, wie viele Abordnungen von Lehrkräften in Bayern in den Jahren 2015 bis 2023 in bayerische Staatsministerien (insbesondere Staatsministerium für Unterricht und Kultus) und in ihre nachgelagerten Behörden erfolgt sind (bitte aufschlüsseln nach Dauer der Abordnung inkl. Verlängerungen, Anzahl der Lehrkräfte, Name der Behörde, Zeitraum der Abordnung und Anstellungsart), aus welchen Schularten wurden diese Lehrkräfte in den Jahren 2015 bis 2023 abgeordnet (bitte aufschlüsseln nach Schulart, Jahren und Anzahl der abgeordneten Lehrkräfte) und inwiefern kehren diese Lehrkräfte zurück in den regulären Schuldienst (bitte aufschlüsseln nach Anzahl, Schulart und alternativer Einsatzort zum regulären Schuldienst)?</w:t>
            </w:r>
          </w:p>
        </w:tc>
      </w:tr>
    </w:tbl>
    <w:p w:rsidR="00DD3048" w:rsidRDefault="00DD3048" w:rsidP="00DD3048">
      <w:pPr>
        <w:pStyle w:val="LTUeberschrAntwortRessort"/>
      </w:pPr>
      <w:r>
        <w:t>Antwort des Staatsministeriums für Unterricht und Kultus</w:t>
      </w:r>
    </w:p>
    <w:p w:rsidR="00DD3048" w:rsidRDefault="00DD3048" w:rsidP="00DD3048">
      <w:pPr>
        <w:pStyle w:val="LTAntwortRessortText"/>
      </w:pPr>
      <w:r>
        <w:t>Die angefragten Daten liegen dem Staatsministerium für Unterricht und Kultus</w:t>
      </w:r>
      <w:r w:rsidR="00191AD9">
        <w:t xml:space="preserve"> </w:t>
      </w:r>
      <w:r>
        <w:t>(StMUK) nicht ausgewertet vor und können für den Zeitraum 2015 bis 2023 kurzfristig</w:t>
      </w:r>
      <w:r w:rsidR="00191AD9">
        <w:t xml:space="preserve"> </w:t>
      </w:r>
      <w:r>
        <w:t>auch nicht erhoben werden.</w:t>
      </w:r>
    </w:p>
    <w:p w:rsidR="00DD3048" w:rsidRDefault="00DD3048" w:rsidP="00DD3048">
      <w:pPr>
        <w:pStyle w:val="LTAntwortRessortText"/>
      </w:pPr>
      <w:r>
        <w:t>Zum Stichtag 01.10.2019 wurden im Rahmen von Schriftlichen Anfragen einzelne Abordnungsdaten</w:t>
      </w:r>
      <w:r w:rsidR="00191AD9">
        <w:t xml:space="preserve"> </w:t>
      </w:r>
      <w:r>
        <w:t>für Förderschullehrkräfte, Grundschul- und Mittelschullehrkräfte, Realschullehrkräfte</w:t>
      </w:r>
      <w:r w:rsidR="00191AD9">
        <w:t xml:space="preserve"> </w:t>
      </w:r>
      <w:r>
        <w:t>und Gymnasiallehrkräfte erhoben und mitgeteilt. Auf die Antwort des</w:t>
      </w:r>
      <w:r w:rsidR="00191AD9">
        <w:t xml:space="preserve"> </w:t>
      </w:r>
      <w:r>
        <w:t>Staatsministeriums für Unterricht und Kultus (Drs. 18/14515 vom 30.04.2021) darf insofern</w:t>
      </w:r>
      <w:r w:rsidR="00191AD9">
        <w:t xml:space="preserve"> </w:t>
      </w:r>
      <w:r>
        <w:t>verwiesen werden.</w:t>
      </w:r>
    </w:p>
    <w:p w:rsidR="00DD3048" w:rsidRDefault="00DD3048" w:rsidP="00DD3048">
      <w:pPr>
        <w:pStyle w:val="LTAntwortRessortText"/>
      </w:pPr>
      <w:r>
        <w:t>Hinsichtlich der Abordnungen an das StMUK wird ergänzend Folgendes mitgeteilt:</w:t>
      </w:r>
    </w:p>
    <w:p w:rsidR="00DD3048" w:rsidRDefault="00DD3048" w:rsidP="00DD3048">
      <w:pPr>
        <w:pStyle w:val="LTAntwortRessortText"/>
      </w:pPr>
      <w:r>
        <w:t>Im Stellenplan des StMUK ist ab dem Haushaltsjahr 2018 (Ressortneugliederung) folgende</w:t>
      </w:r>
      <w:r w:rsidR="00191AD9">
        <w:t xml:space="preserve"> </w:t>
      </w:r>
      <w:r>
        <w:t>Stellenanzahl für abgeordnete Lehrkräfte ausgewiesen:</w:t>
      </w:r>
    </w:p>
    <w:p w:rsidR="00DD3048" w:rsidRDefault="00DD3048" w:rsidP="00CE750E">
      <w:pPr>
        <w:pStyle w:val="LTAntwortRessortText"/>
        <w:spacing w:before="0"/>
      </w:pPr>
    </w:p>
    <w:tbl>
      <w:tblPr>
        <w:tblStyle w:val="TableGrid"/>
        <w:tblW w:w="8123" w:type="dxa"/>
        <w:jc w:val="center"/>
        <w:tblInd w:w="0" w:type="dxa"/>
        <w:tblCellMar>
          <w:top w:w="12" w:type="dxa"/>
          <w:left w:w="108" w:type="dxa"/>
          <w:right w:w="115" w:type="dxa"/>
        </w:tblCellMar>
        <w:tblLook w:val="04A0" w:firstRow="1" w:lastRow="0" w:firstColumn="1" w:lastColumn="0" w:noHBand="0" w:noVBand="1"/>
      </w:tblPr>
      <w:tblGrid>
        <w:gridCol w:w="2123"/>
        <w:gridCol w:w="1001"/>
        <w:gridCol w:w="998"/>
        <w:gridCol w:w="1001"/>
        <w:gridCol w:w="1001"/>
        <w:gridCol w:w="998"/>
        <w:gridCol w:w="1001"/>
      </w:tblGrid>
      <w:tr w:rsidR="00191AD9" w:rsidTr="00191AD9">
        <w:trPr>
          <w:trHeight w:val="353"/>
          <w:jc w:val="center"/>
        </w:trPr>
        <w:tc>
          <w:tcPr>
            <w:tcW w:w="2122" w:type="dxa"/>
            <w:tcBorders>
              <w:top w:val="single" w:sz="4" w:space="0" w:color="000000"/>
              <w:left w:val="single" w:sz="4" w:space="0" w:color="000000"/>
              <w:bottom w:val="single" w:sz="4" w:space="0" w:color="000000"/>
              <w:right w:val="single" w:sz="4" w:space="0" w:color="000000"/>
            </w:tcBorders>
            <w:vAlign w:val="center"/>
          </w:tcPr>
          <w:p w:rsidR="00191AD9" w:rsidRDefault="00191AD9" w:rsidP="00191AD9">
            <w:pPr>
              <w:jc w:val="center"/>
            </w:pPr>
            <w:r>
              <w:rPr>
                <w:sz w:val="20"/>
              </w:rPr>
              <w:t>Haushaltsjahr</w:t>
            </w:r>
          </w:p>
        </w:tc>
        <w:tc>
          <w:tcPr>
            <w:tcW w:w="1001" w:type="dxa"/>
            <w:tcBorders>
              <w:top w:val="single" w:sz="4" w:space="0" w:color="000000"/>
              <w:left w:val="single" w:sz="4" w:space="0" w:color="000000"/>
              <w:bottom w:val="single" w:sz="4" w:space="0" w:color="000000"/>
              <w:right w:val="single" w:sz="4" w:space="0" w:color="000000"/>
            </w:tcBorders>
            <w:vAlign w:val="center"/>
          </w:tcPr>
          <w:p w:rsidR="00191AD9" w:rsidRDefault="00191AD9" w:rsidP="00191AD9">
            <w:pPr>
              <w:jc w:val="center"/>
            </w:pPr>
            <w:r>
              <w:rPr>
                <w:sz w:val="20"/>
              </w:rPr>
              <w:t>2018</w:t>
            </w:r>
          </w:p>
        </w:tc>
        <w:tc>
          <w:tcPr>
            <w:tcW w:w="998" w:type="dxa"/>
            <w:tcBorders>
              <w:top w:val="single" w:sz="4" w:space="0" w:color="000000"/>
              <w:left w:val="single" w:sz="4" w:space="0" w:color="000000"/>
              <w:bottom w:val="single" w:sz="4" w:space="0" w:color="000000"/>
              <w:right w:val="single" w:sz="4" w:space="0" w:color="000000"/>
            </w:tcBorders>
            <w:vAlign w:val="center"/>
          </w:tcPr>
          <w:p w:rsidR="00191AD9" w:rsidRDefault="00191AD9" w:rsidP="00191AD9">
            <w:pPr>
              <w:jc w:val="center"/>
            </w:pPr>
            <w:r>
              <w:rPr>
                <w:sz w:val="20"/>
              </w:rPr>
              <w:t>2019</w:t>
            </w:r>
          </w:p>
        </w:tc>
        <w:tc>
          <w:tcPr>
            <w:tcW w:w="1001" w:type="dxa"/>
            <w:tcBorders>
              <w:top w:val="single" w:sz="4" w:space="0" w:color="000000"/>
              <w:left w:val="single" w:sz="4" w:space="0" w:color="000000"/>
              <w:bottom w:val="single" w:sz="4" w:space="0" w:color="000000"/>
              <w:right w:val="single" w:sz="4" w:space="0" w:color="000000"/>
            </w:tcBorders>
            <w:vAlign w:val="center"/>
          </w:tcPr>
          <w:p w:rsidR="00191AD9" w:rsidRDefault="00191AD9" w:rsidP="00191AD9">
            <w:pPr>
              <w:jc w:val="center"/>
            </w:pPr>
            <w:r>
              <w:rPr>
                <w:sz w:val="20"/>
              </w:rPr>
              <w:t>2020</w:t>
            </w:r>
          </w:p>
        </w:tc>
        <w:tc>
          <w:tcPr>
            <w:tcW w:w="1001" w:type="dxa"/>
            <w:tcBorders>
              <w:top w:val="single" w:sz="4" w:space="0" w:color="000000"/>
              <w:left w:val="single" w:sz="4" w:space="0" w:color="000000"/>
              <w:bottom w:val="single" w:sz="4" w:space="0" w:color="000000"/>
              <w:right w:val="single" w:sz="4" w:space="0" w:color="000000"/>
            </w:tcBorders>
            <w:vAlign w:val="center"/>
          </w:tcPr>
          <w:p w:rsidR="00191AD9" w:rsidRDefault="00191AD9" w:rsidP="00191AD9">
            <w:pPr>
              <w:jc w:val="center"/>
            </w:pPr>
            <w:r>
              <w:rPr>
                <w:sz w:val="20"/>
              </w:rPr>
              <w:t>2021</w:t>
            </w:r>
          </w:p>
        </w:tc>
        <w:tc>
          <w:tcPr>
            <w:tcW w:w="998" w:type="dxa"/>
            <w:tcBorders>
              <w:top w:val="single" w:sz="4" w:space="0" w:color="000000"/>
              <w:left w:val="single" w:sz="4" w:space="0" w:color="000000"/>
              <w:bottom w:val="single" w:sz="4" w:space="0" w:color="000000"/>
              <w:right w:val="single" w:sz="4" w:space="0" w:color="000000"/>
            </w:tcBorders>
            <w:vAlign w:val="center"/>
          </w:tcPr>
          <w:p w:rsidR="00191AD9" w:rsidRDefault="00191AD9" w:rsidP="00191AD9">
            <w:pPr>
              <w:jc w:val="center"/>
            </w:pPr>
            <w:r>
              <w:rPr>
                <w:sz w:val="20"/>
              </w:rPr>
              <w:t>2022</w:t>
            </w:r>
          </w:p>
        </w:tc>
        <w:tc>
          <w:tcPr>
            <w:tcW w:w="1001" w:type="dxa"/>
            <w:tcBorders>
              <w:top w:val="single" w:sz="4" w:space="0" w:color="000000"/>
              <w:left w:val="single" w:sz="4" w:space="0" w:color="000000"/>
              <w:bottom w:val="single" w:sz="4" w:space="0" w:color="000000"/>
              <w:right w:val="single" w:sz="4" w:space="0" w:color="000000"/>
            </w:tcBorders>
            <w:vAlign w:val="center"/>
          </w:tcPr>
          <w:p w:rsidR="00191AD9" w:rsidRDefault="00191AD9" w:rsidP="00191AD9">
            <w:pPr>
              <w:jc w:val="center"/>
            </w:pPr>
            <w:r>
              <w:rPr>
                <w:sz w:val="20"/>
              </w:rPr>
              <w:t>2023</w:t>
            </w:r>
          </w:p>
        </w:tc>
      </w:tr>
      <w:tr w:rsidR="00191AD9" w:rsidTr="00191AD9">
        <w:trPr>
          <w:trHeight w:val="358"/>
          <w:jc w:val="center"/>
        </w:trPr>
        <w:tc>
          <w:tcPr>
            <w:tcW w:w="2122" w:type="dxa"/>
            <w:tcBorders>
              <w:top w:val="single" w:sz="4" w:space="0" w:color="000000"/>
              <w:left w:val="single" w:sz="4" w:space="0" w:color="000000"/>
              <w:bottom w:val="single" w:sz="4" w:space="0" w:color="000000"/>
              <w:right w:val="single" w:sz="4" w:space="0" w:color="000000"/>
            </w:tcBorders>
            <w:vAlign w:val="center"/>
          </w:tcPr>
          <w:p w:rsidR="00191AD9" w:rsidRDefault="00191AD9" w:rsidP="00191AD9">
            <w:pPr>
              <w:jc w:val="center"/>
            </w:pPr>
            <w:r>
              <w:rPr>
                <w:sz w:val="20"/>
              </w:rPr>
              <w:t>Abordnungsstellen</w:t>
            </w:r>
          </w:p>
        </w:tc>
        <w:tc>
          <w:tcPr>
            <w:tcW w:w="1001" w:type="dxa"/>
            <w:tcBorders>
              <w:top w:val="single" w:sz="4" w:space="0" w:color="000000"/>
              <w:left w:val="single" w:sz="4" w:space="0" w:color="000000"/>
              <w:bottom w:val="single" w:sz="4" w:space="0" w:color="000000"/>
              <w:right w:val="single" w:sz="4" w:space="0" w:color="000000"/>
            </w:tcBorders>
            <w:vAlign w:val="center"/>
          </w:tcPr>
          <w:p w:rsidR="00191AD9" w:rsidRDefault="00191AD9" w:rsidP="00191AD9">
            <w:pPr>
              <w:jc w:val="center"/>
            </w:pPr>
            <w:r>
              <w:rPr>
                <w:sz w:val="20"/>
              </w:rPr>
              <w:t>102,5</w:t>
            </w:r>
          </w:p>
        </w:tc>
        <w:tc>
          <w:tcPr>
            <w:tcW w:w="998" w:type="dxa"/>
            <w:tcBorders>
              <w:top w:val="single" w:sz="4" w:space="0" w:color="000000"/>
              <w:left w:val="single" w:sz="4" w:space="0" w:color="000000"/>
              <w:bottom w:val="single" w:sz="4" w:space="0" w:color="000000"/>
              <w:right w:val="single" w:sz="4" w:space="0" w:color="000000"/>
            </w:tcBorders>
            <w:vAlign w:val="center"/>
          </w:tcPr>
          <w:p w:rsidR="00191AD9" w:rsidRDefault="00191AD9" w:rsidP="00191AD9">
            <w:pPr>
              <w:jc w:val="center"/>
            </w:pPr>
            <w:r>
              <w:rPr>
                <w:sz w:val="20"/>
              </w:rPr>
              <w:t>105,5</w:t>
            </w:r>
          </w:p>
        </w:tc>
        <w:tc>
          <w:tcPr>
            <w:tcW w:w="1001" w:type="dxa"/>
            <w:tcBorders>
              <w:top w:val="single" w:sz="4" w:space="0" w:color="000000"/>
              <w:left w:val="single" w:sz="4" w:space="0" w:color="000000"/>
              <w:bottom w:val="single" w:sz="4" w:space="0" w:color="000000"/>
              <w:right w:val="single" w:sz="4" w:space="0" w:color="000000"/>
            </w:tcBorders>
            <w:vAlign w:val="center"/>
          </w:tcPr>
          <w:p w:rsidR="00191AD9" w:rsidRDefault="00191AD9" w:rsidP="00191AD9">
            <w:pPr>
              <w:jc w:val="center"/>
            </w:pPr>
            <w:r>
              <w:rPr>
                <w:sz w:val="20"/>
              </w:rPr>
              <w:t>105,5</w:t>
            </w:r>
          </w:p>
        </w:tc>
        <w:tc>
          <w:tcPr>
            <w:tcW w:w="1001" w:type="dxa"/>
            <w:tcBorders>
              <w:top w:val="single" w:sz="4" w:space="0" w:color="000000"/>
              <w:left w:val="single" w:sz="4" w:space="0" w:color="000000"/>
              <w:bottom w:val="single" w:sz="4" w:space="0" w:color="000000"/>
              <w:right w:val="single" w:sz="4" w:space="0" w:color="000000"/>
            </w:tcBorders>
            <w:vAlign w:val="center"/>
          </w:tcPr>
          <w:p w:rsidR="00191AD9" w:rsidRDefault="00191AD9" w:rsidP="00191AD9">
            <w:pPr>
              <w:jc w:val="center"/>
            </w:pPr>
            <w:r>
              <w:rPr>
                <w:sz w:val="20"/>
              </w:rPr>
              <w:t>116,5</w:t>
            </w:r>
          </w:p>
        </w:tc>
        <w:tc>
          <w:tcPr>
            <w:tcW w:w="998" w:type="dxa"/>
            <w:tcBorders>
              <w:top w:val="single" w:sz="4" w:space="0" w:color="000000"/>
              <w:left w:val="single" w:sz="4" w:space="0" w:color="000000"/>
              <w:bottom w:val="single" w:sz="4" w:space="0" w:color="000000"/>
              <w:right w:val="single" w:sz="4" w:space="0" w:color="000000"/>
            </w:tcBorders>
            <w:vAlign w:val="center"/>
          </w:tcPr>
          <w:p w:rsidR="00191AD9" w:rsidRDefault="00191AD9" w:rsidP="00191AD9">
            <w:pPr>
              <w:jc w:val="center"/>
            </w:pPr>
            <w:r>
              <w:rPr>
                <w:sz w:val="20"/>
              </w:rPr>
              <w:t>141,5</w:t>
            </w:r>
          </w:p>
        </w:tc>
        <w:tc>
          <w:tcPr>
            <w:tcW w:w="1001" w:type="dxa"/>
            <w:tcBorders>
              <w:top w:val="single" w:sz="4" w:space="0" w:color="000000"/>
              <w:left w:val="single" w:sz="4" w:space="0" w:color="000000"/>
              <w:bottom w:val="single" w:sz="4" w:space="0" w:color="000000"/>
              <w:right w:val="single" w:sz="4" w:space="0" w:color="000000"/>
            </w:tcBorders>
            <w:vAlign w:val="center"/>
          </w:tcPr>
          <w:p w:rsidR="00191AD9" w:rsidRDefault="00191AD9" w:rsidP="00191AD9">
            <w:pPr>
              <w:jc w:val="center"/>
            </w:pPr>
            <w:r>
              <w:rPr>
                <w:sz w:val="20"/>
              </w:rPr>
              <w:t>151,5</w:t>
            </w:r>
          </w:p>
        </w:tc>
      </w:tr>
    </w:tbl>
    <w:p w:rsidR="00191AD9" w:rsidRDefault="00191AD9" w:rsidP="00CE750E">
      <w:pPr>
        <w:pStyle w:val="LTAntwortRessortText"/>
        <w:spacing w:before="0"/>
      </w:pPr>
    </w:p>
    <w:p w:rsidR="00DD3048" w:rsidRDefault="00DD3048" w:rsidP="00DD3048">
      <w:pPr>
        <w:pStyle w:val="LTAntwortRessortText"/>
      </w:pPr>
      <w:r>
        <w:t xml:space="preserve">Abordnungen an das </w:t>
      </w:r>
      <w:r w:rsidR="00191AD9">
        <w:t>Staatsm</w:t>
      </w:r>
      <w:r>
        <w:t>inisterium erfolgen aus allen Schularten. Aktuell stammen rund</w:t>
      </w:r>
      <w:r w:rsidR="00191AD9">
        <w:t xml:space="preserve"> </w:t>
      </w:r>
      <w:r>
        <w:t xml:space="preserve">56 </w:t>
      </w:r>
      <w:r w:rsidR="00611DAF">
        <w:t>Prozent</w:t>
      </w:r>
      <w:r>
        <w:t xml:space="preserve"> der Abordnungen aus dem Bereich des Gymnasiums, 11 </w:t>
      </w:r>
      <w:r w:rsidR="00611DAF">
        <w:t>Prozent</w:t>
      </w:r>
      <w:r>
        <w:t xml:space="preserve"> aus dem Bereich</w:t>
      </w:r>
      <w:r w:rsidR="00191AD9">
        <w:t xml:space="preserve"> </w:t>
      </w:r>
      <w:r>
        <w:t xml:space="preserve">der Grund- und Mittelschulen, 11 </w:t>
      </w:r>
      <w:r w:rsidR="00611DAF">
        <w:t>Prozent</w:t>
      </w:r>
      <w:r>
        <w:t xml:space="preserve"> aus dem Bereich der Realschulen, 19 </w:t>
      </w:r>
      <w:r w:rsidR="00611DAF">
        <w:t>Prozent</w:t>
      </w:r>
      <w:r>
        <w:t xml:space="preserve"> aus dem</w:t>
      </w:r>
      <w:r w:rsidR="00191AD9">
        <w:t xml:space="preserve"> </w:t>
      </w:r>
      <w:r>
        <w:t xml:space="preserve">Bereich der Beruflichen Schulen und 3 </w:t>
      </w:r>
      <w:r w:rsidR="00611DAF">
        <w:t>Prozent</w:t>
      </w:r>
      <w:r>
        <w:t xml:space="preserve"> aus dem Bereich der Förderschulen. Grundsätzlich</w:t>
      </w:r>
      <w:r w:rsidR="00191AD9">
        <w:t xml:space="preserve"> </w:t>
      </w:r>
      <w:r>
        <w:t>kehren Lehrkräfte nach ihrer in der Regel fünf Jahre dauernden Abordnung an</w:t>
      </w:r>
      <w:r w:rsidR="00191AD9">
        <w:t xml:space="preserve"> </w:t>
      </w:r>
      <w:r>
        <w:t>das Ministerium in den Schuldienst zurück, es sei denn, sie haben sich erfolgreich auf</w:t>
      </w:r>
      <w:r w:rsidR="00191AD9">
        <w:t xml:space="preserve"> </w:t>
      </w:r>
      <w:r>
        <w:t>ausgeschriebene Stellen in der Schulaufsicht oder sonstige Behörden, wie zum Beispiel</w:t>
      </w:r>
      <w:r w:rsidR="00191AD9">
        <w:t xml:space="preserve"> </w:t>
      </w:r>
      <w:r>
        <w:t>die Akademie für Lehrerfortbildung und Personalführung oder das Staatsinstitut</w:t>
      </w:r>
      <w:r w:rsidR="00191AD9">
        <w:t xml:space="preserve"> </w:t>
      </w:r>
      <w:r>
        <w:t>für Schulqualität und Bildungsforschung, beworben.</w:t>
      </w:r>
    </w:p>
    <w:p w:rsidR="00DD3048" w:rsidRDefault="00DD3048">
      <w:bookmarkStart w:id="54" w:name="Frage_Nr_26_Ende"/>
      <w:bookmarkEnd w:id="5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4"/>
        <w:gridCol w:w="5742"/>
      </w:tblGrid>
      <w:tr w:rsidR="00DD3048" w:rsidTr="007B0B33">
        <w:tc>
          <w:tcPr>
            <w:tcW w:w="2050" w:type="dxa"/>
          </w:tcPr>
          <w:p w:rsidR="00DD3048" w:rsidRDefault="00DD3048" w:rsidP="00DD3048">
            <w:pPr>
              <w:pStyle w:val="LTAnfrageInitiator"/>
            </w:pPr>
            <w:r>
              <w:lastRenderedPageBreak/>
              <w:t>Abgeordneter</w:t>
            </w:r>
            <w:r>
              <w:rPr>
                <w:b/>
              </w:rPr>
              <w:br/>
              <w:t>Thomas</w:t>
            </w:r>
            <w:r>
              <w:rPr>
                <w:b/>
              </w:rPr>
              <w:br/>
              <w:t>Gehring</w:t>
            </w:r>
            <w:r>
              <w:rPr>
                <w:b/>
              </w:rPr>
              <w:br/>
            </w:r>
            <w:r>
              <w:t>(BÜNDNIS 90/DIE GRÜNEN)</w:t>
            </w:r>
            <w:bookmarkStart w:id="55" w:name="Frage_Nr_27"/>
            <w:bookmarkEnd w:id="55"/>
          </w:p>
        </w:tc>
        <w:tc>
          <w:tcPr>
            <w:tcW w:w="7200" w:type="dxa"/>
          </w:tcPr>
          <w:p w:rsidR="00DD3048" w:rsidRDefault="00E80FA7" w:rsidP="00DD3048">
            <w:pPr>
              <w:pStyle w:val="LTAnfrageText"/>
            </w:pPr>
            <w:r w:rsidRPr="00E80FA7">
              <w:t xml:space="preserve">Ich frage die Staatsregierung, wie hoch ist der prognostizierte Bedarf an neu einzustellenden Lehrkräften für das Schuljahr 2023/2024 (bitte tabellarisch aufgeschlüsselt nach Schularten und unter Berücksichtigung von Teilzeitstellen, Altersteilzeit, (Früh )Pensionierungen, längeren Erkrankungen, Stellenmehrungen), wie groß ist die Zahl der Bewerbungen (bitte tabellarisch aufgeschlüsselt nach Schularten, aktuellen Bewerbungen nach dem Referendariat, Bewerbungen von Wartelisten, Bewerbungen aus anderen Bundesländern, Quereinsteigerinnen und Quereinsteiger) und inwiefern wird damit der Pflicht- und Wahlunterricht gemäß Stundentafel und die Erfüllung weiterer Kernaufgaben des Schulbetriebs (z. B. Schulleitungen und Lehrerausbildung) im Sinne der Grundversorgung abgedeckt?  </w:t>
            </w:r>
          </w:p>
        </w:tc>
      </w:tr>
    </w:tbl>
    <w:p w:rsidR="00DD3048" w:rsidRDefault="00DD3048" w:rsidP="00DD3048">
      <w:pPr>
        <w:pStyle w:val="LTUeberschrAntwortRessort"/>
      </w:pPr>
      <w:r>
        <w:t>Antwort des Staatsministeriums für Unterricht und Kultus</w:t>
      </w:r>
    </w:p>
    <w:p w:rsidR="00DD3048" w:rsidRDefault="00DD3048" w:rsidP="00DD3048">
      <w:pPr>
        <w:pStyle w:val="LTAntwortRessortText"/>
      </w:pPr>
      <w:r>
        <w:t xml:space="preserve">Für den Einstellungstermin September 2023 geht das Staatsministerium </w:t>
      </w:r>
      <w:r w:rsidR="00E80FA7">
        <w:t>–</w:t>
      </w:r>
      <w:r>
        <w:t xml:space="preserve"> ähnlich</w:t>
      </w:r>
      <w:r w:rsidR="00E80FA7">
        <w:t xml:space="preserve"> wie in den Vorjahren – von Neueinstellungen (i. </w:t>
      </w:r>
      <w:r>
        <w:t>d.</w:t>
      </w:r>
      <w:r w:rsidR="00E80FA7">
        <w:t> </w:t>
      </w:r>
      <w:r>
        <w:t>R. bzw. bei Vorliegen der beamtenrechtlichen</w:t>
      </w:r>
      <w:r w:rsidR="00E80FA7">
        <w:t xml:space="preserve"> </w:t>
      </w:r>
      <w:r>
        <w:t>Voraussetzungen auf Planstelle) in einem mittleren vierstelligen Bereich</w:t>
      </w:r>
      <w:r w:rsidR="00E80FA7">
        <w:t xml:space="preserve"> </w:t>
      </w:r>
      <w:r>
        <w:t>aus. Wie in jedem Jahr ist es das Ziel der Personalplanung, die Schulen im</w:t>
      </w:r>
      <w:r w:rsidR="00E80FA7">
        <w:t xml:space="preserve"> </w:t>
      </w:r>
      <w:r>
        <w:t>Rahmen des Budgets zu versorgen und die Grundversorgung schulartübergreifend</w:t>
      </w:r>
      <w:r w:rsidR="00E80FA7">
        <w:t xml:space="preserve"> </w:t>
      </w:r>
      <w:r>
        <w:t>zu sichern.</w:t>
      </w:r>
    </w:p>
    <w:p w:rsidR="00DD3048" w:rsidRDefault="00DD3048" w:rsidP="00DD3048">
      <w:pPr>
        <w:pStyle w:val="LTAntwortRessortText"/>
      </w:pPr>
      <w:r>
        <w:t>Grundsätzlich ist zu beachten, dass die konkrete Ermittlung der Gesamt- sowie der</w:t>
      </w:r>
      <w:r w:rsidR="00E80FA7">
        <w:t xml:space="preserve"> </w:t>
      </w:r>
      <w:r>
        <w:t>Einstellungsbedarfe für das kommende Schuljahr auf Basis der jeweiligen Meldungen</w:t>
      </w:r>
      <w:r w:rsidR="00E80FA7">
        <w:t xml:space="preserve"> </w:t>
      </w:r>
      <w:r>
        <w:t>der Schulen und Regierungen erfolgt. Zum einen fließen in die Personalplanung</w:t>
      </w:r>
      <w:r w:rsidR="00E80FA7">
        <w:t xml:space="preserve"> </w:t>
      </w:r>
      <w:r>
        <w:t>des nächsten Schuljahres die Meldungen der Schülerzahlen ein. Zum anderen werden</w:t>
      </w:r>
      <w:r w:rsidR="00E80FA7">
        <w:t xml:space="preserve"> </w:t>
      </w:r>
      <w:r>
        <w:t>auf Lehrerseite Fluktuationen (z.</w:t>
      </w:r>
      <w:r w:rsidR="00E80FA7">
        <w:t> </w:t>
      </w:r>
      <w:r>
        <w:t>B. Eintritte in Elternzeit, Ruhestand, Rückkehr</w:t>
      </w:r>
      <w:r w:rsidR="00E80FA7">
        <w:t xml:space="preserve"> </w:t>
      </w:r>
      <w:r>
        <w:t>aus der</w:t>
      </w:r>
      <w:r w:rsidR="00E80FA7">
        <w:t xml:space="preserve"> Elternzeit, Teilzeitanträge u. </w:t>
      </w:r>
      <w:r>
        <w:t>ä.) berücksichtigt. Auch die Zahl der Bewerberinnen</w:t>
      </w:r>
      <w:r w:rsidR="00E80FA7">
        <w:t xml:space="preserve"> </w:t>
      </w:r>
      <w:r>
        <w:t>und Bewerber (aus aktuellem Jahrgang, Warteliste oder über die Freie Bewerbung)</w:t>
      </w:r>
      <w:r w:rsidR="00E80FA7">
        <w:t xml:space="preserve"> </w:t>
      </w:r>
      <w:r>
        <w:t>steht zum aktuellen Zeitpunkt noch nicht endgültig fest bzw. ändert sich fortlaufend.</w:t>
      </w:r>
    </w:p>
    <w:p w:rsidR="00DD3048" w:rsidRDefault="00DD3048" w:rsidP="00DD3048">
      <w:pPr>
        <w:pStyle w:val="LTAntwortRessortText"/>
      </w:pPr>
      <w:r>
        <w:t>Die Lehrkräftebedarfsdeckung für das nächste Schuljahr ist somit ein kontinuierlicher</w:t>
      </w:r>
      <w:r w:rsidR="00E80FA7">
        <w:t xml:space="preserve"> </w:t>
      </w:r>
      <w:r>
        <w:t>Prozess. Zum jetzigen, sehr frühen Zeitpunkt der Personalplanung (Anfang</w:t>
      </w:r>
      <w:r w:rsidR="00E80FA7">
        <w:t xml:space="preserve"> </w:t>
      </w:r>
      <w:r>
        <w:t>Juli) sind daher nur sehr vorläufige Aussagen möglich.</w:t>
      </w:r>
    </w:p>
    <w:p w:rsidR="00DD3048" w:rsidRDefault="00DD3048" w:rsidP="00DD3048">
      <w:pPr>
        <w:pStyle w:val="LTAntwortRessortText"/>
      </w:pPr>
      <w:r>
        <w:t>Bezüglich des prognostizierten Bedarfs an neu einzustellenden Lehrkräften wird auf</w:t>
      </w:r>
      <w:r w:rsidR="00E80FA7">
        <w:t xml:space="preserve"> </w:t>
      </w:r>
      <w:r>
        <w:t xml:space="preserve">die Lehrerbedarfsprognose verwiesen. Diese ist abrufbar unter: </w:t>
      </w:r>
      <w:r w:rsidR="00E80FA7">
        <w:rPr>
          <w:rStyle w:val="Funotenzeichen"/>
        </w:rPr>
        <w:footnoteReference w:id="9"/>
      </w:r>
      <w:r w:rsidR="00E80FA7">
        <w:t xml:space="preserve"> </w:t>
      </w:r>
    </w:p>
    <w:p w:rsidR="00DD3048" w:rsidRDefault="00DD3048">
      <w:bookmarkStart w:id="56" w:name="Frage_Nr_27_Ende"/>
      <w:bookmarkEnd w:id="5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2"/>
        <w:gridCol w:w="5784"/>
      </w:tblGrid>
      <w:tr w:rsidR="00DD3048" w:rsidTr="007B0B33">
        <w:tc>
          <w:tcPr>
            <w:tcW w:w="2050" w:type="dxa"/>
          </w:tcPr>
          <w:p w:rsidR="00DD3048" w:rsidRDefault="00DD3048" w:rsidP="00DD3048">
            <w:pPr>
              <w:pStyle w:val="LTAnfrageInitiator"/>
            </w:pPr>
            <w:r>
              <w:lastRenderedPageBreak/>
              <w:t>Abgeordneter</w:t>
            </w:r>
            <w:r>
              <w:rPr>
                <w:b/>
              </w:rPr>
              <w:br/>
              <w:t>Martin</w:t>
            </w:r>
            <w:r>
              <w:rPr>
                <w:b/>
              </w:rPr>
              <w:br/>
              <w:t>Hagen</w:t>
            </w:r>
            <w:r>
              <w:rPr>
                <w:b/>
              </w:rPr>
              <w:br/>
            </w:r>
            <w:r>
              <w:t>(FDP)</w:t>
            </w:r>
            <w:bookmarkStart w:id="57" w:name="Frage_Nr_28"/>
            <w:bookmarkEnd w:id="57"/>
          </w:p>
        </w:tc>
        <w:tc>
          <w:tcPr>
            <w:tcW w:w="7200" w:type="dxa"/>
          </w:tcPr>
          <w:p w:rsidR="00DD3048" w:rsidRDefault="001644CF" w:rsidP="00DD3048">
            <w:pPr>
              <w:pStyle w:val="LTAnfrageText"/>
            </w:pPr>
            <w:r w:rsidRPr="001644CF">
              <w:t>Ich frage die Staatsregierung, wie viele Schülerinnen und Schüler im Schuljahr 2023 in Bayern nach den bisher übermittelten Ergebnissen jeweils die Abiturprüfungen erfolgreich bzw. nicht erfolgreich abgelegt haben (bitte schriftliche und mündliche Durchschnittsnoten für die verschiedenen Abiturprüfungsfächer und Häufigkeit der erzielten Abiturgesamtschnitte zwischen 1,0 und 4,0 einzeln aufführen), wie viele Schülerinnen und Schüler nach den endgültigen Ergebnissen im Vergleich zu den Vorjahren eine mündliche Zusatzprüfung bzw. „Nachprüfung“ in den jeweiligen Fächern in den einzelnen Punktebereichen von 0 bis 15 Punkten abgelegt haben und wie die Schülerinnen und Schüler bei ihren belegten und eingebrachten Halbjahresleistungen in den einzelnen Fächern für 11/1 bis 12/2 in den jeweiligen Abiturprüfungen jeweils abgeschnitten haben (dazu bitte Anzahl der angemeldeten Ersatzprüfungen im Jahr 2023 und Ergebnisse zur Teilnahme nach Fächern gegliedert angeben sowie für das Jahr 2023 den bayernweiten Notendurchschnitt der jeweiligen Einzelfächer in der Qualifikationsphase 11/1 bis 12/2 – gegliedert nach belegt und eingebracht – angeben)?</w:t>
            </w:r>
          </w:p>
        </w:tc>
      </w:tr>
    </w:tbl>
    <w:p w:rsidR="00DD3048" w:rsidRDefault="00DD3048" w:rsidP="00DD3048">
      <w:pPr>
        <w:pStyle w:val="LTUeberschrAntwortRessort"/>
      </w:pPr>
      <w:r>
        <w:t>Antwort des Staatsministeriums für Unterricht und Kultus</w:t>
      </w:r>
    </w:p>
    <w:p w:rsidR="00DD3048" w:rsidRDefault="00DD3048" w:rsidP="00DD3048">
      <w:pPr>
        <w:pStyle w:val="LTAntwortRessortText"/>
      </w:pPr>
      <w:r>
        <w:t>Bislang liegt die Abiturstatistik 2023 noch nicht vollumfänglich vor. So können derzeit</w:t>
      </w:r>
      <w:r w:rsidR="001644CF">
        <w:t xml:space="preserve"> zwar bestimmte Informationen –</w:t>
      </w:r>
      <w:r>
        <w:t xml:space="preserve"> wie beispielsweise der Landesschnitt der Stammschülerinnen</w:t>
      </w:r>
      <w:r w:rsidR="001644CF">
        <w:t xml:space="preserve"> </w:t>
      </w:r>
      <w:r>
        <w:t xml:space="preserve">und Stammschüler (2,24) </w:t>
      </w:r>
      <w:r w:rsidR="001644CF">
        <w:t>–</w:t>
      </w:r>
      <w:r>
        <w:t xml:space="preserve"> bereitgestellt werden, nicht hingegen die</w:t>
      </w:r>
      <w:r w:rsidR="001644CF">
        <w:t xml:space="preserve"> </w:t>
      </w:r>
      <w:r>
        <w:t>hier angefragten Daten.</w:t>
      </w:r>
    </w:p>
    <w:p w:rsidR="00DD3048" w:rsidRDefault="00DD3048">
      <w:bookmarkStart w:id="58" w:name="Frage_Nr_28_Ende"/>
      <w:bookmarkEnd w:id="5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5"/>
        <w:gridCol w:w="5761"/>
      </w:tblGrid>
      <w:tr w:rsidR="00DD3048" w:rsidTr="007B0B33">
        <w:tc>
          <w:tcPr>
            <w:tcW w:w="2050" w:type="dxa"/>
          </w:tcPr>
          <w:p w:rsidR="00DD3048" w:rsidRDefault="00DD3048" w:rsidP="00DD3048">
            <w:pPr>
              <w:pStyle w:val="LTAnfrageInitiator"/>
            </w:pPr>
            <w:r>
              <w:lastRenderedPageBreak/>
              <w:t>Abgeordneter</w:t>
            </w:r>
            <w:r>
              <w:rPr>
                <w:b/>
              </w:rPr>
              <w:br/>
              <w:t>Stefan</w:t>
            </w:r>
            <w:r>
              <w:rPr>
                <w:b/>
              </w:rPr>
              <w:br/>
              <w:t>Schuster</w:t>
            </w:r>
            <w:r>
              <w:rPr>
                <w:b/>
              </w:rPr>
              <w:br/>
            </w:r>
            <w:r>
              <w:t>(SPD)</w:t>
            </w:r>
            <w:bookmarkStart w:id="59" w:name="Frage_Nr_29"/>
            <w:bookmarkEnd w:id="59"/>
          </w:p>
        </w:tc>
        <w:tc>
          <w:tcPr>
            <w:tcW w:w="7200" w:type="dxa"/>
          </w:tcPr>
          <w:p w:rsidR="00DD3048" w:rsidRDefault="00875A81" w:rsidP="00DD3048">
            <w:pPr>
              <w:pStyle w:val="LTAnfrageText"/>
            </w:pPr>
            <w:r w:rsidRPr="00875A81">
              <w:t xml:space="preserve">Soweit ab dem nächsten Berufsschuljahr eine tatsächliche Änderung der Zuständigkeit in der regionalen mittelfränkischen Berufsbeschulung im Bereich Restaurantfachwirt, Hotelkaufleute, Köchinnen und Köche (also Gesamtbereich der Gastronomie) insgesamt rechtsverbindlich festgelegt wurde, bzw. werden soll, frage ich die Staatsregierung, welche Zuständigkeitsänderungen (fachlich und regional) wurden konkret festgelegt (bitte möglichst auch deren politische, fachliche Motivation und die konsultative Einbindung der betroffenen Institutionen wie Schulträger, Arbeitgeber, DEHOGA etc. in diesen Prozess benennen, insbesondere vor dem Hintergrund der sich (dann) ändernden Grundmodalitäten, wie Blockunterricht und damit 21 Schultagen mehr als bisher mit entsprechenden Auswirkungen auf die bislang rechtsverbindlich abgeschlossenen Ausbildungsverträge und die damit verbundenen arbeitsrechtlichen Konsequenzen benennen), wie verhält sich die fachliche, sachliche und personelle Ausstattung der neuen zuständigen Berufsschulstätten im Verhältnis zur bisherig zuständigen, einzigen biozertifizierten Berufsschule B3 in Nürnberg (bitte Fragen hinsichtlich Gleichwertigkeit ausführen und zudem Zeitpunkt anführen, zu dem Gleichwertigkeit nach den Vorstellungen der Entscheidungsträger hergestellt sein wird) und wie beurteilt die Staatsregierung die möglicherweise damit verbundene zukünftige Signalwirkung für die Attraktivität und Abschlussbereitschaft von Ausbildungsverträgen in dieser Branche in Mittelfranken und der Stärkung dieses Erwerbszweiges perspektivisch in den nächsten drei Jahren? </w:t>
            </w:r>
          </w:p>
        </w:tc>
      </w:tr>
    </w:tbl>
    <w:p w:rsidR="00DD3048" w:rsidRDefault="00DD3048" w:rsidP="00DD3048">
      <w:pPr>
        <w:pStyle w:val="LTUeberschrAntwortRessort"/>
      </w:pPr>
      <w:r>
        <w:t>Antwort des Staatsministeriums für Unterricht und Kultus</w:t>
      </w:r>
    </w:p>
    <w:p w:rsidR="00DD3048" w:rsidRDefault="00DD3048" w:rsidP="00DD3048">
      <w:pPr>
        <w:pStyle w:val="LTAntwortRessortText"/>
      </w:pPr>
      <w:r>
        <w:t>Die Bezirksregierungen sind nach Art. 34 Abs. 2 BayEUG für die Bildung der Berufsschulsprengel</w:t>
      </w:r>
      <w:r w:rsidR="00875A81">
        <w:t xml:space="preserve"> </w:t>
      </w:r>
      <w:r>
        <w:t>und damit für die Berufsschulorganisation zuständig. Diese Zuständigkeit</w:t>
      </w:r>
      <w:r w:rsidR="00875A81">
        <w:t xml:space="preserve"> </w:t>
      </w:r>
      <w:r>
        <w:t>sichert eine sachgerechte Sprengelbildung, da die Regierungen über detaillierte</w:t>
      </w:r>
      <w:r w:rsidR="00875A81">
        <w:t xml:space="preserve"> </w:t>
      </w:r>
      <w:r>
        <w:t>Kenntnisse der jeweiligen Wirtschafts-, Verkehrs- und Schulstrukturen verfügen.</w:t>
      </w:r>
      <w:r w:rsidR="00875A81">
        <w:t xml:space="preserve"> </w:t>
      </w:r>
      <w:r>
        <w:t>Aufgrund der Neuordnung in den gastronomischen Berufen muss für die neugeordnete</w:t>
      </w:r>
      <w:r w:rsidR="00875A81">
        <w:t xml:space="preserve"> </w:t>
      </w:r>
      <w:r>
        <w:t>10. Jahrgangsstufe die Beschulung in Mittelfranken neu geregelt werden.</w:t>
      </w:r>
      <w:r w:rsidR="00875A81">
        <w:t xml:space="preserve"> </w:t>
      </w:r>
      <w:r>
        <w:t>Die Regierung von Mittelfranken hat bisher keine Sprengelregelung im Amtsblatt der</w:t>
      </w:r>
      <w:r w:rsidR="00875A81">
        <w:t xml:space="preserve"> </w:t>
      </w:r>
      <w:r>
        <w:t>Regierung veröffentlicht.</w:t>
      </w:r>
      <w:r w:rsidR="00875A81">
        <w:t xml:space="preserve"> </w:t>
      </w:r>
      <w:r>
        <w:t>Vielmehr wird von der Regierung von Mittelfranken für das Schuljahr 2023/2024 eine</w:t>
      </w:r>
      <w:r w:rsidR="00875A81">
        <w:t xml:space="preserve"> </w:t>
      </w:r>
      <w:r>
        <w:t>Gastschulanordnung (kein formelles Fachsprengelverfahren) im Entwurf vorgeschlagen.</w:t>
      </w:r>
      <w:r w:rsidR="00875A81">
        <w:t xml:space="preserve"> </w:t>
      </w:r>
      <w:r>
        <w:t>Die Planung wurde dem Amt für berufliche Schulen der Stadt Nürnberg bereits</w:t>
      </w:r>
      <w:r w:rsidR="00875A81">
        <w:t xml:space="preserve"> </w:t>
      </w:r>
      <w:r>
        <w:t>im März 2023 als mögliche Lösung telefonisch mitgeteilt. Hierzu werden auch noch</w:t>
      </w:r>
      <w:r w:rsidR="00875A81">
        <w:t xml:space="preserve"> </w:t>
      </w:r>
      <w:r>
        <w:t xml:space="preserve">zeitnah weitere Besprechungen </w:t>
      </w:r>
      <w:r w:rsidR="00230AC4">
        <w:t>–</w:t>
      </w:r>
      <w:r>
        <w:t xml:space="preserve"> unter anderem mit dem DEHOGA </w:t>
      </w:r>
      <w:r w:rsidR="00230AC4">
        <w:t>–</w:t>
      </w:r>
      <w:r>
        <w:t xml:space="preserve"> stattfinden.</w:t>
      </w:r>
      <w:r w:rsidR="00875A81">
        <w:t xml:space="preserve"> </w:t>
      </w:r>
      <w:r>
        <w:t>Nachdem die Neuordnung in den Jahrgangsstufen jetzt stufenweise umgesetzt werden</w:t>
      </w:r>
      <w:r w:rsidR="00875A81">
        <w:t xml:space="preserve"> </w:t>
      </w:r>
      <w:r>
        <w:t>muss, ist zum jetzigen Zeitpunkt eine entsprechende zukunftsorientierte Rahmenvorgabe</w:t>
      </w:r>
      <w:r w:rsidR="00875A81">
        <w:t xml:space="preserve"> </w:t>
      </w:r>
      <w:r>
        <w:t>der Regierung erforderlich.</w:t>
      </w:r>
      <w:r w:rsidR="00875A81">
        <w:t xml:space="preserve"> </w:t>
      </w:r>
      <w:r>
        <w:t>Über die Gastschulanordnung kann die Schülerzahlenentwicklung und die neue Beschulungssituation</w:t>
      </w:r>
      <w:r w:rsidR="00875A81">
        <w:t xml:space="preserve"> </w:t>
      </w:r>
      <w:r>
        <w:t>für zwei bis drei Jahre beobachtet werden. Erst nach Vorliegen</w:t>
      </w:r>
      <w:r w:rsidR="00875A81">
        <w:t xml:space="preserve"> </w:t>
      </w:r>
      <w:r>
        <w:t>belastbarer Zahlen der Auszubildenden in den neugeordneten Berufen soll eine formelle</w:t>
      </w:r>
      <w:r w:rsidR="00875A81">
        <w:t xml:space="preserve"> </w:t>
      </w:r>
      <w:r>
        <w:t>Fachsprengeländerung folgen, zudem werden alle Beteiligten in die gesetzlich</w:t>
      </w:r>
      <w:r w:rsidR="00875A81">
        <w:t xml:space="preserve"> </w:t>
      </w:r>
      <w:r>
        <w:t>vorgeschriebenen Anhörungen einbezogen.</w:t>
      </w:r>
    </w:p>
    <w:p w:rsidR="00DD3048" w:rsidRDefault="00DD3048" w:rsidP="00DD3048">
      <w:pPr>
        <w:pStyle w:val="LTAntwortRessortText"/>
      </w:pPr>
      <w:r>
        <w:lastRenderedPageBreak/>
        <w:t>Die Grundlage für die Beschulung an den Berufsschulen sind die aktuell gültigen</w:t>
      </w:r>
      <w:r w:rsidR="00875A81">
        <w:t xml:space="preserve"> </w:t>
      </w:r>
      <w:r>
        <w:t>Lehrpläne. Nach Rücksprache der Regierung mit den Schulleitungen der betroffenen</w:t>
      </w:r>
      <w:r w:rsidR="00875A81">
        <w:t xml:space="preserve"> </w:t>
      </w:r>
      <w:r>
        <w:t>staatlichen Berufsschulen (Staatl. Berufliches Schulzentrum Rothenburg-Dinkelsbühl</w:t>
      </w:r>
      <w:r w:rsidR="00875A81">
        <w:t xml:space="preserve"> </w:t>
      </w:r>
      <w:r>
        <w:t>in Rothenburg, Staatl. Berufliches Schulzentrum Herzogenaurach-Höchstadt in</w:t>
      </w:r>
      <w:r w:rsidR="00875A81">
        <w:t xml:space="preserve"> </w:t>
      </w:r>
      <w:r>
        <w:t>Höchstadt und Staatl. Berufliches Schulzentrum Altmühlfranken in Gunzenhausen)</w:t>
      </w:r>
      <w:r w:rsidR="00875A81">
        <w:t xml:space="preserve"> </w:t>
      </w:r>
      <w:r>
        <w:t>ist eine lehrplankonforme Beschulung (fachlich, sachlich und personell) möglich.</w:t>
      </w:r>
      <w:r w:rsidR="00875A81">
        <w:t xml:space="preserve"> </w:t>
      </w:r>
      <w:r>
        <w:t>Die entsprechende Expertise liegt an den Schulen vor, da die 10. Jahrgangsstufe seit</w:t>
      </w:r>
      <w:r w:rsidR="00875A81">
        <w:t xml:space="preserve"> </w:t>
      </w:r>
      <w:r>
        <w:t>längerer Zeit in Gunzenhausen beschult wird, in Rothenburg und Höchstadt auch die</w:t>
      </w:r>
      <w:r w:rsidR="00875A81">
        <w:t xml:space="preserve"> </w:t>
      </w:r>
      <w:r>
        <w:t>Fachstufen. Auf Basis der aktuellen Schülerzahlen wird die Städtische Berufsschule 3</w:t>
      </w:r>
      <w:r w:rsidR="00875A81">
        <w:t xml:space="preserve"> </w:t>
      </w:r>
      <w:r>
        <w:t xml:space="preserve">Nürnberg auch nach der vorgeschlagenen Neuordnung die größte </w:t>
      </w:r>
      <w:r w:rsidR="00230AC4">
        <w:t>„</w:t>
      </w:r>
      <w:r>
        <w:t>Gastro-Berufsschule</w:t>
      </w:r>
      <w:r w:rsidR="00230AC4">
        <w:t>“</w:t>
      </w:r>
      <w:r w:rsidR="00875A81">
        <w:t xml:space="preserve"> </w:t>
      </w:r>
      <w:r>
        <w:t>in Mittelfranken bleiben.</w:t>
      </w:r>
    </w:p>
    <w:p w:rsidR="00DD3048" w:rsidRDefault="00DD3048" w:rsidP="00DD3048">
      <w:pPr>
        <w:pStyle w:val="LTAntwortRessortText"/>
      </w:pPr>
      <w:r>
        <w:t>An den staatlichen Berufsschulen wurde in den genannten Berufen in Abstimmung</w:t>
      </w:r>
      <w:r w:rsidR="00875A81">
        <w:t xml:space="preserve"> </w:t>
      </w:r>
      <w:r>
        <w:t>mit dem dualen Partner eine Blockbeschulung eingeführt. Bei dieser Beschulungsform</w:t>
      </w:r>
      <w:r w:rsidR="00875A81">
        <w:t xml:space="preserve"> </w:t>
      </w:r>
      <w:r>
        <w:t>kann nach den vorliegenden Erfahrungen pädagogisch intensiver gearbeitet</w:t>
      </w:r>
      <w:r w:rsidR="00875A81">
        <w:t xml:space="preserve"> </w:t>
      </w:r>
      <w:r>
        <w:t xml:space="preserve">werden. Vor allem die (berufs-)sprachliche Förderung ist im Bereich der </w:t>
      </w:r>
      <w:r w:rsidR="00230AC4">
        <w:t>„</w:t>
      </w:r>
      <w:r>
        <w:t>Gastroberufe</w:t>
      </w:r>
      <w:r w:rsidR="00230AC4">
        <w:t>“</w:t>
      </w:r>
      <w:r w:rsidR="00875A81">
        <w:t xml:space="preserve"> </w:t>
      </w:r>
      <w:r>
        <w:t>enorm wichtig, da der Anteil an Schülerinnen und Schülern mit ausgeprägtem</w:t>
      </w:r>
      <w:r w:rsidR="00875A81">
        <w:t xml:space="preserve"> </w:t>
      </w:r>
      <w:r>
        <w:t>Sprachförderbedarf sehr hoch ist.</w:t>
      </w:r>
    </w:p>
    <w:p w:rsidR="00DD3048" w:rsidRDefault="00DD3048" w:rsidP="00DD3048">
      <w:pPr>
        <w:pStyle w:val="LTAntwortRessortText"/>
      </w:pPr>
      <w:r>
        <w:t>Selbstverständlich wird bei allen Überlegungen auch die Attraktivität der Ausbildungsberufe</w:t>
      </w:r>
      <w:r w:rsidR="00230AC4">
        <w:t xml:space="preserve"> </w:t>
      </w:r>
      <w:r>
        <w:t>berücksichtigt. Dazu gehört auch, dass die Berufsschulstandorte im</w:t>
      </w:r>
      <w:r w:rsidR="00230AC4">
        <w:t xml:space="preserve"> </w:t>
      </w:r>
      <w:r>
        <w:t>ländlichen Raum gestärkt werden, damit auch außerhalb der Ballungszentren junge</w:t>
      </w:r>
      <w:r w:rsidR="00230AC4">
        <w:t xml:space="preserve"> </w:t>
      </w:r>
      <w:r>
        <w:t>Menschen im dualen System im Ausbildungsbetrieb und der Berufsschule ausgebildet</w:t>
      </w:r>
      <w:r w:rsidR="00230AC4">
        <w:t xml:space="preserve"> </w:t>
      </w:r>
      <w:r>
        <w:t>werden können. Nur so können auch im Bereich Hotel- und Gastgewerbe perspektivisch</w:t>
      </w:r>
      <w:r w:rsidR="00230AC4">
        <w:t xml:space="preserve"> </w:t>
      </w:r>
      <w:r>
        <w:t>ausreichend Fachkräfte qualifiziert werden.</w:t>
      </w:r>
    </w:p>
    <w:p w:rsidR="00DD3048" w:rsidRDefault="00DD3048">
      <w:bookmarkStart w:id="60" w:name="Frage_Nr_29_Ende"/>
      <w:bookmarkEnd w:id="6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5"/>
        <w:gridCol w:w="5771"/>
      </w:tblGrid>
      <w:tr w:rsidR="00DD3048" w:rsidTr="007B0B33">
        <w:tc>
          <w:tcPr>
            <w:tcW w:w="2050" w:type="dxa"/>
          </w:tcPr>
          <w:p w:rsidR="00DD3048" w:rsidRDefault="00DD3048" w:rsidP="00DD3048">
            <w:pPr>
              <w:pStyle w:val="LTAnfrageInitiator"/>
            </w:pPr>
            <w:r>
              <w:lastRenderedPageBreak/>
              <w:t>Abgeordnete</w:t>
            </w:r>
            <w:r>
              <w:rPr>
                <w:b/>
              </w:rPr>
              <w:br/>
              <w:t>Dr. Simone</w:t>
            </w:r>
            <w:r>
              <w:rPr>
                <w:b/>
              </w:rPr>
              <w:br/>
              <w:t>Strohmayr</w:t>
            </w:r>
            <w:r>
              <w:rPr>
                <w:b/>
              </w:rPr>
              <w:br/>
            </w:r>
            <w:r>
              <w:t>(SPD)</w:t>
            </w:r>
            <w:bookmarkStart w:id="61" w:name="Frage_Nr_30"/>
            <w:bookmarkEnd w:id="61"/>
          </w:p>
        </w:tc>
        <w:tc>
          <w:tcPr>
            <w:tcW w:w="7200" w:type="dxa"/>
          </w:tcPr>
          <w:p w:rsidR="00DD3048" w:rsidRDefault="004D4A0E" w:rsidP="00DD3048">
            <w:pPr>
              <w:pStyle w:val="LTAnfrageText"/>
            </w:pPr>
            <w:r w:rsidRPr="004D4A0E">
              <w:t xml:space="preserve">Ich frage die Staatsregierung, wie viele Schülerinnen und Schüler (bitte Angabe der absoluten Zahlen) haben in Hof, Nürnberg, Augsburg, Kempten und München in den Jahren 2012 bis 2022 die Mittelschule ohne Abschluss verlassen und welche qualifizierenden Maßnahmen wurden ggf. ergriffen bzw. welche Angebote wurden diesen jungen Menschen gemacht? </w:t>
            </w:r>
          </w:p>
        </w:tc>
      </w:tr>
    </w:tbl>
    <w:p w:rsidR="00DD3048" w:rsidRDefault="00DD3048" w:rsidP="00DD3048">
      <w:pPr>
        <w:pStyle w:val="LTUeberschrAntwortRessort"/>
      </w:pPr>
      <w:r>
        <w:t>Antwort des Staatsministeriums für Unterricht und Kultus</w:t>
      </w:r>
    </w:p>
    <w:p w:rsidR="00DD3048" w:rsidRDefault="00DD3048" w:rsidP="00DD3048">
      <w:pPr>
        <w:pStyle w:val="LTAntwortRessortText"/>
      </w:pPr>
      <w:r>
        <w:t>Der nachfolgenden Tabelle lässt sich die Anzahl der Abgängerinnen und Abgänger</w:t>
      </w:r>
      <w:r w:rsidR="004D4A0E">
        <w:t xml:space="preserve"> </w:t>
      </w:r>
      <w:r>
        <w:t>von der Mittel-/Hauptschule mit erfüllter Vollzeitschulpflicht ohne Schulabschluss in</w:t>
      </w:r>
      <w:r w:rsidR="004D4A0E">
        <w:t xml:space="preserve"> </w:t>
      </w:r>
      <w:r>
        <w:t>den kreisfreien Städten München, Hof, Nürnberg, Augsburg und Kempten (Allgäu) in</w:t>
      </w:r>
      <w:r w:rsidR="004D4A0E">
        <w:t xml:space="preserve"> </w:t>
      </w:r>
      <w:r>
        <w:t>den Abschlussjahren 2012 bis 2022 entnehmen.</w:t>
      </w:r>
    </w:p>
    <w:p w:rsidR="00DD3048" w:rsidRDefault="00DD3048" w:rsidP="00DD3048">
      <w:pPr>
        <w:pStyle w:val="LTAntwortRessortText"/>
      </w:pPr>
      <w:r>
        <w:t>Tabelle. Abgänger von der Mittel-/Hauptschule mit erfüllter Vollzeitschulpflicht</w:t>
      </w:r>
      <w:r w:rsidR="004D4A0E">
        <w:t xml:space="preserve"> </w:t>
      </w:r>
      <w:r>
        <w:t>ohne Schulabschluss in den kreisfreien Städten München, Hof, Nürnberg, Augsburg</w:t>
      </w:r>
      <w:r w:rsidR="004D4A0E">
        <w:t xml:space="preserve"> </w:t>
      </w:r>
      <w:r>
        <w:t>und Kempten (Allgäu) in den Abschlussjahren 2012 bis 2022</w:t>
      </w:r>
    </w:p>
    <w:tbl>
      <w:tblPr>
        <w:tblStyle w:val="TableNormal"/>
        <w:tblW w:w="7683"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1"/>
        <w:gridCol w:w="1299"/>
        <w:gridCol w:w="1302"/>
        <w:gridCol w:w="1301"/>
        <w:gridCol w:w="1299"/>
        <w:gridCol w:w="1301"/>
      </w:tblGrid>
      <w:tr w:rsidR="004D4A0E" w:rsidRPr="004D4A0E" w:rsidTr="004D4A0E">
        <w:trPr>
          <w:trHeight w:val="599"/>
        </w:trPr>
        <w:tc>
          <w:tcPr>
            <w:tcW w:w="1181" w:type="dxa"/>
            <w:vMerge w:val="restart"/>
            <w:vAlign w:val="center"/>
          </w:tcPr>
          <w:p w:rsidR="004D4A0E" w:rsidRPr="004D4A0E" w:rsidRDefault="004D4A0E" w:rsidP="004D4A0E">
            <w:pPr>
              <w:pStyle w:val="TableParagraph"/>
              <w:spacing w:before="0"/>
              <w:ind w:left="0"/>
              <w:jc w:val="center"/>
              <w:rPr>
                <w:rFonts w:ascii="Arial" w:hAnsi="Arial" w:cs="Arial"/>
                <w:b/>
                <w:sz w:val="18"/>
                <w:szCs w:val="18"/>
                <w:lang w:val="de-DE"/>
              </w:rPr>
            </w:pPr>
          </w:p>
          <w:p w:rsidR="004D4A0E" w:rsidRPr="004D4A0E" w:rsidRDefault="004D4A0E" w:rsidP="004D4A0E">
            <w:pPr>
              <w:pStyle w:val="TableParagraph"/>
              <w:spacing w:before="0"/>
              <w:ind w:left="0"/>
              <w:jc w:val="center"/>
              <w:rPr>
                <w:rFonts w:ascii="Arial" w:hAnsi="Arial" w:cs="Arial"/>
                <w:sz w:val="18"/>
                <w:szCs w:val="18"/>
                <w:lang w:val="de-DE"/>
              </w:rPr>
            </w:pPr>
            <w:r w:rsidRPr="004D4A0E">
              <w:rPr>
                <w:rFonts w:ascii="Arial" w:hAnsi="Arial" w:cs="Arial"/>
                <w:sz w:val="18"/>
                <w:szCs w:val="18"/>
                <w:lang w:val="de-DE"/>
              </w:rPr>
              <w:t>Abschluss- jahr</w:t>
            </w:r>
          </w:p>
        </w:tc>
        <w:tc>
          <w:tcPr>
            <w:tcW w:w="6502" w:type="dxa"/>
            <w:gridSpan w:val="5"/>
            <w:vAlign w:val="center"/>
          </w:tcPr>
          <w:p w:rsidR="004D4A0E" w:rsidRPr="004D4A0E" w:rsidRDefault="004D4A0E" w:rsidP="004D4A0E">
            <w:pPr>
              <w:pStyle w:val="TableParagraph"/>
              <w:spacing w:before="0"/>
              <w:ind w:left="0"/>
              <w:jc w:val="center"/>
              <w:rPr>
                <w:rFonts w:ascii="Arial" w:hAnsi="Arial" w:cs="Arial"/>
                <w:sz w:val="18"/>
                <w:szCs w:val="18"/>
                <w:lang w:val="de-DE"/>
              </w:rPr>
            </w:pPr>
            <w:r w:rsidRPr="004D4A0E">
              <w:rPr>
                <w:rFonts w:ascii="Arial" w:hAnsi="Arial" w:cs="Arial"/>
                <w:sz w:val="18"/>
                <w:szCs w:val="18"/>
                <w:lang w:val="de-DE"/>
              </w:rPr>
              <w:t>Abgänger von der Mittel-/Hauptschule mit erfüllter Vollzeitschulpflicht ohne Schulabschluss in der kreisfreien Stadt</w:t>
            </w:r>
          </w:p>
        </w:tc>
      </w:tr>
      <w:tr w:rsidR="004D4A0E" w:rsidRPr="004D4A0E" w:rsidTr="004D4A0E">
        <w:trPr>
          <w:trHeight w:val="602"/>
        </w:trPr>
        <w:tc>
          <w:tcPr>
            <w:tcW w:w="1181" w:type="dxa"/>
            <w:vMerge/>
            <w:tcBorders>
              <w:top w:val="nil"/>
            </w:tcBorders>
            <w:vAlign w:val="center"/>
          </w:tcPr>
          <w:p w:rsidR="004D4A0E" w:rsidRPr="004D4A0E" w:rsidRDefault="004D4A0E" w:rsidP="004D4A0E">
            <w:pPr>
              <w:jc w:val="center"/>
              <w:rPr>
                <w:rFonts w:cs="Arial"/>
                <w:sz w:val="18"/>
                <w:szCs w:val="18"/>
                <w:lang w:val="de-DE"/>
              </w:rPr>
            </w:pPr>
          </w:p>
        </w:tc>
        <w:tc>
          <w:tcPr>
            <w:tcW w:w="1299" w:type="dxa"/>
            <w:vAlign w:val="center"/>
          </w:tcPr>
          <w:p w:rsidR="004D4A0E" w:rsidRPr="004D4A0E" w:rsidRDefault="004D4A0E" w:rsidP="004D4A0E">
            <w:pPr>
              <w:pStyle w:val="TableParagraph"/>
              <w:spacing w:before="0"/>
              <w:ind w:left="0"/>
              <w:jc w:val="center"/>
              <w:rPr>
                <w:rFonts w:ascii="Arial" w:hAnsi="Arial" w:cs="Arial"/>
                <w:sz w:val="18"/>
                <w:szCs w:val="18"/>
                <w:lang w:val="de-DE"/>
              </w:rPr>
            </w:pPr>
            <w:r w:rsidRPr="004D4A0E">
              <w:rPr>
                <w:rFonts w:ascii="Arial" w:hAnsi="Arial" w:cs="Arial"/>
                <w:sz w:val="18"/>
                <w:szCs w:val="18"/>
                <w:lang w:val="de-DE"/>
              </w:rPr>
              <w:t>München</w:t>
            </w:r>
          </w:p>
        </w:tc>
        <w:tc>
          <w:tcPr>
            <w:tcW w:w="1302" w:type="dxa"/>
            <w:vAlign w:val="center"/>
          </w:tcPr>
          <w:p w:rsidR="004D4A0E" w:rsidRPr="004D4A0E" w:rsidRDefault="004D4A0E" w:rsidP="004D4A0E">
            <w:pPr>
              <w:pStyle w:val="TableParagraph"/>
              <w:spacing w:before="0"/>
              <w:ind w:left="0"/>
              <w:jc w:val="center"/>
              <w:rPr>
                <w:rFonts w:ascii="Arial" w:hAnsi="Arial" w:cs="Arial"/>
                <w:sz w:val="18"/>
                <w:szCs w:val="18"/>
                <w:lang w:val="de-DE"/>
              </w:rPr>
            </w:pPr>
            <w:r w:rsidRPr="004D4A0E">
              <w:rPr>
                <w:rFonts w:ascii="Arial" w:hAnsi="Arial" w:cs="Arial"/>
                <w:sz w:val="18"/>
                <w:szCs w:val="18"/>
                <w:lang w:val="de-DE"/>
              </w:rPr>
              <w:t>Hof</w:t>
            </w:r>
          </w:p>
        </w:tc>
        <w:tc>
          <w:tcPr>
            <w:tcW w:w="1301" w:type="dxa"/>
            <w:vAlign w:val="center"/>
          </w:tcPr>
          <w:p w:rsidR="004D4A0E" w:rsidRPr="004D4A0E" w:rsidRDefault="004D4A0E" w:rsidP="004D4A0E">
            <w:pPr>
              <w:pStyle w:val="TableParagraph"/>
              <w:spacing w:before="0"/>
              <w:ind w:left="0"/>
              <w:jc w:val="center"/>
              <w:rPr>
                <w:rFonts w:ascii="Arial" w:hAnsi="Arial" w:cs="Arial"/>
                <w:sz w:val="18"/>
                <w:szCs w:val="18"/>
                <w:lang w:val="de-DE"/>
              </w:rPr>
            </w:pPr>
            <w:r w:rsidRPr="004D4A0E">
              <w:rPr>
                <w:rFonts w:ascii="Arial" w:hAnsi="Arial" w:cs="Arial"/>
                <w:sz w:val="18"/>
                <w:szCs w:val="18"/>
                <w:lang w:val="de-DE"/>
              </w:rPr>
              <w:t>Nürnberg</w:t>
            </w:r>
          </w:p>
        </w:tc>
        <w:tc>
          <w:tcPr>
            <w:tcW w:w="1299" w:type="dxa"/>
            <w:vAlign w:val="center"/>
          </w:tcPr>
          <w:p w:rsidR="004D4A0E" w:rsidRPr="004D4A0E" w:rsidRDefault="004D4A0E" w:rsidP="004D4A0E">
            <w:pPr>
              <w:pStyle w:val="TableParagraph"/>
              <w:spacing w:before="0"/>
              <w:ind w:left="0"/>
              <w:jc w:val="center"/>
              <w:rPr>
                <w:rFonts w:ascii="Arial" w:hAnsi="Arial" w:cs="Arial"/>
                <w:sz w:val="18"/>
                <w:szCs w:val="18"/>
                <w:lang w:val="de-DE"/>
              </w:rPr>
            </w:pPr>
            <w:r w:rsidRPr="004D4A0E">
              <w:rPr>
                <w:rFonts w:ascii="Arial" w:hAnsi="Arial" w:cs="Arial"/>
                <w:sz w:val="18"/>
                <w:szCs w:val="18"/>
                <w:lang w:val="de-DE"/>
              </w:rPr>
              <w:t>Augsburg</w:t>
            </w:r>
          </w:p>
        </w:tc>
        <w:tc>
          <w:tcPr>
            <w:tcW w:w="1301" w:type="dxa"/>
            <w:vAlign w:val="center"/>
          </w:tcPr>
          <w:p w:rsidR="004D4A0E" w:rsidRPr="004D4A0E" w:rsidRDefault="004D4A0E" w:rsidP="004D4A0E">
            <w:pPr>
              <w:pStyle w:val="TableParagraph"/>
              <w:spacing w:before="0"/>
              <w:ind w:left="0"/>
              <w:jc w:val="center"/>
              <w:rPr>
                <w:rFonts w:ascii="Arial" w:hAnsi="Arial" w:cs="Arial"/>
                <w:sz w:val="18"/>
                <w:szCs w:val="18"/>
                <w:lang w:val="de-DE"/>
              </w:rPr>
            </w:pPr>
            <w:r w:rsidRPr="004D4A0E">
              <w:rPr>
                <w:rFonts w:ascii="Arial" w:hAnsi="Arial" w:cs="Arial"/>
                <w:sz w:val="18"/>
                <w:szCs w:val="18"/>
                <w:lang w:val="de-DE"/>
              </w:rPr>
              <w:t>Kempten (Allgäu)</w:t>
            </w:r>
          </w:p>
        </w:tc>
      </w:tr>
      <w:tr w:rsidR="004D4A0E" w:rsidRPr="004D4A0E" w:rsidTr="004D4A0E">
        <w:trPr>
          <w:trHeight w:val="299"/>
        </w:trPr>
        <w:tc>
          <w:tcPr>
            <w:tcW w:w="1181" w:type="dxa"/>
            <w:tcBorders>
              <w:bottom w:val="single" w:sz="4" w:space="0" w:color="BEBEBE"/>
            </w:tcBorders>
          </w:tcPr>
          <w:p w:rsidR="004D4A0E" w:rsidRPr="004D4A0E" w:rsidRDefault="004D4A0E" w:rsidP="004D4A0E">
            <w:pPr>
              <w:pStyle w:val="TableParagraph"/>
              <w:spacing w:before="0"/>
              <w:ind w:left="0"/>
              <w:jc w:val="center"/>
              <w:rPr>
                <w:rFonts w:ascii="Arial" w:hAnsi="Arial" w:cs="Arial"/>
                <w:sz w:val="18"/>
                <w:szCs w:val="18"/>
                <w:lang w:val="de-DE"/>
              </w:rPr>
            </w:pPr>
            <w:r w:rsidRPr="004D4A0E">
              <w:rPr>
                <w:rFonts w:ascii="Arial" w:hAnsi="Arial" w:cs="Arial"/>
                <w:sz w:val="18"/>
                <w:szCs w:val="18"/>
                <w:lang w:val="de-DE"/>
              </w:rPr>
              <w:t>2012</w:t>
            </w:r>
          </w:p>
        </w:tc>
        <w:tc>
          <w:tcPr>
            <w:tcW w:w="1299" w:type="dxa"/>
            <w:tcBorders>
              <w:bottom w:val="single" w:sz="4" w:space="0" w:color="BEBEBE"/>
            </w:tcBorders>
            <w:vAlign w:val="center"/>
          </w:tcPr>
          <w:p w:rsidR="004D4A0E" w:rsidRPr="004D4A0E" w:rsidRDefault="004D4A0E" w:rsidP="004D4A0E">
            <w:pPr>
              <w:pStyle w:val="TableParagraph"/>
              <w:spacing w:before="0"/>
              <w:ind w:left="0"/>
              <w:jc w:val="right"/>
              <w:rPr>
                <w:rFonts w:ascii="Arial" w:hAnsi="Arial" w:cs="Arial"/>
                <w:sz w:val="18"/>
                <w:szCs w:val="18"/>
                <w:lang w:val="de-DE"/>
              </w:rPr>
            </w:pPr>
            <w:r w:rsidRPr="004D4A0E">
              <w:rPr>
                <w:rFonts w:ascii="Arial" w:hAnsi="Arial" w:cs="Arial"/>
                <w:sz w:val="18"/>
                <w:szCs w:val="18"/>
                <w:lang w:val="de-DE"/>
              </w:rPr>
              <w:t>388</w:t>
            </w:r>
          </w:p>
        </w:tc>
        <w:tc>
          <w:tcPr>
            <w:tcW w:w="1302" w:type="dxa"/>
            <w:tcBorders>
              <w:bottom w:val="single" w:sz="4" w:space="0" w:color="BEBEBE"/>
            </w:tcBorders>
            <w:vAlign w:val="center"/>
          </w:tcPr>
          <w:p w:rsidR="004D4A0E" w:rsidRPr="004D4A0E" w:rsidRDefault="004D4A0E" w:rsidP="004D4A0E">
            <w:pPr>
              <w:pStyle w:val="TableParagraph"/>
              <w:spacing w:before="0"/>
              <w:ind w:left="0"/>
              <w:jc w:val="right"/>
              <w:rPr>
                <w:rFonts w:ascii="Arial" w:hAnsi="Arial" w:cs="Arial"/>
                <w:sz w:val="18"/>
                <w:szCs w:val="18"/>
                <w:lang w:val="de-DE"/>
              </w:rPr>
            </w:pPr>
            <w:r w:rsidRPr="004D4A0E">
              <w:rPr>
                <w:rFonts w:ascii="Arial" w:hAnsi="Arial" w:cs="Arial"/>
                <w:sz w:val="18"/>
                <w:szCs w:val="18"/>
                <w:lang w:val="de-DE"/>
              </w:rPr>
              <w:t>32</w:t>
            </w:r>
          </w:p>
        </w:tc>
        <w:tc>
          <w:tcPr>
            <w:tcW w:w="1301" w:type="dxa"/>
            <w:tcBorders>
              <w:bottom w:val="single" w:sz="4" w:space="0" w:color="BEBEBE"/>
            </w:tcBorders>
            <w:vAlign w:val="center"/>
          </w:tcPr>
          <w:p w:rsidR="004D4A0E" w:rsidRPr="004D4A0E" w:rsidRDefault="004D4A0E" w:rsidP="004D4A0E">
            <w:pPr>
              <w:pStyle w:val="TableParagraph"/>
              <w:spacing w:before="0"/>
              <w:ind w:left="0"/>
              <w:jc w:val="right"/>
              <w:rPr>
                <w:rFonts w:ascii="Arial" w:hAnsi="Arial" w:cs="Arial"/>
                <w:sz w:val="18"/>
                <w:szCs w:val="18"/>
                <w:lang w:val="de-DE"/>
              </w:rPr>
            </w:pPr>
            <w:r w:rsidRPr="004D4A0E">
              <w:rPr>
                <w:rFonts w:ascii="Arial" w:hAnsi="Arial" w:cs="Arial"/>
                <w:sz w:val="18"/>
                <w:szCs w:val="18"/>
                <w:lang w:val="de-DE"/>
              </w:rPr>
              <w:t>171</w:t>
            </w:r>
          </w:p>
        </w:tc>
        <w:tc>
          <w:tcPr>
            <w:tcW w:w="1299" w:type="dxa"/>
            <w:tcBorders>
              <w:bottom w:val="single" w:sz="4" w:space="0" w:color="BEBEBE"/>
            </w:tcBorders>
            <w:vAlign w:val="center"/>
          </w:tcPr>
          <w:p w:rsidR="004D4A0E" w:rsidRPr="004D4A0E" w:rsidRDefault="004D4A0E" w:rsidP="004D4A0E">
            <w:pPr>
              <w:pStyle w:val="TableParagraph"/>
              <w:spacing w:before="0"/>
              <w:ind w:left="0"/>
              <w:jc w:val="right"/>
              <w:rPr>
                <w:rFonts w:ascii="Arial" w:hAnsi="Arial" w:cs="Arial"/>
                <w:sz w:val="18"/>
                <w:szCs w:val="18"/>
                <w:lang w:val="de-DE"/>
              </w:rPr>
            </w:pPr>
            <w:r w:rsidRPr="004D4A0E">
              <w:rPr>
                <w:rFonts w:ascii="Arial" w:hAnsi="Arial" w:cs="Arial"/>
                <w:sz w:val="18"/>
                <w:szCs w:val="18"/>
                <w:lang w:val="de-DE"/>
              </w:rPr>
              <w:t>65</w:t>
            </w:r>
          </w:p>
        </w:tc>
        <w:tc>
          <w:tcPr>
            <w:tcW w:w="1301" w:type="dxa"/>
            <w:tcBorders>
              <w:bottom w:val="single" w:sz="4" w:space="0" w:color="BEBEBE"/>
            </w:tcBorders>
            <w:vAlign w:val="center"/>
          </w:tcPr>
          <w:p w:rsidR="004D4A0E" w:rsidRPr="004D4A0E" w:rsidRDefault="004D4A0E" w:rsidP="004D4A0E">
            <w:pPr>
              <w:pStyle w:val="TableParagraph"/>
              <w:spacing w:before="0"/>
              <w:ind w:left="0"/>
              <w:jc w:val="right"/>
              <w:rPr>
                <w:rFonts w:ascii="Arial" w:hAnsi="Arial" w:cs="Arial"/>
                <w:sz w:val="18"/>
                <w:szCs w:val="18"/>
                <w:lang w:val="de-DE"/>
              </w:rPr>
            </w:pPr>
            <w:r w:rsidRPr="004D4A0E">
              <w:rPr>
                <w:rFonts w:ascii="Arial" w:hAnsi="Arial" w:cs="Arial"/>
                <w:sz w:val="18"/>
                <w:szCs w:val="18"/>
                <w:lang w:val="de-DE"/>
              </w:rPr>
              <w:t>26</w:t>
            </w:r>
          </w:p>
        </w:tc>
      </w:tr>
      <w:tr w:rsidR="004D4A0E" w:rsidRPr="004D4A0E" w:rsidTr="004D4A0E">
        <w:trPr>
          <w:trHeight w:val="300"/>
        </w:trPr>
        <w:tc>
          <w:tcPr>
            <w:tcW w:w="1181" w:type="dxa"/>
            <w:tcBorders>
              <w:top w:val="single" w:sz="4" w:space="0" w:color="BEBEBE"/>
              <w:bottom w:val="single" w:sz="4" w:space="0" w:color="BEBEBE"/>
            </w:tcBorders>
          </w:tcPr>
          <w:p w:rsidR="004D4A0E" w:rsidRPr="004D4A0E" w:rsidRDefault="004D4A0E" w:rsidP="004D4A0E">
            <w:pPr>
              <w:pStyle w:val="TableParagraph"/>
              <w:spacing w:before="0"/>
              <w:ind w:left="0"/>
              <w:jc w:val="center"/>
              <w:rPr>
                <w:rFonts w:ascii="Arial" w:hAnsi="Arial" w:cs="Arial"/>
                <w:sz w:val="18"/>
                <w:szCs w:val="18"/>
                <w:lang w:val="de-DE"/>
              </w:rPr>
            </w:pPr>
            <w:r w:rsidRPr="004D4A0E">
              <w:rPr>
                <w:rFonts w:ascii="Arial" w:hAnsi="Arial" w:cs="Arial"/>
                <w:sz w:val="18"/>
                <w:szCs w:val="18"/>
                <w:lang w:val="de-DE"/>
              </w:rPr>
              <w:t>2013</w:t>
            </w:r>
          </w:p>
        </w:tc>
        <w:tc>
          <w:tcPr>
            <w:tcW w:w="1299" w:type="dxa"/>
            <w:tcBorders>
              <w:top w:val="single" w:sz="4" w:space="0" w:color="BEBEBE"/>
              <w:bottom w:val="single" w:sz="4" w:space="0" w:color="BEBEBE"/>
            </w:tcBorders>
            <w:vAlign w:val="center"/>
          </w:tcPr>
          <w:p w:rsidR="004D4A0E" w:rsidRPr="004D4A0E" w:rsidRDefault="004D4A0E" w:rsidP="004D4A0E">
            <w:pPr>
              <w:pStyle w:val="TableParagraph"/>
              <w:spacing w:before="0"/>
              <w:ind w:left="0"/>
              <w:jc w:val="right"/>
              <w:rPr>
                <w:rFonts w:ascii="Arial" w:hAnsi="Arial" w:cs="Arial"/>
                <w:sz w:val="18"/>
                <w:szCs w:val="18"/>
                <w:lang w:val="de-DE"/>
              </w:rPr>
            </w:pPr>
            <w:r w:rsidRPr="004D4A0E">
              <w:rPr>
                <w:rFonts w:ascii="Arial" w:hAnsi="Arial" w:cs="Arial"/>
                <w:sz w:val="18"/>
                <w:szCs w:val="18"/>
                <w:lang w:val="de-DE"/>
              </w:rPr>
              <w:t>348</w:t>
            </w:r>
          </w:p>
        </w:tc>
        <w:tc>
          <w:tcPr>
            <w:tcW w:w="1302" w:type="dxa"/>
            <w:tcBorders>
              <w:top w:val="single" w:sz="4" w:space="0" w:color="BEBEBE"/>
              <w:bottom w:val="single" w:sz="4" w:space="0" w:color="BEBEBE"/>
            </w:tcBorders>
            <w:vAlign w:val="center"/>
          </w:tcPr>
          <w:p w:rsidR="004D4A0E" w:rsidRPr="004D4A0E" w:rsidRDefault="004D4A0E" w:rsidP="004D4A0E">
            <w:pPr>
              <w:pStyle w:val="TableParagraph"/>
              <w:spacing w:before="0"/>
              <w:ind w:left="0"/>
              <w:jc w:val="right"/>
              <w:rPr>
                <w:rFonts w:ascii="Arial" w:hAnsi="Arial" w:cs="Arial"/>
                <w:sz w:val="18"/>
                <w:szCs w:val="18"/>
                <w:lang w:val="de-DE"/>
              </w:rPr>
            </w:pPr>
            <w:r w:rsidRPr="004D4A0E">
              <w:rPr>
                <w:rFonts w:ascii="Arial" w:hAnsi="Arial" w:cs="Arial"/>
                <w:sz w:val="18"/>
                <w:szCs w:val="18"/>
                <w:lang w:val="de-DE"/>
              </w:rPr>
              <w:t>18</w:t>
            </w:r>
          </w:p>
        </w:tc>
        <w:tc>
          <w:tcPr>
            <w:tcW w:w="1301" w:type="dxa"/>
            <w:tcBorders>
              <w:top w:val="single" w:sz="4" w:space="0" w:color="BEBEBE"/>
              <w:bottom w:val="single" w:sz="4" w:space="0" w:color="BEBEBE"/>
            </w:tcBorders>
            <w:vAlign w:val="center"/>
          </w:tcPr>
          <w:p w:rsidR="004D4A0E" w:rsidRPr="004D4A0E" w:rsidRDefault="004D4A0E" w:rsidP="004D4A0E">
            <w:pPr>
              <w:pStyle w:val="TableParagraph"/>
              <w:spacing w:before="0"/>
              <w:ind w:left="0"/>
              <w:jc w:val="right"/>
              <w:rPr>
                <w:rFonts w:ascii="Arial" w:hAnsi="Arial" w:cs="Arial"/>
                <w:sz w:val="18"/>
                <w:szCs w:val="18"/>
                <w:lang w:val="de-DE"/>
              </w:rPr>
            </w:pPr>
            <w:r w:rsidRPr="004D4A0E">
              <w:rPr>
                <w:rFonts w:ascii="Arial" w:hAnsi="Arial" w:cs="Arial"/>
                <w:sz w:val="18"/>
                <w:szCs w:val="18"/>
                <w:lang w:val="de-DE"/>
              </w:rPr>
              <w:t>168</w:t>
            </w:r>
          </w:p>
        </w:tc>
        <w:tc>
          <w:tcPr>
            <w:tcW w:w="1299" w:type="dxa"/>
            <w:tcBorders>
              <w:top w:val="single" w:sz="4" w:space="0" w:color="BEBEBE"/>
              <w:bottom w:val="single" w:sz="4" w:space="0" w:color="BEBEBE"/>
            </w:tcBorders>
            <w:vAlign w:val="center"/>
          </w:tcPr>
          <w:p w:rsidR="004D4A0E" w:rsidRPr="004D4A0E" w:rsidRDefault="004D4A0E" w:rsidP="004D4A0E">
            <w:pPr>
              <w:pStyle w:val="TableParagraph"/>
              <w:spacing w:before="0"/>
              <w:ind w:left="0"/>
              <w:jc w:val="right"/>
              <w:rPr>
                <w:rFonts w:ascii="Arial" w:hAnsi="Arial" w:cs="Arial"/>
                <w:sz w:val="18"/>
                <w:szCs w:val="18"/>
                <w:lang w:val="de-DE"/>
              </w:rPr>
            </w:pPr>
            <w:r w:rsidRPr="004D4A0E">
              <w:rPr>
                <w:rFonts w:ascii="Arial" w:hAnsi="Arial" w:cs="Arial"/>
                <w:sz w:val="18"/>
                <w:szCs w:val="18"/>
                <w:lang w:val="de-DE"/>
              </w:rPr>
              <w:t>49</w:t>
            </w:r>
          </w:p>
        </w:tc>
        <w:tc>
          <w:tcPr>
            <w:tcW w:w="1301" w:type="dxa"/>
            <w:tcBorders>
              <w:top w:val="single" w:sz="4" w:space="0" w:color="BEBEBE"/>
              <w:bottom w:val="single" w:sz="4" w:space="0" w:color="BEBEBE"/>
            </w:tcBorders>
            <w:vAlign w:val="center"/>
          </w:tcPr>
          <w:p w:rsidR="004D4A0E" w:rsidRPr="004D4A0E" w:rsidRDefault="004D4A0E" w:rsidP="004D4A0E">
            <w:pPr>
              <w:pStyle w:val="TableParagraph"/>
              <w:spacing w:before="0"/>
              <w:ind w:left="0"/>
              <w:jc w:val="right"/>
              <w:rPr>
                <w:rFonts w:ascii="Arial" w:hAnsi="Arial" w:cs="Arial"/>
                <w:sz w:val="18"/>
                <w:szCs w:val="18"/>
                <w:lang w:val="de-DE"/>
              </w:rPr>
            </w:pPr>
            <w:r w:rsidRPr="004D4A0E">
              <w:rPr>
                <w:rFonts w:ascii="Arial" w:hAnsi="Arial" w:cs="Arial"/>
                <w:sz w:val="18"/>
                <w:szCs w:val="18"/>
                <w:lang w:val="de-DE"/>
              </w:rPr>
              <w:t>28</w:t>
            </w:r>
          </w:p>
        </w:tc>
      </w:tr>
      <w:tr w:rsidR="004D4A0E" w:rsidRPr="004D4A0E" w:rsidTr="004D4A0E">
        <w:trPr>
          <w:trHeight w:val="299"/>
        </w:trPr>
        <w:tc>
          <w:tcPr>
            <w:tcW w:w="1181" w:type="dxa"/>
            <w:tcBorders>
              <w:top w:val="single" w:sz="4" w:space="0" w:color="BEBEBE"/>
              <w:bottom w:val="single" w:sz="4" w:space="0" w:color="BEBEBE"/>
            </w:tcBorders>
          </w:tcPr>
          <w:p w:rsidR="004D4A0E" w:rsidRPr="004D4A0E" w:rsidRDefault="004D4A0E" w:rsidP="004D4A0E">
            <w:pPr>
              <w:pStyle w:val="TableParagraph"/>
              <w:spacing w:before="0"/>
              <w:ind w:left="0"/>
              <w:jc w:val="center"/>
              <w:rPr>
                <w:rFonts w:ascii="Arial" w:hAnsi="Arial" w:cs="Arial"/>
                <w:sz w:val="18"/>
                <w:szCs w:val="18"/>
                <w:lang w:val="de-DE"/>
              </w:rPr>
            </w:pPr>
            <w:r w:rsidRPr="004D4A0E">
              <w:rPr>
                <w:rFonts w:ascii="Arial" w:hAnsi="Arial" w:cs="Arial"/>
                <w:sz w:val="18"/>
                <w:szCs w:val="18"/>
                <w:lang w:val="de-DE"/>
              </w:rPr>
              <w:t>2014</w:t>
            </w:r>
          </w:p>
        </w:tc>
        <w:tc>
          <w:tcPr>
            <w:tcW w:w="1299" w:type="dxa"/>
            <w:tcBorders>
              <w:top w:val="single" w:sz="4" w:space="0" w:color="BEBEBE"/>
              <w:bottom w:val="single" w:sz="4" w:space="0" w:color="BEBEBE"/>
            </w:tcBorders>
            <w:vAlign w:val="center"/>
          </w:tcPr>
          <w:p w:rsidR="004D4A0E" w:rsidRPr="004D4A0E" w:rsidRDefault="004D4A0E" w:rsidP="004D4A0E">
            <w:pPr>
              <w:pStyle w:val="TableParagraph"/>
              <w:spacing w:before="0"/>
              <w:ind w:left="0"/>
              <w:jc w:val="right"/>
              <w:rPr>
                <w:rFonts w:ascii="Arial" w:hAnsi="Arial" w:cs="Arial"/>
                <w:sz w:val="18"/>
                <w:szCs w:val="18"/>
                <w:lang w:val="de-DE"/>
              </w:rPr>
            </w:pPr>
            <w:r w:rsidRPr="004D4A0E">
              <w:rPr>
                <w:rFonts w:ascii="Arial" w:hAnsi="Arial" w:cs="Arial"/>
                <w:sz w:val="18"/>
                <w:szCs w:val="18"/>
                <w:lang w:val="de-DE"/>
              </w:rPr>
              <w:t>375</w:t>
            </w:r>
          </w:p>
        </w:tc>
        <w:tc>
          <w:tcPr>
            <w:tcW w:w="1302" w:type="dxa"/>
            <w:tcBorders>
              <w:top w:val="single" w:sz="4" w:space="0" w:color="BEBEBE"/>
              <w:bottom w:val="single" w:sz="4" w:space="0" w:color="BEBEBE"/>
            </w:tcBorders>
            <w:vAlign w:val="center"/>
          </w:tcPr>
          <w:p w:rsidR="004D4A0E" w:rsidRPr="004D4A0E" w:rsidRDefault="004D4A0E" w:rsidP="004D4A0E">
            <w:pPr>
              <w:pStyle w:val="TableParagraph"/>
              <w:spacing w:before="0"/>
              <w:ind w:left="0"/>
              <w:jc w:val="right"/>
              <w:rPr>
                <w:rFonts w:ascii="Arial" w:hAnsi="Arial" w:cs="Arial"/>
                <w:sz w:val="18"/>
                <w:szCs w:val="18"/>
                <w:lang w:val="de-DE"/>
              </w:rPr>
            </w:pPr>
            <w:r w:rsidRPr="004D4A0E">
              <w:rPr>
                <w:rFonts w:ascii="Arial" w:hAnsi="Arial" w:cs="Arial"/>
                <w:sz w:val="18"/>
                <w:szCs w:val="18"/>
                <w:lang w:val="de-DE"/>
              </w:rPr>
              <w:t>22</w:t>
            </w:r>
          </w:p>
        </w:tc>
        <w:tc>
          <w:tcPr>
            <w:tcW w:w="1301" w:type="dxa"/>
            <w:tcBorders>
              <w:top w:val="single" w:sz="4" w:space="0" w:color="BEBEBE"/>
              <w:bottom w:val="single" w:sz="4" w:space="0" w:color="BEBEBE"/>
            </w:tcBorders>
            <w:vAlign w:val="center"/>
          </w:tcPr>
          <w:p w:rsidR="004D4A0E" w:rsidRPr="004D4A0E" w:rsidRDefault="004D4A0E" w:rsidP="004D4A0E">
            <w:pPr>
              <w:pStyle w:val="TableParagraph"/>
              <w:spacing w:before="0"/>
              <w:ind w:left="0"/>
              <w:jc w:val="right"/>
              <w:rPr>
                <w:rFonts w:ascii="Arial" w:hAnsi="Arial" w:cs="Arial"/>
                <w:sz w:val="18"/>
                <w:szCs w:val="18"/>
                <w:lang w:val="de-DE"/>
              </w:rPr>
            </w:pPr>
            <w:r w:rsidRPr="004D4A0E">
              <w:rPr>
                <w:rFonts w:ascii="Arial" w:hAnsi="Arial" w:cs="Arial"/>
                <w:sz w:val="18"/>
                <w:szCs w:val="18"/>
                <w:lang w:val="de-DE"/>
              </w:rPr>
              <w:t>201</w:t>
            </w:r>
          </w:p>
        </w:tc>
        <w:tc>
          <w:tcPr>
            <w:tcW w:w="1299" w:type="dxa"/>
            <w:tcBorders>
              <w:top w:val="single" w:sz="4" w:space="0" w:color="BEBEBE"/>
              <w:bottom w:val="single" w:sz="4" w:space="0" w:color="BEBEBE"/>
            </w:tcBorders>
            <w:vAlign w:val="center"/>
          </w:tcPr>
          <w:p w:rsidR="004D4A0E" w:rsidRPr="004D4A0E" w:rsidRDefault="004D4A0E" w:rsidP="004D4A0E">
            <w:pPr>
              <w:pStyle w:val="TableParagraph"/>
              <w:spacing w:before="0"/>
              <w:ind w:left="0"/>
              <w:jc w:val="right"/>
              <w:rPr>
                <w:rFonts w:ascii="Arial" w:hAnsi="Arial" w:cs="Arial"/>
                <w:sz w:val="18"/>
                <w:szCs w:val="18"/>
                <w:lang w:val="de-DE"/>
              </w:rPr>
            </w:pPr>
            <w:r w:rsidRPr="004D4A0E">
              <w:rPr>
                <w:rFonts w:ascii="Arial" w:hAnsi="Arial" w:cs="Arial"/>
                <w:sz w:val="18"/>
                <w:szCs w:val="18"/>
                <w:lang w:val="de-DE"/>
              </w:rPr>
              <w:t>52</w:t>
            </w:r>
          </w:p>
        </w:tc>
        <w:tc>
          <w:tcPr>
            <w:tcW w:w="1301" w:type="dxa"/>
            <w:tcBorders>
              <w:top w:val="single" w:sz="4" w:space="0" w:color="BEBEBE"/>
              <w:bottom w:val="single" w:sz="4" w:space="0" w:color="BEBEBE"/>
            </w:tcBorders>
            <w:vAlign w:val="center"/>
          </w:tcPr>
          <w:p w:rsidR="004D4A0E" w:rsidRPr="004D4A0E" w:rsidRDefault="004D4A0E" w:rsidP="004D4A0E">
            <w:pPr>
              <w:pStyle w:val="TableParagraph"/>
              <w:spacing w:before="0"/>
              <w:ind w:left="0"/>
              <w:jc w:val="right"/>
              <w:rPr>
                <w:rFonts w:ascii="Arial" w:hAnsi="Arial" w:cs="Arial"/>
                <w:sz w:val="18"/>
                <w:szCs w:val="18"/>
                <w:lang w:val="de-DE"/>
              </w:rPr>
            </w:pPr>
            <w:r w:rsidRPr="004D4A0E">
              <w:rPr>
                <w:rFonts w:ascii="Arial" w:hAnsi="Arial" w:cs="Arial"/>
                <w:sz w:val="18"/>
                <w:szCs w:val="18"/>
                <w:lang w:val="de-DE"/>
              </w:rPr>
              <w:t>31</w:t>
            </w:r>
          </w:p>
        </w:tc>
      </w:tr>
      <w:tr w:rsidR="004D4A0E" w:rsidRPr="004D4A0E" w:rsidTr="004D4A0E">
        <w:trPr>
          <w:trHeight w:val="299"/>
        </w:trPr>
        <w:tc>
          <w:tcPr>
            <w:tcW w:w="1181" w:type="dxa"/>
            <w:tcBorders>
              <w:top w:val="single" w:sz="4" w:space="0" w:color="BEBEBE"/>
              <w:bottom w:val="single" w:sz="4" w:space="0" w:color="BEBEBE"/>
            </w:tcBorders>
          </w:tcPr>
          <w:p w:rsidR="004D4A0E" w:rsidRPr="004D4A0E" w:rsidRDefault="004D4A0E" w:rsidP="004D4A0E">
            <w:pPr>
              <w:pStyle w:val="TableParagraph"/>
              <w:spacing w:before="0"/>
              <w:ind w:left="0"/>
              <w:jc w:val="center"/>
              <w:rPr>
                <w:rFonts w:ascii="Arial" w:hAnsi="Arial" w:cs="Arial"/>
                <w:sz w:val="18"/>
                <w:szCs w:val="18"/>
                <w:lang w:val="de-DE"/>
              </w:rPr>
            </w:pPr>
            <w:r w:rsidRPr="004D4A0E">
              <w:rPr>
                <w:rFonts w:ascii="Arial" w:hAnsi="Arial" w:cs="Arial"/>
                <w:sz w:val="18"/>
                <w:szCs w:val="18"/>
                <w:lang w:val="de-DE"/>
              </w:rPr>
              <w:t>2015</w:t>
            </w:r>
          </w:p>
        </w:tc>
        <w:tc>
          <w:tcPr>
            <w:tcW w:w="1299" w:type="dxa"/>
            <w:tcBorders>
              <w:top w:val="single" w:sz="4" w:space="0" w:color="BEBEBE"/>
              <w:bottom w:val="single" w:sz="4" w:space="0" w:color="BEBEBE"/>
            </w:tcBorders>
            <w:vAlign w:val="center"/>
          </w:tcPr>
          <w:p w:rsidR="004D4A0E" w:rsidRPr="004D4A0E" w:rsidRDefault="004D4A0E" w:rsidP="004D4A0E">
            <w:pPr>
              <w:pStyle w:val="TableParagraph"/>
              <w:spacing w:before="0"/>
              <w:ind w:left="0"/>
              <w:jc w:val="right"/>
              <w:rPr>
                <w:rFonts w:ascii="Arial" w:hAnsi="Arial" w:cs="Arial"/>
                <w:sz w:val="18"/>
                <w:szCs w:val="18"/>
                <w:lang w:val="de-DE"/>
              </w:rPr>
            </w:pPr>
            <w:r w:rsidRPr="004D4A0E">
              <w:rPr>
                <w:rFonts w:ascii="Arial" w:hAnsi="Arial" w:cs="Arial"/>
                <w:sz w:val="18"/>
                <w:szCs w:val="18"/>
                <w:lang w:val="de-DE"/>
              </w:rPr>
              <w:t>378</w:t>
            </w:r>
          </w:p>
        </w:tc>
        <w:tc>
          <w:tcPr>
            <w:tcW w:w="1302" w:type="dxa"/>
            <w:tcBorders>
              <w:top w:val="single" w:sz="4" w:space="0" w:color="BEBEBE"/>
              <w:bottom w:val="single" w:sz="4" w:space="0" w:color="BEBEBE"/>
            </w:tcBorders>
            <w:vAlign w:val="center"/>
          </w:tcPr>
          <w:p w:rsidR="004D4A0E" w:rsidRPr="004D4A0E" w:rsidRDefault="004D4A0E" w:rsidP="004D4A0E">
            <w:pPr>
              <w:pStyle w:val="TableParagraph"/>
              <w:spacing w:before="0"/>
              <w:ind w:left="0"/>
              <w:jc w:val="right"/>
              <w:rPr>
                <w:rFonts w:ascii="Arial" w:hAnsi="Arial" w:cs="Arial"/>
                <w:sz w:val="18"/>
                <w:szCs w:val="18"/>
                <w:lang w:val="de-DE"/>
              </w:rPr>
            </w:pPr>
            <w:r w:rsidRPr="004D4A0E">
              <w:rPr>
                <w:rFonts w:ascii="Arial" w:hAnsi="Arial" w:cs="Arial"/>
                <w:sz w:val="18"/>
                <w:szCs w:val="18"/>
                <w:lang w:val="de-DE"/>
              </w:rPr>
              <w:t>36</w:t>
            </w:r>
          </w:p>
        </w:tc>
        <w:tc>
          <w:tcPr>
            <w:tcW w:w="1301" w:type="dxa"/>
            <w:tcBorders>
              <w:top w:val="single" w:sz="4" w:space="0" w:color="BEBEBE"/>
              <w:bottom w:val="single" w:sz="4" w:space="0" w:color="BEBEBE"/>
            </w:tcBorders>
            <w:vAlign w:val="center"/>
          </w:tcPr>
          <w:p w:rsidR="004D4A0E" w:rsidRPr="004D4A0E" w:rsidRDefault="004D4A0E" w:rsidP="004D4A0E">
            <w:pPr>
              <w:pStyle w:val="TableParagraph"/>
              <w:spacing w:before="0"/>
              <w:ind w:left="0"/>
              <w:jc w:val="right"/>
              <w:rPr>
                <w:rFonts w:ascii="Arial" w:hAnsi="Arial" w:cs="Arial"/>
                <w:sz w:val="18"/>
                <w:szCs w:val="18"/>
                <w:lang w:val="de-DE"/>
              </w:rPr>
            </w:pPr>
            <w:r w:rsidRPr="004D4A0E">
              <w:rPr>
                <w:rFonts w:ascii="Arial" w:hAnsi="Arial" w:cs="Arial"/>
                <w:sz w:val="18"/>
                <w:szCs w:val="18"/>
                <w:lang w:val="de-DE"/>
              </w:rPr>
              <w:t>173</w:t>
            </w:r>
          </w:p>
        </w:tc>
        <w:tc>
          <w:tcPr>
            <w:tcW w:w="1299" w:type="dxa"/>
            <w:tcBorders>
              <w:top w:val="single" w:sz="4" w:space="0" w:color="BEBEBE"/>
              <w:bottom w:val="single" w:sz="4" w:space="0" w:color="BEBEBE"/>
            </w:tcBorders>
            <w:vAlign w:val="center"/>
          </w:tcPr>
          <w:p w:rsidR="004D4A0E" w:rsidRPr="004D4A0E" w:rsidRDefault="004D4A0E" w:rsidP="004D4A0E">
            <w:pPr>
              <w:pStyle w:val="TableParagraph"/>
              <w:spacing w:before="0"/>
              <w:ind w:left="0"/>
              <w:jc w:val="right"/>
              <w:rPr>
                <w:rFonts w:ascii="Arial" w:hAnsi="Arial" w:cs="Arial"/>
                <w:sz w:val="18"/>
                <w:szCs w:val="18"/>
                <w:lang w:val="de-DE"/>
              </w:rPr>
            </w:pPr>
            <w:r w:rsidRPr="004D4A0E">
              <w:rPr>
                <w:rFonts w:ascii="Arial" w:hAnsi="Arial" w:cs="Arial"/>
                <w:sz w:val="18"/>
                <w:szCs w:val="18"/>
                <w:lang w:val="de-DE"/>
              </w:rPr>
              <w:t>72</w:t>
            </w:r>
          </w:p>
        </w:tc>
        <w:tc>
          <w:tcPr>
            <w:tcW w:w="1301" w:type="dxa"/>
            <w:tcBorders>
              <w:top w:val="single" w:sz="4" w:space="0" w:color="BEBEBE"/>
              <w:bottom w:val="single" w:sz="4" w:space="0" w:color="BEBEBE"/>
            </w:tcBorders>
            <w:vAlign w:val="center"/>
          </w:tcPr>
          <w:p w:rsidR="004D4A0E" w:rsidRPr="004D4A0E" w:rsidRDefault="004D4A0E" w:rsidP="004D4A0E">
            <w:pPr>
              <w:pStyle w:val="TableParagraph"/>
              <w:spacing w:before="0"/>
              <w:ind w:left="0"/>
              <w:jc w:val="right"/>
              <w:rPr>
                <w:rFonts w:ascii="Arial" w:hAnsi="Arial" w:cs="Arial"/>
                <w:sz w:val="18"/>
                <w:szCs w:val="18"/>
                <w:lang w:val="de-DE"/>
              </w:rPr>
            </w:pPr>
            <w:r w:rsidRPr="004D4A0E">
              <w:rPr>
                <w:rFonts w:ascii="Arial" w:hAnsi="Arial" w:cs="Arial"/>
                <w:sz w:val="18"/>
                <w:szCs w:val="18"/>
                <w:lang w:val="de-DE"/>
              </w:rPr>
              <w:t>38</w:t>
            </w:r>
          </w:p>
        </w:tc>
      </w:tr>
      <w:tr w:rsidR="004D4A0E" w:rsidRPr="004D4A0E" w:rsidTr="004D4A0E">
        <w:trPr>
          <w:trHeight w:val="299"/>
        </w:trPr>
        <w:tc>
          <w:tcPr>
            <w:tcW w:w="1181" w:type="dxa"/>
            <w:tcBorders>
              <w:top w:val="single" w:sz="4" w:space="0" w:color="BEBEBE"/>
              <w:bottom w:val="single" w:sz="4" w:space="0" w:color="BEBEBE"/>
            </w:tcBorders>
          </w:tcPr>
          <w:p w:rsidR="004D4A0E" w:rsidRPr="004D4A0E" w:rsidRDefault="004D4A0E" w:rsidP="004D4A0E">
            <w:pPr>
              <w:pStyle w:val="TableParagraph"/>
              <w:spacing w:before="0"/>
              <w:ind w:left="0"/>
              <w:jc w:val="center"/>
              <w:rPr>
                <w:rFonts w:ascii="Arial" w:hAnsi="Arial" w:cs="Arial"/>
                <w:sz w:val="18"/>
                <w:szCs w:val="18"/>
                <w:lang w:val="de-DE"/>
              </w:rPr>
            </w:pPr>
            <w:r w:rsidRPr="004D4A0E">
              <w:rPr>
                <w:rFonts w:ascii="Arial" w:hAnsi="Arial" w:cs="Arial"/>
                <w:sz w:val="18"/>
                <w:szCs w:val="18"/>
                <w:lang w:val="de-DE"/>
              </w:rPr>
              <w:t>2016</w:t>
            </w:r>
          </w:p>
        </w:tc>
        <w:tc>
          <w:tcPr>
            <w:tcW w:w="1299" w:type="dxa"/>
            <w:tcBorders>
              <w:top w:val="single" w:sz="4" w:space="0" w:color="BEBEBE"/>
              <w:bottom w:val="single" w:sz="4" w:space="0" w:color="BEBEBE"/>
            </w:tcBorders>
            <w:vAlign w:val="center"/>
          </w:tcPr>
          <w:p w:rsidR="004D4A0E" w:rsidRPr="004D4A0E" w:rsidRDefault="004D4A0E" w:rsidP="004D4A0E">
            <w:pPr>
              <w:pStyle w:val="TableParagraph"/>
              <w:spacing w:before="0"/>
              <w:ind w:left="0"/>
              <w:jc w:val="right"/>
              <w:rPr>
                <w:rFonts w:ascii="Arial" w:hAnsi="Arial" w:cs="Arial"/>
                <w:sz w:val="18"/>
                <w:szCs w:val="18"/>
                <w:lang w:val="de-DE"/>
              </w:rPr>
            </w:pPr>
            <w:r w:rsidRPr="004D4A0E">
              <w:rPr>
                <w:rFonts w:ascii="Arial" w:hAnsi="Arial" w:cs="Arial"/>
                <w:sz w:val="18"/>
                <w:szCs w:val="18"/>
                <w:lang w:val="de-DE"/>
              </w:rPr>
              <w:t>314</w:t>
            </w:r>
          </w:p>
        </w:tc>
        <w:tc>
          <w:tcPr>
            <w:tcW w:w="1302" w:type="dxa"/>
            <w:tcBorders>
              <w:top w:val="single" w:sz="4" w:space="0" w:color="BEBEBE"/>
              <w:bottom w:val="single" w:sz="4" w:space="0" w:color="BEBEBE"/>
            </w:tcBorders>
            <w:vAlign w:val="center"/>
          </w:tcPr>
          <w:p w:rsidR="004D4A0E" w:rsidRPr="004D4A0E" w:rsidRDefault="004D4A0E" w:rsidP="004D4A0E">
            <w:pPr>
              <w:pStyle w:val="TableParagraph"/>
              <w:spacing w:before="0"/>
              <w:ind w:left="0"/>
              <w:jc w:val="right"/>
              <w:rPr>
                <w:rFonts w:ascii="Arial" w:hAnsi="Arial" w:cs="Arial"/>
                <w:sz w:val="18"/>
                <w:szCs w:val="18"/>
                <w:lang w:val="de-DE"/>
              </w:rPr>
            </w:pPr>
            <w:r w:rsidRPr="004D4A0E">
              <w:rPr>
                <w:rFonts w:ascii="Arial" w:hAnsi="Arial" w:cs="Arial"/>
                <w:sz w:val="18"/>
                <w:szCs w:val="18"/>
                <w:lang w:val="de-DE"/>
              </w:rPr>
              <w:t>56</w:t>
            </w:r>
          </w:p>
        </w:tc>
        <w:tc>
          <w:tcPr>
            <w:tcW w:w="1301" w:type="dxa"/>
            <w:tcBorders>
              <w:top w:val="single" w:sz="4" w:space="0" w:color="BEBEBE"/>
              <w:bottom w:val="single" w:sz="4" w:space="0" w:color="BEBEBE"/>
            </w:tcBorders>
            <w:vAlign w:val="center"/>
          </w:tcPr>
          <w:p w:rsidR="004D4A0E" w:rsidRPr="004D4A0E" w:rsidRDefault="004D4A0E" w:rsidP="004D4A0E">
            <w:pPr>
              <w:pStyle w:val="TableParagraph"/>
              <w:spacing w:before="0"/>
              <w:ind w:left="0"/>
              <w:jc w:val="right"/>
              <w:rPr>
                <w:rFonts w:ascii="Arial" w:hAnsi="Arial" w:cs="Arial"/>
                <w:sz w:val="18"/>
                <w:szCs w:val="18"/>
                <w:lang w:val="de-DE"/>
              </w:rPr>
            </w:pPr>
            <w:r w:rsidRPr="004D4A0E">
              <w:rPr>
                <w:rFonts w:ascii="Arial" w:hAnsi="Arial" w:cs="Arial"/>
                <w:sz w:val="18"/>
                <w:szCs w:val="18"/>
                <w:lang w:val="de-DE"/>
              </w:rPr>
              <w:t>188</w:t>
            </w:r>
          </w:p>
        </w:tc>
        <w:tc>
          <w:tcPr>
            <w:tcW w:w="1299" w:type="dxa"/>
            <w:tcBorders>
              <w:top w:val="single" w:sz="4" w:space="0" w:color="BEBEBE"/>
              <w:bottom w:val="single" w:sz="4" w:space="0" w:color="BEBEBE"/>
            </w:tcBorders>
            <w:vAlign w:val="center"/>
          </w:tcPr>
          <w:p w:rsidR="004D4A0E" w:rsidRPr="004D4A0E" w:rsidRDefault="004D4A0E" w:rsidP="004D4A0E">
            <w:pPr>
              <w:pStyle w:val="TableParagraph"/>
              <w:spacing w:before="0"/>
              <w:ind w:left="0"/>
              <w:jc w:val="right"/>
              <w:rPr>
                <w:rFonts w:ascii="Arial" w:hAnsi="Arial" w:cs="Arial"/>
                <w:sz w:val="18"/>
                <w:szCs w:val="18"/>
                <w:lang w:val="de-DE"/>
              </w:rPr>
            </w:pPr>
            <w:r w:rsidRPr="004D4A0E">
              <w:rPr>
                <w:rFonts w:ascii="Arial" w:hAnsi="Arial" w:cs="Arial"/>
                <w:sz w:val="18"/>
                <w:szCs w:val="18"/>
                <w:lang w:val="de-DE"/>
              </w:rPr>
              <w:t>92</w:t>
            </w:r>
          </w:p>
        </w:tc>
        <w:tc>
          <w:tcPr>
            <w:tcW w:w="1301" w:type="dxa"/>
            <w:tcBorders>
              <w:top w:val="single" w:sz="4" w:space="0" w:color="BEBEBE"/>
              <w:bottom w:val="single" w:sz="4" w:space="0" w:color="BEBEBE"/>
            </w:tcBorders>
            <w:vAlign w:val="center"/>
          </w:tcPr>
          <w:p w:rsidR="004D4A0E" w:rsidRPr="004D4A0E" w:rsidRDefault="004D4A0E" w:rsidP="004D4A0E">
            <w:pPr>
              <w:pStyle w:val="TableParagraph"/>
              <w:spacing w:before="0"/>
              <w:ind w:left="0"/>
              <w:jc w:val="right"/>
              <w:rPr>
                <w:rFonts w:ascii="Arial" w:hAnsi="Arial" w:cs="Arial"/>
                <w:sz w:val="18"/>
                <w:szCs w:val="18"/>
                <w:lang w:val="de-DE"/>
              </w:rPr>
            </w:pPr>
            <w:r w:rsidRPr="004D4A0E">
              <w:rPr>
                <w:rFonts w:ascii="Arial" w:hAnsi="Arial" w:cs="Arial"/>
                <w:sz w:val="18"/>
                <w:szCs w:val="18"/>
                <w:lang w:val="de-DE"/>
              </w:rPr>
              <w:t>36</w:t>
            </w:r>
          </w:p>
        </w:tc>
      </w:tr>
      <w:tr w:rsidR="004D4A0E" w:rsidRPr="004D4A0E" w:rsidTr="004D4A0E">
        <w:trPr>
          <w:trHeight w:val="301"/>
        </w:trPr>
        <w:tc>
          <w:tcPr>
            <w:tcW w:w="1181" w:type="dxa"/>
            <w:tcBorders>
              <w:top w:val="single" w:sz="4" w:space="0" w:color="BEBEBE"/>
              <w:bottom w:val="single" w:sz="4" w:space="0" w:color="BEBEBE"/>
            </w:tcBorders>
          </w:tcPr>
          <w:p w:rsidR="004D4A0E" w:rsidRPr="004D4A0E" w:rsidRDefault="004D4A0E" w:rsidP="004D4A0E">
            <w:pPr>
              <w:pStyle w:val="TableParagraph"/>
              <w:spacing w:before="0"/>
              <w:ind w:left="0"/>
              <w:jc w:val="center"/>
              <w:rPr>
                <w:rFonts w:ascii="Arial" w:hAnsi="Arial" w:cs="Arial"/>
                <w:sz w:val="18"/>
                <w:szCs w:val="18"/>
                <w:lang w:val="de-DE"/>
              </w:rPr>
            </w:pPr>
            <w:r w:rsidRPr="004D4A0E">
              <w:rPr>
                <w:rFonts w:ascii="Arial" w:hAnsi="Arial" w:cs="Arial"/>
                <w:sz w:val="18"/>
                <w:szCs w:val="18"/>
                <w:lang w:val="de-DE"/>
              </w:rPr>
              <w:t>2017</w:t>
            </w:r>
          </w:p>
        </w:tc>
        <w:tc>
          <w:tcPr>
            <w:tcW w:w="1299" w:type="dxa"/>
            <w:tcBorders>
              <w:top w:val="single" w:sz="4" w:space="0" w:color="BEBEBE"/>
              <w:bottom w:val="single" w:sz="4" w:space="0" w:color="BEBEBE"/>
            </w:tcBorders>
            <w:vAlign w:val="center"/>
          </w:tcPr>
          <w:p w:rsidR="004D4A0E" w:rsidRPr="004D4A0E" w:rsidRDefault="004D4A0E" w:rsidP="004D4A0E">
            <w:pPr>
              <w:pStyle w:val="TableParagraph"/>
              <w:spacing w:before="0"/>
              <w:ind w:left="0"/>
              <w:jc w:val="right"/>
              <w:rPr>
                <w:rFonts w:ascii="Arial" w:hAnsi="Arial" w:cs="Arial"/>
                <w:sz w:val="18"/>
                <w:szCs w:val="18"/>
                <w:lang w:val="de-DE"/>
              </w:rPr>
            </w:pPr>
            <w:r w:rsidRPr="004D4A0E">
              <w:rPr>
                <w:rFonts w:ascii="Arial" w:hAnsi="Arial" w:cs="Arial"/>
                <w:sz w:val="18"/>
                <w:szCs w:val="18"/>
                <w:lang w:val="de-DE"/>
              </w:rPr>
              <w:t>346</w:t>
            </w:r>
          </w:p>
        </w:tc>
        <w:tc>
          <w:tcPr>
            <w:tcW w:w="1302" w:type="dxa"/>
            <w:tcBorders>
              <w:top w:val="single" w:sz="4" w:space="0" w:color="BEBEBE"/>
              <w:bottom w:val="single" w:sz="4" w:space="0" w:color="BEBEBE"/>
            </w:tcBorders>
            <w:vAlign w:val="center"/>
          </w:tcPr>
          <w:p w:rsidR="004D4A0E" w:rsidRPr="004D4A0E" w:rsidRDefault="004D4A0E" w:rsidP="004D4A0E">
            <w:pPr>
              <w:pStyle w:val="TableParagraph"/>
              <w:spacing w:before="0"/>
              <w:ind w:left="0"/>
              <w:jc w:val="right"/>
              <w:rPr>
                <w:rFonts w:ascii="Arial" w:hAnsi="Arial" w:cs="Arial"/>
                <w:sz w:val="18"/>
                <w:szCs w:val="18"/>
                <w:lang w:val="de-DE"/>
              </w:rPr>
            </w:pPr>
            <w:r w:rsidRPr="004D4A0E">
              <w:rPr>
                <w:rFonts w:ascii="Arial" w:hAnsi="Arial" w:cs="Arial"/>
                <w:sz w:val="18"/>
                <w:szCs w:val="18"/>
                <w:lang w:val="de-DE"/>
              </w:rPr>
              <w:t>48</w:t>
            </w:r>
          </w:p>
        </w:tc>
        <w:tc>
          <w:tcPr>
            <w:tcW w:w="1301" w:type="dxa"/>
            <w:tcBorders>
              <w:top w:val="single" w:sz="4" w:space="0" w:color="BEBEBE"/>
              <w:bottom w:val="single" w:sz="4" w:space="0" w:color="BEBEBE"/>
            </w:tcBorders>
            <w:vAlign w:val="center"/>
          </w:tcPr>
          <w:p w:rsidR="004D4A0E" w:rsidRPr="004D4A0E" w:rsidRDefault="004D4A0E" w:rsidP="004D4A0E">
            <w:pPr>
              <w:pStyle w:val="TableParagraph"/>
              <w:spacing w:before="0"/>
              <w:ind w:left="0"/>
              <w:jc w:val="right"/>
              <w:rPr>
                <w:rFonts w:ascii="Arial" w:hAnsi="Arial" w:cs="Arial"/>
                <w:sz w:val="18"/>
                <w:szCs w:val="18"/>
                <w:lang w:val="de-DE"/>
              </w:rPr>
            </w:pPr>
            <w:r w:rsidRPr="004D4A0E">
              <w:rPr>
                <w:rFonts w:ascii="Arial" w:hAnsi="Arial" w:cs="Arial"/>
                <w:sz w:val="18"/>
                <w:szCs w:val="18"/>
                <w:lang w:val="de-DE"/>
              </w:rPr>
              <w:t>227</w:t>
            </w:r>
          </w:p>
        </w:tc>
        <w:tc>
          <w:tcPr>
            <w:tcW w:w="1299" w:type="dxa"/>
            <w:tcBorders>
              <w:top w:val="single" w:sz="4" w:space="0" w:color="BEBEBE"/>
              <w:bottom w:val="single" w:sz="4" w:space="0" w:color="BEBEBE"/>
            </w:tcBorders>
            <w:vAlign w:val="center"/>
          </w:tcPr>
          <w:p w:rsidR="004D4A0E" w:rsidRPr="004D4A0E" w:rsidRDefault="004D4A0E" w:rsidP="004D4A0E">
            <w:pPr>
              <w:pStyle w:val="TableParagraph"/>
              <w:spacing w:before="0"/>
              <w:ind w:left="0"/>
              <w:jc w:val="right"/>
              <w:rPr>
                <w:rFonts w:ascii="Arial" w:hAnsi="Arial" w:cs="Arial"/>
                <w:sz w:val="18"/>
                <w:szCs w:val="18"/>
                <w:lang w:val="de-DE"/>
              </w:rPr>
            </w:pPr>
            <w:r w:rsidRPr="004D4A0E">
              <w:rPr>
                <w:rFonts w:ascii="Arial" w:hAnsi="Arial" w:cs="Arial"/>
                <w:sz w:val="18"/>
                <w:szCs w:val="18"/>
                <w:lang w:val="de-DE"/>
              </w:rPr>
              <w:t>106</w:t>
            </w:r>
          </w:p>
        </w:tc>
        <w:tc>
          <w:tcPr>
            <w:tcW w:w="1301" w:type="dxa"/>
            <w:tcBorders>
              <w:top w:val="single" w:sz="4" w:space="0" w:color="BEBEBE"/>
              <w:bottom w:val="single" w:sz="4" w:space="0" w:color="BEBEBE"/>
            </w:tcBorders>
            <w:vAlign w:val="center"/>
          </w:tcPr>
          <w:p w:rsidR="004D4A0E" w:rsidRPr="004D4A0E" w:rsidRDefault="004D4A0E" w:rsidP="004D4A0E">
            <w:pPr>
              <w:pStyle w:val="TableParagraph"/>
              <w:spacing w:before="0"/>
              <w:ind w:left="0"/>
              <w:jc w:val="right"/>
              <w:rPr>
                <w:rFonts w:ascii="Arial" w:hAnsi="Arial" w:cs="Arial"/>
                <w:sz w:val="18"/>
                <w:szCs w:val="18"/>
                <w:lang w:val="de-DE"/>
              </w:rPr>
            </w:pPr>
            <w:r w:rsidRPr="004D4A0E">
              <w:rPr>
                <w:rFonts w:ascii="Arial" w:hAnsi="Arial" w:cs="Arial"/>
                <w:sz w:val="18"/>
                <w:szCs w:val="18"/>
                <w:lang w:val="de-DE"/>
              </w:rPr>
              <w:t>47</w:t>
            </w:r>
          </w:p>
        </w:tc>
      </w:tr>
      <w:tr w:rsidR="004D4A0E" w:rsidRPr="004D4A0E" w:rsidTr="004D4A0E">
        <w:trPr>
          <w:trHeight w:val="299"/>
        </w:trPr>
        <w:tc>
          <w:tcPr>
            <w:tcW w:w="1181" w:type="dxa"/>
            <w:tcBorders>
              <w:top w:val="single" w:sz="4" w:space="0" w:color="BEBEBE"/>
              <w:bottom w:val="single" w:sz="4" w:space="0" w:color="BEBEBE"/>
            </w:tcBorders>
          </w:tcPr>
          <w:p w:rsidR="004D4A0E" w:rsidRPr="004D4A0E" w:rsidRDefault="004D4A0E" w:rsidP="004D4A0E">
            <w:pPr>
              <w:pStyle w:val="TableParagraph"/>
              <w:spacing w:before="0"/>
              <w:ind w:left="0"/>
              <w:jc w:val="center"/>
              <w:rPr>
                <w:rFonts w:ascii="Arial" w:hAnsi="Arial" w:cs="Arial"/>
                <w:sz w:val="18"/>
                <w:szCs w:val="18"/>
                <w:lang w:val="de-DE"/>
              </w:rPr>
            </w:pPr>
            <w:r w:rsidRPr="004D4A0E">
              <w:rPr>
                <w:rFonts w:ascii="Arial" w:hAnsi="Arial" w:cs="Arial"/>
                <w:sz w:val="18"/>
                <w:szCs w:val="18"/>
                <w:lang w:val="de-DE"/>
              </w:rPr>
              <w:t>2018</w:t>
            </w:r>
          </w:p>
        </w:tc>
        <w:tc>
          <w:tcPr>
            <w:tcW w:w="1299" w:type="dxa"/>
            <w:tcBorders>
              <w:top w:val="single" w:sz="4" w:space="0" w:color="BEBEBE"/>
              <w:bottom w:val="single" w:sz="4" w:space="0" w:color="BEBEBE"/>
            </w:tcBorders>
            <w:vAlign w:val="center"/>
          </w:tcPr>
          <w:p w:rsidR="004D4A0E" w:rsidRPr="004D4A0E" w:rsidRDefault="004D4A0E" w:rsidP="004D4A0E">
            <w:pPr>
              <w:pStyle w:val="TableParagraph"/>
              <w:spacing w:before="0"/>
              <w:ind w:left="0"/>
              <w:jc w:val="right"/>
              <w:rPr>
                <w:rFonts w:ascii="Arial" w:hAnsi="Arial" w:cs="Arial"/>
                <w:sz w:val="18"/>
                <w:szCs w:val="18"/>
                <w:lang w:val="de-DE"/>
              </w:rPr>
            </w:pPr>
            <w:r w:rsidRPr="004D4A0E">
              <w:rPr>
                <w:rFonts w:ascii="Arial" w:hAnsi="Arial" w:cs="Arial"/>
                <w:sz w:val="18"/>
                <w:szCs w:val="18"/>
                <w:lang w:val="de-DE"/>
              </w:rPr>
              <w:t>359</w:t>
            </w:r>
          </w:p>
        </w:tc>
        <w:tc>
          <w:tcPr>
            <w:tcW w:w="1302" w:type="dxa"/>
            <w:tcBorders>
              <w:top w:val="single" w:sz="4" w:space="0" w:color="BEBEBE"/>
              <w:bottom w:val="single" w:sz="4" w:space="0" w:color="BEBEBE"/>
            </w:tcBorders>
            <w:vAlign w:val="center"/>
          </w:tcPr>
          <w:p w:rsidR="004D4A0E" w:rsidRPr="004D4A0E" w:rsidRDefault="004D4A0E" w:rsidP="004D4A0E">
            <w:pPr>
              <w:pStyle w:val="TableParagraph"/>
              <w:spacing w:before="0"/>
              <w:ind w:left="0"/>
              <w:jc w:val="right"/>
              <w:rPr>
                <w:rFonts w:ascii="Arial" w:hAnsi="Arial" w:cs="Arial"/>
                <w:sz w:val="18"/>
                <w:szCs w:val="18"/>
                <w:lang w:val="de-DE"/>
              </w:rPr>
            </w:pPr>
            <w:r w:rsidRPr="004D4A0E">
              <w:rPr>
                <w:rFonts w:ascii="Arial" w:hAnsi="Arial" w:cs="Arial"/>
                <w:sz w:val="18"/>
                <w:szCs w:val="18"/>
                <w:lang w:val="de-DE"/>
              </w:rPr>
              <w:t>32</w:t>
            </w:r>
          </w:p>
        </w:tc>
        <w:tc>
          <w:tcPr>
            <w:tcW w:w="1301" w:type="dxa"/>
            <w:tcBorders>
              <w:top w:val="single" w:sz="4" w:space="0" w:color="BEBEBE"/>
              <w:bottom w:val="single" w:sz="4" w:space="0" w:color="BEBEBE"/>
            </w:tcBorders>
            <w:vAlign w:val="center"/>
          </w:tcPr>
          <w:p w:rsidR="004D4A0E" w:rsidRPr="004D4A0E" w:rsidRDefault="004D4A0E" w:rsidP="004D4A0E">
            <w:pPr>
              <w:pStyle w:val="TableParagraph"/>
              <w:spacing w:before="0"/>
              <w:ind w:left="0"/>
              <w:jc w:val="right"/>
              <w:rPr>
                <w:rFonts w:ascii="Arial" w:hAnsi="Arial" w:cs="Arial"/>
                <w:sz w:val="18"/>
                <w:szCs w:val="18"/>
                <w:lang w:val="de-DE"/>
              </w:rPr>
            </w:pPr>
            <w:r w:rsidRPr="004D4A0E">
              <w:rPr>
                <w:rFonts w:ascii="Arial" w:hAnsi="Arial" w:cs="Arial"/>
                <w:sz w:val="18"/>
                <w:szCs w:val="18"/>
                <w:lang w:val="de-DE"/>
              </w:rPr>
              <w:t>260</w:t>
            </w:r>
          </w:p>
        </w:tc>
        <w:tc>
          <w:tcPr>
            <w:tcW w:w="1299" w:type="dxa"/>
            <w:tcBorders>
              <w:top w:val="single" w:sz="4" w:space="0" w:color="BEBEBE"/>
              <w:bottom w:val="single" w:sz="4" w:space="0" w:color="BEBEBE"/>
            </w:tcBorders>
            <w:vAlign w:val="center"/>
          </w:tcPr>
          <w:p w:rsidR="004D4A0E" w:rsidRPr="004D4A0E" w:rsidRDefault="004D4A0E" w:rsidP="004D4A0E">
            <w:pPr>
              <w:pStyle w:val="TableParagraph"/>
              <w:spacing w:before="0"/>
              <w:ind w:left="0"/>
              <w:jc w:val="right"/>
              <w:rPr>
                <w:rFonts w:ascii="Arial" w:hAnsi="Arial" w:cs="Arial"/>
                <w:sz w:val="18"/>
                <w:szCs w:val="18"/>
                <w:lang w:val="de-DE"/>
              </w:rPr>
            </w:pPr>
            <w:r w:rsidRPr="004D4A0E">
              <w:rPr>
                <w:rFonts w:ascii="Arial" w:hAnsi="Arial" w:cs="Arial"/>
                <w:sz w:val="18"/>
                <w:szCs w:val="18"/>
                <w:lang w:val="de-DE"/>
              </w:rPr>
              <w:t>100</w:t>
            </w:r>
          </w:p>
        </w:tc>
        <w:tc>
          <w:tcPr>
            <w:tcW w:w="1301" w:type="dxa"/>
            <w:tcBorders>
              <w:top w:val="single" w:sz="4" w:space="0" w:color="BEBEBE"/>
              <w:bottom w:val="single" w:sz="4" w:space="0" w:color="BEBEBE"/>
            </w:tcBorders>
            <w:vAlign w:val="center"/>
          </w:tcPr>
          <w:p w:rsidR="004D4A0E" w:rsidRPr="004D4A0E" w:rsidRDefault="004D4A0E" w:rsidP="004D4A0E">
            <w:pPr>
              <w:pStyle w:val="TableParagraph"/>
              <w:spacing w:before="0"/>
              <w:ind w:left="0"/>
              <w:jc w:val="right"/>
              <w:rPr>
                <w:rFonts w:ascii="Arial" w:hAnsi="Arial" w:cs="Arial"/>
                <w:sz w:val="18"/>
                <w:szCs w:val="18"/>
                <w:lang w:val="de-DE"/>
              </w:rPr>
            </w:pPr>
            <w:r w:rsidRPr="004D4A0E">
              <w:rPr>
                <w:rFonts w:ascii="Arial" w:hAnsi="Arial" w:cs="Arial"/>
                <w:sz w:val="18"/>
                <w:szCs w:val="18"/>
                <w:lang w:val="de-DE"/>
              </w:rPr>
              <w:t>40</w:t>
            </w:r>
          </w:p>
        </w:tc>
      </w:tr>
      <w:tr w:rsidR="004D4A0E" w:rsidRPr="004D4A0E" w:rsidTr="004D4A0E">
        <w:trPr>
          <w:trHeight w:val="299"/>
        </w:trPr>
        <w:tc>
          <w:tcPr>
            <w:tcW w:w="1181" w:type="dxa"/>
            <w:tcBorders>
              <w:top w:val="single" w:sz="4" w:space="0" w:color="BEBEBE"/>
              <w:bottom w:val="single" w:sz="4" w:space="0" w:color="BEBEBE"/>
            </w:tcBorders>
          </w:tcPr>
          <w:p w:rsidR="004D4A0E" w:rsidRPr="004D4A0E" w:rsidRDefault="004D4A0E" w:rsidP="004D4A0E">
            <w:pPr>
              <w:pStyle w:val="TableParagraph"/>
              <w:spacing w:before="0"/>
              <w:ind w:left="0"/>
              <w:jc w:val="center"/>
              <w:rPr>
                <w:rFonts w:ascii="Arial" w:hAnsi="Arial" w:cs="Arial"/>
                <w:sz w:val="18"/>
                <w:szCs w:val="18"/>
                <w:lang w:val="de-DE"/>
              </w:rPr>
            </w:pPr>
            <w:r w:rsidRPr="004D4A0E">
              <w:rPr>
                <w:rFonts w:ascii="Arial" w:hAnsi="Arial" w:cs="Arial"/>
                <w:sz w:val="18"/>
                <w:szCs w:val="18"/>
                <w:lang w:val="de-DE"/>
              </w:rPr>
              <w:t>2019</w:t>
            </w:r>
          </w:p>
        </w:tc>
        <w:tc>
          <w:tcPr>
            <w:tcW w:w="1299" w:type="dxa"/>
            <w:tcBorders>
              <w:top w:val="single" w:sz="4" w:space="0" w:color="BEBEBE"/>
              <w:bottom w:val="single" w:sz="4" w:space="0" w:color="BEBEBE"/>
            </w:tcBorders>
            <w:vAlign w:val="center"/>
          </w:tcPr>
          <w:p w:rsidR="004D4A0E" w:rsidRPr="004D4A0E" w:rsidRDefault="004D4A0E" w:rsidP="004D4A0E">
            <w:pPr>
              <w:pStyle w:val="TableParagraph"/>
              <w:spacing w:before="0"/>
              <w:ind w:left="0"/>
              <w:jc w:val="right"/>
              <w:rPr>
                <w:rFonts w:ascii="Arial" w:hAnsi="Arial" w:cs="Arial"/>
                <w:sz w:val="18"/>
                <w:szCs w:val="18"/>
                <w:lang w:val="de-DE"/>
              </w:rPr>
            </w:pPr>
            <w:r w:rsidRPr="004D4A0E">
              <w:rPr>
                <w:rFonts w:ascii="Arial" w:hAnsi="Arial" w:cs="Arial"/>
                <w:sz w:val="18"/>
                <w:szCs w:val="18"/>
                <w:lang w:val="de-DE"/>
              </w:rPr>
              <w:t>309</w:t>
            </w:r>
          </w:p>
        </w:tc>
        <w:tc>
          <w:tcPr>
            <w:tcW w:w="1302" w:type="dxa"/>
            <w:tcBorders>
              <w:top w:val="single" w:sz="4" w:space="0" w:color="BEBEBE"/>
              <w:bottom w:val="single" w:sz="4" w:space="0" w:color="BEBEBE"/>
            </w:tcBorders>
            <w:vAlign w:val="center"/>
          </w:tcPr>
          <w:p w:rsidR="004D4A0E" w:rsidRPr="004D4A0E" w:rsidRDefault="004D4A0E" w:rsidP="004D4A0E">
            <w:pPr>
              <w:pStyle w:val="TableParagraph"/>
              <w:spacing w:before="0"/>
              <w:ind w:left="0"/>
              <w:jc w:val="right"/>
              <w:rPr>
                <w:rFonts w:ascii="Arial" w:hAnsi="Arial" w:cs="Arial"/>
                <w:sz w:val="18"/>
                <w:szCs w:val="18"/>
                <w:lang w:val="de-DE"/>
              </w:rPr>
            </w:pPr>
            <w:r w:rsidRPr="004D4A0E">
              <w:rPr>
                <w:rFonts w:ascii="Arial" w:hAnsi="Arial" w:cs="Arial"/>
                <w:sz w:val="18"/>
                <w:szCs w:val="18"/>
                <w:lang w:val="de-DE"/>
              </w:rPr>
              <w:t>28</w:t>
            </w:r>
          </w:p>
        </w:tc>
        <w:tc>
          <w:tcPr>
            <w:tcW w:w="1301" w:type="dxa"/>
            <w:tcBorders>
              <w:top w:val="single" w:sz="4" w:space="0" w:color="BEBEBE"/>
              <w:bottom w:val="single" w:sz="4" w:space="0" w:color="BEBEBE"/>
            </w:tcBorders>
            <w:vAlign w:val="center"/>
          </w:tcPr>
          <w:p w:rsidR="004D4A0E" w:rsidRPr="004D4A0E" w:rsidRDefault="004D4A0E" w:rsidP="004D4A0E">
            <w:pPr>
              <w:pStyle w:val="TableParagraph"/>
              <w:spacing w:before="0"/>
              <w:ind w:left="0"/>
              <w:jc w:val="right"/>
              <w:rPr>
                <w:rFonts w:ascii="Arial" w:hAnsi="Arial" w:cs="Arial"/>
                <w:sz w:val="18"/>
                <w:szCs w:val="18"/>
                <w:lang w:val="de-DE"/>
              </w:rPr>
            </w:pPr>
            <w:r w:rsidRPr="004D4A0E">
              <w:rPr>
                <w:rFonts w:ascii="Arial" w:hAnsi="Arial" w:cs="Arial"/>
                <w:sz w:val="18"/>
                <w:szCs w:val="18"/>
                <w:lang w:val="de-DE"/>
              </w:rPr>
              <w:t>244</w:t>
            </w:r>
          </w:p>
        </w:tc>
        <w:tc>
          <w:tcPr>
            <w:tcW w:w="1299" w:type="dxa"/>
            <w:tcBorders>
              <w:top w:val="single" w:sz="4" w:space="0" w:color="BEBEBE"/>
              <w:bottom w:val="single" w:sz="4" w:space="0" w:color="BEBEBE"/>
            </w:tcBorders>
            <w:vAlign w:val="center"/>
          </w:tcPr>
          <w:p w:rsidR="004D4A0E" w:rsidRPr="004D4A0E" w:rsidRDefault="004D4A0E" w:rsidP="004D4A0E">
            <w:pPr>
              <w:pStyle w:val="TableParagraph"/>
              <w:spacing w:before="0"/>
              <w:ind w:left="0"/>
              <w:jc w:val="right"/>
              <w:rPr>
                <w:rFonts w:ascii="Arial" w:hAnsi="Arial" w:cs="Arial"/>
                <w:sz w:val="18"/>
                <w:szCs w:val="18"/>
                <w:lang w:val="de-DE"/>
              </w:rPr>
            </w:pPr>
            <w:r w:rsidRPr="004D4A0E">
              <w:rPr>
                <w:rFonts w:ascii="Arial" w:hAnsi="Arial" w:cs="Arial"/>
                <w:sz w:val="18"/>
                <w:szCs w:val="18"/>
                <w:lang w:val="de-DE"/>
              </w:rPr>
              <w:t>105</w:t>
            </w:r>
          </w:p>
        </w:tc>
        <w:tc>
          <w:tcPr>
            <w:tcW w:w="1301" w:type="dxa"/>
            <w:tcBorders>
              <w:top w:val="single" w:sz="4" w:space="0" w:color="BEBEBE"/>
              <w:bottom w:val="single" w:sz="4" w:space="0" w:color="BEBEBE"/>
            </w:tcBorders>
            <w:vAlign w:val="center"/>
          </w:tcPr>
          <w:p w:rsidR="004D4A0E" w:rsidRPr="004D4A0E" w:rsidRDefault="004D4A0E" w:rsidP="004D4A0E">
            <w:pPr>
              <w:pStyle w:val="TableParagraph"/>
              <w:spacing w:before="0"/>
              <w:ind w:left="0"/>
              <w:jc w:val="right"/>
              <w:rPr>
                <w:rFonts w:ascii="Arial" w:hAnsi="Arial" w:cs="Arial"/>
                <w:sz w:val="18"/>
                <w:szCs w:val="18"/>
                <w:lang w:val="de-DE"/>
              </w:rPr>
            </w:pPr>
            <w:r w:rsidRPr="004D4A0E">
              <w:rPr>
                <w:rFonts w:ascii="Arial" w:hAnsi="Arial" w:cs="Arial"/>
                <w:sz w:val="18"/>
                <w:szCs w:val="18"/>
                <w:lang w:val="de-DE"/>
              </w:rPr>
              <w:t>35</w:t>
            </w:r>
          </w:p>
        </w:tc>
      </w:tr>
      <w:tr w:rsidR="004D4A0E" w:rsidRPr="004D4A0E" w:rsidTr="004D4A0E">
        <w:trPr>
          <w:trHeight w:val="299"/>
        </w:trPr>
        <w:tc>
          <w:tcPr>
            <w:tcW w:w="1181" w:type="dxa"/>
            <w:tcBorders>
              <w:top w:val="single" w:sz="4" w:space="0" w:color="BEBEBE"/>
              <w:bottom w:val="single" w:sz="4" w:space="0" w:color="BEBEBE"/>
            </w:tcBorders>
          </w:tcPr>
          <w:p w:rsidR="004D4A0E" w:rsidRPr="004D4A0E" w:rsidRDefault="004D4A0E" w:rsidP="004D4A0E">
            <w:pPr>
              <w:pStyle w:val="TableParagraph"/>
              <w:spacing w:before="0"/>
              <w:ind w:left="0"/>
              <w:jc w:val="center"/>
              <w:rPr>
                <w:rFonts w:ascii="Arial" w:hAnsi="Arial" w:cs="Arial"/>
                <w:sz w:val="18"/>
                <w:szCs w:val="18"/>
                <w:lang w:val="de-DE"/>
              </w:rPr>
            </w:pPr>
            <w:r w:rsidRPr="004D4A0E">
              <w:rPr>
                <w:rFonts w:ascii="Arial" w:hAnsi="Arial" w:cs="Arial"/>
                <w:sz w:val="18"/>
                <w:szCs w:val="18"/>
                <w:lang w:val="de-DE"/>
              </w:rPr>
              <w:t>2020</w:t>
            </w:r>
          </w:p>
        </w:tc>
        <w:tc>
          <w:tcPr>
            <w:tcW w:w="1299" w:type="dxa"/>
            <w:tcBorders>
              <w:top w:val="single" w:sz="4" w:space="0" w:color="BEBEBE"/>
              <w:bottom w:val="single" w:sz="4" w:space="0" w:color="BEBEBE"/>
            </w:tcBorders>
            <w:vAlign w:val="center"/>
          </w:tcPr>
          <w:p w:rsidR="004D4A0E" w:rsidRPr="004D4A0E" w:rsidRDefault="004D4A0E" w:rsidP="004D4A0E">
            <w:pPr>
              <w:pStyle w:val="TableParagraph"/>
              <w:spacing w:before="0"/>
              <w:ind w:left="0"/>
              <w:jc w:val="right"/>
              <w:rPr>
                <w:rFonts w:ascii="Arial" w:hAnsi="Arial" w:cs="Arial"/>
                <w:sz w:val="18"/>
                <w:szCs w:val="18"/>
                <w:lang w:val="de-DE"/>
              </w:rPr>
            </w:pPr>
            <w:r w:rsidRPr="004D4A0E">
              <w:rPr>
                <w:rFonts w:ascii="Arial" w:hAnsi="Arial" w:cs="Arial"/>
                <w:sz w:val="18"/>
                <w:szCs w:val="18"/>
                <w:lang w:val="de-DE"/>
              </w:rPr>
              <w:t>303</w:t>
            </w:r>
          </w:p>
        </w:tc>
        <w:tc>
          <w:tcPr>
            <w:tcW w:w="1302" w:type="dxa"/>
            <w:tcBorders>
              <w:top w:val="single" w:sz="4" w:space="0" w:color="BEBEBE"/>
              <w:bottom w:val="single" w:sz="4" w:space="0" w:color="BEBEBE"/>
            </w:tcBorders>
            <w:vAlign w:val="center"/>
          </w:tcPr>
          <w:p w:rsidR="004D4A0E" w:rsidRPr="004D4A0E" w:rsidRDefault="004D4A0E" w:rsidP="004D4A0E">
            <w:pPr>
              <w:pStyle w:val="TableParagraph"/>
              <w:spacing w:before="0"/>
              <w:ind w:left="0"/>
              <w:jc w:val="right"/>
              <w:rPr>
                <w:rFonts w:ascii="Arial" w:hAnsi="Arial" w:cs="Arial"/>
                <w:sz w:val="18"/>
                <w:szCs w:val="18"/>
                <w:lang w:val="de-DE"/>
              </w:rPr>
            </w:pPr>
            <w:r w:rsidRPr="004D4A0E">
              <w:rPr>
                <w:rFonts w:ascii="Arial" w:hAnsi="Arial" w:cs="Arial"/>
                <w:sz w:val="18"/>
                <w:szCs w:val="18"/>
                <w:lang w:val="de-DE"/>
              </w:rPr>
              <w:t>21</w:t>
            </w:r>
          </w:p>
        </w:tc>
        <w:tc>
          <w:tcPr>
            <w:tcW w:w="1301" w:type="dxa"/>
            <w:tcBorders>
              <w:top w:val="single" w:sz="4" w:space="0" w:color="BEBEBE"/>
              <w:bottom w:val="single" w:sz="4" w:space="0" w:color="BEBEBE"/>
            </w:tcBorders>
            <w:vAlign w:val="center"/>
          </w:tcPr>
          <w:p w:rsidR="004D4A0E" w:rsidRPr="004D4A0E" w:rsidRDefault="004D4A0E" w:rsidP="004D4A0E">
            <w:pPr>
              <w:pStyle w:val="TableParagraph"/>
              <w:spacing w:before="0"/>
              <w:ind w:left="0"/>
              <w:jc w:val="right"/>
              <w:rPr>
                <w:rFonts w:ascii="Arial" w:hAnsi="Arial" w:cs="Arial"/>
                <w:sz w:val="18"/>
                <w:szCs w:val="18"/>
                <w:lang w:val="de-DE"/>
              </w:rPr>
            </w:pPr>
            <w:r w:rsidRPr="004D4A0E">
              <w:rPr>
                <w:rFonts w:ascii="Arial" w:hAnsi="Arial" w:cs="Arial"/>
                <w:sz w:val="18"/>
                <w:szCs w:val="18"/>
                <w:lang w:val="de-DE"/>
              </w:rPr>
              <w:t>173</w:t>
            </w:r>
          </w:p>
        </w:tc>
        <w:tc>
          <w:tcPr>
            <w:tcW w:w="1299" w:type="dxa"/>
            <w:tcBorders>
              <w:top w:val="single" w:sz="4" w:space="0" w:color="BEBEBE"/>
              <w:bottom w:val="single" w:sz="4" w:space="0" w:color="BEBEBE"/>
            </w:tcBorders>
            <w:vAlign w:val="center"/>
          </w:tcPr>
          <w:p w:rsidR="004D4A0E" w:rsidRPr="004D4A0E" w:rsidRDefault="004D4A0E" w:rsidP="004D4A0E">
            <w:pPr>
              <w:pStyle w:val="TableParagraph"/>
              <w:spacing w:before="0"/>
              <w:ind w:left="0"/>
              <w:jc w:val="right"/>
              <w:rPr>
                <w:rFonts w:ascii="Arial" w:hAnsi="Arial" w:cs="Arial"/>
                <w:sz w:val="18"/>
                <w:szCs w:val="18"/>
                <w:lang w:val="de-DE"/>
              </w:rPr>
            </w:pPr>
            <w:r w:rsidRPr="004D4A0E">
              <w:rPr>
                <w:rFonts w:ascii="Arial" w:hAnsi="Arial" w:cs="Arial"/>
                <w:sz w:val="18"/>
                <w:szCs w:val="18"/>
                <w:lang w:val="de-DE"/>
              </w:rPr>
              <w:t>70</w:t>
            </w:r>
          </w:p>
        </w:tc>
        <w:tc>
          <w:tcPr>
            <w:tcW w:w="1301" w:type="dxa"/>
            <w:tcBorders>
              <w:top w:val="single" w:sz="4" w:space="0" w:color="BEBEBE"/>
              <w:bottom w:val="single" w:sz="4" w:space="0" w:color="BEBEBE"/>
            </w:tcBorders>
            <w:vAlign w:val="center"/>
          </w:tcPr>
          <w:p w:rsidR="004D4A0E" w:rsidRPr="004D4A0E" w:rsidRDefault="004D4A0E" w:rsidP="004D4A0E">
            <w:pPr>
              <w:pStyle w:val="TableParagraph"/>
              <w:spacing w:before="0"/>
              <w:ind w:left="0"/>
              <w:jc w:val="right"/>
              <w:rPr>
                <w:rFonts w:ascii="Arial" w:hAnsi="Arial" w:cs="Arial"/>
                <w:sz w:val="18"/>
                <w:szCs w:val="18"/>
                <w:lang w:val="de-DE"/>
              </w:rPr>
            </w:pPr>
            <w:r w:rsidRPr="004D4A0E">
              <w:rPr>
                <w:rFonts w:ascii="Arial" w:hAnsi="Arial" w:cs="Arial"/>
                <w:sz w:val="18"/>
                <w:szCs w:val="18"/>
                <w:lang w:val="de-DE"/>
              </w:rPr>
              <w:t>33</w:t>
            </w:r>
          </w:p>
        </w:tc>
      </w:tr>
      <w:tr w:rsidR="004D4A0E" w:rsidRPr="004D4A0E" w:rsidTr="004D4A0E">
        <w:trPr>
          <w:trHeight w:val="299"/>
        </w:trPr>
        <w:tc>
          <w:tcPr>
            <w:tcW w:w="1181" w:type="dxa"/>
            <w:tcBorders>
              <w:top w:val="single" w:sz="4" w:space="0" w:color="BEBEBE"/>
              <w:bottom w:val="single" w:sz="4" w:space="0" w:color="BEBEBE"/>
            </w:tcBorders>
          </w:tcPr>
          <w:p w:rsidR="004D4A0E" w:rsidRPr="004D4A0E" w:rsidRDefault="004D4A0E" w:rsidP="004D4A0E">
            <w:pPr>
              <w:pStyle w:val="TableParagraph"/>
              <w:spacing w:before="0"/>
              <w:ind w:left="0"/>
              <w:jc w:val="center"/>
              <w:rPr>
                <w:rFonts w:ascii="Arial" w:hAnsi="Arial" w:cs="Arial"/>
                <w:sz w:val="18"/>
                <w:szCs w:val="18"/>
                <w:lang w:val="de-DE"/>
              </w:rPr>
            </w:pPr>
            <w:r w:rsidRPr="004D4A0E">
              <w:rPr>
                <w:rFonts w:ascii="Arial" w:hAnsi="Arial" w:cs="Arial"/>
                <w:sz w:val="18"/>
                <w:szCs w:val="18"/>
                <w:lang w:val="de-DE"/>
              </w:rPr>
              <w:t>2021</w:t>
            </w:r>
          </w:p>
        </w:tc>
        <w:tc>
          <w:tcPr>
            <w:tcW w:w="1299" w:type="dxa"/>
            <w:tcBorders>
              <w:top w:val="single" w:sz="4" w:space="0" w:color="BEBEBE"/>
              <w:bottom w:val="single" w:sz="4" w:space="0" w:color="BEBEBE"/>
            </w:tcBorders>
            <w:vAlign w:val="center"/>
          </w:tcPr>
          <w:p w:rsidR="004D4A0E" w:rsidRPr="004D4A0E" w:rsidRDefault="004D4A0E" w:rsidP="004D4A0E">
            <w:pPr>
              <w:pStyle w:val="TableParagraph"/>
              <w:spacing w:before="0"/>
              <w:ind w:left="0"/>
              <w:jc w:val="right"/>
              <w:rPr>
                <w:rFonts w:ascii="Arial" w:hAnsi="Arial" w:cs="Arial"/>
                <w:sz w:val="18"/>
                <w:szCs w:val="18"/>
                <w:lang w:val="de-DE"/>
              </w:rPr>
            </w:pPr>
            <w:r w:rsidRPr="004D4A0E">
              <w:rPr>
                <w:rFonts w:ascii="Arial" w:hAnsi="Arial" w:cs="Arial"/>
                <w:sz w:val="18"/>
                <w:szCs w:val="18"/>
                <w:lang w:val="de-DE"/>
              </w:rPr>
              <w:t>307</w:t>
            </w:r>
          </w:p>
        </w:tc>
        <w:tc>
          <w:tcPr>
            <w:tcW w:w="1302" w:type="dxa"/>
            <w:tcBorders>
              <w:top w:val="single" w:sz="4" w:space="0" w:color="BEBEBE"/>
              <w:bottom w:val="single" w:sz="4" w:space="0" w:color="BEBEBE"/>
            </w:tcBorders>
            <w:vAlign w:val="center"/>
          </w:tcPr>
          <w:p w:rsidR="004D4A0E" w:rsidRPr="004D4A0E" w:rsidRDefault="004D4A0E" w:rsidP="004D4A0E">
            <w:pPr>
              <w:pStyle w:val="TableParagraph"/>
              <w:spacing w:before="0"/>
              <w:ind w:left="0"/>
              <w:jc w:val="right"/>
              <w:rPr>
                <w:rFonts w:ascii="Arial" w:hAnsi="Arial" w:cs="Arial"/>
                <w:sz w:val="18"/>
                <w:szCs w:val="18"/>
                <w:lang w:val="de-DE"/>
              </w:rPr>
            </w:pPr>
            <w:r w:rsidRPr="004D4A0E">
              <w:rPr>
                <w:rFonts w:ascii="Arial" w:hAnsi="Arial" w:cs="Arial"/>
                <w:sz w:val="18"/>
                <w:szCs w:val="18"/>
                <w:lang w:val="de-DE"/>
              </w:rPr>
              <w:t>37</w:t>
            </w:r>
          </w:p>
        </w:tc>
        <w:tc>
          <w:tcPr>
            <w:tcW w:w="1301" w:type="dxa"/>
            <w:tcBorders>
              <w:top w:val="single" w:sz="4" w:space="0" w:color="BEBEBE"/>
              <w:bottom w:val="single" w:sz="4" w:space="0" w:color="BEBEBE"/>
            </w:tcBorders>
            <w:vAlign w:val="center"/>
          </w:tcPr>
          <w:p w:rsidR="004D4A0E" w:rsidRPr="004D4A0E" w:rsidRDefault="004D4A0E" w:rsidP="004D4A0E">
            <w:pPr>
              <w:pStyle w:val="TableParagraph"/>
              <w:spacing w:before="0"/>
              <w:ind w:left="0"/>
              <w:jc w:val="right"/>
              <w:rPr>
                <w:rFonts w:ascii="Arial" w:hAnsi="Arial" w:cs="Arial"/>
                <w:sz w:val="18"/>
                <w:szCs w:val="18"/>
                <w:lang w:val="de-DE"/>
              </w:rPr>
            </w:pPr>
            <w:r w:rsidRPr="004D4A0E">
              <w:rPr>
                <w:rFonts w:ascii="Arial" w:hAnsi="Arial" w:cs="Arial"/>
                <w:sz w:val="18"/>
                <w:szCs w:val="18"/>
                <w:lang w:val="de-DE"/>
              </w:rPr>
              <w:t>201</w:t>
            </w:r>
          </w:p>
        </w:tc>
        <w:tc>
          <w:tcPr>
            <w:tcW w:w="1299" w:type="dxa"/>
            <w:tcBorders>
              <w:top w:val="single" w:sz="4" w:space="0" w:color="BEBEBE"/>
              <w:bottom w:val="single" w:sz="4" w:space="0" w:color="BEBEBE"/>
            </w:tcBorders>
            <w:vAlign w:val="center"/>
          </w:tcPr>
          <w:p w:rsidR="004D4A0E" w:rsidRPr="004D4A0E" w:rsidRDefault="004D4A0E" w:rsidP="004D4A0E">
            <w:pPr>
              <w:pStyle w:val="TableParagraph"/>
              <w:spacing w:before="0"/>
              <w:ind w:left="0"/>
              <w:jc w:val="right"/>
              <w:rPr>
                <w:rFonts w:ascii="Arial" w:hAnsi="Arial" w:cs="Arial"/>
                <w:sz w:val="18"/>
                <w:szCs w:val="18"/>
                <w:lang w:val="de-DE"/>
              </w:rPr>
            </w:pPr>
            <w:r w:rsidRPr="004D4A0E">
              <w:rPr>
                <w:rFonts w:ascii="Arial" w:hAnsi="Arial" w:cs="Arial"/>
                <w:sz w:val="18"/>
                <w:szCs w:val="18"/>
                <w:lang w:val="de-DE"/>
              </w:rPr>
              <w:t>80</w:t>
            </w:r>
          </w:p>
        </w:tc>
        <w:tc>
          <w:tcPr>
            <w:tcW w:w="1301" w:type="dxa"/>
            <w:tcBorders>
              <w:top w:val="single" w:sz="4" w:space="0" w:color="BEBEBE"/>
              <w:bottom w:val="single" w:sz="4" w:space="0" w:color="BEBEBE"/>
            </w:tcBorders>
            <w:vAlign w:val="center"/>
          </w:tcPr>
          <w:p w:rsidR="004D4A0E" w:rsidRPr="004D4A0E" w:rsidRDefault="004D4A0E" w:rsidP="004D4A0E">
            <w:pPr>
              <w:pStyle w:val="TableParagraph"/>
              <w:spacing w:before="0"/>
              <w:ind w:left="0"/>
              <w:jc w:val="right"/>
              <w:rPr>
                <w:rFonts w:ascii="Arial" w:hAnsi="Arial" w:cs="Arial"/>
                <w:sz w:val="18"/>
                <w:szCs w:val="18"/>
                <w:lang w:val="de-DE"/>
              </w:rPr>
            </w:pPr>
            <w:r w:rsidRPr="004D4A0E">
              <w:rPr>
                <w:rFonts w:ascii="Arial" w:hAnsi="Arial" w:cs="Arial"/>
                <w:sz w:val="18"/>
                <w:szCs w:val="18"/>
                <w:lang w:val="de-DE"/>
              </w:rPr>
              <w:t>32</w:t>
            </w:r>
          </w:p>
        </w:tc>
      </w:tr>
      <w:tr w:rsidR="004D4A0E" w:rsidRPr="004D4A0E" w:rsidTr="004D4A0E">
        <w:trPr>
          <w:trHeight w:val="301"/>
        </w:trPr>
        <w:tc>
          <w:tcPr>
            <w:tcW w:w="1181" w:type="dxa"/>
            <w:tcBorders>
              <w:top w:val="single" w:sz="4" w:space="0" w:color="BEBEBE"/>
            </w:tcBorders>
          </w:tcPr>
          <w:p w:rsidR="004D4A0E" w:rsidRPr="004D4A0E" w:rsidRDefault="004D4A0E" w:rsidP="004D4A0E">
            <w:pPr>
              <w:pStyle w:val="TableParagraph"/>
              <w:spacing w:before="0"/>
              <w:ind w:left="0"/>
              <w:jc w:val="center"/>
              <w:rPr>
                <w:rFonts w:ascii="Arial" w:hAnsi="Arial" w:cs="Arial"/>
                <w:sz w:val="18"/>
                <w:szCs w:val="18"/>
                <w:lang w:val="de-DE"/>
              </w:rPr>
            </w:pPr>
            <w:r w:rsidRPr="004D4A0E">
              <w:rPr>
                <w:rFonts w:ascii="Arial" w:hAnsi="Arial" w:cs="Arial"/>
                <w:sz w:val="18"/>
                <w:szCs w:val="18"/>
                <w:lang w:val="de-DE"/>
              </w:rPr>
              <w:t>2022</w:t>
            </w:r>
          </w:p>
        </w:tc>
        <w:tc>
          <w:tcPr>
            <w:tcW w:w="1299" w:type="dxa"/>
            <w:tcBorders>
              <w:top w:val="single" w:sz="4" w:space="0" w:color="BEBEBE"/>
            </w:tcBorders>
            <w:vAlign w:val="center"/>
          </w:tcPr>
          <w:p w:rsidR="004D4A0E" w:rsidRPr="004D4A0E" w:rsidRDefault="004D4A0E" w:rsidP="004D4A0E">
            <w:pPr>
              <w:pStyle w:val="TableParagraph"/>
              <w:spacing w:before="0"/>
              <w:ind w:left="0"/>
              <w:jc w:val="right"/>
              <w:rPr>
                <w:rFonts w:ascii="Arial" w:hAnsi="Arial" w:cs="Arial"/>
                <w:sz w:val="18"/>
                <w:szCs w:val="18"/>
                <w:lang w:val="de-DE"/>
              </w:rPr>
            </w:pPr>
            <w:r w:rsidRPr="004D4A0E">
              <w:rPr>
                <w:rFonts w:ascii="Arial" w:hAnsi="Arial" w:cs="Arial"/>
                <w:sz w:val="18"/>
                <w:szCs w:val="18"/>
                <w:lang w:val="de-DE"/>
              </w:rPr>
              <w:t>223</w:t>
            </w:r>
          </w:p>
        </w:tc>
        <w:tc>
          <w:tcPr>
            <w:tcW w:w="1302" w:type="dxa"/>
            <w:tcBorders>
              <w:top w:val="single" w:sz="4" w:space="0" w:color="BEBEBE"/>
            </w:tcBorders>
            <w:vAlign w:val="center"/>
          </w:tcPr>
          <w:p w:rsidR="004D4A0E" w:rsidRPr="004D4A0E" w:rsidRDefault="004D4A0E" w:rsidP="004D4A0E">
            <w:pPr>
              <w:pStyle w:val="TableParagraph"/>
              <w:spacing w:before="0"/>
              <w:ind w:left="0"/>
              <w:jc w:val="right"/>
              <w:rPr>
                <w:rFonts w:ascii="Arial" w:hAnsi="Arial" w:cs="Arial"/>
                <w:sz w:val="18"/>
                <w:szCs w:val="18"/>
                <w:lang w:val="de-DE"/>
              </w:rPr>
            </w:pPr>
            <w:r w:rsidRPr="004D4A0E">
              <w:rPr>
                <w:rFonts w:ascii="Arial" w:hAnsi="Arial" w:cs="Arial"/>
                <w:sz w:val="18"/>
                <w:szCs w:val="18"/>
                <w:lang w:val="de-DE"/>
              </w:rPr>
              <w:t>41</w:t>
            </w:r>
          </w:p>
        </w:tc>
        <w:tc>
          <w:tcPr>
            <w:tcW w:w="1301" w:type="dxa"/>
            <w:tcBorders>
              <w:top w:val="single" w:sz="4" w:space="0" w:color="BEBEBE"/>
            </w:tcBorders>
            <w:vAlign w:val="center"/>
          </w:tcPr>
          <w:p w:rsidR="004D4A0E" w:rsidRPr="004D4A0E" w:rsidRDefault="004D4A0E" w:rsidP="004D4A0E">
            <w:pPr>
              <w:pStyle w:val="TableParagraph"/>
              <w:spacing w:before="0"/>
              <w:ind w:left="0"/>
              <w:jc w:val="right"/>
              <w:rPr>
                <w:rFonts w:ascii="Arial" w:hAnsi="Arial" w:cs="Arial"/>
                <w:sz w:val="18"/>
                <w:szCs w:val="18"/>
                <w:lang w:val="de-DE"/>
              </w:rPr>
            </w:pPr>
            <w:r w:rsidRPr="004D4A0E">
              <w:rPr>
                <w:rFonts w:ascii="Arial" w:hAnsi="Arial" w:cs="Arial"/>
                <w:sz w:val="18"/>
                <w:szCs w:val="18"/>
                <w:lang w:val="de-DE"/>
              </w:rPr>
              <w:t>178</w:t>
            </w:r>
          </w:p>
        </w:tc>
        <w:tc>
          <w:tcPr>
            <w:tcW w:w="1299" w:type="dxa"/>
            <w:tcBorders>
              <w:top w:val="single" w:sz="4" w:space="0" w:color="BEBEBE"/>
            </w:tcBorders>
            <w:vAlign w:val="center"/>
          </w:tcPr>
          <w:p w:rsidR="004D4A0E" w:rsidRPr="004D4A0E" w:rsidRDefault="004D4A0E" w:rsidP="004D4A0E">
            <w:pPr>
              <w:pStyle w:val="TableParagraph"/>
              <w:spacing w:before="0"/>
              <w:ind w:left="0"/>
              <w:jc w:val="right"/>
              <w:rPr>
                <w:rFonts w:ascii="Arial" w:hAnsi="Arial" w:cs="Arial"/>
                <w:sz w:val="18"/>
                <w:szCs w:val="18"/>
                <w:lang w:val="de-DE"/>
              </w:rPr>
            </w:pPr>
            <w:r w:rsidRPr="004D4A0E">
              <w:rPr>
                <w:rFonts w:ascii="Arial" w:hAnsi="Arial" w:cs="Arial"/>
                <w:sz w:val="18"/>
                <w:szCs w:val="18"/>
                <w:lang w:val="de-DE"/>
              </w:rPr>
              <w:t>80</w:t>
            </w:r>
          </w:p>
        </w:tc>
        <w:tc>
          <w:tcPr>
            <w:tcW w:w="1301" w:type="dxa"/>
            <w:tcBorders>
              <w:top w:val="single" w:sz="4" w:space="0" w:color="BEBEBE"/>
            </w:tcBorders>
            <w:vAlign w:val="center"/>
          </w:tcPr>
          <w:p w:rsidR="004D4A0E" w:rsidRPr="004D4A0E" w:rsidRDefault="004D4A0E" w:rsidP="004D4A0E">
            <w:pPr>
              <w:pStyle w:val="TableParagraph"/>
              <w:spacing w:before="0"/>
              <w:ind w:left="0"/>
              <w:jc w:val="right"/>
              <w:rPr>
                <w:rFonts w:ascii="Arial" w:hAnsi="Arial" w:cs="Arial"/>
                <w:sz w:val="18"/>
                <w:szCs w:val="18"/>
                <w:lang w:val="de-DE"/>
              </w:rPr>
            </w:pPr>
            <w:r w:rsidRPr="004D4A0E">
              <w:rPr>
                <w:rFonts w:ascii="Arial" w:hAnsi="Arial" w:cs="Arial"/>
                <w:sz w:val="18"/>
                <w:szCs w:val="18"/>
                <w:lang w:val="de-DE"/>
              </w:rPr>
              <w:t>24</w:t>
            </w:r>
          </w:p>
        </w:tc>
      </w:tr>
    </w:tbl>
    <w:p w:rsidR="00DD3048" w:rsidRDefault="00DD3048" w:rsidP="00DD3048">
      <w:pPr>
        <w:pStyle w:val="LTAntwortRessortText"/>
      </w:pPr>
    </w:p>
    <w:p w:rsidR="00DD3048" w:rsidRDefault="00DD3048" w:rsidP="00DD3048">
      <w:pPr>
        <w:pStyle w:val="LTAntwortRessortText"/>
      </w:pPr>
      <w:r>
        <w:t>Das Staatsministerium für Unterricht und Kultus (StMUK) unternimmt</w:t>
      </w:r>
      <w:r w:rsidR="004D4A0E">
        <w:t xml:space="preserve"> </w:t>
      </w:r>
      <w:r>
        <w:t>große Anstrengungen, um allen Schülerinnen und Schülern einen begabungsgerechten</w:t>
      </w:r>
      <w:r w:rsidR="004D4A0E">
        <w:t xml:space="preserve"> </w:t>
      </w:r>
      <w:r>
        <w:t>Abschluss zu ermöglichen und den Anteil der Schülerinnen und Schüler ohne Abschluss</w:t>
      </w:r>
      <w:r w:rsidR="004D4A0E">
        <w:t xml:space="preserve"> </w:t>
      </w:r>
      <w:r>
        <w:t>so gering wie möglich zu halten. Gleichzeitig sind an die Vergabe des erfolgreichen</w:t>
      </w:r>
      <w:r w:rsidR="004D4A0E">
        <w:t xml:space="preserve"> </w:t>
      </w:r>
      <w:r>
        <w:t>Abschlusses auch zukünftig Leistungsansprüche geknüpft. So wird gerade</w:t>
      </w:r>
      <w:r w:rsidR="004D4A0E">
        <w:t xml:space="preserve"> </w:t>
      </w:r>
      <w:r>
        <w:t>deshalb der erfolgreiche Abschluss der Mittelschule von der bayerischen Wirtschaft</w:t>
      </w:r>
      <w:r w:rsidR="004D4A0E">
        <w:t xml:space="preserve"> </w:t>
      </w:r>
      <w:r>
        <w:t>geschätzt.</w:t>
      </w:r>
    </w:p>
    <w:p w:rsidR="00DD3048" w:rsidRDefault="004D4A0E" w:rsidP="00DD3048">
      <w:pPr>
        <w:pStyle w:val="LTAntwortRessortText"/>
      </w:pPr>
      <w:r>
        <w:br w:type="column"/>
      </w:r>
      <w:r w:rsidR="00DD3048">
        <w:lastRenderedPageBreak/>
        <w:t>Das StMUK behält dabei regionale Schwankungen im Blick und begegnet ihnen mit</w:t>
      </w:r>
      <w:r>
        <w:t xml:space="preserve"> </w:t>
      </w:r>
      <w:r w:rsidR="00DD3048">
        <w:t>einer Vielzahl an Maßnahmen, um Schülerinnen und Schüler bei der Erlangung eines</w:t>
      </w:r>
      <w:r>
        <w:t xml:space="preserve"> </w:t>
      </w:r>
      <w:r w:rsidR="00DD3048">
        <w:t>Abschlusses zu unterstützen. Diese Maßnahmen stehen in den genannten Regionen</w:t>
      </w:r>
      <w:r>
        <w:t xml:space="preserve"> </w:t>
      </w:r>
      <w:r w:rsidR="00DD3048">
        <w:t>zur Verfügung und werden bei Bedarf umgesetzt:</w:t>
      </w:r>
    </w:p>
    <w:p w:rsidR="00DD3048" w:rsidRDefault="00E914D5" w:rsidP="00E914D5">
      <w:pPr>
        <w:pStyle w:val="LTAntwortRessortText"/>
        <w:spacing w:before="120"/>
        <w:ind w:left="680" w:hanging="340"/>
      </w:pPr>
      <w:r>
        <w:t>–</w:t>
      </w:r>
      <w:r>
        <w:tab/>
      </w:r>
      <w:r w:rsidR="00DD3048">
        <w:t>Spielräume im Rahmen der Budgetierung der Schulen können zur Einrichtung</w:t>
      </w:r>
      <w:r w:rsidR="004D4A0E">
        <w:t xml:space="preserve"> </w:t>
      </w:r>
      <w:r w:rsidR="00DD3048">
        <w:t>von zusätzlichem Förderunterricht verwendet werden.</w:t>
      </w:r>
    </w:p>
    <w:p w:rsidR="00DD3048" w:rsidRDefault="00E914D5" w:rsidP="00E914D5">
      <w:pPr>
        <w:pStyle w:val="LTAntwortRessortText"/>
        <w:spacing w:before="120"/>
        <w:ind w:left="680" w:hanging="340"/>
      </w:pPr>
      <w:r>
        <w:t>–</w:t>
      </w:r>
      <w:r>
        <w:tab/>
      </w:r>
      <w:r w:rsidR="00DD3048">
        <w:t>In den Jahrgangsstufen 5 und 6 der Mittelschule sieht die Stundentafel der</w:t>
      </w:r>
      <w:r w:rsidR="004D4A0E">
        <w:t xml:space="preserve"> </w:t>
      </w:r>
      <w:r w:rsidR="00DD3048">
        <w:t>Mittelschule eine zusätzliche Stunde verpflichtenden Förderunterricht vor.</w:t>
      </w:r>
    </w:p>
    <w:p w:rsidR="00DD3048" w:rsidRDefault="00E914D5" w:rsidP="00E914D5">
      <w:pPr>
        <w:pStyle w:val="LTAntwortRessortText"/>
        <w:spacing w:before="120"/>
        <w:ind w:left="680" w:hanging="340"/>
      </w:pPr>
      <w:r>
        <w:t>–</w:t>
      </w:r>
      <w:r>
        <w:tab/>
      </w:r>
      <w:r w:rsidR="00DD3048">
        <w:t>Förderangebote für Schülerinnen und Schüler mit Migrationshintergrund bzw.</w:t>
      </w:r>
      <w:r w:rsidR="004D4A0E">
        <w:t xml:space="preserve"> </w:t>
      </w:r>
      <w:r w:rsidR="00DD3048">
        <w:t>sonde</w:t>
      </w:r>
      <w:r>
        <w:t>rpädagogischem Förderbedarf (z. </w:t>
      </w:r>
      <w:r w:rsidR="00DD3048">
        <w:t>B. Deutschklassen, DeutschPLUSAngebote</w:t>
      </w:r>
      <w:r w:rsidR="004D4A0E">
        <w:t xml:space="preserve"> </w:t>
      </w:r>
      <w:r w:rsidR="00DD3048">
        <w:t>Inklusion, lntegrationszuschlag), für die seit Jahren zusätzliche Ressourcen</w:t>
      </w:r>
      <w:r w:rsidR="004D4A0E">
        <w:t xml:space="preserve"> </w:t>
      </w:r>
      <w:r w:rsidR="00DD3048">
        <w:t>bereitgestellt werden.</w:t>
      </w:r>
    </w:p>
    <w:p w:rsidR="00DD3048" w:rsidRDefault="00E914D5" w:rsidP="00E914D5">
      <w:pPr>
        <w:pStyle w:val="LTAntwortRessortText"/>
        <w:spacing w:before="120"/>
        <w:ind w:left="680" w:hanging="340"/>
      </w:pPr>
      <w:r>
        <w:t>–</w:t>
      </w:r>
      <w:r>
        <w:tab/>
      </w:r>
      <w:r w:rsidR="00DD3048">
        <w:t>Deutschklassen und Praxisklassen bieten die Möglichkeit eines theorieentlasteten,</w:t>
      </w:r>
      <w:r w:rsidR="004D4A0E">
        <w:t xml:space="preserve"> </w:t>
      </w:r>
      <w:r w:rsidR="00DD3048">
        <w:t>erfolgreichen Schulabschlusses der Mittelschule, der sich insbesondere</w:t>
      </w:r>
      <w:r w:rsidR="004D4A0E">
        <w:t xml:space="preserve"> </w:t>
      </w:r>
      <w:r w:rsidR="00DD3048">
        <w:t>an Schülerinnen und Schüler richtet, die im Rahmen des Regelunterrichts</w:t>
      </w:r>
      <w:r w:rsidR="004D4A0E">
        <w:t xml:space="preserve"> </w:t>
      </w:r>
      <w:r w:rsidR="00DD3048">
        <w:t>große Probleme haben, dem Unterricht zu folgen.</w:t>
      </w:r>
    </w:p>
    <w:p w:rsidR="00DD3048" w:rsidRDefault="00E914D5" w:rsidP="00E914D5">
      <w:pPr>
        <w:pStyle w:val="LTAntwortRessortText"/>
        <w:spacing w:before="120"/>
        <w:ind w:left="680" w:hanging="340"/>
      </w:pPr>
      <w:r>
        <w:t>–</w:t>
      </w:r>
      <w:r>
        <w:tab/>
      </w:r>
      <w:r w:rsidR="00DD3048">
        <w:t>Die Berufseinstiegsbegleitung (BerEb) wird auch im Schuljahr 2023/2024 um</w:t>
      </w:r>
      <w:r w:rsidR="004D4A0E">
        <w:t xml:space="preserve"> </w:t>
      </w:r>
      <w:r w:rsidR="00DD3048">
        <w:t>eine weitere Einstiegskohorte fortgesetzt.</w:t>
      </w:r>
    </w:p>
    <w:p w:rsidR="00DD3048" w:rsidRDefault="00E914D5" w:rsidP="00E914D5">
      <w:pPr>
        <w:pStyle w:val="LTAntwortRessortText"/>
        <w:spacing w:before="120"/>
        <w:ind w:left="680" w:hanging="340"/>
      </w:pPr>
      <w:r>
        <w:t>–</w:t>
      </w:r>
      <w:r>
        <w:tab/>
        <w:t>Das Programm „</w:t>
      </w:r>
      <w:r w:rsidR="00DD3048">
        <w:t>gemeinsam.Brücken.bauen</w:t>
      </w:r>
      <w:r>
        <w:t>“</w:t>
      </w:r>
      <w:r w:rsidR="00DD3048">
        <w:t xml:space="preserve"> mit den gleichberechtigten Säulen</w:t>
      </w:r>
      <w:r w:rsidR="004D4A0E">
        <w:t xml:space="preserve"> </w:t>
      </w:r>
      <w:r>
        <w:t>„</w:t>
      </w:r>
      <w:r w:rsidR="00DD3048">
        <w:t>Potentiale erschließen</w:t>
      </w:r>
      <w:r>
        <w:t>“</w:t>
      </w:r>
      <w:r w:rsidR="00DD3048">
        <w:t xml:space="preserve"> (Lernförde</w:t>
      </w:r>
      <w:r>
        <w:t>rung) und „</w:t>
      </w:r>
      <w:r w:rsidR="00DD3048">
        <w:t>Gemeinschaft erleben</w:t>
      </w:r>
      <w:r>
        <w:t>“</w:t>
      </w:r>
      <w:r w:rsidR="00DD3048">
        <w:t xml:space="preserve"> (Sozialkompetenzförderung)</w:t>
      </w:r>
      <w:r w:rsidR="004D4A0E">
        <w:t xml:space="preserve"> </w:t>
      </w:r>
      <w:r w:rsidR="00DD3048">
        <w:t>wird auch im Schuljahr 2023/2024 fortgesetzt.</w:t>
      </w:r>
    </w:p>
    <w:p w:rsidR="00DD3048" w:rsidRDefault="00E914D5" w:rsidP="00E914D5">
      <w:pPr>
        <w:pStyle w:val="LTAntwortRessortText"/>
        <w:spacing w:before="120"/>
        <w:ind w:left="680" w:hanging="340"/>
      </w:pPr>
      <w:r>
        <w:t>–</w:t>
      </w:r>
      <w:r>
        <w:tab/>
      </w:r>
      <w:r w:rsidR="00DD3048">
        <w:t>Jugendsozialarbeit an Schulen (JaS)</w:t>
      </w:r>
    </w:p>
    <w:p w:rsidR="00DD3048" w:rsidRDefault="00E914D5" w:rsidP="00E914D5">
      <w:pPr>
        <w:pStyle w:val="LTAntwortRessortText"/>
        <w:spacing w:before="120"/>
        <w:ind w:left="680" w:hanging="340"/>
      </w:pPr>
      <w:r>
        <w:t>–</w:t>
      </w:r>
      <w:r>
        <w:tab/>
      </w:r>
      <w:r>
        <w:tab/>
      </w:r>
      <w:r w:rsidR="00DD3048">
        <w:t xml:space="preserve">Berufsorientierungsmaßnahmen nach § 48 </w:t>
      </w:r>
      <w:r>
        <w:t>Sozialgesetzbuch (</w:t>
      </w:r>
      <w:r w:rsidR="00DD3048">
        <w:t>SGB</w:t>
      </w:r>
      <w:r>
        <w:t>) Drittes Buch</w:t>
      </w:r>
      <w:r w:rsidR="00DD3048">
        <w:t xml:space="preserve"> </w:t>
      </w:r>
      <w:r>
        <w:t>(</w:t>
      </w:r>
      <w:r w:rsidR="00DD3048">
        <w:t>III</w:t>
      </w:r>
      <w:r>
        <w:t>)</w:t>
      </w:r>
      <w:r w:rsidR="00DD3048">
        <w:t>, insbesondere das Modul</w:t>
      </w:r>
      <w:r w:rsidR="004D4A0E">
        <w:t xml:space="preserve"> </w:t>
      </w:r>
      <w:r>
        <w:t>„</w:t>
      </w:r>
      <w:r w:rsidR="00DD3048">
        <w:t>Talente fördern</w:t>
      </w:r>
      <w:r>
        <w:t>“</w:t>
      </w:r>
      <w:r w:rsidR="00DD3048">
        <w:t xml:space="preserve"> ab Jahrgangsstu</w:t>
      </w:r>
      <w:r>
        <w:t>fe 7: Das Modul zielt dabei u. </w:t>
      </w:r>
      <w:r w:rsidR="00DD3048">
        <w:t>a. auf eine reflektierte</w:t>
      </w:r>
      <w:r w:rsidR="004D4A0E">
        <w:t xml:space="preserve"> </w:t>
      </w:r>
      <w:r w:rsidR="00DD3048">
        <w:t>Anbahnung eigener Berufswahlentscheidungen und die Behebung</w:t>
      </w:r>
      <w:r w:rsidR="004D4A0E">
        <w:t xml:space="preserve"> </w:t>
      </w:r>
      <w:r w:rsidR="00DD3048">
        <w:t>von Problemen ab, die beispielsweise aus einem Migrations- bzw. Fluchthintergrund</w:t>
      </w:r>
      <w:r w:rsidR="004D4A0E">
        <w:t xml:space="preserve"> </w:t>
      </w:r>
      <w:r w:rsidR="00DD3048">
        <w:t>resultieren.</w:t>
      </w:r>
    </w:p>
    <w:p w:rsidR="00DD3048" w:rsidRDefault="00E914D5" w:rsidP="00E914D5">
      <w:pPr>
        <w:pStyle w:val="LTAntwortRessortText"/>
        <w:spacing w:before="120"/>
        <w:ind w:left="680" w:hanging="340"/>
      </w:pPr>
      <w:r>
        <w:t>–</w:t>
      </w:r>
      <w:r>
        <w:tab/>
      </w:r>
      <w:r>
        <w:tab/>
      </w:r>
      <w:r w:rsidR="00DD3048">
        <w:t>Ein Übergabeverfahren systematisiert und vereinfacht die Begleitung von Absolventinnen</w:t>
      </w:r>
      <w:r w:rsidR="004D4A0E">
        <w:t xml:space="preserve"> </w:t>
      </w:r>
      <w:r w:rsidR="00DD3048">
        <w:t>und Absolventen der Mittelschulen an die Berufsschulen. Wenn</w:t>
      </w:r>
      <w:r w:rsidR="004D4A0E">
        <w:t xml:space="preserve"> </w:t>
      </w:r>
      <w:r w:rsidR="00DD3048">
        <w:t>berufsschulpflichtige Jugendliche ohne Ausbildungsplatz frühzeitig an der Berufsschule</w:t>
      </w:r>
      <w:r w:rsidR="004D4A0E">
        <w:t xml:space="preserve"> </w:t>
      </w:r>
      <w:r w:rsidR="00DD3048">
        <w:t>bekannt sind, kann rechtzeitig der Versuch unternommen werden,</w:t>
      </w:r>
      <w:r w:rsidR="004D4A0E">
        <w:t xml:space="preserve"> </w:t>
      </w:r>
      <w:r w:rsidR="00DD3048">
        <w:t>die Jugendlichen noch in eine Ausbildung oder eine passgenaue Vollzeitmaßnahme</w:t>
      </w:r>
      <w:r w:rsidR="004D4A0E">
        <w:t xml:space="preserve"> </w:t>
      </w:r>
      <w:r w:rsidR="00DD3048">
        <w:t>zu vermitteln.</w:t>
      </w:r>
    </w:p>
    <w:p w:rsidR="00DD3048" w:rsidRDefault="00E914D5" w:rsidP="00E914D5">
      <w:pPr>
        <w:pStyle w:val="LTAntwortRessortText"/>
        <w:spacing w:before="120"/>
        <w:ind w:left="680" w:hanging="340"/>
      </w:pPr>
      <w:r>
        <w:t>–</w:t>
      </w:r>
      <w:r>
        <w:tab/>
      </w:r>
      <w:r>
        <w:tab/>
      </w:r>
      <w:r w:rsidR="00DD3048">
        <w:t>Es wurden unterschiedliche Klassenformen an den Berufsschulen (kooperative</w:t>
      </w:r>
      <w:r w:rsidR="004D4A0E">
        <w:t xml:space="preserve"> </w:t>
      </w:r>
      <w:r w:rsidR="00DD3048">
        <w:t>oder vollschulische Klassen des Berufsvorbereitungsjahr</w:t>
      </w:r>
      <w:r>
        <w:t>es</w:t>
      </w:r>
      <w:r w:rsidR="00DD3048">
        <w:t xml:space="preserve"> </w:t>
      </w:r>
      <w:r>
        <w:t xml:space="preserve">– </w:t>
      </w:r>
      <w:r w:rsidR="00DD3048">
        <w:t>BVJ</w:t>
      </w:r>
      <w:r>
        <w:t>,</w:t>
      </w:r>
      <w:r w:rsidR="00DD3048">
        <w:t xml:space="preserve"> BVJ</w:t>
      </w:r>
      <w:r w:rsidR="004D4A0E">
        <w:t xml:space="preserve"> </w:t>
      </w:r>
      <w:r>
        <w:t>„</w:t>
      </w:r>
      <w:r w:rsidR="00DD3048">
        <w:t>Neustart</w:t>
      </w:r>
      <w:r>
        <w:t>“</w:t>
      </w:r>
      <w:r w:rsidR="00DD3048">
        <w:t>) entwickelt, die an die wechselnden konkreten Bedürfnisse der</w:t>
      </w:r>
      <w:r w:rsidR="004D4A0E">
        <w:t xml:space="preserve"> </w:t>
      </w:r>
      <w:r w:rsidR="00DD3048">
        <w:t>Schülerinnen u</w:t>
      </w:r>
      <w:r>
        <w:t>nd Schüler angepasst werden (u. </w:t>
      </w:r>
      <w:r w:rsidR="00DD3048">
        <w:t>a. modularisierter, kompetenzorientierter</w:t>
      </w:r>
      <w:r w:rsidR="004D4A0E">
        <w:t xml:space="preserve"> </w:t>
      </w:r>
      <w:r w:rsidR="00DD3048">
        <w:t>Lehrplan). Seit dem Schuljahr 2020/2021 bildet ein Vollzeitangebot</w:t>
      </w:r>
      <w:r w:rsidR="004D4A0E">
        <w:t xml:space="preserve"> </w:t>
      </w:r>
      <w:r w:rsidR="00DD3048">
        <w:t>in Form eines Berufsvorbereitungsjahres das Regelangebot für Berufsschulpflichtige</w:t>
      </w:r>
      <w:r w:rsidR="004D4A0E">
        <w:t xml:space="preserve"> </w:t>
      </w:r>
      <w:r w:rsidR="00DD3048">
        <w:t>ohne Ausbildungsverhältnis an den staatlichen allgemeinen Berufsschulen.</w:t>
      </w:r>
      <w:r w:rsidR="004D4A0E">
        <w:t xml:space="preserve"> </w:t>
      </w:r>
      <w:r w:rsidR="00DD3048">
        <w:t>In den Klassen zur Berufsvorbereitung kann zudem ein allgemeinbildender</w:t>
      </w:r>
      <w:r w:rsidR="004D4A0E">
        <w:t xml:space="preserve"> </w:t>
      </w:r>
      <w:r w:rsidR="00DD3048">
        <w:t>Abschluss nachgeholt werden.</w:t>
      </w:r>
    </w:p>
    <w:p w:rsidR="00DD3048" w:rsidRDefault="00E914D5" w:rsidP="00E914D5">
      <w:pPr>
        <w:pStyle w:val="LTAntwortRessortText"/>
        <w:spacing w:before="120"/>
        <w:ind w:left="680" w:hanging="340"/>
      </w:pPr>
      <w:r>
        <w:t>–</w:t>
      </w:r>
      <w:r>
        <w:tab/>
      </w:r>
      <w:r>
        <w:tab/>
      </w:r>
      <w:r w:rsidR="00DD3048">
        <w:t>Jungen Menschen mit Flucht- bzw. Migrationshintergrund steht das Vollzeit-Modell der Berufsintegration offen, in dem sie neben den Kenntnissen in der</w:t>
      </w:r>
      <w:r w:rsidR="004D4A0E">
        <w:t xml:space="preserve"> </w:t>
      </w:r>
      <w:r w:rsidR="00DD3048">
        <w:t>deutschen Sprache auch grundlegende Kompetenzen erwerben, die für eine</w:t>
      </w:r>
      <w:r w:rsidR="004D4A0E">
        <w:t xml:space="preserve"> </w:t>
      </w:r>
      <w:r w:rsidR="00DD3048">
        <w:t>anschließende erfolgreiche (Berufs-)Ausbildung erforderlich sind. Eine möglichst</w:t>
      </w:r>
      <w:r w:rsidR="004D4A0E">
        <w:t xml:space="preserve"> </w:t>
      </w:r>
      <w:r w:rsidR="00DD3048">
        <w:t>schnelle Integration der Schülerinnen und Schüler in eine Ausbildung</w:t>
      </w:r>
      <w:r w:rsidR="004D4A0E">
        <w:t xml:space="preserve"> </w:t>
      </w:r>
      <w:r w:rsidR="00DD3048">
        <w:t>wird durch nachgeschaltete Fördermaßnahmen in den Fachklassen unterstützt:</w:t>
      </w:r>
      <w:r>
        <w:t xml:space="preserve"> </w:t>
      </w:r>
      <w:r w:rsidR="00DD3048">
        <w:t>Be</w:t>
      </w:r>
      <w:r w:rsidR="00DD3048">
        <w:lastRenderedPageBreak/>
        <w:t>rufssprache Deutsch, Berufssprachliche Förderung, Kombimodell</w:t>
      </w:r>
      <w:r>
        <w:t xml:space="preserve"> </w:t>
      </w:r>
      <w:r w:rsidR="00DD3048">
        <w:t>1+X zur Streckung des 1. Ausbildungsjahres auf zwei Jahre und zusätzliche</w:t>
      </w:r>
      <w:r>
        <w:t xml:space="preserve"> </w:t>
      </w:r>
      <w:r w:rsidR="00DD3048">
        <w:t>Sprachförderung.</w:t>
      </w:r>
    </w:p>
    <w:p w:rsidR="00DD3048" w:rsidRDefault="00E914D5" w:rsidP="00E914D5">
      <w:pPr>
        <w:pStyle w:val="LTAntwortRessortText"/>
        <w:spacing w:before="120"/>
        <w:ind w:left="680" w:hanging="340"/>
      </w:pPr>
      <w:r>
        <w:t>–</w:t>
      </w:r>
      <w:r>
        <w:tab/>
      </w:r>
      <w:r>
        <w:tab/>
      </w:r>
      <w:r w:rsidR="00DD3048">
        <w:t>Berufsvorbereitungsjahr und berufsvorbereitende Maßnahmen der Bundesagentur</w:t>
      </w:r>
      <w:r>
        <w:t xml:space="preserve"> </w:t>
      </w:r>
      <w:r w:rsidR="00DD3048">
        <w:t>für Arbeit für berufsschulpflichtige Schülerinnen und Schüler mit sonderpädagogischem</w:t>
      </w:r>
      <w:r>
        <w:t xml:space="preserve"> </w:t>
      </w:r>
      <w:r w:rsidR="00DD3048">
        <w:t>Förderbedarf an den Berufsschulen zur sonderpädagogischen</w:t>
      </w:r>
      <w:r>
        <w:t xml:space="preserve"> </w:t>
      </w:r>
      <w:r w:rsidR="00DD3048">
        <w:t>Förderung</w:t>
      </w:r>
    </w:p>
    <w:p w:rsidR="00DD3048" w:rsidRDefault="00E914D5" w:rsidP="00E914D5">
      <w:pPr>
        <w:pStyle w:val="LTAntwortRessortText"/>
        <w:spacing w:before="120"/>
        <w:ind w:left="680" w:hanging="340"/>
      </w:pPr>
      <w:r>
        <w:t>–</w:t>
      </w:r>
      <w:r>
        <w:tab/>
      </w:r>
      <w:r>
        <w:tab/>
      </w:r>
      <w:r w:rsidR="00DD3048">
        <w:t>Für Schulabgängerinnen und Schulabgänger ohne Abschluss besteht die</w:t>
      </w:r>
      <w:r>
        <w:t xml:space="preserve"> </w:t>
      </w:r>
      <w:r w:rsidR="00DD3048">
        <w:t>Möglichkeit, den Schulabschluss auch zu einem späteren Zeitpunkt zu erreichen.</w:t>
      </w:r>
      <w:r>
        <w:t xml:space="preserve"> </w:t>
      </w:r>
      <w:r w:rsidR="00DD3048">
        <w:t>Die Mittelschulordnung sieht vor, dass sämtliche Abschlüsse der Mittelschule</w:t>
      </w:r>
      <w:r>
        <w:t xml:space="preserve"> </w:t>
      </w:r>
      <w:r w:rsidR="00DD3048">
        <w:t>(erfolgreicher Abschluss der Mittelschule, qualifizierender Abschluss,</w:t>
      </w:r>
      <w:r>
        <w:t xml:space="preserve"> </w:t>
      </w:r>
      <w:r w:rsidR="00DD3048">
        <w:t>mittlerer Schulabschluss an der Mittelschu</w:t>
      </w:r>
      <w:r>
        <w:t xml:space="preserve">le) auch nachträglich als sog. </w:t>
      </w:r>
      <w:r w:rsidR="00DD3048">
        <w:t>andere</w:t>
      </w:r>
      <w:r>
        <w:t xml:space="preserve"> </w:t>
      </w:r>
      <w:r w:rsidR="00DD3048">
        <w:t>Bewerber erworben werden können. Auch im Rahmen der beruflichen</w:t>
      </w:r>
      <w:r>
        <w:t xml:space="preserve"> </w:t>
      </w:r>
      <w:r w:rsidR="00DD3048">
        <w:t>Ausbildung können noch der erfolgreiche Abschluss der Mittelschule und der</w:t>
      </w:r>
      <w:r>
        <w:t xml:space="preserve"> </w:t>
      </w:r>
      <w:r w:rsidR="00DD3048">
        <w:t>mittlere Schulabschluss erworben werden.</w:t>
      </w:r>
    </w:p>
    <w:p w:rsidR="00DD3048" w:rsidRDefault="00DD3048">
      <w:bookmarkStart w:id="62" w:name="Frage_Nr_30_Ende"/>
      <w:bookmarkEnd w:id="6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DD3048" w:rsidTr="007B0B33">
        <w:tc>
          <w:tcPr>
            <w:tcW w:w="2050" w:type="dxa"/>
          </w:tcPr>
          <w:p w:rsidR="00DD3048" w:rsidRDefault="00DD3048" w:rsidP="00DD3048">
            <w:pPr>
              <w:pStyle w:val="LTAnfrageInitiator"/>
            </w:pPr>
            <w:r>
              <w:lastRenderedPageBreak/>
              <w:t>Abgeordnete</w:t>
            </w:r>
            <w:r>
              <w:rPr>
                <w:b/>
              </w:rPr>
              <w:br/>
              <w:t>Dr. Sabine</w:t>
            </w:r>
            <w:r>
              <w:rPr>
                <w:b/>
              </w:rPr>
              <w:br/>
              <w:t>Weigand</w:t>
            </w:r>
            <w:r>
              <w:rPr>
                <w:b/>
              </w:rPr>
              <w:br/>
            </w:r>
            <w:r>
              <w:t>(BÜNDNIS 90/DIE GRÜNEN)</w:t>
            </w:r>
            <w:bookmarkStart w:id="63" w:name="Frage_Nr_31"/>
            <w:bookmarkEnd w:id="63"/>
          </w:p>
        </w:tc>
        <w:tc>
          <w:tcPr>
            <w:tcW w:w="7200" w:type="dxa"/>
          </w:tcPr>
          <w:p w:rsidR="00DD3048" w:rsidRDefault="00EC2E2D" w:rsidP="00DD3048">
            <w:pPr>
              <w:pStyle w:val="LTAnfrageText"/>
            </w:pPr>
            <w:r w:rsidRPr="00EC2E2D">
              <w:t>Ich frage die Staatsregierung, welche Fördermöglichkeiten erhalten Kommunen bei baulichen Erweiterungen bestehender weiterführender Schulen im Falle eines neu zu erstellenden Anbaus an das Hauptgebäude (Stichwort „Einhäusigkeit“) oder alternativ bei Sanierung eines räumlich getrennten, derzeit leerstehenden Schulgebäudes (im Falle unterschiedlich hoher Fördersätze bitte begründen)?</w:t>
            </w:r>
          </w:p>
        </w:tc>
      </w:tr>
    </w:tbl>
    <w:p w:rsidR="00DD3048" w:rsidRDefault="00DD3048" w:rsidP="00DD3048">
      <w:pPr>
        <w:pStyle w:val="LTUeberschrAntwortRessort"/>
      </w:pPr>
      <w:r>
        <w:t>Antwort des Staatsministeriums für Unterricht und Kultus</w:t>
      </w:r>
    </w:p>
    <w:p w:rsidR="00DD3048" w:rsidRDefault="00DD3048" w:rsidP="00DD3048">
      <w:pPr>
        <w:pStyle w:val="LTAntwortRessortText"/>
      </w:pPr>
      <w:r>
        <w:t>Der Freistaat unterstützt seine Kommunen im Rahmen des kommunalen Finanzausgleichs</w:t>
      </w:r>
      <w:r w:rsidR="00EC2E2D">
        <w:t xml:space="preserve"> </w:t>
      </w:r>
      <w:r>
        <w:t>bei notwendigen Baumaßnahmen an öffentlichen Schulen mit Zuweisungen</w:t>
      </w:r>
      <w:r w:rsidR="00EC2E2D">
        <w:t xml:space="preserve"> </w:t>
      </w:r>
      <w:r w:rsidR="00BE1BA2">
        <w:t>nach Art. 10 Bayerisches</w:t>
      </w:r>
      <w:r>
        <w:t xml:space="preserve"> Finanzausgleichsgesetz (BayFAG). Förderfähig sind</w:t>
      </w:r>
      <w:r w:rsidR="00EC2E2D">
        <w:t xml:space="preserve"> </w:t>
      </w:r>
      <w:r>
        <w:t>die zuweisungsfähigen Ausgaben für Neu-, Um- und Erweiterungsbauten sowie General-</w:t>
      </w:r>
      <w:r w:rsidR="00EC2E2D">
        <w:t xml:space="preserve"> </w:t>
      </w:r>
      <w:r>
        <w:t>und Teilsanierungen.</w:t>
      </w:r>
    </w:p>
    <w:p w:rsidR="00DD3048" w:rsidRDefault="00DD3048" w:rsidP="00DD3048">
      <w:pPr>
        <w:pStyle w:val="LTAntwortRessortText"/>
      </w:pPr>
      <w:r>
        <w:t>Grundlage der Förderung nach Art. 10 BayFAG ist die schulaufsichtliche Genehmigung</w:t>
      </w:r>
      <w:r w:rsidR="00EC2E2D">
        <w:t xml:space="preserve"> </w:t>
      </w:r>
      <w:r>
        <w:t>des notwendigen Raumbedarfs, die für die Durchführung von Neu-, Um- und</w:t>
      </w:r>
      <w:r w:rsidR="00EC2E2D">
        <w:t xml:space="preserve"> </w:t>
      </w:r>
      <w:r>
        <w:t>Erweiterungsbauten erforderlich ist (Art. 4 Abs. 2 Satz 1 Bayerisches Gesetz über das</w:t>
      </w:r>
      <w:r w:rsidR="00EC2E2D">
        <w:t xml:space="preserve"> </w:t>
      </w:r>
      <w:r>
        <w:t xml:space="preserve">Erziehungs- und Unterrichtswesen </w:t>
      </w:r>
      <w:r w:rsidR="00BE1BA2">
        <w:t>– BayEUG</w:t>
      </w:r>
      <w:r>
        <w:t xml:space="preserve"> i.</w:t>
      </w:r>
      <w:r w:rsidR="00BE1BA2">
        <w:t> </w:t>
      </w:r>
      <w:r>
        <w:t>V.</w:t>
      </w:r>
      <w:r w:rsidR="00BE1BA2">
        <w:t> </w:t>
      </w:r>
      <w:r>
        <w:t xml:space="preserve">m. § 4 Schulbauverordnung </w:t>
      </w:r>
      <w:r w:rsidR="00BE1BA2">
        <w:t xml:space="preserve">– </w:t>
      </w:r>
      <w:r>
        <w:t>SchulbauV).</w:t>
      </w:r>
      <w:r w:rsidR="00EC2E2D">
        <w:t xml:space="preserve"> </w:t>
      </w:r>
      <w:r>
        <w:t>Aus der SchulbauV ergeben sich schulspezifische Mindestanforderungen.</w:t>
      </w:r>
      <w:r w:rsidR="00EC2E2D">
        <w:t xml:space="preserve"> </w:t>
      </w:r>
      <w:r>
        <w:t>Darüber hinaus bestehen Vollzugshinweise zur SchulbauV, die sogenannte Flächenbandbreiten</w:t>
      </w:r>
      <w:r w:rsidR="00EC2E2D">
        <w:t xml:space="preserve"> </w:t>
      </w:r>
      <w:r w:rsidR="00BE1BA2">
        <w:t>(z. </w:t>
      </w:r>
      <w:r>
        <w:t>B. Unterrichtsbereich und Arbeitsbereich des pädagogischen Personals)</w:t>
      </w:r>
      <w:r w:rsidR="00EC2E2D">
        <w:t xml:space="preserve"> </w:t>
      </w:r>
      <w:r>
        <w:t>vorsehen.</w:t>
      </w:r>
    </w:p>
    <w:p w:rsidR="00DD3048" w:rsidRDefault="00DD3048" w:rsidP="00DD3048">
      <w:pPr>
        <w:pStyle w:val="LTAntwortRessortText"/>
      </w:pPr>
      <w:r>
        <w:t xml:space="preserve">Die Festlegung der Höhe einer Zuweisung erfolgt </w:t>
      </w:r>
      <w:r w:rsidR="00BE1BA2">
        <w:t>–</w:t>
      </w:r>
      <w:r>
        <w:t xml:space="preserve"> unabhä</w:t>
      </w:r>
      <w:r w:rsidR="00BE1BA2">
        <w:t>n</w:t>
      </w:r>
      <w:r>
        <w:t>gig von einer etwaigen</w:t>
      </w:r>
      <w:r w:rsidR="00EC2E2D">
        <w:t xml:space="preserve"> </w:t>
      </w:r>
      <w:r>
        <w:t xml:space="preserve">räumlichen Trennung der Schulgebäude </w:t>
      </w:r>
      <w:r w:rsidR="00BE1BA2">
        <w:t>–</w:t>
      </w:r>
      <w:r>
        <w:t xml:space="preserve"> bayernweit einheitlich auf Grundlage der in</w:t>
      </w:r>
      <w:r w:rsidR="00EC2E2D">
        <w:t xml:space="preserve"> </w:t>
      </w:r>
      <w:r>
        <w:t>der Zuweisungsrichtlinie (FAZR) genannten Kriterien. Bei der Bemessung der Zuweisung</w:t>
      </w:r>
      <w:r w:rsidR="00EC2E2D">
        <w:t xml:space="preserve"> </w:t>
      </w:r>
      <w:r>
        <w:t>sind die Bedeutung der Baumaßnahme, die finanzielle Lage des Zuweisungsempfängers</w:t>
      </w:r>
      <w:r w:rsidR="00EC2E2D">
        <w:t xml:space="preserve"> </w:t>
      </w:r>
      <w:r>
        <w:t>unter Berücksichtigung der demografischen Entwicklung, ein über das Hoheitsgebiet</w:t>
      </w:r>
      <w:r w:rsidR="00EC2E2D">
        <w:t xml:space="preserve"> </w:t>
      </w:r>
      <w:r>
        <w:t>des Zuweisungsempfängers hinausgehendes Einzugsgebiet, das Staatsinteresse</w:t>
      </w:r>
      <w:r w:rsidR="00EC2E2D">
        <w:t xml:space="preserve"> </w:t>
      </w:r>
      <w:r>
        <w:t>und die Höhe der verfügbaren Mittel zu berücksichtigen. Der Förderrahmen</w:t>
      </w:r>
      <w:r w:rsidR="00EC2E2D">
        <w:t xml:space="preserve"> </w:t>
      </w:r>
      <w:r>
        <w:t>beträgt für öffentliche Sc</w:t>
      </w:r>
      <w:r w:rsidR="00BE1BA2">
        <w:t>hulen grundsätzlich 0 bis 80 v. </w:t>
      </w:r>
      <w:r>
        <w:t>H.; für Kommunen, deren finanzielle</w:t>
      </w:r>
      <w:r w:rsidR="00EC2E2D">
        <w:t xml:space="preserve"> </w:t>
      </w:r>
      <w:r>
        <w:t>Lage dem Landesdurchschnitt vergleichbarer Kommunen entspricht, kann</w:t>
      </w:r>
      <w:r w:rsidR="00EC2E2D">
        <w:t xml:space="preserve"> </w:t>
      </w:r>
      <w:r>
        <w:t>bei öffentlichen Schulen von einem Orientierungswert i.</w:t>
      </w:r>
      <w:r w:rsidR="00BE1BA2">
        <w:t> H. v. 50 v. </w:t>
      </w:r>
      <w:r>
        <w:t>H. ausgegangen</w:t>
      </w:r>
      <w:r w:rsidR="00EC2E2D">
        <w:t xml:space="preserve"> </w:t>
      </w:r>
      <w:r>
        <w:t>werden. Finanzschwache Kommunen, die von der demografischen Entwicklung besonders</w:t>
      </w:r>
      <w:r w:rsidR="00EC2E2D">
        <w:t xml:space="preserve"> </w:t>
      </w:r>
      <w:r>
        <w:t>negativ belastet sind, können in begründeten Einzelfällen eine Förderquote</w:t>
      </w:r>
      <w:r w:rsidR="00EC2E2D">
        <w:t xml:space="preserve"> </w:t>
      </w:r>
      <w:r>
        <w:t>von bis zu 90 v.</w:t>
      </w:r>
      <w:r w:rsidR="00BE1BA2">
        <w:t> </w:t>
      </w:r>
      <w:r>
        <w:t>H. erhalten.</w:t>
      </w:r>
    </w:p>
    <w:p w:rsidR="00DD3048" w:rsidRDefault="00DD3048" w:rsidP="00DD3048">
      <w:pPr>
        <w:pStyle w:val="LTAntwortRessortText"/>
      </w:pPr>
      <w:r>
        <w:t>Zuständige Genehmigungs- und Bewilligungsbehörde ist die jeweilige Bezirksregierung,</w:t>
      </w:r>
      <w:r w:rsidR="00EC2E2D">
        <w:t xml:space="preserve"> </w:t>
      </w:r>
      <w:r>
        <w:t>die zur Beratung und Bewertung im konkreten Fall kontaktiert werden sollte.</w:t>
      </w:r>
    </w:p>
    <w:p w:rsidR="00DD3048" w:rsidRDefault="00DD3048">
      <w:bookmarkStart w:id="64" w:name="Frage_Nr_31_Ende"/>
      <w:bookmarkEnd w:id="64"/>
      <w:r>
        <w:br w:type="page"/>
      </w:r>
    </w:p>
    <w:p w:rsidR="00DD3048" w:rsidRDefault="00DD3048" w:rsidP="00DD3048">
      <w:pPr>
        <w:pStyle w:val="LTUeberschrRessort"/>
      </w:pPr>
      <w:r>
        <w:lastRenderedPageBreak/>
        <w:t>Geschäftsbereich des Staatsministeriums für Wissenschaft und Kunst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DD3048" w:rsidTr="007B0B33">
        <w:tc>
          <w:tcPr>
            <w:tcW w:w="2050" w:type="dxa"/>
          </w:tcPr>
          <w:p w:rsidR="00DD3048" w:rsidRDefault="00DD3048" w:rsidP="00DD3048">
            <w:pPr>
              <w:pStyle w:val="LTAnfrageInitiator"/>
            </w:pPr>
            <w:r>
              <w:t>Abgeordneter</w:t>
            </w:r>
            <w:r>
              <w:rPr>
                <w:b/>
              </w:rPr>
              <w:br/>
              <w:t>Johannes</w:t>
            </w:r>
            <w:r>
              <w:rPr>
                <w:b/>
              </w:rPr>
              <w:br/>
              <w:t>Becher</w:t>
            </w:r>
            <w:r>
              <w:rPr>
                <w:b/>
              </w:rPr>
              <w:br/>
            </w:r>
            <w:r>
              <w:t>(BÜNDNIS 90/DIE GRÜNEN)</w:t>
            </w:r>
            <w:bookmarkStart w:id="65" w:name="Frage_Nr_32"/>
            <w:bookmarkEnd w:id="65"/>
          </w:p>
        </w:tc>
        <w:tc>
          <w:tcPr>
            <w:tcW w:w="7200" w:type="dxa"/>
          </w:tcPr>
          <w:p w:rsidR="00DD3048" w:rsidRDefault="00A7572C" w:rsidP="00DD3048">
            <w:pPr>
              <w:pStyle w:val="LTAnfrageText"/>
            </w:pPr>
            <w:r w:rsidRPr="00A7572C">
              <w:t>Ich frage die Staatsregierung, was kostet die Expertenkommission, die laut dem Staatsminister für Wissenschaft und Kunst Markus Blume Vorschläge für eine bessere Zusammenarbeit zwischen der Hochschule Weihenstephan-Triesdorf (HSWT) und der Technischen Universität München (TUM) erarbeiten soll, bis wann ist mit den Ergebnissen dieser Kommission zu rechnen und kann die Staatsregierung eine einseitige Übernahme der HSWT durch die TUM ausschließen?</w:t>
            </w:r>
          </w:p>
        </w:tc>
      </w:tr>
    </w:tbl>
    <w:p w:rsidR="00DD3048" w:rsidRDefault="00DD3048" w:rsidP="00DD3048">
      <w:pPr>
        <w:pStyle w:val="LTUeberschrAntwortRessort"/>
      </w:pPr>
      <w:r>
        <w:t>Antwort des Staatsministeriums für Wissenschaft und Kunst</w:t>
      </w:r>
    </w:p>
    <w:p w:rsidR="00DD3048" w:rsidRDefault="00DD3048" w:rsidP="00DD3048">
      <w:pPr>
        <w:pStyle w:val="LTAntwortRessortText"/>
      </w:pPr>
      <w:r>
        <w:t>Mit den Mitgliedern des Expertengremiums w</w:t>
      </w:r>
      <w:r w:rsidR="00A7572C">
        <w:t xml:space="preserve">urde keine Vergütung vereinbart, </w:t>
      </w:r>
      <w:r>
        <w:t>grundsätzlich denkbar bleibt die Gewährung einer Aufwandsentschädigung.</w:t>
      </w:r>
    </w:p>
    <w:p w:rsidR="00DD3048" w:rsidRDefault="00DD3048" w:rsidP="00DD3048">
      <w:pPr>
        <w:pStyle w:val="LTAntwortRessortText"/>
      </w:pPr>
      <w:r>
        <w:t>Am 20.</w:t>
      </w:r>
      <w:r w:rsidR="00A7572C">
        <w:t>07.</w:t>
      </w:r>
      <w:r>
        <w:t>2023 soll ein Fachgespräch des Ausschusses für Wissenschaft und Kunst sowie des Ausschusses für Ernährung, Landwirtschaft und Forsten mit dem Expertengremium stattfinden.</w:t>
      </w:r>
    </w:p>
    <w:p w:rsidR="00DD3048" w:rsidRDefault="00DD3048" w:rsidP="00DD3048">
      <w:pPr>
        <w:pStyle w:val="LTAntwortRessortText"/>
      </w:pPr>
      <w:r>
        <w:t>Den Ergebnissen der umfassenden Beratungen sowie des Dialogs mit dem Landtag und den drei betroffenen Einrichtungen soll nicht vorgriffen werden.</w:t>
      </w:r>
    </w:p>
    <w:p w:rsidR="00DD3048" w:rsidRDefault="00DD3048">
      <w:bookmarkStart w:id="66" w:name="Frage_Nr_32_Ende"/>
      <w:bookmarkEnd w:id="6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3"/>
        <w:gridCol w:w="5783"/>
      </w:tblGrid>
      <w:tr w:rsidR="00DD3048" w:rsidTr="007B0B33">
        <w:tc>
          <w:tcPr>
            <w:tcW w:w="2050" w:type="dxa"/>
          </w:tcPr>
          <w:p w:rsidR="00DD3048" w:rsidRDefault="00DD3048" w:rsidP="00DD3048">
            <w:pPr>
              <w:pStyle w:val="LTAnfrageInitiator"/>
            </w:pPr>
            <w:r>
              <w:lastRenderedPageBreak/>
              <w:t>Abgeordneter</w:t>
            </w:r>
            <w:r>
              <w:rPr>
                <w:b/>
              </w:rPr>
              <w:br/>
              <w:t>Christian</w:t>
            </w:r>
            <w:r>
              <w:rPr>
                <w:b/>
              </w:rPr>
              <w:br/>
              <w:t>Flisek</w:t>
            </w:r>
            <w:r>
              <w:rPr>
                <w:b/>
              </w:rPr>
              <w:br/>
            </w:r>
            <w:r>
              <w:t>(SPD)</w:t>
            </w:r>
            <w:bookmarkStart w:id="67" w:name="Frage_Nr_33"/>
            <w:bookmarkEnd w:id="67"/>
          </w:p>
        </w:tc>
        <w:tc>
          <w:tcPr>
            <w:tcW w:w="7200" w:type="dxa"/>
          </w:tcPr>
          <w:p w:rsidR="00DD3048" w:rsidRDefault="0078385A" w:rsidP="00DD3048">
            <w:pPr>
              <w:pStyle w:val="LTAnfrageText"/>
            </w:pPr>
            <w:r w:rsidRPr="0078385A">
              <w:t>Ich frage die Staatsregierung, ob ihr bekannt ist, dass das im Rundschreiben des Staatsministeriums für Wissenschaft und Kunst vom 23.01.2023 errichtete Kriterium „Vorliegen einer Immatrikulation“ zum Ausschluss von Beschäftigten aus dem TV</w:t>
            </w:r>
            <w:r w:rsidR="00970BE1">
              <w:noBreakHyphen/>
            </w:r>
            <w:r w:rsidRPr="0078385A">
              <w:t>L als Studentische Hilfskräfte (SHK) dem von der Staatsregierung in ihrer Antwort auf die Anfrage der SPD-Fraktion vom 20.03.2023 erklärten Ziel einer Besserstellung der bisherigen Wissenschaftliche Hilfskräfte (WHK) direkt entgegensteht, da nun bisherige WHK, also wissenschaftliche Mitarbeiter mit unterhälftigem Beschäftigungsumfang, als „SHK mit Bachelorabschluss“ beschäftigt werden können, was für diese keine Verbesserung, möglicherweise aber sogar eine Verschlechterung für bisherige wissenschaftliche Mitarbeiter mit Bachelorabschluss, also solche mit überhälftigem Beschäftigungsanteil darstellt, dass die im Rundschreiben ausdrücklich genannte Möglichkeit Promovierende – sofern sie immatrikuliert sind – als studentische Hilfskräfte mit Masterabschluss nach § 6 Wissenschaftszeitvertragsgesetz (WissZeitVG) zu beschäftigen laut dem Bundesministerium für Bildung und Forschung generell dem Zweck und der Systematik des WissZeitVG zuwider läuft und dass solche Befristungen von Promovierenden nach § 6 WissZeitVG erhebliche Risiken für die Beschäftigen und die Hochschulen hinsichtlich der zulässigen Dauer befristeter Beschäftigung bergen?</w:t>
            </w:r>
          </w:p>
        </w:tc>
      </w:tr>
    </w:tbl>
    <w:p w:rsidR="00DD3048" w:rsidRDefault="00DD3048" w:rsidP="00DD3048">
      <w:pPr>
        <w:pStyle w:val="LTUeberschrAntwortRessort"/>
      </w:pPr>
      <w:r>
        <w:t>Antwort des Staatsministeriums für Wissenschaft und Kunst</w:t>
      </w:r>
    </w:p>
    <w:p w:rsidR="00DD3048" w:rsidRDefault="00DD3048" w:rsidP="00DD3048">
      <w:pPr>
        <w:pStyle w:val="LTAntwortRessortText"/>
      </w:pPr>
      <w:r>
        <w:t>Das St</w:t>
      </w:r>
      <w:r w:rsidR="0078385A">
        <w:t xml:space="preserve">aatsministerium für Wissenschaft und Kunst </w:t>
      </w:r>
      <w:r>
        <w:t>hat im genannten Schreiben an die Hochschulen vom 23.01.2023 nicht wie</w:t>
      </w:r>
      <w:r w:rsidR="0078385A">
        <w:t xml:space="preserve"> in der Anfrage formuliert ein „</w:t>
      </w:r>
      <w:r>
        <w:t>Kriterium errichtet</w:t>
      </w:r>
      <w:r w:rsidR="0078385A">
        <w:t>“</w:t>
      </w:r>
      <w:r>
        <w:t>, sondern nur die seit 2016 bestehende Rechtslage erläutert. Der Bundesgesetzgeber hat bereits 2016 ermöglicht, dass immatrikulierte Studierende mit erstem Hochschulabschluss als studentische Hilfskraft von den Hochschulen beschäftigt werden können. Hierfür müssen die Tatbesta</w:t>
      </w:r>
      <w:r w:rsidR="0078385A">
        <w:t>ndsvoraussetzungen des § 6 Satz </w:t>
      </w:r>
      <w:r>
        <w:t xml:space="preserve">1 </w:t>
      </w:r>
      <w:r w:rsidR="0078385A" w:rsidRPr="0078385A">
        <w:t xml:space="preserve">Wissenschaftszeitvertragsgesetz </w:t>
      </w:r>
      <w:r w:rsidR="0078385A">
        <w:t>(</w:t>
      </w:r>
      <w:r>
        <w:t>WissZeitVG</w:t>
      </w:r>
      <w:r w:rsidR="0078385A">
        <w:t>)</w:t>
      </w:r>
      <w:r>
        <w:t xml:space="preserve"> gegeben sein. Dies ist in jedem Einzelfall unter Berücksichtigung fachspezifischer Besonderheiten zu prüfen und darauf wurden die Hochschulen auf Nachfrage auch</w:t>
      </w:r>
      <w:r w:rsidR="0078385A">
        <w:t xml:space="preserve"> hingewiesen. Die bloße Erläute</w:t>
      </w:r>
      <w:r>
        <w:t>rung dieser seit 2016 bestehenden und den Hochschulen schon lange bekannten Rechtslage führt zu keiner in der Anfrage suggerierten Vers</w:t>
      </w:r>
      <w:r w:rsidR="0078385A">
        <w:t>chlechterung der Situa</w:t>
      </w:r>
      <w:r>
        <w:t>tion der Hilfskräfte.</w:t>
      </w:r>
    </w:p>
    <w:p w:rsidR="00DD3048" w:rsidRDefault="00DD3048" w:rsidP="00DD3048">
      <w:pPr>
        <w:pStyle w:val="LTAntwortRessortText"/>
      </w:pPr>
      <w:r>
        <w:t xml:space="preserve">Nach neuer Rechtslage </w:t>
      </w:r>
      <w:r w:rsidR="0078385A">
        <w:t>–</w:t>
      </w:r>
      <w:r>
        <w:t xml:space="preserve"> die Auslöser </w:t>
      </w:r>
      <w:r w:rsidR="0078385A">
        <w:t>für das genannte Schreiben war –</w:t>
      </w:r>
      <w:r>
        <w:t xml:space="preserve"> können ehemalige wissenschaftliche Hilfskräfte nur noch als</w:t>
      </w:r>
      <w:r w:rsidR="0078385A">
        <w:t xml:space="preserve"> nebenberufliche wissenschaftli</w:t>
      </w:r>
      <w:r>
        <w:t>che Mitarbeiterinnen und Mitarbeiter (mit Bindung an den TV-L) beschäftigt werden.</w:t>
      </w:r>
    </w:p>
    <w:p w:rsidR="00DD3048" w:rsidRDefault="00DD3048" w:rsidP="00DD3048">
      <w:pPr>
        <w:pStyle w:val="LTAntwortRessortText"/>
      </w:pPr>
      <w:r>
        <w:t>Die Hochschulen haben selbst ein erhebliches Interesse daran, für den wissenschaftlichen Nachwuchs gute Bedingungen zu schaffen. Die Qualität des wissenschaftlichen Nachwuchses ist maßgebliche Voraussetzung für die Exzellenz der Hochschule in Forschung und Lehre. Daher ist davon auszugehen, dass die Hochschulen schon aus Eigeninteresse vielversprechende Kandidatin</w:t>
      </w:r>
      <w:r w:rsidR="0078385A">
        <w:t>nen und Kandidaten ganz überwie</w:t>
      </w:r>
      <w:r>
        <w:t>gend mit Verträgen als wissenschaftliche Mitarbeiterinnen und Mit</w:t>
      </w:r>
      <w:r>
        <w:lastRenderedPageBreak/>
        <w:t>arbeiter ausstatten werden. Das StMWK wird sich gegenüber den Hochschulen zudem dafür einsetzen, dass für Qualifikationsaufgaben keine Stellen als studentische Hilfskraft, sondern solche als (haupt- oder) nebenberufliche wissenschaftliche Mitarbeiterinnen und Mitarbeiter vergeben werden.</w:t>
      </w:r>
    </w:p>
    <w:p w:rsidR="00DD3048" w:rsidRDefault="00DD3048" w:rsidP="00DD3048">
      <w:pPr>
        <w:pStyle w:val="LTAntwortRessortText"/>
      </w:pPr>
      <w:r>
        <w:t>Vor diesem Hintergrund kann sich die Staatsregierung den in der Anfrage geäußerten Bedenken nicht anschließen.</w:t>
      </w:r>
    </w:p>
    <w:p w:rsidR="00DD3048" w:rsidRDefault="00DD3048">
      <w:bookmarkStart w:id="68" w:name="Frage_Nr_33_Ende"/>
      <w:bookmarkEnd w:id="6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5"/>
        <w:gridCol w:w="5731"/>
      </w:tblGrid>
      <w:tr w:rsidR="00DD3048" w:rsidTr="007B0B33">
        <w:tc>
          <w:tcPr>
            <w:tcW w:w="2050" w:type="dxa"/>
          </w:tcPr>
          <w:p w:rsidR="00DD3048" w:rsidRDefault="00DD3048" w:rsidP="00DD3048">
            <w:pPr>
              <w:pStyle w:val="LTAnfrageInitiator"/>
            </w:pPr>
            <w:r>
              <w:lastRenderedPageBreak/>
              <w:t>Abgeordneter</w:t>
            </w:r>
            <w:r>
              <w:rPr>
                <w:b/>
              </w:rPr>
              <w:br/>
              <w:t>Christian</w:t>
            </w:r>
            <w:r>
              <w:rPr>
                <w:b/>
              </w:rPr>
              <w:br/>
              <w:t>Hierneis</w:t>
            </w:r>
            <w:r>
              <w:rPr>
                <w:b/>
              </w:rPr>
              <w:br/>
            </w:r>
            <w:r>
              <w:t>(BÜNDNIS 90/DIE GRÜNEN)</w:t>
            </w:r>
            <w:bookmarkStart w:id="69" w:name="Frage_Nr_34"/>
            <w:bookmarkEnd w:id="69"/>
          </w:p>
        </w:tc>
        <w:tc>
          <w:tcPr>
            <w:tcW w:w="7200" w:type="dxa"/>
          </w:tcPr>
          <w:p w:rsidR="00DD3048" w:rsidRDefault="00934EF0" w:rsidP="00DD3048">
            <w:pPr>
              <w:pStyle w:val="LTAnfrageText"/>
            </w:pPr>
            <w:r w:rsidRPr="00934EF0">
              <w:t>Ich frage die Staatsregierung, wie wird die Finanzierung der beiden aktuell noch befristeten Stellen (</w:t>
            </w:r>
            <w:r w:rsidR="00970BE1">
              <w:t xml:space="preserve">Entgeltgruppe </w:t>
            </w:r>
            <w:r w:rsidRPr="00934EF0">
              <w:t>E</w:t>
            </w:r>
            <w:r w:rsidR="00970BE1">
              <w:t>G </w:t>
            </w:r>
            <w:r w:rsidRPr="00934EF0">
              <w:t>13 und E</w:t>
            </w:r>
            <w:r w:rsidR="00970BE1">
              <w:t>G </w:t>
            </w:r>
            <w:r w:rsidRPr="00934EF0">
              <w:t xml:space="preserve">10) der Koordinationsstelle Kunstareal künftig sichergestellt (bitte für jede der Stellen mit Angabe des Geld- und Arbeitgebers und der Eingruppierung), werden die Stellen und die Sachmittel – wie bei der Unterzeichnung der Kooperationsvereinbarung zwischen dem Freistaat Bayern und der Landeshauptstadt München versprochen – dauerhaft zugesichert und damit die Befristung der Stellen aufgehoben und wie hoch sind in Zukunft die jährlichen Sachmittel zur Förderung der Dachmarke Kunstareal und zur Umsetzung von Projekten (bitte mit Angabe des Geldgebers und der bewilligten Dauer)?  </w:t>
            </w:r>
          </w:p>
        </w:tc>
      </w:tr>
    </w:tbl>
    <w:p w:rsidR="00DD3048" w:rsidRDefault="00DD3048" w:rsidP="00DD3048">
      <w:pPr>
        <w:pStyle w:val="LTUeberschrAntwortRessort"/>
      </w:pPr>
      <w:r>
        <w:t>Antwort des Staatsministeriums für Wissenschaft und Kunst</w:t>
      </w:r>
    </w:p>
    <w:p w:rsidR="00DD3048" w:rsidRDefault="00DD3048" w:rsidP="00DD3048">
      <w:pPr>
        <w:pStyle w:val="LTAntwortRessortText"/>
      </w:pPr>
      <w:r>
        <w:t xml:space="preserve">In der zwischen dem Freistaat Bayern und der Landeshauptstadt München (LHM) geschlossenen Kooperationsvereinbarung vom 08.11.2018 wurde vereinbart, dass die Sachmittelkosten der Koordinationsstelle Kunstareal seit 2019 jeweils hälftig vom Freistaat Bayern und der LHM getragen werden. Auf Grundlage dieser Vereinbarung stellt der Freistaat </w:t>
      </w:r>
      <w:r w:rsidR="004F76A7">
        <w:t>–</w:t>
      </w:r>
      <w:r>
        <w:t xml:space="preserve"> jeweils vorbehaltlich der Billig</w:t>
      </w:r>
      <w:r w:rsidR="004F76A7">
        <w:t>ung durch den Haushaltsgesetzge</w:t>
      </w:r>
      <w:r>
        <w:t xml:space="preserve">ber </w:t>
      </w:r>
      <w:r w:rsidR="004F76A7">
        <w:t>–</w:t>
      </w:r>
      <w:r>
        <w:t xml:space="preserve"> seit dem 01.01.2020 dauerhaft Sachmittel in Höhe von jeweils 80.000 </w:t>
      </w:r>
      <w:r w:rsidR="004F76A7">
        <w:t>Euro</w:t>
      </w:r>
      <w:r>
        <w:t xml:space="preserve"> jährlich zur Verfügung.</w:t>
      </w:r>
    </w:p>
    <w:p w:rsidR="00DD3048" w:rsidRDefault="00DD3048" w:rsidP="00DD3048">
      <w:pPr>
        <w:pStyle w:val="LTAntwortRessortText"/>
      </w:pPr>
      <w:r>
        <w:t>Derzeit verfügt die Koordinationsstelle Kunstareal über eine unbefristete Vollzeitstelle der EG 13 TV-L für die Leitung der Koordinationsstelle Kunstareal, die bereits seit dem 15.01.2020 dauerhaft besetzt ist. Es handelt sich um eine Stelle des Freistaats. Seit dem 15.06.2023 konnte eine zweite unbefristete Vollzeitstelle der EG</w:t>
      </w:r>
      <w:r w:rsidR="00970BE1">
        <w:t> </w:t>
      </w:r>
      <w:r>
        <w:t>10 TVöD bei der Landeshauptstadt München eingerichtet und besetzt werden, die für die Koordinationsstelle Kunstareal zur Verfügung gestellt wird.</w:t>
      </w:r>
    </w:p>
    <w:p w:rsidR="00DD3048" w:rsidRDefault="00DD3048">
      <w:bookmarkStart w:id="70" w:name="Frage_Nr_34_Ende"/>
      <w:bookmarkEnd w:id="7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0"/>
        <w:gridCol w:w="5756"/>
      </w:tblGrid>
      <w:tr w:rsidR="00DD3048" w:rsidTr="007B0B33">
        <w:tc>
          <w:tcPr>
            <w:tcW w:w="2050" w:type="dxa"/>
          </w:tcPr>
          <w:p w:rsidR="00DD3048" w:rsidRDefault="00DD3048" w:rsidP="00DD3048">
            <w:pPr>
              <w:pStyle w:val="LTAnfrageInitiator"/>
            </w:pPr>
            <w:r>
              <w:lastRenderedPageBreak/>
              <w:t>Abgeordneter</w:t>
            </w:r>
            <w:r>
              <w:rPr>
                <w:b/>
              </w:rPr>
              <w:br/>
              <w:t>Hep</w:t>
            </w:r>
            <w:r>
              <w:rPr>
                <w:b/>
              </w:rPr>
              <w:br/>
              <w:t>Monatzeder</w:t>
            </w:r>
            <w:r>
              <w:rPr>
                <w:b/>
              </w:rPr>
              <w:br/>
            </w:r>
            <w:r>
              <w:t>(BÜNDNIS 90/DIE GRÜNEN)</w:t>
            </w:r>
            <w:bookmarkStart w:id="71" w:name="Frage_Nr_35"/>
            <w:bookmarkEnd w:id="71"/>
          </w:p>
        </w:tc>
        <w:tc>
          <w:tcPr>
            <w:tcW w:w="7200" w:type="dxa"/>
          </w:tcPr>
          <w:p w:rsidR="00DD3048" w:rsidRDefault="004F76A7" w:rsidP="00DD3048">
            <w:pPr>
              <w:pStyle w:val="LTAnfrageText"/>
            </w:pPr>
            <w:r w:rsidRPr="004F76A7">
              <w:t xml:space="preserve">Ich frage die Staatsregierung, wer trägt welchen Teil der Kosten für die Sanierung bzw. den Neubau im Wohnheimkomplex Agnes-/Adelheidstraße in München und welcher Teil der Finanzierung ist noch nicht gesichert (bitte Beträge angeben)?  </w:t>
            </w:r>
          </w:p>
        </w:tc>
      </w:tr>
    </w:tbl>
    <w:p w:rsidR="00DD3048" w:rsidRDefault="00DD3048" w:rsidP="00DD3048">
      <w:pPr>
        <w:pStyle w:val="LTUeberschrAntwortRessort"/>
      </w:pPr>
      <w:r>
        <w:t>Antwort des Staatsministeriums für Wissenschaft und Kunst</w:t>
      </w:r>
      <w:r w:rsidR="004F76A7">
        <w:t xml:space="preserve"> in Abstimmung mit dem Staatsministerium für Wohnen, Bau und Verkehr</w:t>
      </w:r>
    </w:p>
    <w:p w:rsidR="00DD3048" w:rsidRDefault="00DD3048" w:rsidP="00DD3048">
      <w:pPr>
        <w:pStyle w:val="LTAntwortRessortText"/>
      </w:pPr>
      <w:r>
        <w:t>Auf Grundlage der Angaben des Studierendenwerks München Oberbayern kann in Abstimmung mit dem Staatsministerium für Wohnen, Bau und Verkehr (StMB) mitgeteilt werden, dass die Investitionskosten für den Neubau nach Angaben des Studierendenwerks rund 33,9 Mio. Euro betragen. Das Studierendenwerk geht gegenwärtig von einer Zusammensetzung der erforderlichen finanziellen Mittel wie folgt aus: Fördermittel der Studierendenwohnraumförderung (d</w:t>
      </w:r>
      <w:r w:rsidR="004F76A7">
        <w:t>es StMB): 13,9 Mio. Euro, Fremd</w:t>
      </w:r>
      <w:r>
        <w:t>kapital: 7,0 Mio. Euro, Eigenkapital: 13,0 Mio. Euro. Das Studierendenwerk werde weiter alles dafür tun, die bereits in der Vergangenheit vorangebrachten Planungen abhängig von einer gesicherten Projektfinanzierun</w:t>
      </w:r>
      <w:r w:rsidR="004F76A7">
        <w:t>g zu gegebener Zeit weiter voran</w:t>
      </w:r>
      <w:r>
        <w:t>zutreiben und einen Projektstart zu ermöglichen.</w:t>
      </w:r>
    </w:p>
    <w:p w:rsidR="00DD3048" w:rsidRDefault="00DD3048" w:rsidP="00DD3048">
      <w:pPr>
        <w:pStyle w:val="LTAntwortRessortText"/>
      </w:pPr>
      <w:r>
        <w:t>Eine Bereitstellung von Mitteln aus der Studierendenwohnraumförderung ist abhängig von der Antragstellung und einer Gesamtfinanzierungsplanung des Antragstellers und steht unter dem Vorbehalt einer Bewilligung durch das StMB. Das StMB hat grundsätzlich die Bereitstellung von Mitteln in Aussicht gestellt.</w:t>
      </w:r>
    </w:p>
    <w:p w:rsidR="00DD3048" w:rsidRDefault="00DD3048" w:rsidP="00DD3048">
      <w:pPr>
        <w:pStyle w:val="LTAntwortRessortText"/>
      </w:pPr>
      <w:r>
        <w:t>Es wird darüber hinaus darauf hingewiesen, dass im Haushalt 2023 zur Verbesserung der Finanzsituation der Studierendenwerke die Zuschüsse des St</w:t>
      </w:r>
      <w:r w:rsidR="00E469B8">
        <w:t>aatsministeriums für Wissenschaft und Kunst</w:t>
      </w:r>
      <w:r>
        <w:t xml:space="preserve"> an die Studierendenwerke um mehr als 34</w:t>
      </w:r>
      <w:r w:rsidR="00970BE1">
        <w:t> </w:t>
      </w:r>
      <w:r>
        <w:t>Prozent erhöht wurden.</w:t>
      </w:r>
    </w:p>
    <w:p w:rsidR="00DD3048" w:rsidRDefault="00DD3048">
      <w:bookmarkStart w:id="72" w:name="Frage_Nr_35_Ende"/>
      <w:bookmarkEnd w:id="7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1"/>
        <w:gridCol w:w="5755"/>
      </w:tblGrid>
      <w:tr w:rsidR="00DD3048" w:rsidTr="007B0B33">
        <w:tc>
          <w:tcPr>
            <w:tcW w:w="2050" w:type="dxa"/>
          </w:tcPr>
          <w:p w:rsidR="00DD3048" w:rsidRDefault="00DD3048" w:rsidP="00DD3048">
            <w:pPr>
              <w:pStyle w:val="LTAnfrageInitiator"/>
            </w:pPr>
            <w:r>
              <w:lastRenderedPageBreak/>
              <w:t>Abgeordnete</w:t>
            </w:r>
            <w:r>
              <w:rPr>
                <w:b/>
              </w:rPr>
              <w:br/>
              <w:t>Verena</w:t>
            </w:r>
            <w:r>
              <w:rPr>
                <w:b/>
              </w:rPr>
              <w:br/>
              <w:t>Osgyan</w:t>
            </w:r>
            <w:r>
              <w:rPr>
                <w:b/>
              </w:rPr>
              <w:br/>
            </w:r>
            <w:r>
              <w:t>(BÜNDNIS 90/DIE GRÜNEN)</w:t>
            </w:r>
            <w:bookmarkStart w:id="73" w:name="Frage_Nr_36"/>
            <w:bookmarkEnd w:id="73"/>
          </w:p>
        </w:tc>
        <w:tc>
          <w:tcPr>
            <w:tcW w:w="7200" w:type="dxa"/>
          </w:tcPr>
          <w:p w:rsidR="00DD3048" w:rsidRDefault="004F76A7" w:rsidP="00DD3048">
            <w:pPr>
              <w:pStyle w:val="LTAnfrageText"/>
            </w:pPr>
            <w:r w:rsidRPr="004F76A7">
              <w:t>Ich frage die Staatsregierung, wie viele kumulative Dissertationen seit 2018 an bayerischen Hochschulen eingereicht worden sind (bitte aufschlüsseln nach Jahr, Standort, Fach und erfolgreiches/nicht erfolgreiches Verfahren), wie viele kumulative Habilitationen seit 2018 an bayerischen Hochschulen eingereicht worden sind (bitte aufschlüsseln nach Jahr, Standort, Fach und erfolgreiches/nicht erfolgreiches Verfahren) und welchen prozentualen Anteil diese kumulativen Qualifikationsschriften an der Gesamtheit der eingereichten Arbeiten ausmachen (bitte aufschlüsseln nach Jahr, Standort und Fach)?</w:t>
            </w:r>
          </w:p>
        </w:tc>
      </w:tr>
    </w:tbl>
    <w:p w:rsidR="00DD3048" w:rsidRDefault="00DD3048" w:rsidP="00DD3048">
      <w:pPr>
        <w:pStyle w:val="LTUeberschrAntwortRessort"/>
      </w:pPr>
      <w:r>
        <w:t>Antwort des Staatsministeriums für Wissenschaft und Kunst</w:t>
      </w:r>
    </w:p>
    <w:p w:rsidR="00DD3048" w:rsidRDefault="00DD3048" w:rsidP="00DD3048">
      <w:pPr>
        <w:pStyle w:val="LTAntwortRessortText"/>
      </w:pPr>
      <w:r>
        <w:t>Daten zu Promotionen sind in der amtlichen Statistik grundsätzlich in der Prüfungs- und der Promovierendenstatistik verfügbar. In der amtlichen Prüfungsstatistik wird die Zahl der erfolgreichen Promotionen erfasst, nähere Informationen über die Art der Dissertation (kumulativ oder monographisch) werden dabei jedoch nicht erhoben. Demgegenüber wird in der Promovierendenstatistik die Art der Dissertation erfasst. Die Frage nach der Zahl der kumulativen Dissertationen, die seit 2018 an bayerischen Hochschulen eingereicht worden sind, sowie deren Anteil an der Gesamtheit der eingereichten Arbeiten, wird daher auf Grundlage der Promotionsabschlüsse an den staatlichen Universitäten aus der amtlichen Promovierendenstatistik für die Jahre 2018 bis 2021 beantwortet (siehe Anlage</w:t>
      </w:r>
      <w:r w:rsidR="004F76A7">
        <w:t xml:space="preserve"> </w:t>
      </w:r>
      <w:r w:rsidR="004F76A7">
        <w:rPr>
          <w:rStyle w:val="Funotenzeichen"/>
        </w:rPr>
        <w:footnoteReference w:id="10"/>
      </w:r>
      <w:r>
        <w:t>). Angaben für 2022 liegen derzeit noch nicht vor. Eine Information darüber, ob die Promotion erfolgreich abgeschlossen oder endgültig nicht bestanden wurde, ist in der Promovierendenstatistik nicht verfügbar.</w:t>
      </w:r>
    </w:p>
    <w:p w:rsidR="00DD3048" w:rsidRDefault="00DD3048" w:rsidP="00DD3048">
      <w:pPr>
        <w:pStyle w:val="LTAntwortRessortText"/>
      </w:pPr>
      <w:r>
        <w:t>Das Bayerische Landesamt für Statistik veröffentlicht jährlich einen statistischen Bericht zur Promovierendenstatistik</w:t>
      </w:r>
      <w:r w:rsidR="004F76A7">
        <w:t xml:space="preserve"> </w:t>
      </w:r>
      <w:r w:rsidR="004F76A7">
        <w:rPr>
          <w:rStyle w:val="Funotenzeichen"/>
        </w:rPr>
        <w:footnoteReference w:id="11"/>
      </w:r>
      <w:r>
        <w:t>, dem weitere Informationen zu entnehmen sind.</w:t>
      </w:r>
    </w:p>
    <w:p w:rsidR="00DD3048" w:rsidRDefault="00DD3048" w:rsidP="00DD3048">
      <w:pPr>
        <w:pStyle w:val="LTAntwortRessortText"/>
      </w:pPr>
      <w:r>
        <w:t>Angaben zu kumulativen Habilitationen liegen in der amtlichen Statistik nicht vor.</w:t>
      </w:r>
    </w:p>
    <w:p w:rsidR="00DD3048" w:rsidRDefault="00DD3048" w:rsidP="00DD3048">
      <w:pPr>
        <w:pStyle w:val="LTAntwortRessortText"/>
      </w:pPr>
    </w:p>
    <w:p w:rsidR="00DD3048" w:rsidRDefault="00DD3048">
      <w:bookmarkStart w:id="74" w:name="Frage_Nr_36_Ende"/>
      <w:bookmarkEnd w:id="7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2"/>
        <w:gridCol w:w="5744"/>
      </w:tblGrid>
      <w:tr w:rsidR="00DD3048" w:rsidTr="007B0B33">
        <w:tc>
          <w:tcPr>
            <w:tcW w:w="2050" w:type="dxa"/>
          </w:tcPr>
          <w:p w:rsidR="00DD3048" w:rsidRDefault="00DD3048" w:rsidP="00DD3048">
            <w:pPr>
              <w:pStyle w:val="LTAnfrageInitiator"/>
            </w:pPr>
            <w:r>
              <w:lastRenderedPageBreak/>
              <w:t>Abgeordnete</w:t>
            </w:r>
            <w:r>
              <w:rPr>
                <w:b/>
              </w:rPr>
              <w:br/>
              <w:t>Katharina</w:t>
            </w:r>
            <w:r>
              <w:rPr>
                <w:b/>
              </w:rPr>
              <w:br/>
              <w:t>Schulze</w:t>
            </w:r>
            <w:r>
              <w:rPr>
                <w:b/>
              </w:rPr>
              <w:br/>
            </w:r>
            <w:r>
              <w:t>(BÜNDNIS 90/DIE GRÜNEN)</w:t>
            </w:r>
            <w:bookmarkStart w:id="75" w:name="Frage_Nr_37"/>
            <w:bookmarkEnd w:id="75"/>
          </w:p>
        </w:tc>
        <w:tc>
          <w:tcPr>
            <w:tcW w:w="7200" w:type="dxa"/>
          </w:tcPr>
          <w:p w:rsidR="00DD3048" w:rsidRDefault="004F76A7" w:rsidP="00DD3048">
            <w:pPr>
              <w:pStyle w:val="LTAnfrageText"/>
            </w:pPr>
            <w:r w:rsidRPr="004F76A7">
              <w:t xml:space="preserve">Ich frage die Staatsregierung, ab wann wird mit der Sanierung bzw. dem Neubau im Wohnheimkomplex Agnes-/Adelheidstraße in München begonnen, wann werden Sanierung bzw. Neubau abgeschlossen sein und welche notwendigen Genehmigungen für Sanierung bzw. Neubau liegen bereits vor oder stehen noch aus? </w:t>
            </w:r>
          </w:p>
        </w:tc>
      </w:tr>
    </w:tbl>
    <w:p w:rsidR="00DD3048" w:rsidRDefault="00DD3048" w:rsidP="00DD3048">
      <w:pPr>
        <w:pStyle w:val="LTUeberschrAntwortRessort"/>
      </w:pPr>
      <w:r>
        <w:t>Antwort des Staatsministeriums für Wissenschaft und Kunst</w:t>
      </w:r>
      <w:r w:rsidR="004F76A7">
        <w:t xml:space="preserve"> Kunst in Abstimmung mit dem Staatsministerium für Wohnen, Bau und Verkehr</w:t>
      </w:r>
    </w:p>
    <w:p w:rsidR="00DD3048" w:rsidRDefault="00DD3048" w:rsidP="00DD3048">
      <w:pPr>
        <w:pStyle w:val="LTAntwortRessortText"/>
      </w:pPr>
      <w:r>
        <w:t>Auf Grundlage der Angaben des Studierendenwerks München Oberbayern kann in Abstimmung mit dem Staatsministerium für Wohnen, Bau und Verkehr (StMB) Folgendes mitgeteilt werden: Die Baugenehmigung wurde nach Angaben des Studierendenwerks bereits im Juni 2023 erteilt. Konkrete Angaben zu Beginn und Abschluss der Baumaßnahme seien derzeit noch nicht möglich.</w:t>
      </w:r>
      <w:r w:rsidR="004F76A7">
        <w:t xml:space="preserve"> </w:t>
      </w:r>
      <w:r>
        <w:t>Das Studierendenwerk werde weiter alles dafür tun, die bereits in der Vergangenheit vorangebrachten Planungen abhängig von einer gesicherten Projektfinanzierung zu gegebener Zeit weiter voranzutreiben und einen Projektstart zu ermöglichen.</w:t>
      </w:r>
      <w:r w:rsidR="004F76A7">
        <w:t xml:space="preserve"> </w:t>
      </w:r>
      <w:r>
        <w:t>Eine Bereitstellung von Mitteln aus der Studiere</w:t>
      </w:r>
      <w:r w:rsidR="004F76A7">
        <w:t>ndenwohnraumförderung ist abhän</w:t>
      </w:r>
      <w:r>
        <w:t>gig von der Antragstellung und einer Gesamtfinanzierungsplanung des Antragstellers und steht unter dem Vorbehalt einer Bewilligung durch das StMB. Das StMB hat grundsätzlich die Bereitstellung von Mitteln in Aussicht gestellt. Es wird darüber hinaus darauf hingewiesen, das</w:t>
      </w:r>
      <w:r w:rsidR="004F76A7">
        <w:t>s im Haushalt 2023 zur Verbesse</w:t>
      </w:r>
      <w:r>
        <w:t>rung der Finanzsituation der Studierendenwerke die Zuschüsse des St</w:t>
      </w:r>
      <w:r w:rsidR="008415A0">
        <w:t>aatsministeriums für Wissenschaft und Kunst</w:t>
      </w:r>
      <w:r>
        <w:t xml:space="preserve"> an die Studierendenwerke um mehr als 34 Prozent erhöht wurden.</w:t>
      </w:r>
    </w:p>
    <w:p w:rsidR="00DD3048" w:rsidRDefault="00DD3048">
      <w:bookmarkStart w:id="76" w:name="Frage_Nr_37_Ende"/>
      <w:bookmarkEnd w:id="7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0"/>
        <w:gridCol w:w="5756"/>
      </w:tblGrid>
      <w:tr w:rsidR="00DD3048" w:rsidTr="007B0B33">
        <w:tc>
          <w:tcPr>
            <w:tcW w:w="2050" w:type="dxa"/>
          </w:tcPr>
          <w:p w:rsidR="00DD3048" w:rsidRDefault="00DD3048" w:rsidP="00DD3048">
            <w:pPr>
              <w:pStyle w:val="LTAnfrageInitiator"/>
            </w:pPr>
            <w:r>
              <w:lastRenderedPageBreak/>
              <w:t>Abgeordneter</w:t>
            </w:r>
            <w:r>
              <w:rPr>
                <w:b/>
              </w:rPr>
              <w:br/>
              <w:t>Florian</w:t>
            </w:r>
            <w:r>
              <w:rPr>
                <w:b/>
              </w:rPr>
              <w:br/>
              <w:t>Siekmann</w:t>
            </w:r>
            <w:r>
              <w:rPr>
                <w:b/>
              </w:rPr>
              <w:br/>
            </w:r>
            <w:r>
              <w:t>(BÜNDNIS 90/DIE GRÜNEN)</w:t>
            </w:r>
            <w:bookmarkStart w:id="77" w:name="Frage_Nr_38"/>
            <w:bookmarkEnd w:id="77"/>
          </w:p>
        </w:tc>
        <w:tc>
          <w:tcPr>
            <w:tcW w:w="7200" w:type="dxa"/>
          </w:tcPr>
          <w:p w:rsidR="00DD3048" w:rsidRDefault="00BE7032" w:rsidP="00DD3048">
            <w:pPr>
              <w:pStyle w:val="LTAnfrageText"/>
            </w:pPr>
            <w:r w:rsidRPr="00BE7032">
              <w:t>Ich frage die Staatsregierung, wie viele Wohnheimplätze stehen im Wohnheimkomplex Agnes-/Adelheidstraße in München leer, seit wann stehen diese leer und warum wurden die Wohnheimplätze trotz des langen Leerstands bereits vollständig leergezogen?</w:t>
            </w:r>
          </w:p>
        </w:tc>
      </w:tr>
    </w:tbl>
    <w:p w:rsidR="00DD3048" w:rsidRDefault="00DD3048" w:rsidP="00DD3048">
      <w:pPr>
        <w:pStyle w:val="LTUeberschrAntwortRessort"/>
      </w:pPr>
      <w:r>
        <w:t>Antwort des Staatsministeriums für Wissenschaft und Kunst</w:t>
      </w:r>
      <w:r w:rsidR="00BE7032">
        <w:t xml:space="preserve"> in Abstimmung mit dem Staatsministerium für Wohnen, Bau und Verkehr</w:t>
      </w:r>
    </w:p>
    <w:p w:rsidR="00DD3048" w:rsidRDefault="00DD3048" w:rsidP="00DD3048">
      <w:pPr>
        <w:pStyle w:val="LTAntwortRessortText"/>
      </w:pPr>
      <w:r>
        <w:t>Auf Grundlage der Angaben des Studierendenwerks München Oberbayern kann in Abstimmung mit dem Staatsministerium für Wohnen, Bau und Verkehr (StMB) mitgeteilt werden, dass die aus den 1950er Jahren stammenden Gebäude in der Agnesstraße 33/35 mit 147 Wohnplätzen aufgrund bautechnischer Mängel und mehrerer Wasserschäden nicht mehr bewohnbar waren und daher zum 31.12.2021 leer gezogen wurden. Es handle sich um bautechnisch verbrauchte Gebäude, bei denen eine wirtschaftliche Sanierung nicht mehr möglich gewesen sei.</w:t>
      </w:r>
    </w:p>
    <w:p w:rsidR="00DD3048" w:rsidRDefault="00DD3048">
      <w:bookmarkStart w:id="78" w:name="Frage_Nr_38_Ende"/>
      <w:bookmarkEnd w:id="78"/>
      <w:r>
        <w:br w:type="page"/>
      </w:r>
    </w:p>
    <w:p w:rsidR="00DD3048" w:rsidRDefault="00DD3048" w:rsidP="00DD3048">
      <w:pPr>
        <w:pStyle w:val="LTUeberschrRessort"/>
      </w:pPr>
      <w:r>
        <w:lastRenderedPageBreak/>
        <w:t>Geschäftsbereich des Staatsministeriums der Finanzen und für Heimat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3"/>
        <w:gridCol w:w="5793"/>
      </w:tblGrid>
      <w:tr w:rsidR="00DD3048" w:rsidTr="007B0B33">
        <w:tc>
          <w:tcPr>
            <w:tcW w:w="2050" w:type="dxa"/>
          </w:tcPr>
          <w:p w:rsidR="00DD3048" w:rsidRDefault="00DD3048" w:rsidP="00DD3048">
            <w:pPr>
              <w:pStyle w:val="LTAnfrageInitiator"/>
            </w:pPr>
            <w:r>
              <w:t>Abgeordnete</w:t>
            </w:r>
            <w:r>
              <w:rPr>
                <w:b/>
              </w:rPr>
              <w:br/>
              <w:t>Katrin</w:t>
            </w:r>
            <w:r>
              <w:rPr>
                <w:b/>
              </w:rPr>
              <w:br/>
              <w:t>Ebner-Steiner</w:t>
            </w:r>
            <w:r>
              <w:rPr>
                <w:b/>
              </w:rPr>
              <w:br/>
            </w:r>
            <w:r>
              <w:t>(AfD)</w:t>
            </w:r>
            <w:bookmarkStart w:id="79" w:name="Frage_Nr_39"/>
            <w:bookmarkEnd w:id="79"/>
          </w:p>
        </w:tc>
        <w:tc>
          <w:tcPr>
            <w:tcW w:w="7200" w:type="dxa"/>
          </w:tcPr>
          <w:p w:rsidR="00DD3048" w:rsidRDefault="00BE7032" w:rsidP="00DD3048">
            <w:pPr>
              <w:pStyle w:val="LTAnfrageText"/>
            </w:pPr>
            <w:r w:rsidRPr="00BE7032">
              <w:t>Ich frage die Staatsregierung, wie viele Verträge haben die Staatsministerien mit welchem Auftragsvolumen in den Jahren 2021, 2022 und 2023 mit externen Dritten für Beratungs- und Unterstützungsleistungen geschlossen, inklusive nachgeordneten Behörden und Gesellschaften in Verantwortung der Staatsministerien (bitte nach Jahren und jeweiligem Ressort aufschlüsseln)?</w:t>
            </w:r>
          </w:p>
        </w:tc>
      </w:tr>
    </w:tbl>
    <w:p w:rsidR="00DD3048" w:rsidRDefault="00DD3048" w:rsidP="00DD3048">
      <w:pPr>
        <w:pStyle w:val="LTUeberschrAntwortRessort"/>
      </w:pPr>
      <w:r>
        <w:t>Antwort des Staatsministeriums der Finanzen und für Heimat</w:t>
      </w:r>
    </w:p>
    <w:p w:rsidR="00DD3048" w:rsidRDefault="00DD3048" w:rsidP="00DD3048">
      <w:pPr>
        <w:pStyle w:val="LTAntwortRessortText"/>
      </w:pPr>
      <w:r>
        <w:t>Eine Erhebung der geforderten Informationen zu Verträgen mit externen Dritten für Beratungs- und Unterstützungsleistungen für den genannten Zeitraum wäre nur durch eine umfangreiche A</w:t>
      </w:r>
      <w:r w:rsidR="00BE7032">
        <w:t>bfrage möglich. Dies ist im Rah</w:t>
      </w:r>
      <w:r>
        <w:t>men einer Anfrage zum Plenum nicht darstellbar.</w:t>
      </w:r>
    </w:p>
    <w:p w:rsidR="00DD3048" w:rsidRDefault="00DD3048" w:rsidP="00DD3048">
      <w:pPr>
        <w:pStyle w:val="LTAntwortRessortText"/>
      </w:pPr>
      <w:r>
        <w:t xml:space="preserve">Auf die Erhebung der geforderten Daten für den Zeitraum vom </w:t>
      </w:r>
      <w:r w:rsidR="00BE7032">
        <w:t>0</w:t>
      </w:r>
      <w:r>
        <w:t>1.</w:t>
      </w:r>
      <w:r w:rsidR="00BE7032">
        <w:t>01.</w:t>
      </w:r>
      <w:r>
        <w:t>2021 bis 12.</w:t>
      </w:r>
      <w:r w:rsidR="00BE7032">
        <w:t>03.</w:t>
      </w:r>
      <w:r>
        <w:t>2021 anlässlich der Schr</w:t>
      </w:r>
      <w:r w:rsidR="00BE7032">
        <w:t>iftlichen Anfrage der Abge</w:t>
      </w:r>
      <w:r>
        <w:t>ordneten Ka</w:t>
      </w:r>
      <w:r w:rsidR="00BE7032">
        <w:t>trin Ebner-Steiner (AfD)</w:t>
      </w:r>
      <w:r>
        <w:t xml:space="preserve"> vom 12.</w:t>
      </w:r>
      <w:r w:rsidR="00BE7032">
        <w:t>03.</w:t>
      </w:r>
      <w:r>
        <w:t xml:space="preserve">2021 betreffend </w:t>
      </w:r>
      <w:r w:rsidR="00BE7032">
        <w:t>„</w:t>
      </w:r>
      <w:r>
        <w:t>Beraterverträge der Staatsregierung</w:t>
      </w:r>
      <w:r w:rsidR="00BE7032">
        <w:t>“</w:t>
      </w:r>
      <w:r>
        <w:t xml:space="preserve"> (Drs. 18/17604) wird hingewiesen.</w:t>
      </w:r>
    </w:p>
    <w:p w:rsidR="00DD3048" w:rsidRDefault="00DD3048">
      <w:bookmarkStart w:id="80" w:name="Frage_Nr_39_Ende"/>
      <w:bookmarkEnd w:id="8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4"/>
        <w:gridCol w:w="5782"/>
      </w:tblGrid>
      <w:tr w:rsidR="00DD3048" w:rsidTr="007B0B33">
        <w:tc>
          <w:tcPr>
            <w:tcW w:w="2050" w:type="dxa"/>
          </w:tcPr>
          <w:p w:rsidR="00DD3048" w:rsidRDefault="00DD3048" w:rsidP="00DD3048">
            <w:pPr>
              <w:pStyle w:val="LTAnfrageInitiator"/>
            </w:pPr>
            <w:r>
              <w:lastRenderedPageBreak/>
              <w:t>Abgeordneter</w:t>
            </w:r>
            <w:r>
              <w:rPr>
                <w:b/>
              </w:rPr>
              <w:br/>
              <w:t>Alexander</w:t>
            </w:r>
            <w:r>
              <w:rPr>
                <w:b/>
              </w:rPr>
              <w:br/>
              <w:t>Muthmann</w:t>
            </w:r>
            <w:r>
              <w:rPr>
                <w:b/>
              </w:rPr>
              <w:br/>
            </w:r>
            <w:r>
              <w:t>(FDP)</w:t>
            </w:r>
            <w:bookmarkStart w:id="81" w:name="Frage_Nr_40"/>
            <w:bookmarkEnd w:id="81"/>
          </w:p>
        </w:tc>
        <w:tc>
          <w:tcPr>
            <w:tcW w:w="7200" w:type="dxa"/>
          </w:tcPr>
          <w:p w:rsidR="00DD3048" w:rsidRDefault="00DA199E" w:rsidP="00DD3048">
            <w:pPr>
              <w:pStyle w:val="LTAnfrageText"/>
            </w:pPr>
            <w:r w:rsidRPr="00DA199E">
              <w:t>Nachdem im Jahr 2015 im Rahmen der sogena</w:t>
            </w:r>
            <w:r>
              <w:t>nnten Heimatstrategie Bayern u. </w:t>
            </w:r>
            <w:r w:rsidRPr="00DA199E">
              <w:t>a. beschlossen wurde, dass in der Außenstelle des Landesamts für Digitalisierung, Breitband und Vermessung zahlreiche qualifizierte Arbeitsplätze geschaffen werden sollen (insb. zum Datenvertrieb Liegenschaftskataster, als Beschaffungsstelle für Ämter für Digitalisierung, Breitband und Vermessung und als Stelle für zentrale IT-Dienstleistungen) frage ich die Staatsregierung, wie weit diese Verlagerungspläne fortgeschritten sind (bitte insbesondere detaillierte Aussagen bezüglich der Schaffung von Räumlichkeiten sowie der bereits geschaffenen/besetzten Arbeitsplätze), welche weiteren Meilensteine in der Verlagerung bereits geplant sind (bitte unter genauer Angabe der bereits gesetzten Fristen und geplanten Zeitabläufe) und bis zu welchem Zeitpunkt die Staatsregierung mit einem Endausbau dieser Behördenverlagerung in der Stadt Freyung rechnet (bitte unter Angabe der zu erreichenden Ziele in dieser Endausbaustufe, insbesondere hinsichtlich der zu schaffenden Arbeitsplätze)?</w:t>
            </w:r>
          </w:p>
        </w:tc>
      </w:tr>
    </w:tbl>
    <w:p w:rsidR="00DD3048" w:rsidRDefault="00DD3048" w:rsidP="00DD3048">
      <w:pPr>
        <w:pStyle w:val="LTUeberschrAntwortRessort"/>
      </w:pPr>
      <w:r>
        <w:t>Antwort des Staatsministeriums der Finanzen und für Heimat</w:t>
      </w:r>
    </w:p>
    <w:p w:rsidR="00DD3048" w:rsidRDefault="00DA199E" w:rsidP="00DD3048">
      <w:pPr>
        <w:pStyle w:val="LTAntwortRessortText"/>
      </w:pPr>
      <w:r>
        <w:t>Im Zuge des Konzepts „</w:t>
      </w:r>
      <w:r w:rsidR="00DD3048">
        <w:t xml:space="preserve">Regionalisierung von Verwaltung </w:t>
      </w:r>
      <w:r>
        <w:t>–</w:t>
      </w:r>
      <w:r w:rsidR="00DD3048">
        <w:t xml:space="preserve"> Behördenverlagerungen 2015</w:t>
      </w:r>
      <w:r>
        <w:t>“</w:t>
      </w:r>
      <w:r w:rsidR="00DD3048">
        <w:t>, Bestandteil der 1. Stufe der Behördenverlage</w:t>
      </w:r>
      <w:r>
        <w:t>rungen, wird in Freyung eine Au</w:t>
      </w:r>
      <w:r w:rsidR="00DD3048">
        <w:t>ßenstelle des Landesamts für Digitalisierung, Breitband und Vermessung (LDBV) mit 40 Beschäftigten eingerichtet. Der Aufbaustab mit derzeit 12 Personen wurde am 25.</w:t>
      </w:r>
      <w:r>
        <w:t>06.</w:t>
      </w:r>
      <w:r w:rsidR="00DD3048">
        <w:t>2020 eingesetzt und ist seitdem übergangsweise im Gebäude des Amts für Digitalisierung, Breitband und Vermessung (ADBV) Freyung untergebracht. Langfristig sollen die Beschäftigten von LDBV und ADBV in einem gemeinsamen</w:t>
      </w:r>
      <w:r>
        <w:t xml:space="preserve"> Behördenge</w:t>
      </w:r>
      <w:r w:rsidR="00DD3048">
        <w:t xml:space="preserve">bäude untergebracht werden. Bisher wurde trotz intensiver Bemühungen keine geeignete Immobilie gefunden. Die IMBY </w:t>
      </w:r>
      <w:r w:rsidR="009911F5">
        <w:t xml:space="preserve">(Immobilien Freistaat Bayern) </w:t>
      </w:r>
      <w:r w:rsidR="00DD3048">
        <w:t>führt aktuell das Flächenmanagement fort. Hierzu wurde ein Kaufgesuch für das Stadtgebiet Freyung veröffentlicht. Ein personeller Endausbau bis 2025 wird angestrebt.</w:t>
      </w:r>
    </w:p>
    <w:p w:rsidR="00DD3048" w:rsidRDefault="00DD3048">
      <w:bookmarkStart w:id="82" w:name="Frage_Nr_40_Ende"/>
      <w:bookmarkEnd w:id="8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1"/>
        <w:gridCol w:w="5745"/>
      </w:tblGrid>
      <w:tr w:rsidR="00DD3048" w:rsidTr="007B0B33">
        <w:tc>
          <w:tcPr>
            <w:tcW w:w="2050" w:type="dxa"/>
          </w:tcPr>
          <w:p w:rsidR="00DD3048" w:rsidRDefault="00DD3048" w:rsidP="00DD3048">
            <w:pPr>
              <w:pStyle w:val="LTAnfrageInitiator"/>
            </w:pPr>
            <w:r>
              <w:lastRenderedPageBreak/>
              <w:t>Abgeordneter</w:t>
            </w:r>
            <w:r>
              <w:rPr>
                <w:b/>
              </w:rPr>
              <w:br/>
              <w:t>Franz Josef</w:t>
            </w:r>
            <w:r>
              <w:rPr>
                <w:b/>
              </w:rPr>
              <w:br/>
              <w:t>Pschierer</w:t>
            </w:r>
            <w:r>
              <w:rPr>
                <w:b/>
              </w:rPr>
              <w:br/>
            </w:r>
            <w:r>
              <w:t>(FDP)</w:t>
            </w:r>
            <w:bookmarkStart w:id="83" w:name="Frage_Nr_41"/>
            <w:bookmarkEnd w:id="83"/>
          </w:p>
        </w:tc>
        <w:tc>
          <w:tcPr>
            <w:tcW w:w="7200" w:type="dxa"/>
          </w:tcPr>
          <w:p w:rsidR="00DD3048" w:rsidRDefault="008670D6" w:rsidP="00DD3048">
            <w:pPr>
              <w:pStyle w:val="LTAnfrageText"/>
            </w:pPr>
            <w:r w:rsidRPr="008670D6">
              <w:t>Ich frage die Staatsregierung, wie viele Finanzbeamte in Bayern von Betriebsprüfungen abgezogen wurden, um die Bearbeitung von Einsprüchen bei Grundsteuerbescheiden zu unterstützen (bitte nach Monaten gliedern), welchen Umfang dies pro Woche bedeutet (bitte in Stunden bzw. Mitarbeiterkapazitäten angeben) und warum die Planungen der Staatsregierung offenbar nicht ausgereicht haben, um die Bearbeitung ohne den Abzug von Finanzbeamten aus anderen Bereichen zu erledigen?</w:t>
            </w:r>
          </w:p>
        </w:tc>
      </w:tr>
    </w:tbl>
    <w:p w:rsidR="00DD3048" w:rsidRDefault="00DD3048" w:rsidP="00DD3048">
      <w:pPr>
        <w:pStyle w:val="LTUeberschrAntwortRessort"/>
      </w:pPr>
      <w:r>
        <w:t>Antwort des Staatsministeriums der Finanzen und für Heimat</w:t>
      </w:r>
    </w:p>
    <w:p w:rsidR="00DD3048" w:rsidRDefault="00DD3048" w:rsidP="00DD3048">
      <w:pPr>
        <w:pStyle w:val="LTAntwortRessortText"/>
      </w:pPr>
      <w:r>
        <w:t>Seit dem 26.</w:t>
      </w:r>
      <w:r w:rsidR="008670D6">
        <w:t>06.</w:t>
      </w:r>
      <w:r>
        <w:t>2023 wird im Rahmen einer Pilotierung geprüft, ob eine punktuelle und zeitlich befristete personelle Unterstützung der Bewertungsstellen durch Beschäftigte der Außenprüfung, deren Einsatz auch die Bearbeitung von Einsprüchen umfasst, im Wege der Selbststeuerung der Finanzämter zielführend ist. Nach Monaten aufgeschlüsselte Zahlen liegen aufgrund der erst seit kurzem laufenden Pilotierung nicht vor.</w:t>
      </w:r>
    </w:p>
    <w:p w:rsidR="00DD3048" w:rsidRDefault="00DD3048">
      <w:bookmarkStart w:id="84" w:name="Frage_Nr_41_Ende"/>
      <w:bookmarkEnd w:id="84"/>
      <w:r>
        <w:br w:type="page"/>
      </w:r>
    </w:p>
    <w:p w:rsidR="00DD3048" w:rsidRDefault="00DD3048" w:rsidP="00DD3048">
      <w:pPr>
        <w:pStyle w:val="LTUeberschrRessort"/>
      </w:pPr>
      <w:r>
        <w:lastRenderedPageBreak/>
        <w:t>Geschäftsbereich des Staatsministeriums für Wirtschaft, Landesentwicklung und Energie</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DD3048" w:rsidTr="007B0B33">
        <w:tc>
          <w:tcPr>
            <w:tcW w:w="2050" w:type="dxa"/>
          </w:tcPr>
          <w:p w:rsidR="00DD3048" w:rsidRDefault="00DD3048" w:rsidP="00DD3048">
            <w:pPr>
              <w:pStyle w:val="LTAnfrageInitiator"/>
            </w:pPr>
            <w:r>
              <w:t>Abgeordnete</w:t>
            </w:r>
            <w:r>
              <w:rPr>
                <w:b/>
              </w:rPr>
              <w:br/>
              <w:t>Barbara</w:t>
            </w:r>
            <w:r>
              <w:rPr>
                <w:b/>
              </w:rPr>
              <w:br/>
              <w:t>Fuchs</w:t>
            </w:r>
            <w:r>
              <w:rPr>
                <w:b/>
              </w:rPr>
              <w:br/>
            </w:r>
            <w:r>
              <w:t>(BÜNDNIS 90/DIE GRÜNEN)</w:t>
            </w:r>
            <w:bookmarkStart w:id="85" w:name="Frage_Nr_42"/>
            <w:bookmarkEnd w:id="85"/>
          </w:p>
        </w:tc>
        <w:tc>
          <w:tcPr>
            <w:tcW w:w="7200" w:type="dxa"/>
          </w:tcPr>
          <w:p w:rsidR="00DD3048" w:rsidRDefault="008670D6" w:rsidP="00DD3048">
            <w:pPr>
              <w:pStyle w:val="LTAnfrageText"/>
            </w:pPr>
            <w:r w:rsidRPr="008670D6">
              <w:t>Ich frage die Staatsregierung, welche Ausgaben wurden im Rahmen des 120 Mio. Euro Automobilfonds des Freistaates bereits getätigt und in welcher Höhe sind die Verpflichtungsermächtigungen in den einzelnen Haushaltstiteln bereits genutzt worden (bitte je nach Haushaltstitel aufschlüsseln)?</w:t>
            </w:r>
          </w:p>
        </w:tc>
      </w:tr>
    </w:tbl>
    <w:p w:rsidR="00DD3048" w:rsidRDefault="00DD3048" w:rsidP="00DD3048">
      <w:pPr>
        <w:pStyle w:val="LTUeberschrAntwortRessort"/>
      </w:pPr>
      <w:r>
        <w:t>Antwort des Staatsministeriums für Wirtschaft, Landesentwicklung und Energie</w:t>
      </w:r>
    </w:p>
    <w:p w:rsidR="00DD3048" w:rsidRDefault="00DD3048" w:rsidP="00DD3048">
      <w:pPr>
        <w:pStyle w:val="LTAntwortRessortText"/>
      </w:pPr>
      <w:r>
        <w:t>Mit dem Automobilfonds des Freistaat</w:t>
      </w:r>
      <w:r w:rsidR="005E0362">
        <w:t>e</w:t>
      </w:r>
      <w:r>
        <w:t xml:space="preserve">s Bayern sollen Förderungen von Leichtbau und Antriebstechnologien, Bioökonomie, Mobilität der </w:t>
      </w:r>
      <w:r w:rsidR="007E71AE">
        <w:t>Zukunft, flächendeckend Ladesäu</w:t>
      </w:r>
      <w:r>
        <w:t>len für die E-Mobilität, Wasserstofftankstellen sowie Berufsbildungsinvestitionen ermöglicht werden. Im Folgenden werden die einzelnen Ausgaben aufgeführt:</w:t>
      </w:r>
    </w:p>
    <w:p w:rsidR="00DD3048" w:rsidRDefault="007E71AE" w:rsidP="00C6581E">
      <w:pPr>
        <w:pStyle w:val="LTAntwortRessortText"/>
        <w:spacing w:before="120"/>
        <w:ind w:left="680" w:hanging="340"/>
      </w:pPr>
      <w:r>
        <w:t>–</w:t>
      </w:r>
      <w:r>
        <w:tab/>
      </w:r>
      <w:r w:rsidR="00DD3048">
        <w:t>Bayerisches Ladeinfrastrukt</w:t>
      </w:r>
      <w:r>
        <w:t>urförderprogramm: Das Programm „</w:t>
      </w:r>
      <w:r w:rsidR="00DD3048">
        <w:t>Öffentlich zugängliche Ladeinfrastruktur für Elektrofahrzeuge in Bayern 2.0</w:t>
      </w:r>
      <w:r w:rsidR="00C6581E">
        <w:t>“</w:t>
      </w:r>
      <w:r w:rsidR="00DD3048">
        <w:t xml:space="preserve"> ist am 01.11.2021 gestartet. Ein Teil des Programms wird mit insgesamt 15 Mio. Euro b</w:t>
      </w:r>
      <w:r w:rsidR="00C6581E">
        <w:t>rutto bis Ende 2023 aus Kap.</w:t>
      </w:r>
      <w:r w:rsidR="00DD3048">
        <w:t xml:space="preserve"> 07</w:t>
      </w:r>
      <w:r w:rsidR="00C6581E">
        <w:t> </w:t>
      </w:r>
      <w:r w:rsidR="00DD3048">
        <w:t xml:space="preserve">02 </w:t>
      </w:r>
      <w:r w:rsidR="00C6581E">
        <w:t>Tit.</w:t>
      </w:r>
      <w:r w:rsidR="00DD3048">
        <w:t xml:space="preserve"> 892</w:t>
      </w:r>
      <w:r w:rsidR="00C6581E">
        <w:t> </w:t>
      </w:r>
      <w:r w:rsidR="00DD3048">
        <w:t>86 finanziert. Mehrere Förderaufrufe mit jeweils sehr hoher Nachfrage wurden bislang initiiert. Im Rahmen dessen wurden im Jahr 2021 Mittel von rund 4 Mio. Euro (ausgezahlt bislang 350.000 Euro) und im Jahr 2022 Mittel in Höhe von 7,2 Mio. Euro (ausbezahlt bislang 0 Euro) beschieden. Für 2024 ist ein weiterer Förderaufruf vorgesehen.</w:t>
      </w:r>
      <w:r w:rsidR="00C6581E">
        <w:br/>
      </w:r>
      <w:r w:rsidR="00DD3048">
        <w:t>Aufgrund der teilweise langen Realisierungszeiträume der ge</w:t>
      </w:r>
      <w:r w:rsidR="00C6581E">
        <w:t>förderten Ladeinfra</w:t>
      </w:r>
      <w:r w:rsidR="00DD3048">
        <w:t>struktur werden die Mittel erst um bis zu zwei Jahre verzögert ausbezahlt.</w:t>
      </w:r>
    </w:p>
    <w:p w:rsidR="00DD3048" w:rsidRDefault="00C6581E" w:rsidP="00C6581E">
      <w:pPr>
        <w:pStyle w:val="LTAntwortRessortText"/>
        <w:spacing w:before="120"/>
        <w:ind w:left="680" w:hanging="340"/>
      </w:pPr>
      <w:r>
        <w:t>–</w:t>
      </w:r>
      <w:r>
        <w:tab/>
      </w:r>
      <w:r w:rsidR="00DD3048">
        <w:t xml:space="preserve">Wasserstofftankstellen: Finanziert aus </w:t>
      </w:r>
      <w:r>
        <w:t>Kap.</w:t>
      </w:r>
      <w:r w:rsidR="00DD3048">
        <w:t xml:space="preserve"> </w:t>
      </w:r>
      <w:r>
        <w:t>0702 Tit. 893 87 wurden bislang fol</w:t>
      </w:r>
      <w:r w:rsidR="00DD3048">
        <w:t>gende Festlegungen getroffen:</w:t>
      </w:r>
    </w:p>
    <w:p w:rsidR="00DD3048" w:rsidRDefault="00C6581E" w:rsidP="00C6581E">
      <w:pPr>
        <w:pStyle w:val="LTAntwortRessortText"/>
        <w:spacing w:before="0"/>
        <w:ind w:left="1020" w:hanging="340"/>
      </w:pPr>
      <w:r>
        <w:t>–</w:t>
      </w:r>
      <w:r>
        <w:tab/>
      </w:r>
      <w:r w:rsidR="00DD3048">
        <w:t xml:space="preserve"> Haushal</w:t>
      </w:r>
      <w:r>
        <w:t>tsjahr 2021: 5.300.000 Euro / Verpflichtungsermächtigung (VE)</w:t>
      </w:r>
      <w:r w:rsidR="00DD3048">
        <w:t>: 5.829.900 Euro</w:t>
      </w:r>
    </w:p>
    <w:p w:rsidR="00DD3048" w:rsidRDefault="00C6581E" w:rsidP="00C6581E">
      <w:pPr>
        <w:pStyle w:val="LTAntwortRessortText"/>
        <w:spacing w:before="0"/>
        <w:ind w:left="1020" w:hanging="340"/>
      </w:pPr>
      <w:r>
        <w:t>–</w:t>
      </w:r>
      <w:r>
        <w:tab/>
      </w:r>
      <w:r w:rsidR="00DD3048">
        <w:t>Haushaltsjahr 2022 (bisher): 9.135.068 Euro / VE: 4.544.000 Euro</w:t>
      </w:r>
    </w:p>
    <w:p w:rsidR="00DD3048" w:rsidRDefault="00C6581E" w:rsidP="00C6581E">
      <w:pPr>
        <w:pStyle w:val="LTAntwortRessortText"/>
        <w:spacing w:before="0"/>
        <w:ind w:left="1020" w:hanging="340"/>
      </w:pPr>
      <w:r>
        <w:t>–</w:t>
      </w:r>
      <w:r>
        <w:tab/>
      </w:r>
      <w:r w:rsidR="00DD3048">
        <w:t>Haushaltsjahr 2023: 3.050.000 Euro / VE: 6.909.800 Euro</w:t>
      </w:r>
    </w:p>
    <w:p w:rsidR="00DD3048" w:rsidRDefault="00C6581E" w:rsidP="00C6581E">
      <w:pPr>
        <w:pStyle w:val="LTAntwortRessortText"/>
        <w:spacing w:before="120"/>
        <w:ind w:left="680" w:hanging="340"/>
      </w:pPr>
      <w:r>
        <w:t>–</w:t>
      </w:r>
      <w:r>
        <w:tab/>
      </w:r>
      <w:r w:rsidR="00DD3048">
        <w:t>Bioökonomie: Die Bewilligung erfolgte als FuE-Projektförderung im Rahmen des</w:t>
      </w:r>
      <w:r>
        <w:t xml:space="preserve"> </w:t>
      </w:r>
      <w:r w:rsidR="00DD3048">
        <w:t xml:space="preserve">Programms BayVFP </w:t>
      </w:r>
      <w:r>
        <w:t>–</w:t>
      </w:r>
      <w:r w:rsidR="00DD3048">
        <w:t xml:space="preserve"> Förderlinie Life Science (insgesamt vier Projekte mit einer</w:t>
      </w:r>
      <w:r>
        <w:t xml:space="preserve"> </w:t>
      </w:r>
      <w:r w:rsidR="00DD3048">
        <w:t>Gesamtfördersumme von knapp 4,4 Mio. Euro). Bisher sind 1,8 Mio. Euro abgeflossen,</w:t>
      </w:r>
      <w:r>
        <w:t xml:space="preserve"> </w:t>
      </w:r>
      <w:r w:rsidR="00DD3048">
        <w:t>davon rund 0,4 Mio. Euro in 2021 und rund 1,4 Mio. Euro in 2022. I</w:t>
      </w:r>
      <w:r>
        <w:t>m Jahr</w:t>
      </w:r>
      <w:r w:rsidR="00DD3048">
        <w:t xml:space="preserve"> 2023</w:t>
      </w:r>
      <w:r>
        <w:t xml:space="preserve"> </w:t>
      </w:r>
      <w:r w:rsidR="00DD3048">
        <w:t>werden voraussichtlich rund 1,5 Mio. Euro abfließen. Damit sind knapp 75 Prozent</w:t>
      </w:r>
      <w:r>
        <w:t xml:space="preserve"> </w:t>
      </w:r>
      <w:r w:rsidR="00DD3048">
        <w:t>der für die Jahre 2021 und 2022 bewilligten Mittel bereits abgeflossen. Bereits genutzte</w:t>
      </w:r>
      <w:r>
        <w:t xml:space="preserve"> </w:t>
      </w:r>
      <w:r w:rsidR="00DD3048">
        <w:t>VE: Für das Projekt Informationskampagne läuft die Ausschreibung (Kostenschätzung</w:t>
      </w:r>
      <w:r>
        <w:t xml:space="preserve"> </w:t>
      </w:r>
      <w:r w:rsidR="00DD3048">
        <w:t>für 2022/2023 rund 134.000 Euro).</w:t>
      </w:r>
    </w:p>
    <w:p w:rsidR="00DD3048" w:rsidRDefault="00C6581E" w:rsidP="00C6581E">
      <w:pPr>
        <w:pStyle w:val="LTAntwortRessortText"/>
        <w:spacing w:before="120"/>
        <w:ind w:left="680" w:hanging="340"/>
      </w:pPr>
      <w:r>
        <w:t>–</w:t>
      </w:r>
      <w:r>
        <w:tab/>
      </w:r>
      <w:r w:rsidR="00DD3048">
        <w:t xml:space="preserve">Innovative Antriebstechnologien für mobile Anwendungen: Über das BayVFP </w:t>
      </w:r>
      <w:r>
        <w:t>–</w:t>
      </w:r>
      <w:r w:rsidR="00DD3048">
        <w:t>Förderlinie Mobilität wurden insgesamt Zuwendungen für FuE-Projekte in Höhe von</w:t>
      </w:r>
      <w:r>
        <w:t xml:space="preserve"> </w:t>
      </w:r>
      <w:r w:rsidR="00DD3048">
        <w:t>circa 9,1 Mio. Euro aus den Mitteln des Automobilfonds bewilligt (</w:t>
      </w:r>
      <w:r>
        <w:t xml:space="preserve">Kap. </w:t>
      </w:r>
      <w:r w:rsidR="00DD3048">
        <w:t>07</w:t>
      </w:r>
      <w:r>
        <w:t> 02 Tit.</w:t>
      </w:r>
      <w:r w:rsidR="00DD3048">
        <w:t xml:space="preserve"> 683</w:t>
      </w:r>
      <w:r>
        <w:t xml:space="preserve"> </w:t>
      </w:r>
      <w:r w:rsidR="00DD3048">
        <w:t xml:space="preserve">86 und </w:t>
      </w:r>
      <w:r>
        <w:t xml:space="preserve">Kap. </w:t>
      </w:r>
      <w:r w:rsidR="00DD3048">
        <w:t>07</w:t>
      </w:r>
      <w:r>
        <w:t> </w:t>
      </w:r>
      <w:r w:rsidR="00DD3048">
        <w:t xml:space="preserve">02 </w:t>
      </w:r>
      <w:r>
        <w:t>Tit.</w:t>
      </w:r>
      <w:r w:rsidR="00DD3048">
        <w:t xml:space="preserve"> 685 86). Davon sind bis 2022 bereits rund 2,2 Mio. Euro ausgezahlt</w:t>
      </w:r>
      <w:r>
        <w:t xml:space="preserve"> worden. Im Jahr</w:t>
      </w:r>
      <w:r w:rsidR="00DD3048">
        <w:t xml:space="preserve"> 2023 werden voraussichtlich weitere 2,3 Mio. Euro abfließen.</w:t>
      </w:r>
      <w:r>
        <w:t xml:space="preserve"> </w:t>
      </w:r>
      <w:r w:rsidR="00DD3048">
        <w:t>Anmerkung: In diesen Mitteln sind FuE-Projekte im Umfeld der IAA enthalten.</w:t>
      </w:r>
    </w:p>
    <w:p w:rsidR="00DD3048" w:rsidRDefault="00C6581E" w:rsidP="00C6581E">
      <w:pPr>
        <w:pStyle w:val="LTAntwortRessortText"/>
        <w:spacing w:before="120"/>
        <w:ind w:left="680" w:hanging="340"/>
      </w:pPr>
      <w:r>
        <w:lastRenderedPageBreak/>
        <w:t>–</w:t>
      </w:r>
      <w:r>
        <w:tab/>
      </w:r>
      <w:r w:rsidR="00DD3048">
        <w:t>Additive Fertigung und Leichtbautechnik: Die Bewilligung der vorgesehenen Mittel</w:t>
      </w:r>
      <w:r>
        <w:t xml:space="preserve"> </w:t>
      </w:r>
      <w:r w:rsidR="00DD3048">
        <w:t>i.</w:t>
      </w:r>
      <w:r>
        <w:t> </w:t>
      </w:r>
      <w:r w:rsidR="00DD3048">
        <w:t>H.</w:t>
      </w:r>
      <w:r>
        <w:t> </w:t>
      </w:r>
      <w:r w:rsidR="00DD3048">
        <w:t>v. 5 Mio. Euro erfolgte als Projektförderung im Rahmen der Förderlinie Materialien</w:t>
      </w:r>
      <w:r>
        <w:t xml:space="preserve"> </w:t>
      </w:r>
      <w:r w:rsidR="00DD3048">
        <w:t>und Werkstoffe des BayVFP. Die 5 Mio. Euro wurden seit 2020 vollständig</w:t>
      </w:r>
      <w:r>
        <w:t xml:space="preserve"> </w:t>
      </w:r>
      <w:r w:rsidR="00DD3048">
        <w:t>bewilligt.</w:t>
      </w:r>
    </w:p>
    <w:p w:rsidR="00DD3048" w:rsidRDefault="00C6581E" w:rsidP="00C6581E">
      <w:pPr>
        <w:pStyle w:val="LTAntwortRessortText"/>
        <w:spacing w:before="120"/>
        <w:ind w:left="680" w:hanging="340"/>
      </w:pPr>
      <w:r>
        <w:t>–</w:t>
      </w:r>
      <w:r>
        <w:tab/>
      </w:r>
      <w:r>
        <w:tab/>
      </w:r>
      <w:r w:rsidR="00DD3048">
        <w:t>Digitalisierung: Die Bewilligung der vorgesehenen Mittel i.</w:t>
      </w:r>
      <w:r>
        <w:t> </w:t>
      </w:r>
      <w:r w:rsidR="00DD3048">
        <w:t>H.</w:t>
      </w:r>
      <w:r>
        <w:t> </w:t>
      </w:r>
      <w:r w:rsidR="00DD3048">
        <w:t>v. 8 Mio. Euro erfolgte</w:t>
      </w:r>
      <w:r>
        <w:t xml:space="preserve"> </w:t>
      </w:r>
      <w:r w:rsidR="00DD3048">
        <w:t>als Projekt</w:t>
      </w:r>
      <w:r>
        <w:t>förderung im Rahmen des BayVFP –</w:t>
      </w:r>
      <w:r w:rsidR="00DD3048">
        <w:t xml:space="preserve"> Förderlinie Digitalisierung, wobei</w:t>
      </w:r>
      <w:r>
        <w:t xml:space="preserve"> </w:t>
      </w:r>
      <w:r w:rsidR="00DD3048">
        <w:t>alle Verpflichtungsermächtigungen restlos gebunden sind. Ausgezahlt wurden bisher</w:t>
      </w:r>
      <w:r>
        <w:t xml:space="preserve"> </w:t>
      </w:r>
      <w:r w:rsidR="00DD3048">
        <w:t>knapp über 5,4 Mio. Euro (2020: 38.000 Euro; 2021: rund 1,1 Mio. Euro; 2022:</w:t>
      </w:r>
      <w:r>
        <w:t xml:space="preserve"> </w:t>
      </w:r>
      <w:r w:rsidR="00DD3048">
        <w:t>rund 3 Mio. Euro: 2023 bisher: rund 1,26 Mio. Euro).</w:t>
      </w:r>
    </w:p>
    <w:p w:rsidR="00DD3048" w:rsidRDefault="00C6581E" w:rsidP="00C6581E">
      <w:pPr>
        <w:pStyle w:val="LTAntwortRessortText"/>
        <w:spacing w:before="120"/>
        <w:ind w:left="680" w:hanging="340"/>
      </w:pPr>
      <w:r>
        <w:t>–</w:t>
      </w:r>
      <w:r>
        <w:tab/>
      </w:r>
      <w:r w:rsidR="00DD3048">
        <w:t>Die Mittel für Berufsbildungsinvestitionen sind erst für einen späteren Zeitraum</w:t>
      </w:r>
      <w:r>
        <w:t xml:space="preserve"> </w:t>
      </w:r>
      <w:r w:rsidR="00DD3048">
        <w:t>(2023) angesetzt.</w:t>
      </w:r>
    </w:p>
    <w:p w:rsidR="00DD3048" w:rsidRDefault="00DD3048" w:rsidP="00DD3048">
      <w:pPr>
        <w:pStyle w:val="LTAntwortRessortText"/>
      </w:pPr>
      <w:r>
        <w:t xml:space="preserve">Für Projekte im Umfeld der IAA sind finanziert aus dem </w:t>
      </w:r>
      <w:r w:rsidR="00C6581E">
        <w:t xml:space="preserve">Kap. </w:t>
      </w:r>
      <w:r>
        <w:t>07</w:t>
      </w:r>
      <w:r w:rsidR="00C6581E">
        <w:t> </w:t>
      </w:r>
      <w:r>
        <w:t xml:space="preserve">02 </w:t>
      </w:r>
      <w:r w:rsidR="00C6581E">
        <w:t>Tit.</w:t>
      </w:r>
      <w:r>
        <w:t xml:space="preserve"> 685 86 insgesamt</w:t>
      </w:r>
      <w:r w:rsidR="00C6581E">
        <w:t xml:space="preserve"> </w:t>
      </w:r>
      <w:r>
        <w:t>15 Mio. Euro von der Staatsregierung zugesagt. Bislang sind insgesamt rund 1,15 Mio.</w:t>
      </w:r>
      <w:r w:rsidR="00C6581E">
        <w:t xml:space="preserve"> </w:t>
      </w:r>
      <w:r>
        <w:t>Euro abgeflossen. Zu</w:t>
      </w:r>
      <w:r w:rsidR="00C6581E">
        <w:t>dem wurden Mittelzuweisungen i. </w:t>
      </w:r>
      <w:r>
        <w:t>H.</w:t>
      </w:r>
      <w:r w:rsidR="00C6581E">
        <w:t> </w:t>
      </w:r>
      <w:r>
        <w:t>v. 38.500 Euro im Jahr 2021</w:t>
      </w:r>
      <w:r w:rsidR="00C6581E">
        <w:t xml:space="preserve"> </w:t>
      </w:r>
      <w:r>
        <w:t>und i.</w:t>
      </w:r>
      <w:r w:rsidR="00C6581E">
        <w:t> </w:t>
      </w:r>
      <w:r>
        <w:t>H.</w:t>
      </w:r>
      <w:r w:rsidR="00C6581E">
        <w:t> </w:t>
      </w:r>
      <w:r>
        <w:t>v. 65.459 Euro im Jahr 2022 vorgenommen. Derzeit werden weitere Projekte</w:t>
      </w:r>
      <w:r w:rsidR="00C6581E">
        <w:t xml:space="preserve"> </w:t>
      </w:r>
      <w:r>
        <w:t>im Rahmen der Zweckbestimmung des Titels zur Förderung identifiziert, unter anderem</w:t>
      </w:r>
      <w:r w:rsidR="00C6581E">
        <w:t xml:space="preserve"> </w:t>
      </w:r>
      <w:r>
        <w:t>auch für Ausgaben im Umfeld der IAA. Eine genaue Quantifizierung ist derzeit</w:t>
      </w:r>
      <w:r w:rsidR="00C6581E">
        <w:t xml:space="preserve"> </w:t>
      </w:r>
      <w:r>
        <w:t>noch nicht möglich.</w:t>
      </w:r>
    </w:p>
    <w:p w:rsidR="00DD3048" w:rsidRDefault="00DD3048">
      <w:bookmarkStart w:id="86" w:name="Frage_Nr_42_Ende"/>
      <w:bookmarkEnd w:id="8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2"/>
        <w:gridCol w:w="5784"/>
      </w:tblGrid>
      <w:tr w:rsidR="00DD3048" w:rsidTr="007B0B33">
        <w:tc>
          <w:tcPr>
            <w:tcW w:w="2050" w:type="dxa"/>
          </w:tcPr>
          <w:p w:rsidR="00DD3048" w:rsidRDefault="00DD3048" w:rsidP="00DD3048">
            <w:pPr>
              <w:pStyle w:val="LTAnfrageInitiator"/>
            </w:pPr>
            <w:r>
              <w:lastRenderedPageBreak/>
              <w:t>Abgeordneter</w:t>
            </w:r>
            <w:r>
              <w:rPr>
                <w:b/>
              </w:rPr>
              <w:br/>
              <w:t>Ferdinand</w:t>
            </w:r>
            <w:r>
              <w:rPr>
                <w:b/>
              </w:rPr>
              <w:br/>
              <w:t>Mang</w:t>
            </w:r>
            <w:r>
              <w:rPr>
                <w:b/>
              </w:rPr>
              <w:br/>
            </w:r>
            <w:r>
              <w:t>(AfD)</w:t>
            </w:r>
            <w:bookmarkStart w:id="87" w:name="Frage_Nr_43"/>
            <w:bookmarkEnd w:id="87"/>
          </w:p>
        </w:tc>
        <w:tc>
          <w:tcPr>
            <w:tcW w:w="7200" w:type="dxa"/>
          </w:tcPr>
          <w:p w:rsidR="00DD3048" w:rsidRDefault="00C6581E" w:rsidP="00DD3048">
            <w:pPr>
              <w:pStyle w:val="LTAnfrageText"/>
            </w:pPr>
            <w:r w:rsidRPr="00C6581E">
              <w:t>Ich frage die Staatsregierung, wie beurteilt sie die rasch steigende Zahl von Unternehmensinsolvenzen (plus 16,3 Prozent gegenüber dem Vorjahreszeitraum im ersten Quartal 2023), was sind nach Einschätzung der Staatsregierung die Gründe für die steigenden Unternehmensinsolvenzen und welche Auswirkungen werden diese Unternehmensinsolvenzen nach Einschätzung der Staatsregierung auf den Staatshaushalt haben?</w:t>
            </w:r>
          </w:p>
        </w:tc>
      </w:tr>
    </w:tbl>
    <w:p w:rsidR="00DD3048" w:rsidRDefault="00DD3048" w:rsidP="00DD3048">
      <w:pPr>
        <w:pStyle w:val="LTUeberschrAntwortRessort"/>
      </w:pPr>
      <w:r>
        <w:t>Antwort des Staatsministeriums für Wirtschaft, Landesentwicklung und Energie</w:t>
      </w:r>
    </w:p>
    <w:p w:rsidR="00DD3048" w:rsidRDefault="00DD3048" w:rsidP="00DD3048">
      <w:pPr>
        <w:pStyle w:val="LTAntwortRessortText"/>
      </w:pPr>
      <w:r>
        <w:t xml:space="preserve">Nach den Zahlen des Landesamtes für Statistik (BLfS) registrierten die bayerischen Insolvenzgerichte im ersten Quartal 2023 insgesamt 577 Unternehmensinsolvenzen (plus 16,3 </w:t>
      </w:r>
      <w:r w:rsidR="00611DAF">
        <w:t>Prozent</w:t>
      </w:r>
      <w:r>
        <w:t xml:space="preserve"> gegenüber dem entsprechenden Vorjahresquartal). Das BLfS weist darauf hin, dass sich die Unternehmensinsolvenzen immer noch auf einem niedrigen Niveau bewegen. Im Vergleichszeitraum 2019 wurden 697 Unternehmensinsolvenzen registriert. Während der Corona</w:t>
      </w:r>
      <w:r w:rsidR="00006DB3">
        <w:t>p</w:t>
      </w:r>
      <w:r>
        <w:t>andemie und auch schon davor war die Zahl der Unternehmensinsolvenzen rückläufig. Gegenwärtig ist also eher eine gewisse Normalisierung des Insolvenzgeschehens zu beobachten als die vielfach angenommene Insolvenzwelle.</w:t>
      </w:r>
    </w:p>
    <w:p w:rsidR="00DD3048" w:rsidRDefault="00DD3048" w:rsidP="00DD3048">
      <w:pPr>
        <w:pStyle w:val="LTAntwortRessortText"/>
      </w:pPr>
      <w:r>
        <w:t>Unternehmen sehen sich gegenwärtig vielfältigen wirtschaftlichen Herausforderungen gegenüber, beispielsweise der Kostenbelastung durch hohe Energie- und Materialpreise, einer Verschlechterung des Konsumklimas aufgrund der hohen Inflationsraten, einem Anstieg des Zinsniveaus sowie dem zunehmenden Fachkräftemangel. Treffen mehrere der vorgenannten Herausforderungen auf ohnehin durch die zurückliegenden Krisen geschwächte Unternehmen, sind gravierende Liquiditätsengpässe nicht ausgeschlossen, die dann auch zur Insolvenzantragspflicht führen können. Grundsätzlich bietet die deutsche Insolvenzordnung aber immer auch die Chance zur Sanierung.</w:t>
      </w:r>
    </w:p>
    <w:p w:rsidR="00DD3048" w:rsidRDefault="00DD3048" w:rsidP="00DD3048">
      <w:pPr>
        <w:pStyle w:val="LTAntwortRessortText"/>
      </w:pPr>
      <w:r>
        <w:t>Zum gegenwärtigen Zeitpunkt ist eine belastbare Einschätzung zu den Auswirkungen des Insolvenzgeschehens auf den Staatshaushalt nicht möglich.</w:t>
      </w:r>
    </w:p>
    <w:p w:rsidR="00DD3048" w:rsidRDefault="00DD3048">
      <w:bookmarkStart w:id="88" w:name="Frage_Nr_43_Ende"/>
      <w:bookmarkEnd w:id="8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7"/>
        <w:gridCol w:w="5759"/>
      </w:tblGrid>
      <w:tr w:rsidR="00DD3048" w:rsidTr="007B0B33">
        <w:tc>
          <w:tcPr>
            <w:tcW w:w="2050" w:type="dxa"/>
          </w:tcPr>
          <w:p w:rsidR="00DD3048" w:rsidRDefault="00DD3048" w:rsidP="00DD3048">
            <w:pPr>
              <w:pStyle w:val="LTAnfrageInitiator"/>
            </w:pPr>
            <w:r>
              <w:lastRenderedPageBreak/>
              <w:t>Abgeordnete</w:t>
            </w:r>
            <w:r>
              <w:rPr>
                <w:b/>
              </w:rPr>
              <w:br/>
              <w:t>Ursula</w:t>
            </w:r>
            <w:r>
              <w:rPr>
                <w:b/>
              </w:rPr>
              <w:br/>
              <w:t>Sowa</w:t>
            </w:r>
            <w:r>
              <w:rPr>
                <w:b/>
              </w:rPr>
              <w:br/>
            </w:r>
            <w:r>
              <w:t>(BÜNDNIS 90/DIE GRÜNEN)</w:t>
            </w:r>
            <w:bookmarkStart w:id="89" w:name="Frage_Nr_44"/>
            <w:bookmarkEnd w:id="89"/>
          </w:p>
        </w:tc>
        <w:tc>
          <w:tcPr>
            <w:tcW w:w="7200" w:type="dxa"/>
          </w:tcPr>
          <w:p w:rsidR="00DD3048" w:rsidRDefault="00006DB3">
            <w:pPr>
              <w:pStyle w:val="LTAnfrageText"/>
            </w:pPr>
            <w:r w:rsidRPr="00006DB3">
              <w:t xml:space="preserve">Vor dem Hintergrund, dass die Staatsregierung in ihrer Wasserstoffstrategie auf Seite 5 zum Ausdruck bringt, dass grüner Wasserstoff eine tragende Säule des zukünftigen Energiesystems sein soll, auf Seite 22 über ihr zentrales Ziel bayernweit 100 Wasserstofftankstellen bis 2023 zu verwirklichen informiert und dies von Staatsminister für Wirtschaft, Landesentwicklung und Energie </w:t>
            </w:r>
            <w:r w:rsidR="005E0362">
              <w:t xml:space="preserve">Hubert Aiwanger </w:t>
            </w:r>
            <w:r w:rsidRPr="00006DB3">
              <w:t xml:space="preserve">in seiner Antwort auf die Anfrage „100 Wasserstofftankstellen“ der Abgeordneten Ursula Sowa (BÜNDNIS 90/DIE GRÜNEN) vom 14.08.2020, (84-8293/154/4) erneut bestätigt hat, frage ich die Staatsregierung, wie viele Wasserstofftankstellen wurden bisher von diesen 100 gebaut, wo stehen sie (bitte mit Angabe der jeweiligen Adresse) und werden sie jeweils mit grünem, grauem oder blauem Wasserstoff betrieben?  </w:t>
            </w:r>
          </w:p>
        </w:tc>
      </w:tr>
    </w:tbl>
    <w:p w:rsidR="00DD3048" w:rsidRDefault="00DD3048" w:rsidP="00DD3048">
      <w:pPr>
        <w:pStyle w:val="LTUeberschrAntwortRessort"/>
      </w:pPr>
      <w:r>
        <w:t>Antwort des Staatsministeriums für Wirtschaft, Landesentwicklung und Energie</w:t>
      </w:r>
    </w:p>
    <w:p w:rsidR="00DD3048" w:rsidRDefault="00DD3048" w:rsidP="00DD3048">
      <w:pPr>
        <w:pStyle w:val="LTAntwortRessortText"/>
      </w:pPr>
      <w:r>
        <w:t xml:space="preserve">Bayern startete im Jahr 2020 das bundesweit erste Landesförderprogramm für Wasserstofftankstellen. Im Rahmen des Förderprogramms zum Aufbau einer Wasserstofftankstelleninfrastruktur in Bayern liegt der Fokus auf der Neuerrichtung von öffentlichen und nichtöffentlichen Tankstellen für wasserstoffbetriebene Nutzfahrzeuge, Kraftomnibusse und Sonderfahrzeuge in der Logistik. Im Rahmen dieses Förderprogramms, wurden bisher insgesamt 18 Projekte bewilligt, davon sind 8 Tankstellen bereits im Bau. Sechs weitere Projekte befinden sich derzeit in der fortgeschrittenen Prüfungsphase durch den Projektträger. Erste Inbetriebnahmen werden in diesem Jahr folgen, ebenso ein weiterer Förderaufruf nach Novellierung der Förderrichtlinie aufgrund der im März 2023 überarbeiteten Allgemeinen Gruppenfreistellungsverordnung. Daneben sind bereits 17 Wasserstofftankstellen in Betrieb. Plattformen wie </w:t>
      </w:r>
      <w:r w:rsidR="00006DB3">
        <w:t>„</w:t>
      </w:r>
      <w:r>
        <w:t>H2 tanken</w:t>
      </w:r>
      <w:r w:rsidR="00006DB3">
        <w:t>“</w:t>
      </w:r>
      <w:r>
        <w:t xml:space="preserve"> (H2 Mobility) geben tagesaktuell Übersicht über alle sich in Betrieb befindlichen Tankstellen (mit Anschrift und weiteren Informationen</w:t>
      </w:r>
      <w:r w:rsidR="00006DB3">
        <w:t xml:space="preserve"> </w:t>
      </w:r>
      <w:r w:rsidR="00006DB3">
        <w:rPr>
          <w:rStyle w:val="Funotenzeichen"/>
        </w:rPr>
        <w:footnoteReference w:id="12"/>
      </w:r>
      <w:r>
        <w:t>).</w:t>
      </w:r>
    </w:p>
    <w:p w:rsidR="00DD3048" w:rsidRDefault="00DD3048" w:rsidP="00DD3048">
      <w:pPr>
        <w:pStyle w:val="LTAntwortRessortText"/>
      </w:pPr>
      <w:r>
        <w:t>Der Freistaat Bayern unterstützt darüber hinaus den Einsatz von Wasserstoff in der Mobilität übergreifend und anwendungs- sowie technologieoffen. Das kommende bayerische Förderprogramm zum Aufbau einer Elektrolys</w:t>
      </w:r>
      <w:r w:rsidR="00006DB3">
        <w:t>e-Infrastruktur sowie die Förde</w:t>
      </w:r>
      <w:r>
        <w:t>rung der Entwicklung innovativer Wasserstoffantriebs- und Tanktechnologien im Rahmen des Bayerischen Energieforschungsprogramms schaffen eine Multiplikator-Wirkung für den Hochlauf der Wasserstoff-Mobilität insgesamt.</w:t>
      </w:r>
    </w:p>
    <w:p w:rsidR="00DD3048" w:rsidRDefault="00DD3048" w:rsidP="00DD3048">
      <w:pPr>
        <w:pStyle w:val="LTAntwortRessortText"/>
      </w:pPr>
      <w:r>
        <w:t>Der Aufbau der Wasserstoff(-tankstellen)-Infrastruktur in Bayern läuft auf Hochtouren. Bayern ist Spitzenreiter unter den Bundesländern bei Wasserstofftankstellen und in Kürze werden neue Tankstellen dazukommen. Allerdings darf Bayern keine Wasser-stofftankstellen fördern, für die zeitgleich eine Förderung vom Bund besteht. Um die in Bayern avisierten und notwendigen 100 Tankstellen zeitnah zu erreichen, muss der Bund sein Zögern bei der Wasserstofftechnologie beenden und sein Engagement bei der Förderung von Wasserstofftankstellen rasch deutlich ausbauen.</w:t>
      </w:r>
    </w:p>
    <w:p w:rsidR="00DD3048" w:rsidRDefault="00DD3048">
      <w:bookmarkStart w:id="90" w:name="Frage_Nr_44_Ende"/>
      <w:bookmarkEnd w:id="9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DD3048" w:rsidTr="007B0B33">
        <w:tc>
          <w:tcPr>
            <w:tcW w:w="2050" w:type="dxa"/>
          </w:tcPr>
          <w:p w:rsidR="00DD3048" w:rsidRDefault="00DD3048" w:rsidP="00DD3048">
            <w:pPr>
              <w:pStyle w:val="LTAnfrageInitiator"/>
            </w:pPr>
            <w:r>
              <w:lastRenderedPageBreak/>
              <w:t>Abgeordneter</w:t>
            </w:r>
            <w:r>
              <w:rPr>
                <w:b/>
              </w:rPr>
              <w:br/>
              <w:t>Martin</w:t>
            </w:r>
            <w:r>
              <w:rPr>
                <w:b/>
              </w:rPr>
              <w:br/>
              <w:t>Stümpfig</w:t>
            </w:r>
            <w:r>
              <w:rPr>
                <w:b/>
              </w:rPr>
              <w:br/>
            </w:r>
            <w:r>
              <w:t>(BÜNDNIS 90/DIE GRÜNEN)</w:t>
            </w:r>
            <w:bookmarkStart w:id="91" w:name="Frage_Nr_45"/>
            <w:bookmarkEnd w:id="91"/>
          </w:p>
        </w:tc>
        <w:tc>
          <w:tcPr>
            <w:tcW w:w="7200" w:type="dxa"/>
          </w:tcPr>
          <w:p w:rsidR="00DD3048" w:rsidRDefault="00006DB3" w:rsidP="00DD3048">
            <w:pPr>
              <w:pStyle w:val="LTAnfrageText"/>
            </w:pPr>
            <w:r w:rsidRPr="00006DB3">
              <w:t xml:space="preserve">Ich frage die Staatsregierung, wie lange dauern Genehmigungsverfahren von Windrädern in Bayern durchschnittlich, in welchen Jahren wurden die Genehmigungsanträge für die 47 Windräder, die sich derzeit laut einer Pressemitteilung des Staatsministeriums für Wirtschaft, Landesentwicklung und Energie vom 27.06.2023 in einem Genehmigungsverfahren befinden, gestellt (bitte einzeln auflisten) und welche Schritte plant die Staatsregierung, um schnellere Genehmigungen von Windradprojekten, wie zum Beispiel die Einführung einer Task Force Erneuerbare, zu ermöglichen? </w:t>
            </w:r>
          </w:p>
        </w:tc>
      </w:tr>
    </w:tbl>
    <w:p w:rsidR="00DD3048" w:rsidRDefault="00DD3048" w:rsidP="00DD3048">
      <w:pPr>
        <w:pStyle w:val="LTUeberschrAntwortRessort"/>
      </w:pPr>
      <w:r>
        <w:t>Antwort des Staatsministeriums für Wirtschaft, Landesentwicklung und Energie</w:t>
      </w:r>
    </w:p>
    <w:p w:rsidR="00DD3048" w:rsidRDefault="00DD3048" w:rsidP="00DD3048">
      <w:pPr>
        <w:pStyle w:val="LTAntwortRessortText"/>
      </w:pPr>
      <w:r>
        <w:t xml:space="preserve">Aktuelle Zahlen zur Genehmigungsdauer von Windenergieanlagen finden sich im </w:t>
      </w:r>
      <w:r w:rsidR="00006DB3">
        <w:t>„</w:t>
      </w:r>
      <w:r>
        <w:t>Bericht zum Stand des Ausbaus der Nutzung erneuerbarer Energien sowie zu Flächen, Planungen und Genehmigungen für die Windenergienutzung an Land</w:t>
      </w:r>
      <w:r w:rsidR="00006DB3">
        <w:t>“</w:t>
      </w:r>
      <w:r>
        <w:t xml:space="preserve"> des Freistaat</w:t>
      </w:r>
      <w:r w:rsidR="00006DB3">
        <w:t>e</w:t>
      </w:r>
      <w:r>
        <w:t>s Bayern an den Bund-Länder-Kooperationsausschuss (Berichtsjahr 2023, wird auf den Internetseiten des Bundesministeriums für Wirtschaft und Klimaschutz veröffentlicht):</w:t>
      </w:r>
    </w:p>
    <w:p w:rsidR="00DD3048" w:rsidRDefault="00006DB3" w:rsidP="00006DB3">
      <w:pPr>
        <w:pStyle w:val="LTAntwortRessortText"/>
        <w:spacing w:before="120"/>
      </w:pPr>
      <w:r>
        <w:t>„</w:t>
      </w:r>
      <w:r w:rsidR="00DD3048">
        <w:t>Die durchschnittliche Dauer der Genehmigungsverfahren beträgt für den Zeitraum zwischen Ersteinreichung der Antragsunterlagen bei der genehmigenden Stelle im Sinne des § 6 der 9. Verordnung zur Durchführung des Bundes-Immissionsschutzgesetzes (9. BImSchV) und dem Datum der Genehmigungserteilung rund 7 Monate. Die durchschnittliche Dauer der Genehmigungsverfahren im Berichtszeitraum beträgt für den Zeitraum zwischen Feststellen der Vollständigkeit der Antragsunterlagen durch die genehmigende Stelle gemäß § 7 der 9. BImSchV und dem Datum der Geneh</w:t>
      </w:r>
      <w:r>
        <w:t>migungserteilung rund 4 Monate.“</w:t>
      </w:r>
    </w:p>
    <w:p w:rsidR="00DD3048" w:rsidRDefault="00DD3048" w:rsidP="00DD3048">
      <w:pPr>
        <w:pStyle w:val="LTAntwortRessortText"/>
      </w:pPr>
      <w:r>
        <w:t xml:space="preserve">Derzeit sind insgesamt 49 Windenergieanlagen </w:t>
      </w:r>
      <w:r w:rsidR="007A0AC1">
        <w:t xml:space="preserve">(WEA) </w:t>
      </w:r>
      <w:r>
        <w:t>mit einer Gesamtleistung von über 200 MW beantragt und noch nicht genehmigt (Stand 31.05.2023).</w:t>
      </w:r>
    </w:p>
    <w:p w:rsidR="00DD3048" w:rsidRDefault="00DD3048" w:rsidP="00DD3048">
      <w:pPr>
        <w:pStyle w:val="LTAntwortRessortText"/>
      </w:pPr>
    </w:p>
    <w:tbl>
      <w:tblPr>
        <w:tblStyle w:val="TableNormal"/>
        <w:tblW w:w="0" w:type="auto"/>
        <w:tblInd w:w="2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2"/>
        <w:gridCol w:w="2665"/>
      </w:tblGrid>
      <w:tr w:rsidR="00727C40" w:rsidRPr="00727C40" w:rsidTr="00727C40">
        <w:trPr>
          <w:trHeight w:val="251"/>
        </w:trPr>
        <w:tc>
          <w:tcPr>
            <w:tcW w:w="1282" w:type="dxa"/>
            <w:tcBorders>
              <w:left w:val="single" w:sz="2" w:space="0" w:color="000000"/>
              <w:bottom w:val="single" w:sz="2" w:space="0" w:color="000000"/>
              <w:right w:val="single" w:sz="2" w:space="0" w:color="000000"/>
            </w:tcBorders>
          </w:tcPr>
          <w:p w:rsidR="00727C40" w:rsidRPr="00727C40" w:rsidRDefault="00727C40" w:rsidP="00E214B5">
            <w:pPr>
              <w:pStyle w:val="TableParagraph"/>
              <w:ind w:left="0"/>
              <w:rPr>
                <w:rFonts w:ascii="Arial" w:hAnsi="Arial" w:cs="Arial"/>
                <w:sz w:val="18"/>
                <w:szCs w:val="18"/>
              </w:rPr>
            </w:pPr>
          </w:p>
        </w:tc>
        <w:tc>
          <w:tcPr>
            <w:tcW w:w="2665" w:type="dxa"/>
            <w:tcBorders>
              <w:left w:val="single" w:sz="2" w:space="0" w:color="000000"/>
              <w:bottom w:val="single" w:sz="2" w:space="0" w:color="000000"/>
              <w:right w:val="single" w:sz="2" w:space="0" w:color="000000"/>
            </w:tcBorders>
          </w:tcPr>
          <w:p w:rsidR="00727C40" w:rsidRPr="00727C40" w:rsidRDefault="00727C40" w:rsidP="00E214B5">
            <w:pPr>
              <w:pStyle w:val="TableParagraph"/>
              <w:ind w:left="273"/>
              <w:rPr>
                <w:rFonts w:ascii="Arial" w:hAnsi="Arial" w:cs="Arial"/>
                <w:b/>
                <w:sz w:val="18"/>
                <w:szCs w:val="18"/>
              </w:rPr>
            </w:pPr>
            <w:r w:rsidRPr="00727C40">
              <w:rPr>
                <w:rFonts w:ascii="Arial" w:hAnsi="Arial" w:cs="Arial"/>
                <w:b/>
                <w:sz w:val="18"/>
                <w:szCs w:val="18"/>
              </w:rPr>
              <w:t>Datum der Antragstellung</w:t>
            </w:r>
          </w:p>
        </w:tc>
      </w:tr>
      <w:tr w:rsidR="00727C40" w:rsidRPr="00727C40" w:rsidTr="00727C40">
        <w:trPr>
          <w:trHeight w:val="254"/>
        </w:trPr>
        <w:tc>
          <w:tcPr>
            <w:tcW w:w="1282" w:type="dxa"/>
            <w:tcBorders>
              <w:top w:val="single" w:sz="2" w:space="0" w:color="000000"/>
              <w:left w:val="single" w:sz="2" w:space="0" w:color="000000"/>
              <w:bottom w:val="single" w:sz="2" w:space="0" w:color="000000"/>
              <w:right w:val="single" w:sz="2" w:space="0" w:color="000000"/>
            </w:tcBorders>
          </w:tcPr>
          <w:p w:rsidR="00727C40" w:rsidRPr="00727C40" w:rsidRDefault="00727C40" w:rsidP="00E214B5">
            <w:pPr>
              <w:pStyle w:val="TableParagraph"/>
              <w:spacing w:line="234" w:lineRule="exact"/>
              <w:rPr>
                <w:rFonts w:ascii="Arial" w:hAnsi="Arial" w:cs="Arial"/>
                <w:sz w:val="18"/>
                <w:szCs w:val="18"/>
              </w:rPr>
            </w:pPr>
            <w:r w:rsidRPr="00727C40">
              <w:rPr>
                <w:rFonts w:ascii="Arial" w:hAnsi="Arial" w:cs="Arial"/>
                <w:sz w:val="18"/>
                <w:szCs w:val="18"/>
              </w:rPr>
              <w:t>WEA 1</w:t>
            </w:r>
          </w:p>
        </w:tc>
        <w:tc>
          <w:tcPr>
            <w:tcW w:w="2665" w:type="dxa"/>
            <w:tcBorders>
              <w:top w:val="single" w:sz="2" w:space="0" w:color="000000"/>
              <w:left w:val="single" w:sz="2" w:space="0" w:color="000000"/>
              <w:bottom w:val="single" w:sz="2" w:space="0" w:color="000000"/>
              <w:right w:val="single" w:sz="2" w:space="0" w:color="000000"/>
            </w:tcBorders>
          </w:tcPr>
          <w:p w:rsidR="00727C40" w:rsidRPr="00727C40" w:rsidRDefault="00727C40" w:rsidP="00E214B5">
            <w:pPr>
              <w:pStyle w:val="TableParagraph"/>
              <w:spacing w:line="234" w:lineRule="exact"/>
              <w:rPr>
                <w:rFonts w:ascii="Arial" w:hAnsi="Arial" w:cs="Arial"/>
                <w:sz w:val="18"/>
                <w:szCs w:val="18"/>
              </w:rPr>
            </w:pPr>
            <w:r w:rsidRPr="00727C40">
              <w:rPr>
                <w:rFonts w:ascii="Arial" w:hAnsi="Arial" w:cs="Arial"/>
                <w:sz w:val="18"/>
                <w:szCs w:val="18"/>
              </w:rPr>
              <w:t>23.10.2013</w:t>
            </w:r>
          </w:p>
        </w:tc>
      </w:tr>
      <w:tr w:rsidR="00727C40" w:rsidRPr="00727C40" w:rsidTr="00727C40">
        <w:trPr>
          <w:trHeight w:val="251"/>
        </w:trPr>
        <w:tc>
          <w:tcPr>
            <w:tcW w:w="1282" w:type="dxa"/>
            <w:tcBorders>
              <w:top w:val="single" w:sz="2" w:space="0" w:color="000000"/>
              <w:left w:val="single" w:sz="2" w:space="0" w:color="000000"/>
              <w:bottom w:val="single" w:sz="2" w:space="0" w:color="000000"/>
              <w:right w:val="single" w:sz="2" w:space="0" w:color="000000"/>
            </w:tcBorders>
          </w:tcPr>
          <w:p w:rsidR="00727C40" w:rsidRPr="00727C40" w:rsidRDefault="00727C40" w:rsidP="00E214B5">
            <w:pPr>
              <w:pStyle w:val="TableParagraph"/>
              <w:rPr>
                <w:rFonts w:ascii="Arial" w:hAnsi="Arial" w:cs="Arial"/>
                <w:sz w:val="18"/>
                <w:szCs w:val="18"/>
              </w:rPr>
            </w:pPr>
            <w:r w:rsidRPr="00727C40">
              <w:rPr>
                <w:rFonts w:ascii="Arial" w:hAnsi="Arial" w:cs="Arial"/>
                <w:sz w:val="18"/>
                <w:szCs w:val="18"/>
              </w:rPr>
              <w:t>WEA 2</w:t>
            </w:r>
          </w:p>
        </w:tc>
        <w:tc>
          <w:tcPr>
            <w:tcW w:w="2665" w:type="dxa"/>
            <w:tcBorders>
              <w:top w:val="single" w:sz="2" w:space="0" w:color="000000"/>
              <w:left w:val="single" w:sz="2" w:space="0" w:color="000000"/>
              <w:bottom w:val="single" w:sz="2" w:space="0" w:color="000000"/>
              <w:right w:val="single" w:sz="2" w:space="0" w:color="000000"/>
            </w:tcBorders>
          </w:tcPr>
          <w:p w:rsidR="00727C40" w:rsidRPr="00727C40" w:rsidRDefault="00727C40" w:rsidP="00E214B5">
            <w:pPr>
              <w:pStyle w:val="TableParagraph"/>
              <w:rPr>
                <w:rFonts w:ascii="Arial" w:hAnsi="Arial" w:cs="Arial"/>
                <w:sz w:val="18"/>
                <w:szCs w:val="18"/>
              </w:rPr>
            </w:pPr>
            <w:r w:rsidRPr="00727C40">
              <w:rPr>
                <w:rFonts w:ascii="Arial" w:hAnsi="Arial" w:cs="Arial"/>
                <w:sz w:val="18"/>
                <w:szCs w:val="18"/>
              </w:rPr>
              <w:t>23.10.2013</w:t>
            </w:r>
          </w:p>
        </w:tc>
      </w:tr>
      <w:tr w:rsidR="00727C40" w:rsidRPr="00727C40" w:rsidTr="00727C40">
        <w:trPr>
          <w:trHeight w:val="254"/>
        </w:trPr>
        <w:tc>
          <w:tcPr>
            <w:tcW w:w="1282" w:type="dxa"/>
            <w:tcBorders>
              <w:top w:val="single" w:sz="2" w:space="0" w:color="000000"/>
              <w:left w:val="single" w:sz="2" w:space="0" w:color="000000"/>
              <w:bottom w:val="single" w:sz="2" w:space="0" w:color="000000"/>
              <w:right w:val="single" w:sz="2" w:space="0" w:color="000000"/>
            </w:tcBorders>
          </w:tcPr>
          <w:p w:rsidR="00727C40" w:rsidRPr="00727C40" w:rsidRDefault="00727C40" w:rsidP="00E214B5">
            <w:pPr>
              <w:pStyle w:val="TableParagraph"/>
              <w:spacing w:line="234" w:lineRule="exact"/>
              <w:rPr>
                <w:rFonts w:ascii="Arial" w:hAnsi="Arial" w:cs="Arial"/>
                <w:sz w:val="18"/>
                <w:szCs w:val="18"/>
              </w:rPr>
            </w:pPr>
            <w:r w:rsidRPr="00727C40">
              <w:rPr>
                <w:rFonts w:ascii="Arial" w:hAnsi="Arial" w:cs="Arial"/>
                <w:sz w:val="18"/>
                <w:szCs w:val="18"/>
              </w:rPr>
              <w:t>WEA 3</w:t>
            </w:r>
          </w:p>
        </w:tc>
        <w:tc>
          <w:tcPr>
            <w:tcW w:w="2665" w:type="dxa"/>
            <w:tcBorders>
              <w:top w:val="single" w:sz="2" w:space="0" w:color="000000"/>
              <w:left w:val="single" w:sz="2" w:space="0" w:color="000000"/>
              <w:bottom w:val="single" w:sz="2" w:space="0" w:color="000000"/>
              <w:right w:val="single" w:sz="2" w:space="0" w:color="000000"/>
            </w:tcBorders>
          </w:tcPr>
          <w:p w:rsidR="00727C40" w:rsidRPr="00727C40" w:rsidRDefault="00727C40" w:rsidP="00E214B5">
            <w:pPr>
              <w:pStyle w:val="TableParagraph"/>
              <w:spacing w:line="234" w:lineRule="exact"/>
              <w:rPr>
                <w:rFonts w:ascii="Arial" w:hAnsi="Arial" w:cs="Arial"/>
                <w:sz w:val="18"/>
                <w:szCs w:val="18"/>
              </w:rPr>
            </w:pPr>
            <w:r w:rsidRPr="00727C40">
              <w:rPr>
                <w:rFonts w:ascii="Arial" w:hAnsi="Arial" w:cs="Arial"/>
                <w:sz w:val="18"/>
                <w:szCs w:val="18"/>
              </w:rPr>
              <w:t>23.10.2013</w:t>
            </w:r>
          </w:p>
        </w:tc>
      </w:tr>
      <w:tr w:rsidR="00727C40" w:rsidRPr="00727C40" w:rsidTr="00727C40">
        <w:trPr>
          <w:trHeight w:val="251"/>
        </w:trPr>
        <w:tc>
          <w:tcPr>
            <w:tcW w:w="1282" w:type="dxa"/>
            <w:tcBorders>
              <w:top w:val="single" w:sz="2" w:space="0" w:color="000000"/>
              <w:left w:val="single" w:sz="2" w:space="0" w:color="000000"/>
              <w:bottom w:val="single" w:sz="2" w:space="0" w:color="000000"/>
              <w:right w:val="single" w:sz="2" w:space="0" w:color="000000"/>
            </w:tcBorders>
          </w:tcPr>
          <w:p w:rsidR="00727C40" w:rsidRPr="00727C40" w:rsidRDefault="00727C40" w:rsidP="00E214B5">
            <w:pPr>
              <w:pStyle w:val="TableParagraph"/>
              <w:rPr>
                <w:rFonts w:ascii="Arial" w:hAnsi="Arial" w:cs="Arial"/>
                <w:sz w:val="18"/>
                <w:szCs w:val="18"/>
              </w:rPr>
            </w:pPr>
            <w:r w:rsidRPr="00727C40">
              <w:rPr>
                <w:rFonts w:ascii="Arial" w:hAnsi="Arial" w:cs="Arial"/>
                <w:sz w:val="18"/>
                <w:szCs w:val="18"/>
              </w:rPr>
              <w:t>WEA 4</w:t>
            </w:r>
          </w:p>
        </w:tc>
        <w:tc>
          <w:tcPr>
            <w:tcW w:w="2665" w:type="dxa"/>
            <w:tcBorders>
              <w:top w:val="single" w:sz="2" w:space="0" w:color="000000"/>
              <w:left w:val="single" w:sz="2" w:space="0" w:color="000000"/>
              <w:bottom w:val="single" w:sz="2" w:space="0" w:color="000000"/>
              <w:right w:val="single" w:sz="2" w:space="0" w:color="000000"/>
            </w:tcBorders>
          </w:tcPr>
          <w:p w:rsidR="00727C40" w:rsidRPr="00727C40" w:rsidRDefault="00727C40" w:rsidP="00E214B5">
            <w:pPr>
              <w:pStyle w:val="TableParagraph"/>
              <w:rPr>
                <w:rFonts w:ascii="Arial" w:hAnsi="Arial" w:cs="Arial"/>
                <w:sz w:val="18"/>
                <w:szCs w:val="18"/>
              </w:rPr>
            </w:pPr>
            <w:r w:rsidRPr="00727C40">
              <w:rPr>
                <w:rFonts w:ascii="Arial" w:hAnsi="Arial" w:cs="Arial"/>
                <w:sz w:val="18"/>
                <w:szCs w:val="18"/>
              </w:rPr>
              <w:t>24.01.2014/27.01.2022</w:t>
            </w:r>
          </w:p>
        </w:tc>
      </w:tr>
      <w:tr w:rsidR="00727C40" w:rsidRPr="00727C40" w:rsidTr="00727C40">
        <w:trPr>
          <w:trHeight w:val="254"/>
        </w:trPr>
        <w:tc>
          <w:tcPr>
            <w:tcW w:w="1282" w:type="dxa"/>
            <w:tcBorders>
              <w:top w:val="single" w:sz="2" w:space="0" w:color="000000"/>
              <w:left w:val="single" w:sz="2" w:space="0" w:color="000000"/>
              <w:bottom w:val="single" w:sz="2" w:space="0" w:color="000000"/>
              <w:right w:val="single" w:sz="2" w:space="0" w:color="000000"/>
            </w:tcBorders>
          </w:tcPr>
          <w:p w:rsidR="00727C40" w:rsidRPr="00727C40" w:rsidRDefault="00727C40" w:rsidP="00E214B5">
            <w:pPr>
              <w:pStyle w:val="TableParagraph"/>
              <w:spacing w:line="234" w:lineRule="exact"/>
              <w:rPr>
                <w:rFonts w:ascii="Arial" w:hAnsi="Arial" w:cs="Arial"/>
                <w:sz w:val="18"/>
                <w:szCs w:val="18"/>
              </w:rPr>
            </w:pPr>
            <w:r w:rsidRPr="00727C40">
              <w:rPr>
                <w:rFonts w:ascii="Arial" w:hAnsi="Arial" w:cs="Arial"/>
                <w:sz w:val="18"/>
                <w:szCs w:val="18"/>
              </w:rPr>
              <w:t>WEA 5</w:t>
            </w:r>
          </w:p>
        </w:tc>
        <w:tc>
          <w:tcPr>
            <w:tcW w:w="2665" w:type="dxa"/>
            <w:tcBorders>
              <w:top w:val="single" w:sz="2" w:space="0" w:color="000000"/>
              <w:left w:val="single" w:sz="2" w:space="0" w:color="000000"/>
              <w:bottom w:val="single" w:sz="2" w:space="0" w:color="000000"/>
              <w:right w:val="single" w:sz="2" w:space="0" w:color="000000"/>
            </w:tcBorders>
          </w:tcPr>
          <w:p w:rsidR="00727C40" w:rsidRPr="00727C40" w:rsidRDefault="00727C40" w:rsidP="00E214B5">
            <w:pPr>
              <w:pStyle w:val="TableParagraph"/>
              <w:spacing w:line="234" w:lineRule="exact"/>
              <w:rPr>
                <w:rFonts w:ascii="Arial" w:hAnsi="Arial" w:cs="Arial"/>
                <w:sz w:val="18"/>
                <w:szCs w:val="18"/>
              </w:rPr>
            </w:pPr>
            <w:r w:rsidRPr="00727C40">
              <w:rPr>
                <w:rFonts w:ascii="Arial" w:hAnsi="Arial" w:cs="Arial"/>
                <w:sz w:val="18"/>
                <w:szCs w:val="18"/>
              </w:rPr>
              <w:t>24.01.2014/27.01.2022</w:t>
            </w:r>
          </w:p>
        </w:tc>
      </w:tr>
      <w:tr w:rsidR="00727C40" w:rsidRPr="00727C40" w:rsidTr="00727C40">
        <w:trPr>
          <w:trHeight w:val="251"/>
        </w:trPr>
        <w:tc>
          <w:tcPr>
            <w:tcW w:w="1282" w:type="dxa"/>
            <w:tcBorders>
              <w:top w:val="single" w:sz="2" w:space="0" w:color="000000"/>
              <w:left w:val="single" w:sz="2" w:space="0" w:color="000000"/>
              <w:bottom w:val="single" w:sz="2" w:space="0" w:color="000000"/>
              <w:right w:val="single" w:sz="2" w:space="0" w:color="000000"/>
            </w:tcBorders>
          </w:tcPr>
          <w:p w:rsidR="00727C40" w:rsidRPr="00727C40" w:rsidRDefault="00727C40" w:rsidP="00E214B5">
            <w:pPr>
              <w:pStyle w:val="TableParagraph"/>
              <w:rPr>
                <w:rFonts w:ascii="Arial" w:hAnsi="Arial" w:cs="Arial"/>
                <w:sz w:val="18"/>
                <w:szCs w:val="18"/>
              </w:rPr>
            </w:pPr>
            <w:r w:rsidRPr="00727C40">
              <w:rPr>
                <w:rFonts w:ascii="Arial" w:hAnsi="Arial" w:cs="Arial"/>
                <w:sz w:val="18"/>
                <w:szCs w:val="18"/>
              </w:rPr>
              <w:t>WEA 6</w:t>
            </w:r>
          </w:p>
        </w:tc>
        <w:tc>
          <w:tcPr>
            <w:tcW w:w="2665" w:type="dxa"/>
            <w:tcBorders>
              <w:top w:val="single" w:sz="2" w:space="0" w:color="000000"/>
              <w:left w:val="single" w:sz="2" w:space="0" w:color="000000"/>
              <w:bottom w:val="single" w:sz="2" w:space="0" w:color="000000"/>
              <w:right w:val="single" w:sz="2" w:space="0" w:color="000000"/>
            </w:tcBorders>
          </w:tcPr>
          <w:p w:rsidR="00727C40" w:rsidRPr="00727C40" w:rsidRDefault="00727C40" w:rsidP="00E214B5">
            <w:pPr>
              <w:pStyle w:val="TableParagraph"/>
              <w:rPr>
                <w:rFonts w:ascii="Arial" w:hAnsi="Arial" w:cs="Arial"/>
                <w:sz w:val="18"/>
                <w:szCs w:val="18"/>
              </w:rPr>
            </w:pPr>
            <w:r w:rsidRPr="00727C40">
              <w:rPr>
                <w:rFonts w:ascii="Arial" w:hAnsi="Arial" w:cs="Arial"/>
                <w:sz w:val="18"/>
                <w:szCs w:val="18"/>
              </w:rPr>
              <w:t>22.12.2017</w:t>
            </w:r>
          </w:p>
        </w:tc>
      </w:tr>
      <w:tr w:rsidR="00727C40" w:rsidRPr="00727C40" w:rsidTr="00727C40">
        <w:trPr>
          <w:trHeight w:val="254"/>
        </w:trPr>
        <w:tc>
          <w:tcPr>
            <w:tcW w:w="1282" w:type="dxa"/>
            <w:tcBorders>
              <w:top w:val="single" w:sz="2" w:space="0" w:color="000000"/>
              <w:left w:val="single" w:sz="2" w:space="0" w:color="000000"/>
              <w:bottom w:val="single" w:sz="2" w:space="0" w:color="000000"/>
              <w:right w:val="single" w:sz="2" w:space="0" w:color="000000"/>
            </w:tcBorders>
          </w:tcPr>
          <w:p w:rsidR="00727C40" w:rsidRPr="00727C40" w:rsidRDefault="00727C40" w:rsidP="00E214B5">
            <w:pPr>
              <w:pStyle w:val="TableParagraph"/>
              <w:spacing w:line="234" w:lineRule="exact"/>
              <w:rPr>
                <w:rFonts w:ascii="Arial" w:hAnsi="Arial" w:cs="Arial"/>
                <w:sz w:val="18"/>
                <w:szCs w:val="18"/>
              </w:rPr>
            </w:pPr>
            <w:r w:rsidRPr="00727C40">
              <w:rPr>
                <w:rFonts w:ascii="Arial" w:hAnsi="Arial" w:cs="Arial"/>
                <w:sz w:val="18"/>
                <w:szCs w:val="18"/>
              </w:rPr>
              <w:t>WEA 7</w:t>
            </w:r>
          </w:p>
        </w:tc>
        <w:tc>
          <w:tcPr>
            <w:tcW w:w="2665" w:type="dxa"/>
            <w:tcBorders>
              <w:top w:val="single" w:sz="2" w:space="0" w:color="000000"/>
              <w:left w:val="single" w:sz="2" w:space="0" w:color="000000"/>
              <w:bottom w:val="single" w:sz="2" w:space="0" w:color="000000"/>
              <w:right w:val="single" w:sz="2" w:space="0" w:color="000000"/>
            </w:tcBorders>
          </w:tcPr>
          <w:p w:rsidR="00727C40" w:rsidRPr="00727C40" w:rsidRDefault="00727C40" w:rsidP="00E214B5">
            <w:pPr>
              <w:pStyle w:val="TableParagraph"/>
              <w:spacing w:line="234" w:lineRule="exact"/>
              <w:rPr>
                <w:rFonts w:ascii="Arial" w:hAnsi="Arial" w:cs="Arial"/>
                <w:sz w:val="18"/>
                <w:szCs w:val="18"/>
              </w:rPr>
            </w:pPr>
            <w:r w:rsidRPr="00727C40">
              <w:rPr>
                <w:rFonts w:ascii="Arial" w:hAnsi="Arial" w:cs="Arial"/>
                <w:sz w:val="18"/>
                <w:szCs w:val="18"/>
              </w:rPr>
              <w:t>22.12.2017</w:t>
            </w:r>
          </w:p>
        </w:tc>
      </w:tr>
      <w:tr w:rsidR="00727C40" w:rsidRPr="00727C40" w:rsidTr="00727C40">
        <w:trPr>
          <w:trHeight w:val="251"/>
        </w:trPr>
        <w:tc>
          <w:tcPr>
            <w:tcW w:w="1282" w:type="dxa"/>
            <w:tcBorders>
              <w:top w:val="single" w:sz="2" w:space="0" w:color="000000"/>
              <w:left w:val="single" w:sz="2" w:space="0" w:color="000000"/>
              <w:bottom w:val="single" w:sz="2" w:space="0" w:color="000000"/>
              <w:right w:val="single" w:sz="2" w:space="0" w:color="000000"/>
            </w:tcBorders>
          </w:tcPr>
          <w:p w:rsidR="00727C40" w:rsidRPr="00727C40" w:rsidRDefault="00727C40" w:rsidP="00E214B5">
            <w:pPr>
              <w:pStyle w:val="TableParagraph"/>
              <w:rPr>
                <w:rFonts w:ascii="Arial" w:hAnsi="Arial" w:cs="Arial"/>
                <w:sz w:val="18"/>
                <w:szCs w:val="18"/>
              </w:rPr>
            </w:pPr>
            <w:r w:rsidRPr="00727C40">
              <w:rPr>
                <w:rFonts w:ascii="Arial" w:hAnsi="Arial" w:cs="Arial"/>
                <w:sz w:val="18"/>
                <w:szCs w:val="18"/>
              </w:rPr>
              <w:t>WEA 8</w:t>
            </w:r>
          </w:p>
        </w:tc>
        <w:tc>
          <w:tcPr>
            <w:tcW w:w="2665" w:type="dxa"/>
            <w:tcBorders>
              <w:top w:val="single" w:sz="2" w:space="0" w:color="000000"/>
              <w:left w:val="single" w:sz="2" w:space="0" w:color="000000"/>
              <w:bottom w:val="single" w:sz="2" w:space="0" w:color="000000"/>
              <w:right w:val="single" w:sz="2" w:space="0" w:color="000000"/>
            </w:tcBorders>
          </w:tcPr>
          <w:p w:rsidR="00727C40" w:rsidRPr="00727C40" w:rsidRDefault="00727C40" w:rsidP="00E214B5">
            <w:pPr>
              <w:pStyle w:val="TableParagraph"/>
              <w:rPr>
                <w:rFonts w:ascii="Arial" w:hAnsi="Arial" w:cs="Arial"/>
                <w:sz w:val="18"/>
                <w:szCs w:val="18"/>
              </w:rPr>
            </w:pPr>
            <w:r w:rsidRPr="00727C40">
              <w:rPr>
                <w:rFonts w:ascii="Arial" w:hAnsi="Arial" w:cs="Arial"/>
                <w:sz w:val="18"/>
                <w:szCs w:val="18"/>
              </w:rPr>
              <w:t>10.08.2016/02.08.2019</w:t>
            </w:r>
          </w:p>
        </w:tc>
      </w:tr>
      <w:tr w:rsidR="00727C40" w:rsidRPr="00727C40" w:rsidTr="00727C40">
        <w:trPr>
          <w:trHeight w:val="254"/>
        </w:trPr>
        <w:tc>
          <w:tcPr>
            <w:tcW w:w="1282" w:type="dxa"/>
            <w:tcBorders>
              <w:top w:val="single" w:sz="2" w:space="0" w:color="000000"/>
              <w:left w:val="single" w:sz="2" w:space="0" w:color="000000"/>
              <w:bottom w:val="single" w:sz="2" w:space="0" w:color="000000"/>
              <w:right w:val="single" w:sz="2" w:space="0" w:color="000000"/>
            </w:tcBorders>
          </w:tcPr>
          <w:p w:rsidR="00727C40" w:rsidRPr="00727C40" w:rsidRDefault="00727C40" w:rsidP="00E214B5">
            <w:pPr>
              <w:pStyle w:val="TableParagraph"/>
              <w:spacing w:line="234" w:lineRule="exact"/>
              <w:rPr>
                <w:rFonts w:ascii="Arial" w:hAnsi="Arial" w:cs="Arial"/>
                <w:sz w:val="18"/>
                <w:szCs w:val="18"/>
              </w:rPr>
            </w:pPr>
            <w:r w:rsidRPr="00727C40">
              <w:rPr>
                <w:rFonts w:ascii="Arial" w:hAnsi="Arial" w:cs="Arial"/>
                <w:sz w:val="18"/>
                <w:szCs w:val="18"/>
              </w:rPr>
              <w:t>WEA 9</w:t>
            </w:r>
          </w:p>
        </w:tc>
        <w:tc>
          <w:tcPr>
            <w:tcW w:w="2665" w:type="dxa"/>
            <w:tcBorders>
              <w:top w:val="single" w:sz="2" w:space="0" w:color="000000"/>
              <w:left w:val="single" w:sz="2" w:space="0" w:color="000000"/>
              <w:bottom w:val="single" w:sz="2" w:space="0" w:color="000000"/>
              <w:right w:val="single" w:sz="2" w:space="0" w:color="000000"/>
            </w:tcBorders>
          </w:tcPr>
          <w:p w:rsidR="00727C40" w:rsidRPr="00727C40" w:rsidRDefault="00727C40" w:rsidP="00E214B5">
            <w:pPr>
              <w:pStyle w:val="TableParagraph"/>
              <w:spacing w:line="234" w:lineRule="exact"/>
              <w:rPr>
                <w:rFonts w:ascii="Arial" w:hAnsi="Arial" w:cs="Arial"/>
                <w:sz w:val="18"/>
                <w:szCs w:val="18"/>
              </w:rPr>
            </w:pPr>
            <w:r w:rsidRPr="00727C40">
              <w:rPr>
                <w:rFonts w:ascii="Arial" w:hAnsi="Arial" w:cs="Arial"/>
                <w:sz w:val="18"/>
                <w:szCs w:val="18"/>
              </w:rPr>
              <w:t>10.08.2016/02.08.2019</w:t>
            </w:r>
          </w:p>
        </w:tc>
      </w:tr>
      <w:tr w:rsidR="00727C40" w:rsidRPr="00727C40" w:rsidTr="00727C40">
        <w:trPr>
          <w:trHeight w:val="251"/>
        </w:trPr>
        <w:tc>
          <w:tcPr>
            <w:tcW w:w="1282" w:type="dxa"/>
            <w:tcBorders>
              <w:top w:val="single" w:sz="2" w:space="0" w:color="000000"/>
              <w:left w:val="single" w:sz="2" w:space="0" w:color="000000"/>
              <w:bottom w:val="single" w:sz="2" w:space="0" w:color="000000"/>
              <w:right w:val="single" w:sz="2" w:space="0" w:color="000000"/>
            </w:tcBorders>
          </w:tcPr>
          <w:p w:rsidR="00727C40" w:rsidRPr="00727C40" w:rsidRDefault="00727C40" w:rsidP="00E214B5">
            <w:pPr>
              <w:pStyle w:val="TableParagraph"/>
              <w:rPr>
                <w:rFonts w:ascii="Arial" w:hAnsi="Arial" w:cs="Arial"/>
                <w:sz w:val="18"/>
                <w:szCs w:val="18"/>
              </w:rPr>
            </w:pPr>
            <w:r w:rsidRPr="00727C40">
              <w:rPr>
                <w:rFonts w:ascii="Arial" w:hAnsi="Arial" w:cs="Arial"/>
                <w:sz w:val="18"/>
                <w:szCs w:val="18"/>
              </w:rPr>
              <w:t>WEA 10</w:t>
            </w:r>
          </w:p>
        </w:tc>
        <w:tc>
          <w:tcPr>
            <w:tcW w:w="2665" w:type="dxa"/>
            <w:tcBorders>
              <w:top w:val="single" w:sz="2" w:space="0" w:color="000000"/>
              <w:left w:val="single" w:sz="2" w:space="0" w:color="000000"/>
              <w:bottom w:val="single" w:sz="2" w:space="0" w:color="000000"/>
              <w:right w:val="single" w:sz="2" w:space="0" w:color="000000"/>
            </w:tcBorders>
          </w:tcPr>
          <w:p w:rsidR="00727C40" w:rsidRPr="00727C40" w:rsidRDefault="00727C40" w:rsidP="00E214B5">
            <w:pPr>
              <w:pStyle w:val="TableParagraph"/>
              <w:rPr>
                <w:rFonts w:ascii="Arial" w:hAnsi="Arial" w:cs="Arial"/>
                <w:sz w:val="18"/>
                <w:szCs w:val="18"/>
              </w:rPr>
            </w:pPr>
            <w:r w:rsidRPr="00727C40">
              <w:rPr>
                <w:rFonts w:ascii="Arial" w:hAnsi="Arial" w:cs="Arial"/>
                <w:sz w:val="18"/>
                <w:szCs w:val="18"/>
              </w:rPr>
              <w:t>23.08.2016/02.08.2019</w:t>
            </w:r>
          </w:p>
        </w:tc>
      </w:tr>
      <w:tr w:rsidR="00727C40" w:rsidRPr="00727C40" w:rsidTr="00727C40">
        <w:trPr>
          <w:trHeight w:val="254"/>
        </w:trPr>
        <w:tc>
          <w:tcPr>
            <w:tcW w:w="1282" w:type="dxa"/>
            <w:tcBorders>
              <w:top w:val="single" w:sz="2" w:space="0" w:color="000000"/>
              <w:left w:val="single" w:sz="2" w:space="0" w:color="000000"/>
              <w:bottom w:val="single" w:sz="2" w:space="0" w:color="000000"/>
              <w:right w:val="single" w:sz="2" w:space="0" w:color="000000"/>
            </w:tcBorders>
          </w:tcPr>
          <w:p w:rsidR="00727C40" w:rsidRPr="00727C40" w:rsidRDefault="00727C40" w:rsidP="00E214B5">
            <w:pPr>
              <w:pStyle w:val="TableParagraph"/>
              <w:spacing w:line="234" w:lineRule="exact"/>
              <w:rPr>
                <w:rFonts w:ascii="Arial" w:hAnsi="Arial" w:cs="Arial"/>
                <w:sz w:val="18"/>
                <w:szCs w:val="18"/>
              </w:rPr>
            </w:pPr>
            <w:r w:rsidRPr="00727C40">
              <w:rPr>
                <w:rFonts w:ascii="Arial" w:hAnsi="Arial" w:cs="Arial"/>
                <w:sz w:val="18"/>
                <w:szCs w:val="18"/>
              </w:rPr>
              <w:t>WEA 11</w:t>
            </w:r>
          </w:p>
        </w:tc>
        <w:tc>
          <w:tcPr>
            <w:tcW w:w="2665" w:type="dxa"/>
            <w:tcBorders>
              <w:top w:val="single" w:sz="2" w:space="0" w:color="000000"/>
              <w:left w:val="single" w:sz="2" w:space="0" w:color="000000"/>
              <w:bottom w:val="single" w:sz="2" w:space="0" w:color="000000"/>
              <w:right w:val="single" w:sz="2" w:space="0" w:color="000000"/>
            </w:tcBorders>
          </w:tcPr>
          <w:p w:rsidR="00727C40" w:rsidRPr="00727C40" w:rsidRDefault="00727C40" w:rsidP="00E214B5">
            <w:pPr>
              <w:pStyle w:val="TableParagraph"/>
              <w:spacing w:line="234" w:lineRule="exact"/>
              <w:rPr>
                <w:rFonts w:ascii="Arial" w:hAnsi="Arial" w:cs="Arial"/>
                <w:sz w:val="18"/>
                <w:szCs w:val="18"/>
              </w:rPr>
            </w:pPr>
            <w:r w:rsidRPr="00727C40">
              <w:rPr>
                <w:rFonts w:ascii="Arial" w:hAnsi="Arial" w:cs="Arial"/>
                <w:sz w:val="18"/>
                <w:szCs w:val="18"/>
              </w:rPr>
              <w:t>02.08.2019</w:t>
            </w:r>
          </w:p>
        </w:tc>
      </w:tr>
      <w:tr w:rsidR="00727C40" w:rsidRPr="00727C40" w:rsidTr="00727C40">
        <w:trPr>
          <w:trHeight w:val="251"/>
        </w:trPr>
        <w:tc>
          <w:tcPr>
            <w:tcW w:w="1282" w:type="dxa"/>
            <w:tcBorders>
              <w:top w:val="single" w:sz="2" w:space="0" w:color="000000"/>
              <w:left w:val="single" w:sz="2" w:space="0" w:color="000000"/>
              <w:bottom w:val="single" w:sz="2" w:space="0" w:color="000000"/>
              <w:right w:val="single" w:sz="2" w:space="0" w:color="000000"/>
            </w:tcBorders>
          </w:tcPr>
          <w:p w:rsidR="00727C40" w:rsidRPr="00727C40" w:rsidRDefault="00727C40" w:rsidP="00E214B5">
            <w:pPr>
              <w:pStyle w:val="TableParagraph"/>
              <w:rPr>
                <w:rFonts w:ascii="Arial" w:hAnsi="Arial" w:cs="Arial"/>
                <w:sz w:val="18"/>
                <w:szCs w:val="18"/>
              </w:rPr>
            </w:pPr>
            <w:r w:rsidRPr="00727C40">
              <w:rPr>
                <w:rFonts w:ascii="Arial" w:hAnsi="Arial" w:cs="Arial"/>
                <w:sz w:val="18"/>
                <w:szCs w:val="18"/>
              </w:rPr>
              <w:t>WEA 12</w:t>
            </w:r>
          </w:p>
        </w:tc>
        <w:tc>
          <w:tcPr>
            <w:tcW w:w="2665" w:type="dxa"/>
            <w:tcBorders>
              <w:top w:val="single" w:sz="2" w:space="0" w:color="000000"/>
              <w:left w:val="single" w:sz="2" w:space="0" w:color="000000"/>
              <w:bottom w:val="single" w:sz="2" w:space="0" w:color="000000"/>
              <w:right w:val="single" w:sz="2" w:space="0" w:color="000000"/>
            </w:tcBorders>
          </w:tcPr>
          <w:p w:rsidR="00727C40" w:rsidRPr="00727C40" w:rsidRDefault="00727C40" w:rsidP="00E214B5">
            <w:pPr>
              <w:pStyle w:val="TableParagraph"/>
              <w:rPr>
                <w:rFonts w:ascii="Arial" w:hAnsi="Arial" w:cs="Arial"/>
                <w:sz w:val="18"/>
                <w:szCs w:val="18"/>
              </w:rPr>
            </w:pPr>
            <w:r w:rsidRPr="00727C40">
              <w:rPr>
                <w:rFonts w:ascii="Arial" w:hAnsi="Arial" w:cs="Arial"/>
                <w:sz w:val="18"/>
                <w:szCs w:val="18"/>
              </w:rPr>
              <w:t>07.02.2022</w:t>
            </w:r>
          </w:p>
        </w:tc>
      </w:tr>
      <w:tr w:rsidR="00727C40" w:rsidRPr="00727C40" w:rsidTr="00727C40">
        <w:trPr>
          <w:trHeight w:val="252"/>
        </w:trPr>
        <w:tc>
          <w:tcPr>
            <w:tcW w:w="1282" w:type="dxa"/>
            <w:tcBorders>
              <w:top w:val="single" w:sz="2" w:space="0" w:color="000000"/>
              <w:left w:val="single" w:sz="2" w:space="0" w:color="000000"/>
              <w:bottom w:val="single" w:sz="2" w:space="0" w:color="000000"/>
              <w:right w:val="single" w:sz="2" w:space="0" w:color="000000"/>
            </w:tcBorders>
          </w:tcPr>
          <w:p w:rsidR="00727C40" w:rsidRPr="00727C40" w:rsidRDefault="00727C40" w:rsidP="00E214B5">
            <w:pPr>
              <w:pStyle w:val="TableParagraph"/>
              <w:rPr>
                <w:rFonts w:ascii="Arial" w:hAnsi="Arial" w:cs="Arial"/>
                <w:sz w:val="18"/>
                <w:szCs w:val="18"/>
              </w:rPr>
            </w:pPr>
            <w:r w:rsidRPr="00727C40">
              <w:rPr>
                <w:rFonts w:ascii="Arial" w:hAnsi="Arial" w:cs="Arial"/>
                <w:sz w:val="18"/>
                <w:szCs w:val="18"/>
              </w:rPr>
              <w:t>WEA 13</w:t>
            </w:r>
          </w:p>
        </w:tc>
        <w:tc>
          <w:tcPr>
            <w:tcW w:w="2665" w:type="dxa"/>
            <w:tcBorders>
              <w:top w:val="single" w:sz="2" w:space="0" w:color="000000"/>
              <w:left w:val="single" w:sz="2" w:space="0" w:color="000000"/>
              <w:bottom w:val="single" w:sz="2" w:space="0" w:color="000000"/>
              <w:right w:val="single" w:sz="2" w:space="0" w:color="000000"/>
            </w:tcBorders>
          </w:tcPr>
          <w:p w:rsidR="00727C40" w:rsidRPr="00727C40" w:rsidRDefault="00727C40" w:rsidP="00E214B5">
            <w:pPr>
              <w:pStyle w:val="TableParagraph"/>
              <w:rPr>
                <w:rFonts w:ascii="Arial" w:hAnsi="Arial" w:cs="Arial"/>
                <w:sz w:val="18"/>
                <w:szCs w:val="18"/>
              </w:rPr>
            </w:pPr>
            <w:r w:rsidRPr="00727C40">
              <w:rPr>
                <w:rFonts w:ascii="Arial" w:hAnsi="Arial" w:cs="Arial"/>
                <w:sz w:val="18"/>
                <w:szCs w:val="18"/>
              </w:rPr>
              <w:t>07.02.2022</w:t>
            </w:r>
          </w:p>
        </w:tc>
      </w:tr>
      <w:tr w:rsidR="00727C40" w:rsidRPr="00727C40" w:rsidTr="00727C40">
        <w:trPr>
          <w:trHeight w:val="254"/>
        </w:trPr>
        <w:tc>
          <w:tcPr>
            <w:tcW w:w="1282" w:type="dxa"/>
            <w:tcBorders>
              <w:top w:val="single" w:sz="2" w:space="0" w:color="000000"/>
              <w:left w:val="single" w:sz="2" w:space="0" w:color="000000"/>
              <w:bottom w:val="single" w:sz="2" w:space="0" w:color="000000"/>
              <w:right w:val="single" w:sz="2" w:space="0" w:color="000000"/>
            </w:tcBorders>
          </w:tcPr>
          <w:p w:rsidR="00727C40" w:rsidRPr="00727C40" w:rsidRDefault="00727C40" w:rsidP="00E214B5">
            <w:pPr>
              <w:pStyle w:val="TableParagraph"/>
              <w:spacing w:line="234" w:lineRule="exact"/>
              <w:rPr>
                <w:rFonts w:ascii="Arial" w:hAnsi="Arial" w:cs="Arial"/>
                <w:sz w:val="18"/>
                <w:szCs w:val="18"/>
              </w:rPr>
            </w:pPr>
            <w:r w:rsidRPr="00727C40">
              <w:rPr>
                <w:rFonts w:ascii="Arial" w:hAnsi="Arial" w:cs="Arial"/>
                <w:sz w:val="18"/>
                <w:szCs w:val="18"/>
              </w:rPr>
              <w:t>WEA 14</w:t>
            </w:r>
          </w:p>
        </w:tc>
        <w:tc>
          <w:tcPr>
            <w:tcW w:w="2665" w:type="dxa"/>
            <w:tcBorders>
              <w:top w:val="single" w:sz="2" w:space="0" w:color="000000"/>
              <w:left w:val="single" w:sz="2" w:space="0" w:color="000000"/>
              <w:bottom w:val="single" w:sz="2" w:space="0" w:color="000000"/>
              <w:right w:val="single" w:sz="2" w:space="0" w:color="000000"/>
            </w:tcBorders>
          </w:tcPr>
          <w:p w:rsidR="00727C40" w:rsidRPr="00727C40" w:rsidRDefault="00727C40" w:rsidP="00E214B5">
            <w:pPr>
              <w:pStyle w:val="TableParagraph"/>
              <w:spacing w:line="234" w:lineRule="exact"/>
              <w:rPr>
                <w:rFonts w:ascii="Arial" w:hAnsi="Arial" w:cs="Arial"/>
                <w:sz w:val="18"/>
                <w:szCs w:val="18"/>
              </w:rPr>
            </w:pPr>
            <w:r w:rsidRPr="00727C40">
              <w:rPr>
                <w:rFonts w:ascii="Arial" w:hAnsi="Arial" w:cs="Arial"/>
                <w:sz w:val="18"/>
                <w:szCs w:val="18"/>
              </w:rPr>
              <w:t>07.02.2022</w:t>
            </w:r>
          </w:p>
        </w:tc>
      </w:tr>
      <w:tr w:rsidR="00727C40" w:rsidRPr="00727C40" w:rsidTr="00727C40">
        <w:trPr>
          <w:trHeight w:val="251"/>
        </w:trPr>
        <w:tc>
          <w:tcPr>
            <w:tcW w:w="1282" w:type="dxa"/>
            <w:tcBorders>
              <w:top w:val="single" w:sz="2" w:space="0" w:color="000000"/>
              <w:left w:val="single" w:sz="2" w:space="0" w:color="000000"/>
              <w:bottom w:val="single" w:sz="2" w:space="0" w:color="000000"/>
              <w:right w:val="single" w:sz="2" w:space="0" w:color="000000"/>
            </w:tcBorders>
          </w:tcPr>
          <w:p w:rsidR="00727C40" w:rsidRPr="00727C40" w:rsidRDefault="00727C40" w:rsidP="00E214B5">
            <w:pPr>
              <w:pStyle w:val="TableParagraph"/>
              <w:rPr>
                <w:rFonts w:ascii="Arial" w:hAnsi="Arial" w:cs="Arial"/>
                <w:sz w:val="18"/>
                <w:szCs w:val="18"/>
              </w:rPr>
            </w:pPr>
            <w:r w:rsidRPr="00727C40">
              <w:rPr>
                <w:rFonts w:ascii="Arial" w:hAnsi="Arial" w:cs="Arial"/>
                <w:sz w:val="18"/>
                <w:szCs w:val="18"/>
              </w:rPr>
              <w:lastRenderedPageBreak/>
              <w:t>WEA 15</w:t>
            </w:r>
          </w:p>
        </w:tc>
        <w:tc>
          <w:tcPr>
            <w:tcW w:w="2665" w:type="dxa"/>
            <w:tcBorders>
              <w:top w:val="single" w:sz="2" w:space="0" w:color="000000"/>
              <w:left w:val="single" w:sz="2" w:space="0" w:color="000000"/>
              <w:bottom w:val="single" w:sz="2" w:space="0" w:color="000000"/>
              <w:right w:val="single" w:sz="2" w:space="0" w:color="000000"/>
            </w:tcBorders>
          </w:tcPr>
          <w:p w:rsidR="00727C40" w:rsidRPr="00727C40" w:rsidRDefault="00727C40" w:rsidP="00E214B5">
            <w:pPr>
              <w:pStyle w:val="TableParagraph"/>
              <w:rPr>
                <w:rFonts w:ascii="Arial" w:hAnsi="Arial" w:cs="Arial"/>
                <w:sz w:val="18"/>
                <w:szCs w:val="18"/>
              </w:rPr>
            </w:pPr>
            <w:r w:rsidRPr="00727C40">
              <w:rPr>
                <w:rFonts w:ascii="Arial" w:hAnsi="Arial" w:cs="Arial"/>
                <w:sz w:val="18"/>
                <w:szCs w:val="18"/>
              </w:rPr>
              <w:t>07.02.2022</w:t>
            </w:r>
          </w:p>
        </w:tc>
      </w:tr>
      <w:tr w:rsidR="00727C40" w:rsidRPr="00727C40" w:rsidTr="00727C40">
        <w:trPr>
          <w:trHeight w:val="254"/>
        </w:trPr>
        <w:tc>
          <w:tcPr>
            <w:tcW w:w="1282" w:type="dxa"/>
            <w:tcBorders>
              <w:top w:val="single" w:sz="2" w:space="0" w:color="000000"/>
              <w:left w:val="single" w:sz="2" w:space="0" w:color="000000"/>
              <w:bottom w:val="single" w:sz="2" w:space="0" w:color="000000"/>
              <w:right w:val="single" w:sz="2" w:space="0" w:color="000000"/>
            </w:tcBorders>
          </w:tcPr>
          <w:p w:rsidR="00727C40" w:rsidRPr="00727C40" w:rsidRDefault="00727C40" w:rsidP="00E214B5">
            <w:pPr>
              <w:pStyle w:val="TableParagraph"/>
              <w:spacing w:line="234" w:lineRule="exact"/>
              <w:rPr>
                <w:rFonts w:ascii="Arial" w:hAnsi="Arial" w:cs="Arial"/>
                <w:sz w:val="18"/>
                <w:szCs w:val="18"/>
              </w:rPr>
            </w:pPr>
            <w:r w:rsidRPr="00727C40">
              <w:rPr>
                <w:rFonts w:ascii="Arial" w:hAnsi="Arial" w:cs="Arial"/>
                <w:sz w:val="18"/>
                <w:szCs w:val="18"/>
              </w:rPr>
              <w:t>WEA 16</w:t>
            </w:r>
          </w:p>
        </w:tc>
        <w:tc>
          <w:tcPr>
            <w:tcW w:w="2665" w:type="dxa"/>
            <w:tcBorders>
              <w:top w:val="single" w:sz="2" w:space="0" w:color="000000"/>
              <w:left w:val="single" w:sz="2" w:space="0" w:color="000000"/>
              <w:bottom w:val="single" w:sz="2" w:space="0" w:color="000000"/>
              <w:right w:val="single" w:sz="2" w:space="0" w:color="000000"/>
            </w:tcBorders>
          </w:tcPr>
          <w:p w:rsidR="00727C40" w:rsidRPr="00727C40" w:rsidRDefault="00727C40" w:rsidP="00E214B5">
            <w:pPr>
              <w:pStyle w:val="TableParagraph"/>
              <w:spacing w:line="234" w:lineRule="exact"/>
              <w:rPr>
                <w:rFonts w:ascii="Arial" w:hAnsi="Arial" w:cs="Arial"/>
                <w:sz w:val="18"/>
                <w:szCs w:val="18"/>
              </w:rPr>
            </w:pPr>
            <w:r w:rsidRPr="00727C40">
              <w:rPr>
                <w:rFonts w:ascii="Arial" w:hAnsi="Arial" w:cs="Arial"/>
                <w:sz w:val="18"/>
                <w:szCs w:val="18"/>
              </w:rPr>
              <w:t>07.02.2022</w:t>
            </w:r>
          </w:p>
        </w:tc>
      </w:tr>
      <w:tr w:rsidR="00727C40" w:rsidRPr="00727C40" w:rsidTr="00727C40">
        <w:trPr>
          <w:trHeight w:val="251"/>
        </w:trPr>
        <w:tc>
          <w:tcPr>
            <w:tcW w:w="1282" w:type="dxa"/>
            <w:tcBorders>
              <w:top w:val="single" w:sz="2" w:space="0" w:color="000000"/>
              <w:left w:val="single" w:sz="2" w:space="0" w:color="000000"/>
              <w:bottom w:val="single" w:sz="2" w:space="0" w:color="000000"/>
              <w:right w:val="single" w:sz="2" w:space="0" w:color="000000"/>
            </w:tcBorders>
          </w:tcPr>
          <w:p w:rsidR="00727C40" w:rsidRPr="00727C40" w:rsidRDefault="00727C40" w:rsidP="00E214B5">
            <w:pPr>
              <w:pStyle w:val="TableParagraph"/>
              <w:rPr>
                <w:rFonts w:ascii="Arial" w:hAnsi="Arial" w:cs="Arial"/>
                <w:sz w:val="18"/>
                <w:szCs w:val="18"/>
              </w:rPr>
            </w:pPr>
            <w:r w:rsidRPr="00727C40">
              <w:rPr>
                <w:rFonts w:ascii="Arial" w:hAnsi="Arial" w:cs="Arial"/>
                <w:sz w:val="18"/>
                <w:szCs w:val="18"/>
              </w:rPr>
              <w:t>WEA 17</w:t>
            </w:r>
          </w:p>
        </w:tc>
        <w:tc>
          <w:tcPr>
            <w:tcW w:w="2665" w:type="dxa"/>
            <w:tcBorders>
              <w:top w:val="single" w:sz="2" w:space="0" w:color="000000"/>
              <w:left w:val="single" w:sz="2" w:space="0" w:color="000000"/>
              <w:bottom w:val="single" w:sz="2" w:space="0" w:color="000000"/>
              <w:right w:val="single" w:sz="2" w:space="0" w:color="000000"/>
            </w:tcBorders>
          </w:tcPr>
          <w:p w:rsidR="00727C40" w:rsidRPr="00727C40" w:rsidRDefault="00727C40" w:rsidP="00E214B5">
            <w:pPr>
              <w:pStyle w:val="TableParagraph"/>
              <w:rPr>
                <w:rFonts w:ascii="Arial" w:hAnsi="Arial" w:cs="Arial"/>
                <w:sz w:val="18"/>
                <w:szCs w:val="18"/>
              </w:rPr>
            </w:pPr>
            <w:r w:rsidRPr="00727C40">
              <w:rPr>
                <w:rFonts w:ascii="Arial" w:hAnsi="Arial" w:cs="Arial"/>
                <w:sz w:val="18"/>
                <w:szCs w:val="18"/>
              </w:rPr>
              <w:t>07.02.2022</w:t>
            </w:r>
          </w:p>
        </w:tc>
      </w:tr>
      <w:tr w:rsidR="00727C40" w:rsidRPr="00727C40" w:rsidTr="00727C40">
        <w:trPr>
          <w:trHeight w:val="254"/>
        </w:trPr>
        <w:tc>
          <w:tcPr>
            <w:tcW w:w="1282" w:type="dxa"/>
            <w:tcBorders>
              <w:top w:val="single" w:sz="2" w:space="0" w:color="000000"/>
              <w:left w:val="single" w:sz="2" w:space="0" w:color="000000"/>
              <w:bottom w:val="single" w:sz="2" w:space="0" w:color="000000"/>
              <w:right w:val="single" w:sz="2" w:space="0" w:color="000000"/>
            </w:tcBorders>
          </w:tcPr>
          <w:p w:rsidR="00727C40" w:rsidRPr="00727C40" w:rsidRDefault="00727C40" w:rsidP="00E214B5">
            <w:pPr>
              <w:pStyle w:val="TableParagraph"/>
              <w:spacing w:line="234" w:lineRule="exact"/>
              <w:rPr>
                <w:rFonts w:ascii="Arial" w:hAnsi="Arial" w:cs="Arial"/>
                <w:sz w:val="18"/>
                <w:szCs w:val="18"/>
              </w:rPr>
            </w:pPr>
            <w:r w:rsidRPr="00727C40">
              <w:rPr>
                <w:rFonts w:ascii="Arial" w:hAnsi="Arial" w:cs="Arial"/>
                <w:sz w:val="18"/>
                <w:szCs w:val="18"/>
              </w:rPr>
              <w:t>WEA 18</w:t>
            </w:r>
          </w:p>
        </w:tc>
        <w:tc>
          <w:tcPr>
            <w:tcW w:w="2665" w:type="dxa"/>
            <w:tcBorders>
              <w:top w:val="single" w:sz="2" w:space="0" w:color="000000"/>
              <w:left w:val="single" w:sz="2" w:space="0" w:color="000000"/>
              <w:bottom w:val="single" w:sz="2" w:space="0" w:color="000000"/>
              <w:right w:val="single" w:sz="2" w:space="0" w:color="000000"/>
            </w:tcBorders>
          </w:tcPr>
          <w:p w:rsidR="00727C40" w:rsidRPr="00727C40" w:rsidRDefault="00727C40" w:rsidP="00E214B5">
            <w:pPr>
              <w:pStyle w:val="TableParagraph"/>
              <w:spacing w:line="234" w:lineRule="exact"/>
              <w:rPr>
                <w:rFonts w:ascii="Arial" w:hAnsi="Arial" w:cs="Arial"/>
                <w:sz w:val="18"/>
                <w:szCs w:val="18"/>
              </w:rPr>
            </w:pPr>
            <w:r w:rsidRPr="00727C40">
              <w:rPr>
                <w:rFonts w:ascii="Arial" w:hAnsi="Arial" w:cs="Arial"/>
                <w:sz w:val="18"/>
                <w:szCs w:val="18"/>
              </w:rPr>
              <w:t>07.02.2022</w:t>
            </w:r>
          </w:p>
        </w:tc>
      </w:tr>
      <w:tr w:rsidR="00727C40" w:rsidRPr="00727C40" w:rsidTr="00727C40">
        <w:trPr>
          <w:trHeight w:val="251"/>
        </w:trPr>
        <w:tc>
          <w:tcPr>
            <w:tcW w:w="1282" w:type="dxa"/>
            <w:tcBorders>
              <w:top w:val="single" w:sz="2" w:space="0" w:color="000000"/>
              <w:left w:val="single" w:sz="2" w:space="0" w:color="000000"/>
              <w:bottom w:val="single" w:sz="2" w:space="0" w:color="000000"/>
              <w:right w:val="single" w:sz="2" w:space="0" w:color="000000"/>
            </w:tcBorders>
          </w:tcPr>
          <w:p w:rsidR="00727C40" w:rsidRPr="00727C40" w:rsidRDefault="00727C40" w:rsidP="00E214B5">
            <w:pPr>
              <w:pStyle w:val="TableParagraph"/>
              <w:rPr>
                <w:rFonts w:ascii="Arial" w:hAnsi="Arial" w:cs="Arial"/>
                <w:sz w:val="18"/>
                <w:szCs w:val="18"/>
              </w:rPr>
            </w:pPr>
            <w:r w:rsidRPr="00727C40">
              <w:rPr>
                <w:rFonts w:ascii="Arial" w:hAnsi="Arial" w:cs="Arial"/>
                <w:sz w:val="18"/>
                <w:szCs w:val="18"/>
              </w:rPr>
              <w:t>WEA 19</w:t>
            </w:r>
          </w:p>
        </w:tc>
        <w:tc>
          <w:tcPr>
            <w:tcW w:w="2665" w:type="dxa"/>
            <w:tcBorders>
              <w:top w:val="single" w:sz="2" w:space="0" w:color="000000"/>
              <w:left w:val="single" w:sz="2" w:space="0" w:color="000000"/>
              <w:bottom w:val="single" w:sz="2" w:space="0" w:color="000000"/>
              <w:right w:val="single" w:sz="2" w:space="0" w:color="000000"/>
            </w:tcBorders>
          </w:tcPr>
          <w:p w:rsidR="00727C40" w:rsidRPr="00727C40" w:rsidRDefault="00727C40" w:rsidP="00E214B5">
            <w:pPr>
              <w:pStyle w:val="TableParagraph"/>
              <w:rPr>
                <w:rFonts w:ascii="Arial" w:hAnsi="Arial" w:cs="Arial"/>
                <w:sz w:val="18"/>
                <w:szCs w:val="18"/>
              </w:rPr>
            </w:pPr>
            <w:r w:rsidRPr="00727C40">
              <w:rPr>
                <w:rFonts w:ascii="Arial" w:hAnsi="Arial" w:cs="Arial"/>
                <w:sz w:val="18"/>
                <w:szCs w:val="18"/>
              </w:rPr>
              <w:t>07.02.2022</w:t>
            </w:r>
          </w:p>
        </w:tc>
      </w:tr>
      <w:tr w:rsidR="00727C40" w:rsidRPr="00727C40" w:rsidTr="00727C40">
        <w:trPr>
          <w:trHeight w:val="254"/>
        </w:trPr>
        <w:tc>
          <w:tcPr>
            <w:tcW w:w="1282" w:type="dxa"/>
            <w:tcBorders>
              <w:top w:val="single" w:sz="2" w:space="0" w:color="000000"/>
              <w:left w:val="single" w:sz="2" w:space="0" w:color="000000"/>
              <w:bottom w:val="single" w:sz="2" w:space="0" w:color="000000"/>
              <w:right w:val="single" w:sz="2" w:space="0" w:color="000000"/>
            </w:tcBorders>
          </w:tcPr>
          <w:p w:rsidR="00727C40" w:rsidRPr="00727C40" w:rsidRDefault="00727C40" w:rsidP="00E214B5">
            <w:pPr>
              <w:pStyle w:val="TableParagraph"/>
              <w:spacing w:line="234" w:lineRule="exact"/>
              <w:rPr>
                <w:rFonts w:ascii="Arial" w:hAnsi="Arial" w:cs="Arial"/>
                <w:sz w:val="18"/>
                <w:szCs w:val="18"/>
              </w:rPr>
            </w:pPr>
            <w:r w:rsidRPr="00727C40">
              <w:rPr>
                <w:rFonts w:ascii="Arial" w:hAnsi="Arial" w:cs="Arial"/>
                <w:sz w:val="18"/>
                <w:szCs w:val="18"/>
              </w:rPr>
              <w:t>WEA 20</w:t>
            </w:r>
          </w:p>
        </w:tc>
        <w:tc>
          <w:tcPr>
            <w:tcW w:w="2665" w:type="dxa"/>
            <w:tcBorders>
              <w:top w:val="single" w:sz="2" w:space="0" w:color="000000"/>
              <w:left w:val="single" w:sz="2" w:space="0" w:color="000000"/>
              <w:bottom w:val="single" w:sz="2" w:space="0" w:color="000000"/>
              <w:right w:val="single" w:sz="2" w:space="0" w:color="000000"/>
            </w:tcBorders>
          </w:tcPr>
          <w:p w:rsidR="00727C40" w:rsidRPr="00727C40" w:rsidRDefault="00727C40" w:rsidP="00E214B5">
            <w:pPr>
              <w:pStyle w:val="TableParagraph"/>
              <w:spacing w:line="234" w:lineRule="exact"/>
              <w:rPr>
                <w:rFonts w:ascii="Arial" w:hAnsi="Arial" w:cs="Arial"/>
                <w:sz w:val="18"/>
                <w:szCs w:val="18"/>
              </w:rPr>
            </w:pPr>
            <w:r w:rsidRPr="00727C40">
              <w:rPr>
                <w:rFonts w:ascii="Arial" w:hAnsi="Arial" w:cs="Arial"/>
                <w:sz w:val="18"/>
                <w:szCs w:val="18"/>
              </w:rPr>
              <w:t>07.11.2022</w:t>
            </w:r>
          </w:p>
        </w:tc>
      </w:tr>
      <w:tr w:rsidR="00727C40" w:rsidRPr="00727C40" w:rsidTr="00727C40">
        <w:trPr>
          <w:trHeight w:val="251"/>
        </w:trPr>
        <w:tc>
          <w:tcPr>
            <w:tcW w:w="1282" w:type="dxa"/>
            <w:tcBorders>
              <w:top w:val="single" w:sz="2" w:space="0" w:color="000000"/>
              <w:left w:val="single" w:sz="2" w:space="0" w:color="000000"/>
              <w:bottom w:val="single" w:sz="2" w:space="0" w:color="000000"/>
              <w:right w:val="single" w:sz="2" w:space="0" w:color="000000"/>
            </w:tcBorders>
          </w:tcPr>
          <w:p w:rsidR="00727C40" w:rsidRPr="00727C40" w:rsidRDefault="00727C40" w:rsidP="00E214B5">
            <w:pPr>
              <w:pStyle w:val="TableParagraph"/>
              <w:rPr>
                <w:rFonts w:ascii="Arial" w:hAnsi="Arial" w:cs="Arial"/>
                <w:sz w:val="18"/>
                <w:szCs w:val="18"/>
              </w:rPr>
            </w:pPr>
            <w:r w:rsidRPr="00727C40">
              <w:rPr>
                <w:rFonts w:ascii="Arial" w:hAnsi="Arial" w:cs="Arial"/>
                <w:sz w:val="18"/>
                <w:szCs w:val="18"/>
              </w:rPr>
              <w:t>WEA 21</w:t>
            </w:r>
          </w:p>
        </w:tc>
        <w:tc>
          <w:tcPr>
            <w:tcW w:w="2665" w:type="dxa"/>
            <w:tcBorders>
              <w:top w:val="single" w:sz="2" w:space="0" w:color="000000"/>
              <w:left w:val="single" w:sz="2" w:space="0" w:color="000000"/>
              <w:bottom w:val="single" w:sz="2" w:space="0" w:color="000000"/>
              <w:right w:val="single" w:sz="2" w:space="0" w:color="000000"/>
            </w:tcBorders>
          </w:tcPr>
          <w:p w:rsidR="00727C40" w:rsidRPr="00727C40" w:rsidRDefault="00727C40" w:rsidP="00E214B5">
            <w:pPr>
              <w:pStyle w:val="TableParagraph"/>
              <w:rPr>
                <w:rFonts w:ascii="Arial" w:hAnsi="Arial" w:cs="Arial"/>
                <w:sz w:val="18"/>
                <w:szCs w:val="18"/>
              </w:rPr>
            </w:pPr>
            <w:r w:rsidRPr="00727C40">
              <w:rPr>
                <w:rFonts w:ascii="Arial" w:hAnsi="Arial" w:cs="Arial"/>
                <w:sz w:val="18"/>
                <w:szCs w:val="18"/>
              </w:rPr>
              <w:t>20.12.2022</w:t>
            </w:r>
          </w:p>
        </w:tc>
      </w:tr>
      <w:tr w:rsidR="00727C40" w:rsidRPr="00727C40" w:rsidTr="00727C40">
        <w:trPr>
          <w:trHeight w:val="254"/>
        </w:trPr>
        <w:tc>
          <w:tcPr>
            <w:tcW w:w="1282" w:type="dxa"/>
            <w:tcBorders>
              <w:top w:val="single" w:sz="2" w:space="0" w:color="000000"/>
              <w:left w:val="single" w:sz="2" w:space="0" w:color="000000"/>
              <w:bottom w:val="single" w:sz="2" w:space="0" w:color="000000"/>
              <w:right w:val="single" w:sz="2" w:space="0" w:color="000000"/>
            </w:tcBorders>
          </w:tcPr>
          <w:p w:rsidR="00727C40" w:rsidRPr="00727C40" w:rsidRDefault="00727C40" w:rsidP="00E214B5">
            <w:pPr>
              <w:pStyle w:val="TableParagraph"/>
              <w:spacing w:line="234" w:lineRule="exact"/>
              <w:rPr>
                <w:rFonts w:ascii="Arial" w:hAnsi="Arial" w:cs="Arial"/>
                <w:sz w:val="18"/>
                <w:szCs w:val="18"/>
              </w:rPr>
            </w:pPr>
            <w:r w:rsidRPr="00727C40">
              <w:rPr>
                <w:rFonts w:ascii="Arial" w:hAnsi="Arial" w:cs="Arial"/>
                <w:sz w:val="18"/>
                <w:szCs w:val="18"/>
              </w:rPr>
              <w:t>WEA 22</w:t>
            </w:r>
          </w:p>
        </w:tc>
        <w:tc>
          <w:tcPr>
            <w:tcW w:w="2665" w:type="dxa"/>
            <w:tcBorders>
              <w:top w:val="single" w:sz="2" w:space="0" w:color="000000"/>
              <w:left w:val="single" w:sz="2" w:space="0" w:color="000000"/>
              <w:bottom w:val="single" w:sz="2" w:space="0" w:color="000000"/>
              <w:right w:val="single" w:sz="2" w:space="0" w:color="000000"/>
            </w:tcBorders>
          </w:tcPr>
          <w:p w:rsidR="00727C40" w:rsidRPr="00727C40" w:rsidRDefault="00727C40" w:rsidP="00E214B5">
            <w:pPr>
              <w:pStyle w:val="TableParagraph"/>
              <w:spacing w:line="234" w:lineRule="exact"/>
              <w:rPr>
                <w:rFonts w:ascii="Arial" w:hAnsi="Arial" w:cs="Arial"/>
                <w:sz w:val="18"/>
                <w:szCs w:val="18"/>
              </w:rPr>
            </w:pPr>
            <w:r w:rsidRPr="00727C40">
              <w:rPr>
                <w:rFonts w:ascii="Arial" w:hAnsi="Arial" w:cs="Arial"/>
                <w:sz w:val="18"/>
                <w:szCs w:val="18"/>
              </w:rPr>
              <w:t>06.02.2023</w:t>
            </w:r>
          </w:p>
        </w:tc>
      </w:tr>
      <w:tr w:rsidR="00727C40" w:rsidRPr="00727C40" w:rsidTr="00727C40">
        <w:trPr>
          <w:trHeight w:val="251"/>
        </w:trPr>
        <w:tc>
          <w:tcPr>
            <w:tcW w:w="1282" w:type="dxa"/>
            <w:tcBorders>
              <w:top w:val="single" w:sz="2" w:space="0" w:color="000000"/>
              <w:left w:val="single" w:sz="2" w:space="0" w:color="000000"/>
              <w:bottom w:val="single" w:sz="2" w:space="0" w:color="000000"/>
              <w:right w:val="single" w:sz="2" w:space="0" w:color="000000"/>
            </w:tcBorders>
          </w:tcPr>
          <w:p w:rsidR="00727C40" w:rsidRPr="00727C40" w:rsidRDefault="00727C40" w:rsidP="00E214B5">
            <w:pPr>
              <w:pStyle w:val="TableParagraph"/>
              <w:rPr>
                <w:rFonts w:ascii="Arial" w:hAnsi="Arial" w:cs="Arial"/>
                <w:sz w:val="18"/>
                <w:szCs w:val="18"/>
              </w:rPr>
            </w:pPr>
            <w:r w:rsidRPr="00727C40">
              <w:rPr>
                <w:rFonts w:ascii="Arial" w:hAnsi="Arial" w:cs="Arial"/>
                <w:sz w:val="18"/>
                <w:szCs w:val="18"/>
              </w:rPr>
              <w:t>WEA 23</w:t>
            </w:r>
          </w:p>
        </w:tc>
        <w:tc>
          <w:tcPr>
            <w:tcW w:w="2665" w:type="dxa"/>
            <w:tcBorders>
              <w:top w:val="single" w:sz="2" w:space="0" w:color="000000"/>
              <w:left w:val="single" w:sz="2" w:space="0" w:color="000000"/>
              <w:bottom w:val="single" w:sz="2" w:space="0" w:color="000000"/>
              <w:right w:val="single" w:sz="2" w:space="0" w:color="000000"/>
            </w:tcBorders>
          </w:tcPr>
          <w:p w:rsidR="00727C40" w:rsidRPr="00727C40" w:rsidRDefault="00727C40" w:rsidP="00E214B5">
            <w:pPr>
              <w:pStyle w:val="TableParagraph"/>
              <w:rPr>
                <w:rFonts w:ascii="Arial" w:hAnsi="Arial" w:cs="Arial"/>
                <w:sz w:val="18"/>
                <w:szCs w:val="18"/>
              </w:rPr>
            </w:pPr>
            <w:r w:rsidRPr="00727C40">
              <w:rPr>
                <w:rFonts w:ascii="Arial" w:hAnsi="Arial" w:cs="Arial"/>
                <w:sz w:val="18"/>
                <w:szCs w:val="18"/>
              </w:rPr>
              <w:t>06.02.2023</w:t>
            </w:r>
          </w:p>
        </w:tc>
      </w:tr>
      <w:tr w:rsidR="00727C40" w:rsidRPr="00727C40" w:rsidTr="00727C40">
        <w:trPr>
          <w:trHeight w:val="254"/>
        </w:trPr>
        <w:tc>
          <w:tcPr>
            <w:tcW w:w="1282" w:type="dxa"/>
            <w:tcBorders>
              <w:top w:val="single" w:sz="2" w:space="0" w:color="000000"/>
              <w:left w:val="single" w:sz="2" w:space="0" w:color="000000"/>
              <w:bottom w:val="single" w:sz="2" w:space="0" w:color="000000"/>
              <w:right w:val="single" w:sz="2" w:space="0" w:color="000000"/>
            </w:tcBorders>
          </w:tcPr>
          <w:p w:rsidR="00727C40" w:rsidRPr="00727C40" w:rsidRDefault="00727C40" w:rsidP="00E214B5">
            <w:pPr>
              <w:pStyle w:val="TableParagraph"/>
              <w:spacing w:line="234" w:lineRule="exact"/>
              <w:rPr>
                <w:rFonts w:ascii="Arial" w:hAnsi="Arial" w:cs="Arial"/>
                <w:sz w:val="18"/>
                <w:szCs w:val="18"/>
              </w:rPr>
            </w:pPr>
            <w:r w:rsidRPr="00727C40">
              <w:rPr>
                <w:rFonts w:ascii="Arial" w:hAnsi="Arial" w:cs="Arial"/>
                <w:sz w:val="18"/>
                <w:szCs w:val="18"/>
              </w:rPr>
              <w:t>WEA 24</w:t>
            </w:r>
          </w:p>
        </w:tc>
        <w:tc>
          <w:tcPr>
            <w:tcW w:w="2665" w:type="dxa"/>
            <w:tcBorders>
              <w:top w:val="single" w:sz="2" w:space="0" w:color="000000"/>
              <w:left w:val="single" w:sz="2" w:space="0" w:color="000000"/>
              <w:bottom w:val="single" w:sz="2" w:space="0" w:color="000000"/>
              <w:right w:val="single" w:sz="2" w:space="0" w:color="000000"/>
            </w:tcBorders>
          </w:tcPr>
          <w:p w:rsidR="00727C40" w:rsidRPr="00727C40" w:rsidRDefault="00727C40" w:rsidP="00E214B5">
            <w:pPr>
              <w:pStyle w:val="TableParagraph"/>
              <w:spacing w:line="234" w:lineRule="exact"/>
              <w:rPr>
                <w:rFonts w:ascii="Arial" w:hAnsi="Arial" w:cs="Arial"/>
                <w:sz w:val="18"/>
                <w:szCs w:val="18"/>
              </w:rPr>
            </w:pPr>
            <w:r w:rsidRPr="00727C40">
              <w:rPr>
                <w:rFonts w:ascii="Arial" w:hAnsi="Arial" w:cs="Arial"/>
                <w:sz w:val="18"/>
                <w:szCs w:val="18"/>
              </w:rPr>
              <w:t>06.02.2023</w:t>
            </w:r>
          </w:p>
        </w:tc>
      </w:tr>
      <w:tr w:rsidR="00727C40" w:rsidRPr="00727C40" w:rsidTr="00727C40">
        <w:trPr>
          <w:trHeight w:val="251"/>
        </w:trPr>
        <w:tc>
          <w:tcPr>
            <w:tcW w:w="1282" w:type="dxa"/>
            <w:tcBorders>
              <w:top w:val="single" w:sz="2" w:space="0" w:color="000000"/>
              <w:left w:val="single" w:sz="2" w:space="0" w:color="000000"/>
              <w:bottom w:val="single" w:sz="2" w:space="0" w:color="000000"/>
              <w:right w:val="single" w:sz="2" w:space="0" w:color="000000"/>
            </w:tcBorders>
          </w:tcPr>
          <w:p w:rsidR="00727C40" w:rsidRPr="00727C40" w:rsidRDefault="00727C40" w:rsidP="00E214B5">
            <w:pPr>
              <w:pStyle w:val="TableParagraph"/>
              <w:rPr>
                <w:rFonts w:ascii="Arial" w:hAnsi="Arial" w:cs="Arial"/>
                <w:sz w:val="18"/>
                <w:szCs w:val="18"/>
              </w:rPr>
            </w:pPr>
            <w:r w:rsidRPr="00727C40">
              <w:rPr>
                <w:rFonts w:ascii="Arial" w:hAnsi="Arial" w:cs="Arial"/>
                <w:sz w:val="18"/>
                <w:szCs w:val="18"/>
              </w:rPr>
              <w:t>WEA 25</w:t>
            </w:r>
          </w:p>
        </w:tc>
        <w:tc>
          <w:tcPr>
            <w:tcW w:w="2665" w:type="dxa"/>
            <w:tcBorders>
              <w:top w:val="single" w:sz="2" w:space="0" w:color="000000"/>
              <w:left w:val="single" w:sz="2" w:space="0" w:color="000000"/>
              <w:bottom w:val="single" w:sz="2" w:space="0" w:color="000000"/>
              <w:right w:val="single" w:sz="2" w:space="0" w:color="000000"/>
            </w:tcBorders>
          </w:tcPr>
          <w:p w:rsidR="00727C40" w:rsidRPr="00727C40" w:rsidRDefault="00727C40" w:rsidP="00E214B5">
            <w:pPr>
              <w:pStyle w:val="TableParagraph"/>
              <w:rPr>
                <w:rFonts w:ascii="Arial" w:hAnsi="Arial" w:cs="Arial"/>
                <w:sz w:val="18"/>
                <w:szCs w:val="18"/>
              </w:rPr>
            </w:pPr>
            <w:r w:rsidRPr="00727C40">
              <w:rPr>
                <w:rFonts w:ascii="Arial" w:hAnsi="Arial" w:cs="Arial"/>
                <w:sz w:val="18"/>
                <w:szCs w:val="18"/>
              </w:rPr>
              <w:t>15.03.2023</w:t>
            </w:r>
          </w:p>
        </w:tc>
      </w:tr>
      <w:tr w:rsidR="00727C40" w:rsidRPr="00727C40" w:rsidTr="00727C40">
        <w:trPr>
          <w:trHeight w:val="254"/>
        </w:trPr>
        <w:tc>
          <w:tcPr>
            <w:tcW w:w="1282" w:type="dxa"/>
            <w:tcBorders>
              <w:top w:val="single" w:sz="2" w:space="0" w:color="000000"/>
              <w:left w:val="single" w:sz="2" w:space="0" w:color="000000"/>
              <w:bottom w:val="single" w:sz="2" w:space="0" w:color="000000"/>
              <w:right w:val="single" w:sz="2" w:space="0" w:color="000000"/>
            </w:tcBorders>
          </w:tcPr>
          <w:p w:rsidR="00727C40" w:rsidRPr="00727C40" w:rsidRDefault="00727C40" w:rsidP="00E214B5">
            <w:pPr>
              <w:pStyle w:val="TableParagraph"/>
              <w:spacing w:line="234" w:lineRule="exact"/>
              <w:rPr>
                <w:rFonts w:ascii="Arial" w:hAnsi="Arial" w:cs="Arial"/>
                <w:sz w:val="18"/>
                <w:szCs w:val="18"/>
              </w:rPr>
            </w:pPr>
            <w:r w:rsidRPr="00727C40">
              <w:rPr>
                <w:rFonts w:ascii="Arial" w:hAnsi="Arial" w:cs="Arial"/>
                <w:sz w:val="18"/>
                <w:szCs w:val="18"/>
              </w:rPr>
              <w:t>WEA 26</w:t>
            </w:r>
          </w:p>
        </w:tc>
        <w:tc>
          <w:tcPr>
            <w:tcW w:w="2665" w:type="dxa"/>
            <w:tcBorders>
              <w:top w:val="single" w:sz="2" w:space="0" w:color="000000"/>
              <w:left w:val="single" w:sz="2" w:space="0" w:color="000000"/>
              <w:bottom w:val="single" w:sz="2" w:space="0" w:color="000000"/>
              <w:right w:val="single" w:sz="2" w:space="0" w:color="000000"/>
            </w:tcBorders>
          </w:tcPr>
          <w:p w:rsidR="00727C40" w:rsidRPr="00727C40" w:rsidRDefault="00727C40" w:rsidP="00E214B5">
            <w:pPr>
              <w:pStyle w:val="TableParagraph"/>
              <w:spacing w:line="234" w:lineRule="exact"/>
              <w:rPr>
                <w:rFonts w:ascii="Arial" w:hAnsi="Arial" w:cs="Arial"/>
                <w:sz w:val="18"/>
                <w:szCs w:val="18"/>
              </w:rPr>
            </w:pPr>
            <w:r w:rsidRPr="00727C40">
              <w:rPr>
                <w:rFonts w:ascii="Arial" w:hAnsi="Arial" w:cs="Arial"/>
                <w:sz w:val="18"/>
                <w:szCs w:val="18"/>
              </w:rPr>
              <w:t>15.03.2023</w:t>
            </w:r>
          </w:p>
        </w:tc>
      </w:tr>
      <w:tr w:rsidR="00727C40" w:rsidRPr="00727C40" w:rsidTr="00727C40">
        <w:trPr>
          <w:trHeight w:val="252"/>
        </w:trPr>
        <w:tc>
          <w:tcPr>
            <w:tcW w:w="1282" w:type="dxa"/>
            <w:tcBorders>
              <w:top w:val="single" w:sz="2" w:space="0" w:color="000000"/>
              <w:left w:val="single" w:sz="2" w:space="0" w:color="000000"/>
              <w:bottom w:val="single" w:sz="2" w:space="0" w:color="000000"/>
              <w:right w:val="single" w:sz="2" w:space="0" w:color="000000"/>
            </w:tcBorders>
          </w:tcPr>
          <w:p w:rsidR="00727C40" w:rsidRPr="00727C40" w:rsidRDefault="00727C40" w:rsidP="00E214B5">
            <w:pPr>
              <w:pStyle w:val="TableParagraph"/>
              <w:rPr>
                <w:rFonts w:ascii="Arial" w:hAnsi="Arial" w:cs="Arial"/>
                <w:sz w:val="18"/>
                <w:szCs w:val="18"/>
              </w:rPr>
            </w:pPr>
            <w:r w:rsidRPr="00727C40">
              <w:rPr>
                <w:rFonts w:ascii="Arial" w:hAnsi="Arial" w:cs="Arial"/>
                <w:sz w:val="18"/>
                <w:szCs w:val="18"/>
              </w:rPr>
              <w:t>WEA 27</w:t>
            </w:r>
          </w:p>
        </w:tc>
        <w:tc>
          <w:tcPr>
            <w:tcW w:w="2665" w:type="dxa"/>
            <w:tcBorders>
              <w:top w:val="single" w:sz="2" w:space="0" w:color="000000"/>
              <w:left w:val="single" w:sz="2" w:space="0" w:color="000000"/>
              <w:bottom w:val="single" w:sz="2" w:space="0" w:color="000000"/>
              <w:right w:val="single" w:sz="2" w:space="0" w:color="000000"/>
            </w:tcBorders>
          </w:tcPr>
          <w:p w:rsidR="00727C40" w:rsidRPr="00727C40" w:rsidRDefault="00727C40" w:rsidP="00E214B5">
            <w:pPr>
              <w:pStyle w:val="TableParagraph"/>
              <w:rPr>
                <w:rFonts w:ascii="Arial" w:hAnsi="Arial" w:cs="Arial"/>
                <w:sz w:val="18"/>
                <w:szCs w:val="18"/>
              </w:rPr>
            </w:pPr>
            <w:r w:rsidRPr="00727C40">
              <w:rPr>
                <w:rFonts w:ascii="Arial" w:hAnsi="Arial" w:cs="Arial"/>
                <w:sz w:val="18"/>
                <w:szCs w:val="18"/>
              </w:rPr>
              <w:t>15.03.2023</w:t>
            </w:r>
          </w:p>
        </w:tc>
      </w:tr>
      <w:tr w:rsidR="00727C40" w:rsidRPr="00727C40" w:rsidTr="00727C40">
        <w:trPr>
          <w:trHeight w:val="254"/>
        </w:trPr>
        <w:tc>
          <w:tcPr>
            <w:tcW w:w="1282" w:type="dxa"/>
            <w:tcBorders>
              <w:top w:val="single" w:sz="2" w:space="0" w:color="000000"/>
              <w:left w:val="single" w:sz="2" w:space="0" w:color="000000"/>
              <w:bottom w:val="single" w:sz="2" w:space="0" w:color="000000"/>
              <w:right w:val="single" w:sz="2" w:space="0" w:color="000000"/>
            </w:tcBorders>
          </w:tcPr>
          <w:p w:rsidR="00727C40" w:rsidRPr="00727C40" w:rsidRDefault="00727C40" w:rsidP="00E214B5">
            <w:pPr>
              <w:pStyle w:val="TableParagraph"/>
              <w:spacing w:line="234" w:lineRule="exact"/>
              <w:rPr>
                <w:rFonts w:ascii="Arial" w:hAnsi="Arial" w:cs="Arial"/>
                <w:sz w:val="18"/>
                <w:szCs w:val="18"/>
              </w:rPr>
            </w:pPr>
            <w:r w:rsidRPr="00727C40">
              <w:rPr>
                <w:rFonts w:ascii="Arial" w:hAnsi="Arial" w:cs="Arial"/>
                <w:sz w:val="18"/>
                <w:szCs w:val="18"/>
              </w:rPr>
              <w:t>WEA 28</w:t>
            </w:r>
          </w:p>
        </w:tc>
        <w:tc>
          <w:tcPr>
            <w:tcW w:w="2665" w:type="dxa"/>
            <w:tcBorders>
              <w:top w:val="single" w:sz="2" w:space="0" w:color="000000"/>
              <w:left w:val="single" w:sz="2" w:space="0" w:color="000000"/>
              <w:bottom w:val="single" w:sz="2" w:space="0" w:color="000000"/>
              <w:right w:val="single" w:sz="2" w:space="0" w:color="000000"/>
            </w:tcBorders>
          </w:tcPr>
          <w:p w:rsidR="00727C40" w:rsidRPr="00727C40" w:rsidRDefault="00727C40" w:rsidP="00E214B5">
            <w:pPr>
              <w:pStyle w:val="TableParagraph"/>
              <w:spacing w:line="234" w:lineRule="exact"/>
              <w:rPr>
                <w:rFonts w:ascii="Arial" w:hAnsi="Arial" w:cs="Arial"/>
                <w:sz w:val="18"/>
                <w:szCs w:val="18"/>
              </w:rPr>
            </w:pPr>
            <w:r w:rsidRPr="00727C40">
              <w:rPr>
                <w:rFonts w:ascii="Arial" w:hAnsi="Arial" w:cs="Arial"/>
                <w:sz w:val="18"/>
                <w:szCs w:val="18"/>
              </w:rPr>
              <w:t>15.03.2023</w:t>
            </w:r>
          </w:p>
        </w:tc>
      </w:tr>
      <w:tr w:rsidR="00727C40" w:rsidRPr="00727C40" w:rsidTr="00727C40">
        <w:trPr>
          <w:trHeight w:val="251"/>
        </w:trPr>
        <w:tc>
          <w:tcPr>
            <w:tcW w:w="1282" w:type="dxa"/>
            <w:tcBorders>
              <w:top w:val="single" w:sz="2" w:space="0" w:color="000000"/>
              <w:left w:val="single" w:sz="2" w:space="0" w:color="000000"/>
              <w:bottom w:val="single" w:sz="2" w:space="0" w:color="000000"/>
              <w:right w:val="single" w:sz="2" w:space="0" w:color="000000"/>
            </w:tcBorders>
          </w:tcPr>
          <w:p w:rsidR="00727C40" w:rsidRPr="00727C40" w:rsidRDefault="00727C40" w:rsidP="00E214B5">
            <w:pPr>
              <w:pStyle w:val="TableParagraph"/>
              <w:rPr>
                <w:rFonts w:ascii="Arial" w:hAnsi="Arial" w:cs="Arial"/>
                <w:sz w:val="18"/>
                <w:szCs w:val="18"/>
              </w:rPr>
            </w:pPr>
            <w:r w:rsidRPr="00727C40">
              <w:rPr>
                <w:rFonts w:ascii="Arial" w:hAnsi="Arial" w:cs="Arial"/>
                <w:sz w:val="18"/>
                <w:szCs w:val="18"/>
              </w:rPr>
              <w:t>WEA 29</w:t>
            </w:r>
          </w:p>
        </w:tc>
        <w:tc>
          <w:tcPr>
            <w:tcW w:w="2665" w:type="dxa"/>
            <w:tcBorders>
              <w:top w:val="single" w:sz="2" w:space="0" w:color="000000"/>
              <w:left w:val="single" w:sz="2" w:space="0" w:color="000000"/>
              <w:bottom w:val="single" w:sz="2" w:space="0" w:color="000000"/>
              <w:right w:val="single" w:sz="2" w:space="0" w:color="000000"/>
            </w:tcBorders>
          </w:tcPr>
          <w:p w:rsidR="00727C40" w:rsidRPr="00727C40" w:rsidRDefault="00727C40" w:rsidP="00E214B5">
            <w:pPr>
              <w:pStyle w:val="TableParagraph"/>
              <w:rPr>
                <w:rFonts w:ascii="Arial" w:hAnsi="Arial" w:cs="Arial"/>
                <w:sz w:val="18"/>
                <w:szCs w:val="18"/>
              </w:rPr>
            </w:pPr>
            <w:r w:rsidRPr="00727C40">
              <w:rPr>
                <w:rFonts w:ascii="Arial" w:hAnsi="Arial" w:cs="Arial"/>
                <w:sz w:val="18"/>
                <w:szCs w:val="18"/>
              </w:rPr>
              <w:t>21.03.2023</w:t>
            </w:r>
          </w:p>
        </w:tc>
      </w:tr>
      <w:tr w:rsidR="00727C40" w:rsidRPr="00727C40" w:rsidTr="00727C40">
        <w:trPr>
          <w:trHeight w:val="254"/>
        </w:trPr>
        <w:tc>
          <w:tcPr>
            <w:tcW w:w="1282" w:type="dxa"/>
            <w:tcBorders>
              <w:top w:val="single" w:sz="2" w:space="0" w:color="000000"/>
              <w:left w:val="single" w:sz="2" w:space="0" w:color="000000"/>
              <w:bottom w:val="single" w:sz="2" w:space="0" w:color="000000"/>
              <w:right w:val="single" w:sz="2" w:space="0" w:color="000000"/>
            </w:tcBorders>
          </w:tcPr>
          <w:p w:rsidR="00727C40" w:rsidRPr="00727C40" w:rsidRDefault="00727C40" w:rsidP="00E214B5">
            <w:pPr>
              <w:pStyle w:val="TableParagraph"/>
              <w:spacing w:line="234" w:lineRule="exact"/>
              <w:rPr>
                <w:rFonts w:ascii="Arial" w:hAnsi="Arial" w:cs="Arial"/>
                <w:sz w:val="18"/>
                <w:szCs w:val="18"/>
              </w:rPr>
            </w:pPr>
            <w:r w:rsidRPr="00727C40">
              <w:rPr>
                <w:rFonts w:ascii="Arial" w:hAnsi="Arial" w:cs="Arial"/>
                <w:sz w:val="18"/>
                <w:szCs w:val="18"/>
              </w:rPr>
              <w:t>WEA 30</w:t>
            </w:r>
          </w:p>
        </w:tc>
        <w:tc>
          <w:tcPr>
            <w:tcW w:w="2665" w:type="dxa"/>
            <w:tcBorders>
              <w:top w:val="single" w:sz="2" w:space="0" w:color="000000"/>
              <w:left w:val="single" w:sz="2" w:space="0" w:color="000000"/>
              <w:bottom w:val="single" w:sz="2" w:space="0" w:color="000000"/>
              <w:right w:val="single" w:sz="2" w:space="0" w:color="000000"/>
            </w:tcBorders>
          </w:tcPr>
          <w:p w:rsidR="00727C40" w:rsidRPr="00727C40" w:rsidRDefault="00727C40" w:rsidP="00E214B5">
            <w:pPr>
              <w:pStyle w:val="TableParagraph"/>
              <w:spacing w:line="234" w:lineRule="exact"/>
              <w:rPr>
                <w:rFonts w:ascii="Arial" w:hAnsi="Arial" w:cs="Arial"/>
                <w:sz w:val="18"/>
                <w:szCs w:val="18"/>
              </w:rPr>
            </w:pPr>
            <w:r w:rsidRPr="00727C40">
              <w:rPr>
                <w:rFonts w:ascii="Arial" w:hAnsi="Arial" w:cs="Arial"/>
                <w:sz w:val="18"/>
                <w:szCs w:val="18"/>
              </w:rPr>
              <w:t>23.03.2023</w:t>
            </w:r>
          </w:p>
        </w:tc>
      </w:tr>
      <w:tr w:rsidR="00727C40" w:rsidRPr="00727C40" w:rsidTr="00727C40">
        <w:trPr>
          <w:trHeight w:val="251"/>
        </w:trPr>
        <w:tc>
          <w:tcPr>
            <w:tcW w:w="1282" w:type="dxa"/>
            <w:tcBorders>
              <w:top w:val="single" w:sz="2" w:space="0" w:color="000000"/>
              <w:left w:val="single" w:sz="2" w:space="0" w:color="000000"/>
              <w:bottom w:val="single" w:sz="2" w:space="0" w:color="000000"/>
              <w:right w:val="single" w:sz="2" w:space="0" w:color="000000"/>
            </w:tcBorders>
          </w:tcPr>
          <w:p w:rsidR="00727C40" w:rsidRPr="00727C40" w:rsidRDefault="00727C40" w:rsidP="00E214B5">
            <w:pPr>
              <w:pStyle w:val="TableParagraph"/>
              <w:rPr>
                <w:rFonts w:ascii="Arial" w:hAnsi="Arial" w:cs="Arial"/>
                <w:sz w:val="18"/>
                <w:szCs w:val="18"/>
              </w:rPr>
            </w:pPr>
            <w:r w:rsidRPr="00727C40">
              <w:rPr>
                <w:rFonts w:ascii="Arial" w:hAnsi="Arial" w:cs="Arial"/>
                <w:sz w:val="18"/>
                <w:szCs w:val="18"/>
              </w:rPr>
              <w:t>WEA 31</w:t>
            </w:r>
          </w:p>
        </w:tc>
        <w:tc>
          <w:tcPr>
            <w:tcW w:w="2665" w:type="dxa"/>
            <w:tcBorders>
              <w:top w:val="single" w:sz="2" w:space="0" w:color="000000"/>
              <w:left w:val="single" w:sz="2" w:space="0" w:color="000000"/>
              <w:bottom w:val="single" w:sz="2" w:space="0" w:color="000000"/>
              <w:right w:val="single" w:sz="2" w:space="0" w:color="000000"/>
            </w:tcBorders>
          </w:tcPr>
          <w:p w:rsidR="00727C40" w:rsidRPr="00727C40" w:rsidRDefault="00727C40" w:rsidP="00E214B5">
            <w:pPr>
              <w:pStyle w:val="TableParagraph"/>
              <w:rPr>
                <w:rFonts w:ascii="Arial" w:hAnsi="Arial" w:cs="Arial"/>
                <w:sz w:val="18"/>
                <w:szCs w:val="18"/>
              </w:rPr>
            </w:pPr>
            <w:r w:rsidRPr="00727C40">
              <w:rPr>
                <w:rFonts w:ascii="Arial" w:hAnsi="Arial" w:cs="Arial"/>
                <w:sz w:val="18"/>
                <w:szCs w:val="18"/>
              </w:rPr>
              <w:t>23.03.2023</w:t>
            </w:r>
          </w:p>
        </w:tc>
      </w:tr>
      <w:tr w:rsidR="00727C40" w:rsidRPr="00727C40" w:rsidTr="00727C40">
        <w:trPr>
          <w:trHeight w:val="254"/>
        </w:trPr>
        <w:tc>
          <w:tcPr>
            <w:tcW w:w="1282" w:type="dxa"/>
            <w:tcBorders>
              <w:top w:val="single" w:sz="2" w:space="0" w:color="000000"/>
              <w:left w:val="single" w:sz="2" w:space="0" w:color="000000"/>
              <w:bottom w:val="single" w:sz="2" w:space="0" w:color="000000"/>
              <w:right w:val="single" w:sz="2" w:space="0" w:color="000000"/>
            </w:tcBorders>
          </w:tcPr>
          <w:p w:rsidR="00727C40" w:rsidRPr="00727C40" w:rsidRDefault="00727C40" w:rsidP="00E214B5">
            <w:pPr>
              <w:pStyle w:val="TableParagraph"/>
              <w:spacing w:line="234" w:lineRule="exact"/>
              <w:rPr>
                <w:rFonts w:ascii="Arial" w:hAnsi="Arial" w:cs="Arial"/>
                <w:sz w:val="18"/>
                <w:szCs w:val="18"/>
              </w:rPr>
            </w:pPr>
            <w:r w:rsidRPr="00727C40">
              <w:rPr>
                <w:rFonts w:ascii="Arial" w:hAnsi="Arial" w:cs="Arial"/>
                <w:sz w:val="18"/>
                <w:szCs w:val="18"/>
              </w:rPr>
              <w:t>WEA 32</w:t>
            </w:r>
          </w:p>
        </w:tc>
        <w:tc>
          <w:tcPr>
            <w:tcW w:w="2665" w:type="dxa"/>
            <w:tcBorders>
              <w:top w:val="single" w:sz="2" w:space="0" w:color="000000"/>
              <w:left w:val="single" w:sz="2" w:space="0" w:color="000000"/>
              <w:bottom w:val="single" w:sz="2" w:space="0" w:color="000000"/>
              <w:right w:val="single" w:sz="2" w:space="0" w:color="000000"/>
            </w:tcBorders>
          </w:tcPr>
          <w:p w:rsidR="00727C40" w:rsidRPr="00727C40" w:rsidRDefault="00727C40" w:rsidP="00E214B5">
            <w:pPr>
              <w:pStyle w:val="TableParagraph"/>
              <w:spacing w:line="234" w:lineRule="exact"/>
              <w:rPr>
                <w:rFonts w:ascii="Arial" w:hAnsi="Arial" w:cs="Arial"/>
                <w:sz w:val="18"/>
                <w:szCs w:val="18"/>
              </w:rPr>
            </w:pPr>
            <w:r w:rsidRPr="00727C40">
              <w:rPr>
                <w:rFonts w:ascii="Arial" w:hAnsi="Arial" w:cs="Arial"/>
                <w:sz w:val="18"/>
                <w:szCs w:val="18"/>
              </w:rPr>
              <w:t>28.03.2023</w:t>
            </w:r>
          </w:p>
        </w:tc>
      </w:tr>
      <w:tr w:rsidR="00727C40" w:rsidRPr="00727C40" w:rsidTr="00727C40">
        <w:trPr>
          <w:trHeight w:val="251"/>
        </w:trPr>
        <w:tc>
          <w:tcPr>
            <w:tcW w:w="1282" w:type="dxa"/>
            <w:tcBorders>
              <w:top w:val="single" w:sz="2" w:space="0" w:color="000000"/>
              <w:left w:val="single" w:sz="2" w:space="0" w:color="000000"/>
              <w:bottom w:val="single" w:sz="2" w:space="0" w:color="000000"/>
              <w:right w:val="single" w:sz="2" w:space="0" w:color="000000"/>
            </w:tcBorders>
          </w:tcPr>
          <w:p w:rsidR="00727C40" w:rsidRPr="00727C40" w:rsidRDefault="00727C40" w:rsidP="00E214B5">
            <w:pPr>
              <w:pStyle w:val="TableParagraph"/>
              <w:rPr>
                <w:rFonts w:ascii="Arial" w:hAnsi="Arial" w:cs="Arial"/>
                <w:sz w:val="18"/>
                <w:szCs w:val="18"/>
              </w:rPr>
            </w:pPr>
            <w:r w:rsidRPr="00727C40">
              <w:rPr>
                <w:rFonts w:ascii="Arial" w:hAnsi="Arial" w:cs="Arial"/>
                <w:sz w:val="18"/>
                <w:szCs w:val="18"/>
              </w:rPr>
              <w:t>WEA 33</w:t>
            </w:r>
          </w:p>
        </w:tc>
        <w:tc>
          <w:tcPr>
            <w:tcW w:w="2665" w:type="dxa"/>
            <w:tcBorders>
              <w:top w:val="single" w:sz="2" w:space="0" w:color="000000"/>
              <w:left w:val="single" w:sz="2" w:space="0" w:color="000000"/>
              <w:bottom w:val="single" w:sz="2" w:space="0" w:color="000000"/>
              <w:right w:val="single" w:sz="2" w:space="0" w:color="000000"/>
            </w:tcBorders>
          </w:tcPr>
          <w:p w:rsidR="00727C40" w:rsidRPr="00727C40" w:rsidRDefault="00727C40" w:rsidP="00E214B5">
            <w:pPr>
              <w:pStyle w:val="TableParagraph"/>
              <w:rPr>
                <w:rFonts w:ascii="Arial" w:hAnsi="Arial" w:cs="Arial"/>
                <w:sz w:val="18"/>
                <w:szCs w:val="18"/>
              </w:rPr>
            </w:pPr>
            <w:r w:rsidRPr="00727C40">
              <w:rPr>
                <w:rFonts w:ascii="Arial" w:hAnsi="Arial" w:cs="Arial"/>
                <w:sz w:val="18"/>
                <w:szCs w:val="18"/>
              </w:rPr>
              <w:t>30.03.2023</w:t>
            </w:r>
          </w:p>
        </w:tc>
      </w:tr>
      <w:tr w:rsidR="00727C40" w:rsidRPr="00727C40" w:rsidTr="00727C40">
        <w:trPr>
          <w:trHeight w:val="254"/>
        </w:trPr>
        <w:tc>
          <w:tcPr>
            <w:tcW w:w="1282" w:type="dxa"/>
            <w:tcBorders>
              <w:top w:val="single" w:sz="2" w:space="0" w:color="000000"/>
              <w:left w:val="single" w:sz="2" w:space="0" w:color="000000"/>
              <w:bottom w:val="single" w:sz="2" w:space="0" w:color="000000"/>
              <w:right w:val="single" w:sz="2" w:space="0" w:color="000000"/>
            </w:tcBorders>
          </w:tcPr>
          <w:p w:rsidR="00727C40" w:rsidRPr="00727C40" w:rsidRDefault="00727C40" w:rsidP="00E214B5">
            <w:pPr>
              <w:pStyle w:val="TableParagraph"/>
              <w:spacing w:line="234" w:lineRule="exact"/>
              <w:rPr>
                <w:rFonts w:ascii="Arial" w:hAnsi="Arial" w:cs="Arial"/>
                <w:sz w:val="18"/>
                <w:szCs w:val="18"/>
              </w:rPr>
            </w:pPr>
            <w:r w:rsidRPr="00727C40">
              <w:rPr>
                <w:rFonts w:ascii="Arial" w:hAnsi="Arial" w:cs="Arial"/>
                <w:sz w:val="18"/>
                <w:szCs w:val="18"/>
              </w:rPr>
              <w:t>WEA 34</w:t>
            </w:r>
          </w:p>
        </w:tc>
        <w:tc>
          <w:tcPr>
            <w:tcW w:w="2665" w:type="dxa"/>
            <w:tcBorders>
              <w:top w:val="single" w:sz="2" w:space="0" w:color="000000"/>
              <w:left w:val="single" w:sz="2" w:space="0" w:color="000000"/>
              <w:bottom w:val="single" w:sz="2" w:space="0" w:color="000000"/>
              <w:right w:val="single" w:sz="2" w:space="0" w:color="000000"/>
            </w:tcBorders>
          </w:tcPr>
          <w:p w:rsidR="00727C40" w:rsidRPr="00727C40" w:rsidRDefault="00727C40" w:rsidP="00E214B5">
            <w:pPr>
              <w:pStyle w:val="TableParagraph"/>
              <w:spacing w:line="234" w:lineRule="exact"/>
              <w:rPr>
                <w:rFonts w:ascii="Arial" w:hAnsi="Arial" w:cs="Arial"/>
                <w:sz w:val="18"/>
                <w:szCs w:val="18"/>
              </w:rPr>
            </w:pPr>
            <w:r w:rsidRPr="00727C40">
              <w:rPr>
                <w:rFonts w:ascii="Arial" w:hAnsi="Arial" w:cs="Arial"/>
                <w:sz w:val="18"/>
                <w:szCs w:val="18"/>
              </w:rPr>
              <w:t>30.03.2023</w:t>
            </w:r>
          </w:p>
        </w:tc>
      </w:tr>
      <w:tr w:rsidR="00727C40" w:rsidRPr="00727C40" w:rsidTr="00727C40">
        <w:trPr>
          <w:trHeight w:val="251"/>
        </w:trPr>
        <w:tc>
          <w:tcPr>
            <w:tcW w:w="1282" w:type="dxa"/>
            <w:tcBorders>
              <w:top w:val="single" w:sz="2" w:space="0" w:color="000000"/>
              <w:left w:val="single" w:sz="2" w:space="0" w:color="000000"/>
              <w:bottom w:val="single" w:sz="2" w:space="0" w:color="000000"/>
              <w:right w:val="single" w:sz="2" w:space="0" w:color="000000"/>
            </w:tcBorders>
          </w:tcPr>
          <w:p w:rsidR="00727C40" w:rsidRPr="00727C40" w:rsidRDefault="00727C40" w:rsidP="00E214B5">
            <w:pPr>
              <w:pStyle w:val="TableParagraph"/>
              <w:rPr>
                <w:rFonts w:ascii="Arial" w:hAnsi="Arial" w:cs="Arial"/>
                <w:sz w:val="18"/>
                <w:szCs w:val="18"/>
              </w:rPr>
            </w:pPr>
            <w:r w:rsidRPr="00727C40">
              <w:rPr>
                <w:rFonts w:ascii="Arial" w:hAnsi="Arial" w:cs="Arial"/>
                <w:sz w:val="18"/>
                <w:szCs w:val="18"/>
              </w:rPr>
              <w:t>WEA 35</w:t>
            </w:r>
          </w:p>
        </w:tc>
        <w:tc>
          <w:tcPr>
            <w:tcW w:w="2665" w:type="dxa"/>
            <w:tcBorders>
              <w:top w:val="single" w:sz="2" w:space="0" w:color="000000"/>
              <w:left w:val="single" w:sz="2" w:space="0" w:color="000000"/>
              <w:bottom w:val="single" w:sz="2" w:space="0" w:color="000000"/>
              <w:right w:val="single" w:sz="2" w:space="0" w:color="000000"/>
            </w:tcBorders>
          </w:tcPr>
          <w:p w:rsidR="00727C40" w:rsidRPr="00727C40" w:rsidRDefault="00727C40" w:rsidP="00E214B5">
            <w:pPr>
              <w:pStyle w:val="TableParagraph"/>
              <w:rPr>
                <w:rFonts w:ascii="Arial" w:hAnsi="Arial" w:cs="Arial"/>
                <w:sz w:val="18"/>
                <w:szCs w:val="18"/>
              </w:rPr>
            </w:pPr>
            <w:r w:rsidRPr="00727C40">
              <w:rPr>
                <w:rFonts w:ascii="Arial" w:hAnsi="Arial" w:cs="Arial"/>
                <w:sz w:val="18"/>
                <w:szCs w:val="18"/>
              </w:rPr>
              <w:t>30.03.2023</w:t>
            </w:r>
          </w:p>
        </w:tc>
      </w:tr>
      <w:tr w:rsidR="00727C40" w:rsidRPr="00727C40" w:rsidTr="00727C40">
        <w:trPr>
          <w:trHeight w:val="254"/>
        </w:trPr>
        <w:tc>
          <w:tcPr>
            <w:tcW w:w="1282" w:type="dxa"/>
            <w:tcBorders>
              <w:top w:val="single" w:sz="2" w:space="0" w:color="000000"/>
              <w:left w:val="single" w:sz="2" w:space="0" w:color="000000"/>
              <w:bottom w:val="single" w:sz="2" w:space="0" w:color="000000"/>
              <w:right w:val="single" w:sz="2" w:space="0" w:color="000000"/>
            </w:tcBorders>
          </w:tcPr>
          <w:p w:rsidR="00727C40" w:rsidRPr="00727C40" w:rsidRDefault="00727C40" w:rsidP="00E214B5">
            <w:pPr>
              <w:pStyle w:val="TableParagraph"/>
              <w:spacing w:line="234" w:lineRule="exact"/>
              <w:rPr>
                <w:rFonts w:ascii="Arial" w:hAnsi="Arial" w:cs="Arial"/>
                <w:sz w:val="18"/>
                <w:szCs w:val="18"/>
              </w:rPr>
            </w:pPr>
            <w:r w:rsidRPr="00727C40">
              <w:rPr>
                <w:rFonts w:ascii="Arial" w:hAnsi="Arial" w:cs="Arial"/>
                <w:sz w:val="18"/>
                <w:szCs w:val="18"/>
              </w:rPr>
              <w:t>WEA 36</w:t>
            </w:r>
          </w:p>
        </w:tc>
        <w:tc>
          <w:tcPr>
            <w:tcW w:w="2665" w:type="dxa"/>
            <w:tcBorders>
              <w:top w:val="single" w:sz="2" w:space="0" w:color="000000"/>
              <w:left w:val="single" w:sz="2" w:space="0" w:color="000000"/>
              <w:bottom w:val="single" w:sz="2" w:space="0" w:color="000000"/>
              <w:right w:val="single" w:sz="2" w:space="0" w:color="000000"/>
            </w:tcBorders>
          </w:tcPr>
          <w:p w:rsidR="00727C40" w:rsidRPr="00727C40" w:rsidRDefault="00727C40" w:rsidP="00E214B5">
            <w:pPr>
              <w:pStyle w:val="TableParagraph"/>
              <w:spacing w:line="234" w:lineRule="exact"/>
              <w:rPr>
                <w:rFonts w:ascii="Arial" w:hAnsi="Arial" w:cs="Arial"/>
                <w:sz w:val="18"/>
                <w:szCs w:val="18"/>
              </w:rPr>
            </w:pPr>
            <w:r w:rsidRPr="00727C40">
              <w:rPr>
                <w:rFonts w:ascii="Arial" w:hAnsi="Arial" w:cs="Arial"/>
                <w:sz w:val="18"/>
                <w:szCs w:val="18"/>
              </w:rPr>
              <w:t>31.03.2023</w:t>
            </w:r>
          </w:p>
        </w:tc>
      </w:tr>
      <w:tr w:rsidR="00727C40" w:rsidRPr="00727C40" w:rsidTr="00727C40">
        <w:trPr>
          <w:trHeight w:val="251"/>
        </w:trPr>
        <w:tc>
          <w:tcPr>
            <w:tcW w:w="1282" w:type="dxa"/>
            <w:tcBorders>
              <w:top w:val="single" w:sz="2" w:space="0" w:color="000000"/>
              <w:left w:val="single" w:sz="2" w:space="0" w:color="000000"/>
              <w:bottom w:val="single" w:sz="2" w:space="0" w:color="000000"/>
              <w:right w:val="single" w:sz="2" w:space="0" w:color="000000"/>
            </w:tcBorders>
          </w:tcPr>
          <w:p w:rsidR="00727C40" w:rsidRPr="00727C40" w:rsidRDefault="00727C40" w:rsidP="00E214B5">
            <w:pPr>
              <w:pStyle w:val="TableParagraph"/>
              <w:rPr>
                <w:rFonts w:ascii="Arial" w:hAnsi="Arial" w:cs="Arial"/>
                <w:sz w:val="18"/>
                <w:szCs w:val="18"/>
              </w:rPr>
            </w:pPr>
            <w:r w:rsidRPr="00727C40">
              <w:rPr>
                <w:rFonts w:ascii="Arial" w:hAnsi="Arial" w:cs="Arial"/>
                <w:sz w:val="18"/>
                <w:szCs w:val="18"/>
              </w:rPr>
              <w:t>WEA 37</w:t>
            </w:r>
          </w:p>
        </w:tc>
        <w:tc>
          <w:tcPr>
            <w:tcW w:w="2665" w:type="dxa"/>
            <w:tcBorders>
              <w:top w:val="single" w:sz="2" w:space="0" w:color="000000"/>
              <w:left w:val="single" w:sz="2" w:space="0" w:color="000000"/>
              <w:bottom w:val="single" w:sz="2" w:space="0" w:color="000000"/>
              <w:right w:val="single" w:sz="2" w:space="0" w:color="000000"/>
            </w:tcBorders>
          </w:tcPr>
          <w:p w:rsidR="00727C40" w:rsidRPr="00727C40" w:rsidRDefault="00727C40" w:rsidP="00E214B5">
            <w:pPr>
              <w:pStyle w:val="TableParagraph"/>
              <w:rPr>
                <w:rFonts w:ascii="Arial" w:hAnsi="Arial" w:cs="Arial"/>
                <w:sz w:val="18"/>
                <w:szCs w:val="18"/>
              </w:rPr>
            </w:pPr>
            <w:r w:rsidRPr="00727C40">
              <w:rPr>
                <w:rFonts w:ascii="Arial" w:hAnsi="Arial" w:cs="Arial"/>
                <w:sz w:val="18"/>
                <w:szCs w:val="18"/>
              </w:rPr>
              <w:t>31.03.2023</w:t>
            </w:r>
          </w:p>
        </w:tc>
      </w:tr>
      <w:tr w:rsidR="00727C40" w:rsidRPr="00727C40" w:rsidTr="00727C40">
        <w:trPr>
          <w:trHeight w:val="254"/>
        </w:trPr>
        <w:tc>
          <w:tcPr>
            <w:tcW w:w="1282" w:type="dxa"/>
            <w:tcBorders>
              <w:top w:val="single" w:sz="2" w:space="0" w:color="000000"/>
              <w:left w:val="single" w:sz="2" w:space="0" w:color="000000"/>
              <w:bottom w:val="single" w:sz="2" w:space="0" w:color="000000"/>
              <w:right w:val="single" w:sz="2" w:space="0" w:color="000000"/>
            </w:tcBorders>
          </w:tcPr>
          <w:p w:rsidR="00727C40" w:rsidRPr="00727C40" w:rsidRDefault="00727C40" w:rsidP="00E214B5">
            <w:pPr>
              <w:pStyle w:val="TableParagraph"/>
              <w:spacing w:line="234" w:lineRule="exact"/>
              <w:rPr>
                <w:rFonts w:ascii="Arial" w:hAnsi="Arial" w:cs="Arial"/>
                <w:sz w:val="18"/>
                <w:szCs w:val="18"/>
              </w:rPr>
            </w:pPr>
            <w:r w:rsidRPr="00727C40">
              <w:rPr>
                <w:rFonts w:ascii="Arial" w:hAnsi="Arial" w:cs="Arial"/>
                <w:sz w:val="18"/>
                <w:szCs w:val="18"/>
              </w:rPr>
              <w:t>WEA 38</w:t>
            </w:r>
          </w:p>
        </w:tc>
        <w:tc>
          <w:tcPr>
            <w:tcW w:w="2665" w:type="dxa"/>
            <w:tcBorders>
              <w:top w:val="single" w:sz="2" w:space="0" w:color="000000"/>
              <w:left w:val="single" w:sz="2" w:space="0" w:color="000000"/>
              <w:bottom w:val="single" w:sz="2" w:space="0" w:color="000000"/>
              <w:right w:val="single" w:sz="2" w:space="0" w:color="000000"/>
            </w:tcBorders>
          </w:tcPr>
          <w:p w:rsidR="00727C40" w:rsidRPr="00727C40" w:rsidRDefault="00727C40" w:rsidP="00E214B5">
            <w:pPr>
              <w:pStyle w:val="TableParagraph"/>
              <w:spacing w:line="234" w:lineRule="exact"/>
              <w:rPr>
                <w:rFonts w:ascii="Arial" w:hAnsi="Arial" w:cs="Arial"/>
                <w:sz w:val="18"/>
                <w:szCs w:val="18"/>
              </w:rPr>
            </w:pPr>
            <w:r w:rsidRPr="00727C40">
              <w:rPr>
                <w:rFonts w:ascii="Arial" w:hAnsi="Arial" w:cs="Arial"/>
                <w:sz w:val="18"/>
                <w:szCs w:val="18"/>
              </w:rPr>
              <w:t>31.03.2023</w:t>
            </w:r>
          </w:p>
        </w:tc>
      </w:tr>
      <w:tr w:rsidR="00727C40" w:rsidRPr="00727C40" w:rsidTr="00727C40">
        <w:trPr>
          <w:trHeight w:val="251"/>
        </w:trPr>
        <w:tc>
          <w:tcPr>
            <w:tcW w:w="1282" w:type="dxa"/>
            <w:tcBorders>
              <w:top w:val="single" w:sz="2" w:space="0" w:color="000000"/>
              <w:left w:val="single" w:sz="2" w:space="0" w:color="000000"/>
              <w:bottom w:val="single" w:sz="2" w:space="0" w:color="000000"/>
              <w:right w:val="single" w:sz="2" w:space="0" w:color="000000"/>
            </w:tcBorders>
          </w:tcPr>
          <w:p w:rsidR="00727C40" w:rsidRPr="00727C40" w:rsidRDefault="00727C40" w:rsidP="00E214B5">
            <w:pPr>
              <w:pStyle w:val="TableParagraph"/>
              <w:rPr>
                <w:rFonts w:ascii="Arial" w:hAnsi="Arial" w:cs="Arial"/>
                <w:sz w:val="18"/>
                <w:szCs w:val="18"/>
              </w:rPr>
            </w:pPr>
            <w:r w:rsidRPr="00727C40">
              <w:rPr>
                <w:rFonts w:ascii="Arial" w:hAnsi="Arial" w:cs="Arial"/>
                <w:sz w:val="18"/>
                <w:szCs w:val="18"/>
              </w:rPr>
              <w:t>WEA 39</w:t>
            </w:r>
          </w:p>
        </w:tc>
        <w:tc>
          <w:tcPr>
            <w:tcW w:w="2665" w:type="dxa"/>
            <w:tcBorders>
              <w:top w:val="single" w:sz="2" w:space="0" w:color="000000"/>
              <w:left w:val="single" w:sz="2" w:space="0" w:color="000000"/>
              <w:bottom w:val="single" w:sz="2" w:space="0" w:color="000000"/>
              <w:right w:val="single" w:sz="2" w:space="0" w:color="000000"/>
            </w:tcBorders>
          </w:tcPr>
          <w:p w:rsidR="00727C40" w:rsidRPr="00727C40" w:rsidRDefault="00727C40" w:rsidP="00E214B5">
            <w:pPr>
              <w:pStyle w:val="TableParagraph"/>
              <w:rPr>
                <w:rFonts w:ascii="Arial" w:hAnsi="Arial" w:cs="Arial"/>
                <w:sz w:val="18"/>
                <w:szCs w:val="18"/>
              </w:rPr>
            </w:pPr>
            <w:r w:rsidRPr="00727C40">
              <w:rPr>
                <w:rFonts w:ascii="Arial" w:hAnsi="Arial" w:cs="Arial"/>
                <w:sz w:val="18"/>
                <w:szCs w:val="18"/>
              </w:rPr>
              <w:t>25.04.2023</w:t>
            </w:r>
          </w:p>
        </w:tc>
      </w:tr>
      <w:tr w:rsidR="00727C40" w:rsidRPr="00727C40" w:rsidTr="00727C40">
        <w:trPr>
          <w:trHeight w:val="254"/>
        </w:trPr>
        <w:tc>
          <w:tcPr>
            <w:tcW w:w="1282" w:type="dxa"/>
            <w:tcBorders>
              <w:top w:val="single" w:sz="2" w:space="0" w:color="000000"/>
              <w:left w:val="single" w:sz="2" w:space="0" w:color="000000"/>
              <w:bottom w:val="single" w:sz="2" w:space="0" w:color="000000"/>
              <w:right w:val="single" w:sz="2" w:space="0" w:color="000000"/>
            </w:tcBorders>
          </w:tcPr>
          <w:p w:rsidR="00727C40" w:rsidRPr="00727C40" w:rsidRDefault="00727C40" w:rsidP="00E214B5">
            <w:pPr>
              <w:pStyle w:val="TableParagraph"/>
              <w:spacing w:line="234" w:lineRule="exact"/>
              <w:rPr>
                <w:rFonts w:ascii="Arial" w:hAnsi="Arial" w:cs="Arial"/>
                <w:sz w:val="18"/>
                <w:szCs w:val="18"/>
              </w:rPr>
            </w:pPr>
            <w:r w:rsidRPr="00727C40">
              <w:rPr>
                <w:rFonts w:ascii="Arial" w:hAnsi="Arial" w:cs="Arial"/>
                <w:sz w:val="18"/>
                <w:szCs w:val="18"/>
              </w:rPr>
              <w:t>WEA 40</w:t>
            </w:r>
          </w:p>
        </w:tc>
        <w:tc>
          <w:tcPr>
            <w:tcW w:w="2665" w:type="dxa"/>
            <w:tcBorders>
              <w:top w:val="single" w:sz="2" w:space="0" w:color="000000"/>
              <w:left w:val="single" w:sz="2" w:space="0" w:color="000000"/>
              <w:bottom w:val="single" w:sz="2" w:space="0" w:color="000000"/>
              <w:right w:val="single" w:sz="2" w:space="0" w:color="000000"/>
            </w:tcBorders>
          </w:tcPr>
          <w:p w:rsidR="00727C40" w:rsidRPr="00727C40" w:rsidRDefault="00727C40" w:rsidP="00E214B5">
            <w:pPr>
              <w:pStyle w:val="TableParagraph"/>
              <w:spacing w:line="234" w:lineRule="exact"/>
              <w:rPr>
                <w:rFonts w:ascii="Arial" w:hAnsi="Arial" w:cs="Arial"/>
                <w:sz w:val="18"/>
                <w:szCs w:val="18"/>
              </w:rPr>
            </w:pPr>
            <w:r w:rsidRPr="00727C40">
              <w:rPr>
                <w:rFonts w:ascii="Arial" w:hAnsi="Arial" w:cs="Arial"/>
                <w:sz w:val="18"/>
                <w:szCs w:val="18"/>
              </w:rPr>
              <w:t>25.04.2023</w:t>
            </w:r>
          </w:p>
        </w:tc>
      </w:tr>
      <w:tr w:rsidR="00727C40" w:rsidRPr="00727C40" w:rsidTr="00727C40">
        <w:trPr>
          <w:trHeight w:val="251"/>
        </w:trPr>
        <w:tc>
          <w:tcPr>
            <w:tcW w:w="1282" w:type="dxa"/>
            <w:tcBorders>
              <w:top w:val="single" w:sz="2" w:space="0" w:color="000000"/>
              <w:left w:val="single" w:sz="2" w:space="0" w:color="000000"/>
              <w:bottom w:val="single" w:sz="2" w:space="0" w:color="000000"/>
              <w:right w:val="single" w:sz="2" w:space="0" w:color="000000"/>
            </w:tcBorders>
          </w:tcPr>
          <w:p w:rsidR="00727C40" w:rsidRPr="00727C40" w:rsidRDefault="00727C40" w:rsidP="00E214B5">
            <w:pPr>
              <w:pStyle w:val="TableParagraph"/>
              <w:rPr>
                <w:rFonts w:ascii="Arial" w:hAnsi="Arial" w:cs="Arial"/>
                <w:sz w:val="18"/>
                <w:szCs w:val="18"/>
              </w:rPr>
            </w:pPr>
            <w:r w:rsidRPr="00727C40">
              <w:rPr>
                <w:rFonts w:ascii="Arial" w:hAnsi="Arial" w:cs="Arial"/>
                <w:sz w:val="18"/>
                <w:szCs w:val="18"/>
              </w:rPr>
              <w:t>WEA 41</w:t>
            </w:r>
          </w:p>
        </w:tc>
        <w:tc>
          <w:tcPr>
            <w:tcW w:w="2665" w:type="dxa"/>
            <w:tcBorders>
              <w:top w:val="single" w:sz="2" w:space="0" w:color="000000"/>
              <w:left w:val="single" w:sz="2" w:space="0" w:color="000000"/>
              <w:bottom w:val="single" w:sz="2" w:space="0" w:color="000000"/>
              <w:right w:val="single" w:sz="2" w:space="0" w:color="000000"/>
            </w:tcBorders>
          </w:tcPr>
          <w:p w:rsidR="00727C40" w:rsidRPr="00727C40" w:rsidRDefault="00727C40" w:rsidP="00E214B5">
            <w:pPr>
              <w:pStyle w:val="TableParagraph"/>
              <w:rPr>
                <w:rFonts w:ascii="Arial" w:hAnsi="Arial" w:cs="Arial"/>
                <w:sz w:val="18"/>
                <w:szCs w:val="18"/>
              </w:rPr>
            </w:pPr>
            <w:r w:rsidRPr="00727C40">
              <w:rPr>
                <w:rFonts w:ascii="Arial" w:hAnsi="Arial" w:cs="Arial"/>
                <w:sz w:val="18"/>
                <w:szCs w:val="18"/>
              </w:rPr>
              <w:t>25.04.2023</w:t>
            </w:r>
          </w:p>
        </w:tc>
      </w:tr>
      <w:tr w:rsidR="00727C40" w:rsidRPr="00727C40" w:rsidTr="00727C40">
        <w:trPr>
          <w:trHeight w:val="254"/>
        </w:trPr>
        <w:tc>
          <w:tcPr>
            <w:tcW w:w="1282" w:type="dxa"/>
            <w:tcBorders>
              <w:top w:val="single" w:sz="2" w:space="0" w:color="000000"/>
              <w:left w:val="single" w:sz="2" w:space="0" w:color="000000"/>
              <w:bottom w:val="single" w:sz="2" w:space="0" w:color="000000"/>
              <w:right w:val="single" w:sz="2" w:space="0" w:color="000000"/>
            </w:tcBorders>
          </w:tcPr>
          <w:p w:rsidR="00727C40" w:rsidRPr="00727C40" w:rsidRDefault="00727C40" w:rsidP="00E214B5">
            <w:pPr>
              <w:pStyle w:val="TableParagraph"/>
              <w:spacing w:line="235" w:lineRule="exact"/>
              <w:rPr>
                <w:rFonts w:ascii="Arial" w:hAnsi="Arial" w:cs="Arial"/>
                <w:sz w:val="18"/>
                <w:szCs w:val="18"/>
              </w:rPr>
            </w:pPr>
            <w:r w:rsidRPr="00727C40">
              <w:rPr>
                <w:rFonts w:ascii="Arial" w:hAnsi="Arial" w:cs="Arial"/>
                <w:sz w:val="18"/>
                <w:szCs w:val="18"/>
              </w:rPr>
              <w:t>WEA 42</w:t>
            </w:r>
          </w:p>
        </w:tc>
        <w:tc>
          <w:tcPr>
            <w:tcW w:w="2665" w:type="dxa"/>
            <w:tcBorders>
              <w:top w:val="single" w:sz="2" w:space="0" w:color="000000"/>
              <w:left w:val="single" w:sz="2" w:space="0" w:color="000000"/>
              <w:bottom w:val="single" w:sz="2" w:space="0" w:color="000000"/>
              <w:right w:val="single" w:sz="2" w:space="0" w:color="000000"/>
            </w:tcBorders>
          </w:tcPr>
          <w:p w:rsidR="00727C40" w:rsidRPr="00727C40" w:rsidRDefault="00727C40" w:rsidP="00E214B5">
            <w:pPr>
              <w:pStyle w:val="TableParagraph"/>
              <w:spacing w:line="235" w:lineRule="exact"/>
              <w:rPr>
                <w:rFonts w:ascii="Arial" w:hAnsi="Arial" w:cs="Arial"/>
                <w:sz w:val="18"/>
                <w:szCs w:val="18"/>
              </w:rPr>
            </w:pPr>
            <w:r w:rsidRPr="00727C40">
              <w:rPr>
                <w:rFonts w:ascii="Arial" w:hAnsi="Arial" w:cs="Arial"/>
                <w:sz w:val="18"/>
                <w:szCs w:val="18"/>
              </w:rPr>
              <w:t>27.04.2023</w:t>
            </w:r>
          </w:p>
        </w:tc>
      </w:tr>
      <w:tr w:rsidR="00727C40" w:rsidRPr="00727C40" w:rsidTr="00727C40">
        <w:trPr>
          <w:trHeight w:val="251"/>
        </w:trPr>
        <w:tc>
          <w:tcPr>
            <w:tcW w:w="1282" w:type="dxa"/>
            <w:tcBorders>
              <w:top w:val="single" w:sz="2" w:space="0" w:color="000000"/>
              <w:left w:val="single" w:sz="2" w:space="0" w:color="000000"/>
              <w:bottom w:val="single" w:sz="2" w:space="0" w:color="000000"/>
              <w:right w:val="single" w:sz="2" w:space="0" w:color="000000"/>
            </w:tcBorders>
          </w:tcPr>
          <w:p w:rsidR="00727C40" w:rsidRPr="00727C40" w:rsidRDefault="00727C40" w:rsidP="00E214B5">
            <w:pPr>
              <w:pStyle w:val="TableParagraph"/>
              <w:rPr>
                <w:rFonts w:ascii="Arial" w:hAnsi="Arial" w:cs="Arial"/>
                <w:sz w:val="18"/>
                <w:szCs w:val="18"/>
              </w:rPr>
            </w:pPr>
            <w:r w:rsidRPr="00727C40">
              <w:rPr>
                <w:rFonts w:ascii="Arial" w:hAnsi="Arial" w:cs="Arial"/>
                <w:sz w:val="18"/>
                <w:szCs w:val="18"/>
              </w:rPr>
              <w:t>WEA 43</w:t>
            </w:r>
          </w:p>
        </w:tc>
        <w:tc>
          <w:tcPr>
            <w:tcW w:w="2665" w:type="dxa"/>
            <w:tcBorders>
              <w:top w:val="single" w:sz="2" w:space="0" w:color="000000"/>
              <w:left w:val="single" w:sz="2" w:space="0" w:color="000000"/>
              <w:bottom w:val="single" w:sz="2" w:space="0" w:color="000000"/>
              <w:right w:val="single" w:sz="2" w:space="0" w:color="000000"/>
            </w:tcBorders>
          </w:tcPr>
          <w:p w:rsidR="00727C40" w:rsidRPr="00727C40" w:rsidRDefault="00727C40" w:rsidP="00E214B5">
            <w:pPr>
              <w:pStyle w:val="TableParagraph"/>
              <w:rPr>
                <w:rFonts w:ascii="Arial" w:hAnsi="Arial" w:cs="Arial"/>
                <w:sz w:val="18"/>
                <w:szCs w:val="18"/>
              </w:rPr>
            </w:pPr>
            <w:r w:rsidRPr="00727C40">
              <w:rPr>
                <w:rFonts w:ascii="Arial" w:hAnsi="Arial" w:cs="Arial"/>
                <w:sz w:val="18"/>
                <w:szCs w:val="18"/>
              </w:rPr>
              <w:t>27.04.2023</w:t>
            </w:r>
          </w:p>
        </w:tc>
      </w:tr>
      <w:tr w:rsidR="00727C40" w:rsidRPr="00727C40" w:rsidTr="00727C40">
        <w:trPr>
          <w:trHeight w:val="254"/>
        </w:trPr>
        <w:tc>
          <w:tcPr>
            <w:tcW w:w="1282" w:type="dxa"/>
            <w:tcBorders>
              <w:top w:val="single" w:sz="2" w:space="0" w:color="000000"/>
              <w:left w:val="single" w:sz="2" w:space="0" w:color="000000"/>
              <w:bottom w:val="single" w:sz="2" w:space="0" w:color="000000"/>
              <w:right w:val="single" w:sz="2" w:space="0" w:color="000000"/>
            </w:tcBorders>
          </w:tcPr>
          <w:p w:rsidR="00727C40" w:rsidRPr="00727C40" w:rsidRDefault="00727C40" w:rsidP="00E214B5">
            <w:pPr>
              <w:pStyle w:val="TableParagraph"/>
              <w:spacing w:line="234" w:lineRule="exact"/>
              <w:rPr>
                <w:rFonts w:ascii="Arial" w:hAnsi="Arial" w:cs="Arial"/>
                <w:sz w:val="18"/>
                <w:szCs w:val="18"/>
              </w:rPr>
            </w:pPr>
            <w:r w:rsidRPr="00727C40">
              <w:rPr>
                <w:rFonts w:ascii="Arial" w:hAnsi="Arial" w:cs="Arial"/>
                <w:sz w:val="18"/>
                <w:szCs w:val="18"/>
              </w:rPr>
              <w:t>WEA 44</w:t>
            </w:r>
          </w:p>
        </w:tc>
        <w:tc>
          <w:tcPr>
            <w:tcW w:w="2665" w:type="dxa"/>
            <w:tcBorders>
              <w:top w:val="single" w:sz="2" w:space="0" w:color="000000"/>
              <w:left w:val="single" w:sz="2" w:space="0" w:color="000000"/>
              <w:bottom w:val="single" w:sz="2" w:space="0" w:color="000000"/>
              <w:right w:val="single" w:sz="2" w:space="0" w:color="000000"/>
            </w:tcBorders>
          </w:tcPr>
          <w:p w:rsidR="00727C40" w:rsidRPr="00727C40" w:rsidRDefault="00727C40" w:rsidP="00E214B5">
            <w:pPr>
              <w:pStyle w:val="TableParagraph"/>
              <w:spacing w:line="234" w:lineRule="exact"/>
              <w:rPr>
                <w:rFonts w:ascii="Arial" w:hAnsi="Arial" w:cs="Arial"/>
                <w:sz w:val="18"/>
                <w:szCs w:val="18"/>
              </w:rPr>
            </w:pPr>
            <w:r w:rsidRPr="00727C40">
              <w:rPr>
                <w:rFonts w:ascii="Arial" w:hAnsi="Arial" w:cs="Arial"/>
                <w:sz w:val="18"/>
                <w:szCs w:val="18"/>
              </w:rPr>
              <w:t>27.04.2023</w:t>
            </w:r>
          </w:p>
        </w:tc>
      </w:tr>
      <w:tr w:rsidR="00727C40" w:rsidRPr="00727C40" w:rsidTr="00727C40">
        <w:trPr>
          <w:trHeight w:val="251"/>
        </w:trPr>
        <w:tc>
          <w:tcPr>
            <w:tcW w:w="1282" w:type="dxa"/>
            <w:tcBorders>
              <w:top w:val="single" w:sz="2" w:space="0" w:color="000000"/>
              <w:left w:val="single" w:sz="2" w:space="0" w:color="000000"/>
              <w:bottom w:val="single" w:sz="2" w:space="0" w:color="000000"/>
              <w:right w:val="single" w:sz="2" w:space="0" w:color="000000"/>
            </w:tcBorders>
          </w:tcPr>
          <w:p w:rsidR="00727C40" w:rsidRPr="00727C40" w:rsidRDefault="00727C40" w:rsidP="00E214B5">
            <w:pPr>
              <w:pStyle w:val="TableParagraph"/>
              <w:rPr>
                <w:rFonts w:ascii="Arial" w:hAnsi="Arial" w:cs="Arial"/>
                <w:sz w:val="18"/>
                <w:szCs w:val="18"/>
              </w:rPr>
            </w:pPr>
            <w:r w:rsidRPr="00727C40">
              <w:rPr>
                <w:rFonts w:ascii="Arial" w:hAnsi="Arial" w:cs="Arial"/>
                <w:sz w:val="18"/>
                <w:szCs w:val="18"/>
              </w:rPr>
              <w:t>WEA 45</w:t>
            </w:r>
          </w:p>
        </w:tc>
        <w:tc>
          <w:tcPr>
            <w:tcW w:w="2665" w:type="dxa"/>
            <w:tcBorders>
              <w:top w:val="single" w:sz="2" w:space="0" w:color="000000"/>
              <w:left w:val="single" w:sz="2" w:space="0" w:color="000000"/>
              <w:bottom w:val="single" w:sz="2" w:space="0" w:color="000000"/>
              <w:right w:val="single" w:sz="2" w:space="0" w:color="000000"/>
            </w:tcBorders>
          </w:tcPr>
          <w:p w:rsidR="00727C40" w:rsidRPr="00727C40" w:rsidRDefault="00727C40" w:rsidP="00E214B5">
            <w:pPr>
              <w:pStyle w:val="TableParagraph"/>
              <w:rPr>
                <w:rFonts w:ascii="Arial" w:hAnsi="Arial" w:cs="Arial"/>
                <w:sz w:val="18"/>
                <w:szCs w:val="18"/>
              </w:rPr>
            </w:pPr>
            <w:r w:rsidRPr="00727C40">
              <w:rPr>
                <w:rFonts w:ascii="Arial" w:hAnsi="Arial" w:cs="Arial"/>
                <w:sz w:val="18"/>
                <w:szCs w:val="18"/>
              </w:rPr>
              <w:t>27.04.2023</w:t>
            </w:r>
          </w:p>
        </w:tc>
      </w:tr>
      <w:tr w:rsidR="00727C40" w:rsidRPr="00727C40" w:rsidTr="00727C40">
        <w:trPr>
          <w:trHeight w:val="254"/>
        </w:trPr>
        <w:tc>
          <w:tcPr>
            <w:tcW w:w="1282" w:type="dxa"/>
            <w:tcBorders>
              <w:top w:val="single" w:sz="2" w:space="0" w:color="000000"/>
              <w:left w:val="single" w:sz="2" w:space="0" w:color="000000"/>
              <w:bottom w:val="single" w:sz="2" w:space="0" w:color="000000"/>
              <w:right w:val="single" w:sz="2" w:space="0" w:color="000000"/>
            </w:tcBorders>
          </w:tcPr>
          <w:p w:rsidR="00727C40" w:rsidRPr="00727C40" w:rsidRDefault="00727C40" w:rsidP="00E214B5">
            <w:pPr>
              <w:pStyle w:val="TableParagraph"/>
              <w:spacing w:line="234" w:lineRule="exact"/>
              <w:rPr>
                <w:rFonts w:ascii="Arial" w:hAnsi="Arial" w:cs="Arial"/>
                <w:sz w:val="18"/>
                <w:szCs w:val="18"/>
              </w:rPr>
            </w:pPr>
            <w:r w:rsidRPr="00727C40">
              <w:rPr>
                <w:rFonts w:ascii="Arial" w:hAnsi="Arial" w:cs="Arial"/>
                <w:sz w:val="18"/>
                <w:szCs w:val="18"/>
              </w:rPr>
              <w:t>WEA 46</w:t>
            </w:r>
          </w:p>
        </w:tc>
        <w:tc>
          <w:tcPr>
            <w:tcW w:w="2665" w:type="dxa"/>
            <w:tcBorders>
              <w:top w:val="single" w:sz="2" w:space="0" w:color="000000"/>
              <w:left w:val="single" w:sz="2" w:space="0" w:color="000000"/>
              <w:bottom w:val="single" w:sz="2" w:space="0" w:color="000000"/>
              <w:right w:val="single" w:sz="2" w:space="0" w:color="000000"/>
            </w:tcBorders>
          </w:tcPr>
          <w:p w:rsidR="00727C40" w:rsidRPr="00727C40" w:rsidRDefault="00727C40" w:rsidP="00E214B5">
            <w:pPr>
              <w:pStyle w:val="TableParagraph"/>
              <w:spacing w:line="234" w:lineRule="exact"/>
              <w:rPr>
                <w:rFonts w:ascii="Arial" w:hAnsi="Arial" w:cs="Arial"/>
                <w:sz w:val="18"/>
                <w:szCs w:val="18"/>
              </w:rPr>
            </w:pPr>
            <w:r w:rsidRPr="00727C40">
              <w:rPr>
                <w:rFonts w:ascii="Arial" w:hAnsi="Arial" w:cs="Arial"/>
                <w:sz w:val="18"/>
                <w:szCs w:val="18"/>
              </w:rPr>
              <w:t>27.04.2023</w:t>
            </w:r>
          </w:p>
        </w:tc>
      </w:tr>
      <w:tr w:rsidR="00727C40" w:rsidRPr="00727C40" w:rsidTr="00727C40">
        <w:trPr>
          <w:trHeight w:val="251"/>
        </w:trPr>
        <w:tc>
          <w:tcPr>
            <w:tcW w:w="1282" w:type="dxa"/>
            <w:tcBorders>
              <w:top w:val="single" w:sz="2" w:space="0" w:color="000000"/>
              <w:left w:val="single" w:sz="2" w:space="0" w:color="000000"/>
              <w:bottom w:val="single" w:sz="2" w:space="0" w:color="000000"/>
              <w:right w:val="single" w:sz="2" w:space="0" w:color="000000"/>
            </w:tcBorders>
          </w:tcPr>
          <w:p w:rsidR="00727C40" w:rsidRPr="00727C40" w:rsidRDefault="00727C40" w:rsidP="00E214B5">
            <w:pPr>
              <w:pStyle w:val="TableParagraph"/>
              <w:rPr>
                <w:rFonts w:ascii="Arial" w:hAnsi="Arial" w:cs="Arial"/>
                <w:sz w:val="18"/>
                <w:szCs w:val="18"/>
              </w:rPr>
            </w:pPr>
            <w:r w:rsidRPr="00727C40">
              <w:rPr>
                <w:rFonts w:ascii="Arial" w:hAnsi="Arial" w:cs="Arial"/>
                <w:sz w:val="18"/>
                <w:szCs w:val="18"/>
              </w:rPr>
              <w:t>WEA 47</w:t>
            </w:r>
          </w:p>
        </w:tc>
        <w:tc>
          <w:tcPr>
            <w:tcW w:w="2665" w:type="dxa"/>
            <w:tcBorders>
              <w:top w:val="single" w:sz="2" w:space="0" w:color="000000"/>
              <w:left w:val="single" w:sz="2" w:space="0" w:color="000000"/>
              <w:bottom w:val="single" w:sz="2" w:space="0" w:color="000000"/>
              <w:right w:val="single" w:sz="2" w:space="0" w:color="000000"/>
            </w:tcBorders>
          </w:tcPr>
          <w:p w:rsidR="00727C40" w:rsidRPr="00727C40" w:rsidRDefault="00727C40" w:rsidP="00E214B5">
            <w:pPr>
              <w:pStyle w:val="TableParagraph"/>
              <w:rPr>
                <w:rFonts w:ascii="Arial" w:hAnsi="Arial" w:cs="Arial"/>
                <w:sz w:val="18"/>
                <w:szCs w:val="18"/>
              </w:rPr>
            </w:pPr>
            <w:r w:rsidRPr="00727C40">
              <w:rPr>
                <w:rFonts w:ascii="Arial" w:hAnsi="Arial" w:cs="Arial"/>
                <w:sz w:val="18"/>
                <w:szCs w:val="18"/>
              </w:rPr>
              <w:t>05.05.2023</w:t>
            </w:r>
          </w:p>
        </w:tc>
      </w:tr>
      <w:tr w:rsidR="00727C40" w:rsidRPr="00727C40" w:rsidTr="00727C40">
        <w:trPr>
          <w:trHeight w:val="254"/>
        </w:trPr>
        <w:tc>
          <w:tcPr>
            <w:tcW w:w="1282" w:type="dxa"/>
            <w:tcBorders>
              <w:top w:val="single" w:sz="2" w:space="0" w:color="000000"/>
              <w:left w:val="single" w:sz="2" w:space="0" w:color="000000"/>
              <w:bottom w:val="single" w:sz="2" w:space="0" w:color="000000"/>
              <w:right w:val="single" w:sz="2" w:space="0" w:color="000000"/>
            </w:tcBorders>
          </w:tcPr>
          <w:p w:rsidR="00727C40" w:rsidRPr="00727C40" w:rsidRDefault="00727C40" w:rsidP="00E214B5">
            <w:pPr>
              <w:pStyle w:val="TableParagraph"/>
              <w:spacing w:line="234" w:lineRule="exact"/>
              <w:rPr>
                <w:rFonts w:ascii="Arial" w:hAnsi="Arial" w:cs="Arial"/>
                <w:sz w:val="18"/>
                <w:szCs w:val="18"/>
              </w:rPr>
            </w:pPr>
            <w:r w:rsidRPr="00727C40">
              <w:rPr>
                <w:rFonts w:ascii="Arial" w:hAnsi="Arial" w:cs="Arial"/>
                <w:sz w:val="18"/>
                <w:szCs w:val="18"/>
              </w:rPr>
              <w:t>WEA 48</w:t>
            </w:r>
          </w:p>
        </w:tc>
        <w:tc>
          <w:tcPr>
            <w:tcW w:w="2665" w:type="dxa"/>
            <w:tcBorders>
              <w:top w:val="single" w:sz="2" w:space="0" w:color="000000"/>
              <w:left w:val="single" w:sz="2" w:space="0" w:color="000000"/>
              <w:bottom w:val="single" w:sz="2" w:space="0" w:color="000000"/>
              <w:right w:val="single" w:sz="2" w:space="0" w:color="000000"/>
            </w:tcBorders>
          </w:tcPr>
          <w:p w:rsidR="00727C40" w:rsidRPr="00727C40" w:rsidRDefault="00727C40" w:rsidP="00E214B5">
            <w:pPr>
              <w:pStyle w:val="TableParagraph"/>
              <w:spacing w:line="234" w:lineRule="exact"/>
              <w:rPr>
                <w:rFonts w:ascii="Arial" w:hAnsi="Arial" w:cs="Arial"/>
                <w:sz w:val="18"/>
                <w:szCs w:val="18"/>
              </w:rPr>
            </w:pPr>
            <w:r w:rsidRPr="00727C40">
              <w:rPr>
                <w:rFonts w:ascii="Arial" w:hAnsi="Arial" w:cs="Arial"/>
                <w:sz w:val="18"/>
                <w:szCs w:val="18"/>
              </w:rPr>
              <w:t>05.05.2023</w:t>
            </w:r>
          </w:p>
        </w:tc>
      </w:tr>
      <w:tr w:rsidR="00727C40" w:rsidRPr="00727C40" w:rsidTr="00727C40">
        <w:trPr>
          <w:trHeight w:val="251"/>
        </w:trPr>
        <w:tc>
          <w:tcPr>
            <w:tcW w:w="1282" w:type="dxa"/>
            <w:tcBorders>
              <w:top w:val="single" w:sz="2" w:space="0" w:color="000000"/>
              <w:left w:val="single" w:sz="2" w:space="0" w:color="000000"/>
              <w:bottom w:val="single" w:sz="2" w:space="0" w:color="000000"/>
              <w:right w:val="single" w:sz="2" w:space="0" w:color="000000"/>
            </w:tcBorders>
          </w:tcPr>
          <w:p w:rsidR="00727C40" w:rsidRPr="00727C40" w:rsidRDefault="00727C40" w:rsidP="00E214B5">
            <w:pPr>
              <w:pStyle w:val="TableParagraph"/>
              <w:rPr>
                <w:rFonts w:ascii="Arial" w:hAnsi="Arial" w:cs="Arial"/>
                <w:sz w:val="18"/>
                <w:szCs w:val="18"/>
              </w:rPr>
            </w:pPr>
            <w:r w:rsidRPr="00727C40">
              <w:rPr>
                <w:rFonts w:ascii="Arial" w:hAnsi="Arial" w:cs="Arial"/>
                <w:sz w:val="18"/>
                <w:szCs w:val="18"/>
              </w:rPr>
              <w:t>WEA 49</w:t>
            </w:r>
          </w:p>
        </w:tc>
        <w:tc>
          <w:tcPr>
            <w:tcW w:w="2665" w:type="dxa"/>
            <w:tcBorders>
              <w:top w:val="single" w:sz="2" w:space="0" w:color="000000"/>
              <w:left w:val="single" w:sz="2" w:space="0" w:color="000000"/>
              <w:bottom w:val="single" w:sz="2" w:space="0" w:color="000000"/>
              <w:right w:val="single" w:sz="2" w:space="0" w:color="000000"/>
            </w:tcBorders>
          </w:tcPr>
          <w:p w:rsidR="00727C40" w:rsidRPr="00727C40" w:rsidRDefault="00727C40" w:rsidP="00E214B5">
            <w:pPr>
              <w:pStyle w:val="TableParagraph"/>
              <w:rPr>
                <w:rFonts w:ascii="Arial" w:hAnsi="Arial" w:cs="Arial"/>
                <w:sz w:val="18"/>
                <w:szCs w:val="18"/>
              </w:rPr>
            </w:pPr>
            <w:r w:rsidRPr="00727C40">
              <w:rPr>
                <w:rFonts w:ascii="Arial" w:hAnsi="Arial" w:cs="Arial"/>
                <w:sz w:val="18"/>
                <w:szCs w:val="18"/>
              </w:rPr>
              <w:t>05.05.2023</w:t>
            </w:r>
          </w:p>
        </w:tc>
      </w:tr>
    </w:tbl>
    <w:p w:rsidR="00DD3048" w:rsidRDefault="00DD3048" w:rsidP="00DD3048">
      <w:pPr>
        <w:pStyle w:val="LTAntwortRessortText"/>
      </w:pPr>
    </w:p>
    <w:p w:rsidR="00DD3048" w:rsidRDefault="00DD3048" w:rsidP="00DD3048">
      <w:pPr>
        <w:pStyle w:val="LTAntwortRessortText"/>
      </w:pPr>
      <w:r>
        <w:t>Aktuell befinden sich insgesamt über 300 Windenergieanlagen konkret in Planung.</w:t>
      </w:r>
    </w:p>
    <w:p w:rsidR="00DD3048" w:rsidRDefault="00DD3048" w:rsidP="00DD3048">
      <w:pPr>
        <w:pStyle w:val="LTAntwortRessortText"/>
      </w:pPr>
      <w:r>
        <w:t>Anträge älteren Datums, die noch keine Genehmigung erhalten haben, können daher rühren, dass beispielsweise diese in der Vergangenheit ruhend gestellt wurden und aufgrund der 10 H-Anpassung das Verfahren wiederaufgenommen wurde oder Antragsunterlagen noch nicht vollständig vom Antragsteller eingereicht wurden.</w:t>
      </w:r>
    </w:p>
    <w:p w:rsidR="00DD3048" w:rsidRDefault="00DD3048" w:rsidP="00DD3048">
      <w:pPr>
        <w:pStyle w:val="LTAntwortRessortText"/>
      </w:pPr>
      <w:r>
        <w:t xml:space="preserve">Der Landtag hat auf Vorschlag der Staatsregierung für den Haushalt 2023 100 Planstellen für die Beschleunigung der Planung und Genehmigung der Heimatenergien </w:t>
      </w:r>
      <w:r>
        <w:lastRenderedPageBreak/>
        <w:t>geschaffen, die bei den Genehmigungsbehörden vor Ort eingesetzt werden. Mittlerweile konnte bereits ein Großteil der Stellen besetzt werden.</w:t>
      </w:r>
    </w:p>
    <w:p w:rsidR="00DD3048" w:rsidRDefault="00DD3048" w:rsidP="00DD3048">
      <w:pPr>
        <w:pStyle w:val="LTAntwortRessortText"/>
      </w:pPr>
      <w:r>
        <w:t>Das weiterentwickelte Programm Windkümmerer 2.0 startete im Januar 2023. Die hohe Dynamik von deutlich über 200 Anmeldungen zeigt die sehr breite, positive Stimmung für den Ausbau der Windenergie in Bayern.</w:t>
      </w:r>
    </w:p>
    <w:p w:rsidR="00DD3048" w:rsidRDefault="00DD3048" w:rsidP="00DD3048">
      <w:pPr>
        <w:pStyle w:val="LTAntwortRessortText"/>
      </w:pPr>
      <w:r>
        <w:t xml:space="preserve">Hinzukommen weitere zahlreiche Aktivitäten der Staatsregierung zur Beschleunigung des Ausbaus der </w:t>
      </w:r>
      <w:r w:rsidR="00727C40">
        <w:t>e</w:t>
      </w:r>
      <w:r>
        <w:t>rneuerbaren Energien w</w:t>
      </w:r>
      <w:r w:rsidR="00727C40">
        <w:t>ie zum Beispiel die Initiative „</w:t>
      </w:r>
      <w:r>
        <w:t>Verteilnetz und Erneuerbare Energien</w:t>
      </w:r>
      <w:r w:rsidR="00727C40">
        <w:t>“</w:t>
      </w:r>
      <w:r>
        <w:t>, die Umstellung des Windenergieerlasses auf eine digitale Themenplattform oder auch die Aktivitäten der Bayerischen Staatsforsten.</w:t>
      </w:r>
    </w:p>
    <w:p w:rsidR="00DD3048" w:rsidRDefault="00DD3048">
      <w:bookmarkStart w:id="92" w:name="Frage_Nr_45_Ende"/>
      <w:bookmarkEnd w:id="92"/>
      <w:r>
        <w:br w:type="page"/>
      </w:r>
    </w:p>
    <w:p w:rsidR="00DD3048" w:rsidRDefault="00DD3048" w:rsidP="00DD3048">
      <w:pPr>
        <w:pStyle w:val="LTUeberschrRessort"/>
      </w:pPr>
      <w:r>
        <w:lastRenderedPageBreak/>
        <w:t>Geschäftsbereich des Staatsministeriums für Umwelt und Verbraucherschutz</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7"/>
        <w:gridCol w:w="5759"/>
      </w:tblGrid>
      <w:tr w:rsidR="00DD3048" w:rsidTr="007B0B33">
        <w:tc>
          <w:tcPr>
            <w:tcW w:w="2050" w:type="dxa"/>
          </w:tcPr>
          <w:p w:rsidR="00DD3048" w:rsidRDefault="00DD3048" w:rsidP="00DD3048">
            <w:pPr>
              <w:pStyle w:val="LTAnfrageInitiator"/>
            </w:pPr>
            <w:r>
              <w:t>Abgeordneter</w:t>
            </w:r>
            <w:r>
              <w:rPr>
                <w:b/>
              </w:rPr>
              <w:br/>
              <w:t>Maximilian</w:t>
            </w:r>
            <w:r>
              <w:rPr>
                <w:b/>
              </w:rPr>
              <w:br/>
              <w:t>Deisenhofer</w:t>
            </w:r>
            <w:r>
              <w:rPr>
                <w:b/>
              </w:rPr>
              <w:br/>
            </w:r>
            <w:r>
              <w:t>(BÜNDNIS 90/DIE GRÜNEN)</w:t>
            </w:r>
            <w:bookmarkStart w:id="93" w:name="Frage_Nr_46"/>
            <w:bookmarkEnd w:id="93"/>
          </w:p>
        </w:tc>
        <w:tc>
          <w:tcPr>
            <w:tcW w:w="7200" w:type="dxa"/>
          </w:tcPr>
          <w:p w:rsidR="00DD3048" w:rsidRDefault="00727C40" w:rsidP="00DD3048">
            <w:pPr>
              <w:pStyle w:val="LTAnfrageText"/>
            </w:pPr>
            <w:r w:rsidRPr="00727C40">
              <w:t>Bezugnehmend auf den Niedrigwasser-Lagebericht Bayern, ausgegeben am 20.06.2023, frage ich die Staatsregierung, welche oberflächennahen Grundwassermessstellen und Quellen im Regierungsbezirk Schwaben weisen niedrige und sehr niedrige Grundwasserstände auf (bitte unter Ergänzung absoluter und relativer Zahlen betroffener Messstellen und Quellen), welche Seen in Schwaben sind von einem niedrigen oder sehr niedrigen Wasserstand betroffen oder werden es voraussichtlich in den nächsten Wochen sein und welche schwäbischen Trinkwasserversorger stellen derzeit eine Verschlechterung der Grundwasser-Qualität fest?</w:t>
            </w:r>
          </w:p>
        </w:tc>
      </w:tr>
    </w:tbl>
    <w:p w:rsidR="00DD3048" w:rsidRDefault="00DD3048" w:rsidP="00DD3048">
      <w:pPr>
        <w:pStyle w:val="LTUeberschrAntwortRessort"/>
      </w:pPr>
      <w:r>
        <w:t>Antwort des Staatsministeriums für Umwelt und Verbraucherschutz</w:t>
      </w:r>
    </w:p>
    <w:p w:rsidR="00DD3048" w:rsidRDefault="00DD3048" w:rsidP="00DD3048">
      <w:pPr>
        <w:pStyle w:val="LTAntwortRessortText"/>
      </w:pPr>
      <w:r>
        <w:t>Die aktuelle Situation für die Grundwassermessstellen und Quellen des Oberen Grundwasserstockwerks in der Iller-Lech-Bodensee-Region (Regierungsbezirk Schwaben) ist unter</w:t>
      </w:r>
      <w:r w:rsidR="00727C40">
        <w:t xml:space="preserve"> </w:t>
      </w:r>
      <w:r w:rsidR="00727C40">
        <w:rPr>
          <w:rStyle w:val="Funotenzeichen"/>
        </w:rPr>
        <w:footnoteReference w:id="13"/>
      </w:r>
      <w:r>
        <w:t xml:space="preserve"> veröffentlicht. Dort sind auch die Relativ -und Absolutwerte hinterlegt.</w:t>
      </w:r>
    </w:p>
    <w:p w:rsidR="00DD3048" w:rsidRDefault="00DD3048" w:rsidP="00DD3048">
      <w:pPr>
        <w:pStyle w:val="LTAntwortRessortText"/>
      </w:pPr>
      <w:r>
        <w:t>Die aktuelle Situation für die Seen und Speicher im Regierungsbezirk Schwaben ist unter</w:t>
      </w:r>
      <w:r w:rsidR="00727C40">
        <w:t xml:space="preserve"> </w:t>
      </w:r>
      <w:r w:rsidR="00727C40">
        <w:rPr>
          <w:rStyle w:val="Funotenzeichen"/>
        </w:rPr>
        <w:footnoteReference w:id="14"/>
      </w:r>
      <w:r>
        <w:t xml:space="preserve"> veröffentlicht. Eine Prognose für die nächsten Wochen ist im Rahmen der zur Beantwortung einer Anfrage zum Plenum zur Verfügung stehenden Zeit nicht darstellbar.</w:t>
      </w:r>
    </w:p>
    <w:p w:rsidR="00DD3048" w:rsidRDefault="00DD3048" w:rsidP="00DD3048">
      <w:pPr>
        <w:pStyle w:val="LTAntwortRessortText"/>
      </w:pPr>
      <w:r>
        <w:t>Trotz mittlerer Niedrigwasserverhältnisse kann nicht von qualitativen Verschlechterungen ausgegangen werden. Diese Parameter korrelieren regelmäßig nicht. Aktuell sind keine Einschränkungen der Trinkwasserversorgung aufgrund niedriger Grundwasserstände im Regierungsbezirk Schwaben bekannt.</w:t>
      </w:r>
    </w:p>
    <w:p w:rsidR="00DD3048" w:rsidRDefault="00DD3048">
      <w:bookmarkStart w:id="94" w:name="Frage_Nr_46_Ende"/>
      <w:bookmarkEnd w:id="9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DD3048" w:rsidTr="007B0B33">
        <w:tc>
          <w:tcPr>
            <w:tcW w:w="2050" w:type="dxa"/>
          </w:tcPr>
          <w:p w:rsidR="00DD3048" w:rsidRDefault="00DD3048" w:rsidP="00DD3048">
            <w:pPr>
              <w:pStyle w:val="LTAnfrageInitiator"/>
            </w:pPr>
            <w:r>
              <w:lastRenderedPageBreak/>
              <w:t>Abgeordneter</w:t>
            </w:r>
            <w:r>
              <w:rPr>
                <w:b/>
              </w:rPr>
              <w:br/>
              <w:t>Paul</w:t>
            </w:r>
            <w:r>
              <w:rPr>
                <w:b/>
              </w:rPr>
              <w:br/>
              <w:t>Knoblach</w:t>
            </w:r>
            <w:r>
              <w:rPr>
                <w:b/>
              </w:rPr>
              <w:br/>
            </w:r>
            <w:r>
              <w:t>(BÜNDNIS 90/DIE GRÜNEN)</w:t>
            </w:r>
            <w:bookmarkStart w:id="95" w:name="Frage_Nr_47"/>
            <w:bookmarkEnd w:id="95"/>
          </w:p>
        </w:tc>
        <w:tc>
          <w:tcPr>
            <w:tcW w:w="7200" w:type="dxa"/>
          </w:tcPr>
          <w:p w:rsidR="00DD3048" w:rsidRDefault="00727C40" w:rsidP="00DD3048">
            <w:pPr>
              <w:pStyle w:val="LTAnfrageText"/>
            </w:pPr>
            <w:r w:rsidRPr="00727C40">
              <w:t>Nachdem in regelmäßigen Abständen eklatante Verstöße von Schweinebetrieben gegen die Tierschutznutztierhaltungsverordnung zu verzeichnen sind, Schwerpunktkontrollen von Veterinärämtern in jüngster Vergangenheit Verstöße in jedem zweiten Stall belegten und auch das Landesamt für Gesundheit und Lebensmittelsicherheit (LGL) im Oktober 2022 ein Informationsblatt zur Schweinehaltung mit Auslegungshinweisen zum Tierschutzrecht und den häufigsten Tierschutzmängeln mit dem Schwerpunktthema „Versorgung kranker oder verletzter Tiere“ veröffentlichte, frage ich die Staatsregierung, auf wie vielen der kontrollierten Schweinebetriebe (Zucht, Aufzucht, Mast) in Bayern (in Prozent) im Zeitraum 01.01.2021 bis 31.05.2023 wurden behandlungsbedürftig kranke und verletzte Tiere vorgefunden, die vom Tierhalter oder der Tierhalterin nicht ordnungsgemäß erstversorgt wurden und/oder die nicht in notwendiger tierärztlicher Behandlung waren, auf wie vielen der kontrollierten Schweinebetriebe (Zucht, Aufzucht, Mast) in Bayern (in Prozent) im Zeitraum 01.01.2021 bis 31.05.2023 wurden kranke und verletzte Tiere vorgefunden, die trotz der Notwendigkeit der Absonderung nicht in einer Einzel- oder Gruppenkrankenbucht untergebracht waren und auf wie vielen der kontrollierten Schweinebetriebe (Zucht, Aufzucht, Mast) in Bayern (in Prozent) im Zeitraum 01.01.2021 bis 31.05.2023 mussten Schweine aufgrund der Schwere und Unheilbarkeit ihres Leidens unverzüglich notgetötet oder euthanasiert werden?</w:t>
            </w:r>
          </w:p>
        </w:tc>
      </w:tr>
    </w:tbl>
    <w:p w:rsidR="00DD3048" w:rsidRDefault="00DD3048" w:rsidP="00DD3048">
      <w:pPr>
        <w:pStyle w:val="LTUeberschrAntwortRessort"/>
      </w:pPr>
      <w:r>
        <w:t>Antwort des Staatsministeriums für Umwelt und Verbraucherschutz</w:t>
      </w:r>
    </w:p>
    <w:p w:rsidR="00DD3048" w:rsidRDefault="00DD3048" w:rsidP="00DD3048">
      <w:pPr>
        <w:pStyle w:val="LTAntwortRessortText"/>
      </w:pPr>
      <w:r>
        <w:t xml:space="preserve">In der Kürze der für die Beantwortung zur Verfügung stehenden Zeit können folgende Angaben </w:t>
      </w:r>
      <w:r w:rsidR="00727C40">
        <w:t>gemacht werden</w:t>
      </w:r>
      <w:r>
        <w:t>:</w:t>
      </w:r>
    </w:p>
    <w:p w:rsidR="00DD3048" w:rsidRDefault="00DD3048" w:rsidP="00DD3048">
      <w:pPr>
        <w:pStyle w:val="LTAntwortRessortText"/>
      </w:pPr>
      <w:r>
        <w:t>Im Jahr 2021 wurden bei 929 Kontrollen von Schweinehaltungen durch die zuständigen Behörden vor Ort 27-mal Verstöße gegen die Anforderung, dass bei kranken oder verletzten Tieren, soweit erforderlich, unverzüglich Maßnahmen für die Behandlung, Absonderung in geeignete Haltungseinrichtungen mit trockener und weicher Einstreu oder Unterlage ergriffen werden, und 4-mal gegen die Anforderung, sicherzustellen, dass, soweit erforderlich, für kranke oder verletzte Tiere ein Tierarzt hinzugezogen wird, festgestellt. Im Jahr 2022 wurden bei 1</w:t>
      </w:r>
      <w:r w:rsidR="00727C40">
        <w:t> </w:t>
      </w:r>
      <w:r>
        <w:t>270 Kontrollen von Schweinehaltungen durch die zuständigen Behörden vor Ort 117-mal Verstöße gegen die Anforderung, dass bei kranken oder verletzten Tieren, soweit erforderlich, unverzüglich</w:t>
      </w:r>
      <w:r w:rsidR="00727C40">
        <w:t xml:space="preserve"> </w:t>
      </w:r>
      <w:r>
        <w:t>Maßnahmen für die Behandlung, Absonderung in geeignete Haltungseinrichtungen mit trockener und weicher Einstreu oder Unterlage ergriffen werden, und 113-mal gegen die Anforderung, sicherzustellen, dass, soweit erforderlich, für kranke oder verletzte Tiere ein Tierarzt hinzugezogen wird, festgestellt. Die Zahlen für das Jahr 2023 werden erst nach Abschluss des Kontrolljahres erhoben und liegen dementsprechend noch nicht vor.</w:t>
      </w:r>
    </w:p>
    <w:p w:rsidR="00DD3048" w:rsidRDefault="00DD3048">
      <w:bookmarkStart w:id="96" w:name="Frage_Nr_47_Ende"/>
      <w:bookmarkEnd w:id="96"/>
      <w:r>
        <w:br w:type="page"/>
      </w:r>
    </w:p>
    <w:p w:rsidR="00DD3048" w:rsidRDefault="00DD3048" w:rsidP="00DD3048">
      <w:pPr>
        <w:pStyle w:val="LTUeberschrRessort"/>
      </w:pPr>
      <w:r>
        <w:lastRenderedPageBreak/>
        <w:t>Geschäftsbereich des Staatsministeriums für Ernährung, Landwirtschaft und Forsten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6"/>
        <w:gridCol w:w="5710"/>
      </w:tblGrid>
      <w:tr w:rsidR="00DD3048" w:rsidTr="007B0B33">
        <w:tc>
          <w:tcPr>
            <w:tcW w:w="2050" w:type="dxa"/>
          </w:tcPr>
          <w:p w:rsidR="00DD3048" w:rsidRDefault="00DD3048" w:rsidP="00DD3048">
            <w:pPr>
              <w:pStyle w:val="LTAnfrageInitiator"/>
            </w:pPr>
            <w:r>
              <w:t>Abgeordneter</w:t>
            </w:r>
            <w:r>
              <w:rPr>
                <w:b/>
              </w:rPr>
              <w:br/>
              <w:t>Franz</w:t>
            </w:r>
            <w:r>
              <w:rPr>
                <w:b/>
              </w:rPr>
              <w:br/>
              <w:t>Bergmüller</w:t>
            </w:r>
            <w:r>
              <w:rPr>
                <w:b/>
              </w:rPr>
              <w:br/>
            </w:r>
            <w:r>
              <w:t>(AfD)</w:t>
            </w:r>
            <w:bookmarkStart w:id="97" w:name="Frage_Nr_48"/>
            <w:bookmarkEnd w:id="97"/>
          </w:p>
        </w:tc>
        <w:tc>
          <w:tcPr>
            <w:tcW w:w="7200" w:type="dxa"/>
          </w:tcPr>
          <w:p w:rsidR="00DD3048" w:rsidRDefault="00727C40" w:rsidP="00DD3048">
            <w:pPr>
              <w:pStyle w:val="LTAnfrageText"/>
            </w:pPr>
            <w:r w:rsidRPr="00727C40">
              <w:t>Ich frage die Staatsregierung, welche für das Projekt „Windkraftanlagen im Altöttinger Forst“ relevanten Informationen hat sie jeder der davon betroffenen Gemeinden bis zur Beantwortung dieser Anfrage zur Kenntnis gegeben (bitte lückenlos und vorzugsweise chronologisch offenlegen) und seit wann hat sie Kenntnis davon, dass möglicherweise mehr als 40 Windkraftanlagen im Altöttinger Forst aufgestellt werden könnten (bitte jede dieser Zahlen, von denen z. B. das Bayerische Staatsministerin für Ernährung, Landwirtschaft und Forsten Kenntnis erhielt, chronologisch offenlegen)?</w:t>
            </w:r>
          </w:p>
        </w:tc>
      </w:tr>
    </w:tbl>
    <w:p w:rsidR="00DD3048" w:rsidRDefault="00DD3048" w:rsidP="00DD3048">
      <w:pPr>
        <w:pStyle w:val="LTUeberschrAntwortRessort"/>
      </w:pPr>
      <w:r>
        <w:t>Antwort des Staatsministeriums für Ernährung, Landwirtschaft und Forsten</w:t>
      </w:r>
    </w:p>
    <w:p w:rsidR="00DD3048" w:rsidRDefault="00DD3048" w:rsidP="00DD3048">
      <w:pPr>
        <w:pStyle w:val="LTAntwortRessortText"/>
      </w:pPr>
      <w:r>
        <w:t xml:space="preserve">Über das Projekt </w:t>
      </w:r>
      <w:r w:rsidR="00727C40">
        <w:t>„</w:t>
      </w:r>
      <w:r>
        <w:t>Windkraftanlagen im Altöttinger Forst</w:t>
      </w:r>
      <w:r w:rsidR="00727C40">
        <w:t>“</w:t>
      </w:r>
      <w:r>
        <w:t xml:space="preserve"> wurden die Bürgermeister und weitere kommunalen Mandatsträger aller betroffenen Gemeinden bei einer Veranstaltung des Landkreises Altötting am 31.01.2023 in Burgkirchen informiert. Dabei haben die Bayerischen Staatsforsten zum seinerzeitigen Stand des Projektes, über das vorgesehene wettbewerbliche Auswahlverfahren und die nächsten Schritte detailliert informiert. Im Nachgang zu der Veranstaltung wurden den teilnehmenden Gemeinden über das Landratsamt Altötting die Präsentation der Bayerischen Staatsforsten übermittelt.</w:t>
      </w:r>
    </w:p>
    <w:p w:rsidR="00DD3048" w:rsidRDefault="00DD3048" w:rsidP="00DD3048">
      <w:pPr>
        <w:pStyle w:val="LTAntwortRessortText"/>
      </w:pPr>
      <w:r>
        <w:t>Darüber hinaus haben die Bayerischen Staatsforsten den Gemeinden, die dem Windprojekt durch Gemeinderats- bzw. Stadtratsbeschluss zugestimmt</w:t>
      </w:r>
      <w:r w:rsidR="00727C40">
        <w:t xml:space="preserve"> </w:t>
      </w:r>
      <w:r>
        <w:t>haben, die Unterlagen zum Auswahlverfahren, die interessierten Unternehmen zur Teilnahme am Auswahlverfahren zur Verfügung gestellt wurden, am 08.03.2023 übermittelt.</w:t>
      </w:r>
    </w:p>
    <w:p w:rsidR="00DD3048" w:rsidRDefault="00DD3048" w:rsidP="00DD3048">
      <w:pPr>
        <w:pStyle w:val="LTAntwortRessortText"/>
      </w:pPr>
      <w:r>
        <w:t>Die Zahl der Windenergieanlagen</w:t>
      </w:r>
      <w:r w:rsidR="00727C40">
        <w:t xml:space="preserve"> (WEA)</w:t>
      </w:r>
      <w:r>
        <w:t>, die mög</w:t>
      </w:r>
      <w:r w:rsidR="00727C40">
        <w:t>licherweise auf den für das vor</w:t>
      </w:r>
      <w:r>
        <w:t>genannte Projekt ausgewählten Flächen im Staatswald errichtet werden könnten, ist vom Konzept, das ein Projektierer seinen Planungen zugrunde legt, abhängig. Der Bieter, der den Zuschlag erhalten hat, sieht in seinem Konzept 40 WEA vor.</w:t>
      </w:r>
    </w:p>
    <w:p w:rsidR="00DD3048" w:rsidRDefault="00DD3048">
      <w:bookmarkStart w:id="98" w:name="Frage_Nr_48_Ende"/>
      <w:bookmarkEnd w:id="9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4"/>
        <w:gridCol w:w="5792"/>
      </w:tblGrid>
      <w:tr w:rsidR="00DD3048" w:rsidTr="007B0B33">
        <w:tc>
          <w:tcPr>
            <w:tcW w:w="2050" w:type="dxa"/>
          </w:tcPr>
          <w:p w:rsidR="00DD3048" w:rsidRDefault="00DD3048" w:rsidP="00DD3048">
            <w:pPr>
              <w:pStyle w:val="LTAnfrageInitiator"/>
            </w:pPr>
            <w:r>
              <w:lastRenderedPageBreak/>
              <w:t>Abgeordneter</w:t>
            </w:r>
            <w:r>
              <w:rPr>
                <w:b/>
              </w:rPr>
              <w:br/>
              <w:t>Dr. Helmut</w:t>
            </w:r>
            <w:r>
              <w:rPr>
                <w:b/>
              </w:rPr>
              <w:br/>
              <w:t>Kaltenhauser</w:t>
            </w:r>
            <w:r>
              <w:rPr>
                <w:b/>
              </w:rPr>
              <w:br/>
            </w:r>
            <w:r>
              <w:t>(FDP)</w:t>
            </w:r>
            <w:bookmarkStart w:id="99" w:name="Frage_Nr_49"/>
            <w:bookmarkEnd w:id="99"/>
          </w:p>
        </w:tc>
        <w:tc>
          <w:tcPr>
            <w:tcW w:w="7200" w:type="dxa"/>
          </w:tcPr>
          <w:p w:rsidR="00DD3048" w:rsidRDefault="00E214B5" w:rsidP="00DD3048">
            <w:pPr>
              <w:pStyle w:val="LTAnfrageText"/>
            </w:pPr>
            <w:r w:rsidRPr="00E214B5">
              <w:t>Basierend auf der Schriftlichen Anfrage „Hofkeller 4“ des Abgeordneten Dr. Helmut Kaltenhauser (FDP) vom 04.04.2023 (Drs. 18/29184) , Frage 2.1, frage ich die Staatsregierung, welche besonderen Vorkommnisse und Ereignisse, die sich auf den Betrieb und den Bestand des Staatlichen Hofkellers oder die wirtschaftlichen und finanziellen Verhältnisse nachteilig auswirken können, von der Weingutsleitung an das Staatsministerium für Ernährung, Landwirtschaft und Forsten (StMELF) im Zeitraum 2014 bis 2022 gemeldet wurden (bitte hierbei jeweils auch das Datum nennen), wie das StMELF darauf reagiert hat und wann diese Missstände jeweils behoben waren?</w:t>
            </w:r>
          </w:p>
        </w:tc>
      </w:tr>
    </w:tbl>
    <w:p w:rsidR="00DD3048" w:rsidRDefault="00DD3048" w:rsidP="00DD3048">
      <w:pPr>
        <w:pStyle w:val="LTUeberschrAntwortRessort"/>
      </w:pPr>
      <w:r>
        <w:t>Antwort des Staatsministeriums für Ernährung, Landwirtschaft und Forsten</w:t>
      </w:r>
    </w:p>
    <w:p w:rsidR="00DD3048" w:rsidRDefault="00DD3048" w:rsidP="00DD3048">
      <w:pPr>
        <w:pStyle w:val="LTAntwortRessortText"/>
      </w:pPr>
      <w:r>
        <w:t>Die Weingutsleitung informiert das St</w:t>
      </w:r>
      <w:r w:rsidR="003A51D3">
        <w:t xml:space="preserve">aatsministerium für Ernährung, Landwirtschaft und Forsten </w:t>
      </w:r>
      <w:r>
        <w:t>regelmäßig mündlich (telefonisch), schriftlich oder persönlich über die aktuellen Vorkommnisse am Staatlichen Hofkeller. Nachfolgend sind einige herausragende Ereignisse der Jahre 2014 bis 2022 dargestellt. Personalangelegenheiten werden aus Datenschutzgründen nicht aufgeführt.</w:t>
      </w:r>
    </w:p>
    <w:p w:rsidR="00DD3048" w:rsidRDefault="00DD3048" w:rsidP="00DD3048">
      <w:pPr>
        <w:pStyle w:val="LTAntwortRessortText"/>
      </w:pPr>
      <w:r>
        <w:t>2014/2015 Mietpreiserhöhung für Keller in der Würzburger Residenz</w:t>
      </w:r>
    </w:p>
    <w:p w:rsidR="00DD3048" w:rsidRDefault="00DD3048" w:rsidP="003A51D3">
      <w:pPr>
        <w:pStyle w:val="LTAntwortRessortText"/>
        <w:spacing w:before="0"/>
      </w:pPr>
      <w:r>
        <w:t>Am 14.10.2014 teilte das St</w:t>
      </w:r>
      <w:r w:rsidR="003A51D3">
        <w:t>aatsministerium der Finanzen und für Heimat (StMFH)</w:t>
      </w:r>
      <w:r>
        <w:t xml:space="preserve"> dem Staatlichen Hofkeller Würzburg eine stufenweise Mieterhöhung für die Nutzung der Kellerräumlichkeiten in der Residenz mit, deren Höhe weit über dem vom Staatlichen Hofkeller angenommenen Vergleichspreis lag und in d</w:t>
      </w:r>
      <w:r w:rsidR="003A51D3">
        <w:t>er vorgeschlagenen Höhe eine er</w:t>
      </w:r>
      <w:r>
        <w:t xml:space="preserve">hebliche Belastung für die Liquidität bedeutet hätte. Nach Vermittlung des StMELF hat das StMFH daraufhin den bestehenden Mietpreis von der </w:t>
      </w:r>
      <w:r w:rsidR="00E214B5">
        <w:t>Immobilien Freistaat Bayern (</w:t>
      </w:r>
      <w:r>
        <w:t>IMBY</w:t>
      </w:r>
      <w:r w:rsidR="00E214B5">
        <w:t>)</w:t>
      </w:r>
      <w:r>
        <w:t xml:space="preserve">, Regionalvertretung Unterfranken, </w:t>
      </w:r>
      <w:r w:rsidR="00E214B5">
        <w:t>auf Basis nachvollziehbarer Ver</w:t>
      </w:r>
      <w:r>
        <w:t>gleichswerte neu bewerten lassen. Am 16.10.2015 wurde der Vorschlag im Detail zwischen dem Staatlichen Hofkeller, der Schlösserverwaltung und der IMBY Regionalvertretung Unterfranken besprochen und ein für alle Seiten tragbarer Kompromiss gefunden.</w:t>
      </w:r>
    </w:p>
    <w:p w:rsidR="00DD3048" w:rsidRDefault="00DD3048" w:rsidP="00DD3048">
      <w:pPr>
        <w:pStyle w:val="LTAntwortRessortText"/>
      </w:pPr>
      <w:r>
        <w:t>2017 Frostschäden</w:t>
      </w:r>
      <w:r w:rsidR="00E214B5">
        <w:tab/>
      </w:r>
      <w:r w:rsidR="00E214B5">
        <w:br/>
      </w:r>
      <w:r>
        <w:t xml:space="preserve">Spätfröste verursachten in der Woche nach Ostern 2017 am Frankenwein heftige Schäden. Die Weingutsleitung informierte am 28.04.2017 das StMELF mit einer detaillierten Aufstellung über die Frostschäden in den staatlichen Rebflächen, die von 5 </w:t>
      </w:r>
      <w:r w:rsidR="00611DAF">
        <w:t>Prozent</w:t>
      </w:r>
      <w:r>
        <w:t xml:space="preserve"> </w:t>
      </w:r>
      <w:r w:rsidR="00E214B5">
        <w:t>–</w:t>
      </w:r>
      <w:r>
        <w:t xml:space="preserve">- 100 </w:t>
      </w:r>
      <w:r w:rsidR="00611DAF">
        <w:t>Prozent</w:t>
      </w:r>
      <w:r>
        <w:t xml:space="preserve"> reichten und Ertragseinbußen erwarten ließen. Der Ertrag im Jahr 2017 fiel mit 50 hl/ha demnach auch unterdurchschnittlich aus.</w:t>
      </w:r>
    </w:p>
    <w:p w:rsidR="00DD3048" w:rsidRDefault="00592A5A" w:rsidP="00DD3048">
      <w:pPr>
        <w:pStyle w:val="LTAntwortRessortText"/>
      </w:pPr>
      <w:r>
        <w:t xml:space="preserve">2017 bis </w:t>
      </w:r>
      <w:r w:rsidR="00DD3048">
        <w:t>2020 Bildrechte-Streit mit Prof. Leistner</w:t>
      </w:r>
      <w:r>
        <w:tab/>
      </w:r>
      <w:r>
        <w:br/>
      </w:r>
      <w:r w:rsidR="00DD3048">
        <w:t>Am 26.07.2017 wurde das StMELF über e</w:t>
      </w:r>
      <w:r>
        <w:t>inen Rechtsstreit bzgl. der Nut</w:t>
      </w:r>
      <w:r w:rsidR="00DD3048">
        <w:t>zungsrechte von Fotografien von Herrn Pro</w:t>
      </w:r>
      <w:r>
        <w:t>f. Leistner informiert. Die Nut</w:t>
      </w:r>
      <w:r w:rsidR="00DD3048">
        <w:t>zung der betroffenen Bilder wurde vom Staatlichen Hofkeller umgehend eingestellt. Für das nachfolgende Gerichtsverfahren wurde im Januar 2018 aus kaufmännischer Vorsicht eine Rückstellung gebildet. Nachdem die Klage vom Kläger zurückgezogen wurde, konnte im März 2020 der Streit mit einem Vergleich beendet werden.</w:t>
      </w:r>
    </w:p>
    <w:p w:rsidR="00DD3048" w:rsidRDefault="00DD3048" w:rsidP="00DD3048">
      <w:pPr>
        <w:pStyle w:val="LTAntwortRessortText"/>
      </w:pPr>
      <w:r>
        <w:t>2018</w:t>
      </w:r>
      <w:r w:rsidR="00592A5A">
        <w:t xml:space="preserve"> bis </w:t>
      </w:r>
      <w:r>
        <w:t>2019 Austritt aus dem Behördennetz</w:t>
      </w:r>
      <w:r w:rsidR="00592A5A">
        <w:tab/>
      </w:r>
      <w:r w:rsidR="00592A5A">
        <w:br/>
      </w:r>
      <w:r>
        <w:t>Nach vorherigen mündlichen Erläuterungen beantragte die Weingutsleitung am 17.</w:t>
      </w:r>
      <w:r w:rsidR="00592A5A">
        <w:t>05.</w:t>
      </w:r>
      <w:r>
        <w:t xml:space="preserve">2018 schriftlich beim StMELF, den Staatlichen Hofkeller aus dem Behördennetz auszugliedern, da die hohen Sicherheitsstufen das Wirtschaftsunternehmen im </w:t>
      </w:r>
      <w:r>
        <w:lastRenderedPageBreak/>
        <w:t>täglichen Austausch mit Kunden und Lieferanten vor erhebliche technische Schwierigkeiten stellte und dadurch Wettbewerbsnachteile entstanden. Das StMELF unterstützte dieses Anliegen. Nachdem</w:t>
      </w:r>
      <w:r w:rsidR="00592A5A">
        <w:t xml:space="preserve"> </w:t>
      </w:r>
      <w:r>
        <w:t>die neue EDV-Struktur am Staatlichen Hofkeller erstellt war, wurde dieser im Herbst 2019 aus dem Behördennetz ausgegliedert.</w:t>
      </w:r>
    </w:p>
    <w:p w:rsidR="00DD3048" w:rsidRDefault="00DD3048" w:rsidP="00DD3048">
      <w:pPr>
        <w:pStyle w:val="LTAntwortRessortText"/>
      </w:pPr>
      <w:r>
        <w:t>2020 Corona-Hilfsmaßnahmen</w:t>
      </w:r>
      <w:r w:rsidR="00592A5A">
        <w:tab/>
      </w:r>
      <w:r w:rsidR="00592A5A">
        <w:br/>
      </w:r>
      <w:r>
        <w:t xml:space="preserve">Nachdem das StMFH im August 2020 eine Ministerratsvorlage zum </w:t>
      </w:r>
      <w:r w:rsidR="00592A5A">
        <w:t>„</w:t>
      </w:r>
      <w:r>
        <w:t>Ersatz der Einnahmeausfälle des Freistaats Bayern</w:t>
      </w:r>
      <w:r w:rsidR="00592A5A">
        <w:t>“</w:t>
      </w:r>
      <w:r>
        <w:t xml:space="preserve"> erstellt hatte, reichte das StMELF eine eigene Ministerratsvorlage zur weitergehenden Unterstützung der Beteiligungsunternehmen im Jahr 2020 aus dem Sonderfonds </w:t>
      </w:r>
      <w:r w:rsidR="00592A5A">
        <w:t>„</w:t>
      </w:r>
      <w:r>
        <w:t>Corona-Pandemie</w:t>
      </w:r>
      <w:r w:rsidR="00592A5A">
        <w:t>“</w:t>
      </w:r>
      <w:r>
        <w:t xml:space="preserve"> ein. Nach einem intensiven Abstimmungsprozess mit StMFH und Frühkoordinierung hat der Minister</w:t>
      </w:r>
      <w:r w:rsidR="00592A5A">
        <w:t>rat die Hilfen am 22.12.2020 be</w:t>
      </w:r>
      <w:r>
        <w:t>schlossen, die im Anschluss ausgezahlt wurden. Parallel dazu wurde eine externe Steuerberatungsgesellschaft vom StMELF zur Berechnung eines Private Investor Tests beauftragt, um die Vorteilhaftigkeit der Kapitalzuwendung zu bewerten. Das Ergebnis lag am 01.12.2020 vor.</w:t>
      </w:r>
    </w:p>
    <w:p w:rsidR="00DD3048" w:rsidRDefault="00DD3048" w:rsidP="00DD3048">
      <w:pPr>
        <w:pStyle w:val="LTAntwortRessortText"/>
      </w:pPr>
      <w:r>
        <w:t>2021</w:t>
      </w:r>
      <w:r w:rsidR="00592A5A">
        <w:t xml:space="preserve"> bis </w:t>
      </w:r>
      <w:r>
        <w:t>2022 Neuer Weinbau-Tarifvertrag</w:t>
      </w:r>
      <w:r w:rsidR="00592A5A">
        <w:tab/>
      </w:r>
      <w:r w:rsidR="00592A5A">
        <w:br/>
      </w:r>
      <w:r>
        <w:t>Am 16.12.2021 teilte die Weingutsleitung dem StMELF mit, dass vereinbart wurde, den Mitarbeitern mit RT-Verträgen (Weinbau) wie den Mitarbeitern mit TV-L-Verträgen ebenfalls im Jahr 2022 eine Corona</w:t>
      </w:r>
      <w:r w:rsidR="00592A5A">
        <w:t>prämie auszuzah</w:t>
      </w:r>
      <w:r>
        <w:t>len. Zeitgleich wurde mit den Verhandlungen für den Rahmentarifvertrag für den Weinbau begonnen. Nach langen Abstimmungsverhandlungen mit der IG Bau wurde der neue Lohntarifvertrag von allen Beteiligten unterzeichnet und ist zum 01.09.2022 in Kraft getreten. Das StMELF hat den Staatlichen Hofkeller trotz steigender Personalkosten in diesem Anliegen unterstützt, da die Mitarbeiter im Weinbau aufgrund der unterschiedlichen Verträge nicht schlechter gestellt werden sollen als Angestellte mit TV-L-Verträgen. Im Weinbau besteht ein spürbarer Fachkräftemangel.</w:t>
      </w:r>
    </w:p>
    <w:p w:rsidR="00DD3048" w:rsidRDefault="00DD3048">
      <w:bookmarkStart w:id="100" w:name="Frage_Nr_49_Ende"/>
      <w:bookmarkEnd w:id="10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4"/>
        <w:gridCol w:w="5752"/>
      </w:tblGrid>
      <w:tr w:rsidR="00DD3048" w:rsidTr="007B0B33">
        <w:tc>
          <w:tcPr>
            <w:tcW w:w="2050" w:type="dxa"/>
          </w:tcPr>
          <w:p w:rsidR="00DD3048" w:rsidRDefault="00DD3048" w:rsidP="00DD3048">
            <w:pPr>
              <w:pStyle w:val="LTAnfrageInitiator"/>
            </w:pPr>
            <w:r>
              <w:lastRenderedPageBreak/>
              <w:t>Abgeordnete</w:t>
            </w:r>
            <w:r>
              <w:rPr>
                <w:b/>
              </w:rPr>
              <w:br/>
              <w:t>Gisela</w:t>
            </w:r>
            <w:r>
              <w:rPr>
                <w:b/>
              </w:rPr>
              <w:br/>
              <w:t>Sengl</w:t>
            </w:r>
            <w:r>
              <w:rPr>
                <w:b/>
              </w:rPr>
              <w:br/>
            </w:r>
            <w:r>
              <w:t>(BÜNDNIS 90/DIE GRÜNEN)</w:t>
            </w:r>
            <w:bookmarkStart w:id="101" w:name="Frage_Nr_50"/>
            <w:bookmarkEnd w:id="101"/>
          </w:p>
        </w:tc>
        <w:tc>
          <w:tcPr>
            <w:tcW w:w="7200" w:type="dxa"/>
          </w:tcPr>
          <w:p w:rsidR="00DD3048" w:rsidRDefault="00845054" w:rsidP="00DD3048">
            <w:pPr>
              <w:pStyle w:val="LTAnfrageText"/>
            </w:pPr>
            <w:r w:rsidRPr="00845054">
              <w:t xml:space="preserve">Ich frage die Staatsregierung, wie viele Betriebe nehmen in Bayern (bitte aufgeschlüsselt nach Landkreis) die Weideprämie aus dem Kulturlandschaftsprogramm (KULAP) „Extensive Weidenutzung naturschutzfachlich wertvoller Lebensräume“ G31/D31 – G33/D33 und die Tierwohlförderung Sommerweidehaltung T10 (Weideprämie für Rinder) in Anspruch; wie viele Tiere (in absoluten Zahlen und aufgeschlüsselt nach Tierart) und Weidefläche in Hektar profitieren von der Förderung G31/D31 – G33/D33 und T10 und aus welchen Gründen wurde die Fördermaßnahme „Behirtung“ eingestellt? </w:t>
            </w:r>
          </w:p>
        </w:tc>
      </w:tr>
    </w:tbl>
    <w:p w:rsidR="00DD3048" w:rsidRDefault="00DD3048" w:rsidP="00DD3048">
      <w:pPr>
        <w:pStyle w:val="LTUeberschrAntwortRessort"/>
      </w:pPr>
      <w:r>
        <w:t>Antwort des Staatsministeriums für Ernährung, Landwirtschaft und Forsten</w:t>
      </w:r>
    </w:p>
    <w:p w:rsidR="00DD3048" w:rsidRDefault="00DD3048" w:rsidP="00DD3048">
      <w:pPr>
        <w:pStyle w:val="LTAntwortRessortText"/>
      </w:pPr>
      <w:r>
        <w:t>zu Frage 1</w:t>
      </w:r>
    </w:p>
    <w:p w:rsidR="00DD3048" w:rsidRDefault="00845054" w:rsidP="00DD3048">
      <w:pPr>
        <w:pStyle w:val="LTAntwortRessortText"/>
      </w:pPr>
      <w:r>
        <w:t>Bei G/D31 –</w:t>
      </w:r>
      <w:r w:rsidR="00DD3048">
        <w:t xml:space="preserve"> G/D33 handelt es sich um Maßnahmen des Vertragsnaturschutzprogrammes VNP. Die abschließenden Antragszahlen nach Ende der Mehrfachantragstellung liegen derzeit noch für keine der angefragten Maßnahmen G/D31 </w:t>
      </w:r>
      <w:r>
        <w:t>–</w:t>
      </w:r>
      <w:r w:rsidR="00DD3048">
        <w:t xml:space="preserve"> G/D33 und T10 vor.</w:t>
      </w:r>
    </w:p>
    <w:p w:rsidR="00DD3048" w:rsidRDefault="00DD3048" w:rsidP="00DD3048">
      <w:pPr>
        <w:pStyle w:val="LTAntwortRessortText"/>
      </w:pPr>
      <w:r>
        <w:t>zu Frage 2</w:t>
      </w:r>
    </w:p>
    <w:p w:rsidR="00DD3048" w:rsidRDefault="00DD3048" w:rsidP="00DD3048">
      <w:pPr>
        <w:pStyle w:val="LTAntwortRessortText"/>
      </w:pPr>
      <w:r>
        <w:t>Die abschließenden Antragszahlen nach Ende der Mehrfachantragstellung liegen derzeit noch für keine d</w:t>
      </w:r>
      <w:r w:rsidR="00845054">
        <w:t>er angefragten Maßnahmen G/D31 –</w:t>
      </w:r>
      <w:r>
        <w:t xml:space="preserve"> G/D33 und T10 vor. Für die Beantwortung von Frage 2 sind darüber hinaus zum Teil auch die erst im Lauf des Antragsjahres eingehenden Tiermeldungen</w:t>
      </w:r>
      <w:r w:rsidR="00845054">
        <w:t xml:space="preserve"> </w:t>
      </w:r>
      <w:r>
        <w:t xml:space="preserve">erforderlich. Bei den Maßnahmen G/D31 </w:t>
      </w:r>
      <w:r w:rsidR="00845054">
        <w:t>–</w:t>
      </w:r>
      <w:r>
        <w:t xml:space="preserve"> G/D33 werden zudem keine Tierzahlen erfasst.</w:t>
      </w:r>
    </w:p>
    <w:p w:rsidR="00DD3048" w:rsidRDefault="00DD3048" w:rsidP="00DD3048">
      <w:pPr>
        <w:pStyle w:val="LTAntwortRessortText"/>
      </w:pPr>
      <w:r>
        <w:t>zu Frage 3</w:t>
      </w:r>
    </w:p>
    <w:p w:rsidR="00DD3048" w:rsidRDefault="00DD3048" w:rsidP="00DD3048">
      <w:pPr>
        <w:pStyle w:val="LTAntwortRessortText"/>
      </w:pPr>
      <w:r>
        <w:t xml:space="preserve">Die im Antragsjahr 2022 letztmalig beantragbare Maßnahme des Kulturlandschaftsprogramms KULAP B52 </w:t>
      </w:r>
      <w:r w:rsidR="00845054">
        <w:t>–</w:t>
      </w:r>
      <w:r>
        <w:t xml:space="preserve"> Ständige Behirtung von anerkannten Almen und Alpen wurde entgegen der Fragestellung nicht eingestellt. Seit dem Antragsjahr 2023 wird diese Maßnahme unter der neuen Bezeichnung K22 </w:t>
      </w:r>
      <w:r w:rsidR="00845054">
        <w:t>–</w:t>
      </w:r>
      <w:r>
        <w:t xml:space="preserve"> Bewirtschaftung von Almen und Alpen angeboten. Damit konnten der bürokratische Aufwand für Antragsteller und Verwaltung gleichermaßen sowie das Sanktionsrisiko für die Betriebe gesenkt und gleichzeitig die durchschnittliche Flächenförderung im Vergleich zur Vorgängermaßnahme erhöht werden.</w:t>
      </w:r>
    </w:p>
    <w:p w:rsidR="00DD3048" w:rsidRDefault="00DD3048">
      <w:bookmarkStart w:id="102" w:name="Frage_Nr_50_Ende"/>
      <w:bookmarkEnd w:id="10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DD3048" w:rsidTr="007B0B33">
        <w:tc>
          <w:tcPr>
            <w:tcW w:w="2050" w:type="dxa"/>
          </w:tcPr>
          <w:p w:rsidR="00DD3048" w:rsidRDefault="00DD3048" w:rsidP="00DD3048">
            <w:pPr>
              <w:pStyle w:val="LTAnfrageInitiator"/>
            </w:pPr>
            <w:r>
              <w:lastRenderedPageBreak/>
              <w:t>Abgeordnete</w:t>
            </w:r>
            <w:r>
              <w:rPr>
                <w:b/>
              </w:rPr>
              <w:br/>
              <w:t>Rosi</w:t>
            </w:r>
            <w:r>
              <w:rPr>
                <w:b/>
              </w:rPr>
              <w:br/>
              <w:t>Steinberger</w:t>
            </w:r>
            <w:r>
              <w:rPr>
                <w:b/>
              </w:rPr>
              <w:br/>
            </w:r>
            <w:r>
              <w:t>(BÜNDNIS 90/DIE GRÜNEN)</w:t>
            </w:r>
            <w:bookmarkStart w:id="103" w:name="Frage_Nr_51"/>
            <w:bookmarkEnd w:id="103"/>
          </w:p>
        </w:tc>
        <w:tc>
          <w:tcPr>
            <w:tcW w:w="7200" w:type="dxa"/>
          </w:tcPr>
          <w:p w:rsidR="00DD3048" w:rsidRDefault="001A36CC" w:rsidP="00DD3048">
            <w:pPr>
              <w:pStyle w:val="LTAnfrageText"/>
            </w:pPr>
            <w:r w:rsidRPr="001A36CC">
              <w:t>Ich frage die Staatsregierung, welche Stellen für Ansprechpartnerinnen und -partner der Wildlebensraumberatung, die Staatsministerin für Ernährung, Landwirtschaft und Forsten Michaela Kaniber 2021 für alle Ämter für Ernährung und Landwirtschaft (AELF) versprochen hatte, wurden durch Neueinstellungen besetzt, welche dieser Stellen wurden durch eine Aufstockung der bestehenden Stellen für die Wasserberatung besetzt und bei welchen Stellen wurde durch die Neuschaffung der Ansprechperson für Wildlebensraumberatung der Stellenumfang in der Wasserberatung verringert (für alle Teilfragen bitte Vollzeitäquivalente angeben und für jeden Zuständigkeitsbereich/Landkreis der einzelnen Ämter einzeln aufschlüsseln, ggf. unter Angabe der Verringerung des Stellenumfangs für die Wasserberatung)?</w:t>
            </w:r>
          </w:p>
        </w:tc>
      </w:tr>
    </w:tbl>
    <w:p w:rsidR="00DD3048" w:rsidRDefault="00DD3048" w:rsidP="00DD3048">
      <w:pPr>
        <w:pStyle w:val="LTUeberschrAntwortRessort"/>
      </w:pPr>
      <w:r>
        <w:t>Antwort des Staatsministeriums für Ernährung, Landwirtschaft und Forsten</w:t>
      </w:r>
    </w:p>
    <w:p w:rsidR="00DD3048" w:rsidRDefault="00DD3048" w:rsidP="00DD3048">
      <w:pPr>
        <w:pStyle w:val="LTAntwortRessortText"/>
      </w:pPr>
      <w:r>
        <w:t xml:space="preserve">Die 50 neu geschaffenen Planstellen für die Beratung zum Wildlebensraum wurden auf die Landesanstalten und </w:t>
      </w:r>
      <w:r w:rsidR="001A36CC">
        <w:t>Ämter für Ernährung, Landwirtschaft und Forsten</w:t>
      </w:r>
      <w:r>
        <w:t xml:space="preserve"> </w:t>
      </w:r>
      <w:r w:rsidR="001A36CC">
        <w:t xml:space="preserve">(ÄELF) </w:t>
      </w:r>
      <w:r>
        <w:t>wie folgt verteilt:</w:t>
      </w:r>
    </w:p>
    <w:p w:rsidR="00DD3048" w:rsidRDefault="001A36CC" w:rsidP="009E4727">
      <w:pPr>
        <w:pStyle w:val="LTAntwortRessortText"/>
        <w:spacing w:before="120"/>
        <w:ind w:left="680" w:hanging="340"/>
      </w:pPr>
      <w:r>
        <w:t>–</w:t>
      </w:r>
      <w:r>
        <w:tab/>
      </w:r>
      <w:r w:rsidR="00DD3048">
        <w:t>5 Stellen für die Landesanstalten (</w:t>
      </w:r>
      <w:r w:rsidR="009E4727" w:rsidRPr="009E4727">
        <w:t>Landesanstalt</w:t>
      </w:r>
      <w:r w:rsidR="009E4727">
        <w:t xml:space="preserve"> für Weinbau und Gartenbau</w:t>
      </w:r>
      <w:r w:rsidR="00DD3048">
        <w:t>, L</w:t>
      </w:r>
      <w:r w:rsidR="009E4727">
        <w:t>andesanstalt für Landwirtschaft</w:t>
      </w:r>
      <w:r w:rsidR="00DD3048">
        <w:t>)</w:t>
      </w:r>
    </w:p>
    <w:p w:rsidR="00DD3048" w:rsidRDefault="001A36CC" w:rsidP="001A36CC">
      <w:pPr>
        <w:pStyle w:val="LTAntwortRessortText"/>
        <w:spacing w:before="120"/>
      </w:pPr>
      <w:r>
        <w:t>–</w:t>
      </w:r>
      <w:r>
        <w:tab/>
      </w:r>
      <w:r w:rsidR="00DD3048">
        <w:t>45 Stellen für die Sachgebiet L2.2 Landwirtschaft der ÄELF.</w:t>
      </w:r>
    </w:p>
    <w:p w:rsidR="00DD3048" w:rsidRDefault="00DD3048" w:rsidP="00A158F3">
      <w:pPr>
        <w:pStyle w:val="LTAntwortRessortText"/>
        <w:spacing w:before="120"/>
      </w:pPr>
      <w:r>
        <w:t>Im Rahmen der Personal-Sollplanung 2020/2024 der ÄELF wurden die neu geschaffenen 45 Stellen dem Sachgebiet L 2.2 Landwirtschaft zugeordnet. Die Sachgebiete L 2.2 sind in ihrem Dienstgebiet für die Tätigkeiten bilden, beraten und vollziehen zuständig. In der Beratung liegen die Schwerpunkte</w:t>
      </w:r>
      <w:r w:rsidR="001A36CC">
        <w:t xml:space="preserve"> </w:t>
      </w:r>
      <w:r>
        <w:t>in der Sozioökonomischen Beratung, Gemeinwohlberatung (Wildlebensraum, Gewässerschutz, Biodiversität) und</w:t>
      </w:r>
      <w:r w:rsidR="009E4727">
        <w:t xml:space="preserve"> verwaltungsakzessorischen Bera</w:t>
      </w:r>
      <w:r>
        <w:t>tung.</w:t>
      </w:r>
    </w:p>
    <w:p w:rsidR="00DD3048" w:rsidRDefault="009E4727" w:rsidP="00A158F3">
      <w:pPr>
        <w:pStyle w:val="LTAntwortRessortText"/>
        <w:spacing w:before="120"/>
      </w:pPr>
      <w:r>
        <w:t>Um das Ziel „</w:t>
      </w:r>
      <w:r w:rsidR="00DD3048">
        <w:t>Die Landwirtschaft in die Mitte der Gesellschaft rücken</w:t>
      </w:r>
      <w:r>
        <w:t>“</w:t>
      </w:r>
      <w:r w:rsidR="00DD3048">
        <w:t xml:space="preserve"> bestmöglich erreichen zu können, ist es notwendig, dass die einzelnen Ämter für das jeweilige Dienstgebiet die Schwerpunkt</w:t>
      </w:r>
      <w:r>
        <w:t>e vor Ort bedarfsgerecht festle</w:t>
      </w:r>
      <w:r w:rsidR="00DD3048">
        <w:t>gen und die Ressourcen zielgerichtet einsetzen.</w:t>
      </w:r>
    </w:p>
    <w:p w:rsidR="00DD3048" w:rsidRDefault="00DD3048" w:rsidP="00A158F3">
      <w:pPr>
        <w:pStyle w:val="LTAntwortRessortText"/>
        <w:spacing w:before="120"/>
      </w:pPr>
      <w:r>
        <w:t xml:space="preserve">In der nachfolgenden Tabelle sind für die beiden Stichtage </w:t>
      </w:r>
      <w:r w:rsidR="009E4727">
        <w:t>0</w:t>
      </w:r>
      <w:r>
        <w:t>1.</w:t>
      </w:r>
      <w:r w:rsidR="009E4727">
        <w:t>07.</w:t>
      </w:r>
      <w:r>
        <w:t xml:space="preserve">2021 und </w:t>
      </w:r>
      <w:r w:rsidR="009E4727">
        <w:t>0</w:t>
      </w:r>
      <w:r>
        <w:t>1.</w:t>
      </w:r>
      <w:r w:rsidR="009E4727">
        <w:t>07.</w:t>
      </w:r>
      <w:r>
        <w:t>2023 die Ist-Besetzungen der Sachgebiete L2.2 sowie die Anzahl der Personen, die zur Beratung Wildlebensraum eingesetzt werden, dargestellt.</w:t>
      </w:r>
    </w:p>
    <w:p w:rsidR="00DD3048" w:rsidRDefault="00DD3048" w:rsidP="00A158F3">
      <w:pPr>
        <w:pStyle w:val="LTAntwortRessortText"/>
        <w:spacing w:before="120"/>
      </w:pPr>
    </w:p>
    <w:tbl>
      <w:tblPr>
        <w:tblStyle w:val="TableNormal"/>
        <w:tblW w:w="79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9"/>
        <w:gridCol w:w="1058"/>
        <w:gridCol w:w="1058"/>
        <w:gridCol w:w="1059"/>
        <w:gridCol w:w="1058"/>
        <w:gridCol w:w="1059"/>
      </w:tblGrid>
      <w:tr w:rsidR="009E4727" w:rsidRPr="009E4727" w:rsidTr="00A158F3">
        <w:trPr>
          <w:trHeight w:val="800"/>
          <w:jc w:val="center"/>
        </w:trPr>
        <w:tc>
          <w:tcPr>
            <w:tcW w:w="2689" w:type="dxa"/>
          </w:tcPr>
          <w:p w:rsidR="009E4727" w:rsidRPr="009E4727" w:rsidRDefault="009E4727" w:rsidP="00A158F3">
            <w:pPr>
              <w:pStyle w:val="TableParagraph"/>
              <w:spacing w:before="0"/>
              <w:ind w:left="0"/>
              <w:rPr>
                <w:rFonts w:ascii="Arial" w:hAnsi="Arial" w:cs="Arial"/>
                <w:sz w:val="18"/>
                <w:szCs w:val="18"/>
                <w:lang w:val="de-DE"/>
              </w:rPr>
            </w:pPr>
          </w:p>
        </w:tc>
        <w:tc>
          <w:tcPr>
            <w:tcW w:w="2116" w:type="dxa"/>
            <w:gridSpan w:val="2"/>
          </w:tcPr>
          <w:p w:rsidR="009E4727" w:rsidRPr="009E4727" w:rsidRDefault="009E4727" w:rsidP="00A158F3">
            <w:pPr>
              <w:pStyle w:val="TableParagraph"/>
              <w:ind w:left="108"/>
              <w:rPr>
                <w:rFonts w:ascii="Arial" w:hAnsi="Arial" w:cs="Arial"/>
                <w:sz w:val="18"/>
                <w:szCs w:val="18"/>
                <w:lang w:val="de-DE"/>
              </w:rPr>
            </w:pPr>
            <w:r w:rsidRPr="009E4727">
              <w:rPr>
                <w:rFonts w:ascii="Arial" w:hAnsi="Arial" w:cs="Arial"/>
                <w:sz w:val="18"/>
                <w:szCs w:val="18"/>
                <w:lang w:val="de-DE"/>
              </w:rPr>
              <w:t>Ist-Besetzung</w:t>
            </w:r>
          </w:p>
        </w:tc>
        <w:tc>
          <w:tcPr>
            <w:tcW w:w="3176" w:type="dxa"/>
            <w:gridSpan w:val="3"/>
          </w:tcPr>
          <w:p w:rsidR="009E4727" w:rsidRPr="009E4727" w:rsidRDefault="009E4727" w:rsidP="009E4727">
            <w:pPr>
              <w:pStyle w:val="TableParagraph"/>
              <w:ind w:left="118"/>
              <w:rPr>
                <w:rFonts w:ascii="Arial" w:hAnsi="Arial" w:cs="Arial"/>
                <w:sz w:val="18"/>
                <w:szCs w:val="18"/>
                <w:lang w:val="de-DE"/>
              </w:rPr>
            </w:pPr>
            <w:r w:rsidRPr="009E4727">
              <w:rPr>
                <w:rFonts w:ascii="Arial" w:hAnsi="Arial" w:cs="Arial"/>
                <w:sz w:val="18"/>
                <w:szCs w:val="18"/>
                <w:lang w:val="de-DE"/>
              </w:rPr>
              <w:t>Anzahl der Personen, die zur Beratung Wildlebensraum eingesetzt werden</w:t>
            </w:r>
          </w:p>
        </w:tc>
      </w:tr>
      <w:tr w:rsidR="009E4727" w:rsidRPr="009E4727" w:rsidTr="00A158F3">
        <w:trPr>
          <w:trHeight w:val="400"/>
          <w:jc w:val="center"/>
        </w:trPr>
        <w:tc>
          <w:tcPr>
            <w:tcW w:w="2689" w:type="dxa"/>
            <w:vAlign w:val="center"/>
          </w:tcPr>
          <w:p w:rsidR="009E4727" w:rsidRPr="009E4727" w:rsidRDefault="009E4727" w:rsidP="00A158F3">
            <w:pPr>
              <w:pStyle w:val="TableParagraph"/>
              <w:spacing w:before="0"/>
              <w:ind w:left="0"/>
              <w:rPr>
                <w:rFonts w:ascii="Arial" w:hAnsi="Arial" w:cs="Arial"/>
                <w:sz w:val="18"/>
                <w:szCs w:val="18"/>
                <w:lang w:val="de-DE"/>
              </w:rPr>
            </w:pPr>
            <w:r w:rsidRPr="009E4727">
              <w:rPr>
                <w:rFonts w:ascii="Arial" w:hAnsi="Arial" w:cs="Arial"/>
                <w:sz w:val="18"/>
                <w:szCs w:val="18"/>
                <w:lang w:val="de-DE"/>
              </w:rPr>
              <w:t>AELF</w:t>
            </w:r>
          </w:p>
        </w:tc>
        <w:tc>
          <w:tcPr>
            <w:tcW w:w="1058" w:type="dxa"/>
            <w:vAlign w:val="center"/>
          </w:tcPr>
          <w:p w:rsidR="009E4727" w:rsidRPr="00A158F3" w:rsidRDefault="009E4727" w:rsidP="00A158F3">
            <w:pPr>
              <w:pStyle w:val="TableParagraph"/>
              <w:spacing w:before="0"/>
              <w:ind w:left="0"/>
              <w:jc w:val="center"/>
              <w:rPr>
                <w:rFonts w:ascii="Arial" w:hAnsi="Arial" w:cs="Arial"/>
                <w:sz w:val="18"/>
                <w:szCs w:val="18"/>
                <w:lang w:val="de-DE"/>
              </w:rPr>
            </w:pPr>
            <w:r w:rsidRPr="00A158F3">
              <w:rPr>
                <w:rFonts w:ascii="Arial" w:hAnsi="Arial" w:cs="Arial"/>
                <w:sz w:val="18"/>
                <w:szCs w:val="18"/>
                <w:lang w:val="de-DE"/>
              </w:rPr>
              <w:t>01.07.</w:t>
            </w:r>
            <w:r w:rsidR="00A158F3">
              <w:rPr>
                <w:rFonts w:ascii="Arial" w:hAnsi="Arial" w:cs="Arial"/>
                <w:sz w:val="18"/>
                <w:szCs w:val="18"/>
                <w:lang w:val="de-DE"/>
              </w:rPr>
              <w:t>20</w:t>
            </w:r>
            <w:r w:rsidRPr="00A158F3">
              <w:rPr>
                <w:rFonts w:ascii="Arial" w:hAnsi="Arial" w:cs="Arial"/>
                <w:sz w:val="18"/>
                <w:szCs w:val="18"/>
                <w:lang w:val="de-DE"/>
              </w:rPr>
              <w:t>21</w:t>
            </w:r>
          </w:p>
        </w:tc>
        <w:tc>
          <w:tcPr>
            <w:tcW w:w="1058" w:type="dxa"/>
            <w:vAlign w:val="center"/>
          </w:tcPr>
          <w:p w:rsidR="009E4727" w:rsidRPr="00A158F3" w:rsidRDefault="009E4727" w:rsidP="00A158F3">
            <w:pPr>
              <w:pStyle w:val="TableParagraph"/>
              <w:spacing w:before="0"/>
              <w:ind w:left="0"/>
              <w:jc w:val="center"/>
              <w:rPr>
                <w:rFonts w:ascii="Arial" w:hAnsi="Arial" w:cs="Arial"/>
                <w:sz w:val="18"/>
                <w:szCs w:val="18"/>
                <w:lang w:val="de-DE"/>
              </w:rPr>
            </w:pPr>
            <w:r w:rsidRPr="00A158F3">
              <w:rPr>
                <w:rFonts w:ascii="Arial" w:hAnsi="Arial" w:cs="Arial"/>
                <w:sz w:val="18"/>
                <w:szCs w:val="18"/>
                <w:lang w:val="de-DE"/>
              </w:rPr>
              <w:t>01.07.</w:t>
            </w:r>
            <w:r w:rsidR="00A158F3">
              <w:rPr>
                <w:rFonts w:ascii="Arial" w:hAnsi="Arial" w:cs="Arial"/>
                <w:sz w:val="18"/>
                <w:szCs w:val="18"/>
                <w:lang w:val="de-DE"/>
              </w:rPr>
              <w:t>20</w:t>
            </w:r>
            <w:r w:rsidRPr="00A158F3">
              <w:rPr>
                <w:rFonts w:ascii="Arial" w:hAnsi="Arial" w:cs="Arial"/>
                <w:sz w:val="18"/>
                <w:szCs w:val="18"/>
                <w:lang w:val="de-DE"/>
              </w:rPr>
              <w:t>23</w:t>
            </w:r>
          </w:p>
        </w:tc>
        <w:tc>
          <w:tcPr>
            <w:tcW w:w="1059" w:type="dxa"/>
            <w:vAlign w:val="center"/>
          </w:tcPr>
          <w:p w:rsidR="009E4727" w:rsidRPr="00A158F3" w:rsidRDefault="009E4727" w:rsidP="00A158F3">
            <w:pPr>
              <w:pStyle w:val="TableParagraph"/>
              <w:spacing w:before="0"/>
              <w:ind w:left="0"/>
              <w:jc w:val="center"/>
              <w:rPr>
                <w:rFonts w:ascii="Arial" w:hAnsi="Arial" w:cs="Arial"/>
                <w:sz w:val="18"/>
                <w:szCs w:val="18"/>
                <w:lang w:val="de-DE"/>
              </w:rPr>
            </w:pPr>
            <w:r w:rsidRPr="00A158F3">
              <w:rPr>
                <w:rFonts w:ascii="Arial" w:hAnsi="Arial" w:cs="Arial"/>
                <w:sz w:val="18"/>
                <w:szCs w:val="18"/>
                <w:lang w:val="de-DE"/>
              </w:rPr>
              <w:t>01.07.</w:t>
            </w:r>
            <w:r w:rsidR="00A158F3">
              <w:rPr>
                <w:rFonts w:ascii="Arial" w:hAnsi="Arial" w:cs="Arial"/>
                <w:sz w:val="18"/>
                <w:szCs w:val="18"/>
                <w:lang w:val="de-DE"/>
              </w:rPr>
              <w:t>20</w:t>
            </w:r>
            <w:r w:rsidRPr="00A158F3">
              <w:rPr>
                <w:rFonts w:ascii="Arial" w:hAnsi="Arial" w:cs="Arial"/>
                <w:sz w:val="18"/>
                <w:szCs w:val="18"/>
                <w:lang w:val="de-DE"/>
              </w:rPr>
              <w:t>21</w:t>
            </w:r>
          </w:p>
        </w:tc>
        <w:tc>
          <w:tcPr>
            <w:tcW w:w="1058" w:type="dxa"/>
            <w:vAlign w:val="center"/>
          </w:tcPr>
          <w:p w:rsidR="009E4727" w:rsidRPr="00A158F3" w:rsidRDefault="009E4727" w:rsidP="00A158F3">
            <w:pPr>
              <w:pStyle w:val="TableParagraph"/>
              <w:spacing w:before="0"/>
              <w:ind w:left="0"/>
              <w:jc w:val="center"/>
              <w:rPr>
                <w:rFonts w:ascii="Arial" w:hAnsi="Arial" w:cs="Arial"/>
                <w:sz w:val="18"/>
                <w:szCs w:val="18"/>
                <w:lang w:val="de-DE"/>
              </w:rPr>
            </w:pPr>
            <w:r w:rsidRPr="00A158F3">
              <w:rPr>
                <w:rFonts w:ascii="Arial" w:hAnsi="Arial" w:cs="Arial"/>
                <w:sz w:val="18"/>
                <w:szCs w:val="18"/>
                <w:lang w:val="de-DE"/>
              </w:rPr>
              <w:t>01.07.</w:t>
            </w:r>
            <w:r w:rsidR="00A158F3">
              <w:rPr>
                <w:rFonts w:ascii="Arial" w:hAnsi="Arial" w:cs="Arial"/>
                <w:sz w:val="18"/>
                <w:szCs w:val="18"/>
                <w:lang w:val="de-DE"/>
              </w:rPr>
              <w:t>20</w:t>
            </w:r>
            <w:r w:rsidRPr="00A158F3">
              <w:rPr>
                <w:rFonts w:ascii="Arial" w:hAnsi="Arial" w:cs="Arial"/>
                <w:sz w:val="18"/>
                <w:szCs w:val="18"/>
                <w:lang w:val="de-DE"/>
              </w:rPr>
              <w:t>23</w:t>
            </w:r>
          </w:p>
        </w:tc>
        <w:tc>
          <w:tcPr>
            <w:tcW w:w="1059" w:type="dxa"/>
            <w:vAlign w:val="center"/>
          </w:tcPr>
          <w:p w:rsidR="009E4727" w:rsidRPr="00A158F3" w:rsidRDefault="009E4727" w:rsidP="00A158F3">
            <w:pPr>
              <w:pStyle w:val="TableParagraph"/>
              <w:spacing w:before="0"/>
              <w:ind w:left="0"/>
              <w:jc w:val="center"/>
              <w:rPr>
                <w:rFonts w:ascii="Arial" w:hAnsi="Arial" w:cs="Arial"/>
                <w:sz w:val="18"/>
                <w:szCs w:val="18"/>
                <w:lang w:val="de-DE"/>
              </w:rPr>
            </w:pPr>
            <w:r w:rsidRPr="00A158F3">
              <w:rPr>
                <w:rFonts w:ascii="Arial" w:hAnsi="Arial" w:cs="Arial"/>
                <w:sz w:val="18"/>
                <w:szCs w:val="18"/>
                <w:lang w:val="de-DE"/>
              </w:rPr>
              <w:t>Differenz</w:t>
            </w:r>
          </w:p>
        </w:tc>
      </w:tr>
      <w:tr w:rsidR="009E4727" w:rsidRPr="009E4727" w:rsidTr="00A158F3">
        <w:trPr>
          <w:trHeight w:val="399"/>
          <w:jc w:val="center"/>
        </w:trPr>
        <w:tc>
          <w:tcPr>
            <w:tcW w:w="2689" w:type="dxa"/>
            <w:vAlign w:val="center"/>
          </w:tcPr>
          <w:p w:rsidR="009E4727" w:rsidRPr="009E4727" w:rsidRDefault="009E4727" w:rsidP="00A158F3">
            <w:pPr>
              <w:pStyle w:val="TableParagraph"/>
              <w:spacing w:before="0"/>
              <w:ind w:left="0"/>
              <w:rPr>
                <w:rFonts w:ascii="Arial" w:hAnsi="Arial" w:cs="Arial"/>
                <w:sz w:val="18"/>
                <w:szCs w:val="18"/>
                <w:lang w:val="de-DE"/>
              </w:rPr>
            </w:pPr>
            <w:r w:rsidRPr="009E4727">
              <w:rPr>
                <w:rFonts w:ascii="Arial" w:hAnsi="Arial" w:cs="Arial"/>
                <w:sz w:val="18"/>
                <w:szCs w:val="18"/>
                <w:lang w:val="de-DE"/>
              </w:rPr>
              <w:t>Ebersberg-Erding</w:t>
            </w:r>
          </w:p>
        </w:tc>
        <w:tc>
          <w:tcPr>
            <w:tcW w:w="1058" w:type="dxa"/>
            <w:vAlign w:val="center"/>
          </w:tcPr>
          <w:p w:rsidR="009E4727" w:rsidRPr="009E4727" w:rsidRDefault="009E4727" w:rsidP="00A158F3">
            <w:pPr>
              <w:pStyle w:val="TableParagraph"/>
              <w:ind w:left="121" w:right="112"/>
              <w:jc w:val="right"/>
              <w:rPr>
                <w:rFonts w:ascii="Arial" w:hAnsi="Arial" w:cs="Arial"/>
                <w:sz w:val="18"/>
                <w:szCs w:val="18"/>
                <w:lang w:val="de-DE"/>
              </w:rPr>
            </w:pPr>
            <w:r w:rsidRPr="009E4727">
              <w:rPr>
                <w:rFonts w:ascii="Arial" w:hAnsi="Arial" w:cs="Arial"/>
                <w:sz w:val="18"/>
                <w:szCs w:val="18"/>
                <w:lang w:val="de-DE"/>
              </w:rPr>
              <w:t>11,4</w:t>
            </w:r>
          </w:p>
        </w:tc>
        <w:tc>
          <w:tcPr>
            <w:tcW w:w="1058" w:type="dxa"/>
            <w:vAlign w:val="center"/>
          </w:tcPr>
          <w:p w:rsidR="009E4727" w:rsidRPr="009E4727" w:rsidRDefault="009E4727" w:rsidP="00A158F3">
            <w:pPr>
              <w:pStyle w:val="TableParagraph"/>
              <w:ind w:left="122" w:right="112"/>
              <w:jc w:val="right"/>
              <w:rPr>
                <w:rFonts w:ascii="Arial" w:hAnsi="Arial" w:cs="Arial"/>
                <w:sz w:val="18"/>
                <w:szCs w:val="18"/>
                <w:lang w:val="de-DE"/>
              </w:rPr>
            </w:pPr>
            <w:r w:rsidRPr="009E4727">
              <w:rPr>
                <w:rFonts w:ascii="Arial" w:hAnsi="Arial" w:cs="Arial"/>
                <w:sz w:val="18"/>
                <w:szCs w:val="18"/>
                <w:lang w:val="de-DE"/>
              </w:rPr>
              <w:t>14,1</w:t>
            </w:r>
          </w:p>
        </w:tc>
        <w:tc>
          <w:tcPr>
            <w:tcW w:w="1059" w:type="dxa"/>
            <w:vAlign w:val="center"/>
          </w:tcPr>
          <w:p w:rsidR="009E4727" w:rsidRPr="009E4727" w:rsidRDefault="009E4727" w:rsidP="00A158F3">
            <w:pPr>
              <w:pStyle w:val="TableParagraph"/>
              <w:ind w:left="11"/>
              <w:jc w:val="right"/>
              <w:rPr>
                <w:rFonts w:ascii="Arial" w:hAnsi="Arial" w:cs="Arial"/>
                <w:sz w:val="18"/>
                <w:szCs w:val="18"/>
                <w:lang w:val="de-DE"/>
              </w:rPr>
            </w:pPr>
            <w:r w:rsidRPr="009E4727">
              <w:rPr>
                <w:rFonts w:ascii="Arial" w:hAnsi="Arial" w:cs="Arial"/>
                <w:sz w:val="18"/>
                <w:szCs w:val="18"/>
                <w:lang w:val="de-DE"/>
              </w:rPr>
              <w:t>3</w:t>
            </w:r>
          </w:p>
        </w:tc>
        <w:tc>
          <w:tcPr>
            <w:tcW w:w="1058" w:type="dxa"/>
            <w:vAlign w:val="center"/>
          </w:tcPr>
          <w:p w:rsidR="009E4727" w:rsidRPr="009E4727" w:rsidRDefault="009E4727" w:rsidP="00A158F3">
            <w:pPr>
              <w:pStyle w:val="TableParagraph"/>
              <w:jc w:val="right"/>
              <w:rPr>
                <w:rFonts w:ascii="Arial" w:hAnsi="Arial" w:cs="Arial"/>
                <w:sz w:val="18"/>
                <w:szCs w:val="18"/>
                <w:lang w:val="de-DE"/>
              </w:rPr>
            </w:pPr>
            <w:r w:rsidRPr="009E4727">
              <w:rPr>
                <w:rFonts w:ascii="Arial" w:hAnsi="Arial" w:cs="Arial"/>
                <w:sz w:val="18"/>
                <w:szCs w:val="18"/>
                <w:lang w:val="de-DE"/>
              </w:rPr>
              <w:t>5</w:t>
            </w:r>
          </w:p>
        </w:tc>
        <w:tc>
          <w:tcPr>
            <w:tcW w:w="1059" w:type="dxa"/>
            <w:vAlign w:val="center"/>
          </w:tcPr>
          <w:p w:rsidR="009E4727" w:rsidRPr="009E4727" w:rsidRDefault="009E4727" w:rsidP="00A158F3">
            <w:pPr>
              <w:pStyle w:val="TableParagraph"/>
              <w:jc w:val="right"/>
              <w:rPr>
                <w:rFonts w:ascii="Arial" w:hAnsi="Arial" w:cs="Arial"/>
                <w:sz w:val="18"/>
                <w:szCs w:val="18"/>
                <w:lang w:val="de-DE"/>
              </w:rPr>
            </w:pPr>
            <w:r w:rsidRPr="009E4727">
              <w:rPr>
                <w:rFonts w:ascii="Arial" w:hAnsi="Arial" w:cs="Arial"/>
                <w:sz w:val="18"/>
                <w:szCs w:val="18"/>
                <w:lang w:val="de-DE"/>
              </w:rPr>
              <w:t>2</w:t>
            </w:r>
          </w:p>
        </w:tc>
      </w:tr>
      <w:tr w:rsidR="009E4727" w:rsidRPr="009E4727" w:rsidTr="00A158F3">
        <w:trPr>
          <w:trHeight w:val="400"/>
          <w:jc w:val="center"/>
        </w:trPr>
        <w:tc>
          <w:tcPr>
            <w:tcW w:w="2689" w:type="dxa"/>
            <w:vAlign w:val="center"/>
          </w:tcPr>
          <w:p w:rsidR="009E4727" w:rsidRPr="009E4727" w:rsidRDefault="009E4727" w:rsidP="00A158F3">
            <w:pPr>
              <w:pStyle w:val="TableParagraph"/>
              <w:spacing w:before="0"/>
              <w:ind w:left="0"/>
              <w:rPr>
                <w:rFonts w:ascii="Arial" w:hAnsi="Arial" w:cs="Arial"/>
                <w:sz w:val="18"/>
                <w:szCs w:val="18"/>
                <w:lang w:val="de-DE"/>
              </w:rPr>
            </w:pPr>
            <w:r w:rsidRPr="009E4727">
              <w:rPr>
                <w:rFonts w:ascii="Arial" w:hAnsi="Arial" w:cs="Arial"/>
                <w:sz w:val="18"/>
                <w:szCs w:val="18"/>
                <w:lang w:val="de-DE"/>
              </w:rPr>
              <w:t>Fürstenfeldbruck</w:t>
            </w:r>
          </w:p>
        </w:tc>
        <w:tc>
          <w:tcPr>
            <w:tcW w:w="1058" w:type="dxa"/>
            <w:vAlign w:val="center"/>
          </w:tcPr>
          <w:p w:rsidR="009E4727" w:rsidRPr="009E4727" w:rsidRDefault="009E4727" w:rsidP="00A158F3">
            <w:pPr>
              <w:pStyle w:val="TableParagraph"/>
              <w:spacing w:before="78"/>
              <w:ind w:left="121" w:right="112"/>
              <w:jc w:val="right"/>
              <w:rPr>
                <w:rFonts w:ascii="Arial" w:hAnsi="Arial" w:cs="Arial"/>
                <w:sz w:val="18"/>
                <w:szCs w:val="18"/>
                <w:lang w:val="de-DE"/>
              </w:rPr>
            </w:pPr>
            <w:r w:rsidRPr="009E4727">
              <w:rPr>
                <w:rFonts w:ascii="Arial" w:hAnsi="Arial" w:cs="Arial"/>
                <w:sz w:val="18"/>
                <w:szCs w:val="18"/>
                <w:lang w:val="de-DE"/>
              </w:rPr>
              <w:t>6,3</w:t>
            </w:r>
          </w:p>
        </w:tc>
        <w:tc>
          <w:tcPr>
            <w:tcW w:w="1058" w:type="dxa"/>
            <w:vAlign w:val="center"/>
          </w:tcPr>
          <w:p w:rsidR="009E4727" w:rsidRPr="009E4727" w:rsidRDefault="009E4727" w:rsidP="00A158F3">
            <w:pPr>
              <w:pStyle w:val="TableParagraph"/>
              <w:spacing w:before="78"/>
              <w:ind w:left="122" w:right="112"/>
              <w:jc w:val="right"/>
              <w:rPr>
                <w:rFonts w:ascii="Arial" w:hAnsi="Arial" w:cs="Arial"/>
                <w:sz w:val="18"/>
                <w:szCs w:val="18"/>
                <w:lang w:val="de-DE"/>
              </w:rPr>
            </w:pPr>
            <w:r w:rsidRPr="009E4727">
              <w:rPr>
                <w:rFonts w:ascii="Arial" w:hAnsi="Arial" w:cs="Arial"/>
                <w:sz w:val="18"/>
                <w:szCs w:val="18"/>
                <w:lang w:val="de-DE"/>
              </w:rPr>
              <w:t>8,1</w:t>
            </w:r>
          </w:p>
        </w:tc>
        <w:tc>
          <w:tcPr>
            <w:tcW w:w="1059" w:type="dxa"/>
            <w:vAlign w:val="center"/>
          </w:tcPr>
          <w:p w:rsidR="009E4727" w:rsidRPr="009E4727" w:rsidRDefault="009E4727" w:rsidP="00A158F3">
            <w:pPr>
              <w:pStyle w:val="TableParagraph"/>
              <w:spacing w:before="78"/>
              <w:ind w:left="11"/>
              <w:jc w:val="right"/>
              <w:rPr>
                <w:rFonts w:ascii="Arial" w:hAnsi="Arial" w:cs="Arial"/>
                <w:sz w:val="18"/>
                <w:szCs w:val="18"/>
                <w:lang w:val="de-DE"/>
              </w:rPr>
            </w:pPr>
            <w:r w:rsidRPr="009E4727">
              <w:rPr>
                <w:rFonts w:ascii="Arial" w:hAnsi="Arial" w:cs="Arial"/>
                <w:sz w:val="18"/>
                <w:szCs w:val="18"/>
                <w:lang w:val="de-DE"/>
              </w:rPr>
              <w:t>2</w:t>
            </w:r>
          </w:p>
        </w:tc>
        <w:tc>
          <w:tcPr>
            <w:tcW w:w="1058" w:type="dxa"/>
            <w:vAlign w:val="center"/>
          </w:tcPr>
          <w:p w:rsidR="009E4727" w:rsidRPr="009E4727" w:rsidRDefault="009E4727" w:rsidP="00A158F3">
            <w:pPr>
              <w:pStyle w:val="TableParagraph"/>
              <w:spacing w:before="78"/>
              <w:jc w:val="right"/>
              <w:rPr>
                <w:rFonts w:ascii="Arial" w:hAnsi="Arial" w:cs="Arial"/>
                <w:sz w:val="18"/>
                <w:szCs w:val="18"/>
                <w:lang w:val="de-DE"/>
              </w:rPr>
            </w:pPr>
            <w:r w:rsidRPr="009E4727">
              <w:rPr>
                <w:rFonts w:ascii="Arial" w:hAnsi="Arial" w:cs="Arial"/>
                <w:sz w:val="18"/>
                <w:szCs w:val="18"/>
                <w:lang w:val="de-DE"/>
              </w:rPr>
              <w:t>2</w:t>
            </w:r>
          </w:p>
        </w:tc>
        <w:tc>
          <w:tcPr>
            <w:tcW w:w="1059" w:type="dxa"/>
            <w:vAlign w:val="center"/>
          </w:tcPr>
          <w:p w:rsidR="009E4727" w:rsidRPr="009E4727" w:rsidRDefault="009E4727" w:rsidP="00A158F3">
            <w:pPr>
              <w:pStyle w:val="TableParagraph"/>
              <w:spacing w:before="78"/>
              <w:jc w:val="right"/>
              <w:rPr>
                <w:rFonts w:ascii="Arial" w:hAnsi="Arial" w:cs="Arial"/>
                <w:sz w:val="18"/>
                <w:szCs w:val="18"/>
                <w:lang w:val="de-DE"/>
              </w:rPr>
            </w:pPr>
            <w:r w:rsidRPr="009E4727">
              <w:rPr>
                <w:rFonts w:ascii="Arial" w:hAnsi="Arial" w:cs="Arial"/>
                <w:sz w:val="18"/>
                <w:szCs w:val="18"/>
                <w:lang w:val="de-DE"/>
              </w:rPr>
              <w:t>0</w:t>
            </w:r>
          </w:p>
        </w:tc>
      </w:tr>
      <w:tr w:rsidR="009E4727" w:rsidRPr="009E4727" w:rsidTr="00A158F3">
        <w:trPr>
          <w:trHeight w:val="400"/>
          <w:jc w:val="center"/>
        </w:trPr>
        <w:tc>
          <w:tcPr>
            <w:tcW w:w="2689" w:type="dxa"/>
            <w:vAlign w:val="center"/>
          </w:tcPr>
          <w:p w:rsidR="009E4727" w:rsidRPr="009E4727" w:rsidRDefault="009E4727" w:rsidP="00A158F3">
            <w:pPr>
              <w:pStyle w:val="TableParagraph"/>
              <w:spacing w:before="0"/>
              <w:ind w:left="0"/>
              <w:rPr>
                <w:rFonts w:ascii="Arial" w:hAnsi="Arial" w:cs="Arial"/>
                <w:sz w:val="18"/>
                <w:szCs w:val="18"/>
                <w:lang w:val="de-DE"/>
              </w:rPr>
            </w:pPr>
            <w:r w:rsidRPr="009E4727">
              <w:rPr>
                <w:rFonts w:ascii="Arial" w:hAnsi="Arial" w:cs="Arial"/>
                <w:sz w:val="18"/>
                <w:szCs w:val="18"/>
                <w:lang w:val="de-DE"/>
              </w:rPr>
              <w:t>Holzkirchen</w:t>
            </w:r>
          </w:p>
        </w:tc>
        <w:tc>
          <w:tcPr>
            <w:tcW w:w="1058" w:type="dxa"/>
            <w:vAlign w:val="center"/>
          </w:tcPr>
          <w:p w:rsidR="009E4727" w:rsidRPr="009E4727" w:rsidRDefault="009E4727" w:rsidP="00A158F3">
            <w:pPr>
              <w:pStyle w:val="TableParagraph"/>
              <w:ind w:left="121" w:right="112"/>
              <w:jc w:val="right"/>
              <w:rPr>
                <w:rFonts w:ascii="Arial" w:hAnsi="Arial" w:cs="Arial"/>
                <w:sz w:val="18"/>
                <w:szCs w:val="18"/>
                <w:lang w:val="de-DE"/>
              </w:rPr>
            </w:pPr>
            <w:r w:rsidRPr="009E4727">
              <w:rPr>
                <w:rFonts w:ascii="Arial" w:hAnsi="Arial" w:cs="Arial"/>
                <w:sz w:val="18"/>
                <w:szCs w:val="18"/>
                <w:lang w:val="de-DE"/>
              </w:rPr>
              <w:t>8,6</w:t>
            </w:r>
          </w:p>
        </w:tc>
        <w:tc>
          <w:tcPr>
            <w:tcW w:w="1058" w:type="dxa"/>
            <w:vAlign w:val="center"/>
          </w:tcPr>
          <w:p w:rsidR="009E4727" w:rsidRPr="009E4727" w:rsidRDefault="009E4727" w:rsidP="00A158F3">
            <w:pPr>
              <w:pStyle w:val="TableParagraph"/>
              <w:ind w:left="122" w:right="112"/>
              <w:jc w:val="right"/>
              <w:rPr>
                <w:rFonts w:ascii="Arial" w:hAnsi="Arial" w:cs="Arial"/>
                <w:sz w:val="18"/>
                <w:szCs w:val="18"/>
                <w:lang w:val="de-DE"/>
              </w:rPr>
            </w:pPr>
            <w:r w:rsidRPr="009E4727">
              <w:rPr>
                <w:rFonts w:ascii="Arial" w:hAnsi="Arial" w:cs="Arial"/>
                <w:sz w:val="18"/>
                <w:szCs w:val="18"/>
                <w:lang w:val="de-DE"/>
              </w:rPr>
              <w:t>11,8</w:t>
            </w:r>
          </w:p>
        </w:tc>
        <w:tc>
          <w:tcPr>
            <w:tcW w:w="1059" w:type="dxa"/>
            <w:vAlign w:val="center"/>
          </w:tcPr>
          <w:p w:rsidR="009E4727" w:rsidRPr="009E4727" w:rsidRDefault="009E4727" w:rsidP="00A158F3">
            <w:pPr>
              <w:pStyle w:val="TableParagraph"/>
              <w:ind w:left="11"/>
              <w:jc w:val="right"/>
              <w:rPr>
                <w:rFonts w:ascii="Arial" w:hAnsi="Arial" w:cs="Arial"/>
                <w:sz w:val="18"/>
                <w:szCs w:val="18"/>
                <w:lang w:val="de-DE"/>
              </w:rPr>
            </w:pPr>
            <w:r w:rsidRPr="009E4727">
              <w:rPr>
                <w:rFonts w:ascii="Arial" w:hAnsi="Arial" w:cs="Arial"/>
                <w:sz w:val="18"/>
                <w:szCs w:val="18"/>
                <w:lang w:val="de-DE"/>
              </w:rPr>
              <w:t>2</w:t>
            </w:r>
          </w:p>
        </w:tc>
        <w:tc>
          <w:tcPr>
            <w:tcW w:w="1058" w:type="dxa"/>
            <w:vAlign w:val="center"/>
          </w:tcPr>
          <w:p w:rsidR="009E4727" w:rsidRPr="009E4727" w:rsidRDefault="009E4727" w:rsidP="00A158F3">
            <w:pPr>
              <w:pStyle w:val="TableParagraph"/>
              <w:jc w:val="right"/>
              <w:rPr>
                <w:rFonts w:ascii="Arial" w:hAnsi="Arial" w:cs="Arial"/>
                <w:sz w:val="18"/>
                <w:szCs w:val="18"/>
                <w:lang w:val="de-DE"/>
              </w:rPr>
            </w:pPr>
            <w:r w:rsidRPr="009E4727">
              <w:rPr>
                <w:rFonts w:ascii="Arial" w:hAnsi="Arial" w:cs="Arial"/>
                <w:sz w:val="18"/>
                <w:szCs w:val="18"/>
                <w:lang w:val="de-DE"/>
              </w:rPr>
              <w:t>3</w:t>
            </w:r>
          </w:p>
        </w:tc>
        <w:tc>
          <w:tcPr>
            <w:tcW w:w="1059" w:type="dxa"/>
            <w:vAlign w:val="center"/>
          </w:tcPr>
          <w:p w:rsidR="009E4727" w:rsidRPr="009E4727" w:rsidRDefault="009E4727" w:rsidP="00A158F3">
            <w:pPr>
              <w:pStyle w:val="TableParagraph"/>
              <w:jc w:val="right"/>
              <w:rPr>
                <w:rFonts w:ascii="Arial" w:hAnsi="Arial" w:cs="Arial"/>
                <w:sz w:val="18"/>
                <w:szCs w:val="18"/>
                <w:lang w:val="de-DE"/>
              </w:rPr>
            </w:pPr>
            <w:r w:rsidRPr="009E4727">
              <w:rPr>
                <w:rFonts w:ascii="Arial" w:hAnsi="Arial" w:cs="Arial"/>
                <w:sz w:val="18"/>
                <w:szCs w:val="18"/>
                <w:lang w:val="de-DE"/>
              </w:rPr>
              <w:t>1</w:t>
            </w:r>
          </w:p>
        </w:tc>
      </w:tr>
      <w:tr w:rsidR="009E4727" w:rsidRPr="009E4727" w:rsidTr="00A158F3">
        <w:trPr>
          <w:trHeight w:val="384"/>
          <w:jc w:val="center"/>
        </w:trPr>
        <w:tc>
          <w:tcPr>
            <w:tcW w:w="2689" w:type="dxa"/>
            <w:vAlign w:val="center"/>
          </w:tcPr>
          <w:p w:rsidR="009E4727" w:rsidRPr="009E4727" w:rsidRDefault="009E4727" w:rsidP="00A158F3">
            <w:pPr>
              <w:pStyle w:val="TableParagraph"/>
              <w:spacing w:before="0"/>
              <w:ind w:left="0"/>
              <w:rPr>
                <w:rFonts w:ascii="Arial" w:hAnsi="Arial" w:cs="Arial"/>
                <w:sz w:val="18"/>
                <w:szCs w:val="18"/>
                <w:lang w:val="de-DE"/>
              </w:rPr>
            </w:pPr>
            <w:r w:rsidRPr="009E4727">
              <w:rPr>
                <w:rFonts w:ascii="Arial" w:hAnsi="Arial" w:cs="Arial"/>
                <w:sz w:val="18"/>
                <w:szCs w:val="18"/>
                <w:lang w:val="de-DE"/>
              </w:rPr>
              <w:lastRenderedPageBreak/>
              <w:t>Ingolstadt-Pfaffenhofen a.d.Ilm</w:t>
            </w:r>
          </w:p>
        </w:tc>
        <w:tc>
          <w:tcPr>
            <w:tcW w:w="1058" w:type="dxa"/>
            <w:vAlign w:val="center"/>
          </w:tcPr>
          <w:p w:rsidR="009E4727" w:rsidRPr="009E4727" w:rsidRDefault="009E4727" w:rsidP="00A158F3">
            <w:pPr>
              <w:pStyle w:val="TableParagraph"/>
              <w:ind w:left="121" w:right="112"/>
              <w:jc w:val="right"/>
              <w:rPr>
                <w:rFonts w:ascii="Arial" w:hAnsi="Arial" w:cs="Arial"/>
                <w:sz w:val="18"/>
                <w:szCs w:val="18"/>
                <w:lang w:val="de-DE"/>
              </w:rPr>
            </w:pPr>
            <w:r w:rsidRPr="009E4727">
              <w:rPr>
                <w:rFonts w:ascii="Arial" w:hAnsi="Arial" w:cs="Arial"/>
                <w:sz w:val="18"/>
                <w:szCs w:val="18"/>
                <w:lang w:val="de-DE"/>
              </w:rPr>
              <w:t>13,1</w:t>
            </w:r>
          </w:p>
        </w:tc>
        <w:tc>
          <w:tcPr>
            <w:tcW w:w="1058" w:type="dxa"/>
            <w:vAlign w:val="center"/>
          </w:tcPr>
          <w:p w:rsidR="009E4727" w:rsidRPr="009E4727" w:rsidRDefault="009E4727" w:rsidP="00A158F3">
            <w:pPr>
              <w:pStyle w:val="TableParagraph"/>
              <w:ind w:left="122" w:right="112"/>
              <w:jc w:val="right"/>
              <w:rPr>
                <w:rFonts w:ascii="Arial" w:hAnsi="Arial" w:cs="Arial"/>
                <w:sz w:val="18"/>
                <w:szCs w:val="18"/>
                <w:lang w:val="de-DE"/>
              </w:rPr>
            </w:pPr>
            <w:r w:rsidRPr="009E4727">
              <w:rPr>
                <w:rFonts w:ascii="Arial" w:hAnsi="Arial" w:cs="Arial"/>
                <w:sz w:val="18"/>
                <w:szCs w:val="18"/>
                <w:lang w:val="de-DE"/>
              </w:rPr>
              <w:t>14,5</w:t>
            </w:r>
          </w:p>
        </w:tc>
        <w:tc>
          <w:tcPr>
            <w:tcW w:w="1059" w:type="dxa"/>
            <w:vAlign w:val="center"/>
          </w:tcPr>
          <w:p w:rsidR="009E4727" w:rsidRPr="009E4727" w:rsidRDefault="009E4727" w:rsidP="00A158F3">
            <w:pPr>
              <w:pStyle w:val="TableParagraph"/>
              <w:ind w:left="12"/>
              <w:jc w:val="right"/>
              <w:rPr>
                <w:rFonts w:ascii="Arial" w:hAnsi="Arial" w:cs="Arial"/>
                <w:sz w:val="18"/>
                <w:szCs w:val="18"/>
                <w:lang w:val="de-DE"/>
              </w:rPr>
            </w:pPr>
            <w:r w:rsidRPr="009E4727">
              <w:rPr>
                <w:rFonts w:ascii="Arial" w:hAnsi="Arial" w:cs="Arial"/>
                <w:sz w:val="18"/>
                <w:szCs w:val="18"/>
                <w:lang w:val="de-DE"/>
              </w:rPr>
              <w:t>4</w:t>
            </w:r>
          </w:p>
        </w:tc>
        <w:tc>
          <w:tcPr>
            <w:tcW w:w="1058" w:type="dxa"/>
            <w:vAlign w:val="center"/>
          </w:tcPr>
          <w:p w:rsidR="009E4727" w:rsidRPr="009E4727" w:rsidRDefault="009E4727" w:rsidP="00A158F3">
            <w:pPr>
              <w:pStyle w:val="TableParagraph"/>
              <w:ind w:left="14"/>
              <w:jc w:val="right"/>
              <w:rPr>
                <w:rFonts w:ascii="Arial" w:hAnsi="Arial" w:cs="Arial"/>
                <w:sz w:val="18"/>
                <w:szCs w:val="18"/>
                <w:lang w:val="de-DE"/>
              </w:rPr>
            </w:pPr>
            <w:r w:rsidRPr="009E4727">
              <w:rPr>
                <w:rFonts w:ascii="Arial" w:hAnsi="Arial" w:cs="Arial"/>
                <w:sz w:val="18"/>
                <w:szCs w:val="18"/>
                <w:lang w:val="de-DE"/>
              </w:rPr>
              <w:t>3</w:t>
            </w:r>
          </w:p>
        </w:tc>
        <w:tc>
          <w:tcPr>
            <w:tcW w:w="1059" w:type="dxa"/>
            <w:vAlign w:val="center"/>
          </w:tcPr>
          <w:p w:rsidR="009E4727" w:rsidRPr="009E4727" w:rsidRDefault="009E4727" w:rsidP="00A158F3">
            <w:pPr>
              <w:pStyle w:val="TableParagraph"/>
              <w:ind w:left="125" w:right="111"/>
              <w:jc w:val="right"/>
              <w:rPr>
                <w:rFonts w:ascii="Arial" w:hAnsi="Arial" w:cs="Arial"/>
                <w:sz w:val="18"/>
                <w:szCs w:val="18"/>
                <w:lang w:val="de-DE"/>
              </w:rPr>
            </w:pPr>
            <w:r w:rsidRPr="009E4727">
              <w:rPr>
                <w:rFonts w:ascii="Arial" w:hAnsi="Arial" w:cs="Arial"/>
                <w:sz w:val="18"/>
                <w:szCs w:val="18"/>
                <w:lang w:val="de-DE"/>
              </w:rPr>
              <w:t>-1</w:t>
            </w:r>
          </w:p>
        </w:tc>
      </w:tr>
      <w:tr w:rsidR="009E4727" w:rsidRPr="009E4727" w:rsidTr="00A158F3">
        <w:trPr>
          <w:trHeight w:val="399"/>
          <w:jc w:val="center"/>
        </w:trPr>
        <w:tc>
          <w:tcPr>
            <w:tcW w:w="2689" w:type="dxa"/>
            <w:vAlign w:val="center"/>
          </w:tcPr>
          <w:p w:rsidR="009E4727" w:rsidRPr="009E4727" w:rsidRDefault="009E4727" w:rsidP="00A158F3">
            <w:pPr>
              <w:pStyle w:val="TableParagraph"/>
              <w:spacing w:before="0"/>
              <w:ind w:left="0"/>
              <w:rPr>
                <w:rFonts w:ascii="Arial" w:hAnsi="Arial" w:cs="Arial"/>
                <w:sz w:val="18"/>
                <w:szCs w:val="18"/>
                <w:lang w:val="de-DE"/>
              </w:rPr>
            </w:pPr>
            <w:r w:rsidRPr="009E4727">
              <w:rPr>
                <w:rFonts w:ascii="Arial" w:hAnsi="Arial" w:cs="Arial"/>
                <w:sz w:val="18"/>
                <w:szCs w:val="18"/>
                <w:lang w:val="de-DE"/>
              </w:rPr>
              <w:t>Rosenheim</w:t>
            </w:r>
          </w:p>
        </w:tc>
        <w:tc>
          <w:tcPr>
            <w:tcW w:w="1058" w:type="dxa"/>
            <w:vAlign w:val="center"/>
          </w:tcPr>
          <w:p w:rsidR="009E4727" w:rsidRPr="009E4727" w:rsidRDefault="009E4727" w:rsidP="00A158F3">
            <w:pPr>
              <w:pStyle w:val="TableParagraph"/>
              <w:ind w:left="121" w:right="112"/>
              <w:jc w:val="right"/>
              <w:rPr>
                <w:rFonts w:ascii="Arial" w:hAnsi="Arial" w:cs="Arial"/>
                <w:sz w:val="18"/>
                <w:szCs w:val="18"/>
                <w:lang w:val="de-DE"/>
              </w:rPr>
            </w:pPr>
            <w:r w:rsidRPr="009E4727">
              <w:rPr>
                <w:rFonts w:ascii="Arial" w:hAnsi="Arial" w:cs="Arial"/>
                <w:sz w:val="18"/>
                <w:szCs w:val="18"/>
                <w:lang w:val="de-DE"/>
              </w:rPr>
              <w:t>9,3</w:t>
            </w:r>
          </w:p>
        </w:tc>
        <w:tc>
          <w:tcPr>
            <w:tcW w:w="1058" w:type="dxa"/>
            <w:vAlign w:val="center"/>
          </w:tcPr>
          <w:p w:rsidR="009E4727" w:rsidRPr="009E4727" w:rsidRDefault="009E4727" w:rsidP="00A158F3">
            <w:pPr>
              <w:pStyle w:val="TableParagraph"/>
              <w:ind w:left="122" w:right="112"/>
              <w:jc w:val="right"/>
              <w:rPr>
                <w:rFonts w:ascii="Arial" w:hAnsi="Arial" w:cs="Arial"/>
                <w:sz w:val="18"/>
                <w:szCs w:val="18"/>
                <w:lang w:val="de-DE"/>
              </w:rPr>
            </w:pPr>
            <w:r w:rsidRPr="009E4727">
              <w:rPr>
                <w:rFonts w:ascii="Arial" w:hAnsi="Arial" w:cs="Arial"/>
                <w:sz w:val="18"/>
                <w:szCs w:val="18"/>
                <w:lang w:val="de-DE"/>
              </w:rPr>
              <w:t>9,3</w:t>
            </w:r>
          </w:p>
        </w:tc>
        <w:tc>
          <w:tcPr>
            <w:tcW w:w="1059" w:type="dxa"/>
            <w:vAlign w:val="center"/>
          </w:tcPr>
          <w:p w:rsidR="009E4727" w:rsidRPr="009E4727" w:rsidRDefault="009E4727" w:rsidP="00A158F3">
            <w:pPr>
              <w:pStyle w:val="TableParagraph"/>
              <w:ind w:left="11"/>
              <w:jc w:val="right"/>
              <w:rPr>
                <w:rFonts w:ascii="Arial" w:hAnsi="Arial" w:cs="Arial"/>
                <w:sz w:val="18"/>
                <w:szCs w:val="18"/>
                <w:lang w:val="de-DE"/>
              </w:rPr>
            </w:pPr>
            <w:r w:rsidRPr="009E4727">
              <w:rPr>
                <w:rFonts w:ascii="Arial" w:hAnsi="Arial" w:cs="Arial"/>
                <w:sz w:val="18"/>
                <w:szCs w:val="18"/>
                <w:lang w:val="de-DE"/>
              </w:rPr>
              <w:t>1</w:t>
            </w:r>
          </w:p>
        </w:tc>
        <w:tc>
          <w:tcPr>
            <w:tcW w:w="1058" w:type="dxa"/>
            <w:vAlign w:val="center"/>
          </w:tcPr>
          <w:p w:rsidR="009E4727" w:rsidRPr="009E4727" w:rsidRDefault="009E4727" w:rsidP="00A158F3">
            <w:pPr>
              <w:pStyle w:val="TableParagraph"/>
              <w:jc w:val="right"/>
              <w:rPr>
                <w:rFonts w:ascii="Arial" w:hAnsi="Arial" w:cs="Arial"/>
                <w:sz w:val="18"/>
                <w:szCs w:val="18"/>
                <w:lang w:val="de-DE"/>
              </w:rPr>
            </w:pPr>
            <w:r w:rsidRPr="009E4727">
              <w:rPr>
                <w:rFonts w:ascii="Arial" w:hAnsi="Arial" w:cs="Arial"/>
                <w:sz w:val="18"/>
                <w:szCs w:val="18"/>
                <w:lang w:val="de-DE"/>
              </w:rPr>
              <w:t>2</w:t>
            </w:r>
          </w:p>
        </w:tc>
        <w:tc>
          <w:tcPr>
            <w:tcW w:w="1059" w:type="dxa"/>
            <w:vAlign w:val="center"/>
          </w:tcPr>
          <w:p w:rsidR="009E4727" w:rsidRPr="009E4727" w:rsidRDefault="009E4727" w:rsidP="00A158F3">
            <w:pPr>
              <w:pStyle w:val="TableParagraph"/>
              <w:jc w:val="right"/>
              <w:rPr>
                <w:rFonts w:ascii="Arial" w:hAnsi="Arial" w:cs="Arial"/>
                <w:sz w:val="18"/>
                <w:szCs w:val="18"/>
                <w:lang w:val="de-DE"/>
              </w:rPr>
            </w:pPr>
            <w:r w:rsidRPr="009E4727">
              <w:rPr>
                <w:rFonts w:ascii="Arial" w:hAnsi="Arial" w:cs="Arial"/>
                <w:sz w:val="18"/>
                <w:szCs w:val="18"/>
                <w:lang w:val="de-DE"/>
              </w:rPr>
              <w:t>1</w:t>
            </w:r>
          </w:p>
        </w:tc>
      </w:tr>
      <w:tr w:rsidR="009E4727" w:rsidRPr="009E4727" w:rsidTr="00A158F3">
        <w:trPr>
          <w:trHeight w:val="400"/>
          <w:jc w:val="center"/>
        </w:trPr>
        <w:tc>
          <w:tcPr>
            <w:tcW w:w="2689" w:type="dxa"/>
            <w:vAlign w:val="center"/>
          </w:tcPr>
          <w:p w:rsidR="009E4727" w:rsidRPr="009E4727" w:rsidRDefault="009E4727" w:rsidP="00A158F3">
            <w:pPr>
              <w:pStyle w:val="TableParagraph"/>
              <w:spacing w:before="0"/>
              <w:ind w:left="0"/>
              <w:rPr>
                <w:rFonts w:ascii="Arial" w:hAnsi="Arial" w:cs="Arial"/>
                <w:sz w:val="18"/>
                <w:szCs w:val="18"/>
                <w:lang w:val="de-DE"/>
              </w:rPr>
            </w:pPr>
            <w:r w:rsidRPr="009E4727">
              <w:rPr>
                <w:rFonts w:ascii="Arial" w:hAnsi="Arial" w:cs="Arial"/>
                <w:sz w:val="18"/>
                <w:szCs w:val="18"/>
                <w:lang w:val="de-DE"/>
              </w:rPr>
              <w:t>Töging a.Inn</w:t>
            </w:r>
          </w:p>
        </w:tc>
        <w:tc>
          <w:tcPr>
            <w:tcW w:w="1058" w:type="dxa"/>
            <w:vAlign w:val="center"/>
          </w:tcPr>
          <w:p w:rsidR="009E4727" w:rsidRPr="009E4727" w:rsidRDefault="009E4727" w:rsidP="00A158F3">
            <w:pPr>
              <w:pStyle w:val="TableParagraph"/>
              <w:spacing w:before="78"/>
              <w:ind w:left="121" w:right="112"/>
              <w:jc w:val="right"/>
              <w:rPr>
                <w:rFonts w:ascii="Arial" w:hAnsi="Arial" w:cs="Arial"/>
                <w:sz w:val="18"/>
                <w:szCs w:val="18"/>
                <w:lang w:val="de-DE"/>
              </w:rPr>
            </w:pPr>
            <w:r w:rsidRPr="009E4727">
              <w:rPr>
                <w:rFonts w:ascii="Arial" w:hAnsi="Arial" w:cs="Arial"/>
                <w:sz w:val="18"/>
                <w:szCs w:val="18"/>
                <w:lang w:val="de-DE"/>
              </w:rPr>
              <w:t>7,4</w:t>
            </w:r>
          </w:p>
        </w:tc>
        <w:tc>
          <w:tcPr>
            <w:tcW w:w="1058" w:type="dxa"/>
            <w:vAlign w:val="center"/>
          </w:tcPr>
          <w:p w:rsidR="009E4727" w:rsidRPr="009E4727" w:rsidRDefault="009E4727" w:rsidP="00A158F3">
            <w:pPr>
              <w:pStyle w:val="TableParagraph"/>
              <w:spacing w:before="78"/>
              <w:ind w:left="122" w:right="112"/>
              <w:jc w:val="right"/>
              <w:rPr>
                <w:rFonts w:ascii="Arial" w:hAnsi="Arial" w:cs="Arial"/>
                <w:sz w:val="18"/>
                <w:szCs w:val="18"/>
                <w:lang w:val="de-DE"/>
              </w:rPr>
            </w:pPr>
            <w:r w:rsidRPr="009E4727">
              <w:rPr>
                <w:rFonts w:ascii="Arial" w:hAnsi="Arial" w:cs="Arial"/>
                <w:sz w:val="18"/>
                <w:szCs w:val="18"/>
                <w:lang w:val="de-DE"/>
              </w:rPr>
              <w:t>5,9</w:t>
            </w:r>
          </w:p>
        </w:tc>
        <w:tc>
          <w:tcPr>
            <w:tcW w:w="1059" w:type="dxa"/>
            <w:vAlign w:val="center"/>
          </w:tcPr>
          <w:p w:rsidR="009E4727" w:rsidRPr="009E4727" w:rsidRDefault="009E4727" w:rsidP="00A158F3">
            <w:pPr>
              <w:pStyle w:val="TableParagraph"/>
              <w:spacing w:before="78"/>
              <w:ind w:left="11"/>
              <w:jc w:val="right"/>
              <w:rPr>
                <w:rFonts w:ascii="Arial" w:hAnsi="Arial" w:cs="Arial"/>
                <w:sz w:val="18"/>
                <w:szCs w:val="18"/>
                <w:lang w:val="de-DE"/>
              </w:rPr>
            </w:pPr>
            <w:r w:rsidRPr="009E4727">
              <w:rPr>
                <w:rFonts w:ascii="Arial" w:hAnsi="Arial" w:cs="Arial"/>
                <w:sz w:val="18"/>
                <w:szCs w:val="18"/>
                <w:lang w:val="de-DE"/>
              </w:rPr>
              <w:t>3</w:t>
            </w:r>
          </w:p>
        </w:tc>
        <w:tc>
          <w:tcPr>
            <w:tcW w:w="1058" w:type="dxa"/>
            <w:vAlign w:val="center"/>
          </w:tcPr>
          <w:p w:rsidR="009E4727" w:rsidRPr="009E4727" w:rsidRDefault="009E4727" w:rsidP="00A158F3">
            <w:pPr>
              <w:pStyle w:val="TableParagraph"/>
              <w:spacing w:before="78"/>
              <w:jc w:val="right"/>
              <w:rPr>
                <w:rFonts w:ascii="Arial" w:hAnsi="Arial" w:cs="Arial"/>
                <w:sz w:val="18"/>
                <w:szCs w:val="18"/>
                <w:lang w:val="de-DE"/>
              </w:rPr>
            </w:pPr>
            <w:r w:rsidRPr="009E4727">
              <w:rPr>
                <w:rFonts w:ascii="Arial" w:hAnsi="Arial" w:cs="Arial"/>
                <w:sz w:val="18"/>
                <w:szCs w:val="18"/>
                <w:lang w:val="de-DE"/>
              </w:rPr>
              <w:t>2</w:t>
            </w:r>
          </w:p>
        </w:tc>
        <w:tc>
          <w:tcPr>
            <w:tcW w:w="1059" w:type="dxa"/>
            <w:vAlign w:val="center"/>
          </w:tcPr>
          <w:p w:rsidR="009E4727" w:rsidRPr="009E4727" w:rsidRDefault="009E4727" w:rsidP="00A158F3">
            <w:pPr>
              <w:pStyle w:val="TableParagraph"/>
              <w:spacing w:before="78"/>
              <w:ind w:left="125" w:right="112"/>
              <w:jc w:val="right"/>
              <w:rPr>
                <w:rFonts w:ascii="Arial" w:hAnsi="Arial" w:cs="Arial"/>
                <w:sz w:val="18"/>
                <w:szCs w:val="18"/>
                <w:lang w:val="de-DE"/>
              </w:rPr>
            </w:pPr>
            <w:r w:rsidRPr="009E4727">
              <w:rPr>
                <w:rFonts w:ascii="Arial" w:hAnsi="Arial" w:cs="Arial"/>
                <w:sz w:val="18"/>
                <w:szCs w:val="18"/>
                <w:lang w:val="de-DE"/>
              </w:rPr>
              <w:t>-1</w:t>
            </w:r>
          </w:p>
        </w:tc>
      </w:tr>
      <w:tr w:rsidR="009E4727" w:rsidRPr="009E4727" w:rsidTr="00A158F3">
        <w:trPr>
          <w:trHeight w:val="400"/>
          <w:jc w:val="center"/>
        </w:trPr>
        <w:tc>
          <w:tcPr>
            <w:tcW w:w="2689" w:type="dxa"/>
            <w:vAlign w:val="center"/>
          </w:tcPr>
          <w:p w:rsidR="009E4727" w:rsidRPr="009E4727" w:rsidRDefault="009E4727" w:rsidP="00A158F3">
            <w:pPr>
              <w:pStyle w:val="TableParagraph"/>
              <w:spacing w:before="0"/>
              <w:ind w:left="0"/>
              <w:rPr>
                <w:rFonts w:ascii="Arial" w:hAnsi="Arial" w:cs="Arial"/>
                <w:sz w:val="18"/>
                <w:szCs w:val="18"/>
                <w:lang w:val="de-DE"/>
              </w:rPr>
            </w:pPr>
            <w:r w:rsidRPr="009E4727">
              <w:rPr>
                <w:rFonts w:ascii="Arial" w:hAnsi="Arial" w:cs="Arial"/>
                <w:sz w:val="18"/>
                <w:szCs w:val="18"/>
                <w:lang w:val="de-DE"/>
              </w:rPr>
              <w:t>Traunstein</w:t>
            </w:r>
          </w:p>
        </w:tc>
        <w:tc>
          <w:tcPr>
            <w:tcW w:w="1058" w:type="dxa"/>
            <w:vAlign w:val="center"/>
          </w:tcPr>
          <w:p w:rsidR="009E4727" w:rsidRPr="009E4727" w:rsidRDefault="009E4727" w:rsidP="00A158F3">
            <w:pPr>
              <w:pStyle w:val="TableParagraph"/>
              <w:ind w:left="121" w:right="112"/>
              <w:jc w:val="right"/>
              <w:rPr>
                <w:rFonts w:ascii="Arial" w:hAnsi="Arial" w:cs="Arial"/>
                <w:sz w:val="18"/>
                <w:szCs w:val="18"/>
                <w:lang w:val="de-DE"/>
              </w:rPr>
            </w:pPr>
            <w:r w:rsidRPr="009E4727">
              <w:rPr>
                <w:rFonts w:ascii="Arial" w:hAnsi="Arial" w:cs="Arial"/>
                <w:sz w:val="18"/>
                <w:szCs w:val="18"/>
                <w:lang w:val="de-DE"/>
              </w:rPr>
              <w:t>10,6</w:t>
            </w:r>
          </w:p>
        </w:tc>
        <w:tc>
          <w:tcPr>
            <w:tcW w:w="1058" w:type="dxa"/>
            <w:vAlign w:val="center"/>
          </w:tcPr>
          <w:p w:rsidR="009E4727" w:rsidRPr="009E4727" w:rsidRDefault="009E4727" w:rsidP="00A158F3">
            <w:pPr>
              <w:pStyle w:val="TableParagraph"/>
              <w:ind w:left="122" w:right="112"/>
              <w:jc w:val="right"/>
              <w:rPr>
                <w:rFonts w:ascii="Arial" w:hAnsi="Arial" w:cs="Arial"/>
                <w:sz w:val="18"/>
                <w:szCs w:val="18"/>
                <w:lang w:val="de-DE"/>
              </w:rPr>
            </w:pPr>
            <w:r w:rsidRPr="009E4727">
              <w:rPr>
                <w:rFonts w:ascii="Arial" w:hAnsi="Arial" w:cs="Arial"/>
                <w:sz w:val="18"/>
                <w:szCs w:val="18"/>
                <w:lang w:val="de-DE"/>
              </w:rPr>
              <w:t>12,0</w:t>
            </w:r>
          </w:p>
        </w:tc>
        <w:tc>
          <w:tcPr>
            <w:tcW w:w="1059" w:type="dxa"/>
            <w:vAlign w:val="center"/>
          </w:tcPr>
          <w:p w:rsidR="009E4727" w:rsidRPr="009E4727" w:rsidRDefault="009E4727" w:rsidP="00A158F3">
            <w:pPr>
              <w:pStyle w:val="TableParagraph"/>
              <w:ind w:left="11"/>
              <w:jc w:val="right"/>
              <w:rPr>
                <w:rFonts w:ascii="Arial" w:hAnsi="Arial" w:cs="Arial"/>
                <w:sz w:val="18"/>
                <w:szCs w:val="18"/>
                <w:lang w:val="de-DE"/>
              </w:rPr>
            </w:pPr>
            <w:r w:rsidRPr="009E4727">
              <w:rPr>
                <w:rFonts w:ascii="Arial" w:hAnsi="Arial" w:cs="Arial"/>
                <w:sz w:val="18"/>
                <w:szCs w:val="18"/>
                <w:lang w:val="de-DE"/>
              </w:rPr>
              <w:t>2</w:t>
            </w:r>
          </w:p>
        </w:tc>
        <w:tc>
          <w:tcPr>
            <w:tcW w:w="1058" w:type="dxa"/>
            <w:vAlign w:val="center"/>
          </w:tcPr>
          <w:p w:rsidR="009E4727" w:rsidRPr="009E4727" w:rsidRDefault="009E4727" w:rsidP="00A158F3">
            <w:pPr>
              <w:pStyle w:val="TableParagraph"/>
              <w:jc w:val="right"/>
              <w:rPr>
                <w:rFonts w:ascii="Arial" w:hAnsi="Arial" w:cs="Arial"/>
                <w:sz w:val="18"/>
                <w:szCs w:val="18"/>
                <w:lang w:val="de-DE"/>
              </w:rPr>
            </w:pPr>
            <w:r w:rsidRPr="009E4727">
              <w:rPr>
                <w:rFonts w:ascii="Arial" w:hAnsi="Arial" w:cs="Arial"/>
                <w:sz w:val="18"/>
                <w:szCs w:val="18"/>
                <w:lang w:val="de-DE"/>
              </w:rPr>
              <w:t>4</w:t>
            </w:r>
          </w:p>
        </w:tc>
        <w:tc>
          <w:tcPr>
            <w:tcW w:w="1059" w:type="dxa"/>
            <w:vAlign w:val="center"/>
          </w:tcPr>
          <w:p w:rsidR="009E4727" w:rsidRPr="009E4727" w:rsidRDefault="009E4727" w:rsidP="00A158F3">
            <w:pPr>
              <w:pStyle w:val="TableParagraph"/>
              <w:jc w:val="right"/>
              <w:rPr>
                <w:rFonts w:ascii="Arial" w:hAnsi="Arial" w:cs="Arial"/>
                <w:sz w:val="18"/>
                <w:szCs w:val="18"/>
                <w:lang w:val="de-DE"/>
              </w:rPr>
            </w:pPr>
            <w:r w:rsidRPr="009E4727">
              <w:rPr>
                <w:rFonts w:ascii="Arial" w:hAnsi="Arial" w:cs="Arial"/>
                <w:sz w:val="18"/>
                <w:szCs w:val="18"/>
                <w:lang w:val="de-DE"/>
              </w:rPr>
              <w:t>2</w:t>
            </w:r>
          </w:p>
        </w:tc>
      </w:tr>
      <w:tr w:rsidR="009E4727" w:rsidRPr="009E4727" w:rsidTr="00A158F3">
        <w:trPr>
          <w:trHeight w:val="399"/>
          <w:jc w:val="center"/>
        </w:trPr>
        <w:tc>
          <w:tcPr>
            <w:tcW w:w="2689" w:type="dxa"/>
            <w:vAlign w:val="center"/>
          </w:tcPr>
          <w:p w:rsidR="009E4727" w:rsidRPr="009E4727" w:rsidRDefault="009E4727" w:rsidP="00A158F3">
            <w:pPr>
              <w:pStyle w:val="TableParagraph"/>
              <w:spacing w:before="0"/>
              <w:ind w:left="0"/>
              <w:rPr>
                <w:rFonts w:ascii="Arial" w:hAnsi="Arial" w:cs="Arial"/>
                <w:sz w:val="18"/>
                <w:szCs w:val="18"/>
                <w:lang w:val="de-DE"/>
              </w:rPr>
            </w:pPr>
            <w:r w:rsidRPr="009E4727">
              <w:rPr>
                <w:rFonts w:ascii="Arial" w:hAnsi="Arial" w:cs="Arial"/>
                <w:sz w:val="18"/>
                <w:szCs w:val="18"/>
                <w:lang w:val="de-DE"/>
              </w:rPr>
              <w:t>Weilheim i.OB</w:t>
            </w:r>
          </w:p>
        </w:tc>
        <w:tc>
          <w:tcPr>
            <w:tcW w:w="1058" w:type="dxa"/>
            <w:vAlign w:val="center"/>
          </w:tcPr>
          <w:p w:rsidR="009E4727" w:rsidRPr="009E4727" w:rsidRDefault="009E4727" w:rsidP="00A158F3">
            <w:pPr>
              <w:pStyle w:val="TableParagraph"/>
              <w:ind w:left="121" w:right="112"/>
              <w:jc w:val="right"/>
              <w:rPr>
                <w:rFonts w:ascii="Arial" w:hAnsi="Arial" w:cs="Arial"/>
                <w:sz w:val="18"/>
                <w:szCs w:val="18"/>
                <w:lang w:val="de-DE"/>
              </w:rPr>
            </w:pPr>
            <w:r w:rsidRPr="009E4727">
              <w:rPr>
                <w:rFonts w:ascii="Arial" w:hAnsi="Arial" w:cs="Arial"/>
                <w:sz w:val="18"/>
                <w:szCs w:val="18"/>
                <w:lang w:val="de-DE"/>
              </w:rPr>
              <w:t>10,6</w:t>
            </w:r>
          </w:p>
        </w:tc>
        <w:tc>
          <w:tcPr>
            <w:tcW w:w="1058" w:type="dxa"/>
            <w:vAlign w:val="center"/>
          </w:tcPr>
          <w:p w:rsidR="009E4727" w:rsidRPr="009E4727" w:rsidRDefault="009E4727" w:rsidP="00A158F3">
            <w:pPr>
              <w:pStyle w:val="TableParagraph"/>
              <w:ind w:left="122" w:right="112"/>
              <w:jc w:val="right"/>
              <w:rPr>
                <w:rFonts w:ascii="Arial" w:hAnsi="Arial" w:cs="Arial"/>
                <w:sz w:val="18"/>
                <w:szCs w:val="18"/>
                <w:lang w:val="de-DE"/>
              </w:rPr>
            </w:pPr>
            <w:r w:rsidRPr="009E4727">
              <w:rPr>
                <w:rFonts w:ascii="Arial" w:hAnsi="Arial" w:cs="Arial"/>
                <w:sz w:val="18"/>
                <w:szCs w:val="18"/>
                <w:lang w:val="de-DE"/>
              </w:rPr>
              <w:t>9,6</w:t>
            </w:r>
          </w:p>
        </w:tc>
        <w:tc>
          <w:tcPr>
            <w:tcW w:w="1059" w:type="dxa"/>
            <w:vAlign w:val="center"/>
          </w:tcPr>
          <w:p w:rsidR="009E4727" w:rsidRPr="009E4727" w:rsidRDefault="009E4727" w:rsidP="00A158F3">
            <w:pPr>
              <w:pStyle w:val="TableParagraph"/>
              <w:ind w:left="11"/>
              <w:jc w:val="right"/>
              <w:rPr>
                <w:rFonts w:ascii="Arial" w:hAnsi="Arial" w:cs="Arial"/>
                <w:sz w:val="18"/>
                <w:szCs w:val="18"/>
                <w:lang w:val="de-DE"/>
              </w:rPr>
            </w:pPr>
            <w:r w:rsidRPr="009E4727">
              <w:rPr>
                <w:rFonts w:ascii="Arial" w:hAnsi="Arial" w:cs="Arial"/>
                <w:sz w:val="18"/>
                <w:szCs w:val="18"/>
                <w:lang w:val="de-DE"/>
              </w:rPr>
              <w:t>2</w:t>
            </w:r>
          </w:p>
        </w:tc>
        <w:tc>
          <w:tcPr>
            <w:tcW w:w="1058" w:type="dxa"/>
            <w:vAlign w:val="center"/>
          </w:tcPr>
          <w:p w:rsidR="009E4727" w:rsidRPr="009E4727" w:rsidRDefault="009E4727" w:rsidP="00A158F3">
            <w:pPr>
              <w:pStyle w:val="TableParagraph"/>
              <w:jc w:val="right"/>
              <w:rPr>
                <w:rFonts w:ascii="Arial" w:hAnsi="Arial" w:cs="Arial"/>
                <w:sz w:val="18"/>
                <w:szCs w:val="18"/>
                <w:lang w:val="de-DE"/>
              </w:rPr>
            </w:pPr>
            <w:r w:rsidRPr="009E4727">
              <w:rPr>
                <w:rFonts w:ascii="Arial" w:hAnsi="Arial" w:cs="Arial"/>
                <w:sz w:val="18"/>
                <w:szCs w:val="18"/>
                <w:lang w:val="de-DE"/>
              </w:rPr>
              <w:t>2</w:t>
            </w:r>
          </w:p>
        </w:tc>
        <w:tc>
          <w:tcPr>
            <w:tcW w:w="1059" w:type="dxa"/>
            <w:vAlign w:val="center"/>
          </w:tcPr>
          <w:p w:rsidR="009E4727" w:rsidRPr="009E4727" w:rsidRDefault="009E4727" w:rsidP="00A158F3">
            <w:pPr>
              <w:pStyle w:val="TableParagraph"/>
              <w:jc w:val="right"/>
              <w:rPr>
                <w:rFonts w:ascii="Arial" w:hAnsi="Arial" w:cs="Arial"/>
                <w:sz w:val="18"/>
                <w:szCs w:val="18"/>
                <w:lang w:val="de-DE"/>
              </w:rPr>
            </w:pPr>
            <w:r w:rsidRPr="009E4727">
              <w:rPr>
                <w:rFonts w:ascii="Arial" w:hAnsi="Arial" w:cs="Arial"/>
                <w:sz w:val="18"/>
                <w:szCs w:val="18"/>
                <w:lang w:val="de-DE"/>
              </w:rPr>
              <w:t>0</w:t>
            </w:r>
          </w:p>
        </w:tc>
      </w:tr>
      <w:tr w:rsidR="009E4727" w:rsidRPr="009E4727" w:rsidTr="00A158F3">
        <w:trPr>
          <w:trHeight w:val="400"/>
          <w:jc w:val="center"/>
        </w:trPr>
        <w:tc>
          <w:tcPr>
            <w:tcW w:w="2689" w:type="dxa"/>
            <w:vAlign w:val="center"/>
          </w:tcPr>
          <w:p w:rsidR="009E4727" w:rsidRPr="009E4727" w:rsidRDefault="009E4727" w:rsidP="00A158F3">
            <w:pPr>
              <w:pStyle w:val="TableParagraph"/>
              <w:spacing w:before="0"/>
              <w:ind w:left="0"/>
              <w:rPr>
                <w:rFonts w:ascii="Arial" w:hAnsi="Arial" w:cs="Arial"/>
                <w:sz w:val="18"/>
                <w:szCs w:val="18"/>
                <w:lang w:val="de-DE"/>
              </w:rPr>
            </w:pPr>
            <w:r w:rsidRPr="009E4727">
              <w:rPr>
                <w:rFonts w:ascii="Arial" w:hAnsi="Arial" w:cs="Arial"/>
                <w:sz w:val="18"/>
                <w:szCs w:val="18"/>
                <w:lang w:val="de-DE"/>
              </w:rPr>
              <w:t>Abensberg-Landshut</w:t>
            </w:r>
          </w:p>
        </w:tc>
        <w:tc>
          <w:tcPr>
            <w:tcW w:w="1058" w:type="dxa"/>
            <w:vAlign w:val="center"/>
          </w:tcPr>
          <w:p w:rsidR="009E4727" w:rsidRPr="009E4727" w:rsidRDefault="009E4727" w:rsidP="00A158F3">
            <w:pPr>
              <w:pStyle w:val="TableParagraph"/>
              <w:spacing w:before="78"/>
              <w:ind w:left="121" w:right="112"/>
              <w:jc w:val="right"/>
              <w:rPr>
                <w:rFonts w:ascii="Arial" w:hAnsi="Arial" w:cs="Arial"/>
                <w:sz w:val="18"/>
                <w:szCs w:val="18"/>
                <w:lang w:val="de-DE"/>
              </w:rPr>
            </w:pPr>
            <w:r w:rsidRPr="009E4727">
              <w:rPr>
                <w:rFonts w:ascii="Arial" w:hAnsi="Arial" w:cs="Arial"/>
                <w:sz w:val="18"/>
                <w:szCs w:val="18"/>
                <w:lang w:val="de-DE"/>
              </w:rPr>
              <w:t>12,1</w:t>
            </w:r>
          </w:p>
        </w:tc>
        <w:tc>
          <w:tcPr>
            <w:tcW w:w="1058" w:type="dxa"/>
            <w:vAlign w:val="center"/>
          </w:tcPr>
          <w:p w:rsidR="009E4727" w:rsidRPr="009E4727" w:rsidRDefault="009E4727" w:rsidP="00A158F3">
            <w:pPr>
              <w:pStyle w:val="TableParagraph"/>
              <w:spacing w:before="78"/>
              <w:ind w:left="122" w:right="112"/>
              <w:jc w:val="right"/>
              <w:rPr>
                <w:rFonts w:ascii="Arial" w:hAnsi="Arial" w:cs="Arial"/>
                <w:sz w:val="18"/>
                <w:szCs w:val="18"/>
                <w:lang w:val="de-DE"/>
              </w:rPr>
            </w:pPr>
            <w:r w:rsidRPr="009E4727">
              <w:rPr>
                <w:rFonts w:ascii="Arial" w:hAnsi="Arial" w:cs="Arial"/>
                <w:sz w:val="18"/>
                <w:szCs w:val="18"/>
                <w:lang w:val="de-DE"/>
              </w:rPr>
              <w:t>12,7</w:t>
            </w:r>
          </w:p>
        </w:tc>
        <w:tc>
          <w:tcPr>
            <w:tcW w:w="1059" w:type="dxa"/>
            <w:vAlign w:val="center"/>
          </w:tcPr>
          <w:p w:rsidR="009E4727" w:rsidRPr="009E4727" w:rsidRDefault="009E4727" w:rsidP="00A158F3">
            <w:pPr>
              <w:pStyle w:val="TableParagraph"/>
              <w:spacing w:before="78"/>
              <w:ind w:left="11"/>
              <w:jc w:val="right"/>
              <w:rPr>
                <w:rFonts w:ascii="Arial" w:hAnsi="Arial" w:cs="Arial"/>
                <w:sz w:val="18"/>
                <w:szCs w:val="18"/>
                <w:lang w:val="de-DE"/>
              </w:rPr>
            </w:pPr>
            <w:r w:rsidRPr="009E4727">
              <w:rPr>
                <w:rFonts w:ascii="Arial" w:hAnsi="Arial" w:cs="Arial"/>
                <w:sz w:val="18"/>
                <w:szCs w:val="18"/>
                <w:lang w:val="de-DE"/>
              </w:rPr>
              <w:t>6</w:t>
            </w:r>
          </w:p>
        </w:tc>
        <w:tc>
          <w:tcPr>
            <w:tcW w:w="1058" w:type="dxa"/>
            <w:vAlign w:val="center"/>
          </w:tcPr>
          <w:p w:rsidR="009E4727" w:rsidRPr="009E4727" w:rsidRDefault="009E4727" w:rsidP="00A158F3">
            <w:pPr>
              <w:pStyle w:val="TableParagraph"/>
              <w:spacing w:before="78"/>
              <w:jc w:val="right"/>
              <w:rPr>
                <w:rFonts w:ascii="Arial" w:hAnsi="Arial" w:cs="Arial"/>
                <w:sz w:val="18"/>
                <w:szCs w:val="18"/>
                <w:lang w:val="de-DE"/>
              </w:rPr>
            </w:pPr>
            <w:r w:rsidRPr="009E4727">
              <w:rPr>
                <w:rFonts w:ascii="Arial" w:hAnsi="Arial" w:cs="Arial"/>
                <w:sz w:val="18"/>
                <w:szCs w:val="18"/>
                <w:lang w:val="de-DE"/>
              </w:rPr>
              <w:t>6</w:t>
            </w:r>
          </w:p>
        </w:tc>
        <w:tc>
          <w:tcPr>
            <w:tcW w:w="1059" w:type="dxa"/>
            <w:vAlign w:val="center"/>
          </w:tcPr>
          <w:p w:rsidR="009E4727" w:rsidRPr="009E4727" w:rsidRDefault="009E4727" w:rsidP="00A158F3">
            <w:pPr>
              <w:pStyle w:val="TableParagraph"/>
              <w:spacing w:before="78"/>
              <w:jc w:val="right"/>
              <w:rPr>
                <w:rFonts w:ascii="Arial" w:hAnsi="Arial" w:cs="Arial"/>
                <w:sz w:val="18"/>
                <w:szCs w:val="18"/>
                <w:lang w:val="de-DE"/>
              </w:rPr>
            </w:pPr>
            <w:r w:rsidRPr="009E4727">
              <w:rPr>
                <w:rFonts w:ascii="Arial" w:hAnsi="Arial" w:cs="Arial"/>
                <w:sz w:val="18"/>
                <w:szCs w:val="18"/>
                <w:lang w:val="de-DE"/>
              </w:rPr>
              <w:t>0</w:t>
            </w:r>
          </w:p>
        </w:tc>
      </w:tr>
      <w:tr w:rsidR="009E4727" w:rsidRPr="009E4727" w:rsidTr="00A158F3">
        <w:trPr>
          <w:trHeight w:val="400"/>
          <w:jc w:val="center"/>
        </w:trPr>
        <w:tc>
          <w:tcPr>
            <w:tcW w:w="2689" w:type="dxa"/>
            <w:vAlign w:val="center"/>
          </w:tcPr>
          <w:p w:rsidR="009E4727" w:rsidRPr="009E4727" w:rsidRDefault="009E4727" w:rsidP="00A158F3">
            <w:pPr>
              <w:pStyle w:val="TableParagraph"/>
              <w:spacing w:before="0"/>
              <w:ind w:left="0"/>
              <w:rPr>
                <w:rFonts w:ascii="Arial" w:hAnsi="Arial" w:cs="Arial"/>
                <w:sz w:val="18"/>
                <w:szCs w:val="18"/>
                <w:lang w:val="de-DE"/>
              </w:rPr>
            </w:pPr>
            <w:r w:rsidRPr="009E4727">
              <w:rPr>
                <w:rFonts w:ascii="Arial" w:hAnsi="Arial" w:cs="Arial"/>
                <w:sz w:val="18"/>
                <w:szCs w:val="18"/>
                <w:lang w:val="de-DE"/>
              </w:rPr>
              <w:t>Deggendorf-Straubing</w:t>
            </w:r>
          </w:p>
        </w:tc>
        <w:tc>
          <w:tcPr>
            <w:tcW w:w="1058" w:type="dxa"/>
            <w:vAlign w:val="center"/>
          </w:tcPr>
          <w:p w:rsidR="009E4727" w:rsidRPr="009E4727" w:rsidRDefault="009E4727" w:rsidP="00A158F3">
            <w:pPr>
              <w:pStyle w:val="TableParagraph"/>
              <w:ind w:left="121" w:right="112"/>
              <w:jc w:val="right"/>
              <w:rPr>
                <w:rFonts w:ascii="Arial" w:hAnsi="Arial" w:cs="Arial"/>
                <w:sz w:val="18"/>
                <w:szCs w:val="18"/>
                <w:lang w:val="de-DE"/>
              </w:rPr>
            </w:pPr>
            <w:r w:rsidRPr="009E4727">
              <w:rPr>
                <w:rFonts w:ascii="Arial" w:hAnsi="Arial" w:cs="Arial"/>
                <w:sz w:val="18"/>
                <w:szCs w:val="18"/>
                <w:lang w:val="de-DE"/>
              </w:rPr>
              <w:t>11,3</w:t>
            </w:r>
          </w:p>
        </w:tc>
        <w:tc>
          <w:tcPr>
            <w:tcW w:w="1058" w:type="dxa"/>
            <w:vAlign w:val="center"/>
          </w:tcPr>
          <w:p w:rsidR="009E4727" w:rsidRPr="009E4727" w:rsidRDefault="009E4727" w:rsidP="00A158F3">
            <w:pPr>
              <w:pStyle w:val="TableParagraph"/>
              <w:ind w:left="122" w:right="112"/>
              <w:jc w:val="right"/>
              <w:rPr>
                <w:rFonts w:ascii="Arial" w:hAnsi="Arial" w:cs="Arial"/>
                <w:sz w:val="18"/>
                <w:szCs w:val="18"/>
                <w:lang w:val="de-DE"/>
              </w:rPr>
            </w:pPr>
            <w:r w:rsidRPr="009E4727">
              <w:rPr>
                <w:rFonts w:ascii="Arial" w:hAnsi="Arial" w:cs="Arial"/>
                <w:sz w:val="18"/>
                <w:szCs w:val="18"/>
                <w:lang w:val="de-DE"/>
              </w:rPr>
              <w:t>10,8</w:t>
            </w:r>
          </w:p>
        </w:tc>
        <w:tc>
          <w:tcPr>
            <w:tcW w:w="1059" w:type="dxa"/>
            <w:vAlign w:val="center"/>
          </w:tcPr>
          <w:p w:rsidR="009E4727" w:rsidRPr="009E4727" w:rsidRDefault="009E4727" w:rsidP="00A158F3">
            <w:pPr>
              <w:pStyle w:val="TableParagraph"/>
              <w:ind w:left="11"/>
              <w:jc w:val="right"/>
              <w:rPr>
                <w:rFonts w:ascii="Arial" w:hAnsi="Arial" w:cs="Arial"/>
                <w:sz w:val="18"/>
                <w:szCs w:val="18"/>
                <w:lang w:val="de-DE"/>
              </w:rPr>
            </w:pPr>
            <w:r w:rsidRPr="009E4727">
              <w:rPr>
                <w:rFonts w:ascii="Arial" w:hAnsi="Arial" w:cs="Arial"/>
                <w:sz w:val="18"/>
                <w:szCs w:val="18"/>
                <w:lang w:val="de-DE"/>
              </w:rPr>
              <w:t>4</w:t>
            </w:r>
          </w:p>
        </w:tc>
        <w:tc>
          <w:tcPr>
            <w:tcW w:w="1058" w:type="dxa"/>
            <w:vAlign w:val="center"/>
          </w:tcPr>
          <w:p w:rsidR="009E4727" w:rsidRPr="009E4727" w:rsidRDefault="009E4727" w:rsidP="00A158F3">
            <w:pPr>
              <w:pStyle w:val="TableParagraph"/>
              <w:jc w:val="right"/>
              <w:rPr>
                <w:rFonts w:ascii="Arial" w:hAnsi="Arial" w:cs="Arial"/>
                <w:sz w:val="18"/>
                <w:szCs w:val="18"/>
                <w:lang w:val="de-DE"/>
              </w:rPr>
            </w:pPr>
            <w:r w:rsidRPr="009E4727">
              <w:rPr>
                <w:rFonts w:ascii="Arial" w:hAnsi="Arial" w:cs="Arial"/>
                <w:sz w:val="18"/>
                <w:szCs w:val="18"/>
                <w:lang w:val="de-DE"/>
              </w:rPr>
              <w:t>4</w:t>
            </w:r>
          </w:p>
        </w:tc>
        <w:tc>
          <w:tcPr>
            <w:tcW w:w="1059" w:type="dxa"/>
            <w:vAlign w:val="center"/>
          </w:tcPr>
          <w:p w:rsidR="009E4727" w:rsidRPr="009E4727" w:rsidRDefault="009E4727" w:rsidP="00A158F3">
            <w:pPr>
              <w:pStyle w:val="TableParagraph"/>
              <w:jc w:val="right"/>
              <w:rPr>
                <w:rFonts w:ascii="Arial" w:hAnsi="Arial" w:cs="Arial"/>
                <w:sz w:val="18"/>
                <w:szCs w:val="18"/>
                <w:lang w:val="de-DE"/>
              </w:rPr>
            </w:pPr>
            <w:r w:rsidRPr="009E4727">
              <w:rPr>
                <w:rFonts w:ascii="Arial" w:hAnsi="Arial" w:cs="Arial"/>
                <w:sz w:val="18"/>
                <w:szCs w:val="18"/>
                <w:lang w:val="de-DE"/>
              </w:rPr>
              <w:t>0</w:t>
            </w:r>
          </w:p>
        </w:tc>
      </w:tr>
      <w:tr w:rsidR="009E4727" w:rsidRPr="009E4727" w:rsidTr="00A158F3">
        <w:trPr>
          <w:trHeight w:val="367"/>
          <w:jc w:val="center"/>
        </w:trPr>
        <w:tc>
          <w:tcPr>
            <w:tcW w:w="2689" w:type="dxa"/>
            <w:vAlign w:val="center"/>
          </w:tcPr>
          <w:p w:rsidR="009E4727" w:rsidRPr="009E4727" w:rsidRDefault="009E4727" w:rsidP="00A158F3">
            <w:pPr>
              <w:pStyle w:val="TableParagraph"/>
              <w:spacing w:before="0" w:line="400" w:lineRule="exact"/>
              <w:ind w:left="0"/>
              <w:rPr>
                <w:rFonts w:ascii="Arial" w:hAnsi="Arial" w:cs="Arial"/>
                <w:sz w:val="18"/>
                <w:szCs w:val="18"/>
                <w:lang w:val="de-DE"/>
              </w:rPr>
            </w:pPr>
            <w:r w:rsidRPr="009E4727">
              <w:rPr>
                <w:rFonts w:ascii="Arial" w:hAnsi="Arial" w:cs="Arial"/>
                <w:sz w:val="18"/>
                <w:szCs w:val="18"/>
                <w:lang w:val="de-DE"/>
              </w:rPr>
              <w:t>Landau a.d.Isar-Pfarrkirchen</w:t>
            </w:r>
          </w:p>
        </w:tc>
        <w:tc>
          <w:tcPr>
            <w:tcW w:w="1058" w:type="dxa"/>
            <w:vAlign w:val="center"/>
          </w:tcPr>
          <w:p w:rsidR="009E4727" w:rsidRPr="009E4727" w:rsidRDefault="009E4727" w:rsidP="00A158F3">
            <w:pPr>
              <w:pStyle w:val="TableParagraph"/>
              <w:ind w:left="121" w:right="112"/>
              <w:jc w:val="right"/>
              <w:rPr>
                <w:rFonts w:ascii="Arial" w:hAnsi="Arial" w:cs="Arial"/>
                <w:sz w:val="18"/>
                <w:szCs w:val="18"/>
                <w:lang w:val="de-DE"/>
              </w:rPr>
            </w:pPr>
            <w:r w:rsidRPr="009E4727">
              <w:rPr>
                <w:rFonts w:ascii="Arial" w:hAnsi="Arial" w:cs="Arial"/>
                <w:sz w:val="18"/>
                <w:szCs w:val="18"/>
                <w:lang w:val="de-DE"/>
              </w:rPr>
              <w:t>15,1</w:t>
            </w:r>
          </w:p>
        </w:tc>
        <w:tc>
          <w:tcPr>
            <w:tcW w:w="1058" w:type="dxa"/>
            <w:vAlign w:val="center"/>
          </w:tcPr>
          <w:p w:rsidR="009E4727" w:rsidRPr="009E4727" w:rsidRDefault="009E4727" w:rsidP="00A158F3">
            <w:pPr>
              <w:pStyle w:val="TableParagraph"/>
              <w:ind w:left="122" w:right="112"/>
              <w:jc w:val="right"/>
              <w:rPr>
                <w:rFonts w:ascii="Arial" w:hAnsi="Arial" w:cs="Arial"/>
                <w:sz w:val="18"/>
                <w:szCs w:val="18"/>
                <w:lang w:val="de-DE"/>
              </w:rPr>
            </w:pPr>
            <w:r w:rsidRPr="009E4727">
              <w:rPr>
                <w:rFonts w:ascii="Arial" w:hAnsi="Arial" w:cs="Arial"/>
                <w:sz w:val="18"/>
                <w:szCs w:val="18"/>
                <w:lang w:val="de-DE"/>
              </w:rPr>
              <w:t>13,3</w:t>
            </w:r>
          </w:p>
        </w:tc>
        <w:tc>
          <w:tcPr>
            <w:tcW w:w="1059" w:type="dxa"/>
            <w:vAlign w:val="center"/>
          </w:tcPr>
          <w:p w:rsidR="009E4727" w:rsidRPr="009E4727" w:rsidRDefault="009E4727" w:rsidP="00A158F3">
            <w:pPr>
              <w:pStyle w:val="TableParagraph"/>
              <w:ind w:left="12"/>
              <w:jc w:val="right"/>
              <w:rPr>
                <w:rFonts w:ascii="Arial" w:hAnsi="Arial" w:cs="Arial"/>
                <w:sz w:val="18"/>
                <w:szCs w:val="18"/>
                <w:lang w:val="de-DE"/>
              </w:rPr>
            </w:pPr>
            <w:r w:rsidRPr="009E4727">
              <w:rPr>
                <w:rFonts w:ascii="Arial" w:hAnsi="Arial" w:cs="Arial"/>
                <w:sz w:val="18"/>
                <w:szCs w:val="18"/>
                <w:lang w:val="de-DE"/>
              </w:rPr>
              <w:t>4</w:t>
            </w:r>
          </w:p>
        </w:tc>
        <w:tc>
          <w:tcPr>
            <w:tcW w:w="1058" w:type="dxa"/>
            <w:vAlign w:val="center"/>
          </w:tcPr>
          <w:p w:rsidR="009E4727" w:rsidRPr="009E4727" w:rsidRDefault="009E4727" w:rsidP="00A158F3">
            <w:pPr>
              <w:pStyle w:val="TableParagraph"/>
              <w:ind w:left="14"/>
              <w:jc w:val="right"/>
              <w:rPr>
                <w:rFonts w:ascii="Arial" w:hAnsi="Arial" w:cs="Arial"/>
                <w:sz w:val="18"/>
                <w:szCs w:val="18"/>
                <w:lang w:val="de-DE"/>
              </w:rPr>
            </w:pPr>
            <w:r w:rsidRPr="009E4727">
              <w:rPr>
                <w:rFonts w:ascii="Arial" w:hAnsi="Arial" w:cs="Arial"/>
                <w:sz w:val="18"/>
                <w:szCs w:val="18"/>
                <w:lang w:val="de-DE"/>
              </w:rPr>
              <w:t>5</w:t>
            </w:r>
          </w:p>
        </w:tc>
        <w:tc>
          <w:tcPr>
            <w:tcW w:w="1059" w:type="dxa"/>
            <w:vAlign w:val="center"/>
          </w:tcPr>
          <w:p w:rsidR="009E4727" w:rsidRPr="009E4727" w:rsidRDefault="009E4727" w:rsidP="00A158F3">
            <w:pPr>
              <w:pStyle w:val="TableParagraph"/>
              <w:ind w:left="14"/>
              <w:jc w:val="right"/>
              <w:rPr>
                <w:rFonts w:ascii="Arial" w:hAnsi="Arial" w:cs="Arial"/>
                <w:sz w:val="18"/>
                <w:szCs w:val="18"/>
                <w:lang w:val="de-DE"/>
              </w:rPr>
            </w:pPr>
            <w:r w:rsidRPr="009E4727">
              <w:rPr>
                <w:rFonts w:ascii="Arial" w:hAnsi="Arial" w:cs="Arial"/>
                <w:sz w:val="18"/>
                <w:szCs w:val="18"/>
                <w:lang w:val="de-DE"/>
              </w:rPr>
              <w:t>1</w:t>
            </w:r>
          </w:p>
        </w:tc>
      </w:tr>
      <w:tr w:rsidR="009E4727" w:rsidRPr="009E4727" w:rsidTr="00A158F3">
        <w:trPr>
          <w:trHeight w:val="399"/>
          <w:jc w:val="center"/>
        </w:trPr>
        <w:tc>
          <w:tcPr>
            <w:tcW w:w="2689" w:type="dxa"/>
            <w:vAlign w:val="center"/>
          </w:tcPr>
          <w:p w:rsidR="009E4727" w:rsidRPr="009E4727" w:rsidRDefault="009E4727" w:rsidP="00A158F3">
            <w:pPr>
              <w:pStyle w:val="TableParagraph"/>
              <w:spacing w:before="0"/>
              <w:ind w:left="0"/>
              <w:rPr>
                <w:rFonts w:ascii="Arial" w:hAnsi="Arial" w:cs="Arial"/>
                <w:sz w:val="18"/>
                <w:szCs w:val="18"/>
                <w:lang w:val="de-DE"/>
              </w:rPr>
            </w:pPr>
            <w:r w:rsidRPr="009E4727">
              <w:rPr>
                <w:rFonts w:ascii="Arial" w:hAnsi="Arial" w:cs="Arial"/>
                <w:sz w:val="18"/>
                <w:szCs w:val="18"/>
                <w:lang w:val="de-DE"/>
              </w:rPr>
              <w:t>Passau</w:t>
            </w:r>
          </w:p>
        </w:tc>
        <w:tc>
          <w:tcPr>
            <w:tcW w:w="1058" w:type="dxa"/>
            <w:vAlign w:val="center"/>
          </w:tcPr>
          <w:p w:rsidR="009E4727" w:rsidRPr="009E4727" w:rsidRDefault="009E4727" w:rsidP="00A158F3">
            <w:pPr>
              <w:pStyle w:val="TableParagraph"/>
              <w:ind w:left="121" w:right="112"/>
              <w:jc w:val="right"/>
              <w:rPr>
                <w:rFonts w:ascii="Arial" w:hAnsi="Arial" w:cs="Arial"/>
                <w:sz w:val="18"/>
                <w:szCs w:val="18"/>
                <w:lang w:val="de-DE"/>
              </w:rPr>
            </w:pPr>
            <w:r w:rsidRPr="009E4727">
              <w:rPr>
                <w:rFonts w:ascii="Arial" w:hAnsi="Arial" w:cs="Arial"/>
                <w:sz w:val="18"/>
                <w:szCs w:val="18"/>
                <w:lang w:val="de-DE"/>
              </w:rPr>
              <w:t>11,6</w:t>
            </w:r>
          </w:p>
        </w:tc>
        <w:tc>
          <w:tcPr>
            <w:tcW w:w="1058" w:type="dxa"/>
            <w:vAlign w:val="center"/>
          </w:tcPr>
          <w:p w:rsidR="009E4727" w:rsidRPr="009E4727" w:rsidRDefault="009E4727" w:rsidP="00A158F3">
            <w:pPr>
              <w:pStyle w:val="TableParagraph"/>
              <w:ind w:left="122" w:right="112"/>
              <w:jc w:val="right"/>
              <w:rPr>
                <w:rFonts w:ascii="Arial" w:hAnsi="Arial" w:cs="Arial"/>
                <w:sz w:val="18"/>
                <w:szCs w:val="18"/>
                <w:lang w:val="de-DE"/>
              </w:rPr>
            </w:pPr>
            <w:r w:rsidRPr="009E4727">
              <w:rPr>
                <w:rFonts w:ascii="Arial" w:hAnsi="Arial" w:cs="Arial"/>
                <w:sz w:val="18"/>
                <w:szCs w:val="18"/>
                <w:lang w:val="de-DE"/>
              </w:rPr>
              <w:t>9,9</w:t>
            </w:r>
          </w:p>
        </w:tc>
        <w:tc>
          <w:tcPr>
            <w:tcW w:w="1059" w:type="dxa"/>
            <w:vAlign w:val="center"/>
          </w:tcPr>
          <w:p w:rsidR="009E4727" w:rsidRPr="009E4727" w:rsidRDefault="009E4727" w:rsidP="00A158F3">
            <w:pPr>
              <w:pStyle w:val="TableParagraph"/>
              <w:ind w:left="11"/>
              <w:jc w:val="right"/>
              <w:rPr>
                <w:rFonts w:ascii="Arial" w:hAnsi="Arial" w:cs="Arial"/>
                <w:sz w:val="18"/>
                <w:szCs w:val="18"/>
                <w:lang w:val="de-DE"/>
              </w:rPr>
            </w:pPr>
            <w:r w:rsidRPr="009E4727">
              <w:rPr>
                <w:rFonts w:ascii="Arial" w:hAnsi="Arial" w:cs="Arial"/>
                <w:sz w:val="18"/>
                <w:szCs w:val="18"/>
                <w:lang w:val="de-DE"/>
              </w:rPr>
              <w:t>4</w:t>
            </w:r>
          </w:p>
        </w:tc>
        <w:tc>
          <w:tcPr>
            <w:tcW w:w="1058" w:type="dxa"/>
            <w:vAlign w:val="center"/>
          </w:tcPr>
          <w:p w:rsidR="009E4727" w:rsidRPr="009E4727" w:rsidRDefault="009E4727" w:rsidP="00A158F3">
            <w:pPr>
              <w:pStyle w:val="TableParagraph"/>
              <w:jc w:val="right"/>
              <w:rPr>
                <w:rFonts w:ascii="Arial" w:hAnsi="Arial" w:cs="Arial"/>
                <w:sz w:val="18"/>
                <w:szCs w:val="18"/>
                <w:lang w:val="de-DE"/>
              </w:rPr>
            </w:pPr>
            <w:r w:rsidRPr="009E4727">
              <w:rPr>
                <w:rFonts w:ascii="Arial" w:hAnsi="Arial" w:cs="Arial"/>
                <w:sz w:val="18"/>
                <w:szCs w:val="18"/>
                <w:lang w:val="de-DE"/>
              </w:rPr>
              <w:t>2</w:t>
            </w:r>
          </w:p>
        </w:tc>
        <w:tc>
          <w:tcPr>
            <w:tcW w:w="1059" w:type="dxa"/>
            <w:vAlign w:val="center"/>
          </w:tcPr>
          <w:p w:rsidR="009E4727" w:rsidRPr="009E4727" w:rsidRDefault="009E4727" w:rsidP="00A158F3">
            <w:pPr>
              <w:pStyle w:val="TableParagraph"/>
              <w:ind w:left="125" w:right="112"/>
              <w:jc w:val="right"/>
              <w:rPr>
                <w:rFonts w:ascii="Arial" w:hAnsi="Arial" w:cs="Arial"/>
                <w:sz w:val="18"/>
                <w:szCs w:val="18"/>
                <w:lang w:val="de-DE"/>
              </w:rPr>
            </w:pPr>
            <w:r w:rsidRPr="009E4727">
              <w:rPr>
                <w:rFonts w:ascii="Arial" w:hAnsi="Arial" w:cs="Arial"/>
                <w:sz w:val="18"/>
                <w:szCs w:val="18"/>
                <w:lang w:val="de-DE"/>
              </w:rPr>
              <w:t>-2</w:t>
            </w:r>
          </w:p>
        </w:tc>
      </w:tr>
      <w:tr w:rsidR="009E4727" w:rsidRPr="009E4727" w:rsidTr="00A158F3">
        <w:trPr>
          <w:trHeight w:val="400"/>
          <w:jc w:val="center"/>
        </w:trPr>
        <w:tc>
          <w:tcPr>
            <w:tcW w:w="2689" w:type="dxa"/>
            <w:vAlign w:val="center"/>
          </w:tcPr>
          <w:p w:rsidR="009E4727" w:rsidRPr="009E4727" w:rsidRDefault="009E4727" w:rsidP="00A158F3">
            <w:pPr>
              <w:pStyle w:val="TableParagraph"/>
              <w:spacing w:before="0"/>
              <w:ind w:left="0"/>
              <w:rPr>
                <w:rFonts w:ascii="Arial" w:hAnsi="Arial" w:cs="Arial"/>
                <w:sz w:val="18"/>
                <w:szCs w:val="18"/>
                <w:lang w:val="de-DE"/>
              </w:rPr>
            </w:pPr>
            <w:r w:rsidRPr="009E4727">
              <w:rPr>
                <w:rFonts w:ascii="Arial" w:hAnsi="Arial" w:cs="Arial"/>
                <w:sz w:val="18"/>
                <w:szCs w:val="18"/>
                <w:lang w:val="de-DE"/>
              </w:rPr>
              <w:t>Regen</w:t>
            </w:r>
          </w:p>
        </w:tc>
        <w:tc>
          <w:tcPr>
            <w:tcW w:w="1058" w:type="dxa"/>
            <w:vAlign w:val="center"/>
          </w:tcPr>
          <w:p w:rsidR="009E4727" w:rsidRPr="009E4727" w:rsidRDefault="009E4727" w:rsidP="00A158F3">
            <w:pPr>
              <w:pStyle w:val="TableParagraph"/>
              <w:spacing w:before="78"/>
              <w:ind w:left="121" w:right="112"/>
              <w:jc w:val="right"/>
              <w:rPr>
                <w:rFonts w:ascii="Arial" w:hAnsi="Arial" w:cs="Arial"/>
                <w:sz w:val="18"/>
                <w:szCs w:val="18"/>
                <w:lang w:val="de-DE"/>
              </w:rPr>
            </w:pPr>
            <w:r w:rsidRPr="009E4727">
              <w:rPr>
                <w:rFonts w:ascii="Arial" w:hAnsi="Arial" w:cs="Arial"/>
                <w:sz w:val="18"/>
                <w:szCs w:val="18"/>
                <w:lang w:val="de-DE"/>
              </w:rPr>
              <w:t>5,4</w:t>
            </w:r>
          </w:p>
        </w:tc>
        <w:tc>
          <w:tcPr>
            <w:tcW w:w="1058" w:type="dxa"/>
            <w:vAlign w:val="center"/>
          </w:tcPr>
          <w:p w:rsidR="009E4727" w:rsidRPr="009E4727" w:rsidRDefault="009E4727" w:rsidP="00A158F3">
            <w:pPr>
              <w:pStyle w:val="TableParagraph"/>
              <w:spacing w:before="78"/>
              <w:ind w:left="122" w:right="112"/>
              <w:jc w:val="right"/>
              <w:rPr>
                <w:rFonts w:ascii="Arial" w:hAnsi="Arial" w:cs="Arial"/>
                <w:sz w:val="18"/>
                <w:szCs w:val="18"/>
                <w:lang w:val="de-DE"/>
              </w:rPr>
            </w:pPr>
            <w:r w:rsidRPr="009E4727">
              <w:rPr>
                <w:rFonts w:ascii="Arial" w:hAnsi="Arial" w:cs="Arial"/>
                <w:sz w:val="18"/>
                <w:szCs w:val="18"/>
                <w:lang w:val="de-DE"/>
              </w:rPr>
              <w:t>6,3</w:t>
            </w:r>
          </w:p>
        </w:tc>
        <w:tc>
          <w:tcPr>
            <w:tcW w:w="1059" w:type="dxa"/>
            <w:vAlign w:val="center"/>
          </w:tcPr>
          <w:p w:rsidR="009E4727" w:rsidRPr="009E4727" w:rsidRDefault="009E4727" w:rsidP="00A158F3">
            <w:pPr>
              <w:pStyle w:val="TableParagraph"/>
              <w:spacing w:before="78"/>
              <w:ind w:left="11"/>
              <w:jc w:val="right"/>
              <w:rPr>
                <w:rFonts w:ascii="Arial" w:hAnsi="Arial" w:cs="Arial"/>
                <w:sz w:val="18"/>
                <w:szCs w:val="18"/>
                <w:lang w:val="de-DE"/>
              </w:rPr>
            </w:pPr>
            <w:r w:rsidRPr="009E4727">
              <w:rPr>
                <w:rFonts w:ascii="Arial" w:hAnsi="Arial" w:cs="Arial"/>
                <w:sz w:val="18"/>
                <w:szCs w:val="18"/>
                <w:lang w:val="de-DE"/>
              </w:rPr>
              <w:t>1</w:t>
            </w:r>
          </w:p>
        </w:tc>
        <w:tc>
          <w:tcPr>
            <w:tcW w:w="1058" w:type="dxa"/>
            <w:vAlign w:val="center"/>
          </w:tcPr>
          <w:p w:rsidR="009E4727" w:rsidRPr="009E4727" w:rsidRDefault="009E4727" w:rsidP="00A158F3">
            <w:pPr>
              <w:pStyle w:val="TableParagraph"/>
              <w:spacing w:before="78"/>
              <w:jc w:val="right"/>
              <w:rPr>
                <w:rFonts w:ascii="Arial" w:hAnsi="Arial" w:cs="Arial"/>
                <w:sz w:val="18"/>
                <w:szCs w:val="18"/>
                <w:lang w:val="de-DE"/>
              </w:rPr>
            </w:pPr>
            <w:r w:rsidRPr="009E4727">
              <w:rPr>
                <w:rFonts w:ascii="Arial" w:hAnsi="Arial" w:cs="Arial"/>
                <w:sz w:val="18"/>
                <w:szCs w:val="18"/>
                <w:lang w:val="de-DE"/>
              </w:rPr>
              <w:t>2</w:t>
            </w:r>
          </w:p>
        </w:tc>
        <w:tc>
          <w:tcPr>
            <w:tcW w:w="1059" w:type="dxa"/>
            <w:vAlign w:val="center"/>
          </w:tcPr>
          <w:p w:rsidR="009E4727" w:rsidRPr="009E4727" w:rsidRDefault="009E4727" w:rsidP="00A158F3">
            <w:pPr>
              <w:pStyle w:val="TableParagraph"/>
              <w:spacing w:before="78"/>
              <w:jc w:val="right"/>
              <w:rPr>
                <w:rFonts w:ascii="Arial" w:hAnsi="Arial" w:cs="Arial"/>
                <w:sz w:val="18"/>
                <w:szCs w:val="18"/>
                <w:lang w:val="de-DE"/>
              </w:rPr>
            </w:pPr>
            <w:r w:rsidRPr="009E4727">
              <w:rPr>
                <w:rFonts w:ascii="Arial" w:hAnsi="Arial" w:cs="Arial"/>
                <w:sz w:val="18"/>
                <w:szCs w:val="18"/>
                <w:lang w:val="de-DE"/>
              </w:rPr>
              <w:t>1</w:t>
            </w:r>
          </w:p>
        </w:tc>
      </w:tr>
      <w:tr w:rsidR="009E4727" w:rsidRPr="009E4727" w:rsidTr="00A158F3">
        <w:trPr>
          <w:trHeight w:val="413"/>
          <w:jc w:val="center"/>
        </w:trPr>
        <w:tc>
          <w:tcPr>
            <w:tcW w:w="2689" w:type="dxa"/>
            <w:vAlign w:val="center"/>
          </w:tcPr>
          <w:p w:rsidR="009E4727" w:rsidRPr="009E4727" w:rsidRDefault="009E4727" w:rsidP="00A158F3">
            <w:pPr>
              <w:pStyle w:val="TableParagraph"/>
              <w:spacing w:before="0"/>
              <w:ind w:left="0"/>
              <w:rPr>
                <w:rFonts w:ascii="Arial" w:hAnsi="Arial" w:cs="Arial"/>
                <w:sz w:val="18"/>
                <w:szCs w:val="18"/>
                <w:lang w:val="de-DE"/>
              </w:rPr>
            </w:pPr>
            <w:r w:rsidRPr="009E4727">
              <w:rPr>
                <w:rFonts w:ascii="Arial" w:hAnsi="Arial" w:cs="Arial"/>
                <w:sz w:val="18"/>
                <w:szCs w:val="18"/>
                <w:lang w:val="de-DE"/>
              </w:rPr>
              <w:t>Amberg-Neumarkt</w:t>
            </w:r>
            <w:r w:rsidR="00A158F3">
              <w:rPr>
                <w:rFonts w:ascii="Arial" w:hAnsi="Arial" w:cs="Arial"/>
                <w:sz w:val="18"/>
                <w:szCs w:val="18"/>
                <w:lang w:val="de-DE"/>
              </w:rPr>
              <w:t xml:space="preserve"> </w:t>
            </w:r>
            <w:r w:rsidRPr="009E4727">
              <w:rPr>
                <w:rFonts w:ascii="Arial" w:hAnsi="Arial" w:cs="Arial"/>
                <w:sz w:val="18"/>
                <w:szCs w:val="18"/>
                <w:lang w:val="de-DE"/>
              </w:rPr>
              <w:t>i.d.OPf.</w:t>
            </w:r>
          </w:p>
        </w:tc>
        <w:tc>
          <w:tcPr>
            <w:tcW w:w="1058" w:type="dxa"/>
            <w:vAlign w:val="center"/>
          </w:tcPr>
          <w:p w:rsidR="009E4727" w:rsidRPr="009E4727" w:rsidRDefault="009E4727" w:rsidP="00A158F3">
            <w:pPr>
              <w:pStyle w:val="TableParagraph"/>
              <w:ind w:left="121" w:right="112"/>
              <w:jc w:val="right"/>
              <w:rPr>
                <w:rFonts w:ascii="Arial" w:hAnsi="Arial" w:cs="Arial"/>
                <w:sz w:val="18"/>
                <w:szCs w:val="18"/>
                <w:lang w:val="de-DE"/>
              </w:rPr>
            </w:pPr>
            <w:r w:rsidRPr="009E4727">
              <w:rPr>
                <w:rFonts w:ascii="Arial" w:hAnsi="Arial" w:cs="Arial"/>
                <w:sz w:val="18"/>
                <w:szCs w:val="18"/>
                <w:lang w:val="de-DE"/>
              </w:rPr>
              <w:t>9,1</w:t>
            </w:r>
          </w:p>
        </w:tc>
        <w:tc>
          <w:tcPr>
            <w:tcW w:w="1058" w:type="dxa"/>
            <w:vAlign w:val="center"/>
          </w:tcPr>
          <w:p w:rsidR="009E4727" w:rsidRPr="009E4727" w:rsidRDefault="009E4727" w:rsidP="00A158F3">
            <w:pPr>
              <w:pStyle w:val="TableParagraph"/>
              <w:ind w:left="122" w:right="112"/>
              <w:jc w:val="right"/>
              <w:rPr>
                <w:rFonts w:ascii="Arial" w:hAnsi="Arial" w:cs="Arial"/>
                <w:sz w:val="18"/>
                <w:szCs w:val="18"/>
                <w:lang w:val="de-DE"/>
              </w:rPr>
            </w:pPr>
            <w:r w:rsidRPr="009E4727">
              <w:rPr>
                <w:rFonts w:ascii="Arial" w:hAnsi="Arial" w:cs="Arial"/>
                <w:sz w:val="18"/>
                <w:szCs w:val="18"/>
                <w:lang w:val="de-DE"/>
              </w:rPr>
              <w:t>8,2</w:t>
            </w:r>
          </w:p>
        </w:tc>
        <w:tc>
          <w:tcPr>
            <w:tcW w:w="1059" w:type="dxa"/>
            <w:vAlign w:val="center"/>
          </w:tcPr>
          <w:p w:rsidR="009E4727" w:rsidRPr="009E4727" w:rsidRDefault="009E4727" w:rsidP="00A158F3">
            <w:pPr>
              <w:pStyle w:val="TableParagraph"/>
              <w:ind w:left="12"/>
              <w:jc w:val="right"/>
              <w:rPr>
                <w:rFonts w:ascii="Arial" w:hAnsi="Arial" w:cs="Arial"/>
                <w:sz w:val="18"/>
                <w:szCs w:val="18"/>
                <w:lang w:val="de-DE"/>
              </w:rPr>
            </w:pPr>
            <w:r w:rsidRPr="009E4727">
              <w:rPr>
                <w:rFonts w:ascii="Arial" w:hAnsi="Arial" w:cs="Arial"/>
                <w:sz w:val="18"/>
                <w:szCs w:val="18"/>
                <w:lang w:val="de-DE"/>
              </w:rPr>
              <w:t>3</w:t>
            </w:r>
          </w:p>
        </w:tc>
        <w:tc>
          <w:tcPr>
            <w:tcW w:w="1058" w:type="dxa"/>
            <w:vAlign w:val="center"/>
          </w:tcPr>
          <w:p w:rsidR="009E4727" w:rsidRPr="009E4727" w:rsidRDefault="009E4727" w:rsidP="00A158F3">
            <w:pPr>
              <w:pStyle w:val="TableParagraph"/>
              <w:ind w:left="14"/>
              <w:jc w:val="right"/>
              <w:rPr>
                <w:rFonts w:ascii="Arial" w:hAnsi="Arial" w:cs="Arial"/>
                <w:sz w:val="18"/>
                <w:szCs w:val="18"/>
                <w:lang w:val="de-DE"/>
              </w:rPr>
            </w:pPr>
            <w:r w:rsidRPr="009E4727">
              <w:rPr>
                <w:rFonts w:ascii="Arial" w:hAnsi="Arial" w:cs="Arial"/>
                <w:sz w:val="18"/>
                <w:szCs w:val="18"/>
                <w:lang w:val="de-DE"/>
              </w:rPr>
              <w:t>3</w:t>
            </w:r>
          </w:p>
        </w:tc>
        <w:tc>
          <w:tcPr>
            <w:tcW w:w="1059" w:type="dxa"/>
            <w:vAlign w:val="center"/>
          </w:tcPr>
          <w:p w:rsidR="009E4727" w:rsidRPr="009E4727" w:rsidRDefault="009E4727" w:rsidP="00A158F3">
            <w:pPr>
              <w:pStyle w:val="TableParagraph"/>
              <w:ind w:left="14"/>
              <w:jc w:val="right"/>
              <w:rPr>
                <w:rFonts w:ascii="Arial" w:hAnsi="Arial" w:cs="Arial"/>
                <w:sz w:val="18"/>
                <w:szCs w:val="18"/>
                <w:lang w:val="de-DE"/>
              </w:rPr>
            </w:pPr>
            <w:r w:rsidRPr="009E4727">
              <w:rPr>
                <w:rFonts w:ascii="Arial" w:hAnsi="Arial" w:cs="Arial"/>
                <w:sz w:val="18"/>
                <w:szCs w:val="18"/>
                <w:lang w:val="de-DE"/>
              </w:rPr>
              <w:t>0</w:t>
            </w:r>
          </w:p>
        </w:tc>
      </w:tr>
      <w:tr w:rsidR="00A158F3" w:rsidRPr="009E4727" w:rsidTr="00A158F3">
        <w:trPr>
          <w:trHeight w:val="413"/>
          <w:jc w:val="center"/>
        </w:trPr>
        <w:tc>
          <w:tcPr>
            <w:tcW w:w="2689" w:type="dxa"/>
          </w:tcPr>
          <w:p w:rsidR="00A158F3" w:rsidRPr="00A158F3" w:rsidRDefault="00A158F3" w:rsidP="00A158F3">
            <w:pPr>
              <w:pStyle w:val="TableParagraph"/>
              <w:spacing w:before="0" w:line="400" w:lineRule="exact"/>
              <w:ind w:left="0"/>
              <w:rPr>
                <w:rFonts w:ascii="Arial" w:hAnsi="Arial" w:cs="Arial"/>
                <w:sz w:val="18"/>
                <w:szCs w:val="18"/>
                <w:lang w:val="de-DE"/>
              </w:rPr>
            </w:pPr>
            <w:r w:rsidRPr="00A158F3">
              <w:rPr>
                <w:rFonts w:ascii="Arial" w:hAnsi="Arial" w:cs="Arial"/>
                <w:sz w:val="18"/>
                <w:szCs w:val="18"/>
                <w:lang w:val="de-DE"/>
              </w:rPr>
              <w:t>Cham</w:t>
            </w:r>
          </w:p>
        </w:tc>
        <w:tc>
          <w:tcPr>
            <w:tcW w:w="1058" w:type="dxa"/>
          </w:tcPr>
          <w:p w:rsidR="00A158F3" w:rsidRPr="00A158F3" w:rsidRDefault="00A158F3" w:rsidP="00A158F3">
            <w:pPr>
              <w:pStyle w:val="TableParagraph"/>
              <w:spacing w:before="78"/>
              <w:ind w:left="121" w:right="112"/>
              <w:jc w:val="right"/>
              <w:rPr>
                <w:rFonts w:ascii="Arial" w:hAnsi="Arial" w:cs="Arial"/>
                <w:sz w:val="18"/>
                <w:szCs w:val="18"/>
                <w:lang w:val="de-DE"/>
              </w:rPr>
            </w:pPr>
            <w:r w:rsidRPr="00A158F3">
              <w:rPr>
                <w:rFonts w:ascii="Arial" w:hAnsi="Arial" w:cs="Arial"/>
                <w:sz w:val="18"/>
                <w:szCs w:val="18"/>
                <w:lang w:val="de-DE"/>
              </w:rPr>
              <w:t>7,4</w:t>
            </w:r>
          </w:p>
        </w:tc>
        <w:tc>
          <w:tcPr>
            <w:tcW w:w="1058" w:type="dxa"/>
          </w:tcPr>
          <w:p w:rsidR="00A158F3" w:rsidRPr="00A158F3" w:rsidRDefault="00A158F3" w:rsidP="00A158F3">
            <w:pPr>
              <w:pStyle w:val="TableParagraph"/>
              <w:spacing w:before="78"/>
              <w:ind w:left="122" w:right="112"/>
              <w:jc w:val="right"/>
              <w:rPr>
                <w:rFonts w:ascii="Arial" w:hAnsi="Arial" w:cs="Arial"/>
                <w:sz w:val="18"/>
                <w:szCs w:val="18"/>
                <w:lang w:val="de-DE"/>
              </w:rPr>
            </w:pPr>
            <w:r w:rsidRPr="00A158F3">
              <w:rPr>
                <w:rFonts w:ascii="Arial" w:hAnsi="Arial" w:cs="Arial"/>
                <w:sz w:val="18"/>
                <w:szCs w:val="18"/>
                <w:lang w:val="de-DE"/>
              </w:rPr>
              <w:t>7,1</w:t>
            </w:r>
          </w:p>
        </w:tc>
        <w:tc>
          <w:tcPr>
            <w:tcW w:w="1059" w:type="dxa"/>
          </w:tcPr>
          <w:p w:rsidR="00A158F3" w:rsidRPr="00A158F3" w:rsidRDefault="00A158F3" w:rsidP="00A158F3">
            <w:pPr>
              <w:pStyle w:val="TableParagraph"/>
              <w:spacing w:before="78"/>
              <w:ind w:left="11"/>
              <w:jc w:val="right"/>
              <w:rPr>
                <w:rFonts w:ascii="Arial" w:hAnsi="Arial" w:cs="Arial"/>
                <w:sz w:val="18"/>
                <w:szCs w:val="18"/>
                <w:lang w:val="de-DE"/>
              </w:rPr>
            </w:pPr>
            <w:r w:rsidRPr="00A158F3">
              <w:rPr>
                <w:rFonts w:ascii="Arial" w:hAnsi="Arial" w:cs="Arial"/>
                <w:sz w:val="18"/>
                <w:szCs w:val="18"/>
                <w:lang w:val="de-DE"/>
              </w:rPr>
              <w:t>2</w:t>
            </w:r>
          </w:p>
        </w:tc>
        <w:tc>
          <w:tcPr>
            <w:tcW w:w="1058" w:type="dxa"/>
          </w:tcPr>
          <w:p w:rsidR="00A158F3" w:rsidRPr="00A158F3" w:rsidRDefault="00A158F3" w:rsidP="00A158F3">
            <w:pPr>
              <w:pStyle w:val="TableParagraph"/>
              <w:spacing w:before="78"/>
              <w:jc w:val="right"/>
              <w:rPr>
                <w:rFonts w:ascii="Arial" w:hAnsi="Arial" w:cs="Arial"/>
                <w:sz w:val="18"/>
                <w:szCs w:val="18"/>
                <w:lang w:val="de-DE"/>
              </w:rPr>
            </w:pPr>
            <w:r w:rsidRPr="00A158F3">
              <w:rPr>
                <w:rFonts w:ascii="Arial" w:hAnsi="Arial" w:cs="Arial"/>
                <w:sz w:val="18"/>
                <w:szCs w:val="18"/>
                <w:lang w:val="de-DE"/>
              </w:rPr>
              <w:t>2</w:t>
            </w:r>
          </w:p>
        </w:tc>
        <w:tc>
          <w:tcPr>
            <w:tcW w:w="1059" w:type="dxa"/>
          </w:tcPr>
          <w:p w:rsidR="00A158F3" w:rsidRPr="00A158F3" w:rsidRDefault="00A158F3" w:rsidP="00A158F3">
            <w:pPr>
              <w:pStyle w:val="TableParagraph"/>
              <w:spacing w:before="78"/>
              <w:jc w:val="right"/>
              <w:rPr>
                <w:rFonts w:ascii="Arial" w:hAnsi="Arial" w:cs="Arial"/>
                <w:sz w:val="18"/>
                <w:szCs w:val="18"/>
                <w:lang w:val="de-DE"/>
              </w:rPr>
            </w:pPr>
            <w:r w:rsidRPr="00A158F3">
              <w:rPr>
                <w:rFonts w:ascii="Arial" w:hAnsi="Arial" w:cs="Arial"/>
                <w:sz w:val="18"/>
                <w:szCs w:val="18"/>
                <w:lang w:val="de-DE"/>
              </w:rPr>
              <w:t>0</w:t>
            </w:r>
          </w:p>
        </w:tc>
      </w:tr>
      <w:tr w:rsidR="00A158F3" w:rsidRPr="009E4727" w:rsidTr="00A158F3">
        <w:trPr>
          <w:trHeight w:val="413"/>
          <w:jc w:val="center"/>
        </w:trPr>
        <w:tc>
          <w:tcPr>
            <w:tcW w:w="2689" w:type="dxa"/>
          </w:tcPr>
          <w:p w:rsidR="00A158F3" w:rsidRPr="00A158F3" w:rsidRDefault="00A158F3" w:rsidP="00A158F3">
            <w:pPr>
              <w:pStyle w:val="TableParagraph"/>
              <w:spacing w:before="0" w:line="400" w:lineRule="exact"/>
              <w:ind w:left="0"/>
              <w:rPr>
                <w:rFonts w:ascii="Arial" w:hAnsi="Arial" w:cs="Arial"/>
                <w:sz w:val="18"/>
                <w:szCs w:val="18"/>
                <w:lang w:val="de-DE"/>
              </w:rPr>
            </w:pPr>
            <w:r>
              <w:rPr>
                <w:rFonts w:ascii="Arial" w:hAnsi="Arial" w:cs="Arial"/>
                <w:sz w:val="18"/>
                <w:szCs w:val="18"/>
                <w:lang w:val="de-DE"/>
              </w:rPr>
              <w:t>Regensburg-Schwan</w:t>
            </w:r>
            <w:r w:rsidRPr="00A158F3">
              <w:rPr>
                <w:rFonts w:ascii="Arial" w:hAnsi="Arial" w:cs="Arial"/>
                <w:sz w:val="18"/>
                <w:szCs w:val="18"/>
                <w:lang w:val="de-DE"/>
              </w:rPr>
              <w:t>dorf</w:t>
            </w:r>
          </w:p>
        </w:tc>
        <w:tc>
          <w:tcPr>
            <w:tcW w:w="1058" w:type="dxa"/>
          </w:tcPr>
          <w:p w:rsidR="00A158F3" w:rsidRPr="00A158F3" w:rsidRDefault="00A158F3" w:rsidP="00A158F3">
            <w:pPr>
              <w:pStyle w:val="TableParagraph"/>
              <w:spacing w:before="78"/>
              <w:ind w:left="121" w:right="112"/>
              <w:jc w:val="right"/>
              <w:rPr>
                <w:rFonts w:ascii="Arial" w:hAnsi="Arial" w:cs="Arial"/>
                <w:sz w:val="18"/>
                <w:szCs w:val="18"/>
                <w:lang w:val="de-DE"/>
              </w:rPr>
            </w:pPr>
            <w:r w:rsidRPr="00A158F3">
              <w:rPr>
                <w:rFonts w:ascii="Arial" w:hAnsi="Arial" w:cs="Arial"/>
                <w:sz w:val="18"/>
                <w:szCs w:val="18"/>
                <w:lang w:val="de-DE"/>
              </w:rPr>
              <w:t>9,8</w:t>
            </w:r>
          </w:p>
        </w:tc>
        <w:tc>
          <w:tcPr>
            <w:tcW w:w="1058" w:type="dxa"/>
          </w:tcPr>
          <w:p w:rsidR="00A158F3" w:rsidRPr="00A158F3" w:rsidRDefault="00A158F3" w:rsidP="00A158F3">
            <w:pPr>
              <w:pStyle w:val="TableParagraph"/>
              <w:spacing w:before="78"/>
              <w:ind w:left="122" w:right="112"/>
              <w:jc w:val="right"/>
              <w:rPr>
                <w:rFonts w:ascii="Arial" w:hAnsi="Arial" w:cs="Arial"/>
                <w:sz w:val="18"/>
                <w:szCs w:val="18"/>
                <w:lang w:val="de-DE"/>
              </w:rPr>
            </w:pPr>
            <w:r w:rsidRPr="00A158F3">
              <w:rPr>
                <w:rFonts w:ascii="Arial" w:hAnsi="Arial" w:cs="Arial"/>
                <w:sz w:val="18"/>
                <w:szCs w:val="18"/>
                <w:lang w:val="de-DE"/>
              </w:rPr>
              <w:t>9,3</w:t>
            </w:r>
          </w:p>
        </w:tc>
        <w:tc>
          <w:tcPr>
            <w:tcW w:w="1059" w:type="dxa"/>
          </w:tcPr>
          <w:p w:rsidR="00A158F3" w:rsidRPr="00A158F3" w:rsidRDefault="00A158F3" w:rsidP="00A158F3">
            <w:pPr>
              <w:pStyle w:val="TableParagraph"/>
              <w:spacing w:before="78"/>
              <w:ind w:left="12"/>
              <w:jc w:val="right"/>
              <w:rPr>
                <w:rFonts w:ascii="Arial" w:hAnsi="Arial" w:cs="Arial"/>
                <w:sz w:val="18"/>
                <w:szCs w:val="18"/>
                <w:lang w:val="de-DE"/>
              </w:rPr>
            </w:pPr>
            <w:r w:rsidRPr="00A158F3">
              <w:rPr>
                <w:rFonts w:ascii="Arial" w:hAnsi="Arial" w:cs="Arial"/>
                <w:sz w:val="18"/>
                <w:szCs w:val="18"/>
                <w:lang w:val="de-DE"/>
              </w:rPr>
              <w:t>3</w:t>
            </w:r>
          </w:p>
        </w:tc>
        <w:tc>
          <w:tcPr>
            <w:tcW w:w="1058" w:type="dxa"/>
          </w:tcPr>
          <w:p w:rsidR="00A158F3" w:rsidRPr="00A158F3" w:rsidRDefault="00A158F3" w:rsidP="00A158F3">
            <w:pPr>
              <w:pStyle w:val="TableParagraph"/>
              <w:spacing w:before="78"/>
              <w:ind w:left="14"/>
              <w:jc w:val="right"/>
              <w:rPr>
                <w:rFonts w:ascii="Arial" w:hAnsi="Arial" w:cs="Arial"/>
                <w:sz w:val="18"/>
                <w:szCs w:val="18"/>
                <w:lang w:val="de-DE"/>
              </w:rPr>
            </w:pPr>
            <w:r w:rsidRPr="00A158F3">
              <w:rPr>
                <w:rFonts w:ascii="Arial" w:hAnsi="Arial" w:cs="Arial"/>
                <w:sz w:val="18"/>
                <w:szCs w:val="18"/>
                <w:lang w:val="de-DE"/>
              </w:rPr>
              <w:t>4</w:t>
            </w:r>
          </w:p>
        </w:tc>
        <w:tc>
          <w:tcPr>
            <w:tcW w:w="1059" w:type="dxa"/>
          </w:tcPr>
          <w:p w:rsidR="00A158F3" w:rsidRPr="00A158F3" w:rsidRDefault="00A158F3" w:rsidP="00A158F3">
            <w:pPr>
              <w:pStyle w:val="TableParagraph"/>
              <w:spacing w:before="78"/>
              <w:ind w:left="14"/>
              <w:jc w:val="right"/>
              <w:rPr>
                <w:rFonts w:ascii="Arial" w:hAnsi="Arial" w:cs="Arial"/>
                <w:sz w:val="18"/>
                <w:szCs w:val="18"/>
                <w:lang w:val="de-DE"/>
              </w:rPr>
            </w:pPr>
            <w:r w:rsidRPr="00A158F3">
              <w:rPr>
                <w:rFonts w:ascii="Arial" w:hAnsi="Arial" w:cs="Arial"/>
                <w:sz w:val="18"/>
                <w:szCs w:val="18"/>
                <w:lang w:val="de-DE"/>
              </w:rPr>
              <w:t>1</w:t>
            </w:r>
          </w:p>
        </w:tc>
      </w:tr>
      <w:tr w:rsidR="00A158F3" w:rsidRPr="009E4727" w:rsidTr="00A158F3">
        <w:trPr>
          <w:trHeight w:val="413"/>
          <w:jc w:val="center"/>
        </w:trPr>
        <w:tc>
          <w:tcPr>
            <w:tcW w:w="2689" w:type="dxa"/>
          </w:tcPr>
          <w:p w:rsidR="00A158F3" w:rsidRPr="00A158F3" w:rsidRDefault="00A158F3" w:rsidP="00A158F3">
            <w:pPr>
              <w:pStyle w:val="TableParagraph"/>
              <w:spacing w:before="0" w:line="400" w:lineRule="exact"/>
              <w:ind w:left="0"/>
              <w:rPr>
                <w:rFonts w:ascii="Arial" w:hAnsi="Arial" w:cs="Arial"/>
                <w:sz w:val="18"/>
                <w:szCs w:val="18"/>
                <w:lang w:val="de-DE"/>
              </w:rPr>
            </w:pPr>
            <w:r w:rsidRPr="00A158F3">
              <w:rPr>
                <w:rFonts w:ascii="Arial" w:hAnsi="Arial" w:cs="Arial"/>
                <w:sz w:val="18"/>
                <w:szCs w:val="18"/>
                <w:lang w:val="de-DE"/>
              </w:rPr>
              <w:t>Tirschenreuth-Weiden</w:t>
            </w:r>
            <w:r>
              <w:rPr>
                <w:rFonts w:ascii="Arial" w:hAnsi="Arial" w:cs="Arial"/>
                <w:sz w:val="18"/>
                <w:szCs w:val="18"/>
                <w:lang w:val="de-DE"/>
              </w:rPr>
              <w:t xml:space="preserve"> </w:t>
            </w:r>
            <w:r w:rsidRPr="00A158F3">
              <w:rPr>
                <w:rFonts w:ascii="Arial" w:hAnsi="Arial" w:cs="Arial"/>
                <w:sz w:val="18"/>
                <w:szCs w:val="18"/>
                <w:lang w:val="de-DE"/>
              </w:rPr>
              <w:t>i.d.OPf.</w:t>
            </w:r>
          </w:p>
        </w:tc>
        <w:tc>
          <w:tcPr>
            <w:tcW w:w="1058" w:type="dxa"/>
          </w:tcPr>
          <w:p w:rsidR="00A158F3" w:rsidRPr="00A158F3" w:rsidRDefault="00A158F3" w:rsidP="00A158F3">
            <w:pPr>
              <w:pStyle w:val="TableParagraph"/>
              <w:spacing w:before="78"/>
              <w:ind w:left="121" w:right="112"/>
              <w:jc w:val="right"/>
              <w:rPr>
                <w:rFonts w:ascii="Arial" w:hAnsi="Arial" w:cs="Arial"/>
                <w:sz w:val="18"/>
                <w:szCs w:val="18"/>
                <w:lang w:val="de-DE"/>
              </w:rPr>
            </w:pPr>
            <w:r w:rsidRPr="00A158F3">
              <w:rPr>
                <w:rFonts w:ascii="Arial" w:hAnsi="Arial" w:cs="Arial"/>
                <w:sz w:val="18"/>
                <w:szCs w:val="18"/>
                <w:lang w:val="de-DE"/>
              </w:rPr>
              <w:t>10,7</w:t>
            </w:r>
          </w:p>
        </w:tc>
        <w:tc>
          <w:tcPr>
            <w:tcW w:w="1058" w:type="dxa"/>
          </w:tcPr>
          <w:p w:rsidR="00A158F3" w:rsidRPr="00A158F3" w:rsidRDefault="00A158F3" w:rsidP="00A158F3">
            <w:pPr>
              <w:pStyle w:val="TableParagraph"/>
              <w:spacing w:before="78"/>
              <w:ind w:left="122" w:right="112"/>
              <w:jc w:val="right"/>
              <w:rPr>
                <w:rFonts w:ascii="Arial" w:hAnsi="Arial" w:cs="Arial"/>
                <w:sz w:val="18"/>
                <w:szCs w:val="18"/>
                <w:lang w:val="de-DE"/>
              </w:rPr>
            </w:pPr>
            <w:r w:rsidRPr="00A158F3">
              <w:rPr>
                <w:rFonts w:ascii="Arial" w:hAnsi="Arial" w:cs="Arial"/>
                <w:sz w:val="18"/>
                <w:szCs w:val="18"/>
                <w:lang w:val="de-DE"/>
              </w:rPr>
              <w:t>11,1</w:t>
            </w:r>
          </w:p>
        </w:tc>
        <w:tc>
          <w:tcPr>
            <w:tcW w:w="1059" w:type="dxa"/>
          </w:tcPr>
          <w:p w:rsidR="00A158F3" w:rsidRPr="00A158F3" w:rsidRDefault="00A158F3" w:rsidP="00A158F3">
            <w:pPr>
              <w:pStyle w:val="TableParagraph"/>
              <w:spacing w:before="78"/>
              <w:ind w:left="12"/>
              <w:jc w:val="right"/>
              <w:rPr>
                <w:rFonts w:ascii="Arial" w:hAnsi="Arial" w:cs="Arial"/>
                <w:sz w:val="18"/>
                <w:szCs w:val="18"/>
                <w:lang w:val="de-DE"/>
              </w:rPr>
            </w:pPr>
            <w:r w:rsidRPr="00A158F3">
              <w:rPr>
                <w:rFonts w:ascii="Arial" w:hAnsi="Arial" w:cs="Arial"/>
                <w:sz w:val="18"/>
                <w:szCs w:val="18"/>
                <w:lang w:val="de-DE"/>
              </w:rPr>
              <w:t>2</w:t>
            </w:r>
          </w:p>
        </w:tc>
        <w:tc>
          <w:tcPr>
            <w:tcW w:w="1058" w:type="dxa"/>
          </w:tcPr>
          <w:p w:rsidR="00A158F3" w:rsidRPr="00A158F3" w:rsidRDefault="00A158F3" w:rsidP="00A158F3">
            <w:pPr>
              <w:pStyle w:val="TableParagraph"/>
              <w:spacing w:before="78"/>
              <w:ind w:left="14"/>
              <w:jc w:val="right"/>
              <w:rPr>
                <w:rFonts w:ascii="Arial" w:hAnsi="Arial" w:cs="Arial"/>
                <w:sz w:val="18"/>
                <w:szCs w:val="18"/>
                <w:lang w:val="de-DE"/>
              </w:rPr>
            </w:pPr>
            <w:r w:rsidRPr="00A158F3">
              <w:rPr>
                <w:rFonts w:ascii="Arial" w:hAnsi="Arial" w:cs="Arial"/>
                <w:sz w:val="18"/>
                <w:szCs w:val="18"/>
                <w:lang w:val="de-DE"/>
              </w:rPr>
              <w:t>4</w:t>
            </w:r>
          </w:p>
        </w:tc>
        <w:tc>
          <w:tcPr>
            <w:tcW w:w="1059" w:type="dxa"/>
          </w:tcPr>
          <w:p w:rsidR="00A158F3" w:rsidRPr="00A158F3" w:rsidRDefault="00A158F3" w:rsidP="00A158F3">
            <w:pPr>
              <w:pStyle w:val="TableParagraph"/>
              <w:spacing w:before="78"/>
              <w:ind w:left="14"/>
              <w:jc w:val="right"/>
              <w:rPr>
                <w:rFonts w:ascii="Arial" w:hAnsi="Arial" w:cs="Arial"/>
                <w:sz w:val="18"/>
                <w:szCs w:val="18"/>
                <w:lang w:val="de-DE"/>
              </w:rPr>
            </w:pPr>
            <w:r w:rsidRPr="00A158F3">
              <w:rPr>
                <w:rFonts w:ascii="Arial" w:hAnsi="Arial" w:cs="Arial"/>
                <w:sz w:val="18"/>
                <w:szCs w:val="18"/>
                <w:lang w:val="de-DE"/>
              </w:rPr>
              <w:t>2</w:t>
            </w:r>
          </w:p>
        </w:tc>
      </w:tr>
      <w:tr w:rsidR="00A158F3" w:rsidRPr="009E4727" w:rsidTr="00A158F3">
        <w:trPr>
          <w:trHeight w:val="413"/>
          <w:jc w:val="center"/>
        </w:trPr>
        <w:tc>
          <w:tcPr>
            <w:tcW w:w="2689" w:type="dxa"/>
          </w:tcPr>
          <w:p w:rsidR="00A158F3" w:rsidRPr="00A158F3" w:rsidRDefault="00A158F3" w:rsidP="00A158F3">
            <w:pPr>
              <w:pStyle w:val="TableParagraph"/>
              <w:spacing w:before="0" w:line="400" w:lineRule="exact"/>
              <w:ind w:left="0"/>
              <w:rPr>
                <w:rFonts w:ascii="Arial" w:hAnsi="Arial" w:cs="Arial"/>
                <w:sz w:val="18"/>
                <w:szCs w:val="18"/>
                <w:lang w:val="de-DE"/>
              </w:rPr>
            </w:pPr>
            <w:r w:rsidRPr="00A158F3">
              <w:rPr>
                <w:rFonts w:ascii="Arial" w:hAnsi="Arial" w:cs="Arial"/>
                <w:sz w:val="18"/>
                <w:szCs w:val="18"/>
                <w:lang w:val="de-DE"/>
              </w:rPr>
              <w:t>Bamberg</w:t>
            </w:r>
          </w:p>
        </w:tc>
        <w:tc>
          <w:tcPr>
            <w:tcW w:w="1058" w:type="dxa"/>
          </w:tcPr>
          <w:p w:rsidR="00A158F3" w:rsidRPr="00A158F3" w:rsidRDefault="00A158F3" w:rsidP="00A158F3">
            <w:pPr>
              <w:pStyle w:val="TableParagraph"/>
              <w:spacing w:before="78"/>
              <w:ind w:left="121" w:right="112"/>
              <w:jc w:val="right"/>
              <w:rPr>
                <w:rFonts w:ascii="Arial" w:hAnsi="Arial" w:cs="Arial"/>
                <w:sz w:val="18"/>
                <w:szCs w:val="18"/>
                <w:lang w:val="de-DE"/>
              </w:rPr>
            </w:pPr>
            <w:r w:rsidRPr="00A158F3">
              <w:rPr>
                <w:rFonts w:ascii="Arial" w:hAnsi="Arial" w:cs="Arial"/>
                <w:sz w:val="18"/>
                <w:szCs w:val="18"/>
                <w:lang w:val="de-DE"/>
              </w:rPr>
              <w:t>6,5</w:t>
            </w:r>
          </w:p>
        </w:tc>
        <w:tc>
          <w:tcPr>
            <w:tcW w:w="1058" w:type="dxa"/>
          </w:tcPr>
          <w:p w:rsidR="00A158F3" w:rsidRPr="00A158F3" w:rsidRDefault="00A158F3" w:rsidP="00A158F3">
            <w:pPr>
              <w:pStyle w:val="TableParagraph"/>
              <w:spacing w:before="78"/>
              <w:ind w:left="122" w:right="112"/>
              <w:jc w:val="right"/>
              <w:rPr>
                <w:rFonts w:ascii="Arial" w:hAnsi="Arial" w:cs="Arial"/>
                <w:sz w:val="18"/>
                <w:szCs w:val="18"/>
                <w:lang w:val="de-DE"/>
              </w:rPr>
            </w:pPr>
            <w:r w:rsidRPr="00A158F3">
              <w:rPr>
                <w:rFonts w:ascii="Arial" w:hAnsi="Arial" w:cs="Arial"/>
                <w:sz w:val="18"/>
                <w:szCs w:val="18"/>
                <w:lang w:val="de-DE"/>
              </w:rPr>
              <w:t>4,8</w:t>
            </w:r>
          </w:p>
        </w:tc>
        <w:tc>
          <w:tcPr>
            <w:tcW w:w="1059" w:type="dxa"/>
          </w:tcPr>
          <w:p w:rsidR="00A158F3" w:rsidRPr="00A158F3" w:rsidRDefault="00A158F3" w:rsidP="00A158F3">
            <w:pPr>
              <w:pStyle w:val="TableParagraph"/>
              <w:spacing w:before="78"/>
              <w:ind w:left="12"/>
              <w:jc w:val="right"/>
              <w:rPr>
                <w:rFonts w:ascii="Arial" w:hAnsi="Arial" w:cs="Arial"/>
                <w:sz w:val="18"/>
                <w:szCs w:val="18"/>
                <w:lang w:val="de-DE"/>
              </w:rPr>
            </w:pPr>
            <w:r w:rsidRPr="00A158F3">
              <w:rPr>
                <w:rFonts w:ascii="Arial" w:hAnsi="Arial" w:cs="Arial"/>
                <w:sz w:val="18"/>
                <w:szCs w:val="18"/>
                <w:lang w:val="de-DE"/>
              </w:rPr>
              <w:t>3</w:t>
            </w:r>
          </w:p>
        </w:tc>
        <w:tc>
          <w:tcPr>
            <w:tcW w:w="1058" w:type="dxa"/>
          </w:tcPr>
          <w:p w:rsidR="00A158F3" w:rsidRPr="00A158F3" w:rsidRDefault="00A158F3" w:rsidP="00A158F3">
            <w:pPr>
              <w:pStyle w:val="TableParagraph"/>
              <w:spacing w:before="78"/>
              <w:ind w:left="14"/>
              <w:jc w:val="right"/>
              <w:rPr>
                <w:rFonts w:ascii="Arial" w:hAnsi="Arial" w:cs="Arial"/>
                <w:sz w:val="18"/>
                <w:szCs w:val="18"/>
                <w:lang w:val="de-DE"/>
              </w:rPr>
            </w:pPr>
            <w:r w:rsidRPr="00A158F3">
              <w:rPr>
                <w:rFonts w:ascii="Arial" w:hAnsi="Arial" w:cs="Arial"/>
                <w:sz w:val="18"/>
                <w:szCs w:val="18"/>
                <w:lang w:val="de-DE"/>
              </w:rPr>
              <w:t>3</w:t>
            </w:r>
          </w:p>
        </w:tc>
        <w:tc>
          <w:tcPr>
            <w:tcW w:w="1059" w:type="dxa"/>
          </w:tcPr>
          <w:p w:rsidR="00A158F3" w:rsidRPr="00A158F3" w:rsidRDefault="00A158F3" w:rsidP="00A158F3">
            <w:pPr>
              <w:pStyle w:val="TableParagraph"/>
              <w:spacing w:before="78"/>
              <w:ind w:left="14"/>
              <w:jc w:val="right"/>
              <w:rPr>
                <w:rFonts w:ascii="Arial" w:hAnsi="Arial" w:cs="Arial"/>
                <w:sz w:val="18"/>
                <w:szCs w:val="18"/>
                <w:lang w:val="de-DE"/>
              </w:rPr>
            </w:pPr>
            <w:r w:rsidRPr="00A158F3">
              <w:rPr>
                <w:rFonts w:ascii="Arial" w:hAnsi="Arial" w:cs="Arial"/>
                <w:sz w:val="18"/>
                <w:szCs w:val="18"/>
                <w:lang w:val="de-DE"/>
              </w:rPr>
              <w:t>0</w:t>
            </w:r>
          </w:p>
        </w:tc>
      </w:tr>
      <w:tr w:rsidR="00A158F3" w:rsidRPr="009E4727" w:rsidTr="00A158F3">
        <w:trPr>
          <w:trHeight w:val="413"/>
          <w:jc w:val="center"/>
        </w:trPr>
        <w:tc>
          <w:tcPr>
            <w:tcW w:w="2689" w:type="dxa"/>
          </w:tcPr>
          <w:p w:rsidR="00A158F3" w:rsidRPr="00A158F3" w:rsidRDefault="00A158F3" w:rsidP="00A158F3">
            <w:pPr>
              <w:pStyle w:val="TableParagraph"/>
              <w:spacing w:before="0" w:line="400" w:lineRule="exact"/>
              <w:ind w:left="0"/>
              <w:rPr>
                <w:rFonts w:ascii="Arial" w:hAnsi="Arial" w:cs="Arial"/>
                <w:sz w:val="18"/>
                <w:szCs w:val="18"/>
                <w:lang w:val="de-DE"/>
              </w:rPr>
            </w:pPr>
            <w:r w:rsidRPr="00A158F3">
              <w:rPr>
                <w:rFonts w:ascii="Arial" w:hAnsi="Arial" w:cs="Arial"/>
                <w:sz w:val="18"/>
                <w:szCs w:val="18"/>
                <w:lang w:val="de-DE"/>
              </w:rPr>
              <w:t>Bayreuth-Münchberg</w:t>
            </w:r>
          </w:p>
        </w:tc>
        <w:tc>
          <w:tcPr>
            <w:tcW w:w="1058" w:type="dxa"/>
          </w:tcPr>
          <w:p w:rsidR="00A158F3" w:rsidRPr="00A158F3" w:rsidRDefault="00A158F3" w:rsidP="00A158F3">
            <w:pPr>
              <w:pStyle w:val="TableParagraph"/>
              <w:spacing w:before="78"/>
              <w:ind w:left="121" w:right="112"/>
              <w:jc w:val="right"/>
              <w:rPr>
                <w:rFonts w:ascii="Arial" w:hAnsi="Arial" w:cs="Arial"/>
                <w:sz w:val="18"/>
                <w:szCs w:val="18"/>
                <w:lang w:val="de-DE"/>
              </w:rPr>
            </w:pPr>
            <w:r w:rsidRPr="00A158F3">
              <w:rPr>
                <w:rFonts w:ascii="Arial" w:hAnsi="Arial" w:cs="Arial"/>
                <w:sz w:val="18"/>
                <w:szCs w:val="18"/>
                <w:lang w:val="de-DE"/>
              </w:rPr>
              <w:t>10,4</w:t>
            </w:r>
          </w:p>
        </w:tc>
        <w:tc>
          <w:tcPr>
            <w:tcW w:w="1058" w:type="dxa"/>
          </w:tcPr>
          <w:p w:rsidR="00A158F3" w:rsidRPr="00A158F3" w:rsidRDefault="00A158F3" w:rsidP="00A158F3">
            <w:pPr>
              <w:pStyle w:val="TableParagraph"/>
              <w:spacing w:before="78"/>
              <w:ind w:left="122" w:right="112"/>
              <w:jc w:val="right"/>
              <w:rPr>
                <w:rFonts w:ascii="Arial" w:hAnsi="Arial" w:cs="Arial"/>
                <w:sz w:val="18"/>
                <w:szCs w:val="18"/>
                <w:lang w:val="de-DE"/>
              </w:rPr>
            </w:pPr>
            <w:r w:rsidRPr="00A158F3">
              <w:rPr>
                <w:rFonts w:ascii="Arial" w:hAnsi="Arial" w:cs="Arial"/>
                <w:sz w:val="18"/>
                <w:szCs w:val="18"/>
                <w:lang w:val="de-DE"/>
              </w:rPr>
              <w:t>11,0</w:t>
            </w:r>
          </w:p>
        </w:tc>
        <w:tc>
          <w:tcPr>
            <w:tcW w:w="1059" w:type="dxa"/>
          </w:tcPr>
          <w:p w:rsidR="00A158F3" w:rsidRPr="00A158F3" w:rsidRDefault="00A158F3" w:rsidP="00A158F3">
            <w:pPr>
              <w:pStyle w:val="TableParagraph"/>
              <w:spacing w:before="78"/>
              <w:ind w:left="11"/>
              <w:jc w:val="right"/>
              <w:rPr>
                <w:rFonts w:ascii="Arial" w:hAnsi="Arial" w:cs="Arial"/>
                <w:sz w:val="18"/>
                <w:szCs w:val="18"/>
                <w:lang w:val="de-DE"/>
              </w:rPr>
            </w:pPr>
            <w:r w:rsidRPr="00A158F3">
              <w:rPr>
                <w:rFonts w:ascii="Arial" w:hAnsi="Arial" w:cs="Arial"/>
                <w:sz w:val="18"/>
                <w:szCs w:val="18"/>
                <w:lang w:val="de-DE"/>
              </w:rPr>
              <w:t>4</w:t>
            </w:r>
          </w:p>
        </w:tc>
        <w:tc>
          <w:tcPr>
            <w:tcW w:w="1058" w:type="dxa"/>
          </w:tcPr>
          <w:p w:rsidR="00A158F3" w:rsidRPr="00A158F3" w:rsidRDefault="00A158F3" w:rsidP="00A158F3">
            <w:pPr>
              <w:pStyle w:val="TableParagraph"/>
              <w:spacing w:before="78"/>
              <w:jc w:val="right"/>
              <w:rPr>
                <w:rFonts w:ascii="Arial" w:hAnsi="Arial" w:cs="Arial"/>
                <w:sz w:val="18"/>
                <w:szCs w:val="18"/>
                <w:lang w:val="de-DE"/>
              </w:rPr>
            </w:pPr>
            <w:r w:rsidRPr="00A158F3">
              <w:rPr>
                <w:rFonts w:ascii="Arial" w:hAnsi="Arial" w:cs="Arial"/>
                <w:sz w:val="18"/>
                <w:szCs w:val="18"/>
                <w:lang w:val="de-DE"/>
              </w:rPr>
              <w:t>4</w:t>
            </w:r>
          </w:p>
        </w:tc>
        <w:tc>
          <w:tcPr>
            <w:tcW w:w="1059" w:type="dxa"/>
          </w:tcPr>
          <w:p w:rsidR="00A158F3" w:rsidRPr="00A158F3" w:rsidRDefault="00A158F3" w:rsidP="00A158F3">
            <w:pPr>
              <w:pStyle w:val="TableParagraph"/>
              <w:spacing w:before="78"/>
              <w:jc w:val="right"/>
              <w:rPr>
                <w:rFonts w:ascii="Arial" w:hAnsi="Arial" w:cs="Arial"/>
                <w:sz w:val="18"/>
                <w:szCs w:val="18"/>
                <w:lang w:val="de-DE"/>
              </w:rPr>
            </w:pPr>
            <w:r w:rsidRPr="00A158F3">
              <w:rPr>
                <w:rFonts w:ascii="Arial" w:hAnsi="Arial" w:cs="Arial"/>
                <w:sz w:val="18"/>
                <w:szCs w:val="18"/>
                <w:lang w:val="de-DE"/>
              </w:rPr>
              <w:t>0</w:t>
            </w:r>
          </w:p>
        </w:tc>
      </w:tr>
      <w:tr w:rsidR="00A158F3" w:rsidRPr="009E4727" w:rsidTr="00A158F3">
        <w:trPr>
          <w:trHeight w:val="413"/>
          <w:jc w:val="center"/>
        </w:trPr>
        <w:tc>
          <w:tcPr>
            <w:tcW w:w="2689" w:type="dxa"/>
          </w:tcPr>
          <w:p w:rsidR="00A158F3" w:rsidRPr="00A158F3" w:rsidRDefault="00A158F3" w:rsidP="00A158F3">
            <w:pPr>
              <w:pStyle w:val="TableParagraph"/>
              <w:spacing w:before="0" w:line="400" w:lineRule="exact"/>
              <w:ind w:left="0"/>
              <w:rPr>
                <w:rFonts w:ascii="Arial" w:hAnsi="Arial" w:cs="Arial"/>
                <w:sz w:val="18"/>
                <w:szCs w:val="18"/>
                <w:lang w:val="de-DE"/>
              </w:rPr>
            </w:pPr>
            <w:r w:rsidRPr="00A158F3">
              <w:rPr>
                <w:rFonts w:ascii="Arial" w:hAnsi="Arial" w:cs="Arial"/>
                <w:sz w:val="18"/>
                <w:szCs w:val="18"/>
                <w:lang w:val="de-DE"/>
              </w:rPr>
              <w:t>Coburg-Kulmbach</w:t>
            </w:r>
          </w:p>
        </w:tc>
        <w:tc>
          <w:tcPr>
            <w:tcW w:w="1058" w:type="dxa"/>
          </w:tcPr>
          <w:p w:rsidR="00A158F3" w:rsidRPr="00A158F3" w:rsidRDefault="00A158F3" w:rsidP="00A158F3">
            <w:pPr>
              <w:pStyle w:val="TableParagraph"/>
              <w:spacing w:before="78"/>
              <w:ind w:left="121" w:right="112"/>
              <w:jc w:val="right"/>
              <w:rPr>
                <w:rFonts w:ascii="Arial" w:hAnsi="Arial" w:cs="Arial"/>
                <w:sz w:val="18"/>
                <w:szCs w:val="18"/>
                <w:lang w:val="de-DE"/>
              </w:rPr>
            </w:pPr>
            <w:r w:rsidRPr="00A158F3">
              <w:rPr>
                <w:rFonts w:ascii="Arial" w:hAnsi="Arial" w:cs="Arial"/>
                <w:sz w:val="18"/>
                <w:szCs w:val="18"/>
                <w:lang w:val="de-DE"/>
              </w:rPr>
              <w:t>8,9</w:t>
            </w:r>
          </w:p>
        </w:tc>
        <w:tc>
          <w:tcPr>
            <w:tcW w:w="1058" w:type="dxa"/>
          </w:tcPr>
          <w:p w:rsidR="00A158F3" w:rsidRPr="00A158F3" w:rsidRDefault="00A158F3" w:rsidP="00A158F3">
            <w:pPr>
              <w:pStyle w:val="TableParagraph"/>
              <w:spacing w:before="78"/>
              <w:ind w:left="122" w:right="112"/>
              <w:jc w:val="right"/>
              <w:rPr>
                <w:rFonts w:ascii="Arial" w:hAnsi="Arial" w:cs="Arial"/>
                <w:sz w:val="18"/>
                <w:szCs w:val="18"/>
                <w:lang w:val="de-DE"/>
              </w:rPr>
            </w:pPr>
            <w:r w:rsidRPr="00A158F3">
              <w:rPr>
                <w:rFonts w:ascii="Arial" w:hAnsi="Arial" w:cs="Arial"/>
                <w:sz w:val="18"/>
                <w:szCs w:val="18"/>
                <w:lang w:val="de-DE"/>
              </w:rPr>
              <w:t>8,5</w:t>
            </w:r>
          </w:p>
        </w:tc>
        <w:tc>
          <w:tcPr>
            <w:tcW w:w="1059" w:type="dxa"/>
          </w:tcPr>
          <w:p w:rsidR="00A158F3" w:rsidRPr="00A158F3" w:rsidRDefault="00A158F3" w:rsidP="00A158F3">
            <w:pPr>
              <w:pStyle w:val="TableParagraph"/>
              <w:spacing w:before="78"/>
              <w:ind w:left="11"/>
              <w:jc w:val="right"/>
              <w:rPr>
                <w:rFonts w:ascii="Arial" w:hAnsi="Arial" w:cs="Arial"/>
                <w:sz w:val="18"/>
                <w:szCs w:val="18"/>
                <w:lang w:val="de-DE"/>
              </w:rPr>
            </w:pPr>
            <w:r w:rsidRPr="00A158F3">
              <w:rPr>
                <w:rFonts w:ascii="Arial" w:hAnsi="Arial" w:cs="Arial"/>
                <w:sz w:val="18"/>
                <w:szCs w:val="18"/>
                <w:lang w:val="de-DE"/>
              </w:rPr>
              <w:t>2</w:t>
            </w:r>
          </w:p>
        </w:tc>
        <w:tc>
          <w:tcPr>
            <w:tcW w:w="1058" w:type="dxa"/>
          </w:tcPr>
          <w:p w:rsidR="00A158F3" w:rsidRPr="00A158F3" w:rsidRDefault="00A158F3" w:rsidP="00A158F3">
            <w:pPr>
              <w:pStyle w:val="TableParagraph"/>
              <w:spacing w:before="78"/>
              <w:jc w:val="right"/>
              <w:rPr>
                <w:rFonts w:ascii="Arial" w:hAnsi="Arial" w:cs="Arial"/>
                <w:sz w:val="18"/>
                <w:szCs w:val="18"/>
                <w:lang w:val="de-DE"/>
              </w:rPr>
            </w:pPr>
            <w:r w:rsidRPr="00A158F3">
              <w:rPr>
                <w:rFonts w:ascii="Arial" w:hAnsi="Arial" w:cs="Arial"/>
                <w:sz w:val="18"/>
                <w:szCs w:val="18"/>
                <w:lang w:val="de-DE"/>
              </w:rPr>
              <w:t>4</w:t>
            </w:r>
          </w:p>
        </w:tc>
        <w:tc>
          <w:tcPr>
            <w:tcW w:w="1059" w:type="dxa"/>
          </w:tcPr>
          <w:p w:rsidR="00A158F3" w:rsidRPr="00A158F3" w:rsidRDefault="00A158F3" w:rsidP="00A158F3">
            <w:pPr>
              <w:pStyle w:val="TableParagraph"/>
              <w:spacing w:before="78"/>
              <w:jc w:val="right"/>
              <w:rPr>
                <w:rFonts w:ascii="Arial" w:hAnsi="Arial" w:cs="Arial"/>
                <w:sz w:val="18"/>
                <w:szCs w:val="18"/>
                <w:lang w:val="de-DE"/>
              </w:rPr>
            </w:pPr>
            <w:r w:rsidRPr="00A158F3">
              <w:rPr>
                <w:rFonts w:ascii="Arial" w:hAnsi="Arial" w:cs="Arial"/>
                <w:sz w:val="18"/>
                <w:szCs w:val="18"/>
                <w:lang w:val="de-DE"/>
              </w:rPr>
              <w:t>2</w:t>
            </w:r>
          </w:p>
        </w:tc>
      </w:tr>
      <w:tr w:rsidR="00A158F3" w:rsidRPr="009E4727" w:rsidTr="00A158F3">
        <w:trPr>
          <w:trHeight w:val="413"/>
          <w:jc w:val="center"/>
        </w:trPr>
        <w:tc>
          <w:tcPr>
            <w:tcW w:w="2689" w:type="dxa"/>
          </w:tcPr>
          <w:p w:rsidR="00A158F3" w:rsidRPr="00A158F3" w:rsidRDefault="00A158F3" w:rsidP="00A158F3">
            <w:pPr>
              <w:pStyle w:val="TableParagraph"/>
              <w:spacing w:before="0" w:line="400" w:lineRule="exact"/>
              <w:ind w:left="0"/>
              <w:rPr>
                <w:rFonts w:ascii="Arial" w:hAnsi="Arial" w:cs="Arial"/>
                <w:sz w:val="18"/>
                <w:szCs w:val="18"/>
                <w:lang w:val="de-DE"/>
              </w:rPr>
            </w:pPr>
            <w:r w:rsidRPr="00A158F3">
              <w:rPr>
                <w:rFonts w:ascii="Arial" w:hAnsi="Arial" w:cs="Arial"/>
                <w:sz w:val="18"/>
                <w:szCs w:val="18"/>
                <w:lang w:val="de-DE"/>
              </w:rPr>
              <w:t>Ansbach</w:t>
            </w:r>
          </w:p>
        </w:tc>
        <w:tc>
          <w:tcPr>
            <w:tcW w:w="1058" w:type="dxa"/>
          </w:tcPr>
          <w:p w:rsidR="00A158F3" w:rsidRPr="00A158F3" w:rsidRDefault="00A158F3" w:rsidP="00A158F3">
            <w:pPr>
              <w:pStyle w:val="TableParagraph"/>
              <w:spacing w:before="78"/>
              <w:ind w:left="121" w:right="112"/>
              <w:jc w:val="right"/>
              <w:rPr>
                <w:rFonts w:ascii="Arial" w:hAnsi="Arial" w:cs="Arial"/>
                <w:sz w:val="18"/>
                <w:szCs w:val="18"/>
                <w:lang w:val="de-DE"/>
              </w:rPr>
            </w:pPr>
            <w:r w:rsidRPr="00A158F3">
              <w:rPr>
                <w:rFonts w:ascii="Arial" w:hAnsi="Arial" w:cs="Arial"/>
                <w:sz w:val="18"/>
                <w:szCs w:val="18"/>
                <w:lang w:val="de-DE"/>
              </w:rPr>
              <w:t>8,0</w:t>
            </w:r>
          </w:p>
        </w:tc>
        <w:tc>
          <w:tcPr>
            <w:tcW w:w="1058" w:type="dxa"/>
          </w:tcPr>
          <w:p w:rsidR="00A158F3" w:rsidRPr="00A158F3" w:rsidRDefault="00A158F3" w:rsidP="00A158F3">
            <w:pPr>
              <w:pStyle w:val="TableParagraph"/>
              <w:spacing w:before="78"/>
              <w:ind w:left="122" w:right="112"/>
              <w:jc w:val="right"/>
              <w:rPr>
                <w:rFonts w:ascii="Arial" w:hAnsi="Arial" w:cs="Arial"/>
                <w:sz w:val="18"/>
                <w:szCs w:val="18"/>
                <w:lang w:val="de-DE"/>
              </w:rPr>
            </w:pPr>
            <w:r w:rsidRPr="00A158F3">
              <w:rPr>
                <w:rFonts w:ascii="Arial" w:hAnsi="Arial" w:cs="Arial"/>
                <w:sz w:val="18"/>
                <w:szCs w:val="18"/>
                <w:lang w:val="de-DE"/>
              </w:rPr>
              <w:t>9,0</w:t>
            </w:r>
          </w:p>
        </w:tc>
        <w:tc>
          <w:tcPr>
            <w:tcW w:w="1059" w:type="dxa"/>
          </w:tcPr>
          <w:p w:rsidR="00A158F3" w:rsidRPr="00A158F3" w:rsidRDefault="00A158F3" w:rsidP="00A158F3">
            <w:pPr>
              <w:pStyle w:val="TableParagraph"/>
              <w:spacing w:before="78"/>
              <w:ind w:left="11"/>
              <w:jc w:val="right"/>
              <w:rPr>
                <w:rFonts w:ascii="Arial" w:hAnsi="Arial" w:cs="Arial"/>
                <w:sz w:val="18"/>
                <w:szCs w:val="18"/>
                <w:lang w:val="de-DE"/>
              </w:rPr>
            </w:pPr>
            <w:r w:rsidRPr="00A158F3">
              <w:rPr>
                <w:rFonts w:ascii="Arial" w:hAnsi="Arial" w:cs="Arial"/>
                <w:sz w:val="18"/>
                <w:szCs w:val="18"/>
                <w:lang w:val="de-DE"/>
              </w:rPr>
              <w:t>2</w:t>
            </w:r>
          </w:p>
        </w:tc>
        <w:tc>
          <w:tcPr>
            <w:tcW w:w="1058" w:type="dxa"/>
          </w:tcPr>
          <w:p w:rsidR="00A158F3" w:rsidRPr="00A158F3" w:rsidRDefault="00A158F3" w:rsidP="00A158F3">
            <w:pPr>
              <w:pStyle w:val="TableParagraph"/>
              <w:spacing w:before="78"/>
              <w:jc w:val="right"/>
              <w:rPr>
                <w:rFonts w:ascii="Arial" w:hAnsi="Arial" w:cs="Arial"/>
                <w:sz w:val="18"/>
                <w:szCs w:val="18"/>
                <w:lang w:val="de-DE"/>
              </w:rPr>
            </w:pPr>
            <w:r w:rsidRPr="00A158F3">
              <w:rPr>
                <w:rFonts w:ascii="Arial" w:hAnsi="Arial" w:cs="Arial"/>
                <w:sz w:val="18"/>
                <w:szCs w:val="18"/>
                <w:lang w:val="de-DE"/>
              </w:rPr>
              <w:t>3</w:t>
            </w:r>
          </w:p>
        </w:tc>
        <w:tc>
          <w:tcPr>
            <w:tcW w:w="1059" w:type="dxa"/>
          </w:tcPr>
          <w:p w:rsidR="00A158F3" w:rsidRPr="00A158F3" w:rsidRDefault="00A158F3" w:rsidP="00A158F3">
            <w:pPr>
              <w:pStyle w:val="TableParagraph"/>
              <w:spacing w:before="78"/>
              <w:jc w:val="right"/>
              <w:rPr>
                <w:rFonts w:ascii="Arial" w:hAnsi="Arial" w:cs="Arial"/>
                <w:sz w:val="18"/>
                <w:szCs w:val="18"/>
                <w:lang w:val="de-DE"/>
              </w:rPr>
            </w:pPr>
            <w:r w:rsidRPr="00A158F3">
              <w:rPr>
                <w:rFonts w:ascii="Arial" w:hAnsi="Arial" w:cs="Arial"/>
                <w:sz w:val="18"/>
                <w:szCs w:val="18"/>
                <w:lang w:val="de-DE"/>
              </w:rPr>
              <w:t>1</w:t>
            </w:r>
          </w:p>
        </w:tc>
      </w:tr>
      <w:tr w:rsidR="00A158F3" w:rsidRPr="009E4727" w:rsidTr="00A158F3">
        <w:trPr>
          <w:trHeight w:val="413"/>
          <w:jc w:val="center"/>
        </w:trPr>
        <w:tc>
          <w:tcPr>
            <w:tcW w:w="2689" w:type="dxa"/>
          </w:tcPr>
          <w:p w:rsidR="00A158F3" w:rsidRPr="00A158F3" w:rsidRDefault="00A158F3" w:rsidP="00A158F3">
            <w:pPr>
              <w:pStyle w:val="TableParagraph"/>
              <w:spacing w:before="0" w:line="400" w:lineRule="exact"/>
              <w:ind w:left="0"/>
              <w:rPr>
                <w:rFonts w:ascii="Arial" w:hAnsi="Arial" w:cs="Arial"/>
                <w:sz w:val="18"/>
                <w:szCs w:val="18"/>
                <w:lang w:val="de-DE"/>
              </w:rPr>
            </w:pPr>
            <w:r w:rsidRPr="00A158F3">
              <w:rPr>
                <w:rFonts w:ascii="Arial" w:hAnsi="Arial" w:cs="Arial"/>
                <w:sz w:val="18"/>
                <w:szCs w:val="18"/>
                <w:lang w:val="de-DE"/>
              </w:rPr>
              <w:t>Fürth-Uffenheim</w:t>
            </w:r>
          </w:p>
        </w:tc>
        <w:tc>
          <w:tcPr>
            <w:tcW w:w="1058" w:type="dxa"/>
          </w:tcPr>
          <w:p w:rsidR="00A158F3" w:rsidRPr="00A158F3" w:rsidRDefault="00A158F3" w:rsidP="00A158F3">
            <w:pPr>
              <w:pStyle w:val="TableParagraph"/>
              <w:spacing w:before="78"/>
              <w:ind w:left="121" w:right="112"/>
              <w:jc w:val="right"/>
              <w:rPr>
                <w:rFonts w:ascii="Arial" w:hAnsi="Arial" w:cs="Arial"/>
                <w:sz w:val="18"/>
                <w:szCs w:val="18"/>
                <w:lang w:val="de-DE"/>
              </w:rPr>
            </w:pPr>
            <w:r w:rsidRPr="00A158F3">
              <w:rPr>
                <w:rFonts w:ascii="Arial" w:hAnsi="Arial" w:cs="Arial"/>
                <w:sz w:val="18"/>
                <w:szCs w:val="18"/>
                <w:lang w:val="de-DE"/>
              </w:rPr>
              <w:t>11,6</w:t>
            </w:r>
          </w:p>
        </w:tc>
        <w:tc>
          <w:tcPr>
            <w:tcW w:w="1058" w:type="dxa"/>
          </w:tcPr>
          <w:p w:rsidR="00A158F3" w:rsidRPr="00A158F3" w:rsidRDefault="00A158F3" w:rsidP="00A158F3">
            <w:pPr>
              <w:pStyle w:val="TableParagraph"/>
              <w:spacing w:before="78"/>
              <w:ind w:left="122" w:right="112"/>
              <w:jc w:val="right"/>
              <w:rPr>
                <w:rFonts w:ascii="Arial" w:hAnsi="Arial" w:cs="Arial"/>
                <w:sz w:val="18"/>
                <w:szCs w:val="18"/>
                <w:lang w:val="de-DE"/>
              </w:rPr>
            </w:pPr>
            <w:r w:rsidRPr="00A158F3">
              <w:rPr>
                <w:rFonts w:ascii="Arial" w:hAnsi="Arial" w:cs="Arial"/>
                <w:sz w:val="18"/>
                <w:szCs w:val="18"/>
                <w:lang w:val="de-DE"/>
              </w:rPr>
              <w:t>13,1</w:t>
            </w:r>
          </w:p>
        </w:tc>
        <w:tc>
          <w:tcPr>
            <w:tcW w:w="1059" w:type="dxa"/>
          </w:tcPr>
          <w:p w:rsidR="00A158F3" w:rsidRPr="00A158F3" w:rsidRDefault="00A158F3" w:rsidP="00A158F3">
            <w:pPr>
              <w:pStyle w:val="TableParagraph"/>
              <w:spacing w:before="78"/>
              <w:ind w:left="11"/>
              <w:jc w:val="right"/>
              <w:rPr>
                <w:rFonts w:ascii="Arial" w:hAnsi="Arial" w:cs="Arial"/>
                <w:sz w:val="18"/>
                <w:szCs w:val="18"/>
                <w:lang w:val="de-DE"/>
              </w:rPr>
            </w:pPr>
            <w:r w:rsidRPr="00A158F3">
              <w:rPr>
                <w:rFonts w:ascii="Arial" w:hAnsi="Arial" w:cs="Arial"/>
                <w:sz w:val="18"/>
                <w:szCs w:val="18"/>
                <w:lang w:val="de-DE"/>
              </w:rPr>
              <w:t>3</w:t>
            </w:r>
          </w:p>
        </w:tc>
        <w:tc>
          <w:tcPr>
            <w:tcW w:w="1058" w:type="dxa"/>
          </w:tcPr>
          <w:p w:rsidR="00A158F3" w:rsidRPr="00A158F3" w:rsidRDefault="00A158F3" w:rsidP="00A158F3">
            <w:pPr>
              <w:pStyle w:val="TableParagraph"/>
              <w:spacing w:before="78"/>
              <w:jc w:val="right"/>
              <w:rPr>
                <w:rFonts w:ascii="Arial" w:hAnsi="Arial" w:cs="Arial"/>
                <w:sz w:val="18"/>
                <w:szCs w:val="18"/>
                <w:lang w:val="de-DE"/>
              </w:rPr>
            </w:pPr>
            <w:r w:rsidRPr="00A158F3">
              <w:rPr>
                <w:rFonts w:ascii="Arial" w:hAnsi="Arial" w:cs="Arial"/>
                <w:sz w:val="18"/>
                <w:szCs w:val="18"/>
                <w:lang w:val="de-DE"/>
              </w:rPr>
              <w:t>4</w:t>
            </w:r>
          </w:p>
        </w:tc>
        <w:tc>
          <w:tcPr>
            <w:tcW w:w="1059" w:type="dxa"/>
          </w:tcPr>
          <w:p w:rsidR="00A158F3" w:rsidRPr="00A158F3" w:rsidRDefault="00A158F3" w:rsidP="00A158F3">
            <w:pPr>
              <w:pStyle w:val="TableParagraph"/>
              <w:spacing w:before="78"/>
              <w:jc w:val="right"/>
              <w:rPr>
                <w:rFonts w:ascii="Arial" w:hAnsi="Arial" w:cs="Arial"/>
                <w:sz w:val="18"/>
                <w:szCs w:val="18"/>
                <w:lang w:val="de-DE"/>
              </w:rPr>
            </w:pPr>
            <w:r w:rsidRPr="00A158F3">
              <w:rPr>
                <w:rFonts w:ascii="Arial" w:hAnsi="Arial" w:cs="Arial"/>
                <w:sz w:val="18"/>
                <w:szCs w:val="18"/>
                <w:lang w:val="de-DE"/>
              </w:rPr>
              <w:t>1</w:t>
            </w:r>
          </w:p>
        </w:tc>
      </w:tr>
      <w:tr w:rsidR="00A158F3" w:rsidRPr="009E4727" w:rsidTr="00A158F3">
        <w:trPr>
          <w:trHeight w:val="413"/>
          <w:jc w:val="center"/>
        </w:trPr>
        <w:tc>
          <w:tcPr>
            <w:tcW w:w="2689" w:type="dxa"/>
          </w:tcPr>
          <w:p w:rsidR="00A158F3" w:rsidRPr="00A158F3" w:rsidRDefault="00A158F3" w:rsidP="00A158F3">
            <w:pPr>
              <w:pStyle w:val="TableParagraph"/>
              <w:spacing w:before="0" w:line="400" w:lineRule="exact"/>
              <w:ind w:left="0"/>
              <w:rPr>
                <w:rFonts w:ascii="Arial" w:hAnsi="Arial" w:cs="Arial"/>
                <w:sz w:val="18"/>
                <w:szCs w:val="18"/>
                <w:lang w:val="de-DE"/>
              </w:rPr>
            </w:pPr>
            <w:r w:rsidRPr="00A158F3">
              <w:rPr>
                <w:rFonts w:ascii="Arial" w:hAnsi="Arial" w:cs="Arial"/>
                <w:sz w:val="18"/>
                <w:szCs w:val="18"/>
                <w:lang w:val="de-DE"/>
              </w:rPr>
              <w:t>Roth-Weißenburg i.Bay.</w:t>
            </w:r>
          </w:p>
        </w:tc>
        <w:tc>
          <w:tcPr>
            <w:tcW w:w="1058" w:type="dxa"/>
          </w:tcPr>
          <w:p w:rsidR="00A158F3" w:rsidRPr="00A158F3" w:rsidRDefault="00A158F3" w:rsidP="00A158F3">
            <w:pPr>
              <w:pStyle w:val="TableParagraph"/>
              <w:spacing w:before="78"/>
              <w:ind w:left="121" w:right="112"/>
              <w:jc w:val="right"/>
              <w:rPr>
                <w:rFonts w:ascii="Arial" w:hAnsi="Arial" w:cs="Arial"/>
                <w:sz w:val="18"/>
                <w:szCs w:val="18"/>
                <w:lang w:val="de-DE"/>
              </w:rPr>
            </w:pPr>
            <w:r w:rsidRPr="00A158F3">
              <w:rPr>
                <w:rFonts w:ascii="Arial" w:hAnsi="Arial" w:cs="Arial"/>
                <w:sz w:val="18"/>
                <w:szCs w:val="18"/>
                <w:lang w:val="de-DE"/>
              </w:rPr>
              <w:t>12,9</w:t>
            </w:r>
          </w:p>
        </w:tc>
        <w:tc>
          <w:tcPr>
            <w:tcW w:w="1058" w:type="dxa"/>
          </w:tcPr>
          <w:p w:rsidR="00A158F3" w:rsidRPr="00A158F3" w:rsidRDefault="00A158F3" w:rsidP="00A158F3">
            <w:pPr>
              <w:pStyle w:val="TableParagraph"/>
              <w:spacing w:before="78"/>
              <w:ind w:left="122" w:right="112"/>
              <w:jc w:val="right"/>
              <w:rPr>
                <w:rFonts w:ascii="Arial" w:hAnsi="Arial" w:cs="Arial"/>
                <w:sz w:val="18"/>
                <w:szCs w:val="18"/>
                <w:lang w:val="de-DE"/>
              </w:rPr>
            </w:pPr>
            <w:r w:rsidRPr="00A158F3">
              <w:rPr>
                <w:rFonts w:ascii="Arial" w:hAnsi="Arial" w:cs="Arial"/>
                <w:sz w:val="18"/>
                <w:szCs w:val="18"/>
                <w:lang w:val="de-DE"/>
              </w:rPr>
              <w:t>12,7</w:t>
            </w:r>
          </w:p>
        </w:tc>
        <w:tc>
          <w:tcPr>
            <w:tcW w:w="1059" w:type="dxa"/>
          </w:tcPr>
          <w:p w:rsidR="00A158F3" w:rsidRPr="00A158F3" w:rsidRDefault="00A158F3" w:rsidP="00A158F3">
            <w:pPr>
              <w:pStyle w:val="TableParagraph"/>
              <w:spacing w:before="78"/>
              <w:ind w:left="12"/>
              <w:jc w:val="right"/>
              <w:rPr>
                <w:rFonts w:ascii="Arial" w:hAnsi="Arial" w:cs="Arial"/>
                <w:sz w:val="18"/>
                <w:szCs w:val="18"/>
                <w:lang w:val="de-DE"/>
              </w:rPr>
            </w:pPr>
            <w:r w:rsidRPr="00A158F3">
              <w:rPr>
                <w:rFonts w:ascii="Arial" w:hAnsi="Arial" w:cs="Arial"/>
                <w:sz w:val="18"/>
                <w:szCs w:val="18"/>
                <w:lang w:val="de-DE"/>
              </w:rPr>
              <w:t>4</w:t>
            </w:r>
          </w:p>
        </w:tc>
        <w:tc>
          <w:tcPr>
            <w:tcW w:w="1058" w:type="dxa"/>
          </w:tcPr>
          <w:p w:rsidR="00A158F3" w:rsidRPr="00A158F3" w:rsidRDefault="00A158F3" w:rsidP="00A158F3">
            <w:pPr>
              <w:pStyle w:val="TableParagraph"/>
              <w:spacing w:before="78"/>
              <w:ind w:left="14"/>
              <w:jc w:val="right"/>
              <w:rPr>
                <w:rFonts w:ascii="Arial" w:hAnsi="Arial" w:cs="Arial"/>
                <w:sz w:val="18"/>
                <w:szCs w:val="18"/>
                <w:lang w:val="de-DE"/>
              </w:rPr>
            </w:pPr>
            <w:r w:rsidRPr="00A158F3">
              <w:rPr>
                <w:rFonts w:ascii="Arial" w:hAnsi="Arial" w:cs="Arial"/>
                <w:sz w:val="18"/>
                <w:szCs w:val="18"/>
                <w:lang w:val="de-DE"/>
              </w:rPr>
              <w:t>5</w:t>
            </w:r>
          </w:p>
        </w:tc>
        <w:tc>
          <w:tcPr>
            <w:tcW w:w="1059" w:type="dxa"/>
          </w:tcPr>
          <w:p w:rsidR="00A158F3" w:rsidRPr="00A158F3" w:rsidRDefault="00A158F3" w:rsidP="00A158F3">
            <w:pPr>
              <w:pStyle w:val="TableParagraph"/>
              <w:spacing w:before="78"/>
              <w:ind w:left="14"/>
              <w:jc w:val="right"/>
              <w:rPr>
                <w:rFonts w:ascii="Arial" w:hAnsi="Arial" w:cs="Arial"/>
                <w:sz w:val="18"/>
                <w:szCs w:val="18"/>
                <w:lang w:val="de-DE"/>
              </w:rPr>
            </w:pPr>
            <w:r w:rsidRPr="00A158F3">
              <w:rPr>
                <w:rFonts w:ascii="Arial" w:hAnsi="Arial" w:cs="Arial"/>
                <w:sz w:val="18"/>
                <w:szCs w:val="18"/>
                <w:lang w:val="de-DE"/>
              </w:rPr>
              <w:t>1</w:t>
            </w:r>
          </w:p>
        </w:tc>
      </w:tr>
      <w:tr w:rsidR="00A158F3" w:rsidRPr="009E4727" w:rsidTr="00A158F3">
        <w:trPr>
          <w:trHeight w:val="413"/>
          <w:jc w:val="center"/>
        </w:trPr>
        <w:tc>
          <w:tcPr>
            <w:tcW w:w="2689" w:type="dxa"/>
          </w:tcPr>
          <w:p w:rsidR="00A158F3" w:rsidRPr="00A158F3" w:rsidRDefault="00A158F3" w:rsidP="00A158F3">
            <w:pPr>
              <w:pStyle w:val="TableParagraph"/>
              <w:spacing w:before="0" w:line="400" w:lineRule="exact"/>
              <w:ind w:left="0"/>
              <w:rPr>
                <w:rFonts w:ascii="Arial" w:hAnsi="Arial" w:cs="Arial"/>
                <w:sz w:val="18"/>
                <w:szCs w:val="18"/>
                <w:lang w:val="de-DE"/>
              </w:rPr>
            </w:pPr>
            <w:r w:rsidRPr="00A158F3">
              <w:rPr>
                <w:rFonts w:ascii="Arial" w:hAnsi="Arial" w:cs="Arial"/>
                <w:sz w:val="18"/>
                <w:szCs w:val="18"/>
                <w:lang w:val="de-DE"/>
              </w:rPr>
              <w:t>Bad Neustadt a.d.Saale</w:t>
            </w:r>
          </w:p>
        </w:tc>
        <w:tc>
          <w:tcPr>
            <w:tcW w:w="1058" w:type="dxa"/>
          </w:tcPr>
          <w:p w:rsidR="00A158F3" w:rsidRPr="00A158F3" w:rsidRDefault="00A158F3" w:rsidP="00A158F3">
            <w:pPr>
              <w:pStyle w:val="TableParagraph"/>
              <w:spacing w:before="78"/>
              <w:ind w:left="121" w:right="112"/>
              <w:jc w:val="right"/>
              <w:rPr>
                <w:rFonts w:ascii="Arial" w:hAnsi="Arial" w:cs="Arial"/>
                <w:sz w:val="18"/>
                <w:szCs w:val="18"/>
                <w:lang w:val="de-DE"/>
              </w:rPr>
            </w:pPr>
            <w:r w:rsidRPr="00A158F3">
              <w:rPr>
                <w:rFonts w:ascii="Arial" w:hAnsi="Arial" w:cs="Arial"/>
                <w:sz w:val="18"/>
                <w:szCs w:val="18"/>
                <w:lang w:val="de-DE"/>
              </w:rPr>
              <w:t>5,0</w:t>
            </w:r>
          </w:p>
        </w:tc>
        <w:tc>
          <w:tcPr>
            <w:tcW w:w="1058" w:type="dxa"/>
          </w:tcPr>
          <w:p w:rsidR="00A158F3" w:rsidRPr="00A158F3" w:rsidRDefault="00A158F3" w:rsidP="00A158F3">
            <w:pPr>
              <w:pStyle w:val="TableParagraph"/>
              <w:spacing w:before="78"/>
              <w:ind w:left="122" w:right="112"/>
              <w:jc w:val="right"/>
              <w:rPr>
                <w:rFonts w:ascii="Arial" w:hAnsi="Arial" w:cs="Arial"/>
                <w:sz w:val="18"/>
                <w:szCs w:val="18"/>
                <w:lang w:val="de-DE"/>
              </w:rPr>
            </w:pPr>
            <w:r w:rsidRPr="00A158F3">
              <w:rPr>
                <w:rFonts w:ascii="Arial" w:hAnsi="Arial" w:cs="Arial"/>
                <w:sz w:val="18"/>
                <w:szCs w:val="18"/>
                <w:lang w:val="de-DE"/>
              </w:rPr>
              <w:t>5,8</w:t>
            </w:r>
          </w:p>
        </w:tc>
        <w:tc>
          <w:tcPr>
            <w:tcW w:w="1059" w:type="dxa"/>
          </w:tcPr>
          <w:p w:rsidR="00A158F3" w:rsidRPr="00A158F3" w:rsidRDefault="00A158F3" w:rsidP="00A158F3">
            <w:pPr>
              <w:pStyle w:val="TableParagraph"/>
              <w:spacing w:before="78"/>
              <w:ind w:left="11"/>
              <w:jc w:val="right"/>
              <w:rPr>
                <w:rFonts w:ascii="Arial" w:hAnsi="Arial" w:cs="Arial"/>
                <w:sz w:val="18"/>
                <w:szCs w:val="18"/>
                <w:lang w:val="de-DE"/>
              </w:rPr>
            </w:pPr>
            <w:r w:rsidRPr="00A158F3">
              <w:rPr>
                <w:rFonts w:ascii="Arial" w:hAnsi="Arial" w:cs="Arial"/>
                <w:sz w:val="18"/>
                <w:szCs w:val="18"/>
                <w:lang w:val="de-DE"/>
              </w:rPr>
              <w:t>2</w:t>
            </w:r>
          </w:p>
        </w:tc>
        <w:tc>
          <w:tcPr>
            <w:tcW w:w="1058" w:type="dxa"/>
          </w:tcPr>
          <w:p w:rsidR="00A158F3" w:rsidRPr="00A158F3" w:rsidRDefault="00A158F3" w:rsidP="00A158F3">
            <w:pPr>
              <w:pStyle w:val="TableParagraph"/>
              <w:spacing w:before="78"/>
              <w:jc w:val="right"/>
              <w:rPr>
                <w:rFonts w:ascii="Arial" w:hAnsi="Arial" w:cs="Arial"/>
                <w:sz w:val="18"/>
                <w:szCs w:val="18"/>
                <w:lang w:val="de-DE"/>
              </w:rPr>
            </w:pPr>
            <w:r w:rsidRPr="00A158F3">
              <w:rPr>
                <w:rFonts w:ascii="Arial" w:hAnsi="Arial" w:cs="Arial"/>
                <w:sz w:val="18"/>
                <w:szCs w:val="18"/>
                <w:lang w:val="de-DE"/>
              </w:rPr>
              <w:t>2</w:t>
            </w:r>
          </w:p>
        </w:tc>
        <w:tc>
          <w:tcPr>
            <w:tcW w:w="1059" w:type="dxa"/>
          </w:tcPr>
          <w:p w:rsidR="00A158F3" w:rsidRPr="00A158F3" w:rsidRDefault="00A158F3" w:rsidP="00A158F3">
            <w:pPr>
              <w:pStyle w:val="TableParagraph"/>
              <w:spacing w:before="78"/>
              <w:jc w:val="right"/>
              <w:rPr>
                <w:rFonts w:ascii="Arial" w:hAnsi="Arial" w:cs="Arial"/>
                <w:sz w:val="18"/>
                <w:szCs w:val="18"/>
                <w:lang w:val="de-DE"/>
              </w:rPr>
            </w:pPr>
            <w:r w:rsidRPr="00A158F3">
              <w:rPr>
                <w:rFonts w:ascii="Arial" w:hAnsi="Arial" w:cs="Arial"/>
                <w:sz w:val="18"/>
                <w:szCs w:val="18"/>
                <w:lang w:val="de-DE"/>
              </w:rPr>
              <w:t>0</w:t>
            </w:r>
          </w:p>
        </w:tc>
      </w:tr>
      <w:tr w:rsidR="00A158F3" w:rsidRPr="009E4727" w:rsidTr="00A158F3">
        <w:trPr>
          <w:trHeight w:val="413"/>
          <w:jc w:val="center"/>
        </w:trPr>
        <w:tc>
          <w:tcPr>
            <w:tcW w:w="2689" w:type="dxa"/>
          </w:tcPr>
          <w:p w:rsidR="00A158F3" w:rsidRPr="00A158F3" w:rsidRDefault="00A158F3" w:rsidP="00A158F3">
            <w:pPr>
              <w:pStyle w:val="TableParagraph"/>
              <w:spacing w:before="0" w:line="400" w:lineRule="exact"/>
              <w:ind w:left="0"/>
              <w:rPr>
                <w:rFonts w:ascii="Arial" w:hAnsi="Arial" w:cs="Arial"/>
                <w:sz w:val="18"/>
                <w:szCs w:val="18"/>
                <w:lang w:val="de-DE"/>
              </w:rPr>
            </w:pPr>
            <w:r w:rsidRPr="00A158F3">
              <w:rPr>
                <w:rFonts w:ascii="Arial" w:hAnsi="Arial" w:cs="Arial"/>
                <w:sz w:val="18"/>
                <w:szCs w:val="18"/>
                <w:lang w:val="de-DE"/>
              </w:rPr>
              <w:t>Karlstadt</w:t>
            </w:r>
          </w:p>
        </w:tc>
        <w:tc>
          <w:tcPr>
            <w:tcW w:w="1058" w:type="dxa"/>
          </w:tcPr>
          <w:p w:rsidR="00A158F3" w:rsidRPr="00A158F3" w:rsidRDefault="00A158F3" w:rsidP="00A158F3">
            <w:pPr>
              <w:pStyle w:val="TableParagraph"/>
              <w:spacing w:before="78"/>
              <w:ind w:left="121" w:right="112"/>
              <w:jc w:val="right"/>
              <w:rPr>
                <w:rFonts w:ascii="Arial" w:hAnsi="Arial" w:cs="Arial"/>
                <w:sz w:val="18"/>
                <w:szCs w:val="18"/>
                <w:lang w:val="de-DE"/>
              </w:rPr>
            </w:pPr>
            <w:r w:rsidRPr="00A158F3">
              <w:rPr>
                <w:rFonts w:ascii="Arial" w:hAnsi="Arial" w:cs="Arial"/>
                <w:sz w:val="18"/>
                <w:szCs w:val="18"/>
                <w:lang w:val="de-DE"/>
              </w:rPr>
              <w:t>5,9</w:t>
            </w:r>
          </w:p>
        </w:tc>
        <w:tc>
          <w:tcPr>
            <w:tcW w:w="1058" w:type="dxa"/>
          </w:tcPr>
          <w:p w:rsidR="00A158F3" w:rsidRPr="00A158F3" w:rsidRDefault="00A158F3" w:rsidP="00A158F3">
            <w:pPr>
              <w:pStyle w:val="TableParagraph"/>
              <w:spacing w:before="78"/>
              <w:ind w:left="122" w:right="112"/>
              <w:jc w:val="right"/>
              <w:rPr>
                <w:rFonts w:ascii="Arial" w:hAnsi="Arial" w:cs="Arial"/>
                <w:sz w:val="18"/>
                <w:szCs w:val="18"/>
                <w:lang w:val="de-DE"/>
              </w:rPr>
            </w:pPr>
            <w:r w:rsidRPr="00A158F3">
              <w:rPr>
                <w:rFonts w:ascii="Arial" w:hAnsi="Arial" w:cs="Arial"/>
                <w:sz w:val="18"/>
                <w:szCs w:val="18"/>
                <w:lang w:val="de-DE"/>
              </w:rPr>
              <w:t>5,3</w:t>
            </w:r>
          </w:p>
        </w:tc>
        <w:tc>
          <w:tcPr>
            <w:tcW w:w="1059" w:type="dxa"/>
          </w:tcPr>
          <w:p w:rsidR="00A158F3" w:rsidRPr="00A158F3" w:rsidRDefault="00A158F3" w:rsidP="00A158F3">
            <w:pPr>
              <w:pStyle w:val="TableParagraph"/>
              <w:spacing w:before="78"/>
              <w:ind w:left="11"/>
              <w:jc w:val="right"/>
              <w:rPr>
                <w:rFonts w:ascii="Arial" w:hAnsi="Arial" w:cs="Arial"/>
                <w:sz w:val="18"/>
                <w:szCs w:val="18"/>
                <w:lang w:val="de-DE"/>
              </w:rPr>
            </w:pPr>
            <w:r w:rsidRPr="00A158F3">
              <w:rPr>
                <w:rFonts w:ascii="Arial" w:hAnsi="Arial" w:cs="Arial"/>
                <w:sz w:val="18"/>
                <w:szCs w:val="18"/>
                <w:lang w:val="de-DE"/>
              </w:rPr>
              <w:t>3</w:t>
            </w:r>
          </w:p>
        </w:tc>
        <w:tc>
          <w:tcPr>
            <w:tcW w:w="1058" w:type="dxa"/>
          </w:tcPr>
          <w:p w:rsidR="00A158F3" w:rsidRPr="00A158F3" w:rsidRDefault="00A158F3" w:rsidP="00A158F3">
            <w:pPr>
              <w:pStyle w:val="TableParagraph"/>
              <w:spacing w:before="78"/>
              <w:jc w:val="right"/>
              <w:rPr>
                <w:rFonts w:ascii="Arial" w:hAnsi="Arial" w:cs="Arial"/>
                <w:sz w:val="18"/>
                <w:szCs w:val="18"/>
                <w:lang w:val="de-DE"/>
              </w:rPr>
            </w:pPr>
            <w:r w:rsidRPr="00A158F3">
              <w:rPr>
                <w:rFonts w:ascii="Arial" w:hAnsi="Arial" w:cs="Arial"/>
                <w:sz w:val="18"/>
                <w:szCs w:val="18"/>
                <w:lang w:val="de-DE"/>
              </w:rPr>
              <w:t>3</w:t>
            </w:r>
          </w:p>
        </w:tc>
        <w:tc>
          <w:tcPr>
            <w:tcW w:w="1059" w:type="dxa"/>
          </w:tcPr>
          <w:p w:rsidR="00A158F3" w:rsidRPr="00A158F3" w:rsidRDefault="00A158F3" w:rsidP="00A158F3">
            <w:pPr>
              <w:pStyle w:val="TableParagraph"/>
              <w:spacing w:before="78"/>
              <w:jc w:val="right"/>
              <w:rPr>
                <w:rFonts w:ascii="Arial" w:hAnsi="Arial" w:cs="Arial"/>
                <w:sz w:val="18"/>
                <w:szCs w:val="18"/>
                <w:lang w:val="de-DE"/>
              </w:rPr>
            </w:pPr>
            <w:r w:rsidRPr="00A158F3">
              <w:rPr>
                <w:rFonts w:ascii="Arial" w:hAnsi="Arial" w:cs="Arial"/>
                <w:sz w:val="18"/>
                <w:szCs w:val="18"/>
                <w:lang w:val="de-DE"/>
              </w:rPr>
              <w:t>0</w:t>
            </w:r>
          </w:p>
        </w:tc>
      </w:tr>
      <w:tr w:rsidR="00A158F3" w:rsidRPr="009E4727" w:rsidTr="00A158F3">
        <w:trPr>
          <w:trHeight w:val="413"/>
          <w:jc w:val="center"/>
        </w:trPr>
        <w:tc>
          <w:tcPr>
            <w:tcW w:w="2689" w:type="dxa"/>
          </w:tcPr>
          <w:p w:rsidR="00A158F3" w:rsidRPr="00A158F3" w:rsidRDefault="00A158F3" w:rsidP="00A158F3">
            <w:pPr>
              <w:pStyle w:val="TableParagraph"/>
              <w:spacing w:before="0" w:line="400" w:lineRule="exact"/>
              <w:ind w:left="0"/>
              <w:rPr>
                <w:rFonts w:ascii="Arial" w:hAnsi="Arial" w:cs="Arial"/>
                <w:sz w:val="18"/>
                <w:szCs w:val="18"/>
                <w:lang w:val="de-DE"/>
              </w:rPr>
            </w:pPr>
            <w:r w:rsidRPr="00A158F3">
              <w:rPr>
                <w:rFonts w:ascii="Arial" w:hAnsi="Arial" w:cs="Arial"/>
                <w:sz w:val="18"/>
                <w:szCs w:val="18"/>
                <w:lang w:val="de-DE"/>
              </w:rPr>
              <w:t>Kitzingen-Würzburg</w:t>
            </w:r>
          </w:p>
        </w:tc>
        <w:tc>
          <w:tcPr>
            <w:tcW w:w="1058" w:type="dxa"/>
          </w:tcPr>
          <w:p w:rsidR="00A158F3" w:rsidRPr="00A158F3" w:rsidRDefault="00A158F3" w:rsidP="00A158F3">
            <w:pPr>
              <w:pStyle w:val="TableParagraph"/>
              <w:spacing w:before="78"/>
              <w:ind w:left="121" w:right="112"/>
              <w:jc w:val="right"/>
              <w:rPr>
                <w:rFonts w:ascii="Arial" w:hAnsi="Arial" w:cs="Arial"/>
                <w:sz w:val="18"/>
                <w:szCs w:val="18"/>
                <w:lang w:val="de-DE"/>
              </w:rPr>
            </w:pPr>
            <w:r w:rsidRPr="00A158F3">
              <w:rPr>
                <w:rFonts w:ascii="Arial" w:hAnsi="Arial" w:cs="Arial"/>
                <w:sz w:val="18"/>
                <w:szCs w:val="18"/>
                <w:lang w:val="de-DE"/>
              </w:rPr>
              <w:t>6,8</w:t>
            </w:r>
          </w:p>
        </w:tc>
        <w:tc>
          <w:tcPr>
            <w:tcW w:w="1058" w:type="dxa"/>
          </w:tcPr>
          <w:p w:rsidR="00A158F3" w:rsidRPr="00A158F3" w:rsidRDefault="00A158F3" w:rsidP="00A158F3">
            <w:pPr>
              <w:pStyle w:val="TableParagraph"/>
              <w:spacing w:before="78"/>
              <w:ind w:left="122" w:right="112"/>
              <w:jc w:val="right"/>
              <w:rPr>
                <w:rFonts w:ascii="Arial" w:hAnsi="Arial" w:cs="Arial"/>
                <w:sz w:val="18"/>
                <w:szCs w:val="18"/>
                <w:lang w:val="de-DE"/>
              </w:rPr>
            </w:pPr>
            <w:r w:rsidRPr="00A158F3">
              <w:rPr>
                <w:rFonts w:ascii="Arial" w:hAnsi="Arial" w:cs="Arial"/>
                <w:sz w:val="18"/>
                <w:szCs w:val="18"/>
                <w:lang w:val="de-DE"/>
              </w:rPr>
              <w:t>6,0</w:t>
            </w:r>
          </w:p>
        </w:tc>
        <w:tc>
          <w:tcPr>
            <w:tcW w:w="1059" w:type="dxa"/>
          </w:tcPr>
          <w:p w:rsidR="00A158F3" w:rsidRPr="00A158F3" w:rsidRDefault="00A158F3" w:rsidP="00A158F3">
            <w:pPr>
              <w:pStyle w:val="TableParagraph"/>
              <w:spacing w:before="78"/>
              <w:ind w:left="11"/>
              <w:jc w:val="right"/>
              <w:rPr>
                <w:rFonts w:ascii="Arial" w:hAnsi="Arial" w:cs="Arial"/>
                <w:sz w:val="18"/>
                <w:szCs w:val="18"/>
                <w:lang w:val="de-DE"/>
              </w:rPr>
            </w:pPr>
            <w:r w:rsidRPr="00A158F3">
              <w:rPr>
                <w:rFonts w:ascii="Arial" w:hAnsi="Arial" w:cs="Arial"/>
                <w:sz w:val="18"/>
                <w:szCs w:val="18"/>
                <w:lang w:val="de-DE"/>
              </w:rPr>
              <w:t>3</w:t>
            </w:r>
          </w:p>
        </w:tc>
        <w:tc>
          <w:tcPr>
            <w:tcW w:w="1058" w:type="dxa"/>
          </w:tcPr>
          <w:p w:rsidR="00A158F3" w:rsidRPr="00A158F3" w:rsidRDefault="00A158F3" w:rsidP="00A158F3">
            <w:pPr>
              <w:pStyle w:val="TableParagraph"/>
              <w:spacing w:before="78"/>
              <w:jc w:val="right"/>
              <w:rPr>
                <w:rFonts w:ascii="Arial" w:hAnsi="Arial" w:cs="Arial"/>
                <w:sz w:val="18"/>
                <w:szCs w:val="18"/>
                <w:lang w:val="de-DE"/>
              </w:rPr>
            </w:pPr>
            <w:r w:rsidRPr="00A158F3">
              <w:rPr>
                <w:rFonts w:ascii="Arial" w:hAnsi="Arial" w:cs="Arial"/>
                <w:sz w:val="18"/>
                <w:szCs w:val="18"/>
                <w:lang w:val="de-DE"/>
              </w:rPr>
              <w:t>3</w:t>
            </w:r>
          </w:p>
        </w:tc>
        <w:tc>
          <w:tcPr>
            <w:tcW w:w="1059" w:type="dxa"/>
          </w:tcPr>
          <w:p w:rsidR="00A158F3" w:rsidRPr="00A158F3" w:rsidRDefault="00A158F3" w:rsidP="00A158F3">
            <w:pPr>
              <w:pStyle w:val="TableParagraph"/>
              <w:spacing w:before="78"/>
              <w:jc w:val="right"/>
              <w:rPr>
                <w:rFonts w:ascii="Arial" w:hAnsi="Arial" w:cs="Arial"/>
                <w:sz w:val="18"/>
                <w:szCs w:val="18"/>
                <w:lang w:val="de-DE"/>
              </w:rPr>
            </w:pPr>
            <w:r w:rsidRPr="00A158F3">
              <w:rPr>
                <w:rFonts w:ascii="Arial" w:hAnsi="Arial" w:cs="Arial"/>
                <w:sz w:val="18"/>
                <w:szCs w:val="18"/>
                <w:lang w:val="de-DE"/>
              </w:rPr>
              <w:t>0</w:t>
            </w:r>
          </w:p>
        </w:tc>
      </w:tr>
      <w:tr w:rsidR="00A158F3" w:rsidRPr="009E4727" w:rsidTr="00A158F3">
        <w:trPr>
          <w:trHeight w:val="413"/>
          <w:jc w:val="center"/>
        </w:trPr>
        <w:tc>
          <w:tcPr>
            <w:tcW w:w="2689" w:type="dxa"/>
          </w:tcPr>
          <w:p w:rsidR="00A158F3" w:rsidRPr="00A158F3" w:rsidRDefault="00A158F3" w:rsidP="00A158F3">
            <w:pPr>
              <w:pStyle w:val="TableParagraph"/>
              <w:spacing w:before="0" w:line="400" w:lineRule="exact"/>
              <w:ind w:left="0"/>
              <w:rPr>
                <w:rFonts w:ascii="Arial" w:hAnsi="Arial" w:cs="Arial"/>
                <w:sz w:val="18"/>
                <w:szCs w:val="18"/>
                <w:lang w:val="de-DE"/>
              </w:rPr>
            </w:pPr>
            <w:r w:rsidRPr="00A158F3">
              <w:rPr>
                <w:rFonts w:ascii="Arial" w:hAnsi="Arial" w:cs="Arial"/>
                <w:sz w:val="18"/>
                <w:szCs w:val="18"/>
                <w:lang w:val="de-DE"/>
              </w:rPr>
              <w:t>Schweinfurt</w:t>
            </w:r>
          </w:p>
        </w:tc>
        <w:tc>
          <w:tcPr>
            <w:tcW w:w="1058" w:type="dxa"/>
          </w:tcPr>
          <w:p w:rsidR="00A158F3" w:rsidRPr="00A158F3" w:rsidRDefault="00A158F3" w:rsidP="00A158F3">
            <w:pPr>
              <w:pStyle w:val="TableParagraph"/>
              <w:spacing w:before="78"/>
              <w:ind w:left="121" w:right="112"/>
              <w:jc w:val="right"/>
              <w:rPr>
                <w:rFonts w:ascii="Arial" w:hAnsi="Arial" w:cs="Arial"/>
                <w:sz w:val="18"/>
                <w:szCs w:val="18"/>
                <w:lang w:val="de-DE"/>
              </w:rPr>
            </w:pPr>
            <w:r w:rsidRPr="00A158F3">
              <w:rPr>
                <w:rFonts w:ascii="Arial" w:hAnsi="Arial" w:cs="Arial"/>
                <w:sz w:val="18"/>
                <w:szCs w:val="18"/>
                <w:lang w:val="de-DE"/>
              </w:rPr>
              <w:t>8,4</w:t>
            </w:r>
          </w:p>
        </w:tc>
        <w:tc>
          <w:tcPr>
            <w:tcW w:w="1058" w:type="dxa"/>
          </w:tcPr>
          <w:p w:rsidR="00A158F3" w:rsidRPr="00A158F3" w:rsidRDefault="00A158F3" w:rsidP="00A158F3">
            <w:pPr>
              <w:pStyle w:val="TableParagraph"/>
              <w:spacing w:before="78"/>
              <w:ind w:left="122" w:right="112"/>
              <w:jc w:val="right"/>
              <w:rPr>
                <w:rFonts w:ascii="Arial" w:hAnsi="Arial" w:cs="Arial"/>
                <w:sz w:val="18"/>
                <w:szCs w:val="18"/>
                <w:lang w:val="de-DE"/>
              </w:rPr>
            </w:pPr>
            <w:r w:rsidRPr="00A158F3">
              <w:rPr>
                <w:rFonts w:ascii="Arial" w:hAnsi="Arial" w:cs="Arial"/>
                <w:sz w:val="18"/>
                <w:szCs w:val="18"/>
                <w:lang w:val="de-DE"/>
              </w:rPr>
              <w:t>5,4</w:t>
            </w:r>
          </w:p>
        </w:tc>
        <w:tc>
          <w:tcPr>
            <w:tcW w:w="1059" w:type="dxa"/>
          </w:tcPr>
          <w:p w:rsidR="00A158F3" w:rsidRPr="00A158F3" w:rsidRDefault="00A158F3" w:rsidP="00A158F3">
            <w:pPr>
              <w:pStyle w:val="TableParagraph"/>
              <w:spacing w:before="78"/>
              <w:ind w:left="11"/>
              <w:jc w:val="right"/>
              <w:rPr>
                <w:rFonts w:ascii="Arial" w:hAnsi="Arial" w:cs="Arial"/>
                <w:sz w:val="18"/>
                <w:szCs w:val="18"/>
                <w:lang w:val="de-DE"/>
              </w:rPr>
            </w:pPr>
            <w:r w:rsidRPr="00A158F3">
              <w:rPr>
                <w:rFonts w:ascii="Arial" w:hAnsi="Arial" w:cs="Arial"/>
                <w:sz w:val="18"/>
                <w:szCs w:val="18"/>
                <w:lang w:val="de-DE"/>
              </w:rPr>
              <w:t>3</w:t>
            </w:r>
          </w:p>
        </w:tc>
        <w:tc>
          <w:tcPr>
            <w:tcW w:w="1058" w:type="dxa"/>
          </w:tcPr>
          <w:p w:rsidR="00A158F3" w:rsidRPr="00A158F3" w:rsidRDefault="00A158F3" w:rsidP="00A158F3">
            <w:pPr>
              <w:pStyle w:val="TableParagraph"/>
              <w:spacing w:before="78"/>
              <w:jc w:val="right"/>
              <w:rPr>
                <w:rFonts w:ascii="Arial" w:hAnsi="Arial" w:cs="Arial"/>
                <w:sz w:val="18"/>
                <w:szCs w:val="18"/>
                <w:lang w:val="de-DE"/>
              </w:rPr>
            </w:pPr>
            <w:r w:rsidRPr="00A158F3">
              <w:rPr>
                <w:rFonts w:ascii="Arial" w:hAnsi="Arial" w:cs="Arial"/>
                <w:sz w:val="18"/>
                <w:szCs w:val="18"/>
                <w:lang w:val="de-DE"/>
              </w:rPr>
              <w:t>3</w:t>
            </w:r>
          </w:p>
        </w:tc>
        <w:tc>
          <w:tcPr>
            <w:tcW w:w="1059" w:type="dxa"/>
          </w:tcPr>
          <w:p w:rsidR="00A158F3" w:rsidRPr="00A158F3" w:rsidRDefault="00A158F3" w:rsidP="00A158F3">
            <w:pPr>
              <w:pStyle w:val="TableParagraph"/>
              <w:spacing w:before="78"/>
              <w:jc w:val="right"/>
              <w:rPr>
                <w:rFonts w:ascii="Arial" w:hAnsi="Arial" w:cs="Arial"/>
                <w:sz w:val="18"/>
                <w:szCs w:val="18"/>
                <w:lang w:val="de-DE"/>
              </w:rPr>
            </w:pPr>
            <w:r w:rsidRPr="00A158F3">
              <w:rPr>
                <w:rFonts w:ascii="Arial" w:hAnsi="Arial" w:cs="Arial"/>
                <w:sz w:val="18"/>
                <w:szCs w:val="18"/>
                <w:lang w:val="de-DE"/>
              </w:rPr>
              <w:t>0</w:t>
            </w:r>
          </w:p>
        </w:tc>
      </w:tr>
      <w:tr w:rsidR="00A158F3" w:rsidRPr="009E4727" w:rsidTr="00A158F3">
        <w:trPr>
          <w:trHeight w:val="413"/>
          <w:jc w:val="center"/>
        </w:trPr>
        <w:tc>
          <w:tcPr>
            <w:tcW w:w="2689" w:type="dxa"/>
          </w:tcPr>
          <w:p w:rsidR="00A158F3" w:rsidRPr="00A158F3" w:rsidRDefault="00A158F3" w:rsidP="00A158F3">
            <w:pPr>
              <w:pStyle w:val="TableParagraph"/>
              <w:spacing w:before="0" w:line="400" w:lineRule="exact"/>
              <w:ind w:left="0"/>
              <w:rPr>
                <w:rFonts w:ascii="Arial" w:hAnsi="Arial" w:cs="Arial"/>
                <w:sz w:val="18"/>
                <w:szCs w:val="18"/>
                <w:lang w:val="de-DE"/>
              </w:rPr>
            </w:pPr>
            <w:r w:rsidRPr="00A158F3">
              <w:rPr>
                <w:rFonts w:ascii="Arial" w:hAnsi="Arial" w:cs="Arial"/>
                <w:sz w:val="18"/>
                <w:szCs w:val="18"/>
                <w:lang w:val="de-DE"/>
              </w:rPr>
              <w:t>Augsburg</w:t>
            </w:r>
          </w:p>
        </w:tc>
        <w:tc>
          <w:tcPr>
            <w:tcW w:w="1058" w:type="dxa"/>
          </w:tcPr>
          <w:p w:rsidR="00A158F3" w:rsidRPr="00A158F3" w:rsidRDefault="00A158F3" w:rsidP="00A158F3">
            <w:pPr>
              <w:pStyle w:val="TableParagraph"/>
              <w:spacing w:before="78"/>
              <w:ind w:left="121" w:right="112"/>
              <w:jc w:val="right"/>
              <w:rPr>
                <w:rFonts w:ascii="Arial" w:hAnsi="Arial" w:cs="Arial"/>
                <w:sz w:val="18"/>
                <w:szCs w:val="18"/>
                <w:lang w:val="de-DE"/>
              </w:rPr>
            </w:pPr>
            <w:r w:rsidRPr="00A158F3">
              <w:rPr>
                <w:rFonts w:ascii="Arial" w:hAnsi="Arial" w:cs="Arial"/>
                <w:sz w:val="18"/>
                <w:szCs w:val="18"/>
                <w:lang w:val="de-DE"/>
              </w:rPr>
              <w:t>6,6</w:t>
            </w:r>
          </w:p>
        </w:tc>
        <w:tc>
          <w:tcPr>
            <w:tcW w:w="1058" w:type="dxa"/>
          </w:tcPr>
          <w:p w:rsidR="00A158F3" w:rsidRPr="00A158F3" w:rsidRDefault="00A158F3" w:rsidP="00A158F3">
            <w:pPr>
              <w:pStyle w:val="TableParagraph"/>
              <w:spacing w:before="78"/>
              <w:ind w:left="122" w:right="112"/>
              <w:jc w:val="right"/>
              <w:rPr>
                <w:rFonts w:ascii="Arial" w:hAnsi="Arial" w:cs="Arial"/>
                <w:sz w:val="18"/>
                <w:szCs w:val="18"/>
                <w:lang w:val="de-DE"/>
              </w:rPr>
            </w:pPr>
            <w:r w:rsidRPr="00A158F3">
              <w:rPr>
                <w:rFonts w:ascii="Arial" w:hAnsi="Arial" w:cs="Arial"/>
                <w:sz w:val="18"/>
                <w:szCs w:val="18"/>
                <w:lang w:val="de-DE"/>
              </w:rPr>
              <w:t>6,5</w:t>
            </w:r>
          </w:p>
        </w:tc>
        <w:tc>
          <w:tcPr>
            <w:tcW w:w="1059" w:type="dxa"/>
          </w:tcPr>
          <w:p w:rsidR="00A158F3" w:rsidRPr="00A158F3" w:rsidRDefault="00A158F3" w:rsidP="00A158F3">
            <w:pPr>
              <w:pStyle w:val="TableParagraph"/>
              <w:spacing w:before="78"/>
              <w:ind w:left="12"/>
              <w:jc w:val="right"/>
              <w:rPr>
                <w:rFonts w:ascii="Arial" w:hAnsi="Arial" w:cs="Arial"/>
                <w:sz w:val="18"/>
                <w:szCs w:val="18"/>
                <w:lang w:val="de-DE"/>
              </w:rPr>
            </w:pPr>
            <w:r w:rsidRPr="00A158F3">
              <w:rPr>
                <w:rFonts w:ascii="Arial" w:hAnsi="Arial" w:cs="Arial"/>
                <w:sz w:val="18"/>
                <w:szCs w:val="18"/>
                <w:lang w:val="de-DE"/>
              </w:rPr>
              <w:t>2</w:t>
            </w:r>
          </w:p>
        </w:tc>
        <w:tc>
          <w:tcPr>
            <w:tcW w:w="1058" w:type="dxa"/>
          </w:tcPr>
          <w:p w:rsidR="00A158F3" w:rsidRPr="00A158F3" w:rsidRDefault="00A158F3" w:rsidP="00A158F3">
            <w:pPr>
              <w:pStyle w:val="TableParagraph"/>
              <w:spacing w:before="78"/>
              <w:ind w:left="14"/>
              <w:jc w:val="right"/>
              <w:rPr>
                <w:rFonts w:ascii="Arial" w:hAnsi="Arial" w:cs="Arial"/>
                <w:sz w:val="18"/>
                <w:szCs w:val="18"/>
                <w:lang w:val="de-DE"/>
              </w:rPr>
            </w:pPr>
            <w:r w:rsidRPr="00A158F3">
              <w:rPr>
                <w:rFonts w:ascii="Arial" w:hAnsi="Arial" w:cs="Arial"/>
                <w:sz w:val="18"/>
                <w:szCs w:val="18"/>
                <w:lang w:val="de-DE"/>
              </w:rPr>
              <w:t>2</w:t>
            </w:r>
          </w:p>
        </w:tc>
        <w:tc>
          <w:tcPr>
            <w:tcW w:w="1059" w:type="dxa"/>
          </w:tcPr>
          <w:p w:rsidR="00A158F3" w:rsidRPr="00A158F3" w:rsidRDefault="00A158F3" w:rsidP="00A158F3">
            <w:pPr>
              <w:pStyle w:val="TableParagraph"/>
              <w:spacing w:before="78"/>
              <w:ind w:left="14"/>
              <w:jc w:val="right"/>
              <w:rPr>
                <w:rFonts w:ascii="Arial" w:hAnsi="Arial" w:cs="Arial"/>
                <w:sz w:val="18"/>
                <w:szCs w:val="18"/>
                <w:lang w:val="de-DE"/>
              </w:rPr>
            </w:pPr>
            <w:r w:rsidRPr="00A158F3">
              <w:rPr>
                <w:rFonts w:ascii="Arial" w:hAnsi="Arial" w:cs="Arial"/>
                <w:sz w:val="18"/>
                <w:szCs w:val="18"/>
                <w:lang w:val="de-DE"/>
              </w:rPr>
              <w:t>0</w:t>
            </w:r>
          </w:p>
        </w:tc>
      </w:tr>
      <w:tr w:rsidR="00A158F3" w:rsidRPr="009E4727" w:rsidTr="00A158F3">
        <w:trPr>
          <w:trHeight w:val="413"/>
          <w:jc w:val="center"/>
        </w:trPr>
        <w:tc>
          <w:tcPr>
            <w:tcW w:w="2689" w:type="dxa"/>
          </w:tcPr>
          <w:p w:rsidR="00A158F3" w:rsidRPr="00A158F3" w:rsidRDefault="00A158F3" w:rsidP="00A158F3">
            <w:pPr>
              <w:pStyle w:val="TableParagraph"/>
              <w:spacing w:before="0" w:line="400" w:lineRule="exact"/>
              <w:ind w:left="0"/>
              <w:rPr>
                <w:rFonts w:ascii="Arial" w:hAnsi="Arial" w:cs="Arial"/>
                <w:sz w:val="18"/>
                <w:szCs w:val="18"/>
                <w:lang w:val="de-DE"/>
              </w:rPr>
            </w:pPr>
            <w:r w:rsidRPr="00A158F3">
              <w:rPr>
                <w:rFonts w:ascii="Arial" w:hAnsi="Arial" w:cs="Arial"/>
                <w:sz w:val="18"/>
                <w:szCs w:val="18"/>
                <w:lang w:val="de-DE"/>
              </w:rPr>
              <w:t>Kaufbeuren</w:t>
            </w:r>
          </w:p>
        </w:tc>
        <w:tc>
          <w:tcPr>
            <w:tcW w:w="1058" w:type="dxa"/>
          </w:tcPr>
          <w:p w:rsidR="00A158F3" w:rsidRPr="00A158F3" w:rsidRDefault="00A158F3" w:rsidP="00A158F3">
            <w:pPr>
              <w:pStyle w:val="TableParagraph"/>
              <w:spacing w:before="78"/>
              <w:ind w:left="121" w:right="112"/>
              <w:jc w:val="right"/>
              <w:rPr>
                <w:rFonts w:ascii="Arial" w:hAnsi="Arial" w:cs="Arial"/>
                <w:sz w:val="18"/>
                <w:szCs w:val="18"/>
                <w:lang w:val="de-DE"/>
              </w:rPr>
            </w:pPr>
            <w:r w:rsidRPr="00A158F3">
              <w:rPr>
                <w:rFonts w:ascii="Arial" w:hAnsi="Arial" w:cs="Arial"/>
                <w:sz w:val="18"/>
                <w:szCs w:val="18"/>
                <w:lang w:val="de-DE"/>
              </w:rPr>
              <w:t>11,8</w:t>
            </w:r>
          </w:p>
        </w:tc>
        <w:tc>
          <w:tcPr>
            <w:tcW w:w="1058" w:type="dxa"/>
          </w:tcPr>
          <w:p w:rsidR="00A158F3" w:rsidRPr="00A158F3" w:rsidRDefault="00A158F3" w:rsidP="00A158F3">
            <w:pPr>
              <w:pStyle w:val="TableParagraph"/>
              <w:spacing w:before="78"/>
              <w:ind w:left="122" w:right="112"/>
              <w:jc w:val="right"/>
              <w:rPr>
                <w:rFonts w:ascii="Arial" w:hAnsi="Arial" w:cs="Arial"/>
                <w:sz w:val="18"/>
                <w:szCs w:val="18"/>
                <w:lang w:val="de-DE"/>
              </w:rPr>
            </w:pPr>
            <w:r w:rsidRPr="00A158F3">
              <w:rPr>
                <w:rFonts w:ascii="Arial" w:hAnsi="Arial" w:cs="Arial"/>
                <w:sz w:val="18"/>
                <w:szCs w:val="18"/>
                <w:lang w:val="de-DE"/>
              </w:rPr>
              <w:t>11,7</w:t>
            </w:r>
          </w:p>
        </w:tc>
        <w:tc>
          <w:tcPr>
            <w:tcW w:w="1059" w:type="dxa"/>
          </w:tcPr>
          <w:p w:rsidR="00A158F3" w:rsidRPr="00A158F3" w:rsidRDefault="00A158F3" w:rsidP="00A158F3">
            <w:pPr>
              <w:pStyle w:val="TableParagraph"/>
              <w:spacing w:before="78"/>
              <w:ind w:left="11"/>
              <w:jc w:val="right"/>
              <w:rPr>
                <w:rFonts w:ascii="Arial" w:hAnsi="Arial" w:cs="Arial"/>
                <w:sz w:val="18"/>
                <w:szCs w:val="18"/>
                <w:lang w:val="de-DE"/>
              </w:rPr>
            </w:pPr>
            <w:r w:rsidRPr="00A158F3">
              <w:rPr>
                <w:rFonts w:ascii="Arial" w:hAnsi="Arial" w:cs="Arial"/>
                <w:sz w:val="18"/>
                <w:szCs w:val="18"/>
                <w:lang w:val="de-DE"/>
              </w:rPr>
              <w:t>3</w:t>
            </w:r>
          </w:p>
        </w:tc>
        <w:tc>
          <w:tcPr>
            <w:tcW w:w="1058" w:type="dxa"/>
          </w:tcPr>
          <w:p w:rsidR="00A158F3" w:rsidRPr="00A158F3" w:rsidRDefault="00A158F3" w:rsidP="00A158F3">
            <w:pPr>
              <w:pStyle w:val="TableParagraph"/>
              <w:spacing w:before="78"/>
              <w:jc w:val="right"/>
              <w:rPr>
                <w:rFonts w:ascii="Arial" w:hAnsi="Arial" w:cs="Arial"/>
                <w:sz w:val="18"/>
                <w:szCs w:val="18"/>
                <w:lang w:val="de-DE"/>
              </w:rPr>
            </w:pPr>
            <w:r w:rsidRPr="00A158F3">
              <w:rPr>
                <w:rFonts w:ascii="Arial" w:hAnsi="Arial" w:cs="Arial"/>
                <w:sz w:val="18"/>
                <w:szCs w:val="18"/>
                <w:lang w:val="de-DE"/>
              </w:rPr>
              <w:t>4</w:t>
            </w:r>
          </w:p>
        </w:tc>
        <w:tc>
          <w:tcPr>
            <w:tcW w:w="1059" w:type="dxa"/>
          </w:tcPr>
          <w:p w:rsidR="00A158F3" w:rsidRPr="00A158F3" w:rsidRDefault="00A158F3" w:rsidP="00A158F3">
            <w:pPr>
              <w:pStyle w:val="TableParagraph"/>
              <w:spacing w:before="78"/>
              <w:jc w:val="right"/>
              <w:rPr>
                <w:rFonts w:ascii="Arial" w:hAnsi="Arial" w:cs="Arial"/>
                <w:sz w:val="18"/>
                <w:szCs w:val="18"/>
                <w:lang w:val="de-DE"/>
              </w:rPr>
            </w:pPr>
            <w:r w:rsidRPr="00A158F3">
              <w:rPr>
                <w:rFonts w:ascii="Arial" w:hAnsi="Arial" w:cs="Arial"/>
                <w:sz w:val="18"/>
                <w:szCs w:val="18"/>
                <w:lang w:val="de-DE"/>
              </w:rPr>
              <w:t>1</w:t>
            </w:r>
          </w:p>
        </w:tc>
      </w:tr>
      <w:tr w:rsidR="00A158F3" w:rsidRPr="009E4727" w:rsidTr="00A158F3">
        <w:trPr>
          <w:trHeight w:val="413"/>
          <w:jc w:val="center"/>
        </w:trPr>
        <w:tc>
          <w:tcPr>
            <w:tcW w:w="2689" w:type="dxa"/>
          </w:tcPr>
          <w:p w:rsidR="00A158F3" w:rsidRPr="00A158F3" w:rsidRDefault="00A158F3" w:rsidP="00A158F3">
            <w:pPr>
              <w:pStyle w:val="TableParagraph"/>
              <w:spacing w:before="0" w:line="400" w:lineRule="exact"/>
              <w:ind w:left="0"/>
              <w:rPr>
                <w:rFonts w:ascii="Arial" w:hAnsi="Arial" w:cs="Arial"/>
                <w:sz w:val="18"/>
                <w:szCs w:val="18"/>
                <w:lang w:val="de-DE"/>
              </w:rPr>
            </w:pPr>
            <w:r w:rsidRPr="00A158F3">
              <w:rPr>
                <w:rFonts w:ascii="Arial" w:hAnsi="Arial" w:cs="Arial"/>
                <w:sz w:val="18"/>
                <w:szCs w:val="18"/>
                <w:lang w:val="de-DE"/>
              </w:rPr>
              <w:t>Kempten (Allgäu)</w:t>
            </w:r>
          </w:p>
        </w:tc>
        <w:tc>
          <w:tcPr>
            <w:tcW w:w="1058" w:type="dxa"/>
          </w:tcPr>
          <w:p w:rsidR="00A158F3" w:rsidRPr="00A158F3" w:rsidRDefault="00A158F3" w:rsidP="00A158F3">
            <w:pPr>
              <w:pStyle w:val="TableParagraph"/>
              <w:spacing w:before="78"/>
              <w:ind w:left="121" w:right="112"/>
              <w:jc w:val="right"/>
              <w:rPr>
                <w:rFonts w:ascii="Arial" w:hAnsi="Arial" w:cs="Arial"/>
                <w:sz w:val="18"/>
                <w:szCs w:val="18"/>
                <w:lang w:val="de-DE"/>
              </w:rPr>
            </w:pPr>
            <w:r w:rsidRPr="00A158F3">
              <w:rPr>
                <w:rFonts w:ascii="Arial" w:hAnsi="Arial" w:cs="Arial"/>
                <w:sz w:val="18"/>
                <w:szCs w:val="18"/>
                <w:lang w:val="de-DE"/>
              </w:rPr>
              <w:t>7,9</w:t>
            </w:r>
          </w:p>
        </w:tc>
        <w:tc>
          <w:tcPr>
            <w:tcW w:w="1058" w:type="dxa"/>
          </w:tcPr>
          <w:p w:rsidR="00A158F3" w:rsidRPr="00A158F3" w:rsidRDefault="00A158F3" w:rsidP="00A158F3">
            <w:pPr>
              <w:pStyle w:val="TableParagraph"/>
              <w:spacing w:before="78"/>
              <w:ind w:left="122" w:right="112"/>
              <w:jc w:val="right"/>
              <w:rPr>
                <w:rFonts w:ascii="Arial" w:hAnsi="Arial" w:cs="Arial"/>
                <w:sz w:val="18"/>
                <w:szCs w:val="18"/>
                <w:lang w:val="de-DE"/>
              </w:rPr>
            </w:pPr>
            <w:r w:rsidRPr="00A158F3">
              <w:rPr>
                <w:rFonts w:ascii="Arial" w:hAnsi="Arial" w:cs="Arial"/>
                <w:sz w:val="18"/>
                <w:szCs w:val="18"/>
                <w:lang w:val="de-DE"/>
              </w:rPr>
              <w:t>10,2</w:t>
            </w:r>
          </w:p>
        </w:tc>
        <w:tc>
          <w:tcPr>
            <w:tcW w:w="1059" w:type="dxa"/>
          </w:tcPr>
          <w:p w:rsidR="00A158F3" w:rsidRPr="00A158F3" w:rsidRDefault="00A158F3" w:rsidP="00A158F3">
            <w:pPr>
              <w:pStyle w:val="TableParagraph"/>
              <w:spacing w:before="78"/>
              <w:ind w:left="11"/>
              <w:jc w:val="right"/>
              <w:rPr>
                <w:rFonts w:ascii="Arial" w:hAnsi="Arial" w:cs="Arial"/>
                <w:sz w:val="18"/>
                <w:szCs w:val="18"/>
                <w:lang w:val="de-DE"/>
              </w:rPr>
            </w:pPr>
            <w:r w:rsidRPr="00A158F3">
              <w:rPr>
                <w:rFonts w:ascii="Arial" w:hAnsi="Arial" w:cs="Arial"/>
                <w:sz w:val="18"/>
                <w:szCs w:val="18"/>
                <w:lang w:val="de-DE"/>
              </w:rPr>
              <w:t>1</w:t>
            </w:r>
          </w:p>
        </w:tc>
        <w:tc>
          <w:tcPr>
            <w:tcW w:w="1058" w:type="dxa"/>
          </w:tcPr>
          <w:p w:rsidR="00A158F3" w:rsidRPr="00A158F3" w:rsidRDefault="00A158F3" w:rsidP="00A158F3">
            <w:pPr>
              <w:pStyle w:val="TableParagraph"/>
              <w:spacing w:before="78"/>
              <w:jc w:val="right"/>
              <w:rPr>
                <w:rFonts w:ascii="Arial" w:hAnsi="Arial" w:cs="Arial"/>
                <w:sz w:val="18"/>
                <w:szCs w:val="18"/>
                <w:lang w:val="de-DE"/>
              </w:rPr>
            </w:pPr>
            <w:r w:rsidRPr="00A158F3">
              <w:rPr>
                <w:rFonts w:ascii="Arial" w:hAnsi="Arial" w:cs="Arial"/>
                <w:sz w:val="18"/>
                <w:szCs w:val="18"/>
                <w:lang w:val="de-DE"/>
              </w:rPr>
              <w:t>2</w:t>
            </w:r>
          </w:p>
        </w:tc>
        <w:tc>
          <w:tcPr>
            <w:tcW w:w="1059" w:type="dxa"/>
          </w:tcPr>
          <w:p w:rsidR="00A158F3" w:rsidRPr="00A158F3" w:rsidRDefault="00A158F3" w:rsidP="00A158F3">
            <w:pPr>
              <w:pStyle w:val="TableParagraph"/>
              <w:spacing w:before="78"/>
              <w:jc w:val="right"/>
              <w:rPr>
                <w:rFonts w:ascii="Arial" w:hAnsi="Arial" w:cs="Arial"/>
                <w:sz w:val="18"/>
                <w:szCs w:val="18"/>
                <w:lang w:val="de-DE"/>
              </w:rPr>
            </w:pPr>
            <w:r w:rsidRPr="00A158F3">
              <w:rPr>
                <w:rFonts w:ascii="Arial" w:hAnsi="Arial" w:cs="Arial"/>
                <w:sz w:val="18"/>
                <w:szCs w:val="18"/>
                <w:lang w:val="de-DE"/>
              </w:rPr>
              <w:t>1</w:t>
            </w:r>
          </w:p>
        </w:tc>
      </w:tr>
      <w:tr w:rsidR="00A158F3" w:rsidRPr="009E4727" w:rsidTr="00A158F3">
        <w:trPr>
          <w:trHeight w:val="413"/>
          <w:jc w:val="center"/>
        </w:trPr>
        <w:tc>
          <w:tcPr>
            <w:tcW w:w="2689" w:type="dxa"/>
          </w:tcPr>
          <w:p w:rsidR="00A158F3" w:rsidRPr="00A158F3" w:rsidRDefault="00A158F3" w:rsidP="00A158F3">
            <w:pPr>
              <w:pStyle w:val="TableParagraph"/>
              <w:spacing w:before="0" w:line="400" w:lineRule="exact"/>
              <w:ind w:left="0"/>
              <w:rPr>
                <w:rFonts w:ascii="Arial" w:hAnsi="Arial" w:cs="Arial"/>
                <w:sz w:val="18"/>
                <w:szCs w:val="18"/>
                <w:lang w:val="de-DE"/>
              </w:rPr>
            </w:pPr>
            <w:r>
              <w:rPr>
                <w:rFonts w:ascii="Arial" w:hAnsi="Arial" w:cs="Arial"/>
                <w:sz w:val="18"/>
                <w:szCs w:val="18"/>
                <w:lang w:val="de-DE"/>
              </w:rPr>
              <w:t>Krumbach (Schwa</w:t>
            </w:r>
            <w:r w:rsidRPr="00A158F3">
              <w:rPr>
                <w:rFonts w:ascii="Arial" w:hAnsi="Arial" w:cs="Arial"/>
                <w:sz w:val="18"/>
                <w:szCs w:val="18"/>
                <w:lang w:val="de-DE"/>
              </w:rPr>
              <w:t>ben)-Mindelheim</w:t>
            </w:r>
          </w:p>
        </w:tc>
        <w:tc>
          <w:tcPr>
            <w:tcW w:w="1058" w:type="dxa"/>
            <w:vAlign w:val="center"/>
          </w:tcPr>
          <w:p w:rsidR="00A158F3" w:rsidRPr="00A158F3" w:rsidRDefault="00A158F3" w:rsidP="00A158F3">
            <w:pPr>
              <w:pStyle w:val="TableParagraph"/>
              <w:spacing w:before="78"/>
              <w:ind w:left="121" w:right="112"/>
              <w:jc w:val="right"/>
              <w:rPr>
                <w:rFonts w:ascii="Arial" w:hAnsi="Arial" w:cs="Arial"/>
                <w:sz w:val="18"/>
                <w:szCs w:val="18"/>
                <w:lang w:val="de-DE"/>
              </w:rPr>
            </w:pPr>
            <w:r w:rsidRPr="00A158F3">
              <w:rPr>
                <w:rFonts w:ascii="Arial" w:hAnsi="Arial" w:cs="Arial"/>
                <w:sz w:val="18"/>
                <w:szCs w:val="18"/>
                <w:lang w:val="de-DE"/>
              </w:rPr>
              <w:t>8,5</w:t>
            </w:r>
          </w:p>
        </w:tc>
        <w:tc>
          <w:tcPr>
            <w:tcW w:w="1058" w:type="dxa"/>
            <w:vAlign w:val="center"/>
          </w:tcPr>
          <w:p w:rsidR="00A158F3" w:rsidRPr="00A158F3" w:rsidRDefault="00A158F3" w:rsidP="00A158F3">
            <w:pPr>
              <w:pStyle w:val="TableParagraph"/>
              <w:spacing w:before="78"/>
              <w:ind w:left="122" w:right="112"/>
              <w:jc w:val="right"/>
              <w:rPr>
                <w:rFonts w:ascii="Arial" w:hAnsi="Arial" w:cs="Arial"/>
                <w:sz w:val="18"/>
                <w:szCs w:val="18"/>
                <w:lang w:val="de-DE"/>
              </w:rPr>
            </w:pPr>
            <w:r w:rsidRPr="00A158F3">
              <w:rPr>
                <w:rFonts w:ascii="Arial" w:hAnsi="Arial" w:cs="Arial"/>
                <w:sz w:val="18"/>
                <w:szCs w:val="18"/>
                <w:lang w:val="de-DE"/>
              </w:rPr>
              <w:t>8,3</w:t>
            </w:r>
          </w:p>
        </w:tc>
        <w:tc>
          <w:tcPr>
            <w:tcW w:w="1059" w:type="dxa"/>
            <w:vAlign w:val="center"/>
          </w:tcPr>
          <w:p w:rsidR="00A158F3" w:rsidRPr="00A158F3" w:rsidRDefault="00A158F3" w:rsidP="00A158F3">
            <w:pPr>
              <w:pStyle w:val="TableParagraph"/>
              <w:spacing w:before="78"/>
              <w:ind w:left="12"/>
              <w:jc w:val="right"/>
              <w:rPr>
                <w:rFonts w:ascii="Arial" w:hAnsi="Arial" w:cs="Arial"/>
                <w:sz w:val="18"/>
                <w:szCs w:val="18"/>
                <w:lang w:val="de-DE"/>
              </w:rPr>
            </w:pPr>
            <w:r w:rsidRPr="00A158F3">
              <w:rPr>
                <w:rFonts w:ascii="Arial" w:hAnsi="Arial" w:cs="Arial"/>
                <w:sz w:val="18"/>
                <w:szCs w:val="18"/>
                <w:lang w:val="de-DE"/>
              </w:rPr>
              <w:t>2</w:t>
            </w:r>
          </w:p>
        </w:tc>
        <w:tc>
          <w:tcPr>
            <w:tcW w:w="1058" w:type="dxa"/>
            <w:vAlign w:val="center"/>
          </w:tcPr>
          <w:p w:rsidR="00A158F3" w:rsidRPr="00A158F3" w:rsidRDefault="00A158F3" w:rsidP="00A158F3">
            <w:pPr>
              <w:pStyle w:val="TableParagraph"/>
              <w:spacing w:before="78"/>
              <w:ind w:left="14"/>
              <w:jc w:val="right"/>
              <w:rPr>
                <w:rFonts w:ascii="Arial" w:hAnsi="Arial" w:cs="Arial"/>
                <w:sz w:val="18"/>
                <w:szCs w:val="18"/>
                <w:lang w:val="de-DE"/>
              </w:rPr>
            </w:pPr>
            <w:r w:rsidRPr="00A158F3">
              <w:rPr>
                <w:rFonts w:ascii="Arial" w:hAnsi="Arial" w:cs="Arial"/>
                <w:sz w:val="18"/>
                <w:szCs w:val="18"/>
                <w:lang w:val="de-DE"/>
              </w:rPr>
              <w:t>2</w:t>
            </w:r>
          </w:p>
        </w:tc>
        <w:tc>
          <w:tcPr>
            <w:tcW w:w="1059" w:type="dxa"/>
            <w:vAlign w:val="center"/>
          </w:tcPr>
          <w:p w:rsidR="00A158F3" w:rsidRPr="00A158F3" w:rsidRDefault="00A158F3" w:rsidP="00A158F3">
            <w:pPr>
              <w:pStyle w:val="TableParagraph"/>
              <w:spacing w:before="78"/>
              <w:ind w:left="14"/>
              <w:jc w:val="right"/>
              <w:rPr>
                <w:rFonts w:ascii="Arial" w:hAnsi="Arial" w:cs="Arial"/>
                <w:sz w:val="18"/>
                <w:szCs w:val="18"/>
                <w:lang w:val="de-DE"/>
              </w:rPr>
            </w:pPr>
            <w:r w:rsidRPr="00A158F3">
              <w:rPr>
                <w:rFonts w:ascii="Arial" w:hAnsi="Arial" w:cs="Arial"/>
                <w:sz w:val="18"/>
                <w:szCs w:val="18"/>
                <w:lang w:val="de-DE"/>
              </w:rPr>
              <w:t>0</w:t>
            </w:r>
          </w:p>
        </w:tc>
      </w:tr>
      <w:tr w:rsidR="00A158F3" w:rsidRPr="009E4727" w:rsidTr="00A158F3">
        <w:trPr>
          <w:trHeight w:val="413"/>
          <w:jc w:val="center"/>
        </w:trPr>
        <w:tc>
          <w:tcPr>
            <w:tcW w:w="2689" w:type="dxa"/>
          </w:tcPr>
          <w:p w:rsidR="00A158F3" w:rsidRPr="00A158F3" w:rsidRDefault="00A158F3" w:rsidP="00A158F3">
            <w:pPr>
              <w:pStyle w:val="TableParagraph"/>
              <w:spacing w:before="0" w:line="400" w:lineRule="exact"/>
              <w:ind w:left="0"/>
              <w:rPr>
                <w:rFonts w:ascii="Arial" w:hAnsi="Arial" w:cs="Arial"/>
                <w:sz w:val="18"/>
                <w:szCs w:val="18"/>
                <w:lang w:val="de-DE"/>
              </w:rPr>
            </w:pPr>
            <w:r w:rsidRPr="00A158F3">
              <w:rPr>
                <w:rFonts w:ascii="Arial" w:hAnsi="Arial" w:cs="Arial"/>
                <w:sz w:val="18"/>
                <w:szCs w:val="18"/>
                <w:lang w:val="de-DE"/>
              </w:rPr>
              <w:t>Nördlingen-Wertingen</w:t>
            </w:r>
          </w:p>
        </w:tc>
        <w:tc>
          <w:tcPr>
            <w:tcW w:w="1058" w:type="dxa"/>
          </w:tcPr>
          <w:p w:rsidR="00A158F3" w:rsidRPr="00A158F3" w:rsidRDefault="00A158F3" w:rsidP="00A158F3">
            <w:pPr>
              <w:pStyle w:val="TableParagraph"/>
              <w:spacing w:before="78"/>
              <w:ind w:left="121" w:right="112"/>
              <w:jc w:val="right"/>
              <w:rPr>
                <w:rFonts w:ascii="Arial" w:hAnsi="Arial" w:cs="Arial"/>
                <w:sz w:val="18"/>
                <w:szCs w:val="18"/>
                <w:lang w:val="de-DE"/>
              </w:rPr>
            </w:pPr>
            <w:r w:rsidRPr="00A158F3">
              <w:rPr>
                <w:rFonts w:ascii="Arial" w:hAnsi="Arial" w:cs="Arial"/>
                <w:sz w:val="18"/>
                <w:szCs w:val="18"/>
                <w:lang w:val="de-DE"/>
              </w:rPr>
              <w:t>10,8</w:t>
            </w:r>
          </w:p>
        </w:tc>
        <w:tc>
          <w:tcPr>
            <w:tcW w:w="1058" w:type="dxa"/>
          </w:tcPr>
          <w:p w:rsidR="00A158F3" w:rsidRPr="00A158F3" w:rsidRDefault="00A158F3" w:rsidP="00A158F3">
            <w:pPr>
              <w:pStyle w:val="TableParagraph"/>
              <w:spacing w:before="78"/>
              <w:ind w:left="122" w:right="112"/>
              <w:jc w:val="right"/>
              <w:rPr>
                <w:rFonts w:ascii="Arial" w:hAnsi="Arial" w:cs="Arial"/>
                <w:sz w:val="18"/>
                <w:szCs w:val="18"/>
                <w:lang w:val="de-DE"/>
              </w:rPr>
            </w:pPr>
            <w:r w:rsidRPr="00A158F3">
              <w:rPr>
                <w:rFonts w:ascii="Arial" w:hAnsi="Arial" w:cs="Arial"/>
                <w:sz w:val="18"/>
                <w:szCs w:val="18"/>
                <w:lang w:val="de-DE"/>
              </w:rPr>
              <w:t>9,4</w:t>
            </w:r>
          </w:p>
        </w:tc>
        <w:tc>
          <w:tcPr>
            <w:tcW w:w="1059" w:type="dxa"/>
          </w:tcPr>
          <w:p w:rsidR="00A158F3" w:rsidRPr="00A158F3" w:rsidRDefault="00A158F3" w:rsidP="00A158F3">
            <w:pPr>
              <w:pStyle w:val="TableParagraph"/>
              <w:spacing w:before="78"/>
              <w:ind w:left="11"/>
              <w:jc w:val="right"/>
              <w:rPr>
                <w:rFonts w:ascii="Arial" w:hAnsi="Arial" w:cs="Arial"/>
                <w:sz w:val="18"/>
                <w:szCs w:val="18"/>
                <w:lang w:val="de-DE"/>
              </w:rPr>
            </w:pPr>
            <w:r w:rsidRPr="00A158F3">
              <w:rPr>
                <w:rFonts w:ascii="Arial" w:hAnsi="Arial" w:cs="Arial"/>
                <w:sz w:val="18"/>
                <w:szCs w:val="18"/>
                <w:lang w:val="de-DE"/>
              </w:rPr>
              <w:t>4</w:t>
            </w:r>
          </w:p>
        </w:tc>
        <w:tc>
          <w:tcPr>
            <w:tcW w:w="1058" w:type="dxa"/>
          </w:tcPr>
          <w:p w:rsidR="00A158F3" w:rsidRPr="00A158F3" w:rsidRDefault="00A158F3" w:rsidP="00A158F3">
            <w:pPr>
              <w:pStyle w:val="TableParagraph"/>
              <w:spacing w:before="78"/>
              <w:jc w:val="right"/>
              <w:rPr>
                <w:rFonts w:ascii="Arial" w:hAnsi="Arial" w:cs="Arial"/>
                <w:sz w:val="18"/>
                <w:szCs w:val="18"/>
                <w:lang w:val="de-DE"/>
              </w:rPr>
            </w:pPr>
            <w:r w:rsidRPr="00A158F3">
              <w:rPr>
                <w:rFonts w:ascii="Arial" w:hAnsi="Arial" w:cs="Arial"/>
                <w:sz w:val="18"/>
                <w:szCs w:val="18"/>
                <w:lang w:val="de-DE"/>
              </w:rPr>
              <w:t>4</w:t>
            </w:r>
          </w:p>
        </w:tc>
        <w:tc>
          <w:tcPr>
            <w:tcW w:w="1059" w:type="dxa"/>
          </w:tcPr>
          <w:p w:rsidR="00A158F3" w:rsidRPr="00A158F3" w:rsidRDefault="00A158F3" w:rsidP="00A158F3">
            <w:pPr>
              <w:pStyle w:val="TableParagraph"/>
              <w:spacing w:before="78"/>
              <w:jc w:val="right"/>
              <w:rPr>
                <w:rFonts w:ascii="Arial" w:hAnsi="Arial" w:cs="Arial"/>
                <w:sz w:val="18"/>
                <w:szCs w:val="18"/>
                <w:lang w:val="de-DE"/>
              </w:rPr>
            </w:pPr>
            <w:r w:rsidRPr="00A158F3">
              <w:rPr>
                <w:rFonts w:ascii="Arial" w:hAnsi="Arial" w:cs="Arial"/>
                <w:sz w:val="18"/>
                <w:szCs w:val="18"/>
                <w:lang w:val="de-DE"/>
              </w:rPr>
              <w:t>0</w:t>
            </w:r>
          </w:p>
        </w:tc>
      </w:tr>
      <w:tr w:rsidR="00A158F3" w:rsidRPr="009E4727" w:rsidTr="00A158F3">
        <w:trPr>
          <w:trHeight w:val="413"/>
          <w:jc w:val="center"/>
        </w:trPr>
        <w:tc>
          <w:tcPr>
            <w:tcW w:w="2689" w:type="dxa"/>
          </w:tcPr>
          <w:p w:rsidR="00A158F3" w:rsidRPr="00A158F3" w:rsidRDefault="00A158F3" w:rsidP="00A158F3">
            <w:pPr>
              <w:pStyle w:val="TableParagraph"/>
              <w:spacing w:before="0" w:line="400" w:lineRule="exact"/>
              <w:ind w:left="0"/>
              <w:rPr>
                <w:rFonts w:ascii="Arial" w:hAnsi="Arial" w:cs="Arial"/>
                <w:sz w:val="18"/>
                <w:szCs w:val="18"/>
                <w:lang w:val="de-DE"/>
              </w:rPr>
            </w:pPr>
            <w:r w:rsidRPr="00A158F3">
              <w:rPr>
                <w:rFonts w:ascii="Arial" w:hAnsi="Arial" w:cs="Arial"/>
                <w:sz w:val="18"/>
                <w:szCs w:val="18"/>
                <w:lang w:val="de-DE"/>
              </w:rPr>
              <w:t>Gesamt</w:t>
            </w:r>
          </w:p>
        </w:tc>
        <w:tc>
          <w:tcPr>
            <w:tcW w:w="1058" w:type="dxa"/>
          </w:tcPr>
          <w:p w:rsidR="00A158F3" w:rsidRPr="00A158F3" w:rsidRDefault="00A158F3" w:rsidP="00A158F3">
            <w:pPr>
              <w:pStyle w:val="TableParagraph"/>
              <w:spacing w:before="78"/>
              <w:ind w:left="121" w:right="112"/>
              <w:jc w:val="right"/>
              <w:rPr>
                <w:rFonts w:ascii="Arial" w:hAnsi="Arial" w:cs="Arial"/>
                <w:sz w:val="18"/>
                <w:szCs w:val="18"/>
                <w:lang w:val="de-DE"/>
              </w:rPr>
            </w:pPr>
            <w:r w:rsidRPr="00A158F3">
              <w:rPr>
                <w:rFonts w:ascii="Arial" w:hAnsi="Arial" w:cs="Arial"/>
                <w:sz w:val="18"/>
                <w:szCs w:val="18"/>
                <w:lang w:val="de-DE"/>
              </w:rPr>
              <w:t>299,2</w:t>
            </w:r>
          </w:p>
        </w:tc>
        <w:tc>
          <w:tcPr>
            <w:tcW w:w="1058" w:type="dxa"/>
          </w:tcPr>
          <w:p w:rsidR="00A158F3" w:rsidRPr="00A158F3" w:rsidRDefault="00A158F3" w:rsidP="00A158F3">
            <w:pPr>
              <w:pStyle w:val="TableParagraph"/>
              <w:spacing w:before="78"/>
              <w:ind w:left="122" w:right="112"/>
              <w:jc w:val="right"/>
              <w:rPr>
                <w:rFonts w:ascii="Arial" w:hAnsi="Arial" w:cs="Arial"/>
                <w:sz w:val="18"/>
                <w:szCs w:val="18"/>
                <w:lang w:val="de-DE"/>
              </w:rPr>
            </w:pPr>
            <w:r w:rsidRPr="00A158F3">
              <w:rPr>
                <w:rFonts w:ascii="Arial" w:hAnsi="Arial" w:cs="Arial"/>
                <w:sz w:val="18"/>
                <w:szCs w:val="18"/>
                <w:lang w:val="de-DE"/>
              </w:rPr>
              <w:t>301,4</w:t>
            </w:r>
          </w:p>
        </w:tc>
        <w:tc>
          <w:tcPr>
            <w:tcW w:w="1059" w:type="dxa"/>
          </w:tcPr>
          <w:p w:rsidR="00A158F3" w:rsidRPr="00A158F3" w:rsidRDefault="00A158F3" w:rsidP="00A158F3">
            <w:pPr>
              <w:pStyle w:val="TableParagraph"/>
              <w:spacing w:before="78"/>
              <w:ind w:left="123" w:right="113"/>
              <w:jc w:val="right"/>
              <w:rPr>
                <w:rFonts w:ascii="Arial" w:hAnsi="Arial" w:cs="Arial"/>
                <w:sz w:val="18"/>
                <w:szCs w:val="18"/>
                <w:lang w:val="de-DE"/>
              </w:rPr>
            </w:pPr>
            <w:r w:rsidRPr="00A158F3">
              <w:rPr>
                <w:rFonts w:ascii="Arial" w:hAnsi="Arial" w:cs="Arial"/>
                <w:sz w:val="18"/>
                <w:szCs w:val="18"/>
                <w:lang w:val="de-DE"/>
              </w:rPr>
              <w:t>89</w:t>
            </w:r>
          </w:p>
        </w:tc>
        <w:tc>
          <w:tcPr>
            <w:tcW w:w="1058" w:type="dxa"/>
          </w:tcPr>
          <w:p w:rsidR="00A158F3" w:rsidRPr="00A158F3" w:rsidRDefault="00A158F3" w:rsidP="00A158F3">
            <w:pPr>
              <w:pStyle w:val="TableParagraph"/>
              <w:spacing w:before="78"/>
              <w:ind w:left="124" w:right="112"/>
              <w:jc w:val="right"/>
              <w:rPr>
                <w:rFonts w:ascii="Arial" w:hAnsi="Arial" w:cs="Arial"/>
                <w:sz w:val="18"/>
                <w:szCs w:val="18"/>
                <w:lang w:val="de-DE"/>
              </w:rPr>
            </w:pPr>
            <w:r w:rsidRPr="00A158F3">
              <w:rPr>
                <w:rFonts w:ascii="Arial" w:hAnsi="Arial" w:cs="Arial"/>
                <w:sz w:val="18"/>
                <w:szCs w:val="18"/>
                <w:lang w:val="de-DE"/>
              </w:rPr>
              <w:t>103</w:t>
            </w:r>
          </w:p>
        </w:tc>
        <w:tc>
          <w:tcPr>
            <w:tcW w:w="1059" w:type="dxa"/>
          </w:tcPr>
          <w:p w:rsidR="00A158F3" w:rsidRPr="00A158F3" w:rsidRDefault="00A158F3" w:rsidP="00A158F3">
            <w:pPr>
              <w:pStyle w:val="TableParagraph"/>
              <w:spacing w:before="78"/>
              <w:ind w:left="125" w:right="113"/>
              <w:jc w:val="right"/>
              <w:rPr>
                <w:rFonts w:ascii="Arial" w:hAnsi="Arial" w:cs="Arial"/>
                <w:sz w:val="18"/>
                <w:szCs w:val="18"/>
                <w:lang w:val="de-DE"/>
              </w:rPr>
            </w:pPr>
            <w:r w:rsidRPr="00A158F3">
              <w:rPr>
                <w:rFonts w:ascii="Arial" w:hAnsi="Arial" w:cs="Arial"/>
                <w:sz w:val="18"/>
                <w:szCs w:val="18"/>
                <w:lang w:val="de-DE"/>
              </w:rPr>
              <w:t>14</w:t>
            </w:r>
          </w:p>
        </w:tc>
      </w:tr>
    </w:tbl>
    <w:p w:rsidR="00DD3048" w:rsidRDefault="00DD3048" w:rsidP="00DD3048">
      <w:pPr>
        <w:pStyle w:val="LTAntwortRessortText"/>
      </w:pPr>
      <w:r>
        <w:lastRenderedPageBreak/>
        <w:t>In den zurückliegenden zwei Jahren konnten trotz einiger Abgänge in den Ruhestand weitere Personen im Sachgebiet L2.2 hinzugewonnen werden. Die Anzahl der fachlich qualifizierten Personen erhöhte sich von 89 auf aktuell 103 Personen.</w:t>
      </w:r>
    </w:p>
    <w:p w:rsidR="00DD3048" w:rsidRDefault="00DD3048" w:rsidP="00DD3048">
      <w:pPr>
        <w:pStyle w:val="LTAntwortRessortText"/>
      </w:pPr>
      <w:r>
        <w:t>An 15 Ämtern blieb die Anzahl der Personen unverändert. An 14 Ämtern konnte die Anzahl der Personen, die zur Beratung Wildlebensraum eingesetzt werden, erhöht werden. An lediglich drei Ämtern hat es zu einer Reduzierung geführt. Dabei hat das AELF Ingolstadt-Pfaffenhofen immer noch 3 fachlich versierte Personen für diese Aufgabe zur Verfügung. An den Ämtern Töging und Passau steht auch die Mindestzahl von 2 fachlich versierten Personen zur Verfügung.</w:t>
      </w:r>
    </w:p>
    <w:p w:rsidR="00DD3048" w:rsidRDefault="00DD3048">
      <w:bookmarkStart w:id="104" w:name="Frage_Nr_51_Ende"/>
      <w:bookmarkEnd w:id="104"/>
      <w:r>
        <w:br w:type="page"/>
      </w:r>
    </w:p>
    <w:p w:rsidR="00DD3048" w:rsidRDefault="00DD3048" w:rsidP="00DD3048">
      <w:pPr>
        <w:pStyle w:val="LTUeberschrRessort"/>
      </w:pPr>
      <w:r>
        <w:lastRenderedPageBreak/>
        <w:t>Geschäftsbereich des Staatsministeriums für Familie, Arbeit und Soziales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6"/>
        <w:gridCol w:w="5780"/>
      </w:tblGrid>
      <w:tr w:rsidR="00DD3048" w:rsidTr="007B0B33">
        <w:tc>
          <w:tcPr>
            <w:tcW w:w="2050" w:type="dxa"/>
          </w:tcPr>
          <w:p w:rsidR="00DD3048" w:rsidRDefault="00DD3048" w:rsidP="00DD3048">
            <w:pPr>
              <w:pStyle w:val="LTAnfrageInitiator"/>
            </w:pPr>
            <w:r>
              <w:t>Abgeordnete</w:t>
            </w:r>
            <w:r>
              <w:rPr>
                <w:b/>
              </w:rPr>
              <w:br/>
              <w:t>Annette</w:t>
            </w:r>
            <w:r>
              <w:rPr>
                <w:b/>
              </w:rPr>
              <w:br/>
              <w:t>Karl</w:t>
            </w:r>
            <w:r>
              <w:rPr>
                <w:b/>
              </w:rPr>
              <w:br/>
            </w:r>
            <w:r>
              <w:t>(SPD)</w:t>
            </w:r>
            <w:bookmarkStart w:id="105" w:name="Frage_Nr_52"/>
            <w:bookmarkEnd w:id="105"/>
          </w:p>
        </w:tc>
        <w:tc>
          <w:tcPr>
            <w:tcW w:w="7200" w:type="dxa"/>
          </w:tcPr>
          <w:p w:rsidR="00DD3048" w:rsidRDefault="00BB7C47" w:rsidP="00DD3048">
            <w:pPr>
              <w:pStyle w:val="LTAnfrageText"/>
            </w:pPr>
            <w:r w:rsidRPr="00BB7C47">
              <w:t>Ich frage die Staatsregierung, wie viele Anträge auf Härtefallleistungen (aus dem Bayerischen Energiesperren-Schutzschirm – BESS) wurden bisher gestellt und bewilligt (bitte aufgeschlüsselt nach Antragsweg), in welcher Höhe wurden bereits Mittel ausgereicht (bitte aufgeschlüsselt nach Antragsweg) und in welcher Höhe stehen noch weitere Mittel zur Verfügung?</w:t>
            </w:r>
          </w:p>
        </w:tc>
      </w:tr>
    </w:tbl>
    <w:p w:rsidR="00DD3048" w:rsidRDefault="00DD3048" w:rsidP="00DD3048">
      <w:pPr>
        <w:pStyle w:val="LTUeberschrAntwortRessort"/>
      </w:pPr>
      <w:r>
        <w:t>Antwort des Staatsministeriums für Familie, Arbeit und Soziales</w:t>
      </w:r>
    </w:p>
    <w:p w:rsidR="00DD3048" w:rsidRDefault="00DD3048" w:rsidP="00DD3048">
      <w:pPr>
        <w:pStyle w:val="LTAntwortRessortText"/>
      </w:pPr>
      <w:r>
        <w:t>Der Freistaat Bayern will Bürgerinnen und Bürger finanziell entlasten,</w:t>
      </w:r>
      <w:r w:rsidR="00BB7C47">
        <w:t xml:space="preserve"> </w:t>
      </w:r>
      <w:r>
        <w:t>die trotz sonstiger (Bundes-)Hilfen überfordert sind, ihre Energiekosten</w:t>
      </w:r>
      <w:r w:rsidR="00BB7C47">
        <w:t xml:space="preserve"> </w:t>
      </w:r>
      <w:r>
        <w:t>zu zahlen. Deshalb gibt es den Bayerischen Energiesperren-Schutzschirm</w:t>
      </w:r>
      <w:r w:rsidR="00BB7C47">
        <w:t xml:space="preserve"> </w:t>
      </w:r>
      <w:r>
        <w:t>(kurz: BESS). Dieser soll verhindern, dass wegen der Auswirkungen</w:t>
      </w:r>
      <w:r w:rsidR="00BB7C47">
        <w:t xml:space="preserve"> </w:t>
      </w:r>
      <w:r>
        <w:t xml:space="preserve">der Energiekrise SGB II- oder SGB XII-Leistungen </w:t>
      </w:r>
      <w:r w:rsidR="00BB7C47">
        <w:t xml:space="preserve">(SGB = Sozialgesetzbuch) </w:t>
      </w:r>
      <w:r>
        <w:t>bezogen</w:t>
      </w:r>
      <w:r w:rsidR="00BB7C47">
        <w:t xml:space="preserve"> </w:t>
      </w:r>
      <w:r>
        <w:t>werden müssen, wenn eine Energiesperre droht.</w:t>
      </w:r>
    </w:p>
    <w:p w:rsidR="00DD3048" w:rsidRDefault="00DD3048" w:rsidP="00DD3048">
      <w:pPr>
        <w:pStyle w:val="LTAntwortRessortText"/>
      </w:pPr>
      <w:r>
        <w:t>Insgesamt wurden bisher (Stand: 30.06.2023) 74 Anträge auf Härtefallleistungen</w:t>
      </w:r>
      <w:r w:rsidR="00BB7C47">
        <w:t xml:space="preserve"> </w:t>
      </w:r>
      <w:r>
        <w:t>nach dem BESS gestellt. Davon sind 68 online eingegangen</w:t>
      </w:r>
      <w:r w:rsidR="00BB7C47">
        <w:t xml:space="preserve"> </w:t>
      </w:r>
      <w:r>
        <w:t>und 6 Anträge in Papierform.</w:t>
      </w:r>
    </w:p>
    <w:p w:rsidR="00DD3048" w:rsidRDefault="00DD3048" w:rsidP="00DD3048">
      <w:pPr>
        <w:pStyle w:val="LTAntwortRessortText"/>
      </w:pPr>
      <w:r>
        <w:t>Bislang wurden 44 Anträge bewilligt. Die Bewilligungssumme beträgt</w:t>
      </w:r>
      <w:r w:rsidR="00BB7C47">
        <w:t xml:space="preserve"> </w:t>
      </w:r>
      <w:r>
        <w:t>insgesamt 62.861,79 Euro. Eine Aufschlüsselung der Mittel nach</w:t>
      </w:r>
      <w:r w:rsidR="00BB7C47">
        <w:t xml:space="preserve"> </w:t>
      </w:r>
      <w:r>
        <w:t>Antragsweg ist leider nicht möglich. Die Bewilligungssumme entspricht</w:t>
      </w:r>
      <w:r w:rsidR="00BB7C47">
        <w:t xml:space="preserve"> </w:t>
      </w:r>
      <w:r>
        <w:t>in der Regel auch der Auszahlungssumme.</w:t>
      </w:r>
    </w:p>
    <w:p w:rsidR="00DD3048" w:rsidRDefault="00DD3048" w:rsidP="00DD3048">
      <w:pPr>
        <w:pStyle w:val="LTAntwortRessortText"/>
      </w:pPr>
      <w:r>
        <w:t>Insgesamt stehen noch Mittel in Höhe von rund 25,44 Mio. Euro zur</w:t>
      </w:r>
      <w:r w:rsidR="00BB7C47">
        <w:t xml:space="preserve"> </w:t>
      </w:r>
      <w:r>
        <w:t>Verfügung.</w:t>
      </w:r>
    </w:p>
    <w:p w:rsidR="00DD3048" w:rsidRDefault="00DD3048">
      <w:bookmarkStart w:id="106" w:name="Frage_Nr_52_Ende"/>
      <w:bookmarkEnd w:id="10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DD3048" w:rsidTr="007B0B33">
        <w:tc>
          <w:tcPr>
            <w:tcW w:w="2050" w:type="dxa"/>
          </w:tcPr>
          <w:p w:rsidR="00DD3048" w:rsidRDefault="00DD3048" w:rsidP="00DD3048">
            <w:pPr>
              <w:pStyle w:val="LTAnfrageInitiator"/>
            </w:pPr>
            <w:r>
              <w:lastRenderedPageBreak/>
              <w:t>Abgeordnete</w:t>
            </w:r>
            <w:r>
              <w:rPr>
                <w:b/>
              </w:rPr>
              <w:br/>
              <w:t>Claudia</w:t>
            </w:r>
            <w:r>
              <w:rPr>
                <w:b/>
              </w:rPr>
              <w:br/>
              <w:t>Köhler</w:t>
            </w:r>
            <w:r>
              <w:rPr>
                <w:b/>
              </w:rPr>
              <w:br/>
            </w:r>
            <w:r>
              <w:t>(BÜNDNIS 90/DIE GRÜNEN)</w:t>
            </w:r>
            <w:bookmarkStart w:id="107" w:name="Frage_Nr_53"/>
            <w:bookmarkEnd w:id="107"/>
          </w:p>
        </w:tc>
        <w:tc>
          <w:tcPr>
            <w:tcW w:w="7200" w:type="dxa"/>
          </w:tcPr>
          <w:p w:rsidR="00DD3048" w:rsidRDefault="001454FC" w:rsidP="00DD3048">
            <w:pPr>
              <w:pStyle w:val="LTAnfrageText"/>
            </w:pPr>
            <w:r w:rsidRPr="001454FC">
              <w:t>Ich frage die Staatsregierung, in welcher Höhe sind aktuell aus den im Jahr 2022 für Bayern zur Verfügung gestellten Bundesmitteln für Geflüchtete aus der Ukraine in Höhe von 79 Mio. Euro Mittel an bayerische Kommunen ausbezahlt, weshalb ist gegebenenfalls die Gesamtsumme noch nicht weitergeleitet und wann ist mit der vollständigen Auszahlung zu rechnen?</w:t>
            </w:r>
          </w:p>
        </w:tc>
      </w:tr>
    </w:tbl>
    <w:p w:rsidR="00DD3048" w:rsidRDefault="00DD3048" w:rsidP="00DD3048">
      <w:pPr>
        <w:pStyle w:val="LTUeberschrAntwortRessort"/>
      </w:pPr>
      <w:r>
        <w:t>Antwort des Staatsministeriums für Familie, Arbeit und Soziales</w:t>
      </w:r>
    </w:p>
    <w:p w:rsidR="00DD3048" w:rsidRDefault="00DD3048" w:rsidP="00DD3048">
      <w:pPr>
        <w:pStyle w:val="LTAntwortRessortText"/>
      </w:pPr>
      <w:r>
        <w:t>Die Auszahlung der Mittel erfolgte durch das Zentrum Bayern Familie und Soziales mit Bescheid vom 19.06.2023 an die kommunalen Träger des Sozialgesetzbuches Zweites Buch (SGB II), d.</w:t>
      </w:r>
      <w:r w:rsidR="001454FC">
        <w:t> </w:t>
      </w:r>
      <w:r>
        <w:t xml:space="preserve">h. die Landkreise und kreisfreien Städte. Der ausbezahlte Betrag entspricht der Gesamthöhe der Leistungsausgaben der Landkreise und kreisfreien Städte nach § 22 Abs. 1 </w:t>
      </w:r>
      <w:r w:rsidR="001454FC">
        <w:t>Sozialgesetzbuch (</w:t>
      </w:r>
      <w:r>
        <w:t>SGB</w:t>
      </w:r>
      <w:r w:rsidR="001454FC">
        <w:t>) Zweites Buch (</w:t>
      </w:r>
      <w:r>
        <w:t>II</w:t>
      </w:r>
      <w:r w:rsidR="001454FC">
        <w:t>)</w:t>
      </w:r>
      <w:r>
        <w:t xml:space="preserve"> für ukrainische Leistungsberechtigte im Vorjahr abzüglich der weitergegebenen Erstattungsleistungen des Bundes nach § 46 Abs</w:t>
      </w:r>
      <w:r w:rsidR="001454FC">
        <w:t>.</w:t>
      </w:r>
      <w:r>
        <w:t xml:space="preserve"> 6 und 7 SGB II, Art. 3 Abs</w:t>
      </w:r>
      <w:r w:rsidR="001454FC">
        <w:t>.</w:t>
      </w:r>
      <w:r>
        <w:t xml:space="preserve"> 1 </w:t>
      </w:r>
      <w:r w:rsidR="001454FC" w:rsidRPr="001454FC">
        <w:t>Gesetz zur Ausführung der Sozialgesetze</w:t>
      </w:r>
      <w:r>
        <w:t xml:space="preserve">. Damit wurden die entstandenen kommunalen Belastungen in Bayern vollständig </w:t>
      </w:r>
      <w:r w:rsidR="001454FC">
        <w:t>ausgeglichen</w:t>
      </w:r>
      <w:r>
        <w:t>.</w:t>
      </w:r>
    </w:p>
    <w:p w:rsidR="00DD3048" w:rsidRDefault="00DD3048">
      <w:bookmarkStart w:id="108" w:name="Frage_Nr_53_Ende"/>
      <w:bookmarkEnd w:id="10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8"/>
        <w:gridCol w:w="5778"/>
      </w:tblGrid>
      <w:tr w:rsidR="00DD3048" w:rsidTr="007B0B33">
        <w:tc>
          <w:tcPr>
            <w:tcW w:w="2050" w:type="dxa"/>
          </w:tcPr>
          <w:p w:rsidR="00DD3048" w:rsidRDefault="00DD3048" w:rsidP="00DD3048">
            <w:pPr>
              <w:pStyle w:val="LTAnfrageInitiator"/>
            </w:pPr>
            <w:r>
              <w:lastRenderedPageBreak/>
              <w:t>Abgeordnete</w:t>
            </w:r>
            <w:r>
              <w:rPr>
                <w:b/>
              </w:rPr>
              <w:br/>
              <w:t>Doris</w:t>
            </w:r>
            <w:r>
              <w:rPr>
                <w:b/>
              </w:rPr>
              <w:br/>
              <w:t>Rauscher</w:t>
            </w:r>
            <w:r>
              <w:rPr>
                <w:b/>
              </w:rPr>
              <w:br/>
            </w:r>
            <w:r>
              <w:t>(SPD)</w:t>
            </w:r>
            <w:bookmarkStart w:id="109" w:name="Frage_Nr_54"/>
            <w:bookmarkEnd w:id="109"/>
          </w:p>
        </w:tc>
        <w:tc>
          <w:tcPr>
            <w:tcW w:w="7200" w:type="dxa"/>
          </w:tcPr>
          <w:p w:rsidR="00DD3048" w:rsidRDefault="001454FC" w:rsidP="00DD3048">
            <w:pPr>
              <w:pStyle w:val="LTAnfrageText"/>
            </w:pPr>
            <w:r w:rsidRPr="001454FC">
              <w:t xml:space="preserve">Ich frage die Staatsregierung, welche Einstiegs- und Weiterqualifizierungswege für den Quereinstieg gibt es im Bereich der Kindertageseinrichtungen und Schulkindbetreuung (bitte aufgeschlüsselt nach Voraussetzungen für den Einstieg, Dauer, Kosten für die Teilnehmerinnen und Teilnehmer bzw. Träger, Finanzierung der Maßnahmen, Standorte, zu erreichendes Qualifikationslevel), wie wird potenzielles Personal für die Qualifizierungswege angeworben und welche zusätzlichen Einstiegs- und Weiterqualifizierungswege sind zur Bekämpfung des Fachkräftemangels geplant? </w:t>
            </w:r>
          </w:p>
        </w:tc>
      </w:tr>
    </w:tbl>
    <w:p w:rsidR="00DD3048" w:rsidRDefault="00DD3048" w:rsidP="00DD3048">
      <w:pPr>
        <w:pStyle w:val="LTUeberschrAntwortRessort"/>
      </w:pPr>
      <w:r>
        <w:t>Antwort des Staatsministeriums für Familie, Arbeit und Soziales</w:t>
      </w:r>
    </w:p>
    <w:p w:rsidR="00DD3048" w:rsidRDefault="00DD3048" w:rsidP="00DD3048">
      <w:pPr>
        <w:pStyle w:val="LTAntwortRessortText"/>
      </w:pPr>
      <w:r>
        <w:t>Es gibt folgende Einstiegs- und Weiterqualifizierungswege für den</w:t>
      </w:r>
      <w:r w:rsidR="001454FC">
        <w:t xml:space="preserve"> </w:t>
      </w:r>
      <w:r>
        <w:t>(Quer-)Einstieg in den Bereich der Kindertageseinrichtungen und der</w:t>
      </w:r>
      <w:r w:rsidR="001454FC">
        <w:t xml:space="preserve"> </w:t>
      </w:r>
      <w:r>
        <w:t>Schulkindbetreuung:</w:t>
      </w:r>
    </w:p>
    <w:p w:rsidR="00DD3048" w:rsidRDefault="00A01491" w:rsidP="00A01491">
      <w:pPr>
        <w:pStyle w:val="LTAntwortRessortText"/>
        <w:spacing w:before="120"/>
        <w:ind w:left="680" w:hanging="340"/>
      </w:pPr>
      <w:r>
        <w:t>–</w:t>
      </w:r>
      <w:r>
        <w:tab/>
      </w:r>
      <w:r w:rsidR="00DD3048">
        <w:t>Aufstiegsfortbildung zum/zur</w:t>
      </w:r>
    </w:p>
    <w:p w:rsidR="00DD3048" w:rsidRDefault="00A01491" w:rsidP="00A01491">
      <w:pPr>
        <w:pStyle w:val="LTAntwortRessortText"/>
        <w:spacing w:before="120"/>
        <w:ind w:left="1077" w:hanging="397"/>
      </w:pPr>
      <w:r>
        <w:t>–</w:t>
      </w:r>
      <w:r>
        <w:tab/>
      </w:r>
      <w:r w:rsidR="00DD3048">
        <w:t>staatlich anerkannten Erzieher/in (Bachelor Professional im</w:t>
      </w:r>
      <w:r>
        <w:t xml:space="preserve"> </w:t>
      </w:r>
      <w:r w:rsidR="00DD3048">
        <w:t>Sozialwesen; auch als andere Bewerber/innen möglich</w:t>
      </w:r>
      <w:r>
        <w:t xml:space="preserve"> </w:t>
      </w:r>
      <w:r w:rsidR="00DD3048">
        <w:t>über die sogenannte Externenprüfung),</w:t>
      </w:r>
    </w:p>
    <w:p w:rsidR="00DD3048" w:rsidRDefault="00A01491" w:rsidP="00A01491">
      <w:pPr>
        <w:pStyle w:val="LTAntwortRessortText"/>
        <w:spacing w:before="120"/>
        <w:ind w:left="1077" w:hanging="397"/>
      </w:pPr>
      <w:r>
        <w:t>–</w:t>
      </w:r>
      <w:r>
        <w:tab/>
      </w:r>
      <w:r w:rsidR="00DD3048">
        <w:t>staatlich anerkannten Heilpädagogen/in bzw. Heilpädagogen/in (Bachelor Professional im Sozialwesen),</w:t>
      </w:r>
    </w:p>
    <w:p w:rsidR="00DD3048" w:rsidRDefault="00A01491" w:rsidP="00A01491">
      <w:pPr>
        <w:pStyle w:val="LTAntwortRessortText"/>
        <w:spacing w:before="120"/>
        <w:ind w:left="1077" w:hanging="397"/>
      </w:pPr>
      <w:r>
        <w:t>–</w:t>
      </w:r>
      <w:r>
        <w:tab/>
      </w:r>
      <w:r w:rsidR="00DD3048">
        <w:t>staatlich anerkannten Heilerziehungspflegehelfer/in</w:t>
      </w:r>
    </w:p>
    <w:p w:rsidR="00DD3048" w:rsidRDefault="00A01491" w:rsidP="00A01491">
      <w:pPr>
        <w:pStyle w:val="LTAntwortRessortText"/>
        <w:spacing w:before="120"/>
        <w:ind w:left="1077" w:hanging="397"/>
      </w:pPr>
      <w:r>
        <w:t>–</w:t>
      </w:r>
      <w:r>
        <w:tab/>
      </w:r>
      <w:r w:rsidR="00DD3048">
        <w:t>staatlich anerkannten Heilerziehungspfleger/in (Bachelor</w:t>
      </w:r>
      <w:r>
        <w:t xml:space="preserve"> </w:t>
      </w:r>
      <w:r w:rsidR="00DD3048">
        <w:t>Professional im Sozialwesen),</w:t>
      </w:r>
    </w:p>
    <w:p w:rsidR="00A01491" w:rsidRDefault="00A01491" w:rsidP="00A01491">
      <w:pPr>
        <w:pStyle w:val="LTAntwortRessortText"/>
        <w:spacing w:before="120"/>
        <w:ind w:left="1077" w:hanging="397"/>
      </w:pPr>
      <w:r>
        <w:t>–</w:t>
      </w:r>
      <w:r>
        <w:tab/>
      </w:r>
      <w:r w:rsidR="00DD3048">
        <w:t>Pädagogischen Fachkraft für Grundschulkindbetreuung</w:t>
      </w:r>
      <w:r>
        <w:t xml:space="preserve"> </w:t>
      </w:r>
    </w:p>
    <w:p w:rsidR="00DD3048" w:rsidRDefault="00A01491" w:rsidP="00A01491">
      <w:pPr>
        <w:pStyle w:val="LTAntwortRessortText"/>
        <w:spacing w:before="120"/>
        <w:ind w:left="680" w:hanging="340"/>
      </w:pPr>
      <w:r>
        <w:t>–</w:t>
      </w:r>
      <w:r>
        <w:tab/>
      </w:r>
      <w:r w:rsidR="00DD3048">
        <w:t>Ausbildung zum/zur staatlich geprüften Kinderpfleger/in (auch als</w:t>
      </w:r>
      <w:r>
        <w:t xml:space="preserve"> </w:t>
      </w:r>
      <w:r w:rsidR="00DD3048">
        <w:t>andere Bewerber/innen möglich über die sogenannte Externenprüfung)</w:t>
      </w:r>
    </w:p>
    <w:p w:rsidR="00DD3048" w:rsidRDefault="00A01491" w:rsidP="00A01491">
      <w:pPr>
        <w:pStyle w:val="LTAntwortRessortText"/>
        <w:spacing w:before="120"/>
        <w:ind w:left="680" w:hanging="340"/>
      </w:pPr>
      <w:r>
        <w:t>–</w:t>
      </w:r>
      <w:r>
        <w:tab/>
      </w:r>
      <w:r w:rsidR="00DD3048">
        <w:t>Im Bereich der Hochschulbildung gibt es die Bachelorstudiengänge</w:t>
      </w:r>
      <w:r>
        <w:t xml:space="preserve"> </w:t>
      </w:r>
      <w:r w:rsidR="00DD3048">
        <w:t>im Bereich der Sozialen Arbeit, Kindheitspädagogik und</w:t>
      </w:r>
      <w:r>
        <w:t xml:space="preserve"> </w:t>
      </w:r>
      <w:r w:rsidR="00DD3048">
        <w:t>Heilpädagogik.</w:t>
      </w:r>
    </w:p>
    <w:p w:rsidR="00DD3048" w:rsidRDefault="00A01491" w:rsidP="00A01491">
      <w:pPr>
        <w:pStyle w:val="LTAntwortRessortText"/>
        <w:spacing w:before="120"/>
        <w:ind w:left="680" w:hanging="340"/>
      </w:pPr>
      <w:r>
        <w:t>–</w:t>
      </w:r>
      <w:r>
        <w:tab/>
      </w:r>
      <w:r w:rsidR="00DD3048">
        <w:t>Ergänzend dazu hat das St</w:t>
      </w:r>
      <w:r>
        <w:t>aatsministerium für Familie, Arbeit und Soziales (StMAS)</w:t>
      </w:r>
      <w:r w:rsidR="00DD3048">
        <w:t xml:space="preserve"> das neue Gesamtkonzept für die</w:t>
      </w:r>
      <w:r>
        <w:t xml:space="preserve"> </w:t>
      </w:r>
      <w:r w:rsidR="00DD3048">
        <w:t>berufliche Weiterbildung gestartet. Es eröffnet aufeinander aufbauende</w:t>
      </w:r>
      <w:r>
        <w:t xml:space="preserve"> </w:t>
      </w:r>
      <w:r w:rsidR="00DD3048">
        <w:t>Qualifizierungsmöglichkeiten insbesondere für Quereinsteigende</w:t>
      </w:r>
      <w:r>
        <w:t xml:space="preserve"> </w:t>
      </w:r>
      <w:r w:rsidR="00DD3048">
        <w:t>von der Assistenzkraft über die Ergänzungskraft bis</w:t>
      </w:r>
      <w:r>
        <w:t xml:space="preserve"> </w:t>
      </w:r>
      <w:r w:rsidR="00DD3048">
        <w:t>hin zur pädagogischen Fachkraft. Die Kurse werden im sog.</w:t>
      </w:r>
      <w:r>
        <w:t xml:space="preserve"> </w:t>
      </w:r>
      <w:r w:rsidR="00DD3048">
        <w:t>Selbstzahlermodell angeboten. Parallel zum Start des neuen Gesamtkonzeptes</w:t>
      </w:r>
      <w:r>
        <w:t xml:space="preserve"> </w:t>
      </w:r>
      <w:r w:rsidR="00DD3048">
        <w:t>laufen Vorgängermodelle zur Qualifizierung von</w:t>
      </w:r>
      <w:r>
        <w:t xml:space="preserve"> </w:t>
      </w:r>
      <w:r w:rsidR="00DD3048">
        <w:t>Quereinsteigenden, wie z.</w:t>
      </w:r>
      <w:r>
        <w:t> B. die Weiterbildung „</w:t>
      </w:r>
      <w:r w:rsidR="00DD3048">
        <w:t>Ergänzungskräfte</w:t>
      </w:r>
      <w:r>
        <w:t xml:space="preserve"> </w:t>
      </w:r>
      <w:r w:rsidR="00DD3048">
        <w:t>zu Fachkräften in Kindertageseinrichtungen</w:t>
      </w:r>
      <w:r>
        <w:t>“</w:t>
      </w:r>
      <w:r w:rsidR="00DD3048">
        <w:t xml:space="preserve"> und </w:t>
      </w:r>
      <w:r>
        <w:t>„</w:t>
      </w:r>
      <w:r w:rsidR="00DD3048">
        <w:t>Ergänzungskraft</w:t>
      </w:r>
      <w:r>
        <w:t xml:space="preserve"> </w:t>
      </w:r>
      <w:r w:rsidR="00DD3048">
        <w:t>für Grundschulkindbetreuung</w:t>
      </w:r>
      <w:r>
        <w:t>“</w:t>
      </w:r>
      <w:r w:rsidR="00DD3048">
        <w:t>, bis Ende 2025 weiter.</w:t>
      </w:r>
    </w:p>
    <w:p w:rsidR="00DD3048" w:rsidRDefault="00DD3048" w:rsidP="00DD3048">
      <w:pPr>
        <w:pStyle w:val="LTAntwortRessortText"/>
      </w:pPr>
      <w:r>
        <w:t>Informationen über die Zugangsvoraussetzungen, Dauer, Kosten,</w:t>
      </w:r>
      <w:r w:rsidR="00A01491">
        <w:t xml:space="preserve"> </w:t>
      </w:r>
      <w:r>
        <w:t>Standorte und zu erreichendes Qualifikationslevel sind auf der Homepage</w:t>
      </w:r>
      <w:r w:rsidR="00A01491">
        <w:t xml:space="preserve"> </w:t>
      </w:r>
      <w:r>
        <w:t>des Staatsministerium für Unterricht und Kultus</w:t>
      </w:r>
      <w:r w:rsidR="00A01491">
        <w:t xml:space="preserve"> (StMUK) </w:t>
      </w:r>
      <w:r w:rsidR="00A01491">
        <w:rPr>
          <w:rStyle w:val="Funotenzeichen"/>
        </w:rPr>
        <w:footnoteReference w:id="15"/>
      </w:r>
      <w:r w:rsidR="00A01491">
        <w:t xml:space="preserve"> </w:t>
      </w:r>
      <w:r>
        <w:t>, direkt auf den Seiten der Fachakademien</w:t>
      </w:r>
      <w:r w:rsidR="00A01491">
        <w:t xml:space="preserve"> </w:t>
      </w:r>
      <w:r>
        <w:t xml:space="preserve">oder </w:t>
      </w:r>
      <w:r>
        <w:lastRenderedPageBreak/>
        <w:t>(Berufs-)Fachschulen und bei den jeweiligen Hochschulen zu finden.</w:t>
      </w:r>
      <w:r w:rsidR="00A01491">
        <w:t xml:space="preserve"> </w:t>
      </w:r>
      <w:r>
        <w:t>Alle Informationen zu dem Gesamtkonzept für die berufliche Weiterbildung</w:t>
      </w:r>
      <w:r w:rsidR="00A01491">
        <w:t xml:space="preserve"> </w:t>
      </w:r>
      <w:r>
        <w:t>sind auf der dazugehörigen Homepage gebündelt</w:t>
      </w:r>
      <w:r w:rsidR="00A01491">
        <w:t xml:space="preserve"> </w:t>
      </w:r>
      <w:r w:rsidR="00A01491">
        <w:rPr>
          <w:rStyle w:val="Funotenzeichen"/>
        </w:rPr>
        <w:footnoteReference w:id="16"/>
      </w:r>
      <w:r>
        <w:t>.</w:t>
      </w:r>
    </w:p>
    <w:p w:rsidR="00DD3048" w:rsidRDefault="00DD3048" w:rsidP="00DD3048">
      <w:pPr>
        <w:pStyle w:val="LTAntwortRessortText"/>
      </w:pPr>
      <w:r>
        <w:t>Die Gewinnung von Teilnehmenden für die Weiterbildungsmaßnahmen</w:t>
      </w:r>
      <w:r w:rsidR="00A01491">
        <w:t xml:space="preserve"> </w:t>
      </w:r>
      <w:r>
        <w:t>ist Aufgabe der Weiterbildungsanbieter. Die Gewinnung neuer Schülerinnen</w:t>
      </w:r>
      <w:r w:rsidR="00A01491">
        <w:t xml:space="preserve"> </w:t>
      </w:r>
      <w:r>
        <w:t>und Schüler bzw. Studierender im Bereich der Ausbildung ist</w:t>
      </w:r>
      <w:r w:rsidR="00A01491">
        <w:t xml:space="preserve"> </w:t>
      </w:r>
      <w:r>
        <w:t>Aufgabe der jeweiligen Schulträger. Das StMAS informiert über die Angebote</w:t>
      </w:r>
      <w:r w:rsidR="00A01491">
        <w:t xml:space="preserve"> </w:t>
      </w:r>
      <w:r>
        <w:t>über die Social</w:t>
      </w:r>
      <w:r w:rsidR="00A01491">
        <w:t>-M</w:t>
      </w:r>
      <w:r>
        <w:t>edia-Kanäle sowie über verschiedene Homepages</w:t>
      </w:r>
      <w:r w:rsidR="00A01491">
        <w:t xml:space="preserve"> </w:t>
      </w:r>
      <w:r>
        <w:t>und insbesondere die Herzwerker-Kampagne.</w:t>
      </w:r>
    </w:p>
    <w:p w:rsidR="00DD3048" w:rsidRDefault="00DD3048" w:rsidP="00DD3048">
      <w:pPr>
        <w:pStyle w:val="LTAntwortRessortText"/>
      </w:pPr>
      <w:r>
        <w:t>Mit Landtagsbeschluss vom 15.12.2022 wurde entschieden, die Kinderpflegeausbildung</w:t>
      </w:r>
      <w:r w:rsidR="00A01491">
        <w:t xml:space="preserve"> </w:t>
      </w:r>
      <w:r>
        <w:t>attraktiver zu gestalten (Drs</w:t>
      </w:r>
      <w:r w:rsidR="00A01491">
        <w:t>.</w:t>
      </w:r>
      <w:r>
        <w:t xml:space="preserve"> 18/25790).</w:t>
      </w:r>
      <w:r w:rsidR="00A01491">
        <w:t xml:space="preserve"> </w:t>
      </w:r>
      <w:r>
        <w:t>Hierfür haben das StMAS und das StMUK Gespräche mit den Schulen</w:t>
      </w:r>
      <w:r w:rsidR="00A01491">
        <w:t xml:space="preserve"> </w:t>
      </w:r>
      <w:r>
        <w:t>sowie mit der Facharbeitsgruppe</w:t>
      </w:r>
      <w:r w:rsidR="00A01491">
        <w:t xml:space="preserve"> „</w:t>
      </w:r>
      <w:r>
        <w:t>Fachkräfte</w:t>
      </w:r>
      <w:r w:rsidR="00A01491">
        <w:t>“</w:t>
      </w:r>
      <w:r>
        <w:t xml:space="preserve"> des Bündnisses für frühkindliche</w:t>
      </w:r>
      <w:r w:rsidR="00A01491">
        <w:t xml:space="preserve"> </w:t>
      </w:r>
      <w:r>
        <w:t>Bildung in Bayern einberufen. Gemeinsam sollen die zukünftigen</w:t>
      </w:r>
      <w:r w:rsidR="00A01491">
        <w:t xml:space="preserve"> </w:t>
      </w:r>
      <w:r>
        <w:t>Möglichkeiten der Kinderpflegeausbildung diskutiert und analysiert</w:t>
      </w:r>
      <w:r w:rsidR="00A01491">
        <w:t xml:space="preserve"> </w:t>
      </w:r>
      <w:r>
        <w:t>werden. Weitere Maßnahmen zur Bekämpfung des Fachkräftemangels</w:t>
      </w:r>
      <w:r w:rsidR="00A01491">
        <w:t xml:space="preserve"> </w:t>
      </w:r>
      <w:r>
        <w:t>werden im Rahmen des Bündnisses für frühkindliche Bildung in Bayern</w:t>
      </w:r>
      <w:r w:rsidR="00A01491">
        <w:t xml:space="preserve"> </w:t>
      </w:r>
      <w:r>
        <w:t>diskutiert.</w:t>
      </w:r>
    </w:p>
    <w:p w:rsidR="00DD3048" w:rsidRDefault="00DD3048">
      <w:bookmarkStart w:id="110" w:name="Frage_Nr_54_Ende"/>
      <w:bookmarkEnd w:id="11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3"/>
        <w:gridCol w:w="5743"/>
      </w:tblGrid>
      <w:tr w:rsidR="00DD3048" w:rsidTr="007B0B33">
        <w:tc>
          <w:tcPr>
            <w:tcW w:w="2050" w:type="dxa"/>
          </w:tcPr>
          <w:p w:rsidR="00DD3048" w:rsidRDefault="00DD3048" w:rsidP="00DD3048">
            <w:pPr>
              <w:pStyle w:val="LTAnfrageInitiator"/>
            </w:pPr>
            <w:r>
              <w:lastRenderedPageBreak/>
              <w:t>Abgeordnete</w:t>
            </w:r>
            <w:r>
              <w:rPr>
                <w:b/>
              </w:rPr>
              <w:br/>
              <w:t>Diana</w:t>
            </w:r>
            <w:r>
              <w:rPr>
                <w:b/>
              </w:rPr>
              <w:br/>
              <w:t>Stachowitz</w:t>
            </w:r>
            <w:r>
              <w:rPr>
                <w:b/>
              </w:rPr>
              <w:br/>
            </w:r>
            <w:r>
              <w:t>(SPD)</w:t>
            </w:r>
            <w:bookmarkStart w:id="111" w:name="Frage_Nr_55"/>
            <w:bookmarkEnd w:id="111"/>
          </w:p>
        </w:tc>
        <w:tc>
          <w:tcPr>
            <w:tcW w:w="7200" w:type="dxa"/>
          </w:tcPr>
          <w:p w:rsidR="00DD3048" w:rsidRDefault="00BA717F" w:rsidP="00DD3048">
            <w:pPr>
              <w:pStyle w:val="LTAnfrageText"/>
            </w:pPr>
            <w:r w:rsidRPr="00BA717F">
              <w:t>Ich frage die Staatsregierung, wieso sind die Richtlinien zur Förderung der Querschnittsarbeit der Betreuungsvereine noch nicht veröffentlicht, wann sollen die Richtlinien veröffentlicht werden und gibt es Überlegungen für das laufende Förderjahr 2023 ein Verfahren zu wählen, das die Querschnittsarbeit der Betreuungsvereine bspw. über eine Zwischenfinanzierung im Wege von Abschlagszahlungen auf den späteren Zuschussbetrag sichert?</w:t>
            </w:r>
          </w:p>
        </w:tc>
      </w:tr>
    </w:tbl>
    <w:p w:rsidR="00DD3048" w:rsidRDefault="00DD3048" w:rsidP="00DD3048">
      <w:pPr>
        <w:pStyle w:val="LTUeberschrAntwortRessort"/>
      </w:pPr>
      <w:r>
        <w:t>Antwort des Staatsministeriums für Familie, Arbeit und Soziales</w:t>
      </w:r>
    </w:p>
    <w:p w:rsidR="00DD3048" w:rsidRDefault="00DD3048" w:rsidP="00DD3048">
      <w:pPr>
        <w:pStyle w:val="LTAntwortRessortText"/>
      </w:pPr>
      <w:r>
        <w:t>Durch Inkrafttreten der Betreuungsrechtsreform haben sich die Modalitäten</w:t>
      </w:r>
      <w:r w:rsidR="00BA717F">
        <w:t xml:space="preserve"> </w:t>
      </w:r>
      <w:r>
        <w:t>der Finanzierung der Querschnittsarbeit der Betreuungsvereine</w:t>
      </w:r>
      <w:r w:rsidR="00BA717F">
        <w:t xml:space="preserve"> </w:t>
      </w:r>
      <w:r>
        <w:t>maßgeblich geändert. Art. 5 Abs. 2 Bayerisches Gesetz zur Ausführung</w:t>
      </w:r>
      <w:r w:rsidR="00BA717F">
        <w:t xml:space="preserve"> </w:t>
      </w:r>
      <w:r>
        <w:t>betreuungsrechtlicher Vorschriften (BayAGBtG) ermächtigt das</w:t>
      </w:r>
      <w:r w:rsidR="00BA717F">
        <w:t xml:space="preserve"> </w:t>
      </w:r>
      <w:r>
        <w:t>Staatsministerium für Familie, Arbeit und Soziales, Einzelheiten</w:t>
      </w:r>
      <w:r w:rsidR="00BA717F">
        <w:t xml:space="preserve"> </w:t>
      </w:r>
      <w:r>
        <w:t>zum Verfahren, zur Verteilung sowie zu Art und Umfang der</w:t>
      </w:r>
      <w:r w:rsidR="00BA717F">
        <w:t xml:space="preserve"> </w:t>
      </w:r>
      <w:r>
        <w:t>staatlichen Zuschüsse im Einvernehmen mit dem Staatsministerium</w:t>
      </w:r>
      <w:r w:rsidR="00BA717F">
        <w:t xml:space="preserve"> </w:t>
      </w:r>
      <w:r>
        <w:t>der Finanzen und für Heimat durch Rechtsverordnung zu regeln.</w:t>
      </w:r>
      <w:r w:rsidR="00BA717F">
        <w:t xml:space="preserve"> </w:t>
      </w:r>
      <w:r>
        <w:t>Diese Einzelheiten zum Verfahren, zur Verteilung sowie zu Art und</w:t>
      </w:r>
      <w:r w:rsidR="00BA717F">
        <w:t xml:space="preserve"> </w:t>
      </w:r>
      <w:r>
        <w:t>Umfang der staatlichen Zuschüsse, durch welche die finanzielle Ausstattung</w:t>
      </w:r>
      <w:r w:rsidR="00BA717F">
        <w:t xml:space="preserve"> </w:t>
      </w:r>
      <w:r>
        <w:t>anerkannter Betreuungsvereine zur Wahrnehmung von Querschnittsausgaben</w:t>
      </w:r>
      <w:r w:rsidR="00BA717F">
        <w:t xml:space="preserve"> </w:t>
      </w:r>
      <w:r>
        <w:t>in Bayern gewährleistet wi</w:t>
      </w:r>
      <w:r w:rsidR="00BA717F">
        <w:t>rd, sind in Teil 16 der Ver</w:t>
      </w:r>
      <w:r>
        <w:t>ordnung zur Ausführung der Sozialgesetze (AVSG) geregelt. Die Verordnung</w:t>
      </w:r>
      <w:r w:rsidR="00BA717F">
        <w:t xml:space="preserve"> </w:t>
      </w:r>
      <w:r>
        <w:t>wurde am 16.</w:t>
      </w:r>
      <w:r w:rsidR="00BA717F">
        <w:t>05.</w:t>
      </w:r>
      <w:r>
        <w:t>2023 im Bayerischen Gesetz- und Verordnungsblatt</w:t>
      </w:r>
      <w:r w:rsidR="00BA717F">
        <w:t xml:space="preserve"> </w:t>
      </w:r>
      <w:r>
        <w:t>verkündet. Die anerkannten Betreuungsvereine wurden alle</w:t>
      </w:r>
      <w:r w:rsidR="00BA717F">
        <w:t xml:space="preserve"> </w:t>
      </w:r>
      <w:r>
        <w:t>noch am selben Tag durch die Regierung von Mittelfranken als für den</w:t>
      </w:r>
      <w:r w:rsidR="00BA717F">
        <w:t xml:space="preserve"> </w:t>
      </w:r>
      <w:r>
        <w:t>Vollzug zuständige Behörde hierüber informiert und es wurde angekündigt,</w:t>
      </w:r>
      <w:r w:rsidR="00BA717F">
        <w:t xml:space="preserve"> </w:t>
      </w:r>
      <w:r>
        <w:t>dass den Vereinen die Antragsformulare samt Ausfüllhinweisen</w:t>
      </w:r>
      <w:r w:rsidR="00BA717F">
        <w:t xml:space="preserve"> </w:t>
      </w:r>
      <w:r>
        <w:t>und Hinweisen zur Handhabung im Zuschusszeitraum 2023 zeitnah</w:t>
      </w:r>
      <w:r w:rsidR="00BA717F">
        <w:t xml:space="preserve"> </w:t>
      </w:r>
      <w:r>
        <w:t>zur Verfügung gestellt würden, was sodann am 26.</w:t>
      </w:r>
      <w:r w:rsidR="00BA717F">
        <w:t>06.</w:t>
      </w:r>
      <w:r>
        <w:t>2023 geschah.</w:t>
      </w:r>
      <w:r w:rsidR="00BA717F">
        <w:t xml:space="preserve"> </w:t>
      </w:r>
      <w:r>
        <w:t>Das Antragsformular steht zusammen mit Ausführungen zur neuen</w:t>
      </w:r>
      <w:r w:rsidR="00BA717F">
        <w:t xml:space="preserve"> </w:t>
      </w:r>
      <w:r>
        <w:t>Rechtslage auch auf dem BayernPortal zur Verfügung.</w:t>
      </w:r>
    </w:p>
    <w:p w:rsidR="00DD3048" w:rsidRDefault="00DD3048">
      <w:bookmarkStart w:id="112" w:name="Frage_Nr_55_Ende"/>
      <w:bookmarkEnd w:id="11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7"/>
        <w:gridCol w:w="5749"/>
      </w:tblGrid>
      <w:tr w:rsidR="00DD3048" w:rsidTr="007B0B33">
        <w:tc>
          <w:tcPr>
            <w:tcW w:w="2050" w:type="dxa"/>
          </w:tcPr>
          <w:p w:rsidR="00DD3048" w:rsidRDefault="00DD3048" w:rsidP="00DD3048">
            <w:pPr>
              <w:pStyle w:val="LTAnfrageInitiator"/>
            </w:pPr>
            <w:r>
              <w:lastRenderedPageBreak/>
              <w:t>Abgeordnete</w:t>
            </w:r>
            <w:r>
              <w:rPr>
                <w:b/>
              </w:rPr>
              <w:br/>
              <w:t>Gabriele</w:t>
            </w:r>
            <w:r>
              <w:rPr>
                <w:b/>
              </w:rPr>
              <w:br/>
              <w:t>Triebel</w:t>
            </w:r>
            <w:r>
              <w:rPr>
                <w:b/>
              </w:rPr>
              <w:br/>
            </w:r>
            <w:r>
              <w:t>(BÜNDNIS 90/DIE GRÜNEN)</w:t>
            </w:r>
            <w:bookmarkStart w:id="113" w:name="Frage_Nr_56"/>
            <w:bookmarkEnd w:id="113"/>
          </w:p>
        </w:tc>
        <w:tc>
          <w:tcPr>
            <w:tcW w:w="7200" w:type="dxa"/>
          </w:tcPr>
          <w:p w:rsidR="00DD3048" w:rsidRDefault="00D00472" w:rsidP="00DD3048">
            <w:pPr>
              <w:pStyle w:val="LTAnfrageText"/>
            </w:pPr>
            <w:r w:rsidRPr="00D00472">
              <w:t>Zum aktuellen Stand der Abruf von Fördermitteln, die im Rahmen der Verwaltungsvereinbarung Investitionsprogramm Ganztagsausbau gemäß Ganztagsfinanzhilfegesetz für den Ausbau der Ganztagsbildung und Betreuung für Grundschulkinder in Bayern zur Verfügung stehen, frage ich die Staatsregierung, wie viele Anträge wurden bereits eingereicht (einschließlich Antragsvolumen), welche Informations- bzw. Unterstützungsangebote zum Antragsprozess stehen Kommunen und Trägern vonseiten des Freistaates zur Verfügung und mit welcher Ausschöpfungsquote rechnet die Staatsregierung bis Ende des Förderzeitraums?</w:t>
            </w:r>
          </w:p>
        </w:tc>
      </w:tr>
    </w:tbl>
    <w:p w:rsidR="00DD3048" w:rsidRDefault="00DD3048" w:rsidP="00DD3048">
      <w:pPr>
        <w:pStyle w:val="LTUeberschrAntwortRessort"/>
      </w:pPr>
      <w:r>
        <w:t>Antwort des Staatsministeriums für Familie, Arbeit und Soziales</w:t>
      </w:r>
    </w:p>
    <w:p w:rsidR="00DD3048" w:rsidRDefault="00DD3048" w:rsidP="00DD3048">
      <w:pPr>
        <w:pStyle w:val="LTAntwortRessortText"/>
      </w:pPr>
      <w:r>
        <w:t>Mit Beschluss vom 28.</w:t>
      </w:r>
      <w:r w:rsidR="000572F2">
        <w:t>03.</w:t>
      </w:r>
      <w:r>
        <w:t>2023 hat der Ministerrat die Eckpunkte</w:t>
      </w:r>
      <w:r w:rsidR="00D00472">
        <w:t xml:space="preserve"> </w:t>
      </w:r>
      <w:r>
        <w:t>der Förderung für die Investitionen im Bereich Ganztagsbetreuung für</w:t>
      </w:r>
      <w:r w:rsidR="00D00472">
        <w:t xml:space="preserve"> </w:t>
      </w:r>
      <w:r>
        <w:t>Kinder im Grundschulalter festgelegt. Ausgehend von diesem Beschluss</w:t>
      </w:r>
      <w:r w:rsidR="00D00472">
        <w:t xml:space="preserve"> </w:t>
      </w:r>
      <w:r>
        <w:t>wurde die Förderrichtlinie gemeinsam durch das Staatsministerium</w:t>
      </w:r>
      <w:r w:rsidR="00D00472">
        <w:t xml:space="preserve"> </w:t>
      </w:r>
      <w:r>
        <w:t>für Familie, Arbeit und Soziales (StMAS) sowie dem Staatsministerium</w:t>
      </w:r>
      <w:r w:rsidR="00D00472">
        <w:t xml:space="preserve"> </w:t>
      </w:r>
      <w:r>
        <w:t>für Unterricht und Kultus (StMUK) erarbeitet und mit dem</w:t>
      </w:r>
      <w:r w:rsidR="00D00472">
        <w:t xml:space="preserve"> </w:t>
      </w:r>
      <w:r>
        <w:t>Staatsministerium der Finanzen und für Heimat (StMFH), dem Obersten</w:t>
      </w:r>
      <w:r w:rsidR="00D00472">
        <w:t xml:space="preserve"> </w:t>
      </w:r>
      <w:r>
        <w:t>Rechnungshof und den Bezirksregierungen als zuständige Bewilligungsstellen</w:t>
      </w:r>
      <w:r w:rsidR="00D00472">
        <w:t xml:space="preserve"> </w:t>
      </w:r>
      <w:r>
        <w:t>abgestimmt und mit den Kommunalen Spitzenverbänden</w:t>
      </w:r>
      <w:r w:rsidR="00D00472">
        <w:t xml:space="preserve"> </w:t>
      </w:r>
      <w:r>
        <w:t>erörtert.</w:t>
      </w:r>
    </w:p>
    <w:p w:rsidR="00DD3048" w:rsidRDefault="00DD3048" w:rsidP="00DD3048">
      <w:pPr>
        <w:pStyle w:val="LTAntwortRessortText"/>
      </w:pPr>
      <w:r>
        <w:t>Das Ganztagsförderungsgesetz des Bundes ist im Oktober 2021 in</w:t>
      </w:r>
      <w:r w:rsidR="000572F2">
        <w:t xml:space="preserve"> </w:t>
      </w:r>
      <w:r>
        <w:t>Kraft getreten. Aufgrund der langwierigen Bund-Länder-Verhandlungen</w:t>
      </w:r>
      <w:r w:rsidR="000572F2">
        <w:t xml:space="preserve"> </w:t>
      </w:r>
      <w:r>
        <w:t>stehen die vom Bund zur Verfügung gestellten Investitionsmittel (für B</w:t>
      </w:r>
      <w:r w:rsidR="000572F2">
        <w:t xml:space="preserve">ayern </w:t>
      </w:r>
      <w:r>
        <w:t>rund 461 Mio. Euro) noch nicht zur Verfügung. Die dafür notwendige</w:t>
      </w:r>
      <w:r w:rsidR="000572F2">
        <w:t xml:space="preserve"> </w:t>
      </w:r>
      <w:r>
        <w:t>Verwaltungsvereinbarung zwischen Bund und den 16 Ländern wurde</w:t>
      </w:r>
      <w:r w:rsidR="000572F2">
        <w:t xml:space="preserve"> </w:t>
      </w:r>
      <w:r>
        <w:t>erst Mitte Mai 2023 unterzeichnet. Derzeit wartet das StMAS auf das</w:t>
      </w:r>
      <w:r w:rsidR="000572F2">
        <w:t xml:space="preserve"> </w:t>
      </w:r>
      <w:r>
        <w:t>notwendige Einvernehmen des Bundes zur bayerischen Förderrichtlinie.</w:t>
      </w:r>
      <w:r w:rsidR="000572F2">
        <w:t xml:space="preserve"> </w:t>
      </w:r>
      <w:r>
        <w:t>Das Landesförderprogramm kann erst danach finalisiert werden.</w:t>
      </w:r>
    </w:p>
    <w:p w:rsidR="00DD3048" w:rsidRDefault="00DD3048" w:rsidP="00DD3048">
      <w:pPr>
        <w:pStyle w:val="LTAntwortRessortText"/>
      </w:pPr>
      <w:r>
        <w:t>Um den Ausbau durch die Kommunen im Zeitraum bis zum Inkrafttreten</w:t>
      </w:r>
      <w:r w:rsidR="000572F2">
        <w:t xml:space="preserve"> </w:t>
      </w:r>
      <w:r>
        <w:t>der Förderrichtlinie nicht zu hemmen, wurden in Absprache mit</w:t>
      </w:r>
      <w:r w:rsidR="000572F2">
        <w:t xml:space="preserve"> </w:t>
      </w:r>
      <w:r>
        <w:t>dem StMFH seit August 2022 sog. Unbedenklichkeitsbescheinigungen</w:t>
      </w:r>
      <w:r w:rsidR="000572F2">
        <w:t xml:space="preserve"> </w:t>
      </w:r>
      <w:r>
        <w:t>(UB) ermöglicht. Die UB erlaubt der Kommune, die einen Antrag auf</w:t>
      </w:r>
      <w:r w:rsidR="000572F2">
        <w:t xml:space="preserve"> </w:t>
      </w:r>
      <w:r>
        <w:t>Förderung der Baumaßnahme gestellt hat, mit der Maßnahme zu beginnen,</w:t>
      </w:r>
      <w:r w:rsidR="000572F2">
        <w:t xml:space="preserve"> </w:t>
      </w:r>
      <w:r>
        <w:t>ohne dadurch die spätere Förderung zu gefährden. Zum Stand</w:t>
      </w:r>
      <w:r w:rsidR="000572F2">
        <w:t xml:space="preserve"> </w:t>
      </w:r>
      <w:r>
        <w:t>3. Juli 2023 wurden durch die Bezirksregierungen 35 UBs für rund</w:t>
      </w:r>
      <w:r w:rsidR="000572F2">
        <w:t xml:space="preserve"> </w:t>
      </w:r>
      <w:r>
        <w:t>3</w:t>
      </w:r>
      <w:r w:rsidR="000572F2">
        <w:t> </w:t>
      </w:r>
      <w:r>
        <w:t>000 neue Betreuungsplätze ausgesprochen.</w:t>
      </w:r>
    </w:p>
    <w:p w:rsidR="00DD3048" w:rsidRDefault="00DD3048" w:rsidP="00DD3048">
      <w:pPr>
        <w:pStyle w:val="LTAntwortRessortText"/>
      </w:pPr>
      <w:r>
        <w:t>Die für den Vollzug zuständigen Regierungen stehen für Fragen und</w:t>
      </w:r>
      <w:r w:rsidR="000572F2">
        <w:t xml:space="preserve"> </w:t>
      </w:r>
      <w:r>
        <w:t>zur Information der antragstellenden Kommunen zur Verfügung. Zusätzlich</w:t>
      </w:r>
      <w:r w:rsidR="000572F2">
        <w:t xml:space="preserve"> </w:t>
      </w:r>
      <w:r>
        <w:t xml:space="preserve">wurde die Homepage </w:t>
      </w:r>
      <w:r w:rsidR="000572F2">
        <w:rPr>
          <w:rStyle w:val="Funotenzeichen"/>
        </w:rPr>
        <w:footnoteReference w:id="17"/>
      </w:r>
      <w:r w:rsidR="000572F2">
        <w:t xml:space="preserve"> </w:t>
      </w:r>
      <w:r>
        <w:t>www.ganztag.bayern.de als Informationsquelle</w:t>
      </w:r>
      <w:r w:rsidR="000572F2">
        <w:t xml:space="preserve"> </w:t>
      </w:r>
      <w:r>
        <w:t>für alle Beteiligten eingerichtet.</w:t>
      </w:r>
    </w:p>
    <w:p w:rsidR="00DD3048" w:rsidRDefault="00DD3048" w:rsidP="00DD3048">
      <w:pPr>
        <w:pStyle w:val="LTAntwortRessortText"/>
      </w:pPr>
      <w:r>
        <w:t>Darüber hinaus nehmen Mitarbeiterinnen und Mitarbeiter des StMAS</w:t>
      </w:r>
      <w:r w:rsidR="000572F2">
        <w:t xml:space="preserve"> </w:t>
      </w:r>
      <w:r>
        <w:t>und des StMUK regelmäßig an Informationsveranstaltungen von Landkreisen</w:t>
      </w:r>
      <w:r w:rsidR="000572F2">
        <w:t xml:space="preserve"> </w:t>
      </w:r>
      <w:r>
        <w:t>und Kommunen teil, um über den künftigen Rechtsanspruch</w:t>
      </w:r>
      <w:r w:rsidR="000572F2">
        <w:t xml:space="preserve"> </w:t>
      </w:r>
      <w:r>
        <w:t>auf Ganztagsbetreuung für Kinder im Grundschulalter zu informieren</w:t>
      </w:r>
      <w:r w:rsidR="000572F2">
        <w:t xml:space="preserve"> </w:t>
      </w:r>
      <w:r>
        <w:t>sowie offene Fragen zum Rechtsanspruch und zu Fördermöglichkeiten</w:t>
      </w:r>
      <w:r w:rsidR="000572F2">
        <w:t xml:space="preserve"> </w:t>
      </w:r>
      <w:r>
        <w:t>zu klären. Der Bayerische Gemeindetag veranstaltet derzeit eine Reihe</w:t>
      </w:r>
      <w:r w:rsidR="000572F2">
        <w:t xml:space="preserve"> </w:t>
      </w:r>
      <w:r>
        <w:t>mit größeren Veranstaltungen in jedem Regierungsbezirk, bei denen</w:t>
      </w:r>
      <w:r w:rsidR="000572F2">
        <w:t xml:space="preserve"> </w:t>
      </w:r>
      <w:r>
        <w:t>die zuständigen Referatsleitungen des StMAS und des StMUK v.</w:t>
      </w:r>
      <w:r w:rsidR="000572F2">
        <w:t> </w:t>
      </w:r>
      <w:r>
        <w:t>a.</w:t>
      </w:r>
      <w:r w:rsidR="000572F2">
        <w:t xml:space="preserve"> </w:t>
      </w:r>
      <w:r>
        <w:t xml:space="preserve">Vertreterinnen </w:t>
      </w:r>
      <w:r>
        <w:lastRenderedPageBreak/>
        <w:t>und Vertreter der Gemeinden vor Ort informieren und</w:t>
      </w:r>
      <w:r w:rsidR="000572F2">
        <w:t xml:space="preserve"> </w:t>
      </w:r>
      <w:r>
        <w:t>für Fragen und Austausch zur Verfügung stehen. Dabei stellen sich</w:t>
      </w:r>
      <w:r w:rsidR="000572F2">
        <w:t xml:space="preserve"> </w:t>
      </w:r>
      <w:r>
        <w:t>auch die zuständigen Ansprechpersonen der Bezirksregierungen vor.</w:t>
      </w:r>
      <w:r w:rsidR="000572F2">
        <w:t xml:space="preserve"> </w:t>
      </w:r>
      <w:r>
        <w:t>Zur Ausschöpfungsquote des Förderprogramms bis Ende des Förderzeitraums</w:t>
      </w:r>
      <w:r w:rsidR="000572F2">
        <w:t xml:space="preserve"> </w:t>
      </w:r>
      <w:r>
        <w:t>sind keine belastbaren Aussagen möglich, da diese von Parametern</w:t>
      </w:r>
      <w:r w:rsidR="000572F2">
        <w:t xml:space="preserve"> </w:t>
      </w:r>
      <w:r>
        <w:t>abhängt, die sich während des Zeitraums noch verändern</w:t>
      </w:r>
      <w:r w:rsidR="000572F2">
        <w:t xml:space="preserve"> </w:t>
      </w:r>
      <w:r>
        <w:t>können. Ziel des StMAS ist es, dass alle Bundesmittel gebunden und</w:t>
      </w:r>
      <w:r w:rsidR="000572F2">
        <w:t xml:space="preserve"> </w:t>
      </w:r>
      <w:r>
        <w:t>abgerufen werden können.</w:t>
      </w:r>
    </w:p>
    <w:p w:rsidR="00DD3048" w:rsidRDefault="00DD3048">
      <w:bookmarkStart w:id="114" w:name="Frage_Nr_56_Ende"/>
      <w:bookmarkEnd w:id="114"/>
      <w:r>
        <w:br w:type="page"/>
      </w:r>
    </w:p>
    <w:p w:rsidR="00DD3048" w:rsidRDefault="00DD3048" w:rsidP="00DD3048">
      <w:pPr>
        <w:pStyle w:val="LTUeberschrRessort"/>
      </w:pPr>
      <w:r>
        <w:lastRenderedPageBreak/>
        <w:t>Geschäftsbereich des Staatsministeriums für Gesundheit und Pflege</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9"/>
        <w:gridCol w:w="5797"/>
      </w:tblGrid>
      <w:tr w:rsidR="00DD3048" w:rsidTr="007B0B33">
        <w:tc>
          <w:tcPr>
            <w:tcW w:w="2050" w:type="dxa"/>
          </w:tcPr>
          <w:p w:rsidR="00DD3048" w:rsidRDefault="00DD3048" w:rsidP="00DD3048">
            <w:pPr>
              <w:pStyle w:val="LTAnfrageInitiator"/>
            </w:pPr>
            <w:r>
              <w:t>Abgeordnete</w:t>
            </w:r>
            <w:r>
              <w:rPr>
                <w:b/>
              </w:rPr>
              <w:br/>
              <w:t>Dr. Anne</w:t>
            </w:r>
            <w:r>
              <w:rPr>
                <w:b/>
              </w:rPr>
              <w:br/>
              <w:t>Cyron</w:t>
            </w:r>
            <w:r>
              <w:rPr>
                <w:b/>
              </w:rPr>
              <w:br/>
            </w:r>
            <w:r>
              <w:t>(AfD)</w:t>
            </w:r>
            <w:bookmarkStart w:id="115" w:name="Frage_Nr_57"/>
            <w:bookmarkEnd w:id="115"/>
          </w:p>
        </w:tc>
        <w:tc>
          <w:tcPr>
            <w:tcW w:w="7200" w:type="dxa"/>
          </w:tcPr>
          <w:p w:rsidR="00DD3048" w:rsidRDefault="000572F2">
            <w:pPr>
              <w:pStyle w:val="LTAnfrageText"/>
            </w:pPr>
            <w:r w:rsidRPr="000572F2">
              <w:t>Ich frage die Staatsregierung, wie viele Corona-Atemschutz-masken sind in den der Coronakrisenjahren 2020 bis 2023 von der Staatsregierung angeschafft worden (bitte jeweils aufgelistet nach den Jahren 2020 bis 2023 angeben sowie Anzahl der Corona-Atemschutzmasken, die entsorgt werden mussten), wie viele Dosen von Corona-Notzulassungsimpfstoffen sind in den Coronakrisenjahren 2020 bis 2023 von der Staatsregierung angeschafft worden (bitte jeweils aufgelistet nach den Jahren 2020 bis 2023 und bitte Anzahl der Dosen angeben, die entsorgt werden mussten) und welche Kosten sind hinsichtlich der ersten beiden Teilfragen bezüglich der Anschaffung sowie Entsorgung für den Freistaat Bayern angefallen (bitte aufgegliedert nach Corona-Atemschutzmasken und Corona-Notzulassungsimpfstoffdosen sowie dabei jeweils den Anschaffungs- wie Entsorgungskosten bei Auflistung nach den Jahren 2020 bis 2023)?</w:t>
            </w:r>
          </w:p>
        </w:tc>
      </w:tr>
    </w:tbl>
    <w:p w:rsidR="00DD3048" w:rsidRDefault="00DD3048" w:rsidP="00DD3048">
      <w:pPr>
        <w:pStyle w:val="LTUeberschrAntwortRessort"/>
      </w:pPr>
      <w:r>
        <w:t>Antwort des Staatsministeriums für Gesundheit und Pflege</w:t>
      </w:r>
    </w:p>
    <w:p w:rsidR="00DD3048" w:rsidRDefault="00DD3048" w:rsidP="00DD3048">
      <w:pPr>
        <w:pStyle w:val="LTAntwortRessortText"/>
      </w:pPr>
      <w:r>
        <w:t>Die Staatsregierung hat dem Landtag bereits mehrfach umfassend über die Beschaffungen von</w:t>
      </w:r>
      <w:r w:rsidR="000572F2">
        <w:t xml:space="preserve"> </w:t>
      </w:r>
      <w:r>
        <w:t xml:space="preserve">Masken Auskunft erteilt, etwa durch einen am </w:t>
      </w:r>
      <w:r w:rsidR="00A34A66">
        <w:t>0</w:t>
      </w:r>
      <w:r>
        <w:t>4.</w:t>
      </w:r>
      <w:r w:rsidR="00A34A66">
        <w:t>05.</w:t>
      </w:r>
      <w:r>
        <w:t>2021 im Ausschuss für Gesundheit und</w:t>
      </w:r>
      <w:r w:rsidR="000572F2">
        <w:t xml:space="preserve"> </w:t>
      </w:r>
      <w:r>
        <w:t>Pflege vorgestellten und an die Ausschussmitglieder verteilten Bericht von Herrn Staatsminister</w:t>
      </w:r>
      <w:r w:rsidR="000572F2">
        <w:t xml:space="preserve"> </w:t>
      </w:r>
      <w:r w:rsidR="00A34A66">
        <w:t xml:space="preserve">Klaus </w:t>
      </w:r>
      <w:r>
        <w:t xml:space="preserve">Holetschek, ferner bei Beantwortung der Schriftlichen Anfragen der Abgeordneten </w:t>
      </w:r>
      <w:r w:rsidR="006D3583">
        <w:t xml:space="preserve">Ursula </w:t>
      </w:r>
      <w:r>
        <w:t>Sowa u.</w:t>
      </w:r>
      <w:r w:rsidR="006D3583">
        <w:t> </w:t>
      </w:r>
      <w:r>
        <w:t>a. vom</w:t>
      </w:r>
      <w:r w:rsidR="000572F2">
        <w:t xml:space="preserve"> </w:t>
      </w:r>
      <w:r w:rsidR="006D3583">
        <w:t>03.02.2021 (Drs. 18/16661), Hartmann u. a. vom 09.03.2021 (</w:t>
      </w:r>
      <w:r>
        <w:t>Drs. 18/17550), Kling</w:t>
      </w:r>
      <w:r w:rsidR="006D3583">
        <w:t>en u. </w:t>
      </w:r>
      <w:r>
        <w:t>a.</w:t>
      </w:r>
      <w:r w:rsidR="000572F2">
        <w:t xml:space="preserve"> </w:t>
      </w:r>
      <w:r w:rsidR="006D3583">
        <w:t>vom 11.03.2021 (</w:t>
      </w:r>
      <w:r>
        <w:t>Drs. 18/17</w:t>
      </w:r>
      <w:r w:rsidR="006D3583">
        <w:t>548), Arnold vom 12.03.2021 (</w:t>
      </w:r>
      <w:r>
        <w:t>Drs. 18/17549) sowie von Brunn</w:t>
      </w:r>
      <w:r w:rsidR="000572F2">
        <w:t xml:space="preserve"> </w:t>
      </w:r>
      <w:r w:rsidR="006D3583">
        <w:t>vom 05.07.2022 (</w:t>
      </w:r>
      <w:r>
        <w:t>Drs. 18/24311). Seit diesen Auskünften sind allenfalls noch Masken in</w:t>
      </w:r>
      <w:r w:rsidR="000572F2">
        <w:t xml:space="preserve"> </w:t>
      </w:r>
      <w:r>
        <w:t>vergleichsweise geringer Menge beschafft worden.</w:t>
      </w:r>
    </w:p>
    <w:p w:rsidR="00DD3048" w:rsidRDefault="00DD3048" w:rsidP="00DD3048">
      <w:pPr>
        <w:pStyle w:val="LTAntwortRessortText"/>
      </w:pPr>
      <w:r>
        <w:t>Der Freistaat hatte vor dem Hintergrund der zeitlich beschränkten Verwendungsmöglichkeit von</w:t>
      </w:r>
      <w:r w:rsidR="000572F2">
        <w:t xml:space="preserve"> </w:t>
      </w:r>
      <w:r>
        <w:t>Masken bereits frühzeitig ein rollierendes System etabliert, um den Bedarfsträgern in Bayern und</w:t>
      </w:r>
      <w:r w:rsidR="000572F2">
        <w:t xml:space="preserve"> </w:t>
      </w:r>
      <w:r>
        <w:t>anderen staatlichen Di</w:t>
      </w:r>
      <w:r w:rsidR="006D3583">
        <w:t>enststellen Schutzausrüstung v. </w:t>
      </w:r>
      <w:r>
        <w:t>a. während der Pandemie anzubieten.</w:t>
      </w:r>
      <w:r w:rsidR="000572F2">
        <w:t xml:space="preserve"> </w:t>
      </w:r>
      <w:r>
        <w:t>Damit konnten eine Vielzahl von Artikeln noch sinnvoll verwendet und mussten bisher nicht</w:t>
      </w:r>
      <w:r w:rsidR="000572F2">
        <w:t xml:space="preserve"> </w:t>
      </w:r>
      <w:r>
        <w:t>entsorgt werden.</w:t>
      </w:r>
    </w:p>
    <w:p w:rsidR="00DD3048" w:rsidRDefault="00DD3048" w:rsidP="00DD3048">
      <w:pPr>
        <w:pStyle w:val="LTAntwortRessortText"/>
      </w:pPr>
      <w:r>
        <w:t>Von etwa Mitte 2021 bis Mitte 2022 wurden vom Landesamt für Gesundheit und</w:t>
      </w:r>
      <w:r w:rsidR="000572F2">
        <w:t xml:space="preserve"> </w:t>
      </w:r>
      <w:r>
        <w:t>Lebensmittelsicherheit (LGL) insgesamt rd. 13 Mio. im Pandemiezentrallager Bayern (PZB)</w:t>
      </w:r>
      <w:r w:rsidR="000572F2">
        <w:t xml:space="preserve"> </w:t>
      </w:r>
      <w:r>
        <w:t>gelagerte, aber gesperrte Masken aus dem Verkehr gezogen (2021: rd. 5,4 Mio. Stück, 2022: rd.</w:t>
      </w:r>
      <w:r w:rsidR="000572F2">
        <w:t xml:space="preserve"> </w:t>
      </w:r>
      <w:r>
        <w:t>7,6 Mio. Stück), weil beispielsweise Ausnahmeregelungen ausgelaufen waren (KN95-Masken),</w:t>
      </w:r>
      <w:r w:rsidR="000572F2">
        <w:t xml:space="preserve"> </w:t>
      </w:r>
      <w:r>
        <w:t>mikrobiologische Auffälligkeiten bei Tests von einzelnen OP-Masken-Chargen festgestellt wurden</w:t>
      </w:r>
      <w:r w:rsidR="000572F2">
        <w:t xml:space="preserve"> </w:t>
      </w:r>
      <w:r>
        <w:t>und/ oder verkehrsfähige Ersatzlieferungen für reklamierte Masken vorhanden waren. Um</w:t>
      </w:r>
      <w:r w:rsidR="000572F2">
        <w:t xml:space="preserve"> </w:t>
      </w:r>
      <w:r>
        <w:t>finanzielle Aufwendungen (Lagerkosten etc.) zu vermeiden, wurden diese Masken entweder auf</w:t>
      </w:r>
      <w:r w:rsidR="000572F2">
        <w:t xml:space="preserve"> </w:t>
      </w:r>
      <w:r>
        <w:t>Kosten des Lieferanten (bei Reklamationen) oder über die Müllpresse im PZB entsorgt. Das</w:t>
      </w:r>
      <w:r w:rsidR="000572F2">
        <w:t xml:space="preserve"> </w:t>
      </w:r>
      <w:r>
        <w:t>beauftragte Entsorgungsunternehmen führte den Inhalt der Presse (Verpackungsmüll, sonstiger</w:t>
      </w:r>
      <w:r w:rsidR="000572F2">
        <w:t xml:space="preserve"> </w:t>
      </w:r>
      <w:r>
        <w:t>Müll) der thermischen Verwertung zu. Eine Darstellung der Entsorgungskosten durch</w:t>
      </w:r>
      <w:r w:rsidR="000572F2">
        <w:t xml:space="preserve"> </w:t>
      </w:r>
      <w:r>
        <w:t>Herausrechnen alleinig für die Schutzmasken ist nicht möglich. Entsorgungen durch andere</w:t>
      </w:r>
      <w:r w:rsidR="000572F2">
        <w:t xml:space="preserve"> </w:t>
      </w:r>
      <w:r>
        <w:t>Ressorts fanden nach Wissen des St</w:t>
      </w:r>
      <w:r w:rsidR="006D3583">
        <w:t>aatsministerium</w:t>
      </w:r>
      <w:r w:rsidR="00ED5D4E">
        <w:t>s</w:t>
      </w:r>
      <w:r w:rsidR="006D3583">
        <w:t xml:space="preserve"> für Gesundheit und Pflege</w:t>
      </w:r>
      <w:r>
        <w:t xml:space="preserve"> nicht statt.</w:t>
      </w:r>
    </w:p>
    <w:p w:rsidR="00DD3048" w:rsidRDefault="00DD3048" w:rsidP="00DD3048">
      <w:pPr>
        <w:pStyle w:val="LTAntwortRessortText"/>
      </w:pPr>
      <w:r>
        <w:lastRenderedPageBreak/>
        <w:t>Von der Staatsregierung wurden keine Dosen von Corona-Notzulassungsimpfstoffen in den Jahren</w:t>
      </w:r>
      <w:r w:rsidR="000572F2">
        <w:t xml:space="preserve"> </w:t>
      </w:r>
      <w:r>
        <w:t>2020 bis 2023 angeschafft. Der Impfstoff wurde den Ländern vom Bund zur Verfügung gestellt.</w:t>
      </w:r>
      <w:r w:rsidR="000572F2">
        <w:t xml:space="preserve"> </w:t>
      </w:r>
      <w:r>
        <w:t>In Bayern beläuft sich der zum Stichtag 31.12.2022 (Schließung der bayerischen Impfzentren)</w:t>
      </w:r>
      <w:r w:rsidR="000572F2">
        <w:t xml:space="preserve"> </w:t>
      </w:r>
      <w:r>
        <w:t>insgesamt gemeldete Haltbarkeitsverwurf auf rd. 1</w:t>
      </w:r>
      <w:r w:rsidR="006D3583">
        <w:t> </w:t>
      </w:r>
      <w:r>
        <w:t>970</w:t>
      </w:r>
      <w:r w:rsidR="006D3583">
        <w:t> </w:t>
      </w:r>
      <w:r>
        <w:t>000 Impfdosen.</w:t>
      </w:r>
      <w:r w:rsidR="000572F2">
        <w:t xml:space="preserve"> </w:t>
      </w:r>
      <w:r>
        <w:t>Der Staatsregierung sind keine Entsorgungskosten bekannt, weil die Impfzentren in eigener</w:t>
      </w:r>
      <w:r w:rsidR="000572F2">
        <w:t xml:space="preserve"> </w:t>
      </w:r>
      <w:r>
        <w:t>Zuständigkeit und Verantwortung der Kreisverwaltungsbehörden vor Ort betrieben wurden und</w:t>
      </w:r>
      <w:r w:rsidR="000572F2">
        <w:t xml:space="preserve"> </w:t>
      </w:r>
      <w:r>
        <w:t>daher auch eine etwaige Entsorgung jeweils vor Ort erfolgte. Eine Einzelabfrage ist in der Kürze</w:t>
      </w:r>
      <w:r w:rsidR="000572F2">
        <w:t xml:space="preserve"> </w:t>
      </w:r>
      <w:r>
        <w:t>der zur Beantwortung einer Anfrage zum Plenum zur Verfügung stehenden Zeit nicht möglich</w:t>
      </w:r>
      <w:r w:rsidR="006D3583">
        <w:t>.</w:t>
      </w:r>
    </w:p>
    <w:p w:rsidR="00DD3048" w:rsidRDefault="00DD3048">
      <w:bookmarkStart w:id="116" w:name="Frage_Nr_57_Ende"/>
      <w:bookmarkEnd w:id="11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2"/>
        <w:gridCol w:w="5794"/>
      </w:tblGrid>
      <w:tr w:rsidR="00DD3048" w:rsidTr="007B0B33">
        <w:tc>
          <w:tcPr>
            <w:tcW w:w="2050" w:type="dxa"/>
          </w:tcPr>
          <w:p w:rsidR="00DD3048" w:rsidRDefault="00DD3048" w:rsidP="00DD3048">
            <w:pPr>
              <w:pStyle w:val="LTAnfrageInitiator"/>
            </w:pPr>
            <w:r>
              <w:lastRenderedPageBreak/>
              <w:t>Abgeordneter</w:t>
            </w:r>
            <w:r>
              <w:rPr>
                <w:b/>
              </w:rPr>
              <w:br/>
              <w:t>Roland</w:t>
            </w:r>
            <w:r>
              <w:rPr>
                <w:b/>
              </w:rPr>
              <w:br/>
              <w:t>Magerl</w:t>
            </w:r>
            <w:r>
              <w:rPr>
                <w:b/>
              </w:rPr>
              <w:br/>
            </w:r>
            <w:r>
              <w:t>(AfD)</w:t>
            </w:r>
            <w:bookmarkStart w:id="117" w:name="Frage_Nr_58"/>
            <w:bookmarkEnd w:id="117"/>
          </w:p>
        </w:tc>
        <w:tc>
          <w:tcPr>
            <w:tcW w:w="7200" w:type="dxa"/>
          </w:tcPr>
          <w:p w:rsidR="00DD3048" w:rsidRDefault="0082659B" w:rsidP="00DD3048">
            <w:pPr>
              <w:pStyle w:val="LTAnfrageText"/>
            </w:pPr>
            <w:r w:rsidRPr="0082659B">
              <w:t xml:space="preserve">Ich frage die Staatsregierung, inwiefern haben die steigenden Kosten und die teilweise unsichere Finanzierung Auswirkungen auf die Qualität der medizinischen Versorgung in bayerischen Krankenhäusern, wie stark sind bayerische Krankenhäuser von Lieferengpässen bei wichtigen Medikamenten und medizinischen Geräten betroffen und wie hoch ist das Defizit der bayerischen Krankenhäuser (bitte jedes einzelne Krankenhaus mit einem Defizit und die aktuelle Defizitsumme angeben)? </w:t>
            </w:r>
          </w:p>
        </w:tc>
      </w:tr>
    </w:tbl>
    <w:p w:rsidR="00DD3048" w:rsidRDefault="00DD3048" w:rsidP="0082659B">
      <w:pPr>
        <w:pStyle w:val="LTUeberschrAntwortRessort"/>
      </w:pPr>
      <w:r>
        <w:t>Antwort des Staatsministeriums für Gesundheit und Pflege</w:t>
      </w:r>
      <w:r w:rsidR="0082659B">
        <w:t xml:space="preserve"> in Abstimmung mit dem Staatsministerium für Wissenschaft und Kunst</w:t>
      </w:r>
    </w:p>
    <w:p w:rsidR="00DD3048" w:rsidRDefault="00DD3048" w:rsidP="00DD3048">
      <w:pPr>
        <w:pStyle w:val="LTAntwortRessortText"/>
      </w:pPr>
      <w:r>
        <w:t>Die Staatsregierung setzt sich seit jeher für eine flächendeckende, wohnortnahe, akutstationäre</w:t>
      </w:r>
      <w:r w:rsidR="0082659B">
        <w:t xml:space="preserve"> </w:t>
      </w:r>
      <w:r>
        <w:t>Versorgung mit qualitativ leistungsfähigen Krankenhäusern ein. Voraussetzung dafür ist eine</w:t>
      </w:r>
      <w:r w:rsidR="0082659B">
        <w:t xml:space="preserve"> </w:t>
      </w:r>
      <w:r>
        <w:t>auskömmliche Finanzierung insbesondere der Krankenhausbetriebskosten. Dem StMGP liegen</w:t>
      </w:r>
      <w:r w:rsidR="0082659B">
        <w:t xml:space="preserve"> </w:t>
      </w:r>
      <w:r>
        <w:t>keine Erkenntnisse dazu vor, dass die teils sehr angespannte wirtschaftliche Lage der</w:t>
      </w:r>
      <w:r w:rsidR="0082659B">
        <w:t xml:space="preserve"> </w:t>
      </w:r>
      <w:r>
        <w:t>Krankenhäuser Auswirkungen auf die Qualität der medizinischen Versorgung in den bayerischen</w:t>
      </w:r>
      <w:r w:rsidR="0082659B">
        <w:t xml:space="preserve"> </w:t>
      </w:r>
      <w:r>
        <w:t>Kliniken hat.</w:t>
      </w:r>
    </w:p>
    <w:p w:rsidR="00DD3048" w:rsidRDefault="00DD3048" w:rsidP="00DD3048">
      <w:pPr>
        <w:pStyle w:val="LTAntwortRessortText"/>
      </w:pPr>
      <w:r>
        <w:t>Dessen ungeachtet setzt sich die Staatsregierung selbstverständlich mit Nachdruck bei dem für die</w:t>
      </w:r>
      <w:r w:rsidR="0082659B">
        <w:t xml:space="preserve"> </w:t>
      </w:r>
      <w:r>
        <w:t>Betriebskostenfinanzierung zuständigen Bund für eine zeitnahe Refinanzierung der gestiegenen</w:t>
      </w:r>
      <w:r w:rsidR="0082659B">
        <w:t xml:space="preserve"> </w:t>
      </w:r>
      <w:r>
        <w:t>Betriebskosten ein, damit die guten Versorgungsstrukturen in Bayern erhalten bleiben. Dazu zählt</w:t>
      </w:r>
      <w:r w:rsidR="0082659B">
        <w:t xml:space="preserve"> u. </w:t>
      </w:r>
      <w:r>
        <w:t>a. die vom Bund in Aussicht gestellte Auszahlung weiterer Energiehilfen in Höhe von</w:t>
      </w:r>
      <w:r w:rsidR="0082659B">
        <w:t xml:space="preserve"> </w:t>
      </w:r>
      <w:r>
        <w:t>deutschlandweit insgesamt 2,5 Mrd. Euro.</w:t>
      </w:r>
    </w:p>
    <w:p w:rsidR="00DD3048" w:rsidRDefault="00DD3048" w:rsidP="00DD3048">
      <w:pPr>
        <w:pStyle w:val="LTAntwortRessortText"/>
      </w:pPr>
      <w:r>
        <w:t>Zusätzlich zu den Leistungen des Bundes unterstützt Bayern seine Plan- und</w:t>
      </w:r>
      <w:r w:rsidR="0082659B">
        <w:t xml:space="preserve"> </w:t>
      </w:r>
      <w:r>
        <w:t>Vertragskrankenhäuser angesichts der erheblichen Sachkostensteigerungen im Jahr 2023 mit</w:t>
      </w:r>
      <w:r w:rsidR="0082659B">
        <w:t xml:space="preserve"> </w:t>
      </w:r>
      <w:r>
        <w:t>Härtefallhilfen in Höhe von rund 100 Mio. Euro.</w:t>
      </w:r>
    </w:p>
    <w:p w:rsidR="00DD3048" w:rsidRDefault="00DD3048" w:rsidP="00DD3048">
      <w:pPr>
        <w:pStyle w:val="LTAntwortRessortText"/>
      </w:pPr>
      <w:r>
        <w:t>Um dem Kostenanstieg im Bereich der Krankenhausbaumaßnahmen Rechnung zu tragen, ist</w:t>
      </w:r>
      <w:r w:rsidR="0082659B">
        <w:t xml:space="preserve"> </w:t>
      </w:r>
      <w:r>
        <w:t>geplant, den Krankenhausförderetat in den kommenden Haushaltsverhandlungen signifikant</w:t>
      </w:r>
      <w:r w:rsidR="0082659B">
        <w:t xml:space="preserve"> </w:t>
      </w:r>
      <w:r>
        <w:t>aufzustocken.</w:t>
      </w:r>
    </w:p>
    <w:p w:rsidR="00DD3048" w:rsidRDefault="00DD3048" w:rsidP="00DD3048">
      <w:pPr>
        <w:pStyle w:val="LTAntwortRessortText"/>
      </w:pPr>
      <w:r>
        <w:t>Die Versorgungslage mit Arzneimitteln ist derzeit bundesweit weiterhin angespannt, insbesondere</w:t>
      </w:r>
      <w:r w:rsidR="0082659B">
        <w:t xml:space="preserve"> </w:t>
      </w:r>
      <w:r>
        <w:t xml:space="preserve">bei Antibiotika, Antidiabetika und Krebsarzneimitteln. Das </w:t>
      </w:r>
      <w:r w:rsidR="0082659B" w:rsidRPr="0082659B">
        <w:t>Bundesinstitut für Arzneimittel und Medizinprodukte (BfArM)</w:t>
      </w:r>
      <w:r>
        <w:t xml:space="preserve"> stellt der Öffentlichkeit</w:t>
      </w:r>
      <w:r w:rsidR="0082659B">
        <w:t xml:space="preserve"> </w:t>
      </w:r>
      <w:r>
        <w:t>Informationen zu gemeldeten Lieferengpässen zur Verfügung. Diese sind unter</w:t>
      </w:r>
      <w:r w:rsidR="0082659B">
        <w:t xml:space="preserve"> </w:t>
      </w:r>
      <w:r w:rsidR="0082659B">
        <w:rPr>
          <w:rStyle w:val="Funotenzeichen"/>
        </w:rPr>
        <w:footnoteReference w:id="18"/>
      </w:r>
      <w:r w:rsidR="0082659B">
        <w:t xml:space="preserve"> </w:t>
      </w:r>
      <w:r>
        <w:t>öffentlich abrufbar.</w:t>
      </w:r>
      <w:r w:rsidR="0082659B">
        <w:t xml:space="preserve"> </w:t>
      </w:r>
      <w:r>
        <w:t>Eine strukturelle und allgemeine Betroffenheit der bayerischen Krankenhäuser durch</w:t>
      </w:r>
      <w:r w:rsidR="0082659B">
        <w:t xml:space="preserve"> </w:t>
      </w:r>
      <w:r>
        <w:t>Lieferengpässe bei medizinischen Geräten ist dem St</w:t>
      </w:r>
      <w:r w:rsidR="0082659B">
        <w:t>aatsministerium für Gesundheit und Pflege (St</w:t>
      </w:r>
      <w:r>
        <w:t>MGP</w:t>
      </w:r>
      <w:r w:rsidR="0082659B">
        <w:t>)</w:t>
      </w:r>
      <w:r>
        <w:t xml:space="preserve"> nicht bekannt. Entsprechende Anliegen</w:t>
      </w:r>
      <w:r w:rsidR="0082659B">
        <w:t xml:space="preserve"> </w:t>
      </w:r>
      <w:r>
        <w:t>sind bislang nicht an das StMGP herangetragen worden.</w:t>
      </w:r>
    </w:p>
    <w:p w:rsidR="00DD3048" w:rsidRDefault="00DD3048" w:rsidP="00DD3048">
      <w:pPr>
        <w:pStyle w:val="LTAntwortRessortText"/>
      </w:pPr>
      <w:r>
        <w:t>Was das Defizit bayerischer Krankenhäuser angeht, liegen der Staatsregierung mit Ausnahme der</w:t>
      </w:r>
      <w:r w:rsidR="0082659B">
        <w:t xml:space="preserve"> </w:t>
      </w:r>
      <w:r>
        <w:t>Universitätsklinika keine Daten zu der wirtschaftlichen Lage der einzelnen Kliniken in Bayern vor.</w:t>
      </w:r>
      <w:r w:rsidR="0082659B">
        <w:t xml:space="preserve"> </w:t>
      </w:r>
      <w:r>
        <w:t>Die wirtschaftliche Situation der jeweiligen Einrichtung zählt als Geschäftsgeheimnis zu den</w:t>
      </w:r>
      <w:r w:rsidR="0082659B">
        <w:t xml:space="preserve"> </w:t>
      </w:r>
      <w:r>
        <w:t>innerbetrieblichen Angelegenheiten der Kliniken. Aktuelle Informationen zur wirtschaftlichen Lage</w:t>
      </w:r>
      <w:r w:rsidR="0082659B">
        <w:t xml:space="preserve"> </w:t>
      </w:r>
      <w:r>
        <w:t>deutscher Krankenhäuser insgesamt können dem sog. Krankenhaus Rating Report 2023</w:t>
      </w:r>
      <w:r w:rsidR="0082659B">
        <w:t xml:space="preserve"> </w:t>
      </w:r>
      <w:r>
        <w:t>entnommen werden.</w:t>
      </w:r>
    </w:p>
    <w:p w:rsidR="00DD3048" w:rsidRDefault="00DD3048">
      <w:bookmarkStart w:id="118" w:name="Frage_Nr_58_Ende"/>
      <w:bookmarkEnd w:id="11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5"/>
        <w:gridCol w:w="5781"/>
      </w:tblGrid>
      <w:tr w:rsidR="00DD3048" w:rsidTr="007B0B33">
        <w:tc>
          <w:tcPr>
            <w:tcW w:w="2050" w:type="dxa"/>
          </w:tcPr>
          <w:p w:rsidR="00DD3048" w:rsidRDefault="00DD3048" w:rsidP="00DD3048">
            <w:pPr>
              <w:pStyle w:val="LTAnfrageInitiator"/>
            </w:pPr>
            <w:r>
              <w:lastRenderedPageBreak/>
              <w:t>Abgeordneter</w:t>
            </w:r>
            <w:r>
              <w:rPr>
                <w:b/>
              </w:rPr>
              <w:br/>
              <w:t>Andreas</w:t>
            </w:r>
            <w:r>
              <w:rPr>
                <w:b/>
              </w:rPr>
              <w:br/>
              <w:t>Winhart</w:t>
            </w:r>
            <w:r>
              <w:rPr>
                <w:b/>
              </w:rPr>
              <w:br/>
            </w:r>
            <w:r>
              <w:t>(AfD)</w:t>
            </w:r>
            <w:bookmarkStart w:id="119" w:name="Frage_Nr_59"/>
            <w:bookmarkEnd w:id="119"/>
          </w:p>
        </w:tc>
        <w:tc>
          <w:tcPr>
            <w:tcW w:w="7200" w:type="dxa"/>
          </w:tcPr>
          <w:p w:rsidR="00DD3048" w:rsidRDefault="005506F4" w:rsidP="00DD3048">
            <w:pPr>
              <w:pStyle w:val="LTAnfrageText"/>
            </w:pPr>
            <w:r w:rsidRPr="005506F4">
              <w:t>Ich frage die Staatsregierung, wie viele Todesfälle es in Bayern in den letzten zehn Jahren aufgrund von Hitze oder Hitzewellen gab, wie viele Menschen in Bayern sind in den letzten zehn Jahren an Kälte oder Erfrierung verstorben und wie viele Menschen sind in den letzten zehn Jahren in bayerischen Krankenhäusern an Krankenhausinfektionen verstorben?</w:t>
            </w:r>
          </w:p>
        </w:tc>
      </w:tr>
    </w:tbl>
    <w:p w:rsidR="00DD3048" w:rsidRDefault="00DD3048" w:rsidP="00DD3048">
      <w:pPr>
        <w:pStyle w:val="LTUeberschrAntwortRessort"/>
      </w:pPr>
      <w:r>
        <w:t>Antwort des Staatsministeriums für Gesundheit und Pflege</w:t>
      </w:r>
    </w:p>
    <w:p w:rsidR="00DD3048" w:rsidRDefault="00DD3048" w:rsidP="00DD3048">
      <w:pPr>
        <w:pStyle w:val="LTAntwortRessortText"/>
      </w:pPr>
      <w:r>
        <w:t>Um die hitzebedingten Todesfälle für Deutschland zu schätzen, führte das RKI umfassende</w:t>
      </w:r>
      <w:r w:rsidR="005506F4">
        <w:t xml:space="preserve"> </w:t>
      </w:r>
      <w:r>
        <w:t>Analysen durch</w:t>
      </w:r>
      <w:r w:rsidR="005506F4">
        <w:t xml:space="preserve"> </w:t>
      </w:r>
      <w:r w:rsidR="005506F4">
        <w:rPr>
          <w:rStyle w:val="Funotenzeichen"/>
        </w:rPr>
        <w:footnoteReference w:id="19"/>
      </w:r>
      <w:r>
        <w:t>. Entsprechende Berechnungen gibt es für Bayern nicht.</w:t>
      </w:r>
    </w:p>
    <w:p w:rsidR="00DD3048" w:rsidRDefault="00DD3048" w:rsidP="00DD3048">
      <w:pPr>
        <w:pStyle w:val="LTAntwortRessortText"/>
      </w:pPr>
      <w:r>
        <w:t>Der Staatsregierung liegen auch keine Daten zur Anzahl an Todesfällen vor, die in Bayern</w:t>
      </w:r>
      <w:r w:rsidR="005506F4">
        <w:t xml:space="preserve"> </w:t>
      </w:r>
      <w:r>
        <w:t>innerhalb der letzten zehn Jahre auf Kälte oder Erfrierungen zurückzuführen sind.</w:t>
      </w:r>
    </w:p>
    <w:p w:rsidR="00DD3048" w:rsidRDefault="00DD3048" w:rsidP="00DD3048">
      <w:pPr>
        <w:pStyle w:val="LTAntwortRessortText"/>
      </w:pPr>
      <w:r>
        <w:t xml:space="preserve">Die Frage nach </w:t>
      </w:r>
      <w:r w:rsidR="006758A7">
        <w:t>„</w:t>
      </w:r>
      <w:r>
        <w:t>Krankenhausinfektionen</w:t>
      </w:r>
      <w:r w:rsidR="006758A7">
        <w:t>“</w:t>
      </w:r>
      <w:r>
        <w:t xml:space="preserve"> kann nicht beantwortet werden, da unklar ist, auf welche</w:t>
      </w:r>
      <w:r w:rsidR="005506F4">
        <w:t xml:space="preserve"> </w:t>
      </w:r>
      <w:r>
        <w:t>Infektionskrankheiten die Frage abzielt.</w:t>
      </w:r>
      <w:r w:rsidR="005506F4">
        <w:t xml:space="preserve"> </w:t>
      </w:r>
      <w:bookmarkStart w:id="120" w:name="Frage_Nr_59_Ende"/>
      <w:bookmarkEnd w:id="120"/>
    </w:p>
    <w:sectPr w:rsidR="00DD3048" w:rsidSect="00F00864">
      <w:headerReference w:type="even" r:id="rId13"/>
      <w:headerReference w:type="default" r:id="rId14"/>
      <w:footerReference w:type="default" r:id="rId15"/>
      <w:pgSz w:w="11906" w:h="16838" w:code="9"/>
      <w:pgMar w:top="1418" w:right="2126" w:bottom="1134" w:left="2126" w:header="1418" w:footer="14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E64" w:rsidRDefault="00C55E64">
      <w:r>
        <w:separator/>
      </w:r>
    </w:p>
  </w:endnote>
  <w:endnote w:type="continuationSeparator" w:id="0">
    <w:p w:rsidR="00C55E64" w:rsidRDefault="00C55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E64" w:rsidRDefault="00C55E64" w:rsidP="006B0212">
    <w:pPr>
      <w:pStyle w:val="Fuzeile"/>
      <w:ind w:left="-1106" w:right="-110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E64" w:rsidRPr="009C32BE" w:rsidRDefault="00C55E64" w:rsidP="00F00864">
    <w:pPr>
      <w:pStyle w:val="Fuzeile"/>
      <w:tabs>
        <w:tab w:val="clear" w:pos="4536"/>
        <w:tab w:val="clear" w:pos="9072"/>
      </w:tabs>
      <w:ind w:left="-1106" w:right="-1106"/>
      <w:jc w:val="both"/>
      <w:rPr>
        <w:rFonts w:cs="Arial"/>
        <w:sz w:val="12"/>
        <w:szCs w:val="12"/>
      </w:rPr>
    </w:pPr>
    <w:r w:rsidRPr="009C32BE">
      <w:rPr>
        <w:rFonts w:cs="Arial"/>
        <w:sz w:val="12"/>
        <w:szCs w:val="12"/>
      </w:rPr>
      <w:t>Drucksachen, Plenarprotokolle sowie die Tagesordnungen der Vollversammlung und der Ausschüsse sind im Internet unter www.bayern.landtag.de - Dokumente abrufbar. Die aktuelle Sitzungsübersicht steht unter www.bayern.landtag.de – Aktuelles/Sitzungen zur Verfügung.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E64" w:rsidRPr="00311533" w:rsidRDefault="00C55E64" w:rsidP="00F00864">
    <w:pPr>
      <w:pStyle w:val="Fuzeile"/>
      <w:tabs>
        <w:tab w:val="clear" w:pos="9072"/>
        <w:tab w:val="right" w:pos="8789"/>
      </w:tabs>
      <w:ind w:left="-1106" w:right="-1106"/>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E64" w:rsidRDefault="00C55E64">
      <w:r>
        <w:separator/>
      </w:r>
    </w:p>
  </w:footnote>
  <w:footnote w:type="continuationSeparator" w:id="0">
    <w:p w:rsidR="00C55E64" w:rsidRDefault="00C55E64">
      <w:r>
        <w:continuationSeparator/>
      </w:r>
    </w:p>
  </w:footnote>
  <w:footnote w:id="1">
    <w:p w:rsidR="00C55E64" w:rsidRDefault="00C55E64">
      <w:pPr>
        <w:pStyle w:val="Funotentext"/>
      </w:pPr>
      <w:r>
        <w:rPr>
          <w:rStyle w:val="Funotenzeichen"/>
        </w:rPr>
        <w:footnoteRef/>
      </w:r>
      <w:r>
        <w:t xml:space="preserve"> </w:t>
      </w:r>
      <w:hyperlink r:id="rId1" w:history="1">
        <w:r>
          <w:rPr>
            <w:rStyle w:val="Hyperlink"/>
            <w:sz w:val="16"/>
          </w:rPr>
          <w:t>www.polizei-beratung.de/</w:t>
        </w:r>
      </w:hyperlink>
    </w:p>
  </w:footnote>
  <w:footnote w:id="2">
    <w:p w:rsidR="00C55E64" w:rsidRDefault="00C55E64">
      <w:pPr>
        <w:pStyle w:val="Funotentext"/>
      </w:pPr>
      <w:r>
        <w:rPr>
          <w:rStyle w:val="Funotenzeichen"/>
        </w:rPr>
        <w:footnoteRef/>
      </w:r>
      <w:r>
        <w:t xml:space="preserve"> </w:t>
      </w:r>
      <w:hyperlink r:id="rId2" w:history="1">
        <w:r>
          <w:rPr>
            <w:rStyle w:val="Hyperlink"/>
            <w:sz w:val="16"/>
          </w:rPr>
          <w:t>www.bayern-gegen-gewalt.de/</w:t>
        </w:r>
      </w:hyperlink>
    </w:p>
  </w:footnote>
  <w:footnote w:id="3">
    <w:p w:rsidR="00C55E64" w:rsidRDefault="00C55E64">
      <w:pPr>
        <w:pStyle w:val="Funotentext"/>
      </w:pPr>
      <w:r>
        <w:rPr>
          <w:rStyle w:val="Funotenzeichen"/>
        </w:rPr>
        <w:footnoteRef/>
      </w:r>
      <w:r>
        <w:t xml:space="preserve"> </w:t>
      </w:r>
      <w:r>
        <w:rPr>
          <w:sz w:val="16"/>
          <w:szCs w:val="16"/>
        </w:rPr>
        <w:t xml:space="preserve">Von einem Abdruck wurde abgesehen. Die Anlage ist als pdf-Dokument </w:t>
      </w:r>
      <w:hyperlink r:id="rId3" w:history="1">
        <w:r w:rsidRPr="007735EA">
          <w:rPr>
            <w:rStyle w:val="Hyperlink"/>
            <w:sz w:val="16"/>
            <w:szCs w:val="16"/>
          </w:rPr>
          <w:t>hier</w:t>
        </w:r>
      </w:hyperlink>
      <w:r>
        <w:rPr>
          <w:sz w:val="16"/>
          <w:szCs w:val="16"/>
        </w:rPr>
        <w:t xml:space="preserve"> einsehbar. </w:t>
      </w:r>
      <w:r>
        <w:t xml:space="preserve"> </w:t>
      </w:r>
    </w:p>
  </w:footnote>
  <w:footnote w:id="4">
    <w:p w:rsidR="00C55E64" w:rsidRDefault="00C55E64">
      <w:pPr>
        <w:pStyle w:val="Funotentext"/>
      </w:pPr>
      <w:r>
        <w:rPr>
          <w:rStyle w:val="Funotenzeichen"/>
        </w:rPr>
        <w:footnoteRef/>
      </w:r>
      <w:r>
        <w:t xml:space="preserve"> </w:t>
      </w:r>
      <w:r>
        <w:rPr>
          <w:sz w:val="16"/>
          <w:szCs w:val="16"/>
        </w:rPr>
        <w:t xml:space="preserve">Von einem Abdruck wurde abgesehen. Die Anlage ist als pdf-Dokument </w:t>
      </w:r>
      <w:hyperlink r:id="rId4" w:history="1">
        <w:r w:rsidRPr="007735EA">
          <w:rPr>
            <w:rStyle w:val="Hyperlink"/>
            <w:sz w:val="16"/>
            <w:szCs w:val="16"/>
          </w:rPr>
          <w:t>hier</w:t>
        </w:r>
      </w:hyperlink>
      <w:r>
        <w:rPr>
          <w:sz w:val="16"/>
          <w:szCs w:val="16"/>
        </w:rPr>
        <w:t xml:space="preserve"> einsehbar. </w:t>
      </w:r>
      <w:r>
        <w:t xml:space="preserve"> </w:t>
      </w:r>
    </w:p>
  </w:footnote>
  <w:footnote w:id="5">
    <w:p w:rsidR="00C55E64" w:rsidRDefault="00C55E64">
      <w:pPr>
        <w:pStyle w:val="Funotentext"/>
      </w:pPr>
      <w:r>
        <w:rPr>
          <w:rStyle w:val="Funotenzeichen"/>
        </w:rPr>
        <w:footnoteRef/>
      </w:r>
      <w:r>
        <w:t xml:space="preserve"> </w:t>
      </w:r>
      <w:hyperlink r:id="rId5" w:history="1">
        <w:r w:rsidRPr="007635DD">
          <w:rPr>
            <w:rStyle w:val="Hyperlink"/>
            <w:sz w:val="16"/>
          </w:rPr>
          <w:t>https://www.km.bayern.de/lehrer/erziehung-und-bildung/gewaltpraevention.html</w:t>
        </w:r>
      </w:hyperlink>
    </w:p>
  </w:footnote>
  <w:footnote w:id="6">
    <w:p w:rsidR="00C55E64" w:rsidRDefault="00C55E64">
      <w:pPr>
        <w:pStyle w:val="Funotentext"/>
      </w:pPr>
      <w:r>
        <w:rPr>
          <w:rStyle w:val="Funotenzeichen"/>
        </w:rPr>
        <w:footnoteRef/>
      </w:r>
      <w:r>
        <w:t xml:space="preserve"> </w:t>
      </w:r>
      <w:hyperlink r:id="rId6" w:history="1">
        <w:r w:rsidRPr="00BB4187">
          <w:rPr>
            <w:rStyle w:val="Hyperlink"/>
            <w:sz w:val="16"/>
          </w:rPr>
          <w:t>https://www.statistik.bayern.de/mam/produkte/veroffentlichungen/statistische_berichte/f2200c_202200.pdf</w:t>
        </w:r>
      </w:hyperlink>
    </w:p>
  </w:footnote>
  <w:footnote w:id="7">
    <w:p w:rsidR="00C55E64" w:rsidRDefault="00C55E64">
      <w:pPr>
        <w:pStyle w:val="Funotentext"/>
      </w:pPr>
      <w:r>
        <w:rPr>
          <w:rStyle w:val="Funotenzeichen"/>
        </w:rPr>
        <w:footnoteRef/>
      </w:r>
      <w:r>
        <w:t xml:space="preserve"> </w:t>
      </w:r>
      <w:hyperlink r:id="rId7" w:history="1">
        <w:r w:rsidRPr="000241C2">
          <w:rPr>
            <w:rStyle w:val="Hyperlink"/>
            <w:sz w:val="16"/>
          </w:rPr>
          <w:t>https://www.statistik.bayern.de/mam/produkte/veroffentlichungen/statistische_berichte/f2400c_202200.pdf</w:t>
        </w:r>
      </w:hyperlink>
    </w:p>
  </w:footnote>
  <w:footnote w:id="8">
    <w:p w:rsidR="00C55E64" w:rsidRDefault="00C55E64">
      <w:pPr>
        <w:pStyle w:val="Funotentext"/>
      </w:pPr>
      <w:r>
        <w:rPr>
          <w:rStyle w:val="Funotenzeichen"/>
        </w:rPr>
        <w:footnoteRef/>
      </w:r>
      <w:r>
        <w:t xml:space="preserve"> </w:t>
      </w:r>
      <w:r>
        <w:rPr>
          <w:sz w:val="16"/>
          <w:szCs w:val="16"/>
        </w:rPr>
        <w:t xml:space="preserve">Von einem Abdruck wurde abgesehen. Die Anlage ist als pdf-Dokument </w:t>
      </w:r>
      <w:hyperlink r:id="rId8" w:history="1">
        <w:r w:rsidRPr="007735EA">
          <w:rPr>
            <w:rStyle w:val="Hyperlink"/>
            <w:sz w:val="16"/>
            <w:szCs w:val="16"/>
          </w:rPr>
          <w:t>hier</w:t>
        </w:r>
      </w:hyperlink>
      <w:r>
        <w:rPr>
          <w:sz w:val="16"/>
          <w:szCs w:val="16"/>
        </w:rPr>
        <w:t xml:space="preserve"> einsehbar. </w:t>
      </w:r>
      <w:r>
        <w:t xml:space="preserve"> </w:t>
      </w:r>
    </w:p>
  </w:footnote>
  <w:footnote w:id="9">
    <w:p w:rsidR="00C55E64" w:rsidRDefault="00C55E64">
      <w:pPr>
        <w:pStyle w:val="Funotentext"/>
      </w:pPr>
      <w:r>
        <w:rPr>
          <w:rStyle w:val="Funotenzeichen"/>
        </w:rPr>
        <w:footnoteRef/>
      </w:r>
      <w:r>
        <w:t xml:space="preserve"> </w:t>
      </w:r>
      <w:hyperlink r:id="rId9" w:history="1">
        <w:r w:rsidRPr="00E80FA7">
          <w:rPr>
            <w:rStyle w:val="Hyperlink"/>
            <w:sz w:val="16"/>
          </w:rPr>
          <w:t>https://www.km.bayern.de/lehrer/unterrichtsversorgung/planung-und-prognose.html</w:t>
        </w:r>
      </w:hyperlink>
    </w:p>
  </w:footnote>
  <w:footnote w:id="10">
    <w:p w:rsidR="00C55E64" w:rsidRDefault="00C55E64">
      <w:pPr>
        <w:pStyle w:val="Funotentext"/>
      </w:pPr>
      <w:r>
        <w:rPr>
          <w:rStyle w:val="Funotenzeichen"/>
        </w:rPr>
        <w:footnoteRef/>
      </w:r>
      <w:r>
        <w:t xml:space="preserve"> </w:t>
      </w:r>
      <w:r>
        <w:rPr>
          <w:sz w:val="16"/>
          <w:szCs w:val="16"/>
        </w:rPr>
        <w:t xml:space="preserve">Von einem Abdruck wurde abgesehen. Die Anlage ist als pdf-Dokument </w:t>
      </w:r>
      <w:hyperlink r:id="rId10" w:history="1">
        <w:r w:rsidRPr="007735EA">
          <w:rPr>
            <w:rStyle w:val="Hyperlink"/>
            <w:sz w:val="16"/>
            <w:szCs w:val="16"/>
          </w:rPr>
          <w:t>hier</w:t>
        </w:r>
      </w:hyperlink>
      <w:r>
        <w:rPr>
          <w:sz w:val="16"/>
          <w:szCs w:val="16"/>
        </w:rPr>
        <w:t xml:space="preserve"> einsehbar. </w:t>
      </w:r>
      <w:r>
        <w:t xml:space="preserve"> </w:t>
      </w:r>
    </w:p>
  </w:footnote>
  <w:footnote w:id="11">
    <w:p w:rsidR="00C55E64" w:rsidRDefault="00C55E64">
      <w:pPr>
        <w:pStyle w:val="Funotentext"/>
      </w:pPr>
      <w:r>
        <w:rPr>
          <w:rStyle w:val="Funotenzeichen"/>
        </w:rPr>
        <w:footnoteRef/>
      </w:r>
      <w:r>
        <w:t xml:space="preserve"> </w:t>
      </w:r>
      <w:r w:rsidRPr="004F76A7">
        <w:rPr>
          <w:sz w:val="16"/>
        </w:rPr>
        <w:t xml:space="preserve">Für das Berichtsjahr 2021 siehe </w:t>
      </w:r>
      <w:hyperlink r:id="rId11" w:history="1">
        <w:r w:rsidRPr="004F76A7">
          <w:rPr>
            <w:rStyle w:val="Hyperlink"/>
            <w:sz w:val="16"/>
          </w:rPr>
          <w:t>https://www.statistik.bayern.de/mam/produkte/veroffentlichungen/statistische_berichte/b3440c_202100.pdf</w:t>
        </w:r>
      </w:hyperlink>
    </w:p>
  </w:footnote>
  <w:footnote w:id="12">
    <w:p w:rsidR="00C55E64" w:rsidRDefault="00C55E64">
      <w:pPr>
        <w:pStyle w:val="Funotentext"/>
      </w:pPr>
      <w:r>
        <w:rPr>
          <w:rStyle w:val="Funotenzeichen"/>
        </w:rPr>
        <w:footnoteRef/>
      </w:r>
      <w:r>
        <w:t xml:space="preserve"> </w:t>
      </w:r>
      <w:hyperlink r:id="rId12" w:history="1">
        <w:r w:rsidRPr="00006DB3">
          <w:rPr>
            <w:rStyle w:val="Hyperlink"/>
            <w:sz w:val="16"/>
          </w:rPr>
          <w:t>https://h2.live/tankstellen/</w:t>
        </w:r>
      </w:hyperlink>
    </w:p>
  </w:footnote>
  <w:footnote w:id="13">
    <w:p w:rsidR="00C55E64" w:rsidRDefault="00C55E64">
      <w:pPr>
        <w:pStyle w:val="Funotentext"/>
      </w:pPr>
      <w:r>
        <w:rPr>
          <w:rStyle w:val="Funotenzeichen"/>
        </w:rPr>
        <w:footnoteRef/>
      </w:r>
      <w:r>
        <w:t xml:space="preserve"> </w:t>
      </w:r>
      <w:hyperlink r:id="rId13" w:history="1">
        <w:r w:rsidRPr="00727C40">
          <w:rPr>
            <w:rStyle w:val="Hyperlink"/>
            <w:sz w:val="16"/>
          </w:rPr>
          <w:t>https://www.nid.bayern.de/grundwasser/iller_lech?days=1&amp;spi=30</w:t>
        </w:r>
      </w:hyperlink>
    </w:p>
  </w:footnote>
  <w:footnote w:id="14">
    <w:p w:rsidR="00C55E64" w:rsidRDefault="00C55E64">
      <w:pPr>
        <w:pStyle w:val="Funotentext"/>
      </w:pPr>
      <w:r>
        <w:rPr>
          <w:rStyle w:val="Funotenzeichen"/>
        </w:rPr>
        <w:footnoteRef/>
      </w:r>
      <w:r>
        <w:t xml:space="preserve"> </w:t>
      </w:r>
      <w:hyperlink r:id="rId14" w:history="1">
        <w:r w:rsidRPr="00727C40">
          <w:rPr>
            <w:rStyle w:val="Hyperlink"/>
            <w:sz w:val="16"/>
          </w:rPr>
          <w:t>https://www.nid.bayern.de/speicher/iller_lech?days=1</w:t>
        </w:r>
      </w:hyperlink>
    </w:p>
  </w:footnote>
  <w:footnote w:id="15">
    <w:p w:rsidR="00C55E64" w:rsidRDefault="00C55E64">
      <w:pPr>
        <w:pStyle w:val="Funotentext"/>
      </w:pPr>
      <w:r>
        <w:rPr>
          <w:rStyle w:val="Funotenzeichen"/>
        </w:rPr>
        <w:footnoteRef/>
      </w:r>
      <w:r>
        <w:t xml:space="preserve"> </w:t>
      </w:r>
      <w:hyperlink r:id="rId15" w:history="1">
        <w:r w:rsidRPr="00A01491">
          <w:rPr>
            <w:rStyle w:val="Hyperlink"/>
            <w:sz w:val="16"/>
          </w:rPr>
          <w:t>https://www.km.bayern.de/</w:t>
        </w:r>
      </w:hyperlink>
    </w:p>
  </w:footnote>
  <w:footnote w:id="16">
    <w:p w:rsidR="00C55E64" w:rsidRDefault="00C55E64">
      <w:pPr>
        <w:pStyle w:val="Funotentext"/>
      </w:pPr>
      <w:r>
        <w:rPr>
          <w:rStyle w:val="Funotenzeichen"/>
        </w:rPr>
        <w:footnoteRef/>
      </w:r>
      <w:r>
        <w:t xml:space="preserve"> </w:t>
      </w:r>
      <w:hyperlink r:id="rId16" w:history="1">
        <w:r w:rsidRPr="00A01491">
          <w:rPr>
            <w:rStyle w:val="Hyperlink"/>
            <w:sz w:val="16"/>
          </w:rPr>
          <w:t>https://www.kita-fachkraefte.bayern/</w:t>
        </w:r>
      </w:hyperlink>
    </w:p>
  </w:footnote>
  <w:footnote w:id="17">
    <w:p w:rsidR="00C55E64" w:rsidRDefault="00C55E64">
      <w:pPr>
        <w:pStyle w:val="Funotentext"/>
      </w:pPr>
      <w:r>
        <w:rPr>
          <w:rStyle w:val="Funotenzeichen"/>
        </w:rPr>
        <w:footnoteRef/>
      </w:r>
      <w:r>
        <w:t xml:space="preserve"> </w:t>
      </w:r>
      <w:hyperlink r:id="rId17" w:history="1">
        <w:r w:rsidRPr="000572F2">
          <w:rPr>
            <w:rStyle w:val="Hyperlink"/>
            <w:sz w:val="16"/>
          </w:rPr>
          <w:t>www.ganztag.bayern.de</w:t>
        </w:r>
      </w:hyperlink>
    </w:p>
  </w:footnote>
  <w:footnote w:id="18">
    <w:p w:rsidR="00C55E64" w:rsidRDefault="00C55E64">
      <w:pPr>
        <w:pStyle w:val="Funotentext"/>
      </w:pPr>
      <w:r>
        <w:rPr>
          <w:rStyle w:val="Funotenzeichen"/>
        </w:rPr>
        <w:footnoteRef/>
      </w:r>
      <w:r>
        <w:t xml:space="preserve"> </w:t>
      </w:r>
      <w:hyperlink r:id="rId18" w:history="1">
        <w:r w:rsidRPr="0082659B">
          <w:rPr>
            <w:rStyle w:val="Hyperlink"/>
            <w:sz w:val="16"/>
          </w:rPr>
          <w:t>https://anwendungen.pharmnet-bund.de/lieferengpassmeldungen/faces/public/meldungen.xhtml</w:t>
        </w:r>
      </w:hyperlink>
    </w:p>
  </w:footnote>
  <w:footnote w:id="19">
    <w:p w:rsidR="00C55E64" w:rsidRDefault="00C55E64" w:rsidP="005506F4">
      <w:pPr>
        <w:pStyle w:val="Funotentext"/>
        <w:ind w:left="227" w:hanging="227"/>
      </w:pPr>
      <w:r>
        <w:rPr>
          <w:rStyle w:val="Funotenzeichen"/>
        </w:rPr>
        <w:footnoteRef/>
      </w:r>
      <w:r>
        <w:rPr>
          <w:sz w:val="16"/>
        </w:rPr>
        <w:t xml:space="preserve"> </w:t>
      </w:r>
      <w:r>
        <w:rPr>
          <w:sz w:val="16"/>
        </w:rPr>
        <w:tab/>
      </w:r>
      <w:hyperlink r:id="rId19" w:history="1">
        <w:r w:rsidRPr="005506F4">
          <w:rPr>
            <w:rStyle w:val="Hyperlink"/>
            <w:sz w:val="16"/>
          </w:rPr>
          <w:t>https://www.aerzteblatt.de/archiv/225954/Hitzebedingte-Mortalitaet-in-Deutschland-zwischen-1992-und-2021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E64" w:rsidRDefault="00C55E64" w:rsidP="009A5A06">
    <w:pPr>
      <w:pStyle w:val="Kopfzeile"/>
      <w:pBdr>
        <w:bottom w:val="single" w:sz="4" w:space="1" w:color="auto"/>
      </w:pBdr>
      <w:tabs>
        <w:tab w:val="clear" w:pos="4536"/>
        <w:tab w:val="center" w:pos="4680"/>
      </w:tabs>
      <w:spacing w:line="360" w:lineRule="exact"/>
      <w:ind w:right="-2"/>
    </w:pPr>
    <w:r w:rsidRPr="009A2D8C">
      <w:rPr>
        <w:b/>
      </w:rPr>
      <w:t>Drucksache</w:t>
    </w:r>
    <w:r>
      <w:rPr>
        <w:b/>
      </w:rPr>
      <w:t xml:space="preserve"> </w:t>
    </w:r>
    <w:fldSimple w:instr=" DOCVARIABLE  &quot;Wp&quot; \* MERGEFORMAT ">
      <w:r w:rsidR="007E6BE0">
        <w:t>18</w:t>
      </w:r>
    </w:fldSimple>
    <w:r w:rsidRPr="00CA6785">
      <w:t>/</w:t>
    </w:r>
    <w:r>
      <w:rPr>
        <w:b/>
      </w:rPr>
      <w:fldChar w:fldCharType="begin"/>
    </w:r>
    <w:r>
      <w:rPr>
        <w:b/>
      </w:rPr>
      <w:instrText xml:space="preserve"> DOCVARIABLE  "Drsnr" \* MERGEFORMAT </w:instrText>
    </w:r>
    <w:r>
      <w:rPr>
        <w:b/>
      </w:rPr>
      <w:fldChar w:fldCharType="separate"/>
    </w:r>
    <w:r w:rsidR="007E6BE0">
      <w:rPr>
        <w:b/>
      </w:rPr>
      <w:t>29958</w:t>
    </w:r>
    <w:r>
      <w:rPr>
        <w:b/>
      </w:rPr>
      <w:fldChar w:fldCharType="end"/>
    </w:r>
    <w:r>
      <w:tab/>
    </w:r>
    <w:r>
      <w:tab/>
    </w:r>
    <w:r w:rsidRPr="009A2D8C">
      <w:t>Bayerischer Landtag</w:t>
    </w:r>
    <w:r>
      <w:t xml:space="preserve"> -</w:t>
    </w:r>
    <w:fldSimple w:instr=" DOCVARIABLE  &quot;Wp&quot; \* MERGEFORMAT ">
      <w:r w:rsidR="007E6BE0">
        <w:t>18</w:t>
      </w:r>
    </w:fldSimple>
    <w:r>
      <w:t>. Wahlperiode</w:t>
    </w:r>
  </w:p>
  <w:p w:rsidR="00C55E64" w:rsidRDefault="00C55E64" w:rsidP="009A5A06">
    <w:pPr>
      <w:pStyle w:val="Kopfzeile"/>
      <w:tabs>
        <w:tab w:val="clear" w:pos="4536"/>
        <w:tab w:val="center" w:pos="4680"/>
      </w:tabs>
      <w:spacing w:line="360" w:lineRule="exact"/>
      <w:ind w:right="-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E64" w:rsidRDefault="00C55E64" w:rsidP="006B0212">
    <w:pPr>
      <w:pStyle w:val="Kopfzeile"/>
      <w:pBdr>
        <w:bottom w:val="single" w:sz="4" w:space="1" w:color="auto"/>
      </w:pBdr>
      <w:tabs>
        <w:tab w:val="clear" w:pos="4536"/>
        <w:tab w:val="clear" w:pos="9072"/>
        <w:tab w:val="center" w:pos="4680"/>
        <w:tab w:val="right" w:pos="8789"/>
      </w:tabs>
      <w:spacing w:line="360" w:lineRule="exact"/>
      <w:ind w:left="-1106" w:right="-1106"/>
      <w:rPr>
        <w:sz w:val="22"/>
      </w:rPr>
    </w:pPr>
    <w:r w:rsidRPr="009A2D8C">
      <w:t>Bayerischer Landtag</w:t>
    </w:r>
    <w:r>
      <w:t xml:space="preserve"> -</w:t>
    </w:r>
    <w:fldSimple w:instr=" DOCVARIABLE  &quot;Wp&quot; \* MERGEFORMAT ">
      <w:r w:rsidR="007E6BE0">
        <w:t>18</w:t>
      </w:r>
    </w:fldSimple>
    <w:r>
      <w:t>. Wahlperiode</w:t>
    </w:r>
    <w:r>
      <w:tab/>
    </w:r>
    <w:r>
      <w:tab/>
    </w:r>
    <w:r w:rsidRPr="009A2D8C">
      <w:rPr>
        <w:b/>
      </w:rPr>
      <w:t>Drucksache</w:t>
    </w:r>
    <w:r>
      <w:rPr>
        <w:b/>
      </w:rPr>
      <w:t xml:space="preserve"> </w:t>
    </w:r>
    <w:fldSimple w:instr=" DOCVARIABLE  &quot;Wp&quot; \* MERGEFORMAT ">
      <w:r w:rsidR="007E6BE0">
        <w:t>18</w:t>
      </w:r>
    </w:fldSimple>
    <w:r w:rsidRPr="00CA6785">
      <w:t>/</w:t>
    </w:r>
    <w:r>
      <w:rPr>
        <w:b/>
      </w:rPr>
      <w:fldChar w:fldCharType="begin"/>
    </w:r>
    <w:r>
      <w:rPr>
        <w:b/>
      </w:rPr>
      <w:instrText xml:space="preserve"> DOCVARIABLE  "Drsnr" \* MERGEFORMAT </w:instrText>
    </w:r>
    <w:r>
      <w:rPr>
        <w:b/>
      </w:rPr>
      <w:fldChar w:fldCharType="separate"/>
    </w:r>
    <w:r w:rsidR="007E6BE0">
      <w:rPr>
        <w:b/>
      </w:rPr>
      <w:t>29958</w:t>
    </w:r>
    <w:r>
      <w:rPr>
        <w:b/>
      </w:rPr>
      <w:fldChar w:fldCharType="end"/>
    </w:r>
  </w:p>
  <w:p w:rsidR="00C55E64" w:rsidRPr="00C127DA" w:rsidRDefault="00C55E64" w:rsidP="006B0212">
    <w:pPr>
      <w:pStyle w:val="Kopfzeile"/>
      <w:tabs>
        <w:tab w:val="clear" w:pos="9072"/>
        <w:tab w:val="right" w:pos="8789"/>
      </w:tabs>
      <w:ind w:left="-1106" w:right="-1106"/>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E64" w:rsidRDefault="00C55E64" w:rsidP="00F00864">
    <w:pPr>
      <w:pStyle w:val="Kopfzeile"/>
      <w:pBdr>
        <w:top w:val="single" w:sz="4" w:space="5" w:color="auto"/>
      </w:pBdr>
      <w:tabs>
        <w:tab w:val="clear" w:pos="4536"/>
        <w:tab w:val="clear" w:pos="9072"/>
        <w:tab w:val="right" w:pos="8789"/>
      </w:tabs>
      <w:spacing w:before="300" w:after="360" w:line="360" w:lineRule="exact"/>
      <w:ind w:left="-1106" w:right="-1106"/>
      <w:rPr>
        <w:sz w:val="22"/>
        <w:szCs w:val="22"/>
      </w:rPr>
    </w:pPr>
    <w:r>
      <w:rPr>
        <w:rFonts w:cs="Arial"/>
        <w:noProof/>
        <w:sz w:val="22"/>
        <w:szCs w:val="22"/>
      </w:rPr>
      <w:drawing>
        <wp:anchor distT="0" distB="0" distL="114300" distR="114300" simplePos="0" relativeHeight="251660288" behindDoc="0" locked="0" layoutInCell="1" allowOverlap="1" wp14:anchorId="763F819A" wp14:editId="7D5BE7DA">
          <wp:simplePos x="0" y="0"/>
          <wp:positionH relativeFrom="page">
            <wp:posOffset>683895</wp:posOffset>
          </wp:positionH>
          <wp:positionV relativeFrom="page">
            <wp:posOffset>360045</wp:posOffset>
          </wp:positionV>
          <wp:extent cx="972000" cy="586800"/>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Wa_schwarz_in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868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2"/>
        <w:szCs w:val="22"/>
      </w:rPr>
      <w:drawing>
        <wp:anchor distT="0" distB="0" distL="114300" distR="114300" simplePos="0" relativeHeight="251659264" behindDoc="0" locked="0" layoutInCell="1" allowOverlap="1" wp14:anchorId="49DAA096" wp14:editId="634F8736">
          <wp:simplePos x="0" y="0"/>
          <wp:positionH relativeFrom="page">
            <wp:posOffset>5581015</wp:posOffset>
          </wp:positionH>
          <wp:positionV relativeFrom="page">
            <wp:posOffset>360045</wp:posOffset>
          </wp:positionV>
          <wp:extent cx="1393200" cy="586800"/>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Sz_schwarz.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200" cy="586800"/>
                  </a:xfrm>
                  <a:prstGeom prst="rect">
                    <a:avLst/>
                  </a:prstGeom>
                </pic:spPr>
              </pic:pic>
            </a:graphicData>
          </a:graphic>
          <wp14:sizeRelH relativeFrom="margin">
            <wp14:pctWidth>0</wp14:pctWidth>
          </wp14:sizeRelH>
          <wp14:sizeRelV relativeFrom="margin">
            <wp14:pctHeight>0</wp14:pctHeight>
          </wp14:sizeRelV>
        </wp:anchor>
      </w:drawing>
    </w:r>
    <w:r w:rsidRPr="00AE68A8">
      <w:rPr>
        <w:sz w:val="22"/>
        <w:szCs w:val="22"/>
      </w:rPr>
      <w:fldChar w:fldCharType="begin"/>
    </w:r>
    <w:r w:rsidRPr="00AE68A8">
      <w:rPr>
        <w:sz w:val="22"/>
        <w:szCs w:val="22"/>
      </w:rPr>
      <w:instrText xml:space="preserve"> DOCVARIABLE  "Wp" \* MERGEFORMAT </w:instrText>
    </w:r>
    <w:r w:rsidRPr="00AE68A8">
      <w:rPr>
        <w:sz w:val="22"/>
        <w:szCs w:val="22"/>
      </w:rPr>
      <w:fldChar w:fldCharType="separate"/>
    </w:r>
    <w:r w:rsidR="00552769" w:rsidRPr="00552769">
      <w:rPr>
        <w:bCs/>
        <w:sz w:val="22"/>
        <w:szCs w:val="22"/>
      </w:rPr>
      <w:t>18</w:t>
    </w:r>
    <w:r w:rsidRPr="00AE68A8">
      <w:rPr>
        <w:sz w:val="22"/>
        <w:szCs w:val="22"/>
      </w:rPr>
      <w:fldChar w:fldCharType="end"/>
    </w:r>
    <w:r w:rsidRPr="00AE68A8">
      <w:rPr>
        <w:sz w:val="22"/>
        <w:szCs w:val="22"/>
      </w:rPr>
      <w:t>. Wahlperiode</w:t>
    </w:r>
    <w:r>
      <w:rPr>
        <w:sz w:val="22"/>
        <w:szCs w:val="22"/>
      </w:rPr>
      <w:tab/>
    </w:r>
    <w:r>
      <w:rPr>
        <w:sz w:val="22"/>
        <w:szCs w:val="22"/>
      </w:rPr>
      <w:fldChar w:fldCharType="begin"/>
    </w:r>
    <w:r>
      <w:rPr>
        <w:sz w:val="22"/>
        <w:szCs w:val="22"/>
      </w:rPr>
      <w:instrText xml:space="preserve"> DOCVARIABLE  Eingangsdatum  \* MERGEFORMAT </w:instrText>
    </w:r>
    <w:r>
      <w:rPr>
        <w:sz w:val="22"/>
        <w:szCs w:val="22"/>
      </w:rPr>
      <w:fldChar w:fldCharType="separate"/>
    </w:r>
    <w:r w:rsidR="00552769">
      <w:rPr>
        <w:sz w:val="22"/>
        <w:szCs w:val="22"/>
      </w:rPr>
      <w:t>03.07.2023</w:t>
    </w:r>
    <w:r>
      <w:rPr>
        <w:sz w:val="22"/>
        <w:szCs w:val="22"/>
      </w:rPr>
      <w:fldChar w:fldCharType="end"/>
    </w:r>
    <w:r w:rsidRPr="005C5701">
      <w:rPr>
        <w:sz w:val="120"/>
        <w:szCs w:val="120"/>
      </w:rPr>
      <w:t> </w:t>
    </w:r>
    <w:r w:rsidRPr="00E6572C">
      <w:rPr>
        <w:b/>
        <w:sz w:val="22"/>
        <w:szCs w:val="22"/>
      </w:rPr>
      <w:t>Drucksache</w:t>
    </w:r>
    <w:r w:rsidRPr="006D2E83">
      <w:rPr>
        <w:sz w:val="22"/>
        <w:szCs w:val="22"/>
      </w:rPr>
      <w:t xml:space="preserve"> </w:t>
    </w:r>
    <w:r w:rsidRPr="006D2E83">
      <w:rPr>
        <w:sz w:val="42"/>
        <w:szCs w:val="42"/>
      </w:rPr>
      <w:fldChar w:fldCharType="begin"/>
    </w:r>
    <w:r w:rsidRPr="006D2E83">
      <w:rPr>
        <w:sz w:val="42"/>
        <w:szCs w:val="42"/>
      </w:rPr>
      <w:instrText xml:space="preserve"> DOCVARIABLE  "Wp"  \* MERGEFORMAT </w:instrText>
    </w:r>
    <w:r w:rsidRPr="006D2E83">
      <w:rPr>
        <w:sz w:val="42"/>
        <w:szCs w:val="42"/>
      </w:rPr>
      <w:fldChar w:fldCharType="separate"/>
    </w:r>
    <w:r w:rsidR="00552769" w:rsidRPr="00552769">
      <w:rPr>
        <w:bCs/>
        <w:sz w:val="42"/>
        <w:szCs w:val="42"/>
      </w:rPr>
      <w:t>18</w:t>
    </w:r>
    <w:r w:rsidRPr="006D2E83">
      <w:rPr>
        <w:sz w:val="42"/>
        <w:szCs w:val="42"/>
      </w:rPr>
      <w:fldChar w:fldCharType="end"/>
    </w:r>
    <w:r w:rsidRPr="00812558">
      <w:rPr>
        <w:sz w:val="42"/>
        <w:szCs w:val="42"/>
      </w:rPr>
      <w:t>/</w:t>
    </w:r>
    <w:r w:rsidRPr="00853926">
      <w:rPr>
        <w:b/>
        <w:sz w:val="42"/>
        <w:szCs w:val="42"/>
      </w:rPr>
      <w:fldChar w:fldCharType="begin"/>
    </w:r>
    <w:r w:rsidRPr="00853926">
      <w:rPr>
        <w:b/>
        <w:sz w:val="42"/>
        <w:szCs w:val="42"/>
      </w:rPr>
      <w:instrText xml:space="preserve"> DOCVARIABLE  "Drsnr" \* MERGEFORMAT </w:instrText>
    </w:r>
    <w:r w:rsidRPr="00853926">
      <w:rPr>
        <w:b/>
        <w:sz w:val="42"/>
        <w:szCs w:val="42"/>
      </w:rPr>
      <w:fldChar w:fldCharType="separate"/>
    </w:r>
    <w:r w:rsidR="00552769" w:rsidRPr="00552769">
      <w:rPr>
        <w:b/>
        <w:bCs/>
        <w:sz w:val="42"/>
        <w:szCs w:val="42"/>
      </w:rPr>
      <w:t>29958</w:t>
    </w:r>
    <w:r w:rsidRPr="00853926">
      <w:rPr>
        <w:b/>
        <w:sz w:val="42"/>
        <w:szCs w:val="42"/>
      </w:rPr>
      <w:fldChar w:fldCharType="end"/>
    </w:r>
  </w:p>
  <w:p w:rsidR="00C55E64" w:rsidRPr="004453BF" w:rsidRDefault="00C55E64" w:rsidP="00F00864">
    <w:pPr>
      <w:tabs>
        <w:tab w:val="right" w:pos="8789"/>
      </w:tabs>
      <w:spacing w:before="240"/>
      <w:ind w:left="-1106" w:right="-1106"/>
      <w:jc w:val="center"/>
      <w:rPr>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E64" w:rsidRPr="00A44F63" w:rsidRDefault="00C55E64" w:rsidP="00F769C0">
    <w:pPr>
      <w:pStyle w:val="Kopfzeile"/>
      <w:pBdr>
        <w:bottom w:val="single" w:sz="4" w:space="1" w:color="auto"/>
      </w:pBdr>
      <w:tabs>
        <w:tab w:val="clear" w:pos="4536"/>
        <w:tab w:val="clear" w:pos="9072"/>
        <w:tab w:val="left" w:pos="2410"/>
        <w:tab w:val="left" w:pos="4680"/>
        <w:tab w:val="right" w:pos="91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7E6BE0">
      <w:rPr>
        <w:rStyle w:val="Seitenzahl"/>
        <w:noProof/>
        <w:szCs w:val="20"/>
      </w:rPr>
      <w:t>82</w:t>
    </w:r>
    <w:r w:rsidRPr="00DE5B17">
      <w:rPr>
        <w:rStyle w:val="Seitenzahl"/>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7E6BE0">
      <w:rPr>
        <w:szCs w:val="20"/>
      </w:rPr>
      <w:t>18</w:t>
    </w:r>
    <w:r w:rsidRPr="00A44F63">
      <w:rPr>
        <w:szCs w:val="20"/>
      </w:rPr>
      <w:fldChar w:fldCharType="end"/>
    </w:r>
    <w:r w:rsidRPr="00DE5B17">
      <w:rPr>
        <w:szCs w:val="20"/>
      </w:rPr>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7E6BE0">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7E6BE0">
      <w:rPr>
        <w:b/>
        <w:szCs w:val="20"/>
      </w:rPr>
      <w:t>29958</w:t>
    </w:r>
    <w:r w:rsidRPr="00A44F63">
      <w:rPr>
        <w:b/>
        <w:szCs w:val="20"/>
      </w:rPr>
      <w:fldChar w:fldCharType="end"/>
    </w:r>
  </w:p>
  <w:p w:rsidR="00C55E64" w:rsidRPr="00861320" w:rsidRDefault="00C55E64" w:rsidP="006E5B9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E64" w:rsidRPr="00DE5B17" w:rsidRDefault="00C55E64" w:rsidP="001376A1">
    <w:pPr>
      <w:pStyle w:val="Kopfzeile"/>
      <w:pBdr>
        <w:bottom w:val="single" w:sz="4" w:space="1" w:color="auto"/>
      </w:pBdr>
      <w:tabs>
        <w:tab w:val="clear" w:pos="4536"/>
        <w:tab w:val="clear" w:pos="9072"/>
        <w:tab w:val="left" w:pos="1843"/>
        <w:tab w:val="left" w:pos="3969"/>
        <w:tab w:val="right" w:pos="8789"/>
      </w:tabs>
      <w:spacing w:line="360" w:lineRule="exact"/>
      <w:ind w:left="-1106" w:right="-1106"/>
      <w:rPr>
        <w:szCs w:val="20"/>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7E6BE0">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7E6BE0">
      <w:rPr>
        <w:b/>
        <w:szCs w:val="20"/>
      </w:rPr>
      <w:t>29958</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7E6BE0">
      <w:rPr>
        <w:szCs w:val="20"/>
      </w:rPr>
      <w:t>18</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7E6BE0">
      <w:rPr>
        <w:rStyle w:val="Seitenzahl"/>
        <w:noProof/>
        <w:szCs w:val="20"/>
      </w:rPr>
      <w:t>82</w:t>
    </w:r>
    <w:r w:rsidRPr="00DE5B17">
      <w:rPr>
        <w:rStyle w:val="Seitenzahl"/>
        <w:szCs w:val="20"/>
      </w:rPr>
      <w:fldChar w:fldCharType="end"/>
    </w:r>
  </w:p>
  <w:p w:rsidR="00C55E64" w:rsidRPr="00601929" w:rsidRDefault="00C55E64" w:rsidP="00F00864">
    <w:pPr>
      <w:pStyle w:val="Kopfzeile"/>
      <w:tabs>
        <w:tab w:val="clear" w:pos="4536"/>
        <w:tab w:val="clear" w:pos="9072"/>
        <w:tab w:val="left" w:pos="2700"/>
        <w:tab w:val="left" w:pos="4680"/>
        <w:tab w:val="right" w:pos="8789"/>
      </w:tabs>
      <w:spacing w:line="360" w:lineRule="exact"/>
      <w:ind w:left="-1106" w:right="-110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D47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6EA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F857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785E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60A0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48F9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1CAD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B252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7832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3839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E40DE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1033729"/>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1BA2673"/>
    <w:multiLevelType w:val="multilevel"/>
    <w:tmpl w:val="CDA4A21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9C3463C"/>
    <w:multiLevelType w:val="multilevel"/>
    <w:tmpl w:val="F4D2AFEA"/>
    <w:lvl w:ilvl="0">
      <w:start w:val="1"/>
      <w:numFmt w:val="decimal"/>
      <w:lvlText w:val="%1."/>
      <w:lvlJc w:val="left"/>
      <w:pPr>
        <w:tabs>
          <w:tab w:val="num" w:pos="340"/>
        </w:tabs>
        <w:ind w:left="340" w:hanging="340"/>
      </w:pPr>
      <w:rPr>
        <w:rFonts w:ascii="Times New Roman" w:hAnsi="Times New Roman" w:cs="Times New Roman" w:hint="default"/>
        <w:sz w:val="2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B296DF3"/>
    <w:multiLevelType w:val="hybridMultilevel"/>
    <w:tmpl w:val="B354184C"/>
    <w:lvl w:ilvl="0" w:tplc="6AB641A2">
      <w:start w:val="1"/>
      <w:numFmt w:val="decimal"/>
      <w:pStyle w:val="LTAnfrageInitiato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994058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00066AC"/>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4C259E8"/>
    <w:multiLevelType w:val="hybridMultilevel"/>
    <w:tmpl w:val="EBEA1AC0"/>
    <w:lvl w:ilvl="0" w:tplc="9B102360">
      <w:start w:val="1"/>
      <w:numFmt w:val="decimal"/>
      <w:lvlText w:val="%1-"/>
      <w:lvlJc w:val="left"/>
      <w:pPr>
        <w:ind w:left="346" w:hanging="164"/>
      </w:pPr>
      <w:rPr>
        <w:rFonts w:ascii="Arial" w:eastAsia="Calibri" w:hAnsi="Arial" w:cs="Arial" w:hint="default"/>
        <w:w w:val="99"/>
        <w:sz w:val="18"/>
        <w:szCs w:val="18"/>
      </w:rPr>
    </w:lvl>
    <w:lvl w:ilvl="1" w:tplc="C8AE4D9C">
      <w:numFmt w:val="bullet"/>
      <w:lvlText w:val="•"/>
      <w:lvlJc w:val="left"/>
      <w:pPr>
        <w:ind w:left="426" w:hanging="164"/>
      </w:pPr>
      <w:rPr>
        <w:rFonts w:hint="default"/>
      </w:rPr>
    </w:lvl>
    <w:lvl w:ilvl="2" w:tplc="BEC6233E">
      <w:numFmt w:val="bullet"/>
      <w:lvlText w:val="•"/>
      <w:lvlJc w:val="left"/>
      <w:pPr>
        <w:ind w:left="512" w:hanging="164"/>
      </w:pPr>
      <w:rPr>
        <w:rFonts w:hint="default"/>
      </w:rPr>
    </w:lvl>
    <w:lvl w:ilvl="3" w:tplc="7FF8ACC4">
      <w:numFmt w:val="bullet"/>
      <w:lvlText w:val="•"/>
      <w:lvlJc w:val="left"/>
      <w:pPr>
        <w:ind w:left="598" w:hanging="164"/>
      </w:pPr>
      <w:rPr>
        <w:rFonts w:hint="default"/>
      </w:rPr>
    </w:lvl>
    <w:lvl w:ilvl="4" w:tplc="5B08A2D4">
      <w:numFmt w:val="bullet"/>
      <w:lvlText w:val="•"/>
      <w:lvlJc w:val="left"/>
      <w:pPr>
        <w:ind w:left="684" w:hanging="164"/>
      </w:pPr>
      <w:rPr>
        <w:rFonts w:hint="default"/>
      </w:rPr>
    </w:lvl>
    <w:lvl w:ilvl="5" w:tplc="2FC62FF6">
      <w:numFmt w:val="bullet"/>
      <w:lvlText w:val="•"/>
      <w:lvlJc w:val="left"/>
      <w:pPr>
        <w:ind w:left="770" w:hanging="164"/>
      </w:pPr>
      <w:rPr>
        <w:rFonts w:hint="default"/>
      </w:rPr>
    </w:lvl>
    <w:lvl w:ilvl="6" w:tplc="405C8A24">
      <w:numFmt w:val="bullet"/>
      <w:lvlText w:val="•"/>
      <w:lvlJc w:val="left"/>
      <w:pPr>
        <w:ind w:left="856" w:hanging="164"/>
      </w:pPr>
      <w:rPr>
        <w:rFonts w:hint="default"/>
      </w:rPr>
    </w:lvl>
    <w:lvl w:ilvl="7" w:tplc="1BFCE554">
      <w:numFmt w:val="bullet"/>
      <w:lvlText w:val="•"/>
      <w:lvlJc w:val="left"/>
      <w:pPr>
        <w:ind w:left="942" w:hanging="164"/>
      </w:pPr>
      <w:rPr>
        <w:rFonts w:hint="default"/>
      </w:rPr>
    </w:lvl>
    <w:lvl w:ilvl="8" w:tplc="4B72A5FE">
      <w:numFmt w:val="bullet"/>
      <w:lvlText w:val="•"/>
      <w:lvlJc w:val="left"/>
      <w:pPr>
        <w:ind w:left="1028" w:hanging="164"/>
      </w:pPr>
      <w:rPr>
        <w:rFonts w:hint="default"/>
      </w:rPr>
    </w:lvl>
  </w:abstractNum>
  <w:abstractNum w:abstractNumId="18" w15:restartNumberingAfterBreak="0">
    <w:nsid w:val="616077FD"/>
    <w:multiLevelType w:val="hybridMultilevel"/>
    <w:tmpl w:val="3236AC12"/>
    <w:lvl w:ilvl="0" w:tplc="0407000F">
      <w:start w:val="1"/>
      <w:numFmt w:val="decimal"/>
      <w:lvlText w:val="%1."/>
      <w:lvlJc w:val="left"/>
      <w:pPr>
        <w:tabs>
          <w:tab w:val="num" w:pos="720"/>
        </w:tabs>
        <w:ind w:left="720" w:hanging="360"/>
      </w:pPr>
      <w:rPr>
        <w:rFonts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48B77FD"/>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7E47047"/>
    <w:multiLevelType w:val="multilevel"/>
    <w:tmpl w:val="F026A44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9867CD1"/>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2992D05"/>
    <w:multiLevelType w:val="hybridMultilevel"/>
    <w:tmpl w:val="9F7863FA"/>
    <w:lvl w:ilvl="0" w:tplc="65EC74EE">
      <w:start w:val="1"/>
      <w:numFmt w:val="decimal"/>
      <w:lvlText w:val="%1"/>
      <w:lvlJc w:val="left"/>
      <w:pPr>
        <w:tabs>
          <w:tab w:val="num" w:pos="0"/>
        </w:tabs>
        <w:ind w:left="0" w:firstLine="0"/>
      </w:pPr>
      <w:rPr>
        <w:rFonts w:ascii="Times New Roman" w:hAnsi="Times New Roman"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F5E0030"/>
    <w:multiLevelType w:val="hybridMultilevel"/>
    <w:tmpl w:val="B8644B7A"/>
    <w:lvl w:ilvl="0" w:tplc="DDD264F4">
      <w:start w:val="2"/>
      <w:numFmt w:val="decimal"/>
      <w:lvlText w:val="%1-"/>
      <w:lvlJc w:val="left"/>
      <w:pPr>
        <w:ind w:left="344" w:hanging="163"/>
      </w:pPr>
      <w:rPr>
        <w:rFonts w:ascii="Calibri" w:eastAsia="Calibri" w:hAnsi="Calibri" w:cs="Calibri" w:hint="default"/>
        <w:w w:val="99"/>
        <w:sz w:val="18"/>
        <w:szCs w:val="18"/>
      </w:rPr>
    </w:lvl>
    <w:lvl w:ilvl="1" w:tplc="501A72D4">
      <w:numFmt w:val="bullet"/>
      <w:lvlText w:val="•"/>
      <w:lvlJc w:val="left"/>
      <w:pPr>
        <w:ind w:left="425" w:hanging="163"/>
      </w:pPr>
      <w:rPr>
        <w:rFonts w:hint="default"/>
      </w:rPr>
    </w:lvl>
    <w:lvl w:ilvl="2" w:tplc="88803CA6">
      <w:numFmt w:val="bullet"/>
      <w:lvlText w:val="•"/>
      <w:lvlJc w:val="left"/>
      <w:pPr>
        <w:ind w:left="511" w:hanging="163"/>
      </w:pPr>
      <w:rPr>
        <w:rFonts w:hint="default"/>
      </w:rPr>
    </w:lvl>
    <w:lvl w:ilvl="3" w:tplc="20826D68">
      <w:numFmt w:val="bullet"/>
      <w:lvlText w:val="•"/>
      <w:lvlJc w:val="left"/>
      <w:pPr>
        <w:ind w:left="596" w:hanging="163"/>
      </w:pPr>
      <w:rPr>
        <w:rFonts w:hint="default"/>
      </w:rPr>
    </w:lvl>
    <w:lvl w:ilvl="4" w:tplc="8EA6D836">
      <w:numFmt w:val="bullet"/>
      <w:lvlText w:val="•"/>
      <w:lvlJc w:val="left"/>
      <w:pPr>
        <w:ind w:left="682" w:hanging="163"/>
      </w:pPr>
      <w:rPr>
        <w:rFonts w:hint="default"/>
      </w:rPr>
    </w:lvl>
    <w:lvl w:ilvl="5" w:tplc="48A09C4A">
      <w:numFmt w:val="bullet"/>
      <w:lvlText w:val="•"/>
      <w:lvlJc w:val="left"/>
      <w:pPr>
        <w:ind w:left="768" w:hanging="163"/>
      </w:pPr>
      <w:rPr>
        <w:rFonts w:hint="default"/>
      </w:rPr>
    </w:lvl>
    <w:lvl w:ilvl="6" w:tplc="5D0E642C">
      <w:numFmt w:val="bullet"/>
      <w:lvlText w:val="•"/>
      <w:lvlJc w:val="left"/>
      <w:pPr>
        <w:ind w:left="853" w:hanging="163"/>
      </w:pPr>
      <w:rPr>
        <w:rFonts w:hint="default"/>
      </w:rPr>
    </w:lvl>
    <w:lvl w:ilvl="7" w:tplc="5BF897E0">
      <w:numFmt w:val="bullet"/>
      <w:lvlText w:val="•"/>
      <w:lvlJc w:val="left"/>
      <w:pPr>
        <w:ind w:left="939" w:hanging="163"/>
      </w:pPr>
      <w:rPr>
        <w:rFonts w:hint="default"/>
      </w:rPr>
    </w:lvl>
    <w:lvl w:ilvl="8" w:tplc="D62267FC">
      <w:numFmt w:val="bullet"/>
      <w:lvlText w:val="•"/>
      <w:lvlJc w:val="left"/>
      <w:pPr>
        <w:ind w:left="1024" w:hanging="163"/>
      </w:pPr>
      <w:rPr>
        <w:rFonts w:hint="default"/>
      </w:rPr>
    </w:lvl>
  </w:abstractNum>
  <w:num w:numId="1">
    <w:abstractNumId w:val="22"/>
  </w:num>
  <w:num w:numId="2">
    <w:abstractNumId w:val="12"/>
  </w:num>
  <w:num w:numId="3">
    <w:abstractNumId w:val="18"/>
  </w:num>
  <w:num w:numId="4">
    <w:abstractNumId w:val="20"/>
  </w:num>
  <w:num w:numId="5">
    <w:abstractNumId w:val="19"/>
  </w:num>
  <w:num w:numId="6">
    <w:abstractNumId w:val="16"/>
  </w:num>
  <w:num w:numId="7">
    <w:abstractNumId w:val="10"/>
  </w:num>
  <w:num w:numId="8">
    <w:abstractNumId w:val="11"/>
  </w:num>
  <w:num w:numId="9">
    <w:abstractNumId w:val="21"/>
  </w:num>
  <w:num w:numId="10">
    <w:abstractNumId w:val="1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4"/>
  </w:num>
  <w:num w:numId="25">
    <w:abstractNumId w:val="17"/>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ocumentProtection w:edit="comments" w:enforcement="1" w:cryptProviderType="rsaAES" w:cryptAlgorithmClass="hash" w:cryptAlgorithmType="typeAny" w:cryptAlgorithmSid="14" w:cryptSpinCount="100000" w:hash="iZKaefjwlskKWmgRsCMTeeB793NteV1FAg+HgSHMuR4phzyjIe52lpPx7Fi3ZMXKSmR2AnMhDiKmeNC9PrZfTw==" w:salt="bSYU9EEs+PxpMQol9KHSzQ=="/>
  <w:defaultTabStop w:val="709"/>
  <w:autoHyphenation/>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treff" w:val="zur Plenarsitzung am 04.07.2023"/>
    <w:docVar w:name="Drsnr" w:val="29958"/>
    <w:docVar w:name="Eingangsdatum" w:val="03.07.2023"/>
    <w:docVar w:name="Wochendatum" w:val="3. Juli 2023"/>
    <w:docVar w:name="Wp" w:val="18"/>
  </w:docVars>
  <w:rsids>
    <w:rsidRoot w:val="00DD3048"/>
    <w:rsid w:val="00002517"/>
    <w:rsid w:val="00006292"/>
    <w:rsid w:val="00006DB3"/>
    <w:rsid w:val="000241C2"/>
    <w:rsid w:val="000371B5"/>
    <w:rsid w:val="00043B70"/>
    <w:rsid w:val="000572F2"/>
    <w:rsid w:val="000614E0"/>
    <w:rsid w:val="00061EB3"/>
    <w:rsid w:val="00074366"/>
    <w:rsid w:val="000779F7"/>
    <w:rsid w:val="00083D54"/>
    <w:rsid w:val="0008617E"/>
    <w:rsid w:val="00095981"/>
    <w:rsid w:val="00097682"/>
    <w:rsid w:val="000A1424"/>
    <w:rsid w:val="000B2A68"/>
    <w:rsid w:val="000B764D"/>
    <w:rsid w:val="000C480A"/>
    <w:rsid w:val="000C71A5"/>
    <w:rsid w:val="000C72A9"/>
    <w:rsid w:val="000C7D5A"/>
    <w:rsid w:val="000E21D9"/>
    <w:rsid w:val="000E5D4E"/>
    <w:rsid w:val="000E73CC"/>
    <w:rsid w:val="000F109F"/>
    <w:rsid w:val="000F3417"/>
    <w:rsid w:val="00112920"/>
    <w:rsid w:val="00114B66"/>
    <w:rsid w:val="001356F0"/>
    <w:rsid w:val="00135D97"/>
    <w:rsid w:val="00136D38"/>
    <w:rsid w:val="001376A1"/>
    <w:rsid w:val="00141C03"/>
    <w:rsid w:val="001454FC"/>
    <w:rsid w:val="00154F5F"/>
    <w:rsid w:val="001576CA"/>
    <w:rsid w:val="001579D6"/>
    <w:rsid w:val="00163927"/>
    <w:rsid w:val="001644CF"/>
    <w:rsid w:val="00165D18"/>
    <w:rsid w:val="001676F2"/>
    <w:rsid w:val="00171CDA"/>
    <w:rsid w:val="00191AD9"/>
    <w:rsid w:val="00193AB7"/>
    <w:rsid w:val="001A36CC"/>
    <w:rsid w:val="001C6140"/>
    <w:rsid w:val="001C6CBB"/>
    <w:rsid w:val="001D073A"/>
    <w:rsid w:val="001E298D"/>
    <w:rsid w:val="001E3461"/>
    <w:rsid w:val="001E41D1"/>
    <w:rsid w:val="001F240A"/>
    <w:rsid w:val="001F3CDA"/>
    <w:rsid w:val="001F4A8D"/>
    <w:rsid w:val="00202447"/>
    <w:rsid w:val="00215CAA"/>
    <w:rsid w:val="00226E30"/>
    <w:rsid w:val="00227E77"/>
    <w:rsid w:val="002302DA"/>
    <w:rsid w:val="00230AC4"/>
    <w:rsid w:val="00231278"/>
    <w:rsid w:val="0023365B"/>
    <w:rsid w:val="00235942"/>
    <w:rsid w:val="002375B2"/>
    <w:rsid w:val="00237F5E"/>
    <w:rsid w:val="00246DE7"/>
    <w:rsid w:val="002643D2"/>
    <w:rsid w:val="0026527F"/>
    <w:rsid w:val="002705EF"/>
    <w:rsid w:val="00277DD9"/>
    <w:rsid w:val="002822CD"/>
    <w:rsid w:val="00283D88"/>
    <w:rsid w:val="0028470E"/>
    <w:rsid w:val="00284AA1"/>
    <w:rsid w:val="00293F06"/>
    <w:rsid w:val="002B27E5"/>
    <w:rsid w:val="002D2A91"/>
    <w:rsid w:val="002D53C0"/>
    <w:rsid w:val="002D5E77"/>
    <w:rsid w:val="002E54DD"/>
    <w:rsid w:val="002F72A7"/>
    <w:rsid w:val="003078E2"/>
    <w:rsid w:val="00307D56"/>
    <w:rsid w:val="00310A7B"/>
    <w:rsid w:val="00311533"/>
    <w:rsid w:val="0031185F"/>
    <w:rsid w:val="00315B5B"/>
    <w:rsid w:val="003220C1"/>
    <w:rsid w:val="00330AC4"/>
    <w:rsid w:val="003317ED"/>
    <w:rsid w:val="003343E3"/>
    <w:rsid w:val="00354E4E"/>
    <w:rsid w:val="003571B7"/>
    <w:rsid w:val="0036081C"/>
    <w:rsid w:val="00384BCC"/>
    <w:rsid w:val="003865DE"/>
    <w:rsid w:val="00390643"/>
    <w:rsid w:val="00390B65"/>
    <w:rsid w:val="003A0B46"/>
    <w:rsid w:val="003A51D3"/>
    <w:rsid w:val="003A6DDF"/>
    <w:rsid w:val="003B09EA"/>
    <w:rsid w:val="003B10EA"/>
    <w:rsid w:val="003B21D3"/>
    <w:rsid w:val="003B4646"/>
    <w:rsid w:val="003B7D59"/>
    <w:rsid w:val="003C3519"/>
    <w:rsid w:val="003C4151"/>
    <w:rsid w:val="003C4587"/>
    <w:rsid w:val="003E107C"/>
    <w:rsid w:val="003E2DEE"/>
    <w:rsid w:val="003E36C6"/>
    <w:rsid w:val="003E4991"/>
    <w:rsid w:val="003E6B11"/>
    <w:rsid w:val="003E7E4B"/>
    <w:rsid w:val="003F467B"/>
    <w:rsid w:val="004104B6"/>
    <w:rsid w:val="004148C6"/>
    <w:rsid w:val="0041530F"/>
    <w:rsid w:val="00421881"/>
    <w:rsid w:val="00430FCA"/>
    <w:rsid w:val="00431F16"/>
    <w:rsid w:val="0044306A"/>
    <w:rsid w:val="004453BF"/>
    <w:rsid w:val="00447483"/>
    <w:rsid w:val="0045402F"/>
    <w:rsid w:val="00465F83"/>
    <w:rsid w:val="00476B56"/>
    <w:rsid w:val="00496299"/>
    <w:rsid w:val="004A0B31"/>
    <w:rsid w:val="004B184E"/>
    <w:rsid w:val="004B5A87"/>
    <w:rsid w:val="004C1BA3"/>
    <w:rsid w:val="004C3433"/>
    <w:rsid w:val="004D4829"/>
    <w:rsid w:val="004D4A0E"/>
    <w:rsid w:val="004D7B2E"/>
    <w:rsid w:val="004E1031"/>
    <w:rsid w:val="004E5617"/>
    <w:rsid w:val="004F2494"/>
    <w:rsid w:val="004F76A7"/>
    <w:rsid w:val="0050185D"/>
    <w:rsid w:val="00502FBE"/>
    <w:rsid w:val="00503F3C"/>
    <w:rsid w:val="005040C2"/>
    <w:rsid w:val="00507330"/>
    <w:rsid w:val="005130B7"/>
    <w:rsid w:val="005321C0"/>
    <w:rsid w:val="0053309B"/>
    <w:rsid w:val="00534594"/>
    <w:rsid w:val="005438FC"/>
    <w:rsid w:val="00543CBB"/>
    <w:rsid w:val="00544156"/>
    <w:rsid w:val="005506F4"/>
    <w:rsid w:val="005517B2"/>
    <w:rsid w:val="00552769"/>
    <w:rsid w:val="00567084"/>
    <w:rsid w:val="005673E1"/>
    <w:rsid w:val="0057046C"/>
    <w:rsid w:val="0057191B"/>
    <w:rsid w:val="00572482"/>
    <w:rsid w:val="005833DD"/>
    <w:rsid w:val="005834A1"/>
    <w:rsid w:val="005878CA"/>
    <w:rsid w:val="00592A5A"/>
    <w:rsid w:val="00593818"/>
    <w:rsid w:val="005A0EEC"/>
    <w:rsid w:val="005A79EC"/>
    <w:rsid w:val="005B6943"/>
    <w:rsid w:val="005B7466"/>
    <w:rsid w:val="005C55DD"/>
    <w:rsid w:val="005C5701"/>
    <w:rsid w:val="005D0F29"/>
    <w:rsid w:val="005D3C42"/>
    <w:rsid w:val="005E0362"/>
    <w:rsid w:val="005F371F"/>
    <w:rsid w:val="00601929"/>
    <w:rsid w:val="00606488"/>
    <w:rsid w:val="006076A5"/>
    <w:rsid w:val="00610EFD"/>
    <w:rsid w:val="00611DAF"/>
    <w:rsid w:val="00611FE7"/>
    <w:rsid w:val="0062036D"/>
    <w:rsid w:val="00620B1D"/>
    <w:rsid w:val="00622F33"/>
    <w:rsid w:val="00651968"/>
    <w:rsid w:val="00653E6D"/>
    <w:rsid w:val="00661D97"/>
    <w:rsid w:val="00661F4C"/>
    <w:rsid w:val="006758A7"/>
    <w:rsid w:val="00675AED"/>
    <w:rsid w:val="0068306E"/>
    <w:rsid w:val="006B0212"/>
    <w:rsid w:val="006B1709"/>
    <w:rsid w:val="006B5825"/>
    <w:rsid w:val="006C4DB6"/>
    <w:rsid w:val="006C5C31"/>
    <w:rsid w:val="006D0FD8"/>
    <w:rsid w:val="006D2E83"/>
    <w:rsid w:val="006D3583"/>
    <w:rsid w:val="006E0274"/>
    <w:rsid w:val="006E5B9D"/>
    <w:rsid w:val="006F0AB3"/>
    <w:rsid w:val="00704D65"/>
    <w:rsid w:val="007061D4"/>
    <w:rsid w:val="00714C18"/>
    <w:rsid w:val="00717184"/>
    <w:rsid w:val="00727C40"/>
    <w:rsid w:val="0075012C"/>
    <w:rsid w:val="0075769E"/>
    <w:rsid w:val="00760A53"/>
    <w:rsid w:val="00761779"/>
    <w:rsid w:val="007635DD"/>
    <w:rsid w:val="007649D6"/>
    <w:rsid w:val="00764C64"/>
    <w:rsid w:val="007735EA"/>
    <w:rsid w:val="00773734"/>
    <w:rsid w:val="0077709E"/>
    <w:rsid w:val="00781527"/>
    <w:rsid w:val="00781FB1"/>
    <w:rsid w:val="0078385A"/>
    <w:rsid w:val="007868AE"/>
    <w:rsid w:val="00787923"/>
    <w:rsid w:val="00797183"/>
    <w:rsid w:val="007A0AC1"/>
    <w:rsid w:val="007B02FF"/>
    <w:rsid w:val="007B0B33"/>
    <w:rsid w:val="007E6BE0"/>
    <w:rsid w:val="007E71AE"/>
    <w:rsid w:val="007F08F8"/>
    <w:rsid w:val="007F5B16"/>
    <w:rsid w:val="00805E8A"/>
    <w:rsid w:val="008062A0"/>
    <w:rsid w:val="00816C6F"/>
    <w:rsid w:val="00825C50"/>
    <w:rsid w:val="0082659B"/>
    <w:rsid w:val="008415A0"/>
    <w:rsid w:val="00844005"/>
    <w:rsid w:val="00845054"/>
    <w:rsid w:val="00846D02"/>
    <w:rsid w:val="008540E3"/>
    <w:rsid w:val="008606C1"/>
    <w:rsid w:val="00863A28"/>
    <w:rsid w:val="00863D7F"/>
    <w:rsid w:val="00864627"/>
    <w:rsid w:val="008670D6"/>
    <w:rsid w:val="00875A81"/>
    <w:rsid w:val="00880170"/>
    <w:rsid w:val="008803A9"/>
    <w:rsid w:val="00881163"/>
    <w:rsid w:val="008930C0"/>
    <w:rsid w:val="00897172"/>
    <w:rsid w:val="008A671A"/>
    <w:rsid w:val="008C3EAF"/>
    <w:rsid w:val="008C6176"/>
    <w:rsid w:val="008D2301"/>
    <w:rsid w:val="008E2258"/>
    <w:rsid w:val="008E3C99"/>
    <w:rsid w:val="008E41C5"/>
    <w:rsid w:val="008E7B3B"/>
    <w:rsid w:val="0091136E"/>
    <w:rsid w:val="00911F24"/>
    <w:rsid w:val="009149D4"/>
    <w:rsid w:val="009229F8"/>
    <w:rsid w:val="009234BF"/>
    <w:rsid w:val="0092602C"/>
    <w:rsid w:val="009310B8"/>
    <w:rsid w:val="00932D27"/>
    <w:rsid w:val="00934EF0"/>
    <w:rsid w:val="009521F8"/>
    <w:rsid w:val="0095379B"/>
    <w:rsid w:val="00962732"/>
    <w:rsid w:val="00966E35"/>
    <w:rsid w:val="00970BE1"/>
    <w:rsid w:val="009715A4"/>
    <w:rsid w:val="00977682"/>
    <w:rsid w:val="009837B0"/>
    <w:rsid w:val="009911F5"/>
    <w:rsid w:val="009924CE"/>
    <w:rsid w:val="00995D8F"/>
    <w:rsid w:val="00996F09"/>
    <w:rsid w:val="009A2D8C"/>
    <w:rsid w:val="009A5A06"/>
    <w:rsid w:val="009B3DA8"/>
    <w:rsid w:val="009B6B5E"/>
    <w:rsid w:val="009B7205"/>
    <w:rsid w:val="009C1AC7"/>
    <w:rsid w:val="009C2A98"/>
    <w:rsid w:val="009C32BE"/>
    <w:rsid w:val="009D5962"/>
    <w:rsid w:val="009E25A3"/>
    <w:rsid w:val="009E41B6"/>
    <w:rsid w:val="009E4727"/>
    <w:rsid w:val="009E6DDB"/>
    <w:rsid w:val="009F6B94"/>
    <w:rsid w:val="00A01491"/>
    <w:rsid w:val="00A158F3"/>
    <w:rsid w:val="00A17038"/>
    <w:rsid w:val="00A2276D"/>
    <w:rsid w:val="00A25D7C"/>
    <w:rsid w:val="00A265DC"/>
    <w:rsid w:val="00A27016"/>
    <w:rsid w:val="00A3195E"/>
    <w:rsid w:val="00A3336A"/>
    <w:rsid w:val="00A34A66"/>
    <w:rsid w:val="00A42EAA"/>
    <w:rsid w:val="00A44F63"/>
    <w:rsid w:val="00A47020"/>
    <w:rsid w:val="00A5482B"/>
    <w:rsid w:val="00A560EA"/>
    <w:rsid w:val="00A5696F"/>
    <w:rsid w:val="00A603C5"/>
    <w:rsid w:val="00A7572C"/>
    <w:rsid w:val="00A76D72"/>
    <w:rsid w:val="00A84172"/>
    <w:rsid w:val="00A96B48"/>
    <w:rsid w:val="00AA3478"/>
    <w:rsid w:val="00AA7233"/>
    <w:rsid w:val="00AC4FC6"/>
    <w:rsid w:val="00AD3CEE"/>
    <w:rsid w:val="00AD7E0F"/>
    <w:rsid w:val="00AE1029"/>
    <w:rsid w:val="00B235A5"/>
    <w:rsid w:val="00B246BA"/>
    <w:rsid w:val="00B25813"/>
    <w:rsid w:val="00B3473E"/>
    <w:rsid w:val="00B3698E"/>
    <w:rsid w:val="00B44DB2"/>
    <w:rsid w:val="00B45132"/>
    <w:rsid w:val="00B57DE6"/>
    <w:rsid w:val="00B753A4"/>
    <w:rsid w:val="00B8046D"/>
    <w:rsid w:val="00B82BE0"/>
    <w:rsid w:val="00B85638"/>
    <w:rsid w:val="00B902FE"/>
    <w:rsid w:val="00B91015"/>
    <w:rsid w:val="00B9456C"/>
    <w:rsid w:val="00BA717F"/>
    <w:rsid w:val="00BA7AAC"/>
    <w:rsid w:val="00BB117A"/>
    <w:rsid w:val="00BB14D8"/>
    <w:rsid w:val="00BB3E7A"/>
    <w:rsid w:val="00BB4187"/>
    <w:rsid w:val="00BB6019"/>
    <w:rsid w:val="00BB7C47"/>
    <w:rsid w:val="00BC1C8F"/>
    <w:rsid w:val="00BC4D4B"/>
    <w:rsid w:val="00BD2C23"/>
    <w:rsid w:val="00BD7DB0"/>
    <w:rsid w:val="00BE02D0"/>
    <w:rsid w:val="00BE0A75"/>
    <w:rsid w:val="00BE1BA2"/>
    <w:rsid w:val="00BE7032"/>
    <w:rsid w:val="00C034C9"/>
    <w:rsid w:val="00C11892"/>
    <w:rsid w:val="00C127DA"/>
    <w:rsid w:val="00C20D25"/>
    <w:rsid w:val="00C31000"/>
    <w:rsid w:val="00C4558C"/>
    <w:rsid w:val="00C54C38"/>
    <w:rsid w:val="00C55E64"/>
    <w:rsid w:val="00C64946"/>
    <w:rsid w:val="00C6581E"/>
    <w:rsid w:val="00C67283"/>
    <w:rsid w:val="00C743BB"/>
    <w:rsid w:val="00C83A7D"/>
    <w:rsid w:val="00C841E1"/>
    <w:rsid w:val="00C84F6F"/>
    <w:rsid w:val="00C95F05"/>
    <w:rsid w:val="00CA46E4"/>
    <w:rsid w:val="00CB1499"/>
    <w:rsid w:val="00CC20C5"/>
    <w:rsid w:val="00CC43A0"/>
    <w:rsid w:val="00CC6B36"/>
    <w:rsid w:val="00CC77D8"/>
    <w:rsid w:val="00CC7D0D"/>
    <w:rsid w:val="00CD631D"/>
    <w:rsid w:val="00CD6B4E"/>
    <w:rsid w:val="00CE2154"/>
    <w:rsid w:val="00CE5E4F"/>
    <w:rsid w:val="00CE750E"/>
    <w:rsid w:val="00CF5AA4"/>
    <w:rsid w:val="00CF77F6"/>
    <w:rsid w:val="00D00472"/>
    <w:rsid w:val="00D0623A"/>
    <w:rsid w:val="00D07F06"/>
    <w:rsid w:val="00D32A7D"/>
    <w:rsid w:val="00D33D48"/>
    <w:rsid w:val="00D3404D"/>
    <w:rsid w:val="00D379D6"/>
    <w:rsid w:val="00D41F24"/>
    <w:rsid w:val="00D45EB8"/>
    <w:rsid w:val="00D46E54"/>
    <w:rsid w:val="00D47CB5"/>
    <w:rsid w:val="00D5247F"/>
    <w:rsid w:val="00D6160D"/>
    <w:rsid w:val="00D82366"/>
    <w:rsid w:val="00D83DC5"/>
    <w:rsid w:val="00D84EBE"/>
    <w:rsid w:val="00DA1063"/>
    <w:rsid w:val="00DA199E"/>
    <w:rsid w:val="00DA2424"/>
    <w:rsid w:val="00DA74F1"/>
    <w:rsid w:val="00DB29C5"/>
    <w:rsid w:val="00DC6F57"/>
    <w:rsid w:val="00DD3048"/>
    <w:rsid w:val="00DD48D5"/>
    <w:rsid w:val="00DD4E70"/>
    <w:rsid w:val="00DE5B17"/>
    <w:rsid w:val="00DF7A1B"/>
    <w:rsid w:val="00DF7A33"/>
    <w:rsid w:val="00E06311"/>
    <w:rsid w:val="00E175A9"/>
    <w:rsid w:val="00E214B5"/>
    <w:rsid w:val="00E23C56"/>
    <w:rsid w:val="00E2431C"/>
    <w:rsid w:val="00E3270E"/>
    <w:rsid w:val="00E469B8"/>
    <w:rsid w:val="00E6572C"/>
    <w:rsid w:val="00E72D19"/>
    <w:rsid w:val="00E7333F"/>
    <w:rsid w:val="00E73E5A"/>
    <w:rsid w:val="00E7475C"/>
    <w:rsid w:val="00E77AC9"/>
    <w:rsid w:val="00E80FA7"/>
    <w:rsid w:val="00E845C2"/>
    <w:rsid w:val="00E914D5"/>
    <w:rsid w:val="00E960B7"/>
    <w:rsid w:val="00EB37EA"/>
    <w:rsid w:val="00EB6C16"/>
    <w:rsid w:val="00EC2C1B"/>
    <w:rsid w:val="00EC2E2D"/>
    <w:rsid w:val="00EC75D6"/>
    <w:rsid w:val="00ED4839"/>
    <w:rsid w:val="00ED54D5"/>
    <w:rsid w:val="00ED5D4E"/>
    <w:rsid w:val="00ED6428"/>
    <w:rsid w:val="00ED7023"/>
    <w:rsid w:val="00EF116E"/>
    <w:rsid w:val="00EF398E"/>
    <w:rsid w:val="00EF49BF"/>
    <w:rsid w:val="00EF67A7"/>
    <w:rsid w:val="00F0047B"/>
    <w:rsid w:val="00F00864"/>
    <w:rsid w:val="00F23429"/>
    <w:rsid w:val="00F44D16"/>
    <w:rsid w:val="00F52A46"/>
    <w:rsid w:val="00F73B72"/>
    <w:rsid w:val="00F74938"/>
    <w:rsid w:val="00F769C0"/>
    <w:rsid w:val="00F76B51"/>
    <w:rsid w:val="00F827A4"/>
    <w:rsid w:val="00F86E48"/>
    <w:rsid w:val="00F9374C"/>
    <w:rsid w:val="00F947DD"/>
    <w:rsid w:val="00FA64C1"/>
    <w:rsid w:val="00FB269D"/>
    <w:rsid w:val="00FB64A8"/>
    <w:rsid w:val="00FD20DF"/>
    <w:rsid w:val="00FE0BE9"/>
    <w:rsid w:val="00FE1A91"/>
    <w:rsid w:val="00FF5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35A93751-6C4A-4DB4-B6CF-1805E31EB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15CAA"/>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VerzDerFragenden">
    <w:name w:val="LT_VerzDerFragenden"/>
    <w:basedOn w:val="LTGrundtext"/>
    <w:link w:val="LTVerzDerFragendenZchn"/>
    <w:qFormat/>
    <w:rsid w:val="005C55DD"/>
    <w:pPr>
      <w:tabs>
        <w:tab w:val="right" w:leader="dot" w:pos="4427"/>
      </w:tabs>
    </w:pPr>
    <w:rPr>
      <w:b/>
    </w:r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link w:val="LTGrundtextZchn"/>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AnfrageInitiator">
    <w:name w:val="LT_Anfrage_Initiator"/>
    <w:basedOn w:val="Standard"/>
    <w:link w:val="LTAnfrageInitiatorZchn"/>
    <w:qFormat/>
    <w:rsid w:val="00CD631D"/>
    <w:pPr>
      <w:numPr>
        <w:numId w:val="24"/>
      </w:numPr>
      <w:spacing w:before="720"/>
      <w:ind w:left="340" w:hanging="340"/>
    </w:pPr>
  </w:style>
  <w:style w:type="character" w:customStyle="1" w:styleId="LTAnfrageInitiatorZchn">
    <w:name w:val="LT_Anfrage_Initiator Zchn"/>
    <w:basedOn w:val="Absatz-Standardschriftart"/>
    <w:link w:val="LTAnfrageInitiator"/>
    <w:rsid w:val="00CD631D"/>
    <w:rPr>
      <w:rFonts w:ascii="Arial" w:hAnsi="Arial"/>
      <w:szCs w:val="24"/>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rsid w:val="003E7E4B"/>
    <w:pPr>
      <w:spacing w:before="240"/>
    </w:pPr>
    <w:rPr>
      <w:b/>
      <w:sz w:val="22"/>
      <w:szCs w:val="22"/>
    </w:rPr>
  </w:style>
  <w:style w:type="paragraph" w:styleId="Verzeichnis2">
    <w:name w:val="toc 2"/>
    <w:basedOn w:val="Standard"/>
    <w:next w:val="Standard"/>
    <w:autoRedefine/>
    <w:rsid w:val="006E0274"/>
    <w:pPr>
      <w:spacing w:before="240"/>
      <w:ind w:left="357" w:right="567" w:hanging="357"/>
    </w:pPr>
    <w:rPr>
      <w:noProof/>
      <w:szCs w:val="22"/>
    </w:rPr>
  </w:style>
  <w:style w:type="character" w:styleId="Hyperlink">
    <w:name w:val="Hyperlink"/>
    <w:basedOn w:val="Absatz-Standardschriftart"/>
    <w:rsid w:val="00606488"/>
    <w:rPr>
      <w:rFonts w:ascii="Arial" w:hAnsi="Arial"/>
      <w:color w:val="auto"/>
      <w:sz w:val="20"/>
      <w:u w:val="non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paragraph" w:styleId="Index1">
    <w:name w:val="index 1"/>
    <w:basedOn w:val="Standard"/>
    <w:next w:val="Standard"/>
    <w:autoRedefine/>
    <w:rsid w:val="00E73E5A"/>
    <w:pPr>
      <w:keepNext/>
      <w:spacing w:before="240"/>
      <w:ind w:left="198" w:hanging="198"/>
    </w:pPr>
    <w:rPr>
      <w:b/>
    </w:rPr>
  </w:style>
  <w:style w:type="paragraph" w:styleId="Index2">
    <w:name w:val="index 2"/>
    <w:basedOn w:val="Standard"/>
    <w:next w:val="Standard"/>
    <w:autoRedefine/>
    <w:rsid w:val="00E73E5A"/>
    <w:pPr>
      <w:keepLines/>
      <w:ind w:left="198"/>
    </w:pPr>
  </w:style>
  <w:style w:type="paragraph" w:customStyle="1" w:styleId="LTVerzDerFragendenFrage">
    <w:name w:val="LT_VerzDerFragendenFrage"/>
    <w:basedOn w:val="LTVerzDerFragenden"/>
    <w:rsid w:val="003E4991"/>
    <w:pPr>
      <w:tabs>
        <w:tab w:val="clear" w:pos="4427"/>
        <w:tab w:val="right" w:leader="dot" w:pos="7513"/>
      </w:tabs>
      <w:ind w:left="198"/>
      <w:jc w:val="left"/>
    </w:pPr>
    <w:rPr>
      <w:b w:val="0"/>
    </w:rPr>
  </w:style>
  <w:style w:type="character" w:styleId="BesuchterLink">
    <w:name w:val="FollowedHyperlink"/>
    <w:basedOn w:val="Absatz-Standardschriftart"/>
    <w:rsid w:val="00B85638"/>
    <w:rPr>
      <w:color w:val="auto"/>
      <w:u w:val="none"/>
    </w:rPr>
  </w:style>
  <w:style w:type="paragraph" w:customStyle="1" w:styleId="LTHyperlink">
    <w:name w:val="LT_Hyperlink"/>
    <w:basedOn w:val="LTVerzDerFragenden"/>
    <w:link w:val="LTHyperlinkZchn"/>
    <w:qFormat/>
    <w:rsid w:val="00141C03"/>
    <w:rPr>
      <w:color w:val="0000FF"/>
      <w:u w:val="single"/>
    </w:rPr>
  </w:style>
  <w:style w:type="character" w:customStyle="1" w:styleId="LTGrundtextZchn">
    <w:name w:val="LT_Grundtext Zchn"/>
    <w:basedOn w:val="Absatz-Standardschriftart"/>
    <w:link w:val="LTGrundtext"/>
    <w:rsid w:val="00141C03"/>
    <w:rPr>
      <w:rFonts w:ascii="Arial" w:hAnsi="Arial"/>
    </w:rPr>
  </w:style>
  <w:style w:type="character" w:customStyle="1" w:styleId="LTVerzDerFragendenZchn">
    <w:name w:val="LT_VerzDerFragenden Zchn"/>
    <w:basedOn w:val="LTGrundtextZchn"/>
    <w:link w:val="LTVerzDerFragenden"/>
    <w:rsid w:val="00141C03"/>
    <w:rPr>
      <w:rFonts w:ascii="Arial" w:hAnsi="Arial"/>
      <w:b/>
    </w:rPr>
  </w:style>
  <w:style w:type="character" w:customStyle="1" w:styleId="LTHyperlinkZchn">
    <w:name w:val="LT_Hyperlink Zchn"/>
    <w:basedOn w:val="LTVerzDerFragendenZchn"/>
    <w:link w:val="LTHyperlink"/>
    <w:rsid w:val="00141C03"/>
    <w:rPr>
      <w:rFonts w:ascii="Arial" w:hAnsi="Arial"/>
      <w:b/>
      <w:color w:val="0000FF"/>
      <w:u w:val="single"/>
    </w:rPr>
  </w:style>
  <w:style w:type="paragraph" w:styleId="Funotentext">
    <w:name w:val="footnote text"/>
    <w:basedOn w:val="Standard"/>
    <w:link w:val="FunotentextZchn"/>
    <w:semiHidden/>
    <w:unhideWhenUsed/>
    <w:rsid w:val="00202447"/>
    <w:rPr>
      <w:szCs w:val="20"/>
    </w:rPr>
  </w:style>
  <w:style w:type="character" w:customStyle="1" w:styleId="FunotentextZchn">
    <w:name w:val="Fußnotentext Zchn"/>
    <w:basedOn w:val="Absatz-Standardschriftart"/>
    <w:link w:val="Funotentext"/>
    <w:semiHidden/>
    <w:rsid w:val="00202447"/>
    <w:rPr>
      <w:rFonts w:ascii="Arial" w:hAnsi="Arial"/>
    </w:rPr>
  </w:style>
  <w:style w:type="character" w:styleId="Funotenzeichen">
    <w:name w:val="footnote reference"/>
    <w:basedOn w:val="Absatz-Standardschriftart"/>
    <w:semiHidden/>
    <w:unhideWhenUsed/>
    <w:rsid w:val="00202447"/>
    <w:rPr>
      <w:vertAlign w:val="superscript"/>
    </w:rPr>
  </w:style>
  <w:style w:type="table" w:customStyle="1" w:styleId="TableNormal">
    <w:name w:val="Table Normal"/>
    <w:uiPriority w:val="2"/>
    <w:semiHidden/>
    <w:unhideWhenUsed/>
    <w:qFormat/>
    <w:rsid w:val="00611DA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611DAF"/>
    <w:pPr>
      <w:widowControl w:val="0"/>
      <w:autoSpaceDE w:val="0"/>
      <w:autoSpaceDN w:val="0"/>
      <w:spacing w:before="54"/>
      <w:ind w:left="110"/>
    </w:pPr>
    <w:rPr>
      <w:rFonts w:ascii="Times New Roman" w:hAnsi="Times New Roman"/>
      <w:sz w:val="22"/>
      <w:szCs w:val="22"/>
      <w:lang w:bidi="de-DE"/>
    </w:rPr>
  </w:style>
  <w:style w:type="table" w:customStyle="1" w:styleId="TableGrid">
    <w:name w:val="TableGrid"/>
    <w:rsid w:val="009715A4"/>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Normal1">
    <w:name w:val="Table Normal1"/>
    <w:uiPriority w:val="2"/>
    <w:semiHidden/>
    <w:unhideWhenUsed/>
    <w:qFormat/>
    <w:rsid w:val="009E472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276575">
      <w:bodyDiv w:val="1"/>
      <w:marLeft w:val="0"/>
      <w:marRight w:val="0"/>
      <w:marTop w:val="0"/>
      <w:marBottom w:val="0"/>
      <w:divBdr>
        <w:top w:val="none" w:sz="0" w:space="0" w:color="auto"/>
        <w:left w:val="none" w:sz="0" w:space="0" w:color="auto"/>
        <w:bottom w:val="none" w:sz="0" w:space="0" w:color="auto"/>
        <w:right w:val="none" w:sz="0" w:space="0" w:color="auto"/>
      </w:divBdr>
    </w:div>
    <w:div w:id="669257129">
      <w:bodyDiv w:val="1"/>
      <w:marLeft w:val="0"/>
      <w:marRight w:val="0"/>
      <w:marTop w:val="0"/>
      <w:marBottom w:val="0"/>
      <w:divBdr>
        <w:top w:val="none" w:sz="0" w:space="0" w:color="auto"/>
        <w:left w:val="none" w:sz="0" w:space="0" w:color="auto"/>
        <w:bottom w:val="none" w:sz="0" w:space="0" w:color="auto"/>
        <w:right w:val="none" w:sz="0" w:space="0" w:color="auto"/>
      </w:divBdr>
    </w:div>
    <w:div w:id="1165122321">
      <w:bodyDiv w:val="1"/>
      <w:marLeft w:val="0"/>
      <w:marRight w:val="0"/>
      <w:marTop w:val="0"/>
      <w:marBottom w:val="0"/>
      <w:divBdr>
        <w:top w:val="none" w:sz="0" w:space="0" w:color="auto"/>
        <w:left w:val="none" w:sz="0" w:space="0" w:color="auto"/>
        <w:bottom w:val="none" w:sz="0" w:space="0" w:color="auto"/>
        <w:right w:val="none" w:sz="0" w:space="0" w:color="auto"/>
      </w:divBdr>
      <w:divsChild>
        <w:div w:id="174274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8" Type="http://schemas.openxmlformats.org/officeDocument/2006/relationships/hyperlink" Target="http://www1.bayern.landtag.de/www/ElanTextAblage_WP18/Drucksachen/Basisdrucksachen/0000019500/0000019633-Friedl-Anlage.pdf" TargetMode="External"/><Relationship Id="rId13" Type="http://schemas.openxmlformats.org/officeDocument/2006/relationships/hyperlink" Target="https://www.nid.bayern.de/grundwasser/iller_lech?days=1&amp;spi=30" TargetMode="External"/><Relationship Id="rId18" Type="http://schemas.openxmlformats.org/officeDocument/2006/relationships/hyperlink" Target="https://anwendungen.pharmnet-bund.de/lieferengpassmeldungen/faces/public/meldungen.xhtml" TargetMode="External"/><Relationship Id="rId3" Type="http://schemas.openxmlformats.org/officeDocument/2006/relationships/hyperlink" Target="http://www1.bayern.landtag.de/www/ElanTextAblage_WP18/Drucksachen/Basisdrucksachen/0000019500/0000019633-Rinderspacher-Anlage-1.pdf" TargetMode="External"/><Relationship Id="rId7" Type="http://schemas.openxmlformats.org/officeDocument/2006/relationships/hyperlink" Target="https://www.statistik.bayern.de/mam/produkte/veroffentlichungen/statistische_berichte/f2400c_202200.pdf" TargetMode="External"/><Relationship Id="rId12" Type="http://schemas.openxmlformats.org/officeDocument/2006/relationships/hyperlink" Target="https://h2.live/tankstellen/" TargetMode="External"/><Relationship Id="rId17" Type="http://schemas.openxmlformats.org/officeDocument/2006/relationships/hyperlink" Target="https://www.stmas.bayern.de/ganztagsbetreuung/" TargetMode="External"/><Relationship Id="rId2" Type="http://schemas.openxmlformats.org/officeDocument/2006/relationships/hyperlink" Target="https://bayern-gegen-gewalt.de/" TargetMode="External"/><Relationship Id="rId16" Type="http://schemas.openxmlformats.org/officeDocument/2006/relationships/hyperlink" Target="https://www.kita-fachkraefte.bayern/" TargetMode="External"/><Relationship Id="rId1" Type="http://schemas.openxmlformats.org/officeDocument/2006/relationships/hyperlink" Target="https://www.polizei-beratung.de/" TargetMode="External"/><Relationship Id="rId6" Type="http://schemas.openxmlformats.org/officeDocument/2006/relationships/hyperlink" Target="https://www.statistik.bayern.de/mam/produkte/veroffentlichungen/statistische_berichte/f2200c_202200.pdf" TargetMode="External"/><Relationship Id="rId11" Type="http://schemas.openxmlformats.org/officeDocument/2006/relationships/hyperlink" Target="https://www.statistik.bayern.de/mam/produkte/veroffentlichungen/statistische_berichte/b3440c_202100.pdf" TargetMode="External"/><Relationship Id="rId5" Type="http://schemas.openxmlformats.org/officeDocument/2006/relationships/hyperlink" Target="https://www.km.bayern.de/lehrer/erziehung-und-bildung/gewaltpraevention.html" TargetMode="External"/><Relationship Id="rId15" Type="http://schemas.openxmlformats.org/officeDocument/2006/relationships/hyperlink" Target="https://www.km.bayern.de/" TargetMode="External"/><Relationship Id="rId10" Type="http://schemas.openxmlformats.org/officeDocument/2006/relationships/hyperlink" Target="http://www1.bayern.landtag.de/www/ElanTextAblage_WP18/Drucksachen/Basisdrucksachen/0000019500/0000019633-Osgyan-Anlage.pdf" TargetMode="External"/><Relationship Id="rId19" Type="http://schemas.openxmlformats.org/officeDocument/2006/relationships/hyperlink" Target="https://www.aerzteblatt.de/archiv/225954/Hitzebedingte-Mortalitaet-in-Deutschland-zwischen-1992-und-2021" TargetMode="External"/><Relationship Id="rId4" Type="http://schemas.openxmlformats.org/officeDocument/2006/relationships/hyperlink" Target="http://www1.bayern.landtag.de/www/ElanTextAblage_WP18/Drucksachen/Basisdrucksachen/0000019500/0000019633-Rinderspacher-Anlage-2.pdf" TargetMode="External"/><Relationship Id="rId9" Type="http://schemas.openxmlformats.org/officeDocument/2006/relationships/hyperlink" Target="https://www.km.bayern.de/lehrer/unterrichtsversorgung/planung-und-prognose.html" TargetMode="External"/><Relationship Id="rId14" Type="http://schemas.openxmlformats.org/officeDocument/2006/relationships/hyperlink" Target="https://www.nid.bayern.de/speicher/iller_lech?days=1"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F6746-2432-4CA3-9784-CC918990A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20829</Words>
  <Characters>142783</Characters>
  <Application>Microsoft Office Word</Application>
  <DocSecurity>8</DocSecurity>
  <Lines>3673</Lines>
  <Paragraphs>1339</Paragraphs>
  <ScaleCrop>false</ScaleCrop>
  <HeadingPairs>
    <vt:vector size="2" baseType="variant">
      <vt:variant>
        <vt:lpstr>Titel</vt:lpstr>
      </vt:variant>
      <vt:variant>
        <vt:i4>1</vt:i4>
      </vt:variant>
    </vt:vector>
  </HeadingPairs>
  <TitlesOfParts>
    <vt:vector size="1" baseType="lpstr">
      <vt:lpstr/>
    </vt:vector>
  </TitlesOfParts>
  <Company>LfStaD</Company>
  <LinksUpToDate>false</LinksUpToDate>
  <CharactersWithSpaces>162460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Drucksache 18/29958</dc:title>
  <dc:creator>Kelberger, Christine (Bay. Landtag)</dc:creator>
  <cp:lastModifiedBy>Kelberger, Christine (Bay. Landtag)</cp:lastModifiedBy>
  <cp:revision>4</cp:revision>
  <cp:lastPrinted>2006-11-23T10:15:00Z</cp:lastPrinted>
  <dcterms:created xsi:type="dcterms:W3CDTF">2023-07-17T12:28:00Z</dcterms:created>
  <dcterms:modified xsi:type="dcterms:W3CDTF">2023-07-17T12:28:00Z</dcterms:modified>
</cp:coreProperties>
</file>