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B724" w14:textId="77777777"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14:paraId="722CCA19" w14:textId="417C24F9"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2C34C7">
        <w:rPr>
          <w:b/>
        </w:rPr>
        <w:t>zur Plenarsitzung am 23.02.2022</w:t>
      </w:r>
      <w:r w:rsidR="00D5247F">
        <w:rPr>
          <w:b/>
        </w:rPr>
        <w:fldChar w:fldCharType="end"/>
      </w:r>
      <w:r>
        <w:rPr>
          <w:b/>
        </w:rPr>
        <w:t>)</w:t>
      </w:r>
    </w:p>
    <w:p w14:paraId="3B52221C" w14:textId="77777777"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14:paraId="58F35DEB" w14:textId="77777777"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14:paraId="0EE7BBC3" w14:textId="77777777" w:rsidTr="001F3CDA">
        <w:tc>
          <w:tcPr>
            <w:tcW w:w="5000" w:type="pct"/>
          </w:tcPr>
          <w:p w14:paraId="0B66E0BB" w14:textId="77777777" w:rsidR="001F3CDA" w:rsidRPr="005833DD" w:rsidRDefault="001F3CDA" w:rsidP="001F3CDA">
            <w:pPr>
              <w:pStyle w:val="LTGrundtext"/>
              <w:tabs>
                <w:tab w:val="right" w:pos="7513"/>
              </w:tabs>
            </w:pPr>
            <w:r>
              <w:br w:type="page"/>
            </w:r>
            <w:r w:rsidRPr="005833DD">
              <w:t>Abgeordnete</w:t>
            </w:r>
            <w:r w:rsidRPr="005833DD">
              <w:tab/>
              <w:t>Nummer</w:t>
            </w:r>
          </w:p>
          <w:p w14:paraId="04C8300B" w14:textId="77777777" w:rsidR="001F3CDA" w:rsidRPr="005833DD" w:rsidRDefault="001F3CDA" w:rsidP="001F3CDA">
            <w:pPr>
              <w:pStyle w:val="LTGrundtext"/>
              <w:tabs>
                <w:tab w:val="right" w:pos="7513"/>
              </w:tabs>
            </w:pPr>
            <w:r w:rsidRPr="005833DD">
              <w:tab/>
              <w:t>der Frage</w:t>
            </w:r>
          </w:p>
        </w:tc>
      </w:tr>
      <w:tr w:rsidR="001F3CDA" w:rsidRPr="005833DD" w14:paraId="03815FE4" w14:textId="77777777" w:rsidTr="001F3CDA">
        <w:tc>
          <w:tcPr>
            <w:tcW w:w="5000" w:type="pct"/>
          </w:tcPr>
          <w:p w14:paraId="6B1AF04B" w14:textId="77777777" w:rsidR="00760A53" w:rsidRPr="00760A53" w:rsidRDefault="009B7130" w:rsidP="009B7130">
            <w:pPr>
              <w:pStyle w:val="LTVerzDerFragenden"/>
            </w:pPr>
            <w:bookmarkStart w:id="1" w:name="VerzeichnisDerFragenden"/>
            <w:bookmarkEnd w:id="1"/>
            <w:r>
              <w:t>Adelt, Klaus (SPD)</w:t>
            </w:r>
          </w:p>
        </w:tc>
      </w:tr>
      <w:tr w:rsidR="009B7130" w:rsidRPr="005833DD" w14:paraId="144B44B3" w14:textId="77777777" w:rsidTr="001F3CDA">
        <w:tc>
          <w:tcPr>
            <w:tcW w:w="5000" w:type="pct"/>
          </w:tcPr>
          <w:p w14:paraId="15485E03" w14:textId="52A339A6" w:rsidR="009B7130" w:rsidRDefault="007A064D" w:rsidP="009B7130">
            <w:pPr>
              <w:pStyle w:val="LTVerzDerFragendenFrage"/>
            </w:pPr>
            <w:hyperlink w:anchor="Frage_Nr_1" w:tooltip="Frage Nr 1" w:history="1">
              <w:r w:rsidR="009B7130">
                <w:rPr>
                  <w:rStyle w:val="Hyperlink"/>
                  <w:szCs w:val="24"/>
                </w:rPr>
                <w:t>Evaluation der Kommunalwahl 2020</w:t>
              </w:r>
              <w:r w:rsidR="009B7130">
                <w:rPr>
                  <w:rStyle w:val="Hyperlink"/>
                  <w:szCs w:val="24"/>
                </w:rPr>
                <w:tab/>
                <w:t>1</w:t>
              </w:r>
            </w:hyperlink>
          </w:p>
        </w:tc>
      </w:tr>
      <w:tr w:rsidR="009B7130" w:rsidRPr="005833DD" w14:paraId="16C84934" w14:textId="77777777" w:rsidTr="001F3CDA">
        <w:tc>
          <w:tcPr>
            <w:tcW w:w="5000" w:type="pct"/>
          </w:tcPr>
          <w:p w14:paraId="269755EE" w14:textId="77777777" w:rsidR="009B7130" w:rsidRDefault="009B7130" w:rsidP="009B7130">
            <w:pPr>
              <w:pStyle w:val="LTVerzDerFragenden"/>
            </w:pPr>
            <w:r>
              <w:t>Arnold, Horst (SPD)</w:t>
            </w:r>
          </w:p>
        </w:tc>
      </w:tr>
      <w:tr w:rsidR="009B7130" w:rsidRPr="005833DD" w14:paraId="3843D255" w14:textId="77777777" w:rsidTr="001F3CDA">
        <w:tc>
          <w:tcPr>
            <w:tcW w:w="5000" w:type="pct"/>
          </w:tcPr>
          <w:p w14:paraId="1CAD1D25" w14:textId="5AE7834C" w:rsidR="009B7130" w:rsidRDefault="007A064D" w:rsidP="006F49A4">
            <w:pPr>
              <w:pStyle w:val="LTVerzDerFragendenFrage"/>
            </w:pPr>
            <w:hyperlink w:anchor="Frage_Nr_2" w:tooltip="Frage Nr 2" w:history="1">
              <w:r w:rsidR="009B7130">
                <w:rPr>
                  <w:rStyle w:val="Hyperlink"/>
                  <w:szCs w:val="24"/>
                </w:rPr>
                <w:t>Allge</w:t>
              </w:r>
              <w:r w:rsidR="006F49A4">
                <w:rPr>
                  <w:rStyle w:val="Hyperlink"/>
                  <w:szCs w:val="24"/>
                </w:rPr>
                <w:t>meines Auskunftsrecht nach Art. </w:t>
              </w:r>
              <w:r w:rsidR="009B7130">
                <w:rPr>
                  <w:rStyle w:val="Hyperlink"/>
                  <w:szCs w:val="24"/>
                </w:rPr>
                <w:t xml:space="preserve">39 </w:t>
              </w:r>
              <w:r w:rsidR="006F49A4">
                <w:rPr>
                  <w:rStyle w:val="Hyperlink"/>
                  <w:szCs w:val="24"/>
                </w:rPr>
                <w:t>des</w:t>
              </w:r>
              <w:r w:rsidR="006F49A4">
                <w:rPr>
                  <w:rStyle w:val="Hyperlink"/>
                  <w:szCs w:val="24"/>
                </w:rPr>
                <w:br/>
              </w:r>
              <w:r w:rsidR="006F49A4">
                <w:t>Bayerischen Datenschutzgesetz</w:t>
              </w:r>
              <w:r w:rsidR="009B7130">
                <w:rPr>
                  <w:rStyle w:val="Hyperlink"/>
                  <w:szCs w:val="24"/>
                </w:rPr>
                <w:tab/>
                <w:t>2</w:t>
              </w:r>
            </w:hyperlink>
          </w:p>
        </w:tc>
      </w:tr>
      <w:tr w:rsidR="009B7130" w:rsidRPr="005833DD" w14:paraId="2D358230" w14:textId="77777777" w:rsidTr="001F3CDA">
        <w:tc>
          <w:tcPr>
            <w:tcW w:w="5000" w:type="pct"/>
          </w:tcPr>
          <w:p w14:paraId="1CE8E212" w14:textId="77777777" w:rsidR="009B7130" w:rsidRDefault="009B7130" w:rsidP="009B7130">
            <w:pPr>
              <w:pStyle w:val="LTVerzDerFragenden"/>
            </w:pPr>
            <w:r>
              <w:t>Aures, Inge (SPD)</w:t>
            </w:r>
          </w:p>
        </w:tc>
      </w:tr>
      <w:tr w:rsidR="009B7130" w:rsidRPr="005833DD" w14:paraId="694F02D7" w14:textId="77777777" w:rsidTr="001F3CDA">
        <w:tc>
          <w:tcPr>
            <w:tcW w:w="5000" w:type="pct"/>
          </w:tcPr>
          <w:p w14:paraId="78D0475F" w14:textId="7EA4ED52" w:rsidR="009B7130" w:rsidRDefault="007A064D" w:rsidP="009B7130">
            <w:pPr>
              <w:pStyle w:val="LTVerzDerFragendenFrage"/>
            </w:pPr>
            <w:hyperlink w:anchor="Frage_Nr_3" w:tooltip="Frage Nr 3" w:history="1">
              <w:r w:rsidR="009B7130">
                <w:rPr>
                  <w:rStyle w:val="Hyperlink"/>
                  <w:szCs w:val="24"/>
                </w:rPr>
                <w:t>Schließung des Alexbades in Bad Alexandersbad</w:t>
              </w:r>
              <w:r w:rsidR="009B7130">
                <w:rPr>
                  <w:rStyle w:val="Hyperlink"/>
                  <w:szCs w:val="24"/>
                </w:rPr>
                <w:tab/>
                <w:t>3</w:t>
              </w:r>
            </w:hyperlink>
          </w:p>
        </w:tc>
      </w:tr>
      <w:tr w:rsidR="009B7130" w:rsidRPr="005833DD" w14:paraId="32419368" w14:textId="77777777" w:rsidTr="001F3CDA">
        <w:tc>
          <w:tcPr>
            <w:tcW w:w="5000" w:type="pct"/>
          </w:tcPr>
          <w:p w14:paraId="172CF1B6" w14:textId="77777777" w:rsidR="009B7130" w:rsidRDefault="009B7130" w:rsidP="009B7130">
            <w:pPr>
              <w:pStyle w:val="LTVerzDerFragenden"/>
            </w:pPr>
            <w:r>
              <w:t>Bergmüller, Franz (AfD)</w:t>
            </w:r>
          </w:p>
        </w:tc>
      </w:tr>
      <w:tr w:rsidR="009B7130" w:rsidRPr="005833DD" w14:paraId="38162D86" w14:textId="77777777" w:rsidTr="001F3CDA">
        <w:tc>
          <w:tcPr>
            <w:tcW w:w="5000" w:type="pct"/>
          </w:tcPr>
          <w:p w14:paraId="18C0D0C7" w14:textId="18316684" w:rsidR="009B7130" w:rsidRDefault="007A064D" w:rsidP="009B7130">
            <w:pPr>
              <w:pStyle w:val="LTVerzDerFragendenFrage"/>
            </w:pPr>
            <w:hyperlink w:anchor="Frage_Nr_59" w:tooltip="Frage Nr 59" w:history="1">
              <w:r w:rsidR="009B7130">
                <w:rPr>
                  <w:rStyle w:val="Hyperlink"/>
                  <w:szCs w:val="24"/>
                </w:rPr>
                <w:t>Wissenschaftliche Gründe zur</w:t>
              </w:r>
              <w:r w:rsidR="006F49A4">
                <w:rPr>
                  <w:rStyle w:val="Hyperlink"/>
                  <w:szCs w:val="24"/>
                </w:rPr>
                <w:t xml:space="preserve"> Zustimmung der Staatsregierung</w:t>
              </w:r>
              <w:r w:rsidR="006F49A4">
                <w:rPr>
                  <w:rStyle w:val="Hyperlink"/>
                  <w:szCs w:val="24"/>
                </w:rPr>
                <w:br/>
              </w:r>
              <w:r w:rsidR="009B7130">
                <w:rPr>
                  <w:rStyle w:val="Hyperlink"/>
                  <w:szCs w:val="24"/>
                </w:rPr>
                <w:t>zu den Beschlüssen der Videosch</w:t>
              </w:r>
              <w:r w:rsidR="006F49A4">
                <w:rPr>
                  <w:rStyle w:val="Hyperlink"/>
                  <w:szCs w:val="24"/>
                </w:rPr>
                <w:t>altkonferenz des Bundeskanzlers</w:t>
              </w:r>
              <w:r w:rsidR="006F49A4">
                <w:rPr>
                  <w:rStyle w:val="Hyperlink"/>
                  <w:szCs w:val="24"/>
                </w:rPr>
                <w:br/>
              </w:r>
              <w:r w:rsidR="009B7130">
                <w:rPr>
                  <w:rStyle w:val="Hyperlink"/>
                  <w:szCs w:val="24"/>
                </w:rPr>
                <w:t>mit den Regierungschefs der Länder am 16. Februar 2022</w:t>
              </w:r>
              <w:r w:rsidR="009B7130">
                <w:rPr>
                  <w:rStyle w:val="Hyperlink"/>
                  <w:szCs w:val="24"/>
                </w:rPr>
                <w:tab/>
                <w:t>59</w:t>
              </w:r>
            </w:hyperlink>
          </w:p>
        </w:tc>
      </w:tr>
      <w:tr w:rsidR="009B7130" w:rsidRPr="005833DD" w14:paraId="516A34E4" w14:textId="77777777" w:rsidTr="001F3CDA">
        <w:tc>
          <w:tcPr>
            <w:tcW w:w="5000" w:type="pct"/>
          </w:tcPr>
          <w:p w14:paraId="45DD2F3E" w14:textId="77777777" w:rsidR="009B7130" w:rsidRDefault="006F49A4" w:rsidP="009B7130">
            <w:pPr>
              <w:pStyle w:val="LTVerzDerFragenden"/>
            </w:pPr>
            <w:r>
              <w:t>Bozo</w:t>
            </w:r>
            <w:r>
              <w:rPr>
                <w:rFonts w:cs="Arial"/>
              </w:rPr>
              <w:t>ǧ</w:t>
            </w:r>
            <w:r w:rsidR="009B7130">
              <w:t>lu, Cemal (BÜNDNIS 90/DIE GRÜNEN)</w:t>
            </w:r>
          </w:p>
        </w:tc>
      </w:tr>
      <w:tr w:rsidR="009B7130" w:rsidRPr="005833DD" w14:paraId="15690781" w14:textId="77777777" w:rsidTr="001F3CDA">
        <w:tc>
          <w:tcPr>
            <w:tcW w:w="5000" w:type="pct"/>
          </w:tcPr>
          <w:p w14:paraId="727BE0B9" w14:textId="3A369604" w:rsidR="009B7130" w:rsidRDefault="007A064D" w:rsidP="009B7130">
            <w:pPr>
              <w:pStyle w:val="LTVerzDerFragendenFrage"/>
            </w:pPr>
            <w:hyperlink w:anchor="Frage_Nr_25" w:tooltip="Frage Nr 25" w:history="1">
              <w:r w:rsidR="009B7130">
                <w:rPr>
                  <w:rStyle w:val="Hyperlink"/>
                  <w:szCs w:val="24"/>
                </w:rPr>
                <w:t>Neue Entwicklungen zu Menschensc</w:t>
              </w:r>
              <w:r w:rsidR="006F49A4">
                <w:rPr>
                  <w:rStyle w:val="Hyperlink"/>
                  <w:szCs w:val="24"/>
                </w:rPr>
                <w:t>hmuggel mit Grauen Dienstpässen</w:t>
              </w:r>
              <w:r w:rsidR="006F49A4">
                <w:rPr>
                  <w:rStyle w:val="Hyperlink"/>
                  <w:szCs w:val="24"/>
                </w:rPr>
                <w:br/>
              </w:r>
              <w:r w:rsidR="009B7130">
                <w:rPr>
                  <w:rStyle w:val="Hyperlink"/>
                  <w:szCs w:val="24"/>
                </w:rPr>
                <w:t>aus der Türkei</w:t>
              </w:r>
              <w:r w:rsidR="009B7130">
                <w:rPr>
                  <w:rStyle w:val="Hyperlink"/>
                  <w:szCs w:val="24"/>
                </w:rPr>
                <w:tab/>
                <w:t>25</w:t>
              </w:r>
            </w:hyperlink>
          </w:p>
        </w:tc>
      </w:tr>
      <w:tr w:rsidR="009B7130" w:rsidRPr="005833DD" w14:paraId="4BB62972" w14:textId="77777777" w:rsidTr="001F3CDA">
        <w:tc>
          <w:tcPr>
            <w:tcW w:w="5000" w:type="pct"/>
          </w:tcPr>
          <w:p w14:paraId="7951A1B9" w14:textId="77777777" w:rsidR="009B7130" w:rsidRDefault="006F49A4" w:rsidP="009B7130">
            <w:pPr>
              <w:pStyle w:val="LTVerzDerFragenden"/>
            </w:pPr>
            <w:r>
              <w:t xml:space="preserve">Von </w:t>
            </w:r>
            <w:r w:rsidR="009B7130">
              <w:t>Brunn, Florian (SPD)</w:t>
            </w:r>
          </w:p>
        </w:tc>
      </w:tr>
      <w:tr w:rsidR="009B7130" w:rsidRPr="005833DD" w14:paraId="6DD7FAF8" w14:textId="77777777" w:rsidTr="001F3CDA">
        <w:tc>
          <w:tcPr>
            <w:tcW w:w="5000" w:type="pct"/>
          </w:tcPr>
          <w:p w14:paraId="2660E257" w14:textId="5B25FCE8" w:rsidR="009B7130" w:rsidRDefault="007A064D" w:rsidP="009B7130">
            <w:pPr>
              <w:pStyle w:val="LTVerzDerFragendenFrage"/>
            </w:pPr>
            <w:hyperlink w:anchor="Frage_Nr_48" w:tooltip="Frage Nr 48" w:history="1">
              <w:r w:rsidR="009B7130">
                <w:rPr>
                  <w:rStyle w:val="Hyperlink"/>
                  <w:szCs w:val="24"/>
                </w:rPr>
                <w:t>Hochwasserschutz und Flutpolder an der Donau</w:t>
              </w:r>
              <w:r w:rsidR="009B7130">
                <w:rPr>
                  <w:rStyle w:val="Hyperlink"/>
                  <w:szCs w:val="24"/>
                </w:rPr>
                <w:tab/>
                <w:t>48</w:t>
              </w:r>
            </w:hyperlink>
          </w:p>
        </w:tc>
      </w:tr>
      <w:tr w:rsidR="009B7130" w:rsidRPr="005833DD" w14:paraId="25820F11" w14:textId="77777777" w:rsidTr="001F3CDA">
        <w:tc>
          <w:tcPr>
            <w:tcW w:w="5000" w:type="pct"/>
          </w:tcPr>
          <w:p w14:paraId="11C3F45B" w14:textId="77777777" w:rsidR="009B7130" w:rsidRDefault="009B7130" w:rsidP="009B7130">
            <w:pPr>
              <w:pStyle w:val="LTVerzDerFragenden"/>
            </w:pPr>
            <w:r>
              <w:t>Dr. Büchler, Markus (BÜNDNIS 90/DIE GRÜNEN)</w:t>
            </w:r>
          </w:p>
        </w:tc>
      </w:tr>
      <w:tr w:rsidR="009B7130" w:rsidRPr="005833DD" w14:paraId="5F6DBD7B" w14:textId="77777777" w:rsidTr="001F3CDA">
        <w:tc>
          <w:tcPr>
            <w:tcW w:w="5000" w:type="pct"/>
          </w:tcPr>
          <w:p w14:paraId="0988C802" w14:textId="5B6427DF" w:rsidR="009B7130" w:rsidRDefault="007A064D" w:rsidP="009B7130">
            <w:pPr>
              <w:pStyle w:val="LTVerzDerFragendenFrage"/>
            </w:pPr>
            <w:hyperlink w:anchor="Frage_Nr_42" w:tooltip="Frage Nr 42" w:history="1">
              <w:r w:rsidR="009B7130">
                <w:rPr>
                  <w:rStyle w:val="Hyperlink"/>
                  <w:szCs w:val="24"/>
                </w:rPr>
                <w:t>Nutzfahrzeuge des Freistaates Bayern</w:t>
              </w:r>
              <w:r w:rsidR="009B7130">
                <w:rPr>
                  <w:rStyle w:val="Hyperlink"/>
                  <w:szCs w:val="24"/>
                </w:rPr>
                <w:tab/>
                <w:t>42</w:t>
              </w:r>
            </w:hyperlink>
          </w:p>
        </w:tc>
      </w:tr>
      <w:tr w:rsidR="009B7130" w:rsidRPr="005833DD" w14:paraId="11057AA7" w14:textId="77777777" w:rsidTr="001F3CDA">
        <w:tc>
          <w:tcPr>
            <w:tcW w:w="5000" w:type="pct"/>
          </w:tcPr>
          <w:p w14:paraId="100AFFD6" w14:textId="77777777" w:rsidR="009B7130" w:rsidRDefault="009B7130" w:rsidP="009B7130">
            <w:pPr>
              <w:pStyle w:val="LTVerzDerFragenden"/>
            </w:pPr>
            <w:r>
              <w:t>Celina, Kerstin (BÜNDNIS 90/DIE GRÜNEN)</w:t>
            </w:r>
          </w:p>
        </w:tc>
      </w:tr>
      <w:tr w:rsidR="009B7130" w:rsidRPr="005833DD" w14:paraId="027679F3" w14:textId="77777777" w:rsidTr="001F3CDA">
        <w:tc>
          <w:tcPr>
            <w:tcW w:w="5000" w:type="pct"/>
          </w:tcPr>
          <w:p w14:paraId="1A3F1E34" w14:textId="2C5A7CD1" w:rsidR="009B7130" w:rsidRDefault="007A064D" w:rsidP="009B7130">
            <w:pPr>
              <w:pStyle w:val="LTVerzDerFragendenFrage"/>
            </w:pPr>
            <w:hyperlink w:anchor="Frage_Nr_49" w:tooltip="Frage Nr 49" w:history="1">
              <w:r w:rsidR="009B7130">
                <w:rPr>
                  <w:rStyle w:val="Hyperlink"/>
                  <w:szCs w:val="24"/>
                </w:rPr>
                <w:t xml:space="preserve">Rückbau der Tiefbrunnen des </w:t>
              </w:r>
              <w:r w:rsidR="005035D4">
                <w:t>Zweckverband Fernwasserversorgung</w:t>
              </w:r>
              <w:r w:rsidR="005035D4">
                <w:br/>
              </w:r>
              <w:r w:rsidR="006F49A4">
                <w:t>Mittelmain</w:t>
              </w:r>
              <w:r w:rsidR="009B7130">
                <w:rPr>
                  <w:rStyle w:val="Hyperlink"/>
                  <w:szCs w:val="24"/>
                </w:rPr>
                <w:t xml:space="preserve"> in Gemünden/Hofstetten</w:t>
              </w:r>
              <w:r w:rsidR="009B7130">
                <w:rPr>
                  <w:rStyle w:val="Hyperlink"/>
                  <w:szCs w:val="24"/>
                </w:rPr>
                <w:tab/>
                <w:t>49</w:t>
              </w:r>
            </w:hyperlink>
          </w:p>
        </w:tc>
      </w:tr>
      <w:tr w:rsidR="009B7130" w:rsidRPr="005833DD" w14:paraId="743BE130" w14:textId="77777777" w:rsidTr="001F3CDA">
        <w:tc>
          <w:tcPr>
            <w:tcW w:w="5000" w:type="pct"/>
          </w:tcPr>
          <w:p w14:paraId="16311694" w14:textId="77777777" w:rsidR="009B7130" w:rsidRDefault="009B7130" w:rsidP="009B7130">
            <w:pPr>
              <w:pStyle w:val="LTVerzDerFragenden"/>
            </w:pPr>
            <w:r>
              <w:t>Dr. Cyron, Anne (AfD)</w:t>
            </w:r>
          </w:p>
        </w:tc>
      </w:tr>
      <w:tr w:rsidR="009B7130" w:rsidRPr="005833DD" w14:paraId="4882D415" w14:textId="77777777" w:rsidTr="001F3CDA">
        <w:tc>
          <w:tcPr>
            <w:tcW w:w="5000" w:type="pct"/>
          </w:tcPr>
          <w:p w14:paraId="383AF2D6" w14:textId="2673197F" w:rsidR="009B7130" w:rsidRDefault="007A064D" w:rsidP="009B7130">
            <w:pPr>
              <w:pStyle w:val="LTVerzDerFragendenFrage"/>
            </w:pPr>
            <w:hyperlink w:anchor="Frage_Nr_60" w:tooltip="Frage Nr 60" w:history="1">
              <w:r w:rsidR="009B7130">
                <w:rPr>
                  <w:rStyle w:val="Hyperlink"/>
                  <w:szCs w:val="24"/>
                </w:rPr>
                <w:t>Masken und Testen an Bayerns Schulen</w:t>
              </w:r>
              <w:r w:rsidR="009B7130">
                <w:rPr>
                  <w:rStyle w:val="Hyperlink"/>
                  <w:szCs w:val="24"/>
                </w:rPr>
                <w:tab/>
                <w:t>60</w:t>
              </w:r>
            </w:hyperlink>
          </w:p>
        </w:tc>
      </w:tr>
      <w:tr w:rsidR="009B7130" w:rsidRPr="005833DD" w14:paraId="01E7FA0E" w14:textId="77777777" w:rsidTr="001F3CDA">
        <w:tc>
          <w:tcPr>
            <w:tcW w:w="5000" w:type="pct"/>
          </w:tcPr>
          <w:p w14:paraId="5E0F0963" w14:textId="77777777" w:rsidR="009B7130" w:rsidRDefault="009B7130" w:rsidP="009B7130">
            <w:pPr>
              <w:pStyle w:val="LTVerzDerFragenden"/>
            </w:pPr>
            <w:r>
              <w:t>Deisenhofer, Maximilian (BÜNDNIS 90/DIE GRÜNEN)</w:t>
            </w:r>
          </w:p>
        </w:tc>
      </w:tr>
      <w:tr w:rsidR="009B7130" w:rsidRPr="005833DD" w14:paraId="67A2CCF6" w14:textId="77777777" w:rsidTr="001F3CDA">
        <w:tc>
          <w:tcPr>
            <w:tcW w:w="5000" w:type="pct"/>
          </w:tcPr>
          <w:p w14:paraId="3B708B75" w14:textId="28A5E020" w:rsidR="009B7130" w:rsidRDefault="007A064D" w:rsidP="009B7130">
            <w:pPr>
              <w:pStyle w:val="LTVerzDerFragendenFrage"/>
            </w:pPr>
            <w:hyperlink w:anchor="Frage_Nr_31" w:tooltip="Frage Nr 31" w:history="1">
              <w:r w:rsidR="009B7130">
                <w:rPr>
                  <w:rStyle w:val="Hyperlink"/>
                  <w:szCs w:val="24"/>
                </w:rPr>
                <w:t>Modellprojekt zur digitalen Ausstattung von Schulen</w:t>
              </w:r>
              <w:r w:rsidR="009B7130">
                <w:rPr>
                  <w:rStyle w:val="Hyperlink"/>
                  <w:szCs w:val="24"/>
                </w:rPr>
                <w:tab/>
                <w:t>31</w:t>
              </w:r>
            </w:hyperlink>
          </w:p>
        </w:tc>
      </w:tr>
      <w:tr w:rsidR="009B7130" w:rsidRPr="005833DD" w14:paraId="265F6902" w14:textId="77777777" w:rsidTr="001F3CDA">
        <w:tc>
          <w:tcPr>
            <w:tcW w:w="5000" w:type="pct"/>
          </w:tcPr>
          <w:p w14:paraId="6B9DF8D1" w14:textId="77777777" w:rsidR="009B7130" w:rsidRDefault="009B7130" w:rsidP="009B7130">
            <w:pPr>
              <w:pStyle w:val="LTVerzDerFragenden"/>
            </w:pPr>
            <w:r>
              <w:t>Demirel, Gülseren (BÜNDNIS 90/DIE GRÜNEN)</w:t>
            </w:r>
          </w:p>
        </w:tc>
      </w:tr>
      <w:tr w:rsidR="009B7130" w:rsidRPr="005833DD" w14:paraId="4598096D" w14:textId="77777777" w:rsidTr="001F3CDA">
        <w:tc>
          <w:tcPr>
            <w:tcW w:w="5000" w:type="pct"/>
          </w:tcPr>
          <w:p w14:paraId="354C279A" w14:textId="7E93EDEF" w:rsidR="009B7130" w:rsidRDefault="007A064D" w:rsidP="009B7130">
            <w:pPr>
              <w:pStyle w:val="LTVerzDerFragendenFrage"/>
            </w:pPr>
            <w:hyperlink w:anchor="Frage_Nr_4" w:tooltip="Frage Nr 4" w:history="1">
              <w:r w:rsidR="009B7130">
                <w:rPr>
                  <w:rStyle w:val="Hyperlink"/>
                  <w:szCs w:val="24"/>
                </w:rPr>
                <w:t>Afghanische Ortskräfte in Bayern</w:t>
              </w:r>
              <w:r w:rsidR="009B7130">
                <w:rPr>
                  <w:rStyle w:val="Hyperlink"/>
                  <w:szCs w:val="24"/>
                </w:rPr>
                <w:tab/>
                <w:t>4</w:t>
              </w:r>
            </w:hyperlink>
          </w:p>
        </w:tc>
      </w:tr>
      <w:tr w:rsidR="009B7130" w:rsidRPr="005833DD" w14:paraId="61209C1A" w14:textId="77777777" w:rsidTr="001F3CDA">
        <w:tc>
          <w:tcPr>
            <w:tcW w:w="5000" w:type="pct"/>
          </w:tcPr>
          <w:p w14:paraId="74AE6333" w14:textId="77777777" w:rsidR="009B7130" w:rsidRDefault="009B7130" w:rsidP="009B7130">
            <w:pPr>
              <w:pStyle w:val="LTVerzDerFragenden"/>
            </w:pPr>
            <w:r>
              <w:t>Duin, Albert (FDP)</w:t>
            </w:r>
          </w:p>
        </w:tc>
      </w:tr>
      <w:tr w:rsidR="009B7130" w:rsidRPr="005833DD" w14:paraId="2A4CF327" w14:textId="77777777" w:rsidTr="001F3CDA">
        <w:tc>
          <w:tcPr>
            <w:tcW w:w="5000" w:type="pct"/>
          </w:tcPr>
          <w:p w14:paraId="3B1185F6" w14:textId="0C1BE084" w:rsidR="009B7130" w:rsidRDefault="007A064D" w:rsidP="009B7130">
            <w:pPr>
              <w:pStyle w:val="LTVerzDerFragendenFrage"/>
            </w:pPr>
            <w:hyperlink w:anchor="Frage_Nr_45" w:tooltip="Frage Nr 45" w:history="1">
              <w:r w:rsidR="009B7130">
                <w:rPr>
                  <w:rStyle w:val="Hyperlink"/>
                  <w:szCs w:val="24"/>
                </w:rPr>
                <w:t>Auswirkungen der sozialen EU-Taxonomie auf Bayern</w:t>
              </w:r>
              <w:r w:rsidR="009B7130">
                <w:rPr>
                  <w:rStyle w:val="Hyperlink"/>
                  <w:szCs w:val="24"/>
                </w:rPr>
                <w:tab/>
                <w:t>45</w:t>
              </w:r>
            </w:hyperlink>
          </w:p>
        </w:tc>
      </w:tr>
      <w:tr w:rsidR="009B7130" w:rsidRPr="005833DD" w14:paraId="089FE437" w14:textId="77777777" w:rsidTr="001F3CDA">
        <w:tc>
          <w:tcPr>
            <w:tcW w:w="5000" w:type="pct"/>
          </w:tcPr>
          <w:p w14:paraId="6518EF44" w14:textId="77777777" w:rsidR="009B7130" w:rsidRDefault="009B7130" w:rsidP="009B7130">
            <w:pPr>
              <w:pStyle w:val="LTVerzDerFragenden"/>
            </w:pPr>
            <w:r>
              <w:t>Fischbach, Matthias (FDP)</w:t>
            </w:r>
          </w:p>
        </w:tc>
      </w:tr>
      <w:tr w:rsidR="009B7130" w:rsidRPr="005833DD" w14:paraId="7A18EE47" w14:textId="77777777" w:rsidTr="001F3CDA">
        <w:tc>
          <w:tcPr>
            <w:tcW w:w="5000" w:type="pct"/>
          </w:tcPr>
          <w:p w14:paraId="7902C3A8" w14:textId="2480D0A4" w:rsidR="009B7130" w:rsidRDefault="007A064D" w:rsidP="009B7130">
            <w:pPr>
              <w:pStyle w:val="LTVerzDerFragendenFrage"/>
            </w:pPr>
            <w:hyperlink w:anchor="Frage_Nr_32" w:tooltip="Frage Nr 32" w:history="1">
              <w:r w:rsidR="009B7130">
                <w:rPr>
                  <w:rStyle w:val="Hyperlink"/>
                  <w:szCs w:val="24"/>
                </w:rPr>
                <w:t>Zwischenstand Raumluftreiniger an Schulen</w:t>
              </w:r>
              <w:r w:rsidR="009B7130">
                <w:rPr>
                  <w:rStyle w:val="Hyperlink"/>
                  <w:szCs w:val="24"/>
                </w:rPr>
                <w:tab/>
                <w:t>32</w:t>
              </w:r>
            </w:hyperlink>
          </w:p>
        </w:tc>
      </w:tr>
      <w:tr w:rsidR="009B7130" w:rsidRPr="005833DD" w14:paraId="49CBB9D6" w14:textId="77777777" w:rsidTr="001F3CDA">
        <w:tc>
          <w:tcPr>
            <w:tcW w:w="5000" w:type="pct"/>
          </w:tcPr>
          <w:p w14:paraId="297A0983" w14:textId="77777777" w:rsidR="009B7130" w:rsidRDefault="009B7130" w:rsidP="009B7130">
            <w:pPr>
              <w:pStyle w:val="LTVerzDerFragenden"/>
            </w:pPr>
            <w:r>
              <w:t>Flisek, Christian (SPD)</w:t>
            </w:r>
          </w:p>
        </w:tc>
      </w:tr>
      <w:tr w:rsidR="009B7130" w:rsidRPr="005833DD" w14:paraId="03BD72DE" w14:textId="77777777" w:rsidTr="001F3CDA">
        <w:tc>
          <w:tcPr>
            <w:tcW w:w="5000" w:type="pct"/>
          </w:tcPr>
          <w:p w14:paraId="27A51904" w14:textId="7CD0EF41" w:rsidR="009B7130" w:rsidRDefault="007A064D" w:rsidP="009B7130">
            <w:pPr>
              <w:pStyle w:val="LTVerzDerFragendenFrage"/>
            </w:pPr>
            <w:hyperlink w:anchor="Frage_Nr_33" w:tooltip="Frage Nr 33" w:history="1">
              <w:r w:rsidR="009B7130">
                <w:rPr>
                  <w:rStyle w:val="Hyperlink"/>
                  <w:szCs w:val="24"/>
                </w:rPr>
                <w:t>Dienstunfähig</w:t>
              </w:r>
              <w:r w:rsidR="005035D4">
                <w:rPr>
                  <w:rStyle w:val="Hyperlink"/>
                  <w:szCs w:val="24"/>
                </w:rPr>
                <w:t>k</w:t>
              </w:r>
              <w:r w:rsidR="009B7130">
                <w:rPr>
                  <w:rStyle w:val="Hyperlink"/>
                  <w:szCs w:val="24"/>
                </w:rPr>
                <w:t>eitsverfahren</w:t>
              </w:r>
              <w:r w:rsidR="009B7130">
                <w:rPr>
                  <w:rStyle w:val="Hyperlink"/>
                  <w:szCs w:val="24"/>
                </w:rPr>
                <w:tab/>
                <w:t>33</w:t>
              </w:r>
            </w:hyperlink>
          </w:p>
        </w:tc>
      </w:tr>
      <w:tr w:rsidR="009B7130" w:rsidRPr="005833DD" w14:paraId="278EA208" w14:textId="77777777" w:rsidTr="001F3CDA">
        <w:tc>
          <w:tcPr>
            <w:tcW w:w="5000" w:type="pct"/>
          </w:tcPr>
          <w:p w14:paraId="15EC5BE8" w14:textId="77777777" w:rsidR="009B7130" w:rsidRDefault="009B7130" w:rsidP="009B7130">
            <w:pPr>
              <w:pStyle w:val="LTVerzDerFragenden"/>
            </w:pPr>
            <w:r>
              <w:t>Franke, Anne (BÜNDNIS 90/DIE GRÜNEN)</w:t>
            </w:r>
          </w:p>
        </w:tc>
      </w:tr>
      <w:tr w:rsidR="009B7130" w:rsidRPr="005833DD" w14:paraId="3F162565" w14:textId="77777777" w:rsidTr="001F3CDA">
        <w:tc>
          <w:tcPr>
            <w:tcW w:w="5000" w:type="pct"/>
          </w:tcPr>
          <w:p w14:paraId="25EAE313" w14:textId="76777BFC" w:rsidR="009B7130" w:rsidRDefault="007A064D" w:rsidP="009B7130">
            <w:pPr>
              <w:pStyle w:val="LTVerzDerFragendenFrage"/>
            </w:pPr>
            <w:hyperlink w:anchor="Frage_Nr_39" w:tooltip="Frage Nr 39" w:history="1">
              <w:r w:rsidR="009B7130">
                <w:rPr>
                  <w:rStyle w:val="Hyperlink"/>
                  <w:szCs w:val="24"/>
                </w:rPr>
                <w:t>Was wurde aus den Plänen für ein Center</w:t>
              </w:r>
              <w:r w:rsidR="00785425">
                <w:rPr>
                  <w:rStyle w:val="Hyperlink"/>
                  <w:szCs w:val="24"/>
                </w:rPr>
                <w:t xml:space="preserve"> for Conflict Resolution, Human</w:t>
              </w:r>
              <w:r w:rsidR="00785425">
                <w:rPr>
                  <w:rStyle w:val="Hyperlink"/>
                  <w:szCs w:val="24"/>
                </w:rPr>
                <w:br/>
              </w:r>
              <w:r w:rsidR="009B7130">
                <w:rPr>
                  <w:rStyle w:val="Hyperlink"/>
                  <w:szCs w:val="24"/>
                </w:rPr>
                <w:t xml:space="preserve">and Cyber Security an der </w:t>
              </w:r>
              <w:r w:rsidR="00785425">
                <w:t>Hochschule für Politik</w:t>
              </w:r>
              <w:r w:rsidR="009B7130">
                <w:rPr>
                  <w:rStyle w:val="Hyperlink"/>
                  <w:szCs w:val="24"/>
                </w:rPr>
                <w:tab/>
                <w:t>39</w:t>
              </w:r>
            </w:hyperlink>
          </w:p>
        </w:tc>
      </w:tr>
      <w:tr w:rsidR="009B7130" w:rsidRPr="005833DD" w14:paraId="19DA9B66" w14:textId="77777777" w:rsidTr="001F3CDA">
        <w:tc>
          <w:tcPr>
            <w:tcW w:w="5000" w:type="pct"/>
          </w:tcPr>
          <w:p w14:paraId="4FA57732" w14:textId="77777777" w:rsidR="009B7130" w:rsidRDefault="009B7130" w:rsidP="009B7130">
            <w:pPr>
              <w:pStyle w:val="LTVerzDerFragenden"/>
            </w:pPr>
            <w:r>
              <w:t>Friedl, Patrick (BÜNDNIS 90/DIE GRÜNEN)</w:t>
            </w:r>
          </w:p>
        </w:tc>
      </w:tr>
      <w:tr w:rsidR="009B7130" w:rsidRPr="005833DD" w14:paraId="72870969" w14:textId="77777777" w:rsidTr="001F3CDA">
        <w:tc>
          <w:tcPr>
            <w:tcW w:w="5000" w:type="pct"/>
          </w:tcPr>
          <w:p w14:paraId="7288508C" w14:textId="60DC57A0" w:rsidR="009B7130" w:rsidRDefault="007A064D" w:rsidP="009B7130">
            <w:pPr>
              <w:pStyle w:val="LTVerzDerFragendenFrage"/>
            </w:pPr>
            <w:hyperlink w:anchor="Frage_Nr_50" w:tooltip="Frage Nr 50" w:history="1">
              <w:r w:rsidR="009B7130">
                <w:rPr>
                  <w:rStyle w:val="Hyperlink"/>
                  <w:szCs w:val="24"/>
                </w:rPr>
                <w:t xml:space="preserve">Havarie </w:t>
              </w:r>
              <w:r w:rsidR="00981BEF">
                <w:rPr>
                  <w:rStyle w:val="Hyperlink"/>
                  <w:szCs w:val="24"/>
                </w:rPr>
                <w:t>der Biogasanlage in Fuchsstadt –</w:t>
              </w:r>
              <w:r w:rsidR="009B7130">
                <w:rPr>
                  <w:rStyle w:val="Hyperlink"/>
                  <w:szCs w:val="24"/>
                </w:rPr>
                <w:t xml:space="preserve"> Fehlende Umwallung</w:t>
              </w:r>
              <w:r w:rsidR="009B7130">
                <w:rPr>
                  <w:rStyle w:val="Hyperlink"/>
                  <w:szCs w:val="24"/>
                </w:rPr>
                <w:tab/>
                <w:t>50</w:t>
              </w:r>
            </w:hyperlink>
          </w:p>
        </w:tc>
      </w:tr>
      <w:tr w:rsidR="009B7130" w:rsidRPr="005833DD" w14:paraId="0BECD2CA" w14:textId="77777777" w:rsidTr="001F3CDA">
        <w:tc>
          <w:tcPr>
            <w:tcW w:w="5000" w:type="pct"/>
          </w:tcPr>
          <w:p w14:paraId="4180F968" w14:textId="77777777" w:rsidR="009B7130" w:rsidRDefault="009B7130" w:rsidP="009B7130">
            <w:pPr>
              <w:pStyle w:val="LTVerzDerFragenden"/>
            </w:pPr>
            <w:r>
              <w:t>Fuchs, Barbara (BÜNDNIS 90/DIE GRÜNEN)</w:t>
            </w:r>
          </w:p>
        </w:tc>
      </w:tr>
      <w:tr w:rsidR="009B7130" w:rsidRPr="005833DD" w14:paraId="3FC7FEBC" w14:textId="77777777" w:rsidTr="001F3CDA">
        <w:tc>
          <w:tcPr>
            <w:tcW w:w="5000" w:type="pct"/>
          </w:tcPr>
          <w:p w14:paraId="175F5837" w14:textId="001A7051" w:rsidR="009B7130" w:rsidRDefault="007A064D" w:rsidP="009B7130">
            <w:pPr>
              <w:pStyle w:val="LTVerzDerFragendenFrage"/>
            </w:pPr>
            <w:hyperlink w:anchor="Frage_Nr_5" w:tooltip="Frage Nr 5" w:history="1">
              <w:r w:rsidR="009B7130">
                <w:rPr>
                  <w:rStyle w:val="Hyperlink"/>
                  <w:szCs w:val="24"/>
                </w:rPr>
                <w:t>Zusammenlegung von Dienstplänen von Notarzt-Standorten</w:t>
              </w:r>
              <w:r w:rsidR="009B7130">
                <w:rPr>
                  <w:rStyle w:val="Hyperlink"/>
                  <w:szCs w:val="24"/>
                </w:rPr>
                <w:tab/>
                <w:t>5</w:t>
              </w:r>
            </w:hyperlink>
          </w:p>
        </w:tc>
      </w:tr>
      <w:tr w:rsidR="009B7130" w:rsidRPr="005833DD" w14:paraId="4E8EB3AF" w14:textId="77777777" w:rsidTr="001F3CDA">
        <w:tc>
          <w:tcPr>
            <w:tcW w:w="5000" w:type="pct"/>
          </w:tcPr>
          <w:p w14:paraId="76845A72" w14:textId="77777777" w:rsidR="009B7130" w:rsidRDefault="009B7130" w:rsidP="009B7130">
            <w:pPr>
              <w:pStyle w:val="LTVerzDerFragenden"/>
            </w:pPr>
            <w:r>
              <w:t>Gehring, Thomas (BÜNDNIS 90/DIE GRÜNEN)</w:t>
            </w:r>
          </w:p>
        </w:tc>
      </w:tr>
      <w:tr w:rsidR="009B7130" w:rsidRPr="005833DD" w14:paraId="5D09C6E2" w14:textId="77777777" w:rsidTr="001F3CDA">
        <w:tc>
          <w:tcPr>
            <w:tcW w:w="5000" w:type="pct"/>
          </w:tcPr>
          <w:p w14:paraId="53902C8C" w14:textId="11538914" w:rsidR="009B7130" w:rsidRDefault="007A064D" w:rsidP="009B7130">
            <w:pPr>
              <w:pStyle w:val="LTVerzDerFragendenFrage"/>
            </w:pPr>
            <w:hyperlink w:anchor="Frage_Nr_18" w:tooltip="Frage Nr 18" w:history="1">
              <w:r w:rsidR="009B7130">
                <w:rPr>
                  <w:rStyle w:val="Hyperlink"/>
                  <w:szCs w:val="24"/>
                </w:rPr>
                <w:t>Förderprogramm Bürgerbusse</w:t>
              </w:r>
              <w:r w:rsidR="009B7130">
                <w:rPr>
                  <w:rStyle w:val="Hyperlink"/>
                  <w:szCs w:val="24"/>
                </w:rPr>
                <w:tab/>
                <w:t>18</w:t>
              </w:r>
            </w:hyperlink>
          </w:p>
        </w:tc>
      </w:tr>
      <w:tr w:rsidR="009B7130" w:rsidRPr="005833DD" w14:paraId="682260BD" w14:textId="77777777" w:rsidTr="001F3CDA">
        <w:tc>
          <w:tcPr>
            <w:tcW w:w="5000" w:type="pct"/>
          </w:tcPr>
          <w:p w14:paraId="5B1FA5A4" w14:textId="77777777" w:rsidR="009B7130" w:rsidRDefault="009B7130" w:rsidP="009B7130">
            <w:pPr>
              <w:pStyle w:val="LTVerzDerFragenden"/>
            </w:pPr>
            <w:r>
              <w:t>Hagen, Martin (FDP)</w:t>
            </w:r>
          </w:p>
        </w:tc>
      </w:tr>
      <w:tr w:rsidR="009B7130" w:rsidRPr="005833DD" w14:paraId="5BE1807F" w14:textId="77777777" w:rsidTr="001F3CDA">
        <w:tc>
          <w:tcPr>
            <w:tcW w:w="5000" w:type="pct"/>
          </w:tcPr>
          <w:p w14:paraId="09E61C8A" w14:textId="4CBE79D7" w:rsidR="009B7130" w:rsidRDefault="007A064D" w:rsidP="009B7130">
            <w:pPr>
              <w:pStyle w:val="LTVerzDerFragendenFrage"/>
            </w:pPr>
            <w:hyperlink w:anchor="Frage_Nr_43" w:tooltip="Frage Nr 43" w:history="1">
              <w:r w:rsidR="009B7130">
                <w:rPr>
                  <w:rStyle w:val="Hyperlink"/>
                  <w:szCs w:val="24"/>
                </w:rPr>
                <w:t xml:space="preserve">Durchschnittliche Bezahlung in Ministerien </w:t>
              </w:r>
              <w:r w:rsidR="00DE2ECB">
                <w:rPr>
                  <w:rStyle w:val="Hyperlink"/>
                  <w:szCs w:val="24"/>
                </w:rPr>
                <w:t>und</w:t>
              </w:r>
              <w:r w:rsidR="009B7130">
                <w:rPr>
                  <w:rStyle w:val="Hyperlink"/>
                  <w:szCs w:val="24"/>
                </w:rPr>
                <w:t xml:space="preserve"> Landesbehörden</w:t>
              </w:r>
              <w:r w:rsidR="009B7130">
                <w:rPr>
                  <w:rStyle w:val="Hyperlink"/>
                  <w:szCs w:val="24"/>
                </w:rPr>
                <w:tab/>
                <w:t>43</w:t>
              </w:r>
            </w:hyperlink>
          </w:p>
        </w:tc>
      </w:tr>
      <w:tr w:rsidR="009B7130" w:rsidRPr="005833DD" w14:paraId="50BA857E" w14:textId="77777777" w:rsidTr="001F3CDA">
        <w:tc>
          <w:tcPr>
            <w:tcW w:w="5000" w:type="pct"/>
          </w:tcPr>
          <w:p w14:paraId="750B61F9" w14:textId="77777777" w:rsidR="009B7130" w:rsidRDefault="009B7130" w:rsidP="009B7130">
            <w:pPr>
              <w:pStyle w:val="LTVerzDerFragenden"/>
            </w:pPr>
            <w:r>
              <w:t>Halbleib, Volkmar (SPD)</w:t>
            </w:r>
          </w:p>
        </w:tc>
      </w:tr>
      <w:tr w:rsidR="009B7130" w:rsidRPr="005833DD" w14:paraId="7D053539" w14:textId="77777777" w:rsidTr="001F3CDA">
        <w:tc>
          <w:tcPr>
            <w:tcW w:w="5000" w:type="pct"/>
          </w:tcPr>
          <w:p w14:paraId="1EA00C51" w14:textId="42551071" w:rsidR="009B7130" w:rsidRDefault="007A064D" w:rsidP="009B7130">
            <w:pPr>
              <w:pStyle w:val="LTVerzDerFragendenFrage"/>
            </w:pPr>
            <w:hyperlink w:anchor="Frage_Nr_51" w:tooltip="Frage Nr 51" w:history="1">
              <w:r w:rsidR="009B7130">
                <w:rPr>
                  <w:rStyle w:val="Hyperlink"/>
                  <w:szCs w:val="24"/>
                </w:rPr>
                <w:t>Konsequenzen aus der Biogas-Leckage in Fuchsstadt, Landkreis Würzburg</w:t>
              </w:r>
              <w:r w:rsidR="009B7130">
                <w:rPr>
                  <w:rStyle w:val="Hyperlink"/>
                  <w:szCs w:val="24"/>
                </w:rPr>
                <w:tab/>
                <w:t>51</w:t>
              </w:r>
            </w:hyperlink>
          </w:p>
        </w:tc>
      </w:tr>
      <w:tr w:rsidR="009B7130" w:rsidRPr="005833DD" w14:paraId="2D5DE1EF" w14:textId="77777777" w:rsidTr="001F3CDA">
        <w:tc>
          <w:tcPr>
            <w:tcW w:w="5000" w:type="pct"/>
          </w:tcPr>
          <w:p w14:paraId="4BD7B595" w14:textId="77777777" w:rsidR="009B7130" w:rsidRDefault="009B7130" w:rsidP="009B7130">
            <w:pPr>
              <w:pStyle w:val="LTVerzDerFragenden"/>
            </w:pPr>
            <w:r>
              <w:t>Hartmann, Ludwig (BÜNDNIS 90/DIE GRÜNEN)</w:t>
            </w:r>
          </w:p>
        </w:tc>
      </w:tr>
      <w:tr w:rsidR="009B7130" w:rsidRPr="005833DD" w14:paraId="7D2E4C9D" w14:textId="77777777" w:rsidTr="001F3CDA">
        <w:tc>
          <w:tcPr>
            <w:tcW w:w="5000" w:type="pct"/>
          </w:tcPr>
          <w:p w14:paraId="05B14846" w14:textId="54649B36" w:rsidR="009B7130" w:rsidRDefault="007A064D" w:rsidP="009B7130">
            <w:pPr>
              <w:pStyle w:val="LTVerzDerFragendenFrage"/>
            </w:pPr>
            <w:hyperlink w:anchor="Frage_Nr_6" w:tooltip="Frage Nr 6" w:history="1">
              <w:r w:rsidR="009B7130">
                <w:rPr>
                  <w:rStyle w:val="Hyperlink"/>
                  <w:szCs w:val="24"/>
                </w:rPr>
                <w:t>Bid Book zur Ski-WM 2027 in Garmisch-Partenkirchen</w:t>
              </w:r>
              <w:r w:rsidR="009B7130">
                <w:rPr>
                  <w:rStyle w:val="Hyperlink"/>
                  <w:szCs w:val="24"/>
                </w:rPr>
                <w:tab/>
                <w:t>6</w:t>
              </w:r>
            </w:hyperlink>
          </w:p>
        </w:tc>
      </w:tr>
      <w:tr w:rsidR="009B7130" w:rsidRPr="005833DD" w14:paraId="0ED7CD1D" w14:textId="77777777" w:rsidTr="001F3CDA">
        <w:tc>
          <w:tcPr>
            <w:tcW w:w="5000" w:type="pct"/>
          </w:tcPr>
          <w:p w14:paraId="743E2329" w14:textId="77777777" w:rsidR="009B7130" w:rsidRDefault="009B7130" w:rsidP="009B7130">
            <w:pPr>
              <w:pStyle w:val="LTVerzDerFragenden"/>
            </w:pPr>
            <w:r>
              <w:t>Haubrich, Christina (BÜNDNIS 90/DIE GRÜNEN)</w:t>
            </w:r>
          </w:p>
        </w:tc>
      </w:tr>
      <w:tr w:rsidR="009B7130" w:rsidRPr="005833DD" w14:paraId="6775F73D" w14:textId="77777777" w:rsidTr="001F3CDA">
        <w:tc>
          <w:tcPr>
            <w:tcW w:w="5000" w:type="pct"/>
          </w:tcPr>
          <w:p w14:paraId="07E496B3" w14:textId="32A3507E" w:rsidR="009B7130" w:rsidRDefault="007A064D" w:rsidP="009B7130">
            <w:pPr>
              <w:pStyle w:val="LTVerzDerFragendenFrage"/>
            </w:pPr>
            <w:hyperlink w:anchor="Frage_Nr_19" w:tooltip="Frage Nr 19" w:history="1">
              <w:r w:rsidR="009B7130">
                <w:rPr>
                  <w:rStyle w:val="Hyperlink"/>
                  <w:szCs w:val="24"/>
                </w:rPr>
                <w:t>Finanzielle Förderung von Bauen mit recycelten Baustoffen</w:t>
              </w:r>
              <w:r w:rsidR="009B7130">
                <w:rPr>
                  <w:rStyle w:val="Hyperlink"/>
                  <w:szCs w:val="24"/>
                </w:rPr>
                <w:tab/>
                <w:t>19</w:t>
              </w:r>
            </w:hyperlink>
          </w:p>
        </w:tc>
      </w:tr>
      <w:tr w:rsidR="009B7130" w:rsidRPr="005833DD" w14:paraId="55611C83" w14:textId="77777777" w:rsidTr="001F3CDA">
        <w:tc>
          <w:tcPr>
            <w:tcW w:w="5000" w:type="pct"/>
          </w:tcPr>
          <w:p w14:paraId="339AD16D" w14:textId="77777777" w:rsidR="009B7130" w:rsidRDefault="009B7130" w:rsidP="009B7130">
            <w:pPr>
              <w:pStyle w:val="LTVerzDerFragenden"/>
            </w:pPr>
            <w:r>
              <w:t>Hayn, Elmar (BÜNDNIS 90/DIE GRÜNEN)</w:t>
            </w:r>
          </w:p>
        </w:tc>
      </w:tr>
      <w:tr w:rsidR="009B7130" w:rsidRPr="005833DD" w14:paraId="66E8FAB3" w14:textId="77777777" w:rsidTr="001F3CDA">
        <w:tc>
          <w:tcPr>
            <w:tcW w:w="5000" w:type="pct"/>
          </w:tcPr>
          <w:p w14:paraId="098FA63C" w14:textId="3E53BE80" w:rsidR="009B7130" w:rsidRDefault="007A064D" w:rsidP="009B7130">
            <w:pPr>
              <w:pStyle w:val="LTVerzDerFragendenFrage"/>
            </w:pPr>
            <w:hyperlink w:anchor="Frage_Nr_44" w:tooltip="Frage Nr 44" w:history="1">
              <w:r w:rsidR="009B7130">
                <w:rPr>
                  <w:rStyle w:val="Hyperlink"/>
                  <w:szCs w:val="24"/>
                </w:rPr>
                <w:t>Personalpolitik für Bedie</w:t>
              </w:r>
              <w:r w:rsidR="00981BEF">
                <w:rPr>
                  <w:rStyle w:val="Hyperlink"/>
                  <w:szCs w:val="24"/>
                </w:rPr>
                <w:t>nstete des Freistaates aufgrund</w:t>
              </w:r>
              <w:r w:rsidR="00981BEF">
                <w:rPr>
                  <w:rStyle w:val="Hyperlink"/>
                  <w:szCs w:val="24"/>
                </w:rPr>
                <w:br/>
              </w:r>
              <w:r w:rsidR="009B7130">
                <w:rPr>
                  <w:rStyle w:val="Hyperlink"/>
                  <w:szCs w:val="24"/>
                </w:rPr>
                <w:t>der demografischen Entwicklung II</w:t>
              </w:r>
              <w:r w:rsidR="009B7130">
                <w:rPr>
                  <w:rStyle w:val="Hyperlink"/>
                  <w:szCs w:val="24"/>
                </w:rPr>
                <w:tab/>
                <w:t>44</w:t>
              </w:r>
            </w:hyperlink>
          </w:p>
        </w:tc>
      </w:tr>
      <w:tr w:rsidR="009B7130" w:rsidRPr="005833DD" w14:paraId="33AE6D81" w14:textId="77777777" w:rsidTr="001F3CDA">
        <w:tc>
          <w:tcPr>
            <w:tcW w:w="5000" w:type="pct"/>
          </w:tcPr>
          <w:p w14:paraId="12E699FE" w14:textId="77777777" w:rsidR="009B7130" w:rsidRDefault="009B7130" w:rsidP="009B7130">
            <w:pPr>
              <w:pStyle w:val="LTVerzDerFragenden"/>
            </w:pPr>
            <w:r>
              <w:t>Dr. Heubisch, Wolfgang (FDP)</w:t>
            </w:r>
          </w:p>
        </w:tc>
      </w:tr>
      <w:tr w:rsidR="009B7130" w:rsidRPr="005833DD" w14:paraId="6AAE8F56" w14:textId="77777777" w:rsidTr="001F3CDA">
        <w:tc>
          <w:tcPr>
            <w:tcW w:w="5000" w:type="pct"/>
          </w:tcPr>
          <w:p w14:paraId="45ABCB99" w14:textId="2DC00E57" w:rsidR="009B7130" w:rsidRDefault="007A064D" w:rsidP="009B7130">
            <w:pPr>
              <w:pStyle w:val="LTVerzDerFragendenFrage"/>
            </w:pPr>
            <w:hyperlink w:anchor="Frage_Nr_20" w:tooltip="Frage Nr 20" w:history="1">
              <w:r w:rsidR="009B7130">
                <w:rPr>
                  <w:rStyle w:val="Hyperlink"/>
                  <w:szCs w:val="24"/>
                </w:rPr>
                <w:t>Aktuelle Situation der Münchner Studentenwohnheime</w:t>
              </w:r>
              <w:r w:rsidR="009B7130">
                <w:rPr>
                  <w:rStyle w:val="Hyperlink"/>
                  <w:szCs w:val="24"/>
                </w:rPr>
                <w:tab/>
                <w:t>20</w:t>
              </w:r>
            </w:hyperlink>
          </w:p>
        </w:tc>
      </w:tr>
      <w:tr w:rsidR="009B7130" w:rsidRPr="005833DD" w14:paraId="1B690CAA" w14:textId="77777777" w:rsidTr="001F3CDA">
        <w:tc>
          <w:tcPr>
            <w:tcW w:w="5000" w:type="pct"/>
          </w:tcPr>
          <w:p w14:paraId="45BDBF84" w14:textId="77777777" w:rsidR="009B7130" w:rsidRDefault="009B7130" w:rsidP="009B7130">
            <w:pPr>
              <w:pStyle w:val="LTVerzDerFragenden"/>
            </w:pPr>
            <w:r>
              <w:t>Hierneis, Christian (BÜNDNIS 90/DIE GRÜNEN)</w:t>
            </w:r>
          </w:p>
        </w:tc>
      </w:tr>
      <w:tr w:rsidR="009B7130" w:rsidRPr="005833DD" w14:paraId="29299DC8" w14:textId="77777777" w:rsidTr="001F3CDA">
        <w:tc>
          <w:tcPr>
            <w:tcW w:w="5000" w:type="pct"/>
          </w:tcPr>
          <w:p w14:paraId="281783D7" w14:textId="3BF2F147" w:rsidR="009B7130" w:rsidRDefault="007A064D" w:rsidP="009B7130">
            <w:pPr>
              <w:pStyle w:val="LTVerzDerFragendenFrage"/>
            </w:pPr>
            <w:hyperlink w:anchor="Frage_Nr_7" w:tooltip="Frage Nr 7" w:history="1">
              <w:r w:rsidR="009B7130">
                <w:rPr>
                  <w:rStyle w:val="Hyperlink"/>
                  <w:szCs w:val="24"/>
                </w:rPr>
                <w:t>Ski-WM 2027</w:t>
              </w:r>
              <w:r w:rsidR="009B7130">
                <w:rPr>
                  <w:rStyle w:val="Hyperlink"/>
                  <w:szCs w:val="24"/>
                </w:rPr>
                <w:tab/>
                <w:t>7</w:t>
              </w:r>
            </w:hyperlink>
          </w:p>
        </w:tc>
      </w:tr>
      <w:tr w:rsidR="009B7130" w:rsidRPr="005833DD" w14:paraId="00D73B2D" w14:textId="77777777" w:rsidTr="001F3CDA">
        <w:tc>
          <w:tcPr>
            <w:tcW w:w="5000" w:type="pct"/>
          </w:tcPr>
          <w:p w14:paraId="3C96D0DB" w14:textId="77777777" w:rsidR="009B7130" w:rsidRDefault="009B7130" w:rsidP="009B7130">
            <w:pPr>
              <w:pStyle w:val="LTVerzDerFragenden"/>
            </w:pPr>
            <w:r>
              <w:t>Hiersemann, Alexandra (SPD)</w:t>
            </w:r>
          </w:p>
        </w:tc>
      </w:tr>
      <w:tr w:rsidR="009B7130" w:rsidRPr="005833DD" w14:paraId="69F34049" w14:textId="77777777" w:rsidTr="001F3CDA">
        <w:tc>
          <w:tcPr>
            <w:tcW w:w="5000" w:type="pct"/>
          </w:tcPr>
          <w:p w14:paraId="5C05EA1D" w14:textId="721F0A2E" w:rsidR="009B7130" w:rsidRDefault="007A064D" w:rsidP="009B7130">
            <w:pPr>
              <w:pStyle w:val="LTVerzDerFragendenFrage"/>
            </w:pPr>
            <w:hyperlink w:anchor="Frage_Nr_8" w:tooltip="Frage Nr 8" w:history="1">
              <w:r w:rsidR="009B7130">
                <w:rPr>
                  <w:rStyle w:val="Hyperlink"/>
                  <w:szCs w:val="24"/>
                </w:rPr>
                <w:t>Ausstellung von Grenzübertrittsbescheinigungen</w:t>
              </w:r>
              <w:r w:rsidR="009B7130">
                <w:rPr>
                  <w:rStyle w:val="Hyperlink"/>
                  <w:szCs w:val="24"/>
                </w:rPr>
                <w:tab/>
                <w:t>8</w:t>
              </w:r>
            </w:hyperlink>
          </w:p>
        </w:tc>
      </w:tr>
      <w:tr w:rsidR="009B7130" w:rsidRPr="005833DD" w14:paraId="06871D15" w14:textId="77777777" w:rsidTr="001F3CDA">
        <w:tc>
          <w:tcPr>
            <w:tcW w:w="5000" w:type="pct"/>
          </w:tcPr>
          <w:p w14:paraId="33F62F73" w14:textId="77777777" w:rsidR="009B7130" w:rsidRDefault="009B7130" w:rsidP="009B7130">
            <w:pPr>
              <w:pStyle w:val="LTVerzDerFragenden"/>
            </w:pPr>
            <w:r>
              <w:t>Dr. Kaltenhauser, Helmut (FDP)</w:t>
            </w:r>
          </w:p>
        </w:tc>
      </w:tr>
      <w:tr w:rsidR="009B7130" w:rsidRPr="005833DD" w14:paraId="4C7663C4" w14:textId="77777777" w:rsidTr="001F3CDA">
        <w:tc>
          <w:tcPr>
            <w:tcW w:w="5000" w:type="pct"/>
          </w:tcPr>
          <w:p w14:paraId="08735AFD" w14:textId="2BD67B4D" w:rsidR="009B7130" w:rsidRDefault="007A064D" w:rsidP="009B7130">
            <w:pPr>
              <w:pStyle w:val="LTVerzDerFragendenFrage"/>
            </w:pPr>
            <w:hyperlink w:anchor="Frage_Nr_26" w:tooltip="Frage Nr 26" w:history="1">
              <w:r w:rsidR="009B7130">
                <w:rPr>
                  <w:rStyle w:val="Hyperlink"/>
                  <w:szCs w:val="24"/>
                </w:rPr>
                <w:t>Erkenntnisse der Staatsanwaltschaft München zu Marsaleks Fluchthelfer</w:t>
              </w:r>
              <w:r w:rsidR="009B7130">
                <w:rPr>
                  <w:rStyle w:val="Hyperlink"/>
                  <w:szCs w:val="24"/>
                </w:rPr>
                <w:tab/>
                <w:t>26</w:t>
              </w:r>
            </w:hyperlink>
          </w:p>
        </w:tc>
      </w:tr>
      <w:tr w:rsidR="009B7130" w:rsidRPr="005833DD" w14:paraId="0C027ADE" w14:textId="77777777" w:rsidTr="001F3CDA">
        <w:tc>
          <w:tcPr>
            <w:tcW w:w="5000" w:type="pct"/>
          </w:tcPr>
          <w:p w14:paraId="74DE3775" w14:textId="77777777" w:rsidR="009B7130" w:rsidRDefault="009B7130" w:rsidP="009B7130">
            <w:pPr>
              <w:pStyle w:val="LTVerzDerFragenden"/>
            </w:pPr>
            <w:r>
              <w:t>Karl, Annette (SPD)</w:t>
            </w:r>
          </w:p>
        </w:tc>
      </w:tr>
      <w:tr w:rsidR="009B7130" w:rsidRPr="005833DD" w14:paraId="17A3A7C3" w14:textId="77777777" w:rsidTr="001F3CDA">
        <w:tc>
          <w:tcPr>
            <w:tcW w:w="5000" w:type="pct"/>
          </w:tcPr>
          <w:p w14:paraId="563057C3" w14:textId="5E4504B9" w:rsidR="009B7130" w:rsidRDefault="007A064D" w:rsidP="009B7130">
            <w:pPr>
              <w:pStyle w:val="LTVerzDerFragendenFrage"/>
            </w:pPr>
            <w:hyperlink w:anchor="Frage_Nr_9" w:tooltip="Frage Nr 9" w:history="1">
              <w:r w:rsidR="009B7130">
                <w:rPr>
                  <w:rStyle w:val="Hyperlink"/>
                  <w:szCs w:val="24"/>
                </w:rPr>
                <w:t>Fördermittel vergriffen: Vorerst keine weiteren Sirenen in Konnersreuth</w:t>
              </w:r>
              <w:r w:rsidR="009B7130">
                <w:rPr>
                  <w:rStyle w:val="Hyperlink"/>
                  <w:szCs w:val="24"/>
                </w:rPr>
                <w:tab/>
                <w:t>9</w:t>
              </w:r>
            </w:hyperlink>
          </w:p>
        </w:tc>
      </w:tr>
      <w:tr w:rsidR="009B7130" w:rsidRPr="005833DD" w14:paraId="2FA8B321" w14:textId="77777777" w:rsidTr="001F3CDA">
        <w:tc>
          <w:tcPr>
            <w:tcW w:w="5000" w:type="pct"/>
          </w:tcPr>
          <w:p w14:paraId="7C67A819" w14:textId="77777777" w:rsidR="009B7130" w:rsidRDefault="009B7130" w:rsidP="009B7130">
            <w:pPr>
              <w:pStyle w:val="LTVerzDerFragenden"/>
            </w:pPr>
            <w:r>
              <w:t>Klingen, Christian (AfD)</w:t>
            </w:r>
          </w:p>
        </w:tc>
      </w:tr>
      <w:tr w:rsidR="009B7130" w:rsidRPr="005833DD" w14:paraId="18F96559" w14:textId="77777777" w:rsidTr="001F3CDA">
        <w:tc>
          <w:tcPr>
            <w:tcW w:w="5000" w:type="pct"/>
          </w:tcPr>
          <w:p w14:paraId="75ECD020" w14:textId="18D31F8D" w:rsidR="009B7130" w:rsidRDefault="007A064D" w:rsidP="009B7130">
            <w:pPr>
              <w:pStyle w:val="LTVerzDerFragendenFrage"/>
            </w:pPr>
            <w:hyperlink w:anchor="Frage_Nr_61" w:tooltip="Frage Nr 61" w:history="1">
              <w:r w:rsidR="009B7130">
                <w:rPr>
                  <w:rStyle w:val="Hyperlink"/>
                  <w:szCs w:val="24"/>
                </w:rPr>
                <w:t>HIV-Variante aus den Niederlanden</w:t>
              </w:r>
              <w:r w:rsidR="009B7130">
                <w:rPr>
                  <w:rStyle w:val="Hyperlink"/>
                  <w:szCs w:val="24"/>
                </w:rPr>
                <w:tab/>
                <w:t>61</w:t>
              </w:r>
            </w:hyperlink>
          </w:p>
        </w:tc>
      </w:tr>
      <w:tr w:rsidR="009B7130" w:rsidRPr="005833DD" w14:paraId="6689722E" w14:textId="77777777" w:rsidTr="001F3CDA">
        <w:tc>
          <w:tcPr>
            <w:tcW w:w="5000" w:type="pct"/>
          </w:tcPr>
          <w:p w14:paraId="32B1B56A" w14:textId="77777777" w:rsidR="009B7130" w:rsidRDefault="009B7130" w:rsidP="009B7130">
            <w:pPr>
              <w:pStyle w:val="LTVerzDerFragenden"/>
            </w:pPr>
            <w:r>
              <w:lastRenderedPageBreak/>
              <w:t>Kohnen, Natascha (SPD)</w:t>
            </w:r>
          </w:p>
        </w:tc>
      </w:tr>
      <w:tr w:rsidR="009B7130" w:rsidRPr="005833DD" w14:paraId="6CBE0B0B" w14:textId="77777777" w:rsidTr="001F3CDA">
        <w:tc>
          <w:tcPr>
            <w:tcW w:w="5000" w:type="pct"/>
          </w:tcPr>
          <w:p w14:paraId="41EE4446" w14:textId="766E1EBD" w:rsidR="009B7130" w:rsidRDefault="007A064D" w:rsidP="009B7130">
            <w:pPr>
              <w:pStyle w:val="LTVerzDerFragendenFrage"/>
            </w:pPr>
            <w:hyperlink w:anchor="Frage_Nr_21" w:tooltip="Frage Nr 21" w:history="1">
              <w:r w:rsidR="009B7130">
                <w:rPr>
                  <w:rStyle w:val="Hyperlink"/>
                  <w:szCs w:val="24"/>
                </w:rPr>
                <w:t>Mieterhöhungen in Unterkünften für Studierende</w:t>
              </w:r>
              <w:r w:rsidR="009B7130">
                <w:rPr>
                  <w:rStyle w:val="Hyperlink"/>
                  <w:szCs w:val="24"/>
                </w:rPr>
                <w:tab/>
                <w:t>21</w:t>
              </w:r>
            </w:hyperlink>
          </w:p>
        </w:tc>
      </w:tr>
      <w:tr w:rsidR="009B7130" w:rsidRPr="005833DD" w14:paraId="7C051973" w14:textId="77777777" w:rsidTr="001F3CDA">
        <w:tc>
          <w:tcPr>
            <w:tcW w:w="5000" w:type="pct"/>
          </w:tcPr>
          <w:p w14:paraId="51BA8820" w14:textId="77777777" w:rsidR="009B7130" w:rsidRDefault="009B7130" w:rsidP="009B7130">
            <w:pPr>
              <w:pStyle w:val="LTVerzDerFragenden"/>
            </w:pPr>
            <w:r>
              <w:t>Krahl, Andreas (BÜNDNIS 90/DIE GRÜNEN)</w:t>
            </w:r>
          </w:p>
        </w:tc>
      </w:tr>
      <w:tr w:rsidR="009B7130" w:rsidRPr="005833DD" w14:paraId="3B8828F7" w14:textId="77777777" w:rsidTr="001F3CDA">
        <w:tc>
          <w:tcPr>
            <w:tcW w:w="5000" w:type="pct"/>
          </w:tcPr>
          <w:p w14:paraId="6AAE4B35" w14:textId="799E338A" w:rsidR="009B7130" w:rsidRDefault="007A064D" w:rsidP="009B7130">
            <w:pPr>
              <w:pStyle w:val="LTVerzDerFragendenFrage"/>
            </w:pPr>
            <w:hyperlink w:anchor="Frage_Nr_10" w:tooltip="Frage Nr 10" w:history="1">
              <w:r w:rsidR="009B7130">
                <w:rPr>
                  <w:rStyle w:val="Hyperlink"/>
                  <w:szCs w:val="24"/>
                </w:rPr>
                <w:t>Ski-WM 2027</w:t>
              </w:r>
              <w:r w:rsidR="009B7130">
                <w:rPr>
                  <w:rStyle w:val="Hyperlink"/>
                  <w:szCs w:val="24"/>
                </w:rPr>
                <w:tab/>
                <w:t>10</w:t>
              </w:r>
            </w:hyperlink>
          </w:p>
        </w:tc>
      </w:tr>
      <w:tr w:rsidR="009B7130" w:rsidRPr="005833DD" w14:paraId="7C529CAB" w14:textId="77777777" w:rsidTr="001F3CDA">
        <w:tc>
          <w:tcPr>
            <w:tcW w:w="5000" w:type="pct"/>
          </w:tcPr>
          <w:p w14:paraId="7198571B" w14:textId="77777777" w:rsidR="009B7130" w:rsidRDefault="009B7130" w:rsidP="009B7130">
            <w:pPr>
              <w:pStyle w:val="LTVerzDerFragenden"/>
            </w:pPr>
            <w:r>
              <w:t>Kurz, Susanne (BÜNDNIS 90/DIE GRÜNEN)</w:t>
            </w:r>
          </w:p>
        </w:tc>
      </w:tr>
      <w:tr w:rsidR="009B7130" w:rsidRPr="005833DD" w14:paraId="3051B044" w14:textId="77777777" w:rsidTr="001F3CDA">
        <w:tc>
          <w:tcPr>
            <w:tcW w:w="5000" w:type="pct"/>
          </w:tcPr>
          <w:p w14:paraId="085141B0" w14:textId="452C3124" w:rsidR="009B7130" w:rsidRDefault="007A064D" w:rsidP="009B7130">
            <w:pPr>
              <w:pStyle w:val="LTVerzDerFragendenFrage"/>
            </w:pPr>
            <w:hyperlink w:anchor="Frage_Nr_46" w:tooltip="Frage Nr 46" w:history="1">
              <w:r w:rsidR="009B7130">
                <w:rPr>
                  <w:rStyle w:val="Hyperlink"/>
                  <w:szCs w:val="24"/>
                </w:rPr>
                <w:t>Perspektiven für Schausteller, Marktkaufleute und Festwirte</w:t>
              </w:r>
              <w:r w:rsidR="009B7130">
                <w:rPr>
                  <w:rStyle w:val="Hyperlink"/>
                  <w:szCs w:val="24"/>
                </w:rPr>
                <w:tab/>
                <w:t>46</w:t>
              </w:r>
            </w:hyperlink>
          </w:p>
        </w:tc>
      </w:tr>
      <w:tr w:rsidR="009B7130" w:rsidRPr="005833DD" w14:paraId="69BF7E51" w14:textId="77777777" w:rsidTr="001F3CDA">
        <w:tc>
          <w:tcPr>
            <w:tcW w:w="5000" w:type="pct"/>
          </w:tcPr>
          <w:p w14:paraId="48E3E470" w14:textId="77777777" w:rsidR="009B7130" w:rsidRDefault="009B7130" w:rsidP="009B7130">
            <w:pPr>
              <w:pStyle w:val="LTVerzDerFragenden"/>
            </w:pPr>
            <w:r>
              <w:t>Körber, Sebastian (FDP)</w:t>
            </w:r>
          </w:p>
        </w:tc>
      </w:tr>
      <w:tr w:rsidR="009B7130" w:rsidRPr="005833DD" w14:paraId="15FE4C80" w14:textId="77777777" w:rsidTr="001F3CDA">
        <w:tc>
          <w:tcPr>
            <w:tcW w:w="5000" w:type="pct"/>
          </w:tcPr>
          <w:p w14:paraId="725DDD43" w14:textId="4B65FD3B" w:rsidR="009B7130" w:rsidRDefault="007A064D" w:rsidP="009B7130">
            <w:pPr>
              <w:pStyle w:val="LTVerzDerFragendenFrage"/>
            </w:pPr>
            <w:hyperlink w:anchor="Frage_Nr_22" w:tooltip="Frage Nr 22" w:history="1">
              <w:r w:rsidR="009B7130">
                <w:rPr>
                  <w:rStyle w:val="Hyperlink"/>
                  <w:szCs w:val="24"/>
                </w:rPr>
                <w:t>Stufenweise zum Flughafen München</w:t>
              </w:r>
              <w:r w:rsidR="009B7130">
                <w:rPr>
                  <w:rStyle w:val="Hyperlink"/>
                  <w:szCs w:val="24"/>
                </w:rPr>
                <w:tab/>
                <w:t>22</w:t>
              </w:r>
            </w:hyperlink>
          </w:p>
        </w:tc>
      </w:tr>
      <w:tr w:rsidR="009B7130" w:rsidRPr="005833DD" w14:paraId="6C0EC228" w14:textId="77777777" w:rsidTr="001F3CDA">
        <w:tc>
          <w:tcPr>
            <w:tcW w:w="5000" w:type="pct"/>
          </w:tcPr>
          <w:p w14:paraId="57C99966" w14:textId="77777777" w:rsidR="009B7130" w:rsidRDefault="009B7130" w:rsidP="009B7130">
            <w:pPr>
              <w:pStyle w:val="LTVerzDerFragenden"/>
            </w:pPr>
            <w:r>
              <w:t>Lettenbauer, Eva (BÜNDNIS 90/DIE GRÜNEN)</w:t>
            </w:r>
          </w:p>
        </w:tc>
      </w:tr>
      <w:tr w:rsidR="009B7130" w:rsidRPr="005833DD" w14:paraId="3BB0ABC5" w14:textId="77777777" w:rsidTr="001F3CDA">
        <w:tc>
          <w:tcPr>
            <w:tcW w:w="5000" w:type="pct"/>
          </w:tcPr>
          <w:p w14:paraId="0D3B6C26" w14:textId="22B0A165" w:rsidR="009B7130" w:rsidRDefault="007A064D" w:rsidP="009B7130">
            <w:pPr>
              <w:pStyle w:val="LTVerzDerFragendenFrage"/>
            </w:pPr>
            <w:hyperlink w:anchor="Frage_Nr_55" w:tooltip="Frage Nr 55" w:history="1">
              <w:r w:rsidR="009B7130">
                <w:rPr>
                  <w:rStyle w:val="Hyperlink"/>
                  <w:szCs w:val="24"/>
                </w:rPr>
                <w:t>Ein-Eltern-Familien in Bayern</w:t>
              </w:r>
              <w:r w:rsidR="009B7130">
                <w:rPr>
                  <w:rStyle w:val="Hyperlink"/>
                  <w:szCs w:val="24"/>
                </w:rPr>
                <w:tab/>
                <w:t>55</w:t>
              </w:r>
            </w:hyperlink>
          </w:p>
        </w:tc>
      </w:tr>
      <w:tr w:rsidR="009B7130" w:rsidRPr="005833DD" w14:paraId="25CF3F1A" w14:textId="77777777" w:rsidTr="001F3CDA">
        <w:tc>
          <w:tcPr>
            <w:tcW w:w="5000" w:type="pct"/>
          </w:tcPr>
          <w:p w14:paraId="03BA86BA" w14:textId="77777777" w:rsidR="009B7130" w:rsidRDefault="009B7130" w:rsidP="009B7130">
            <w:pPr>
              <w:pStyle w:val="LTVerzDerFragenden"/>
            </w:pPr>
            <w:r>
              <w:t>Magerl, Roland (AfD)</w:t>
            </w:r>
          </w:p>
        </w:tc>
      </w:tr>
      <w:tr w:rsidR="009B7130" w:rsidRPr="005833DD" w14:paraId="1961BA24" w14:textId="77777777" w:rsidTr="001F3CDA">
        <w:tc>
          <w:tcPr>
            <w:tcW w:w="5000" w:type="pct"/>
          </w:tcPr>
          <w:p w14:paraId="1AB47E65" w14:textId="6D2C54D0" w:rsidR="009B7130" w:rsidRDefault="007A064D" w:rsidP="009B7130">
            <w:pPr>
              <w:pStyle w:val="LTVerzDerFragendenFrage"/>
            </w:pPr>
            <w:hyperlink w:anchor="Frage_Nr_11" w:tooltip="Frage Nr 11" w:history="1">
              <w:r w:rsidR="009B7130">
                <w:rPr>
                  <w:rStyle w:val="Hyperlink"/>
                  <w:szCs w:val="24"/>
                </w:rPr>
                <w:t>Kompetenzen von Notfallsanitätern in Bayern</w:t>
              </w:r>
              <w:r w:rsidR="009B7130">
                <w:rPr>
                  <w:rStyle w:val="Hyperlink"/>
                  <w:szCs w:val="24"/>
                </w:rPr>
                <w:tab/>
                <w:t>11</w:t>
              </w:r>
            </w:hyperlink>
          </w:p>
        </w:tc>
      </w:tr>
      <w:tr w:rsidR="009B7130" w:rsidRPr="005833DD" w14:paraId="7CDE5DE6" w14:textId="77777777" w:rsidTr="001F3CDA">
        <w:tc>
          <w:tcPr>
            <w:tcW w:w="5000" w:type="pct"/>
          </w:tcPr>
          <w:p w14:paraId="552EBB90" w14:textId="77777777" w:rsidR="009B7130" w:rsidRDefault="009B7130" w:rsidP="009B7130">
            <w:pPr>
              <w:pStyle w:val="LTVerzDerFragenden"/>
            </w:pPr>
            <w:r>
              <w:t>Maier, Christoph (AfD)</w:t>
            </w:r>
          </w:p>
        </w:tc>
      </w:tr>
      <w:tr w:rsidR="009B7130" w:rsidRPr="005833DD" w14:paraId="1D0A9E67" w14:textId="77777777" w:rsidTr="001F3CDA">
        <w:tc>
          <w:tcPr>
            <w:tcW w:w="5000" w:type="pct"/>
          </w:tcPr>
          <w:p w14:paraId="79C5318B" w14:textId="58BEA772" w:rsidR="009B7130" w:rsidRDefault="007A064D" w:rsidP="009B7130">
            <w:pPr>
              <w:pStyle w:val="LTVerzDerFragendenFrage"/>
            </w:pPr>
            <w:hyperlink w:anchor="Frage_Nr_62" w:tooltip="Frage Nr 62" w:history="1">
              <w:r w:rsidR="009B7130">
                <w:rPr>
                  <w:rStyle w:val="Hyperlink"/>
                  <w:szCs w:val="24"/>
                </w:rPr>
                <w:t>Kli</w:t>
              </w:r>
              <w:r w:rsidR="00557567">
                <w:rPr>
                  <w:rStyle w:val="Hyperlink"/>
                  <w:szCs w:val="24"/>
                </w:rPr>
                <w:t>niken im Landkreis Dillingen a. </w:t>
              </w:r>
              <w:r w:rsidR="009B7130">
                <w:rPr>
                  <w:rStyle w:val="Hyperlink"/>
                  <w:szCs w:val="24"/>
                </w:rPr>
                <w:t>d. Donau</w:t>
              </w:r>
              <w:r w:rsidR="009B7130">
                <w:rPr>
                  <w:rStyle w:val="Hyperlink"/>
                  <w:szCs w:val="24"/>
                </w:rPr>
                <w:tab/>
                <w:t>62</w:t>
              </w:r>
            </w:hyperlink>
          </w:p>
        </w:tc>
      </w:tr>
      <w:tr w:rsidR="009B7130" w:rsidRPr="005833DD" w14:paraId="2C04561A" w14:textId="77777777" w:rsidTr="001F3CDA">
        <w:tc>
          <w:tcPr>
            <w:tcW w:w="5000" w:type="pct"/>
          </w:tcPr>
          <w:p w14:paraId="3B6BA777" w14:textId="77777777" w:rsidR="009B7130" w:rsidRDefault="009B7130" w:rsidP="009B7130">
            <w:pPr>
              <w:pStyle w:val="LTVerzDerFragenden"/>
            </w:pPr>
            <w:r>
              <w:t>Markwort, Helmut (FDP)</w:t>
            </w:r>
          </w:p>
        </w:tc>
      </w:tr>
      <w:tr w:rsidR="009B7130" w:rsidRPr="005833DD" w14:paraId="5498A2CD" w14:textId="77777777" w:rsidTr="001F3CDA">
        <w:tc>
          <w:tcPr>
            <w:tcW w:w="5000" w:type="pct"/>
          </w:tcPr>
          <w:p w14:paraId="3D67DD11" w14:textId="252AB23B" w:rsidR="009B7130" w:rsidRDefault="007A064D" w:rsidP="009B7130">
            <w:pPr>
              <w:pStyle w:val="LTVerzDerFragendenFrage"/>
            </w:pPr>
            <w:hyperlink w:anchor="Frage_Nr_27" w:tooltip="Frage Nr 27" w:history="1">
              <w:r w:rsidR="009B7130">
                <w:rPr>
                  <w:rStyle w:val="Hyperlink"/>
                  <w:szCs w:val="24"/>
                </w:rPr>
                <w:t>Suisse Secrets</w:t>
              </w:r>
              <w:r w:rsidR="009B7130">
                <w:rPr>
                  <w:rStyle w:val="Hyperlink"/>
                  <w:szCs w:val="24"/>
                </w:rPr>
                <w:tab/>
                <w:t>27</w:t>
              </w:r>
            </w:hyperlink>
          </w:p>
        </w:tc>
      </w:tr>
      <w:tr w:rsidR="009B7130" w:rsidRPr="005833DD" w14:paraId="6C127ED6" w14:textId="77777777" w:rsidTr="001F3CDA">
        <w:tc>
          <w:tcPr>
            <w:tcW w:w="5000" w:type="pct"/>
          </w:tcPr>
          <w:p w14:paraId="7EAA7334" w14:textId="77777777" w:rsidR="009B7130" w:rsidRDefault="009B7130" w:rsidP="009B7130">
            <w:pPr>
              <w:pStyle w:val="LTVerzDerFragenden"/>
            </w:pPr>
            <w:r>
              <w:t>Mistol, Jürgen (BÜNDNIS 90/DIE GRÜNEN)</w:t>
            </w:r>
          </w:p>
        </w:tc>
      </w:tr>
      <w:tr w:rsidR="009B7130" w:rsidRPr="005833DD" w14:paraId="29826BA3" w14:textId="77777777" w:rsidTr="001F3CDA">
        <w:tc>
          <w:tcPr>
            <w:tcW w:w="5000" w:type="pct"/>
          </w:tcPr>
          <w:p w14:paraId="1C98B5C8" w14:textId="720457E6" w:rsidR="009B7130" w:rsidRDefault="007A064D" w:rsidP="009B7130">
            <w:pPr>
              <w:pStyle w:val="LTVerzDerFragendenFrage"/>
            </w:pPr>
            <w:hyperlink w:anchor="Frage_Nr_23" w:tooltip="Frage Nr 23" w:history="1">
              <w:r w:rsidR="009B7130">
                <w:rPr>
                  <w:rStyle w:val="Hyperlink"/>
                  <w:szCs w:val="24"/>
                </w:rPr>
                <w:t>Regio-S-Bahn-Netz Regensburg</w:t>
              </w:r>
              <w:r w:rsidR="009B7130">
                <w:rPr>
                  <w:rStyle w:val="Hyperlink"/>
                  <w:szCs w:val="24"/>
                </w:rPr>
                <w:tab/>
                <w:t>23</w:t>
              </w:r>
            </w:hyperlink>
          </w:p>
        </w:tc>
      </w:tr>
      <w:tr w:rsidR="009B7130" w:rsidRPr="005833DD" w14:paraId="30AC10C2" w14:textId="77777777" w:rsidTr="001F3CDA">
        <w:tc>
          <w:tcPr>
            <w:tcW w:w="5000" w:type="pct"/>
          </w:tcPr>
          <w:p w14:paraId="0B68059D" w14:textId="77777777" w:rsidR="009B7130" w:rsidRDefault="009B7130" w:rsidP="009B7130">
            <w:pPr>
              <w:pStyle w:val="LTVerzDerFragenden"/>
            </w:pPr>
            <w:r>
              <w:t>Monatzeder, Hep (BÜNDNIS 90/DIE GRÜNEN)</w:t>
            </w:r>
          </w:p>
        </w:tc>
      </w:tr>
      <w:tr w:rsidR="009B7130" w:rsidRPr="005833DD" w14:paraId="5E674213" w14:textId="77777777" w:rsidTr="001F3CDA">
        <w:tc>
          <w:tcPr>
            <w:tcW w:w="5000" w:type="pct"/>
          </w:tcPr>
          <w:p w14:paraId="540BA935" w14:textId="2BAD03EC" w:rsidR="009B7130" w:rsidRDefault="007A064D" w:rsidP="009B7130">
            <w:pPr>
              <w:pStyle w:val="LTVerzDerFragendenFrage"/>
            </w:pPr>
            <w:hyperlink w:anchor="Frage_Nr_56" w:tooltip="Frage Nr 56" w:history="1">
              <w:r w:rsidR="00557567">
                <w:rPr>
                  <w:rStyle w:val="Hyperlink"/>
                  <w:szCs w:val="24"/>
                </w:rPr>
                <w:t>Gebärdensprachdolmetscher</w:t>
              </w:r>
              <w:r w:rsidR="009B7130">
                <w:rPr>
                  <w:rStyle w:val="Hyperlink"/>
                  <w:szCs w:val="24"/>
                </w:rPr>
                <w:t xml:space="preserve">innen </w:t>
              </w:r>
              <w:r w:rsidR="00557567">
                <w:rPr>
                  <w:rStyle w:val="Hyperlink"/>
                  <w:szCs w:val="24"/>
                </w:rPr>
                <w:t>bzw. Gebärdensprachdolmetscher</w:t>
              </w:r>
              <w:r w:rsidR="00557567">
                <w:rPr>
                  <w:rStyle w:val="Hyperlink"/>
                  <w:szCs w:val="24"/>
                </w:rPr>
                <w:br/>
              </w:r>
              <w:r w:rsidR="009B7130">
                <w:rPr>
                  <w:rStyle w:val="Hyperlink"/>
                  <w:szCs w:val="24"/>
                </w:rPr>
                <w:t>in der Kinder- und Jugendhilfe</w:t>
              </w:r>
              <w:r w:rsidR="009B7130">
                <w:rPr>
                  <w:rStyle w:val="Hyperlink"/>
                  <w:szCs w:val="24"/>
                </w:rPr>
                <w:tab/>
                <w:t>56</w:t>
              </w:r>
            </w:hyperlink>
          </w:p>
        </w:tc>
      </w:tr>
      <w:tr w:rsidR="009B7130" w:rsidRPr="005833DD" w14:paraId="5F464D7A" w14:textId="77777777" w:rsidTr="001F3CDA">
        <w:tc>
          <w:tcPr>
            <w:tcW w:w="5000" w:type="pct"/>
          </w:tcPr>
          <w:p w14:paraId="3A5EBB5A" w14:textId="77777777" w:rsidR="009B7130" w:rsidRDefault="009B7130" w:rsidP="009B7130">
            <w:pPr>
              <w:pStyle w:val="LTVerzDerFragenden"/>
            </w:pPr>
            <w:r>
              <w:t>Muthmann, Alexander (FDP)</w:t>
            </w:r>
          </w:p>
        </w:tc>
      </w:tr>
      <w:tr w:rsidR="009B7130" w:rsidRPr="005833DD" w14:paraId="3CB622DA" w14:textId="77777777" w:rsidTr="001F3CDA">
        <w:tc>
          <w:tcPr>
            <w:tcW w:w="5000" w:type="pct"/>
          </w:tcPr>
          <w:p w14:paraId="27171CBC" w14:textId="277C47D5" w:rsidR="009B7130" w:rsidRDefault="007A064D" w:rsidP="009B7130">
            <w:pPr>
              <w:pStyle w:val="LTVerzDerFragendenFrage"/>
            </w:pPr>
            <w:hyperlink w:anchor="Frage_Nr_12" w:tooltip="Frage Nr 12" w:history="1">
              <w:r w:rsidR="009B7130">
                <w:rPr>
                  <w:rStyle w:val="Hyperlink"/>
                  <w:szCs w:val="24"/>
                </w:rPr>
                <w:t>Mobile Police</w:t>
              </w:r>
              <w:r w:rsidR="009B7130">
                <w:rPr>
                  <w:rStyle w:val="Hyperlink"/>
                  <w:szCs w:val="24"/>
                </w:rPr>
                <w:tab/>
                <w:t>12</w:t>
              </w:r>
            </w:hyperlink>
          </w:p>
        </w:tc>
      </w:tr>
      <w:tr w:rsidR="009B7130" w:rsidRPr="005833DD" w14:paraId="3AE65FA9" w14:textId="77777777" w:rsidTr="001F3CDA">
        <w:tc>
          <w:tcPr>
            <w:tcW w:w="5000" w:type="pct"/>
          </w:tcPr>
          <w:p w14:paraId="3263D4C5" w14:textId="77777777" w:rsidR="009B7130" w:rsidRDefault="009B7130" w:rsidP="009B7130">
            <w:pPr>
              <w:pStyle w:val="LTVerzDerFragenden"/>
            </w:pPr>
            <w:r>
              <w:t>Müller, Ruth (SPD)</w:t>
            </w:r>
          </w:p>
        </w:tc>
      </w:tr>
      <w:tr w:rsidR="009B7130" w:rsidRPr="005833DD" w14:paraId="54F3B2FF" w14:textId="77777777" w:rsidTr="001F3CDA">
        <w:tc>
          <w:tcPr>
            <w:tcW w:w="5000" w:type="pct"/>
          </w:tcPr>
          <w:p w14:paraId="32F0A4EC" w14:textId="65DC7AB6" w:rsidR="009B7130" w:rsidRDefault="007A064D" w:rsidP="009B7130">
            <w:pPr>
              <w:pStyle w:val="LTVerzDerFragendenFrage"/>
            </w:pPr>
            <w:hyperlink w:anchor="Frage_Nr_54" w:tooltip="Frage Nr 54" w:history="1">
              <w:r w:rsidR="009B7130">
                <w:rPr>
                  <w:rStyle w:val="Hyperlink"/>
                  <w:szCs w:val="24"/>
                </w:rPr>
                <w:t>Kriterien und Förderrichtlinien für bayerische Agri-Photovoltaikanlagen</w:t>
              </w:r>
              <w:r w:rsidR="009B7130">
                <w:rPr>
                  <w:rStyle w:val="Hyperlink"/>
                  <w:szCs w:val="24"/>
                </w:rPr>
                <w:tab/>
                <w:t>54</w:t>
              </w:r>
            </w:hyperlink>
          </w:p>
        </w:tc>
      </w:tr>
      <w:tr w:rsidR="009B7130" w:rsidRPr="005833DD" w14:paraId="7E003E27" w14:textId="77777777" w:rsidTr="001F3CDA">
        <w:tc>
          <w:tcPr>
            <w:tcW w:w="5000" w:type="pct"/>
          </w:tcPr>
          <w:p w14:paraId="2426C27F" w14:textId="77777777" w:rsidR="009B7130" w:rsidRDefault="009B7130" w:rsidP="009B7130">
            <w:pPr>
              <w:pStyle w:val="LTVerzDerFragenden"/>
            </w:pPr>
            <w:r>
              <w:t>Osgyan, Verena (BÜNDNIS 90/DIE GRÜNEN)</w:t>
            </w:r>
          </w:p>
        </w:tc>
      </w:tr>
      <w:tr w:rsidR="009B7130" w:rsidRPr="005833DD" w14:paraId="1811B5AF" w14:textId="77777777" w:rsidTr="001F3CDA">
        <w:tc>
          <w:tcPr>
            <w:tcW w:w="5000" w:type="pct"/>
          </w:tcPr>
          <w:p w14:paraId="6A5D4AF6" w14:textId="565C8B22" w:rsidR="009B7130" w:rsidRDefault="007A064D" w:rsidP="009B7130">
            <w:pPr>
              <w:pStyle w:val="LTVerzDerFragendenFrage"/>
            </w:pPr>
            <w:hyperlink w:anchor="Frage_Nr_40" w:tooltip="Frage Nr 40" w:history="1">
              <w:r w:rsidR="009B7130">
                <w:rPr>
                  <w:rStyle w:val="Hyperlink"/>
                  <w:szCs w:val="24"/>
                </w:rPr>
                <w:t>Masterplan für die Friedrich-Alexander-Universität Erlangen-Nürnberg</w:t>
              </w:r>
              <w:r w:rsidR="009B7130">
                <w:rPr>
                  <w:rStyle w:val="Hyperlink"/>
                  <w:szCs w:val="24"/>
                </w:rPr>
                <w:tab/>
                <w:t>40</w:t>
              </w:r>
            </w:hyperlink>
          </w:p>
        </w:tc>
      </w:tr>
      <w:tr w:rsidR="009B7130" w:rsidRPr="005833DD" w14:paraId="41D226F0" w14:textId="77777777" w:rsidTr="001F3CDA">
        <w:tc>
          <w:tcPr>
            <w:tcW w:w="5000" w:type="pct"/>
          </w:tcPr>
          <w:p w14:paraId="7A73A6C7" w14:textId="77777777" w:rsidR="009B7130" w:rsidRDefault="009B7130" w:rsidP="009B7130">
            <w:pPr>
              <w:pStyle w:val="LTVerzDerFragenden"/>
            </w:pPr>
            <w:r>
              <w:t>Rauscher, Doris (SPD)</w:t>
            </w:r>
          </w:p>
        </w:tc>
      </w:tr>
      <w:tr w:rsidR="009B7130" w:rsidRPr="005833DD" w14:paraId="6B39460E" w14:textId="77777777" w:rsidTr="001F3CDA">
        <w:tc>
          <w:tcPr>
            <w:tcW w:w="5000" w:type="pct"/>
          </w:tcPr>
          <w:p w14:paraId="362CAEC3" w14:textId="37526A39" w:rsidR="009B7130" w:rsidRDefault="007A064D" w:rsidP="009B7130">
            <w:pPr>
              <w:pStyle w:val="LTVerzDerFragendenFrage"/>
            </w:pPr>
            <w:hyperlink w:anchor="Frage_Nr_57" w:tooltip="Frage Nr 57" w:history="1">
              <w:r w:rsidR="009B7130">
                <w:rPr>
                  <w:rStyle w:val="Hyperlink"/>
                  <w:szCs w:val="24"/>
                </w:rPr>
                <w:t>Pädagogische Qualitätsbegleitung in der Kita</w:t>
              </w:r>
              <w:r w:rsidR="009B7130">
                <w:rPr>
                  <w:rStyle w:val="Hyperlink"/>
                  <w:szCs w:val="24"/>
                </w:rPr>
                <w:tab/>
                <w:t>57</w:t>
              </w:r>
            </w:hyperlink>
          </w:p>
        </w:tc>
      </w:tr>
      <w:tr w:rsidR="009B7130" w:rsidRPr="005833DD" w14:paraId="5CA89964" w14:textId="77777777" w:rsidTr="001F3CDA">
        <w:tc>
          <w:tcPr>
            <w:tcW w:w="5000" w:type="pct"/>
          </w:tcPr>
          <w:p w14:paraId="0F41716A" w14:textId="77777777" w:rsidR="009B7130" w:rsidRDefault="009B7130" w:rsidP="009B7130">
            <w:pPr>
              <w:pStyle w:val="LTVerzDerFragenden"/>
            </w:pPr>
            <w:r>
              <w:t>Rinderspacher, Markus (SPD)</w:t>
            </w:r>
          </w:p>
        </w:tc>
      </w:tr>
      <w:tr w:rsidR="009B7130" w:rsidRPr="005833DD" w14:paraId="795F9EBA" w14:textId="77777777" w:rsidTr="001F3CDA">
        <w:tc>
          <w:tcPr>
            <w:tcW w:w="5000" w:type="pct"/>
          </w:tcPr>
          <w:p w14:paraId="4B117FC6" w14:textId="6FC1E27F" w:rsidR="009B7130" w:rsidRDefault="007A064D" w:rsidP="009B7130">
            <w:pPr>
              <w:pStyle w:val="LTVerzDerFragendenFrage"/>
            </w:pPr>
            <w:hyperlink w:anchor="Frage_Nr_13" w:tooltip="Frage Nr 13" w:history="1">
              <w:r w:rsidR="009B7130">
                <w:rPr>
                  <w:rStyle w:val="Hyperlink"/>
                  <w:szCs w:val="24"/>
                </w:rPr>
                <w:t>Rechtsabbiegeunfälle bei LKW in Bayern seit 2018</w:t>
              </w:r>
              <w:r w:rsidR="009B7130">
                <w:rPr>
                  <w:rStyle w:val="Hyperlink"/>
                  <w:szCs w:val="24"/>
                </w:rPr>
                <w:tab/>
                <w:t>13</w:t>
              </w:r>
            </w:hyperlink>
          </w:p>
        </w:tc>
      </w:tr>
      <w:tr w:rsidR="009B7130" w:rsidRPr="005833DD" w14:paraId="4CA91333" w14:textId="77777777" w:rsidTr="001F3CDA">
        <w:tc>
          <w:tcPr>
            <w:tcW w:w="5000" w:type="pct"/>
          </w:tcPr>
          <w:p w14:paraId="64593091" w14:textId="77777777" w:rsidR="009B7130" w:rsidRDefault="009B7130" w:rsidP="009B7130">
            <w:pPr>
              <w:pStyle w:val="LTVerzDerFragenden"/>
            </w:pPr>
            <w:r>
              <w:t>Sandt, Julika (FDP)</w:t>
            </w:r>
          </w:p>
        </w:tc>
      </w:tr>
      <w:tr w:rsidR="009B7130" w:rsidRPr="005833DD" w14:paraId="2F439F16" w14:textId="77777777" w:rsidTr="001F3CDA">
        <w:tc>
          <w:tcPr>
            <w:tcW w:w="5000" w:type="pct"/>
          </w:tcPr>
          <w:p w14:paraId="0D527448" w14:textId="7C1B2183" w:rsidR="009B7130" w:rsidRDefault="007A064D" w:rsidP="009B7130">
            <w:pPr>
              <w:pStyle w:val="LTVerzDerFragendenFrage"/>
            </w:pPr>
            <w:hyperlink w:anchor="Frage_Nr_34" w:tooltip="Frage Nr 34" w:history="1">
              <w:r w:rsidR="009B7130">
                <w:rPr>
                  <w:rStyle w:val="Hyperlink"/>
                  <w:szCs w:val="24"/>
                </w:rPr>
                <w:t>Raumluftreiniger an bayerischen Einrich</w:t>
              </w:r>
              <w:r w:rsidR="00557567">
                <w:rPr>
                  <w:rStyle w:val="Hyperlink"/>
                  <w:szCs w:val="24"/>
                </w:rPr>
                <w:t>tungen der Kindertagesbetreuung</w:t>
              </w:r>
              <w:r w:rsidR="00557567">
                <w:rPr>
                  <w:rStyle w:val="Hyperlink"/>
                  <w:szCs w:val="24"/>
                </w:rPr>
                <w:br/>
              </w:r>
              <w:r w:rsidR="009B7130">
                <w:rPr>
                  <w:rStyle w:val="Hyperlink"/>
                  <w:szCs w:val="24"/>
                </w:rPr>
                <w:t>und Schulen</w:t>
              </w:r>
              <w:r w:rsidR="009B7130">
                <w:rPr>
                  <w:rStyle w:val="Hyperlink"/>
                  <w:szCs w:val="24"/>
                </w:rPr>
                <w:tab/>
                <w:t>34</w:t>
              </w:r>
            </w:hyperlink>
          </w:p>
        </w:tc>
      </w:tr>
      <w:tr w:rsidR="009B7130" w:rsidRPr="005833DD" w14:paraId="7CC6FEC9" w14:textId="77777777" w:rsidTr="001F3CDA">
        <w:tc>
          <w:tcPr>
            <w:tcW w:w="5000" w:type="pct"/>
          </w:tcPr>
          <w:p w14:paraId="503AD9EB" w14:textId="77777777" w:rsidR="009B7130" w:rsidRDefault="009B7130" w:rsidP="009B7130">
            <w:pPr>
              <w:pStyle w:val="LTVerzDerFragenden"/>
            </w:pPr>
            <w:r>
              <w:t>Schiffers, Jan (AfD)</w:t>
            </w:r>
          </w:p>
        </w:tc>
      </w:tr>
      <w:tr w:rsidR="009B7130" w:rsidRPr="005833DD" w14:paraId="4076D78F" w14:textId="77777777" w:rsidTr="001F3CDA">
        <w:tc>
          <w:tcPr>
            <w:tcW w:w="5000" w:type="pct"/>
          </w:tcPr>
          <w:p w14:paraId="79294CDE" w14:textId="37E196B3" w:rsidR="009B7130" w:rsidRDefault="007A064D" w:rsidP="009B7130">
            <w:pPr>
              <w:pStyle w:val="LTVerzDerFragendenFrage"/>
            </w:pPr>
            <w:hyperlink w:anchor="Frage_Nr_14" w:tooltip="Frage Nr 14" w:history="1">
              <w:r w:rsidR="009B7130">
                <w:rPr>
                  <w:rStyle w:val="Hyperlink"/>
                  <w:szCs w:val="24"/>
                </w:rPr>
                <w:t xml:space="preserve">Beeinflussung der Bayerischen Verwaltungsgerichte durch das </w:t>
              </w:r>
              <w:r w:rsidR="006F49A4">
                <w:rPr>
                  <w:rStyle w:val="Hyperlink"/>
                  <w:szCs w:val="24"/>
                </w:rPr>
                <w:t>„</w:t>
              </w:r>
              <w:r w:rsidR="009B7130">
                <w:rPr>
                  <w:rStyle w:val="Hyperlink"/>
                  <w:szCs w:val="24"/>
                </w:rPr>
                <w:t>Deutsche Institut für Menschenrechte</w:t>
              </w:r>
              <w:r w:rsidR="006F49A4">
                <w:rPr>
                  <w:rStyle w:val="Hyperlink"/>
                  <w:szCs w:val="24"/>
                </w:rPr>
                <w:t>“</w:t>
              </w:r>
              <w:r w:rsidR="009B7130">
                <w:rPr>
                  <w:rStyle w:val="Hyperlink"/>
                  <w:szCs w:val="24"/>
                </w:rPr>
                <w:t>?</w:t>
              </w:r>
              <w:r w:rsidR="009B7130">
                <w:rPr>
                  <w:rStyle w:val="Hyperlink"/>
                  <w:szCs w:val="24"/>
                </w:rPr>
                <w:tab/>
                <w:t>14</w:t>
              </w:r>
            </w:hyperlink>
          </w:p>
        </w:tc>
      </w:tr>
      <w:tr w:rsidR="009B7130" w:rsidRPr="005833DD" w14:paraId="51B99F77" w14:textId="77777777" w:rsidTr="001F3CDA">
        <w:tc>
          <w:tcPr>
            <w:tcW w:w="5000" w:type="pct"/>
          </w:tcPr>
          <w:p w14:paraId="2A386CFB" w14:textId="77777777" w:rsidR="009B7130" w:rsidRDefault="009B7130" w:rsidP="009B7130">
            <w:pPr>
              <w:pStyle w:val="LTVerzDerFragenden"/>
            </w:pPr>
            <w:r>
              <w:t>Schuberl, Toni (BÜNDNIS 90/DIE GRÜNEN)</w:t>
            </w:r>
          </w:p>
        </w:tc>
      </w:tr>
      <w:tr w:rsidR="009B7130" w:rsidRPr="005833DD" w14:paraId="5B7D951F" w14:textId="77777777" w:rsidTr="001F3CDA">
        <w:tc>
          <w:tcPr>
            <w:tcW w:w="5000" w:type="pct"/>
          </w:tcPr>
          <w:p w14:paraId="5927809B" w14:textId="645F3175" w:rsidR="009B7130" w:rsidRDefault="007A064D" w:rsidP="009B7130">
            <w:pPr>
              <w:pStyle w:val="LTVerzDerFragendenFrage"/>
            </w:pPr>
            <w:hyperlink w:anchor="Frage_Nr_28" w:tooltip="Frage Nr 28" w:history="1">
              <w:r w:rsidR="009B7130">
                <w:rPr>
                  <w:rStyle w:val="Hyperlink"/>
                  <w:szCs w:val="24"/>
                </w:rPr>
                <w:t>Ermittlungen beim Bistum Passau</w:t>
              </w:r>
              <w:r w:rsidR="009B7130">
                <w:rPr>
                  <w:rStyle w:val="Hyperlink"/>
                  <w:szCs w:val="24"/>
                </w:rPr>
                <w:tab/>
                <w:t>28</w:t>
              </w:r>
            </w:hyperlink>
          </w:p>
        </w:tc>
      </w:tr>
      <w:tr w:rsidR="009B7130" w:rsidRPr="005833DD" w14:paraId="41BB4D4A" w14:textId="77777777" w:rsidTr="001F3CDA">
        <w:tc>
          <w:tcPr>
            <w:tcW w:w="5000" w:type="pct"/>
          </w:tcPr>
          <w:p w14:paraId="7BCEA5CB" w14:textId="77777777" w:rsidR="009B7130" w:rsidRDefault="009B7130" w:rsidP="009B7130">
            <w:pPr>
              <w:pStyle w:val="LTVerzDerFragenden"/>
            </w:pPr>
            <w:r>
              <w:t>Schuhknecht, Stephanie (BÜNDNIS 90/DIE GRÜNEN)</w:t>
            </w:r>
          </w:p>
        </w:tc>
      </w:tr>
      <w:tr w:rsidR="009B7130" w:rsidRPr="005833DD" w14:paraId="56663B42" w14:textId="77777777" w:rsidTr="001F3CDA">
        <w:tc>
          <w:tcPr>
            <w:tcW w:w="5000" w:type="pct"/>
          </w:tcPr>
          <w:p w14:paraId="4990E321" w14:textId="32F94CF1" w:rsidR="009B7130" w:rsidRDefault="007A064D" w:rsidP="009B7130">
            <w:pPr>
              <w:pStyle w:val="LTVerzDerFragendenFrage"/>
            </w:pPr>
            <w:hyperlink w:anchor="Frage_Nr_63" w:tooltip="Frage Nr 63" w:history="1">
              <w:r w:rsidR="009B7130">
                <w:rPr>
                  <w:rStyle w:val="Hyperlink"/>
                  <w:szCs w:val="24"/>
                </w:rPr>
                <w:t>Antigen-Schnelltests für Schulen</w:t>
              </w:r>
              <w:r w:rsidR="009B7130">
                <w:rPr>
                  <w:rStyle w:val="Hyperlink"/>
                  <w:szCs w:val="24"/>
                </w:rPr>
                <w:tab/>
                <w:t>63</w:t>
              </w:r>
            </w:hyperlink>
          </w:p>
        </w:tc>
      </w:tr>
      <w:tr w:rsidR="009B7130" w:rsidRPr="005833DD" w14:paraId="29D9C25F" w14:textId="77777777" w:rsidTr="001F3CDA">
        <w:tc>
          <w:tcPr>
            <w:tcW w:w="5000" w:type="pct"/>
          </w:tcPr>
          <w:p w14:paraId="2AFC3DC0" w14:textId="77777777" w:rsidR="009B7130" w:rsidRDefault="009B7130" w:rsidP="009B7130">
            <w:pPr>
              <w:pStyle w:val="LTVerzDerFragenden"/>
            </w:pPr>
            <w:r>
              <w:lastRenderedPageBreak/>
              <w:t>Schulze, Katharina (BÜNDNIS 90/DIE GRÜNEN)</w:t>
            </w:r>
          </w:p>
        </w:tc>
      </w:tr>
      <w:tr w:rsidR="009B7130" w:rsidRPr="005833DD" w14:paraId="55BF3182" w14:textId="77777777" w:rsidTr="001F3CDA">
        <w:tc>
          <w:tcPr>
            <w:tcW w:w="5000" w:type="pct"/>
          </w:tcPr>
          <w:p w14:paraId="22028543" w14:textId="2109818F" w:rsidR="009B7130" w:rsidRDefault="007A064D" w:rsidP="009B7130">
            <w:pPr>
              <w:pStyle w:val="LTVerzDerFragendenFrage"/>
            </w:pPr>
            <w:hyperlink w:anchor="Frage_Nr_15" w:tooltip="Frage Nr 15" w:history="1">
              <w:r w:rsidR="009B7130">
                <w:rPr>
                  <w:rStyle w:val="Hyperlink"/>
                  <w:szCs w:val="24"/>
                </w:rPr>
                <w:t>Incel-Bewegung</w:t>
              </w:r>
              <w:r w:rsidR="009B7130">
                <w:rPr>
                  <w:rStyle w:val="Hyperlink"/>
                  <w:szCs w:val="24"/>
                </w:rPr>
                <w:tab/>
                <w:t>15</w:t>
              </w:r>
            </w:hyperlink>
          </w:p>
        </w:tc>
      </w:tr>
      <w:tr w:rsidR="009B7130" w:rsidRPr="005833DD" w14:paraId="4B0FFF59" w14:textId="77777777" w:rsidTr="001F3CDA">
        <w:tc>
          <w:tcPr>
            <w:tcW w:w="5000" w:type="pct"/>
          </w:tcPr>
          <w:p w14:paraId="22DB1DB9" w14:textId="77777777" w:rsidR="009B7130" w:rsidRDefault="009B7130" w:rsidP="009B7130">
            <w:pPr>
              <w:pStyle w:val="LTVerzDerFragenden"/>
            </w:pPr>
            <w:r>
              <w:t>Schuster, Stefan (SPD)</w:t>
            </w:r>
          </w:p>
        </w:tc>
      </w:tr>
      <w:tr w:rsidR="009B7130" w:rsidRPr="005833DD" w14:paraId="57CB022C" w14:textId="77777777" w:rsidTr="001F3CDA">
        <w:tc>
          <w:tcPr>
            <w:tcW w:w="5000" w:type="pct"/>
          </w:tcPr>
          <w:p w14:paraId="3FC3DB90" w14:textId="04BC13C9" w:rsidR="009B7130" w:rsidRDefault="007A064D" w:rsidP="009B7130">
            <w:pPr>
              <w:pStyle w:val="LTVerzDerFragendenFrage"/>
            </w:pPr>
            <w:hyperlink w:anchor="Frage_Nr_16" w:tooltip="Frage Nr 16" w:history="1">
              <w:r w:rsidR="009B7130">
                <w:rPr>
                  <w:rStyle w:val="Hyperlink"/>
                  <w:szCs w:val="24"/>
                </w:rPr>
                <w:t>Kosten durch Angriffe auf Polizeibeamte</w:t>
              </w:r>
              <w:r w:rsidR="009B7130">
                <w:rPr>
                  <w:rStyle w:val="Hyperlink"/>
                  <w:szCs w:val="24"/>
                </w:rPr>
                <w:tab/>
                <w:t>16</w:t>
              </w:r>
            </w:hyperlink>
          </w:p>
        </w:tc>
      </w:tr>
      <w:tr w:rsidR="009B7130" w:rsidRPr="005833DD" w14:paraId="20A1D22C" w14:textId="77777777" w:rsidTr="001F3CDA">
        <w:tc>
          <w:tcPr>
            <w:tcW w:w="5000" w:type="pct"/>
          </w:tcPr>
          <w:p w14:paraId="221F2A2D" w14:textId="77777777" w:rsidR="009B7130" w:rsidRDefault="009B7130" w:rsidP="009B7130">
            <w:pPr>
              <w:pStyle w:val="LTVerzDerFragenden"/>
            </w:pPr>
            <w:r>
              <w:t>Sengl, Gisela (BÜNDNIS 90/DIE GRÜNEN)</w:t>
            </w:r>
          </w:p>
        </w:tc>
      </w:tr>
      <w:tr w:rsidR="009B7130" w:rsidRPr="005833DD" w14:paraId="15600A43" w14:textId="77777777" w:rsidTr="001F3CDA">
        <w:tc>
          <w:tcPr>
            <w:tcW w:w="5000" w:type="pct"/>
          </w:tcPr>
          <w:p w14:paraId="7B08A2F2" w14:textId="3E4FA869" w:rsidR="009B7130" w:rsidRDefault="007A064D" w:rsidP="009B7130">
            <w:pPr>
              <w:pStyle w:val="LTVerzDerFragendenFrage"/>
            </w:pPr>
            <w:hyperlink w:anchor="Frage_Nr_29" w:tooltip="Frage Nr 29" w:history="1">
              <w:r w:rsidR="009B7130">
                <w:rPr>
                  <w:rStyle w:val="Hyperlink"/>
                  <w:szCs w:val="24"/>
                </w:rPr>
                <w:t>Justizzentrum Traunstein</w:t>
              </w:r>
              <w:r w:rsidR="009B7130">
                <w:rPr>
                  <w:rStyle w:val="Hyperlink"/>
                  <w:szCs w:val="24"/>
                </w:rPr>
                <w:tab/>
                <w:t>29</w:t>
              </w:r>
            </w:hyperlink>
          </w:p>
        </w:tc>
      </w:tr>
      <w:tr w:rsidR="009B7130" w:rsidRPr="005833DD" w14:paraId="7C0C7B24" w14:textId="77777777" w:rsidTr="001F3CDA">
        <w:tc>
          <w:tcPr>
            <w:tcW w:w="5000" w:type="pct"/>
          </w:tcPr>
          <w:p w14:paraId="207678FE" w14:textId="77777777" w:rsidR="009B7130" w:rsidRDefault="009B7130" w:rsidP="009B7130">
            <w:pPr>
              <w:pStyle w:val="LTVerzDerFragenden"/>
            </w:pPr>
            <w:r>
              <w:t>Singer, Ulrich (AfD)</w:t>
            </w:r>
          </w:p>
        </w:tc>
      </w:tr>
      <w:tr w:rsidR="009B7130" w:rsidRPr="005833DD" w14:paraId="0CC4A6E4" w14:textId="77777777" w:rsidTr="001F3CDA">
        <w:tc>
          <w:tcPr>
            <w:tcW w:w="5000" w:type="pct"/>
          </w:tcPr>
          <w:p w14:paraId="05DD103D" w14:textId="10FCAC4C" w:rsidR="009B7130" w:rsidRDefault="007A064D" w:rsidP="009B7130">
            <w:pPr>
              <w:pStyle w:val="LTVerzDerFragendenFrage"/>
            </w:pPr>
            <w:hyperlink w:anchor="Frage_Nr_58" w:tooltip="Frage Nr 58" w:history="1">
              <w:r w:rsidR="009B7130">
                <w:rPr>
                  <w:rStyle w:val="Hyperlink"/>
                  <w:szCs w:val="24"/>
                </w:rPr>
                <w:t>Zahlen zu den Gehörlosen in Bayern</w:t>
              </w:r>
              <w:r w:rsidR="009B7130">
                <w:rPr>
                  <w:rStyle w:val="Hyperlink"/>
                  <w:szCs w:val="24"/>
                </w:rPr>
                <w:tab/>
                <w:t>58</w:t>
              </w:r>
            </w:hyperlink>
          </w:p>
        </w:tc>
      </w:tr>
      <w:tr w:rsidR="009B7130" w:rsidRPr="005833DD" w14:paraId="7EDC5FF2" w14:textId="77777777" w:rsidTr="001F3CDA">
        <w:tc>
          <w:tcPr>
            <w:tcW w:w="5000" w:type="pct"/>
          </w:tcPr>
          <w:p w14:paraId="6F432B2D" w14:textId="77777777" w:rsidR="009B7130" w:rsidRDefault="009B7130" w:rsidP="009B7130">
            <w:pPr>
              <w:pStyle w:val="LTVerzDerFragenden"/>
            </w:pPr>
            <w:r>
              <w:t>Skutella, Christoph (FDP)</w:t>
            </w:r>
          </w:p>
        </w:tc>
      </w:tr>
      <w:tr w:rsidR="009B7130" w:rsidRPr="005833DD" w14:paraId="77EE3606" w14:textId="77777777" w:rsidTr="001F3CDA">
        <w:tc>
          <w:tcPr>
            <w:tcW w:w="5000" w:type="pct"/>
          </w:tcPr>
          <w:p w14:paraId="6759B7D4" w14:textId="486AA584" w:rsidR="009B7130" w:rsidRDefault="007A064D" w:rsidP="009B7130">
            <w:pPr>
              <w:pStyle w:val="LTVerzDerFragendenFrage"/>
            </w:pPr>
            <w:hyperlink w:anchor="Frage_Nr_52" w:tooltip="Frage Nr 52" w:history="1">
              <w:r w:rsidR="009B7130">
                <w:rPr>
                  <w:rStyle w:val="Hyperlink"/>
                  <w:szCs w:val="24"/>
                </w:rPr>
                <w:t>Messergebnisse des Radon-Vorsorgegebiets Wunsiedel i. Fichtelgebirge</w:t>
              </w:r>
              <w:r w:rsidR="009B7130">
                <w:rPr>
                  <w:rStyle w:val="Hyperlink"/>
                  <w:szCs w:val="24"/>
                </w:rPr>
                <w:tab/>
                <w:t>52</w:t>
              </w:r>
            </w:hyperlink>
          </w:p>
        </w:tc>
      </w:tr>
      <w:tr w:rsidR="009B7130" w:rsidRPr="005833DD" w14:paraId="51AE0FDD" w14:textId="77777777" w:rsidTr="001F3CDA">
        <w:tc>
          <w:tcPr>
            <w:tcW w:w="5000" w:type="pct"/>
          </w:tcPr>
          <w:p w14:paraId="089B879C" w14:textId="77777777" w:rsidR="009B7130" w:rsidRDefault="009B7130" w:rsidP="009B7130">
            <w:pPr>
              <w:pStyle w:val="LTVerzDerFragenden"/>
            </w:pPr>
            <w:r>
              <w:t>Sowa, Ursula (BÜNDNIS 90/DIE GRÜNEN)</w:t>
            </w:r>
          </w:p>
        </w:tc>
      </w:tr>
      <w:tr w:rsidR="009B7130" w:rsidRPr="005833DD" w14:paraId="1FC7AE04" w14:textId="77777777" w:rsidTr="001F3CDA">
        <w:tc>
          <w:tcPr>
            <w:tcW w:w="5000" w:type="pct"/>
          </w:tcPr>
          <w:p w14:paraId="1DA360DD" w14:textId="3E5CA4DA" w:rsidR="009B7130" w:rsidRDefault="007A064D" w:rsidP="0059088B">
            <w:pPr>
              <w:pStyle w:val="LTVerzDerFragendenFrage"/>
            </w:pPr>
            <w:hyperlink w:anchor="Frage_Nr_24" w:tooltip="Frage Nr 24" w:history="1">
              <w:r w:rsidR="009B7130">
                <w:rPr>
                  <w:rStyle w:val="Hyperlink"/>
                  <w:szCs w:val="24"/>
                </w:rPr>
                <w:t xml:space="preserve">Modellvorhaben </w:t>
              </w:r>
              <w:r w:rsidR="0059088B">
                <w:rPr>
                  <w:rStyle w:val="Hyperlink"/>
                  <w:szCs w:val="24"/>
                </w:rPr>
                <w:t xml:space="preserve">LANDSTADT </w:t>
              </w:r>
              <w:r w:rsidR="009B7130">
                <w:rPr>
                  <w:rStyle w:val="Hyperlink"/>
                  <w:szCs w:val="24"/>
                </w:rPr>
                <w:t>Bayern</w:t>
              </w:r>
              <w:r w:rsidR="009B7130">
                <w:rPr>
                  <w:rStyle w:val="Hyperlink"/>
                  <w:szCs w:val="24"/>
                </w:rPr>
                <w:tab/>
                <w:t>24</w:t>
              </w:r>
            </w:hyperlink>
          </w:p>
        </w:tc>
      </w:tr>
      <w:tr w:rsidR="009B7130" w:rsidRPr="005833DD" w14:paraId="1D986773" w14:textId="77777777" w:rsidTr="001F3CDA">
        <w:tc>
          <w:tcPr>
            <w:tcW w:w="5000" w:type="pct"/>
          </w:tcPr>
          <w:p w14:paraId="4A6B9DFA" w14:textId="77777777" w:rsidR="009B7130" w:rsidRDefault="009B7130" w:rsidP="009B7130">
            <w:pPr>
              <w:pStyle w:val="LTVerzDerFragenden"/>
            </w:pPr>
            <w:r>
              <w:t>Dr. Spitzer, Dominik (FDP)</w:t>
            </w:r>
          </w:p>
        </w:tc>
      </w:tr>
      <w:tr w:rsidR="009B7130" w:rsidRPr="005833DD" w14:paraId="0157D374" w14:textId="77777777" w:rsidTr="001F3CDA">
        <w:tc>
          <w:tcPr>
            <w:tcW w:w="5000" w:type="pct"/>
          </w:tcPr>
          <w:p w14:paraId="7AC56244" w14:textId="032D0841" w:rsidR="009B7130" w:rsidRDefault="007A064D" w:rsidP="009B7130">
            <w:pPr>
              <w:pStyle w:val="LTVerzDerFragendenFrage"/>
            </w:pPr>
            <w:hyperlink w:anchor="Frage_Nr_35" w:tooltip="Frage Nr 35" w:history="1">
              <w:r w:rsidR="009B7130">
                <w:rPr>
                  <w:rStyle w:val="Hyperlink"/>
                  <w:szCs w:val="24"/>
                </w:rPr>
                <w:t>Konkorda</w:t>
              </w:r>
              <w:r w:rsidR="00557567">
                <w:rPr>
                  <w:rStyle w:val="Hyperlink"/>
                  <w:szCs w:val="24"/>
                </w:rPr>
                <w:t>t von 1924 und Kirchenverträge –</w:t>
              </w:r>
              <w:r w:rsidR="009B7130">
                <w:rPr>
                  <w:rStyle w:val="Hyperlink"/>
                  <w:szCs w:val="24"/>
                </w:rPr>
                <w:t xml:space="preserve"> Seelsorgegeistliche</w:t>
              </w:r>
              <w:r w:rsidR="009B7130">
                <w:rPr>
                  <w:rStyle w:val="Hyperlink"/>
                  <w:szCs w:val="24"/>
                </w:rPr>
                <w:tab/>
                <w:t>35</w:t>
              </w:r>
            </w:hyperlink>
          </w:p>
        </w:tc>
      </w:tr>
      <w:tr w:rsidR="009B7130" w:rsidRPr="005833DD" w14:paraId="3B062C70" w14:textId="77777777" w:rsidTr="001F3CDA">
        <w:tc>
          <w:tcPr>
            <w:tcW w:w="5000" w:type="pct"/>
          </w:tcPr>
          <w:p w14:paraId="2157A949" w14:textId="77777777" w:rsidR="009B7130" w:rsidRDefault="009B7130" w:rsidP="009B7130">
            <w:pPr>
              <w:pStyle w:val="LTVerzDerFragenden"/>
            </w:pPr>
            <w:r>
              <w:t>Stachowitz, Diana (SPD)</w:t>
            </w:r>
          </w:p>
        </w:tc>
      </w:tr>
      <w:tr w:rsidR="009B7130" w:rsidRPr="005833DD" w14:paraId="1549C290" w14:textId="77777777" w:rsidTr="001F3CDA">
        <w:tc>
          <w:tcPr>
            <w:tcW w:w="5000" w:type="pct"/>
          </w:tcPr>
          <w:p w14:paraId="76E39EA3" w14:textId="71A25CE8" w:rsidR="009B7130" w:rsidRDefault="007A064D" w:rsidP="009B7130">
            <w:pPr>
              <w:pStyle w:val="LTVerzDerFragendenFrage"/>
            </w:pPr>
            <w:hyperlink w:anchor="Frage_Nr_36" w:tooltip="Frage Nr 36" w:history="1">
              <w:r w:rsidR="009B7130">
                <w:rPr>
                  <w:rStyle w:val="Hyperlink"/>
                  <w:szCs w:val="24"/>
                </w:rPr>
                <w:t>Personelle Unterstützung der Grund- und Mittelschulen</w:t>
              </w:r>
              <w:r w:rsidR="009B7130">
                <w:rPr>
                  <w:rStyle w:val="Hyperlink"/>
                  <w:szCs w:val="24"/>
                </w:rPr>
                <w:tab/>
                <w:t>36</w:t>
              </w:r>
            </w:hyperlink>
          </w:p>
        </w:tc>
      </w:tr>
      <w:tr w:rsidR="009B7130" w:rsidRPr="005833DD" w14:paraId="75D9393A" w14:textId="77777777" w:rsidTr="001F3CDA">
        <w:tc>
          <w:tcPr>
            <w:tcW w:w="5000" w:type="pct"/>
          </w:tcPr>
          <w:p w14:paraId="49B9BECA" w14:textId="77777777" w:rsidR="009B7130" w:rsidRDefault="009B7130" w:rsidP="009B7130">
            <w:pPr>
              <w:pStyle w:val="LTVerzDerFragenden"/>
            </w:pPr>
            <w:r>
              <w:t>Steinberger, Rosi (BÜNDNIS 90/DIE GRÜNEN)</w:t>
            </w:r>
          </w:p>
        </w:tc>
      </w:tr>
      <w:tr w:rsidR="009B7130" w:rsidRPr="005833DD" w14:paraId="13C54C83" w14:textId="77777777" w:rsidTr="001F3CDA">
        <w:tc>
          <w:tcPr>
            <w:tcW w:w="5000" w:type="pct"/>
          </w:tcPr>
          <w:p w14:paraId="29754ADA" w14:textId="7CD3326E" w:rsidR="009B7130" w:rsidRDefault="007A064D" w:rsidP="009B7130">
            <w:pPr>
              <w:pStyle w:val="LTVerzDerFragendenFrage"/>
            </w:pPr>
            <w:hyperlink w:anchor="Frage_Nr_47" w:tooltip="Frage Nr 47" w:history="1">
              <w:r w:rsidR="009B7130">
                <w:rPr>
                  <w:rStyle w:val="Hyperlink"/>
                  <w:szCs w:val="24"/>
                </w:rPr>
                <w:t>Tourismusgebiete Niederba</w:t>
              </w:r>
              <w:r w:rsidR="00557567">
                <w:rPr>
                  <w:rStyle w:val="Hyperlink"/>
                  <w:szCs w:val="24"/>
                </w:rPr>
                <w:t>yerns im bayerischen regionalen</w:t>
              </w:r>
              <w:r w:rsidR="00557567">
                <w:rPr>
                  <w:rStyle w:val="Hyperlink"/>
                  <w:szCs w:val="24"/>
                </w:rPr>
                <w:br/>
              </w:r>
              <w:r w:rsidR="009B7130">
                <w:rPr>
                  <w:rStyle w:val="Hyperlink"/>
                  <w:szCs w:val="24"/>
                </w:rPr>
                <w:t>Förderprogramm für die gewerbliche Wirtschaft</w:t>
              </w:r>
              <w:r w:rsidR="009B7130">
                <w:rPr>
                  <w:rStyle w:val="Hyperlink"/>
                  <w:szCs w:val="24"/>
                </w:rPr>
                <w:tab/>
                <w:t>47</w:t>
              </w:r>
            </w:hyperlink>
          </w:p>
        </w:tc>
      </w:tr>
      <w:tr w:rsidR="009B7130" w:rsidRPr="005833DD" w14:paraId="283CAAA6" w14:textId="77777777" w:rsidTr="001F3CDA">
        <w:tc>
          <w:tcPr>
            <w:tcW w:w="5000" w:type="pct"/>
          </w:tcPr>
          <w:p w14:paraId="131503BA" w14:textId="77777777" w:rsidR="009B7130" w:rsidRDefault="009B7130" w:rsidP="009B7130">
            <w:pPr>
              <w:pStyle w:val="LTVerzDerFragenden"/>
            </w:pPr>
            <w:r>
              <w:t>Dr. Strohmayr, Simone (SPD)</w:t>
            </w:r>
          </w:p>
        </w:tc>
      </w:tr>
      <w:tr w:rsidR="009B7130" w:rsidRPr="005833DD" w14:paraId="44283B6C" w14:textId="77777777" w:rsidTr="001F3CDA">
        <w:tc>
          <w:tcPr>
            <w:tcW w:w="5000" w:type="pct"/>
          </w:tcPr>
          <w:p w14:paraId="3A6B5EFF" w14:textId="4D42AA5C" w:rsidR="009B7130" w:rsidRDefault="007A064D" w:rsidP="009B7130">
            <w:pPr>
              <w:pStyle w:val="LTVerzDerFragendenFrage"/>
            </w:pPr>
            <w:hyperlink w:anchor="Frage_Nr_17" w:tooltip="Frage Nr 17" w:history="1">
              <w:r w:rsidR="009B7130">
                <w:rPr>
                  <w:rStyle w:val="Hyperlink"/>
                  <w:szCs w:val="24"/>
                </w:rPr>
                <w:t>Weibliche Dienststellenleitungen bei der Polizei</w:t>
              </w:r>
              <w:r w:rsidR="009B7130">
                <w:rPr>
                  <w:rStyle w:val="Hyperlink"/>
                  <w:szCs w:val="24"/>
                </w:rPr>
                <w:tab/>
                <w:t>17</w:t>
              </w:r>
            </w:hyperlink>
          </w:p>
        </w:tc>
      </w:tr>
      <w:tr w:rsidR="009B7130" w:rsidRPr="005833DD" w14:paraId="7ECCB171" w14:textId="77777777" w:rsidTr="001F3CDA">
        <w:tc>
          <w:tcPr>
            <w:tcW w:w="5000" w:type="pct"/>
          </w:tcPr>
          <w:p w14:paraId="567C6F75" w14:textId="77777777" w:rsidR="009B7130" w:rsidRDefault="009B7130" w:rsidP="009B7130">
            <w:pPr>
              <w:pStyle w:val="LTVerzDerFragenden"/>
            </w:pPr>
            <w:r>
              <w:t>Triebel, Gabriele (BÜNDNIS 90/DIE GRÜNEN)</w:t>
            </w:r>
          </w:p>
        </w:tc>
      </w:tr>
      <w:tr w:rsidR="009B7130" w:rsidRPr="005833DD" w14:paraId="24CB64CE" w14:textId="77777777" w:rsidTr="001F3CDA">
        <w:tc>
          <w:tcPr>
            <w:tcW w:w="5000" w:type="pct"/>
          </w:tcPr>
          <w:p w14:paraId="0DC0495E" w14:textId="118E63C4" w:rsidR="009B7130" w:rsidRDefault="007A064D" w:rsidP="009B7130">
            <w:pPr>
              <w:pStyle w:val="LTVerzDerFragendenFrage"/>
            </w:pPr>
            <w:hyperlink w:anchor="Frage_Nr_37" w:tooltip="Frage Nr 37" w:history="1">
              <w:r w:rsidR="009B7130">
                <w:rPr>
                  <w:rStyle w:val="Hyperlink"/>
                  <w:szCs w:val="24"/>
                </w:rPr>
                <w:t>Situation am KZ-Ehrenfr</w:t>
              </w:r>
              <w:r w:rsidR="00557567">
                <w:rPr>
                  <w:rStyle w:val="Hyperlink"/>
                  <w:szCs w:val="24"/>
                </w:rPr>
                <w:t>iedhof Leitenberg</w:t>
              </w:r>
              <w:r w:rsidR="009B7130">
                <w:rPr>
                  <w:rStyle w:val="Hyperlink"/>
                  <w:szCs w:val="24"/>
                </w:rPr>
                <w:tab/>
                <w:t>37</w:t>
              </w:r>
            </w:hyperlink>
          </w:p>
        </w:tc>
      </w:tr>
      <w:tr w:rsidR="009B7130" w:rsidRPr="005833DD" w14:paraId="1D4BD823" w14:textId="77777777" w:rsidTr="001F3CDA">
        <w:tc>
          <w:tcPr>
            <w:tcW w:w="5000" w:type="pct"/>
          </w:tcPr>
          <w:p w14:paraId="29E6FB85" w14:textId="77777777" w:rsidR="009B7130" w:rsidRDefault="009B7130" w:rsidP="009B7130">
            <w:pPr>
              <w:pStyle w:val="LTVerzDerFragenden"/>
            </w:pPr>
            <w:r>
              <w:t>Urban, Hans (BÜNDNIS 90/DIE GRÜNEN)</w:t>
            </w:r>
          </w:p>
        </w:tc>
      </w:tr>
      <w:tr w:rsidR="009B7130" w:rsidRPr="005833DD" w14:paraId="44EAE48C" w14:textId="77777777" w:rsidTr="001F3CDA">
        <w:tc>
          <w:tcPr>
            <w:tcW w:w="5000" w:type="pct"/>
          </w:tcPr>
          <w:p w14:paraId="01AF80C0" w14:textId="1E960F9A" w:rsidR="009B7130" w:rsidRDefault="007A064D" w:rsidP="009B7130">
            <w:pPr>
              <w:pStyle w:val="LTVerzDerFragendenFrage"/>
            </w:pPr>
            <w:hyperlink w:anchor="Frage_Nr_53" w:tooltip="Frage Nr 53" w:history="1">
              <w:r w:rsidR="009B7130">
                <w:rPr>
                  <w:rStyle w:val="Hyperlink"/>
                  <w:szCs w:val="24"/>
                </w:rPr>
                <w:t>Kein Heimfallanspruch am Walchenseekraftwerk?</w:t>
              </w:r>
              <w:r w:rsidR="009B7130">
                <w:rPr>
                  <w:rStyle w:val="Hyperlink"/>
                  <w:szCs w:val="24"/>
                </w:rPr>
                <w:tab/>
                <w:t>53</w:t>
              </w:r>
            </w:hyperlink>
          </w:p>
        </w:tc>
      </w:tr>
      <w:tr w:rsidR="009B7130" w:rsidRPr="005833DD" w14:paraId="1CADFA98" w14:textId="77777777" w:rsidTr="001F3CDA">
        <w:tc>
          <w:tcPr>
            <w:tcW w:w="5000" w:type="pct"/>
          </w:tcPr>
          <w:p w14:paraId="024E9B71" w14:textId="77777777" w:rsidR="009B7130" w:rsidRDefault="009B7130" w:rsidP="009B7130">
            <w:pPr>
              <w:pStyle w:val="LTVerzDerFragenden"/>
            </w:pPr>
            <w:r>
              <w:t>Dr. Weigand, Sabine (BÜNDNIS 90/DIE GRÜNEN)</w:t>
            </w:r>
          </w:p>
        </w:tc>
      </w:tr>
      <w:tr w:rsidR="009B7130" w:rsidRPr="005833DD" w14:paraId="3BB8FEA5" w14:textId="77777777" w:rsidTr="001F3CDA">
        <w:tc>
          <w:tcPr>
            <w:tcW w:w="5000" w:type="pct"/>
          </w:tcPr>
          <w:p w14:paraId="59736A11" w14:textId="7DE13FAA" w:rsidR="009B7130" w:rsidRDefault="007A064D" w:rsidP="009B7130">
            <w:pPr>
              <w:pStyle w:val="LTVerzDerFragendenFrage"/>
            </w:pPr>
            <w:hyperlink w:anchor="Frage_Nr_30" w:tooltip="Frage Nr 30" w:history="1">
              <w:r w:rsidR="009B7130">
                <w:rPr>
                  <w:rStyle w:val="Hyperlink"/>
                  <w:szCs w:val="24"/>
                </w:rPr>
                <w:t>Verfahren Kriegswaffen</w:t>
              </w:r>
              <w:r w:rsidR="009B7130">
                <w:rPr>
                  <w:rStyle w:val="Hyperlink"/>
                  <w:szCs w:val="24"/>
                </w:rPr>
                <w:tab/>
                <w:t>30</w:t>
              </w:r>
            </w:hyperlink>
          </w:p>
        </w:tc>
      </w:tr>
      <w:tr w:rsidR="009B7130" w:rsidRPr="005833DD" w14:paraId="035A9700" w14:textId="77777777" w:rsidTr="001F3CDA">
        <w:tc>
          <w:tcPr>
            <w:tcW w:w="5000" w:type="pct"/>
          </w:tcPr>
          <w:p w14:paraId="430DCC12" w14:textId="77777777" w:rsidR="009B7130" w:rsidRDefault="009B7130" w:rsidP="009B7130">
            <w:pPr>
              <w:pStyle w:val="LTVerzDerFragenden"/>
            </w:pPr>
            <w:r>
              <w:t>Wild, Margit (SPD)</w:t>
            </w:r>
          </w:p>
        </w:tc>
      </w:tr>
      <w:tr w:rsidR="009B7130" w:rsidRPr="005833DD" w14:paraId="7BE16766" w14:textId="77777777" w:rsidTr="001F3CDA">
        <w:tc>
          <w:tcPr>
            <w:tcW w:w="5000" w:type="pct"/>
          </w:tcPr>
          <w:p w14:paraId="455F80EA" w14:textId="455449DA" w:rsidR="009B7130" w:rsidRDefault="007A064D" w:rsidP="009B7130">
            <w:pPr>
              <w:pStyle w:val="LTVerzDerFragendenFrage"/>
            </w:pPr>
            <w:hyperlink w:anchor="Frage_Nr_38" w:tooltip="Frage Nr 38" w:history="1">
              <w:r w:rsidR="009B7130">
                <w:rPr>
                  <w:rStyle w:val="Hyperlink"/>
                  <w:szCs w:val="24"/>
                </w:rPr>
                <w:t>Teamlehrkräfte</w:t>
              </w:r>
              <w:r w:rsidR="009B7130">
                <w:rPr>
                  <w:rStyle w:val="Hyperlink"/>
                  <w:szCs w:val="24"/>
                </w:rPr>
                <w:tab/>
                <w:t>38</w:t>
              </w:r>
            </w:hyperlink>
          </w:p>
        </w:tc>
      </w:tr>
      <w:tr w:rsidR="009B7130" w:rsidRPr="005833DD" w14:paraId="29F39F49" w14:textId="77777777" w:rsidTr="001F3CDA">
        <w:tc>
          <w:tcPr>
            <w:tcW w:w="5000" w:type="pct"/>
          </w:tcPr>
          <w:p w14:paraId="11489E75" w14:textId="77777777" w:rsidR="009B7130" w:rsidRDefault="009B7130" w:rsidP="009B7130">
            <w:pPr>
              <w:pStyle w:val="LTVerzDerFragenden"/>
            </w:pPr>
            <w:r>
              <w:t>Winhart, Andreas (AfD)</w:t>
            </w:r>
          </w:p>
        </w:tc>
      </w:tr>
      <w:tr w:rsidR="009B7130" w:rsidRPr="005833DD" w14:paraId="641325E2" w14:textId="77777777" w:rsidTr="001F3CDA">
        <w:tc>
          <w:tcPr>
            <w:tcW w:w="5000" w:type="pct"/>
          </w:tcPr>
          <w:p w14:paraId="02327084" w14:textId="4DA21C04" w:rsidR="009B7130" w:rsidRDefault="007A064D" w:rsidP="009B7130">
            <w:pPr>
              <w:pStyle w:val="LTVerzDerFragendenFrage"/>
            </w:pPr>
            <w:hyperlink w:anchor="Frage_Nr_64" w:tooltip="Frage Nr 64" w:history="1">
              <w:r w:rsidR="009B7130">
                <w:rPr>
                  <w:rStyle w:val="Hyperlink"/>
                  <w:szCs w:val="24"/>
                </w:rPr>
                <w:t>Verfügbarkeit des Corona-Impfstoffes von Novavax</w:t>
              </w:r>
              <w:r w:rsidR="009B7130">
                <w:rPr>
                  <w:rStyle w:val="Hyperlink"/>
                  <w:szCs w:val="24"/>
                </w:rPr>
                <w:tab/>
                <w:t>64</w:t>
              </w:r>
            </w:hyperlink>
          </w:p>
        </w:tc>
      </w:tr>
      <w:tr w:rsidR="009B7130" w:rsidRPr="005833DD" w14:paraId="3CA95756" w14:textId="77777777" w:rsidTr="001F3CDA">
        <w:tc>
          <w:tcPr>
            <w:tcW w:w="5000" w:type="pct"/>
          </w:tcPr>
          <w:p w14:paraId="4DA13634" w14:textId="77777777" w:rsidR="009B7130" w:rsidRDefault="009B7130" w:rsidP="009B7130">
            <w:pPr>
              <w:pStyle w:val="LTVerzDerFragenden"/>
            </w:pPr>
            <w:r>
              <w:t>Zwanziger, Christian (BÜNDNIS 90/DIE GRÜNEN)</w:t>
            </w:r>
          </w:p>
        </w:tc>
      </w:tr>
      <w:tr w:rsidR="009B7130" w:rsidRPr="005833DD" w14:paraId="5326C0A1" w14:textId="77777777" w:rsidTr="001F3CDA">
        <w:tc>
          <w:tcPr>
            <w:tcW w:w="5000" w:type="pct"/>
          </w:tcPr>
          <w:p w14:paraId="47884E0A" w14:textId="5F19ADE7" w:rsidR="009B7130" w:rsidRDefault="007A064D" w:rsidP="009B7130">
            <w:pPr>
              <w:pStyle w:val="LTVerzDerFragendenFrage"/>
            </w:pPr>
            <w:hyperlink w:anchor="Frage_Nr_41" w:tooltip="Frage Nr 41" w:history="1">
              <w:r w:rsidR="009B7130">
                <w:rPr>
                  <w:rStyle w:val="Hyperlink"/>
                  <w:szCs w:val="24"/>
                </w:rPr>
                <w:t>Mögliche Parkraumbewirtschaftung an Hochschulen</w:t>
              </w:r>
              <w:r w:rsidR="009B7130">
                <w:rPr>
                  <w:rStyle w:val="Hyperlink"/>
                  <w:szCs w:val="24"/>
                </w:rPr>
                <w:tab/>
                <w:t>41</w:t>
              </w:r>
            </w:hyperlink>
          </w:p>
        </w:tc>
      </w:tr>
    </w:tbl>
    <w:p w14:paraId="10B8C904" w14:textId="77777777" w:rsidR="00A5482B" w:rsidRDefault="00A5482B" w:rsidP="008C3EAF">
      <w:pPr>
        <w:pStyle w:val="LTAnfrageText"/>
      </w:pPr>
    </w:p>
    <w:p w14:paraId="1C0460D8" w14:textId="77777777"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14:paraId="6F03EF65" w14:textId="77777777" w:rsidR="00BB3E7A" w:rsidRDefault="009B7130" w:rsidP="009B7130">
      <w:pPr>
        <w:pStyle w:val="LTUeberschrRessort"/>
      </w:pPr>
      <w:bookmarkStart w:id="2" w:name="FragenNachGeschBereichen"/>
      <w:bookmarkEnd w:id="2"/>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9B7130" w14:paraId="68995E6E" w14:textId="77777777" w:rsidTr="007B0B33">
        <w:tc>
          <w:tcPr>
            <w:tcW w:w="2050" w:type="dxa"/>
          </w:tcPr>
          <w:p w14:paraId="0503E6FD" w14:textId="77777777" w:rsidR="009B7130" w:rsidRDefault="009B7130" w:rsidP="009B7130">
            <w:pPr>
              <w:pStyle w:val="LTAnfrageInitiator"/>
            </w:pPr>
            <w:r>
              <w:t>Abgeordneter</w:t>
            </w:r>
            <w:r>
              <w:rPr>
                <w:b/>
              </w:rPr>
              <w:br/>
              <w:t>Klaus</w:t>
            </w:r>
            <w:r>
              <w:rPr>
                <w:b/>
              </w:rPr>
              <w:br/>
              <w:t>Adelt</w:t>
            </w:r>
            <w:r>
              <w:rPr>
                <w:b/>
              </w:rPr>
              <w:br/>
            </w:r>
            <w:r>
              <w:t>(SPD)</w:t>
            </w:r>
            <w:bookmarkStart w:id="3" w:name="Frage_Nr_1"/>
            <w:bookmarkEnd w:id="3"/>
          </w:p>
        </w:tc>
        <w:tc>
          <w:tcPr>
            <w:tcW w:w="7200" w:type="dxa"/>
          </w:tcPr>
          <w:p w14:paraId="01C11D9A" w14:textId="77777777" w:rsidR="009B7130" w:rsidRPr="009C5E1D" w:rsidRDefault="009C5E1D" w:rsidP="009B7130">
            <w:pPr>
              <w:pStyle w:val="LTAnfrageText"/>
            </w:pPr>
            <w:r w:rsidRPr="009C5E1D">
              <w:rPr>
                <w:szCs w:val="24"/>
              </w:rPr>
              <w:t>Ich frage die Staatsregierung, wie weit ist sie mit der Evaluation zur Kommunalwahl 2020, wann wird diese abgeschlossen sein und wann wird diese auf die Tagesordnung des Ausschuss für Kommunale Fragen, Innere Sicherheit und Sport gesetzt?</w:t>
            </w:r>
          </w:p>
        </w:tc>
      </w:tr>
    </w:tbl>
    <w:p w14:paraId="5EC898B9" w14:textId="77777777" w:rsidR="009B7130" w:rsidRDefault="009B7130" w:rsidP="009B7130">
      <w:pPr>
        <w:pStyle w:val="LTUeberschrAntwortRessort"/>
      </w:pPr>
      <w:r>
        <w:t>Antwort des Staatsministeriums des Innern, für Sport und Integration</w:t>
      </w:r>
    </w:p>
    <w:p w14:paraId="5097DE3A" w14:textId="77777777" w:rsidR="009B7130" w:rsidRDefault="009B7130" w:rsidP="009B7130">
      <w:pPr>
        <w:pStyle w:val="LTAntwortRessortText"/>
      </w:pPr>
      <w:r>
        <w:t>Da die Evaluierung der allgemeinen Geme</w:t>
      </w:r>
      <w:r w:rsidR="00CA7195">
        <w:t>inde- und Landkreiswahlen 2020 –</w:t>
      </w:r>
      <w:r>
        <w:t xml:space="preserve"> verglichen mit der letzt</w:t>
      </w:r>
      <w:r w:rsidR="00CA7195">
        <w:t>en Evaluierung der Wahlen 2014 –</w:t>
      </w:r>
      <w:r>
        <w:t xml:space="preserve"> wegen der Ei</w:t>
      </w:r>
      <w:r w:rsidR="00CA7195">
        <w:t>nbeziehung des allgemeinen Fort</w:t>
      </w:r>
      <w:r>
        <w:t>schreibungsbedarfs am Kommunalrecht und am Recht der Kommunalen Wahlb</w:t>
      </w:r>
      <w:r w:rsidR="00CA7195">
        <w:t>eamten ausge</w:t>
      </w:r>
      <w:r>
        <w:t>sprochen breit angelegt war und daher auch einer ebenso u</w:t>
      </w:r>
      <w:r w:rsidR="00CA7195">
        <w:t>mfangreichen wie eingehenden Ab</w:t>
      </w:r>
      <w:r>
        <w:t>stimmung mit den kommunalen Spitzenverbänden bedurfte, konnten die Arbeiten am Bericht, anders als ursprünglich beabsichtigt, nicht bereits bis Ende des J</w:t>
      </w:r>
      <w:r w:rsidR="00CA7195">
        <w:t>ahres 2021 abgeschlossen wer</w:t>
      </w:r>
      <w:r>
        <w:t>den.</w:t>
      </w:r>
    </w:p>
    <w:p w14:paraId="6D353BEC" w14:textId="77777777" w:rsidR="009B7130" w:rsidRDefault="009B7130" w:rsidP="009B7130">
      <w:pPr>
        <w:pStyle w:val="LTAntwortRessortText"/>
      </w:pPr>
      <w:r>
        <w:t xml:space="preserve">Das </w:t>
      </w:r>
      <w:r w:rsidR="00CA7195">
        <w:t xml:space="preserve">Staatsministerium des Innern, für Sport und Integration </w:t>
      </w:r>
      <w:r>
        <w:t>geht davon aus, die Evaluierung zeitnah abschließen und den Evaluierungsbericht dem Vorsitzenden des Innenausschusses Anfang März zuleiten zu können.</w:t>
      </w:r>
    </w:p>
    <w:p w14:paraId="2E48B94F" w14:textId="77777777" w:rsidR="009B7130" w:rsidRDefault="009B7130">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0"/>
        <w:gridCol w:w="5766"/>
      </w:tblGrid>
      <w:tr w:rsidR="009B7130" w14:paraId="55B1110D" w14:textId="77777777" w:rsidTr="007B0B33">
        <w:tc>
          <w:tcPr>
            <w:tcW w:w="2050" w:type="dxa"/>
          </w:tcPr>
          <w:p w14:paraId="36F9C6D2" w14:textId="77777777" w:rsidR="009B7130" w:rsidRDefault="009B7130" w:rsidP="009B7130">
            <w:pPr>
              <w:pStyle w:val="LTAnfrageInitiator"/>
            </w:pPr>
            <w:r>
              <w:lastRenderedPageBreak/>
              <w:t>Abgeordneter</w:t>
            </w:r>
            <w:r>
              <w:rPr>
                <w:b/>
              </w:rPr>
              <w:br/>
              <w:t>Horst</w:t>
            </w:r>
            <w:r>
              <w:rPr>
                <w:b/>
              </w:rPr>
              <w:br/>
              <w:t>Arnold</w:t>
            </w:r>
            <w:r>
              <w:rPr>
                <w:b/>
              </w:rPr>
              <w:br/>
            </w:r>
            <w:r>
              <w:t>(SPD)</w:t>
            </w:r>
            <w:bookmarkStart w:id="5" w:name="Frage_Nr_2"/>
            <w:bookmarkEnd w:id="5"/>
          </w:p>
        </w:tc>
        <w:tc>
          <w:tcPr>
            <w:tcW w:w="7200" w:type="dxa"/>
          </w:tcPr>
          <w:p w14:paraId="274D25D5" w14:textId="3055EFA5" w:rsidR="009B7130" w:rsidRPr="009C5E1D" w:rsidRDefault="009C5E1D" w:rsidP="00DE2ECB">
            <w:pPr>
              <w:pStyle w:val="LTAnfrageText"/>
            </w:pPr>
            <w:r w:rsidRPr="009C5E1D">
              <w:rPr>
                <w:szCs w:val="24"/>
              </w:rPr>
              <w:t>Ich frage die Staatsregierung, im Hinblick auf die Antwort der Regierung der Oberpfalz – Zentrale Ausländerbehörde – wegen Ersuchens auf Auskunft der Bürgerinnen- bzw. Bürger-Initiative ASYL Regensburg (BI Asyl) über die Zahlen der von der Ausländerbehörde der Stadt Regensburg, der Ausländerbehörde des Landkreises Regensburg und der Zentralen Ausländerbehörde der Regierung der Oberpfalz erlassenen Abschiebungsbescheide und die Zahlen der in ihrem Zuständigkeitsbereich stattgefundenen Abschiebungen in den Jahren 2018, 2019, 2020 und 2021, dass das Auskunftsersuchen der BI Asyl die Voraussetzungen von Art. 39 Abs. 1 Satz 1 des Bayerischen Datenschutzgesetzes (BayDSG) nicht erfülle, wie legt sie die Tatbestandsmerkmale des Art. 39 Abs. 1 Satz 1 BayDSG „glaubhafte Darlegung eines berechtigten, nicht auf eine entgeltliche Weiterverwendung gerichteten Interesses“, „Zulässigkeit der Übermittlung personenbezogener Daten an nicht öffentliche Stellen“ und „keine Beeinträchtigung von Belangen der öffentlichen Sicherheit und Ordnung“ im Lichte des allgemeinen Auskunftsrechts des Art. 39 BayDSG aus und ist die Staatsregierung der Meinung, dass die BI Asyl, die sich als örtliche Regensburger Gruppe der Geflüchtetensolidaritätsbewegung in Deutschland versteht, Mitglied im Flüchtlingsrat unter dem Dach von Pro Asyl ist, eng mit Wohlfahrtsverbänden, Gewerkschaften, Kirchen, demokratischen Parteien und Nichtregierungsorganisationen (NGO) in den Bereichen „Asyl, Geflüchtete und Ausländer“ zusammenarbeitet und in diversen lokalen Gremien und NGO in Regensburg (u. a. im Integrationsbeirat der Stadt, Psychosoziale Arbeitsgemeinschaft, Flüchtlingsforum) vertreten und Mitglied des Dachverbands sozial engagierter Gruppen in Regensburg „Regensburger Soziale Initiativen e. V.“ ist, einen Anspruch nach Art. 39 BayDSG auf Auskunft entsprechend ihres oben genannten Ersuchens hat, zumal Einzelangaben über Personen nicht Gegenstand des Auskunftsersuchens sind, sondern nach Zahlen gefragt wird?</w:t>
            </w:r>
          </w:p>
        </w:tc>
      </w:tr>
    </w:tbl>
    <w:p w14:paraId="04E8142A" w14:textId="77777777" w:rsidR="009B7130" w:rsidRDefault="009B7130" w:rsidP="009B7130">
      <w:pPr>
        <w:pStyle w:val="LTUeberschrAntwortRessort"/>
      </w:pPr>
      <w:r>
        <w:t>Antwort des Staatsministeriums des Innern, für Sport und Integration</w:t>
      </w:r>
    </w:p>
    <w:p w14:paraId="614BA61F" w14:textId="189174D6" w:rsidR="009B7130" w:rsidRDefault="00750492" w:rsidP="00F52506">
      <w:pPr>
        <w:pStyle w:val="LTAntwortRessortText"/>
      </w:pPr>
      <w:r>
        <w:t>Nach Art. </w:t>
      </w:r>
      <w:r w:rsidR="009B7130">
        <w:t xml:space="preserve">39 Absatz 1 Satz 1 </w:t>
      </w:r>
      <w:r>
        <w:t xml:space="preserve">des </w:t>
      </w:r>
      <w:r w:rsidR="00675157">
        <w:t>BayDSG</w:t>
      </w:r>
      <w:r>
        <w:t xml:space="preserve"> </w:t>
      </w:r>
      <w:r w:rsidR="009B7130">
        <w:t>hat grundsätzlich jeder das Recht auf Auskunft über den Inhalt von Dateien und Akten öffentlicher Stellen, soweit ein b</w:t>
      </w:r>
      <w:r w:rsidR="004746D9">
        <w:t>erechtigtes, nicht auf eine ent</w:t>
      </w:r>
      <w:r w:rsidR="009B7130">
        <w:t>geltliche Weiterverwendung gerichtetes Interesse glaubhaft da</w:t>
      </w:r>
      <w:r>
        <w:t>rgelegt wird und bei personenbe</w:t>
      </w:r>
      <w:r w:rsidR="009B7130">
        <w:t xml:space="preserve">zogenen Daten eine </w:t>
      </w:r>
      <w:r w:rsidR="00675157">
        <w:t>Ü</w:t>
      </w:r>
      <w:r w:rsidR="009B7130">
        <w:t xml:space="preserve">bermittlung an nicht öffentliche Stellen </w:t>
      </w:r>
      <w:r>
        <w:t>zulässig ist und Belange der öf</w:t>
      </w:r>
      <w:r w:rsidR="009B7130">
        <w:t>fentlichen Sicherheit und Ordnung nicht beeinträchtigt werden. Das berechtigte Interesse kann auf wirtschaftlichen, rechtlichen oder auch auf rein ideellen Gründen beruhe</w:t>
      </w:r>
      <w:r>
        <w:t>n. Auch die Anfor</w:t>
      </w:r>
      <w:r w:rsidR="009B7130">
        <w:t>derungen an die glaubhafte Darlegung desselbigen sind nicht zu hoch anzusetzen.Vor diesem Hintergrund hat die Regierung der Oberpfalz auf Bitten der Staatsregierung das Auskunftsersuchen nochmals überprüft und das berechtigte Interesse der BI Asyl angesichts von deren Aufgaben und eingedenk der Qualität der erbetene</w:t>
      </w:r>
      <w:r>
        <w:t>n Informationen, die keinen Per</w:t>
      </w:r>
      <w:r w:rsidR="009B7130">
        <w:t>sonenbezug aufweisen, bejaht. Die Informationen werden der BI Asyl zugänglich gemacht.</w:t>
      </w:r>
    </w:p>
    <w:p w14:paraId="2E30D365" w14:textId="77777777" w:rsidR="009B7130" w:rsidRDefault="009B7130">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9B7130" w14:paraId="36D5DE24" w14:textId="77777777" w:rsidTr="007B0B33">
        <w:tc>
          <w:tcPr>
            <w:tcW w:w="2050" w:type="dxa"/>
          </w:tcPr>
          <w:p w14:paraId="222AA542" w14:textId="77777777" w:rsidR="009B7130" w:rsidRDefault="009B7130" w:rsidP="009B7130">
            <w:pPr>
              <w:pStyle w:val="LTAnfrageInitiator"/>
            </w:pPr>
            <w:r>
              <w:lastRenderedPageBreak/>
              <w:t>Abgeordnete</w:t>
            </w:r>
            <w:r>
              <w:rPr>
                <w:b/>
              </w:rPr>
              <w:br/>
              <w:t>Inge</w:t>
            </w:r>
            <w:r>
              <w:rPr>
                <w:b/>
              </w:rPr>
              <w:br/>
              <w:t>Aures</w:t>
            </w:r>
            <w:r>
              <w:rPr>
                <w:b/>
              </w:rPr>
              <w:br/>
            </w:r>
            <w:r>
              <w:t>(SPD)</w:t>
            </w:r>
            <w:bookmarkStart w:id="7" w:name="Frage_Nr_3"/>
            <w:bookmarkEnd w:id="7"/>
          </w:p>
        </w:tc>
        <w:tc>
          <w:tcPr>
            <w:tcW w:w="7200" w:type="dxa"/>
          </w:tcPr>
          <w:p w14:paraId="5912871A" w14:textId="77777777" w:rsidR="009B7130" w:rsidRDefault="009C5E1D" w:rsidP="009B7130">
            <w:pPr>
              <w:pStyle w:val="LTAnfrageText"/>
            </w:pPr>
            <w:r w:rsidRPr="009C5E1D">
              <w:rPr>
                <w:szCs w:val="24"/>
              </w:rPr>
              <w:t>Nachdem die Frankenpost am heutigen Montag, 21.02.2022, die Schließung des Alexbades in Bad Alexandersbad vermeldete, die defizitäre Situation des Bades bereits lange bekannt war und selbst die Rechtsaufsicht unmittelbar nach Eröffnung des Alexbades ein Gutachten beauftragt hatte, wie mit der damals bekannten Unwirtschaftlichkeit des Alexbades umgegangen werden solle, frage ich die Staatsregierung, welche Erkenntnisse liegen ihr und dem ORH vor, die überhaupt zur Genehmigung des Bades geführt haben, auf welcher Grundlage wurde die Entscheidung damals getroffen und wie lange ihr die Unwirtschaftlichkeit des Alexbades bekannt?</w:t>
            </w:r>
          </w:p>
        </w:tc>
      </w:tr>
    </w:tbl>
    <w:p w14:paraId="45B7E1EC" w14:textId="77777777" w:rsidR="009B7130" w:rsidRDefault="009B7130" w:rsidP="009B7130">
      <w:pPr>
        <w:pStyle w:val="LTUeberschrAntwortRessort"/>
      </w:pPr>
      <w:r>
        <w:t>Antwort des Staatsministeriums des Innern, für Sport und Integration</w:t>
      </w:r>
    </w:p>
    <w:p w14:paraId="3A62E237" w14:textId="77777777" w:rsidR="009B7130" w:rsidRDefault="009B7130" w:rsidP="009B7130">
      <w:pPr>
        <w:pStyle w:val="LTAntwortRessortText"/>
      </w:pPr>
      <w:r>
        <w:t>Vor dem Hintergrund, dass sich Gemeinde, Landratsamt, Regi</w:t>
      </w:r>
      <w:r w:rsidR="007055B4">
        <w:t>erung und Ministerien in ständi</w:t>
      </w:r>
      <w:r>
        <w:t xml:space="preserve">ger intensiver Zusammenarbeit zur Lösung der schwierigen finanziellen Lage der Gemeinde Bad Alexandersbad befinden, kommt die Meldung von Frau Erster Bürgermeisterin Berek, das ALEXBAD zum Monatsende Februar zu schließen, für das </w:t>
      </w:r>
      <w:r w:rsidR="007055B4">
        <w:t>Staatsministerium des Innern, für Sport (StMI)und Integration ebenso überra</w:t>
      </w:r>
      <w:r>
        <w:t>schend wie für den Gemeinderat der Gemeinde Bad Alexandersbad od</w:t>
      </w:r>
      <w:r w:rsidR="007055B4">
        <w:t>er das Landratsamt Wunsiedel i. </w:t>
      </w:r>
      <w:r>
        <w:t>F. Die Entscheidung der Ersten Bürgermeisterin war zuvor mit niemandem a</w:t>
      </w:r>
      <w:r w:rsidR="007055B4">
        <w:t>bge</w:t>
      </w:r>
      <w:r>
        <w:t>stimmt. Sie ist auch schon deshalb nicht nachvollziehbar, wei</w:t>
      </w:r>
      <w:r w:rsidR="007055B4">
        <w:t>l nach Informationen des StMI</w:t>
      </w:r>
      <w:r>
        <w:t xml:space="preserve"> auf Bas</w:t>
      </w:r>
      <w:r w:rsidR="007055B4">
        <w:t>is der von der Gemeinde Bad Ale</w:t>
      </w:r>
      <w:r>
        <w:t>xandersbad zuletzt vorgelegten Unterlagen die Zahlungsfähigkeit der G</w:t>
      </w:r>
      <w:r w:rsidR="007055B4">
        <w:t>emeinde bis zum Mo</w:t>
      </w:r>
      <w:r>
        <w:t>natsende Februar gesichert ist und nach aktuellem Stand auch der weiteren Genehmigung der benötigten Kassenkredithöchstbeträge zugestimmt werden kann.</w:t>
      </w:r>
    </w:p>
    <w:p w14:paraId="7E8D3CC1" w14:textId="77777777" w:rsidR="009B7130" w:rsidRDefault="009B7130" w:rsidP="009B7130">
      <w:pPr>
        <w:pStyle w:val="LTAntwortRessortText"/>
      </w:pPr>
      <w:r>
        <w:t>Abgesehen von etwaigen Genehmigungen auf Grundlage baurechtlicher Vorschriften, die vo</w:t>
      </w:r>
      <w:r w:rsidR="007055B4">
        <w:t>r</w:t>
      </w:r>
      <w:r>
        <w:t xml:space="preserve">liegend angesichts der geschilderten Umstände nicht Gegenstand der Anfrage sein dürften, ist eine förmliche Genehmigung </w:t>
      </w:r>
      <w:r w:rsidR="006F49A4">
        <w:t>„</w:t>
      </w:r>
      <w:r>
        <w:t>des Bades</w:t>
      </w:r>
      <w:r w:rsidR="006F49A4">
        <w:t>“</w:t>
      </w:r>
      <w:r>
        <w:t xml:space="preserve"> bzw. der Erneueru</w:t>
      </w:r>
      <w:r w:rsidR="007055B4">
        <w:t>ng und Umgestaltung des histori</w:t>
      </w:r>
      <w:r>
        <w:t>schen Kurzentrums der Gemeinde Bad Alexandersbad ab dem Jahr 2013 durch Behörden des Freistaats Bayern nicht ersichtlich.</w:t>
      </w:r>
    </w:p>
    <w:p w14:paraId="0B60C415" w14:textId="77777777" w:rsidR="009B7130" w:rsidRDefault="009B7130" w:rsidP="009B7130">
      <w:pPr>
        <w:pStyle w:val="LTAntwortRessortText"/>
      </w:pPr>
      <w:r>
        <w:t>Die Staatsregierung hat die Erneuerung der historischen Kur</w:t>
      </w:r>
      <w:r w:rsidR="007055B4">
        <w:t>anlagen in der Gemeinde Bad Ale</w:t>
      </w:r>
      <w:r>
        <w:t xml:space="preserve">xandersbad mit insgesamt rd. 16,37 Mio. Euro finanziell gefördert. Für den Umbau des </w:t>
      </w:r>
      <w:r w:rsidR="006F49A4">
        <w:t>„</w:t>
      </w:r>
      <w:r>
        <w:t>Alten Kurhauses</w:t>
      </w:r>
      <w:r w:rsidR="006F49A4">
        <w:t>“</w:t>
      </w:r>
      <w:r>
        <w:t xml:space="preserve"> und den Ersatz-Neubau des Kurmittelhauses (heutiges ALEXBAD) wurden auf Grundlage der Richtlinie zur Förderung öffentlicher touristischer Infrastruktureinrichtungen (RÖFE) Zuwendungen in Höhe von insgesamt rd. 10,16 Mio</w:t>
      </w:r>
      <w:r w:rsidR="007055B4">
        <w:t>. Euro gewährt. Weitere gemeind</w:t>
      </w:r>
      <w:r>
        <w:t>liche Sanierungs- und Umgestaltungsmaßnahmen in die</w:t>
      </w:r>
      <w:r w:rsidR="007055B4">
        <w:t>sem Zusammenhang wurden mit Mit</w:t>
      </w:r>
      <w:r>
        <w:t xml:space="preserve">teln der Städtebauförderung sowie aus dem </w:t>
      </w:r>
      <w:r w:rsidR="007055B4">
        <w:t>Dorferneuerungsprogramm unter</w:t>
      </w:r>
      <w:r>
        <w:t>stützt.</w:t>
      </w:r>
    </w:p>
    <w:p w14:paraId="1A4F18CC" w14:textId="77777777" w:rsidR="009B7130" w:rsidRDefault="009B7130" w:rsidP="009B7130">
      <w:pPr>
        <w:pStyle w:val="LTAntwortRessortText"/>
      </w:pPr>
      <w:r>
        <w:t>Die Zuwendungsentscheidung in Bezug auf den Neubau des</w:t>
      </w:r>
      <w:r w:rsidR="007055B4">
        <w:t xml:space="preserve"> Kurmittelhauses bzw. des heutigen ALEXBADES</w:t>
      </w:r>
      <w:r>
        <w:t xml:space="preserve"> erging auf Grundlage eines entsprechenden Zuwen</w:t>
      </w:r>
      <w:r w:rsidR="007055B4">
        <w:t>dungsantrags der Ge</w:t>
      </w:r>
      <w:r>
        <w:t>meinde Bad Alexandersbad. Dieser wurde nach einer umfangreichen Prüfung der eingereichten Antragsunterlagen und der vorliegenden Stellungnahmen positiv verbeschieden.</w:t>
      </w:r>
    </w:p>
    <w:p w14:paraId="6777024E" w14:textId="77777777" w:rsidR="009B7130" w:rsidRDefault="009B7130" w:rsidP="009B7130">
      <w:pPr>
        <w:pStyle w:val="LTAntwortRessortText"/>
      </w:pPr>
      <w:r>
        <w:t>Das in der Pressemitteilung von Frau Erster Bürgermeisterin Berek vom 21.02.2022 sowie in der entsprechenden Presseberichterstattung in Bezug genommene IDW-</w:t>
      </w:r>
      <w:r>
        <w:lastRenderedPageBreak/>
        <w:t>S6-Gutachten stammt aus dem Jahr 2020 und is</w:t>
      </w:r>
      <w:r w:rsidR="007055B4">
        <w:t>t den Ministerien seit dem Jahr </w:t>
      </w:r>
      <w:r>
        <w:t>2020 bekannt.</w:t>
      </w:r>
    </w:p>
    <w:p w14:paraId="5BA04D04" w14:textId="77777777" w:rsidR="009B7130" w:rsidRDefault="009B7130" w:rsidP="009B7130">
      <w:pPr>
        <w:pStyle w:val="LTAntwortRessortText"/>
      </w:pPr>
      <w:r>
        <w:t>Seitdem befinden sich die Gemeinde Bad Alexandersbad, da</w:t>
      </w:r>
      <w:r w:rsidR="007055B4">
        <w:t>s Landratsamt Wunsiedel i. Fich</w:t>
      </w:r>
      <w:r>
        <w:t>telgebirge, die Regierung von Oberfranken und die Ministerie</w:t>
      </w:r>
      <w:r w:rsidR="007055B4">
        <w:t>n in ständiger intensiver Zusam</w:t>
      </w:r>
      <w:r>
        <w:t>menarbeit, um Lösungen für die bestehende schwierige Situation zu finden.</w:t>
      </w:r>
    </w:p>
    <w:p w14:paraId="2FB774C3" w14:textId="77777777" w:rsidR="009B7130" w:rsidRDefault="009B7130">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9B7130" w14:paraId="4BDD57FA" w14:textId="77777777" w:rsidTr="007B0B33">
        <w:tc>
          <w:tcPr>
            <w:tcW w:w="2050" w:type="dxa"/>
          </w:tcPr>
          <w:p w14:paraId="2C071C4E" w14:textId="77777777" w:rsidR="009B7130" w:rsidRDefault="009B7130" w:rsidP="009B7130">
            <w:pPr>
              <w:pStyle w:val="LTAnfrageInitiator"/>
            </w:pPr>
            <w:r>
              <w:lastRenderedPageBreak/>
              <w:t>Abgeordnete</w:t>
            </w:r>
            <w:r>
              <w:rPr>
                <w:b/>
              </w:rPr>
              <w:br/>
              <w:t>Gülseren</w:t>
            </w:r>
            <w:r>
              <w:rPr>
                <w:b/>
              </w:rPr>
              <w:br/>
              <w:t>Demirel</w:t>
            </w:r>
            <w:r>
              <w:rPr>
                <w:b/>
              </w:rPr>
              <w:br/>
            </w:r>
            <w:r>
              <w:t>(BÜNDNIS 90/DIE GRÜNEN)</w:t>
            </w:r>
            <w:bookmarkStart w:id="9" w:name="Frage_Nr_4"/>
            <w:bookmarkEnd w:id="9"/>
          </w:p>
        </w:tc>
        <w:tc>
          <w:tcPr>
            <w:tcW w:w="7200" w:type="dxa"/>
          </w:tcPr>
          <w:p w14:paraId="27D5B068" w14:textId="77777777" w:rsidR="009B7130" w:rsidRDefault="009C5E1D" w:rsidP="009B7130">
            <w:pPr>
              <w:pStyle w:val="LTAnfrageText"/>
            </w:pPr>
            <w:r w:rsidRPr="009C5E1D">
              <w:rPr>
                <w:szCs w:val="24"/>
              </w:rPr>
              <w:t>Laut Bundesregierung sollen mögliche Unterbringungsprobleme bei afghanischen Ortskräften in den Kommunen auf der Landesebene gelöst werden, daher frage ich die Staatsregierung, warum afghanische Ortskräfte nicht dabei unterstützt werden, die Übergangswohnheime zu verlassen und in Wohnungen einzuziehen (da sich die Personen nun seit mehreren Monaten in den Übergangswohnheimen aufhalten müssen und keinerlei Unterstützung erhalten, bitte nicht auf mögliche Projekte, wie Wohnraum für Alle (WoFA) oder Wohnungspakt Bayern – hier sind die Kapazitäten bereits ausgeschöpft – hinweisen), ist die Staatsregierung der Meinung, dass die Unterbringung in Übergangswohnheimen der Integration der afghanischen Ortskräfte dienlich ist (falls ja, bitte begründen, wie diese Unterbringungsform mit dem Ziel der Integration vereinbar ist, falls nein, bitte die zusätzlichen unterstützenden Integrationsmaßnahmen während des Aufenthalts in den Übergangsmaßnahmen auflisten), wie werden die afghanischen Ortskräfte bei der Anmeldung in Kindergärten und Schulen, beim Erwerb der deutschen Sprache und der Integration in den Arbeitsmarkt unterstützt (da uns die Rückmeldung der Wohlfahrtsverbände vorliegt, dass die Flüchtlings- und Integrationsberatung in Bayern mit dieser Aufgabe überlastet ist, bitte nicht auf diese und aufgrund der fehlenden WLAN-Versorgung in den Überganswohnheimen nicht auf die Online-Sprachkurse des Bundesamt für Migration und Flüchtlinge (BAMF) hinweisen)?</w:t>
            </w:r>
          </w:p>
        </w:tc>
      </w:tr>
    </w:tbl>
    <w:p w14:paraId="0584F5A1" w14:textId="77777777" w:rsidR="009B7130" w:rsidRDefault="009B7130" w:rsidP="009B7130">
      <w:pPr>
        <w:pStyle w:val="LTUeberschrAntwortRessort"/>
      </w:pPr>
      <w:r>
        <w:t>Antwort des Staatsministeriums des Innern, für Sport und Integration</w:t>
      </w:r>
    </w:p>
    <w:p w14:paraId="58CFD2DD" w14:textId="77777777" w:rsidR="009B7130" w:rsidRDefault="009B7130" w:rsidP="009B7130">
      <w:pPr>
        <w:pStyle w:val="LTAntwortRessortText"/>
      </w:pPr>
      <w:r>
        <w:t xml:space="preserve">Die afghanischen Staatsangehörigen mit </w:t>
      </w:r>
      <w:r w:rsidR="00B17B65">
        <w:t>einer Aufnahmezusage nach § 22 Satz 2 Aufenthalts</w:t>
      </w:r>
      <w:r>
        <w:t>gesetz (AufenthG) müssen nicht in Übergangswohnheimen wohnen. Vielmehr handelt es sich dabei um ein Angebot des Freistaat</w:t>
      </w:r>
      <w:r w:rsidR="00B17793">
        <w:t>e</w:t>
      </w:r>
      <w:r>
        <w:t>s Bayern für eine übergang</w:t>
      </w:r>
      <w:r w:rsidR="00B17B65">
        <w:t>sweise Unterbringung, da die al</w:t>
      </w:r>
      <w:r>
        <w:t>lermeisten afghanischen Ortskräfte und besonders gefährdeten afghanischen Staatsangehörigen nach ihrer Ankunft in Deutschland aufgrund von Sprachbarrie</w:t>
      </w:r>
      <w:r w:rsidR="00B17B65">
        <w:t>ren und fehlender eigener finan</w:t>
      </w:r>
      <w:r>
        <w:t>zieller Mittel noch keine Möglichkeit haben, sich sofort selbst um eigenen privaten Wohnraum zu kümmern. Hierbei handelt es sich nicht um Asylbewerberunterkünfte, sondern zumeist um kleinere Objekte mit abgeschlossenen Wohneinheiten mit Wohnungscharakter. Ohne dieses</w:t>
      </w:r>
      <w:r w:rsidR="00130EAD">
        <w:t xml:space="preserve"> </w:t>
      </w:r>
      <w:r>
        <w:t>Unterbringungsangebot würde der größte Teil der Personen Gefahr laufen, der Obdachlosigkeit anheim zu fallen.</w:t>
      </w:r>
    </w:p>
    <w:p w14:paraId="37D95D06" w14:textId="77777777" w:rsidR="009B7130" w:rsidRDefault="009B7130" w:rsidP="009B7130">
      <w:pPr>
        <w:pStyle w:val="LTAntwortRessortText"/>
      </w:pPr>
      <w:r>
        <w:t>Es ist für den betroffenen Personenkreis somit nicht verpflich</w:t>
      </w:r>
      <w:r w:rsidR="00B17B65">
        <w:t>tend, das Angebot einer vorüber</w:t>
      </w:r>
      <w:r>
        <w:t>gehenden Unterbringung in einem staatlichen Übergangswo</w:t>
      </w:r>
      <w:r w:rsidR="00B17B65">
        <w:t>hnheim anzunehmen. Sie unterfal</w:t>
      </w:r>
      <w:r>
        <w:t xml:space="preserve">len aufgrund ihres Aufenthaltstitels den allgemeinen sozialrechtlichen Bestimmungen und sind sofort zum Bezug von Sozialleistungen berechtigt, weshalb </w:t>
      </w:r>
      <w:r w:rsidR="006F49A4">
        <w:t>u. a.</w:t>
      </w:r>
      <w:r w:rsidR="00B17B65">
        <w:t xml:space="preserve"> auch die Kosten der Unterbrin</w:t>
      </w:r>
      <w:r>
        <w:t>gung vom zuständigen Sozialhilfeträger übernommen werden. Sie sind daher ebenso berechtigt, aber auch verpflichtet, sich wie jeder Bürger selbst um Wohnraum zu bemühen.</w:t>
      </w:r>
    </w:p>
    <w:p w14:paraId="28D288DF" w14:textId="77777777" w:rsidR="009B7130" w:rsidRDefault="009B7130" w:rsidP="009B7130">
      <w:pPr>
        <w:pStyle w:val="LTAntwortRessortText"/>
      </w:pPr>
      <w:r>
        <w:t>Flankierend zum Angebot, eine vorübergehende Bleibe in einem Übergangswohnheim erhalten zu können, wurden seitens des Staatsministerium des Innern, für Sport und Integration (StMI) bereits im Herbst letzten Jahres aufnahmebereite Kom</w:t>
      </w:r>
      <w:r>
        <w:lastRenderedPageBreak/>
        <w:t xml:space="preserve">munen, etwa Mitglieder des Bündnisses </w:t>
      </w:r>
      <w:r w:rsidR="006F49A4">
        <w:t>„</w:t>
      </w:r>
      <w:r>
        <w:t>Städte Sichere Häfen</w:t>
      </w:r>
      <w:r w:rsidR="006F49A4">
        <w:t>“</w:t>
      </w:r>
      <w:r>
        <w:t>, mit dem Ziel angeschrieben, not</w:t>
      </w:r>
      <w:r w:rsidR="00B17B65">
        <w:t>wendige Ressourcen für eine Auf</w:t>
      </w:r>
      <w:r>
        <w:t>nahme und menschenwürdige Versorgung geflüchteter Mensch</w:t>
      </w:r>
      <w:r w:rsidR="00B17B65">
        <w:t>en bereitzustellen, um ein lang</w:t>
      </w:r>
      <w:r>
        <w:t>fristiges Ankommen in Bayern sowie gesellschaftliche Teilhabe zu ermöglichen. Dem Aufruf sind bereits über 15 bayerische Kommunen gefolgt, so dass zwischenzeitlich auf diesem Weg bereits über 100 Personen mit privatem Wohnraum versorgt werden konnten.</w:t>
      </w:r>
    </w:p>
    <w:p w14:paraId="2FD996C0" w14:textId="77777777" w:rsidR="009B7130" w:rsidRDefault="009B7130" w:rsidP="009B7130">
      <w:pPr>
        <w:pStyle w:val="LTAntwortRessortText"/>
      </w:pPr>
      <w:r>
        <w:t>Entgegen dem Wortlaut der Anfrage ist zudem durchaus auf die Unterstützungsmaßnahmen hinzuweisen, mit denen die Suche nach Wohnraum unterstützt wird.</w:t>
      </w:r>
    </w:p>
    <w:p w14:paraId="4978FF05" w14:textId="77777777" w:rsidR="009B7130" w:rsidRDefault="009B7130" w:rsidP="009B7130">
      <w:pPr>
        <w:pStyle w:val="LTAntwortRessortText"/>
      </w:pPr>
      <w:r>
        <w:t xml:space="preserve">So in der Tat etwa auf das sehr erfolgreiche Projekt </w:t>
      </w:r>
      <w:r w:rsidR="006F49A4">
        <w:t>„</w:t>
      </w:r>
      <w:r>
        <w:t>Wohnraum für Alle</w:t>
      </w:r>
      <w:r w:rsidR="006F49A4">
        <w:t>“</w:t>
      </w:r>
      <w:r w:rsidR="00B17B65">
        <w:t xml:space="preserve"> der Evangelisch-Lu</w:t>
      </w:r>
      <w:r>
        <w:t>therischen Kirche in Bayern. Damit fördert der Freistaat ei</w:t>
      </w:r>
      <w:r w:rsidR="00B17B65">
        <w:t>n bayernweites Projekt, das Men</w:t>
      </w:r>
      <w:r>
        <w:t>schen mit Migrationshintergrund zu kompetenten Akteuren auf dem Wohnungsmarkt ausbildet, den weiteren Ausbau von Vermieternetzwerken fördert und be</w:t>
      </w:r>
      <w:r w:rsidR="00B17B65">
        <w:t>stehende Mietverhältnisse stabi</w:t>
      </w:r>
      <w:r>
        <w:t>lisiert. Gleichzeitig werden wohnungssuchende Menschen du</w:t>
      </w:r>
      <w:r w:rsidR="00B17B65">
        <w:t>rch etablierte Ehrenamtsstruktu</w:t>
      </w:r>
      <w:r>
        <w:t>ren vor Ort bei der Wohnungssuche professionell unterst</w:t>
      </w:r>
      <w:r w:rsidR="00B17B65">
        <w:t>ützt und begleitet; dabei gilt –</w:t>
      </w:r>
      <w:r>
        <w:t xml:space="preserve"> auch unter Gl</w:t>
      </w:r>
      <w:r w:rsidR="00B17B65">
        <w:t>eichbehandlungsgesichtspunkten –</w:t>
      </w:r>
      <w:r>
        <w:t xml:space="preserve"> der allgemeine Grundsatz der Integration </w:t>
      </w:r>
      <w:r w:rsidR="006F49A4">
        <w:t>„</w:t>
      </w:r>
      <w:r>
        <w:t>Hilfe zur Selbsthilfe</w:t>
      </w:r>
      <w:r w:rsidR="006F49A4">
        <w:t>“</w:t>
      </w:r>
      <w:r>
        <w:t>. Daneben können auch die auf Ebene der bayerischen Landkreise und kreisfreien Städte geförderten Integrationslotsen als zentrale Ansprechpa</w:t>
      </w:r>
      <w:r w:rsidR="00B17B65">
        <w:t>rtner und Netzwerker für die Eh</w:t>
      </w:r>
      <w:r>
        <w:t xml:space="preserve">renamtlichen im Bereich Asyl und Integration beim Handlungsfeld Wohnen unterstützen, </w:t>
      </w:r>
      <w:r w:rsidR="006F49A4">
        <w:t>z. B.</w:t>
      </w:r>
      <w:r>
        <w:t xml:space="preserve"> durch Information über Mietbefähigungskurse des Neusässer Ko</w:t>
      </w:r>
      <w:r w:rsidR="00B17B65">
        <w:t>nzepts. Aktuell gibt es Integra</w:t>
      </w:r>
      <w:r>
        <w:t>tionslotsen in 89 von 96 Landkreisen und kreisfreien Städten.</w:t>
      </w:r>
    </w:p>
    <w:p w14:paraId="41DC304B" w14:textId="77777777" w:rsidR="009B7130" w:rsidRDefault="009B7130" w:rsidP="009B7130">
      <w:pPr>
        <w:pStyle w:val="LTAntwortRessortText"/>
      </w:pPr>
      <w:r>
        <w:t>Auch stehen der Personengruppe, ebenso wie anderen Flüchtlingen mit Bleibeberechtigung auch, sämtliche Integrationsmaßnahmen zur Verfügung:</w:t>
      </w:r>
    </w:p>
    <w:p w14:paraId="3735800B" w14:textId="77777777" w:rsidR="009B7130" w:rsidRDefault="009B7130" w:rsidP="009B7130">
      <w:pPr>
        <w:pStyle w:val="LTAntwortRessortText"/>
      </w:pPr>
      <w:r>
        <w:t xml:space="preserve">Nach ihrer Ankunft in Bayern erhalten afghanische Ortskräfte </w:t>
      </w:r>
      <w:r w:rsidR="00B17B65">
        <w:t>über die Flüchtlings- und Integ</w:t>
      </w:r>
      <w:r>
        <w:t>rationsberatung ein professionelles, bedarfsabhängiges und zi</w:t>
      </w:r>
      <w:r w:rsidR="00B17B65">
        <w:t>elgruppenspezifisches Beratungs</w:t>
      </w:r>
      <w:r>
        <w:t xml:space="preserve">angebot. Zu den Beratungszielen zählen </w:t>
      </w:r>
      <w:r w:rsidR="006F49A4">
        <w:t>u. a.</w:t>
      </w:r>
      <w:r>
        <w:t xml:space="preserve"> eine allgemeine Unterstützung bei der beruflichen Integration, Hinweise auf Beratungsangebote der Agenturen fü</w:t>
      </w:r>
      <w:r w:rsidR="00B17B65">
        <w:t>r Arbeit, inklusive entsprechen</w:t>
      </w:r>
      <w:r>
        <w:t xml:space="preserve">der Vermittlungsmöglichkeiten, sowie zum Besuch von Kindertageseinrichtungen und Schulen. Der Freistaat hat die Fördermittel in diesem Bereich ausgebaut: Der Mittelansatz wurde 2021 um rund 3,4 </w:t>
      </w:r>
      <w:r w:rsidR="00B17B65">
        <w:t>Mio.</w:t>
      </w:r>
      <w:r>
        <w:t xml:space="preserve"> Euro bayernweit insgesamt auf rund 31,3 </w:t>
      </w:r>
      <w:r w:rsidR="00B17B65">
        <w:t>Mio.</w:t>
      </w:r>
      <w:r>
        <w:t xml:space="preserve"> angehoben. Mit bayernweit 573 Stellen ist die Beratung in der Fläche sichergestellt. Übe</w:t>
      </w:r>
      <w:r w:rsidR="00B17B65">
        <w:t>r Verteilung und Ein</w:t>
      </w:r>
      <w:r>
        <w:t>satz dieser Stellen entscheiden die vor Ort aktiven Träger gru</w:t>
      </w:r>
      <w:r w:rsidR="00B17B65">
        <w:t>ndsätzlich in eigener Zuständig</w:t>
      </w:r>
      <w:r>
        <w:t>keit. Nach der Fördergrundlage ist im Rahmen der trägerinter</w:t>
      </w:r>
      <w:r w:rsidR="00B17B65">
        <w:t>nen Stellenverteilung die allge</w:t>
      </w:r>
      <w:r>
        <w:t>meine und insbesondere auch die aktuelle Bedarfslage zu berücksichtigen. Gleiches gilt für die trägerübergreifende Abstimmung von Bedarf und Personaleinsatz. Selbstverständlich können kurzfristige Mehrbed</w:t>
      </w:r>
      <w:r w:rsidR="00B17B65">
        <w:t>arfe in einzelnen Unterkünften –</w:t>
      </w:r>
      <w:r>
        <w:t xml:space="preserve"> sowie </w:t>
      </w:r>
      <w:r w:rsidR="00B17B65">
        <w:t>damit ggf. verbundene Überlegun</w:t>
      </w:r>
      <w:r>
        <w:t>gen zu Umplanungen beim Person</w:t>
      </w:r>
      <w:r w:rsidR="00B17B65">
        <w:t>aleinsatz –</w:t>
      </w:r>
      <w:r>
        <w:t xml:space="preserve"> eine Herausforderung darstellen. Um solchen akuten Mehrbedarfe</w:t>
      </w:r>
      <w:r w:rsidR="00B17793">
        <w:t>n</w:t>
      </w:r>
      <w:r>
        <w:t xml:space="preserve"> gerecht zu werden, wurden im Rahmen </w:t>
      </w:r>
      <w:r w:rsidR="00B17B65">
        <w:t>des Geschäftsführenden Ausschus</w:t>
      </w:r>
      <w:r>
        <w:t>ses der Landesarbeitsgemeinschaft der freien und öffentlichen Wohlfahrtspflege im Konsens von Freier Wohlfahrtspflege, Kommunaler Spitzenverbä</w:t>
      </w:r>
      <w:r w:rsidR="00B17B65">
        <w:t>nde und dem StMI auch schon kon</w:t>
      </w:r>
      <w:r>
        <w:t>krete Stellenumschichtungen vorgenommen.</w:t>
      </w:r>
    </w:p>
    <w:p w14:paraId="1A7DF4D3" w14:textId="77777777" w:rsidR="009B7130" w:rsidRDefault="009B7130" w:rsidP="009B7130">
      <w:pPr>
        <w:pStyle w:val="LTAntwortRessortText"/>
      </w:pPr>
      <w:r>
        <w:t>Die Integration in den Arbeitsmarkt ist Aufgabe der Jobcenter vor Ort. Neben der Deckung der Grundbedürfnisse der afghanischen Ortskräfte innerhalb des Sozialleistungssystems werden die Jobcenter sich auch um die Bereiche Kompetenzfeststellung, berufliche Qualifizierung und die Sprachförderung kümmern. Insbeson</w:t>
      </w:r>
      <w:r>
        <w:lastRenderedPageBreak/>
        <w:t>dere erfolgt die sprachliche Integration der afghanischen Ortskräfte über das Gesamtprogramm Sprache des Bundes. Aktuell können Integrationskurse und Berufssprachkurse unter Beachtung von 3G in Präsenz stattfinden.</w:t>
      </w:r>
    </w:p>
    <w:p w14:paraId="6D25F96C" w14:textId="77777777" w:rsidR="009B7130" w:rsidRDefault="009B7130" w:rsidP="009B7130">
      <w:pPr>
        <w:pStyle w:val="LTAntwortRessortText"/>
      </w:pPr>
      <w:r>
        <w:t>Die Staatsregierung ergänzt die Angebote der Bundesagentur für Arbeit durch die Förderung von Jobbegleiterinnen und Jobbegleiter</w:t>
      </w:r>
      <w:r w:rsidR="00B17793">
        <w:t>n</w:t>
      </w:r>
      <w:r>
        <w:t xml:space="preserve"> sowie Ausbildungsa</w:t>
      </w:r>
      <w:r w:rsidR="00B17B65">
        <w:t>kquisiteurinnen und Ausbildungs</w:t>
      </w:r>
      <w:r>
        <w:t>akquisiteure</w:t>
      </w:r>
      <w:r w:rsidR="00B17793">
        <w:t>n</w:t>
      </w:r>
      <w:r>
        <w:t xml:space="preserve"> für Flüchtlinge, die die afghanischen Ortskräfte bei der Integration in Arbeit bzw. Ausbildung unterstützen.</w:t>
      </w:r>
    </w:p>
    <w:p w14:paraId="64DE9BF8" w14:textId="77777777" w:rsidR="009B7130" w:rsidRDefault="009B7130">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B7130" w14:paraId="6F2B5EA7" w14:textId="77777777" w:rsidTr="007B0B33">
        <w:tc>
          <w:tcPr>
            <w:tcW w:w="2050" w:type="dxa"/>
          </w:tcPr>
          <w:p w14:paraId="4B125D1F" w14:textId="77777777" w:rsidR="009B7130" w:rsidRDefault="009B7130" w:rsidP="009B7130">
            <w:pPr>
              <w:pStyle w:val="LTAnfrageInitiator"/>
            </w:pPr>
            <w:r>
              <w:lastRenderedPageBreak/>
              <w:t>Abgeordnete</w:t>
            </w:r>
            <w:r>
              <w:rPr>
                <w:b/>
              </w:rPr>
              <w:br/>
              <w:t>Barbara</w:t>
            </w:r>
            <w:r>
              <w:rPr>
                <w:b/>
              </w:rPr>
              <w:br/>
              <w:t>Fuchs</w:t>
            </w:r>
            <w:r>
              <w:rPr>
                <w:b/>
              </w:rPr>
              <w:br/>
            </w:r>
            <w:r>
              <w:t>(BÜNDNIS 90/DIE GRÜNEN)</w:t>
            </w:r>
            <w:bookmarkStart w:id="11" w:name="Frage_Nr_5"/>
            <w:bookmarkEnd w:id="11"/>
          </w:p>
        </w:tc>
        <w:tc>
          <w:tcPr>
            <w:tcW w:w="7200" w:type="dxa"/>
          </w:tcPr>
          <w:p w14:paraId="1A8B5AE9" w14:textId="77777777" w:rsidR="009B7130" w:rsidRDefault="0009203A" w:rsidP="009B7130">
            <w:pPr>
              <w:pStyle w:val="LTAnfrageText"/>
            </w:pPr>
            <w:r w:rsidRPr="0009203A">
              <w:rPr>
                <w:szCs w:val="24"/>
              </w:rPr>
              <w:t>Ich frage die Staatsregierung bezugnehmend auf meine Anfrage zum Plenum vom 02.02.2022 (Drs. 18/20125) zur Zusammenlegung der Dienstpläne der Notarzt-Standorte in Uffenheim und Bad Windsheim, für welche Notarzt-Standorte in Bayern gibt es ähnliche Überlegungen zur Zusammenlegung der Dienstpläne, an welchen Notarzt-Standorten wurde dies seit dem Jahr 2018 vollzogen und welche konkreten Kennzahlen (z. B. Anzahl der Notarzt-Einsätze pro 24 Stunden je Standort) spielen für solche Entscheidungen eine Rolle?</w:t>
            </w:r>
          </w:p>
        </w:tc>
      </w:tr>
    </w:tbl>
    <w:p w14:paraId="6DDB2DD8" w14:textId="77777777" w:rsidR="009B7130" w:rsidRDefault="009B7130" w:rsidP="009B7130">
      <w:pPr>
        <w:pStyle w:val="LTUeberschrAntwortRessort"/>
      </w:pPr>
      <w:r>
        <w:t>Antwort des Staatsministeriums des Innern, für Sport und Integration</w:t>
      </w:r>
    </w:p>
    <w:p w14:paraId="0C7A9701" w14:textId="77777777" w:rsidR="009B7130" w:rsidRDefault="003069F0" w:rsidP="009B7130">
      <w:pPr>
        <w:pStyle w:val="LTAntwortRessortText"/>
      </w:pPr>
      <w:r>
        <w:t>Nach Art. </w:t>
      </w:r>
      <w:r w:rsidR="009B7130">
        <w:t>14 Abs. 2 Satz 1 des Bayerischen Rettungsdienstgesetzes wird die Mitwirkung von Ärzten in der bodengebundenen Notfallrettung vom jeweils</w:t>
      </w:r>
      <w:r>
        <w:t xml:space="preserve"> örtlichen Zweckverband für Ret</w:t>
      </w:r>
      <w:r w:rsidR="009B7130">
        <w:t>tungsdienst und Feuerwehralarmierung und der Kassenärztli</w:t>
      </w:r>
      <w:r w:rsidR="00A76E3D">
        <w:t>chen Vereinigung Bayerns sicher</w:t>
      </w:r>
      <w:r w:rsidR="009B7130">
        <w:t>gestellt.</w:t>
      </w:r>
    </w:p>
    <w:p w14:paraId="55FFCB9E" w14:textId="77777777" w:rsidR="009B7130" w:rsidRDefault="009B7130" w:rsidP="009B7130">
      <w:pPr>
        <w:pStyle w:val="LTAntwortRessortText"/>
      </w:pPr>
      <w:r>
        <w:t>Der Staatsregierung ist nicht bekannt, ob es abgesehen von d</w:t>
      </w:r>
      <w:r w:rsidR="003069F0">
        <w:t>en in der Anfrage genannten Not</w:t>
      </w:r>
      <w:r>
        <w:t>arztstandorten Uffenheim und Bad Windsheim bei den vorgenannten Aufgabenträgern Überlegungen für eine Zusammenlegung von Dienstplänen verschiedener Notarztstandorte gibt. Die Staatsregierung hat auch keine Kenntnis davon, ob und ggf. an welchen Notarztstandorten seit dem Jahr 2018 entsprechende Zusammenlegungen von Dienstplänen vollzogen wurden.</w:t>
      </w:r>
    </w:p>
    <w:p w14:paraId="51334676" w14:textId="77777777" w:rsidR="009B7130" w:rsidRDefault="009B7130" w:rsidP="009B7130">
      <w:pPr>
        <w:pStyle w:val="LTAntwortRessortText"/>
      </w:pPr>
      <w:r>
        <w:t xml:space="preserve">Festgelegte </w:t>
      </w:r>
      <w:r w:rsidR="006F49A4">
        <w:t>„</w:t>
      </w:r>
      <w:r>
        <w:t>Kennzahlen</w:t>
      </w:r>
      <w:r w:rsidR="006F49A4">
        <w:t>“</w:t>
      </w:r>
      <w:r>
        <w:t xml:space="preserve"> die für eine Zusammenlegung von </w:t>
      </w:r>
      <w:r w:rsidR="003069F0">
        <w:t>Dienstplänen von Notarztstandor</w:t>
      </w:r>
      <w:r>
        <w:t>ten eine Rolle spielen können, gibt es nicht. Entscheidend sind</w:t>
      </w:r>
      <w:r w:rsidR="003069F0">
        <w:t xml:space="preserve"> stets die konkreten Gegebenhei</w:t>
      </w:r>
      <w:r>
        <w:t>ten vor Ort und deren Bewertung durch die Aufgabenträger.</w:t>
      </w:r>
    </w:p>
    <w:p w14:paraId="37230372" w14:textId="77777777" w:rsidR="009B7130" w:rsidRDefault="009B7130">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B7130" w14:paraId="3E75B79B" w14:textId="77777777" w:rsidTr="007B0B33">
        <w:tc>
          <w:tcPr>
            <w:tcW w:w="2050" w:type="dxa"/>
          </w:tcPr>
          <w:p w14:paraId="5547F970" w14:textId="77777777" w:rsidR="009B7130" w:rsidRDefault="009B7130" w:rsidP="009B7130">
            <w:pPr>
              <w:pStyle w:val="LTAnfrageInitiator"/>
            </w:pPr>
            <w:r>
              <w:lastRenderedPageBreak/>
              <w:t>Abgeordneter</w:t>
            </w:r>
            <w:r>
              <w:rPr>
                <w:b/>
              </w:rPr>
              <w:br/>
              <w:t>Ludwig</w:t>
            </w:r>
            <w:r>
              <w:rPr>
                <w:b/>
              </w:rPr>
              <w:br/>
              <w:t>Hartmann</w:t>
            </w:r>
            <w:r>
              <w:rPr>
                <w:b/>
              </w:rPr>
              <w:br/>
            </w:r>
            <w:r>
              <w:t>(BÜNDNIS 90/DIE GRÜNEN)</w:t>
            </w:r>
            <w:bookmarkStart w:id="13" w:name="Frage_Nr_6"/>
            <w:bookmarkEnd w:id="13"/>
          </w:p>
        </w:tc>
        <w:tc>
          <w:tcPr>
            <w:tcW w:w="7200" w:type="dxa"/>
          </w:tcPr>
          <w:p w14:paraId="45393366" w14:textId="77777777" w:rsidR="009B7130" w:rsidRDefault="00D61F45" w:rsidP="009B7130">
            <w:pPr>
              <w:pStyle w:val="LTAnfrageText"/>
            </w:pPr>
            <w:r w:rsidRPr="00D61F45">
              <w:rPr>
                <w:szCs w:val="24"/>
              </w:rPr>
              <w:t>Ich frage die Staatsregierung, wie das Schreiben des Markts Garmisch-Partenkirchen vom 15.07.2021 an Ministerpräsident Dr. Markus Söder bezüglich der Ski-WM 2027 im Wortlaut lautet, ob Ministerpräsident Dr. Markus Söder die Bewerbung „mit Freude“ (laut seinem dem Bid Book beiliegenden Schreiben an die Bewerber) ausschließlich im eigenen Namen oder im Namen der Staatsregierung unterstützt und da im Bid Book nachzulesen ist, dass die Staatsregierung „neue Maßstäbe in Sachen Nachhaltigkeit von Sportveranstaltungen“ setzen will (Auszug Bid Book), die abschließende Frage, welche „neuen Maßstäbe in Sachen Nachhaltigkeit von Sportveranstaltungen“ die Staatsregierung bei der Ski-WM 2027 setzen will?</w:t>
            </w:r>
          </w:p>
        </w:tc>
      </w:tr>
    </w:tbl>
    <w:p w14:paraId="45119032" w14:textId="77777777" w:rsidR="009B7130" w:rsidRDefault="009B7130" w:rsidP="009B7130">
      <w:pPr>
        <w:pStyle w:val="LTUeberschrAntwortRessort"/>
      </w:pPr>
      <w:r>
        <w:t>Antwort des Staatsministeriums des Innern, für Sport und Integration</w:t>
      </w:r>
    </w:p>
    <w:p w14:paraId="4DD5B4AA" w14:textId="77777777" w:rsidR="009B7130" w:rsidRDefault="009B7130" w:rsidP="009B7130">
      <w:pPr>
        <w:pStyle w:val="LTAntwortRessortText"/>
      </w:pPr>
      <w:r>
        <w:t>Das Bid Book liegt der Staatsregierung nicht vor. Inhaltlich</w:t>
      </w:r>
      <w:r w:rsidR="00703390">
        <w:t>e Fragen zum Bid Book können da</w:t>
      </w:r>
      <w:r>
        <w:t>her nicht beantwortet werden.</w:t>
      </w:r>
    </w:p>
    <w:p w14:paraId="1A80CA2F" w14:textId="77777777" w:rsidR="009B7130" w:rsidRDefault="009B7130" w:rsidP="009B7130">
      <w:pPr>
        <w:pStyle w:val="LTAntwortRessortText"/>
      </w:pPr>
      <w:r>
        <w:t xml:space="preserve">Der Markt Garmisch-Partenkirchen hat sich unmittelbar an Ministerpräsidenten </w:t>
      </w:r>
      <w:r w:rsidR="00703390">
        <w:t xml:space="preserve">Dr. Markus Söder </w:t>
      </w:r>
      <w:r>
        <w:t>gewandt. Nach Kenntnis des Staatsministeriums des Innern, für Sport und Integration umfasste das Schreiben einen Rückblick auf die erfolgreiche Durchführun</w:t>
      </w:r>
      <w:r w:rsidR="00703390">
        <w:t>g der Ski-WM 2011 sowie die all</w:t>
      </w:r>
      <w:r>
        <w:t>gemein gehaltene Bitte, die Bewerbung für die WM 2027 zu unterstützen.</w:t>
      </w:r>
    </w:p>
    <w:p w14:paraId="59D91A2E" w14:textId="77777777" w:rsidR="009B7130" w:rsidRDefault="009B7130" w:rsidP="009B7130">
      <w:pPr>
        <w:pStyle w:val="LTAntwortRessortText"/>
      </w:pPr>
      <w:r>
        <w:t xml:space="preserve">Das hierauf verfasste Unterstützungsschreiben erging im Namen der Staatsregierung. Bewerber für die Ausrichtung der </w:t>
      </w:r>
      <w:r w:rsidR="00703390">
        <w:t>Fédération Internationale de Ski Ski-WM </w:t>
      </w:r>
      <w:r>
        <w:t>2027 sind der Markt Garmisch-Partenkirchen</w:t>
      </w:r>
      <w:r w:rsidR="00703390">
        <w:t xml:space="preserve"> und der Deutsche Skiverband e. </w:t>
      </w:r>
      <w:r>
        <w:t xml:space="preserve">V. Es wäre im Falle eines Zuschlags daher vorrangig Aufgabe der </w:t>
      </w:r>
      <w:r w:rsidR="00703390">
        <w:t>Ausrichter</w:t>
      </w:r>
      <w:r>
        <w:t xml:space="preserve"> </w:t>
      </w:r>
      <w:r w:rsidR="006F49A4">
        <w:t>„</w:t>
      </w:r>
      <w:r>
        <w:t>neue Maßstäbe in Sachen Nachhaltigkeit von Sportveranstaltungen</w:t>
      </w:r>
      <w:r w:rsidR="006F49A4">
        <w:t>“</w:t>
      </w:r>
      <w:r w:rsidR="00703390">
        <w:t xml:space="preserve"> zu setzen. Ein An</w:t>
      </w:r>
      <w:r>
        <w:t>satzpunkt könnte dabei die Durchführung auf Bestandsanlagen und die damit verbundene und von der Staatsregierung unterstützte nachhaltige Ressourcennutzung sein.</w:t>
      </w:r>
    </w:p>
    <w:p w14:paraId="78CE3DE2" w14:textId="77777777" w:rsidR="009B7130" w:rsidRDefault="009B7130">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9B7130" w14:paraId="33691A73" w14:textId="77777777" w:rsidTr="007B0B33">
        <w:tc>
          <w:tcPr>
            <w:tcW w:w="2050" w:type="dxa"/>
          </w:tcPr>
          <w:p w14:paraId="1B290BE1" w14:textId="77777777" w:rsidR="009B7130" w:rsidRDefault="009B7130" w:rsidP="009B7130">
            <w:pPr>
              <w:pStyle w:val="LTAnfrageInitiator"/>
            </w:pPr>
            <w:r>
              <w:lastRenderedPageBreak/>
              <w:t>Abgeordneter</w:t>
            </w:r>
            <w:r>
              <w:rPr>
                <w:b/>
              </w:rPr>
              <w:br/>
              <w:t>Christian</w:t>
            </w:r>
            <w:r>
              <w:rPr>
                <w:b/>
              </w:rPr>
              <w:br/>
              <w:t>Hierneis</w:t>
            </w:r>
            <w:r>
              <w:rPr>
                <w:b/>
              </w:rPr>
              <w:br/>
            </w:r>
            <w:r>
              <w:t>(BÜNDNIS 90/DIE GRÜNEN)</w:t>
            </w:r>
            <w:bookmarkStart w:id="15" w:name="Frage_Nr_7"/>
            <w:bookmarkEnd w:id="15"/>
          </w:p>
        </w:tc>
        <w:tc>
          <w:tcPr>
            <w:tcW w:w="7200" w:type="dxa"/>
          </w:tcPr>
          <w:p w14:paraId="10B9651F" w14:textId="77777777" w:rsidR="009B7130" w:rsidRDefault="00D61F45" w:rsidP="009B7130">
            <w:pPr>
              <w:pStyle w:val="LTAnfrageText"/>
            </w:pPr>
            <w:r w:rsidRPr="00D61F45">
              <w:rPr>
                <w:szCs w:val="24"/>
              </w:rPr>
              <w:t>Ich frage die Staatsregierung, ob es richtig ist, dass im Bid Book nachzulesen ist, dass sie eine finanzielle Beteiligung für die Finanzierung der Ski-WM 2027 und der dafür erforderlichen Arbeiten und Bauarbeiten abgegeben hat (Auszug aus dem Bid Book: „Das Lokale Organisationskomitee garantiert die gemeinsame Finanzierung der Fédération Internationale de Ski (FIS) Alpinen Skiweltmeisterschaften 2027 und der damit verbundenen Baumaßnahmen durch die Beteiligten [Bundesrepublik Deutschland, Staatsregierung, Gemeinde Garmisch-Partenkirchen, Deutscher Skiverband DSV“] ), auf welcher Grundlage hat sie diese für den Bewerbungsprozess notwendige finanzielle Garantie abgegeben und wann hat sie gegenüber den Bewerbern diese finanzielle Garantie abgegeben?</w:t>
            </w:r>
          </w:p>
        </w:tc>
      </w:tr>
    </w:tbl>
    <w:p w14:paraId="62286C7E" w14:textId="77777777" w:rsidR="009B7130" w:rsidRDefault="009B7130" w:rsidP="009B7130">
      <w:pPr>
        <w:pStyle w:val="LTUeberschrAntwortRessort"/>
      </w:pPr>
      <w:r>
        <w:t>Antwort des Staatsministeriums des Innern, für Sport und Integration</w:t>
      </w:r>
    </w:p>
    <w:p w14:paraId="43D6F8E3" w14:textId="77777777" w:rsidR="009B7130" w:rsidRDefault="009B7130" w:rsidP="009B7130">
      <w:pPr>
        <w:pStyle w:val="LTAntwortRessortText"/>
      </w:pPr>
      <w:r>
        <w:t>Das Bid Book liegt der Staatsregierung nicht vor. Inhaltliche Fragen zum Bid Book können daher nicht beantwortet werden. Die Staatsregierung hat ihre allgemeine Unterstützung für eine Bewerbung des Marktes Garmisch-Partenkirchen für die Sk</w:t>
      </w:r>
      <w:r w:rsidR="00917FB7">
        <w:t>i-WM 2027 signalisiert. Eine Ga</w:t>
      </w:r>
      <w:r>
        <w:t>rantie für die Beteiligung an der Finanzierung und der dafür erforderlichen Vorbereitungen wurde nicht abgegeben.</w:t>
      </w:r>
    </w:p>
    <w:p w14:paraId="2916F183" w14:textId="77777777" w:rsidR="009B7130" w:rsidRDefault="009B7130">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9B7130" w14:paraId="6B42EE38" w14:textId="77777777" w:rsidTr="007B0B33">
        <w:tc>
          <w:tcPr>
            <w:tcW w:w="2050" w:type="dxa"/>
          </w:tcPr>
          <w:p w14:paraId="703BE848" w14:textId="77777777" w:rsidR="009B7130" w:rsidRDefault="009B7130" w:rsidP="009B7130">
            <w:pPr>
              <w:pStyle w:val="LTAnfrageInitiator"/>
            </w:pPr>
            <w:r>
              <w:lastRenderedPageBreak/>
              <w:t>Abgeordnete</w:t>
            </w:r>
            <w:r>
              <w:rPr>
                <w:b/>
              </w:rPr>
              <w:br/>
              <w:t>Alexandra</w:t>
            </w:r>
            <w:r>
              <w:rPr>
                <w:b/>
              </w:rPr>
              <w:br/>
              <w:t>Hiersemann</w:t>
            </w:r>
            <w:r>
              <w:rPr>
                <w:b/>
              </w:rPr>
              <w:br/>
            </w:r>
            <w:r>
              <w:t>(SPD)</w:t>
            </w:r>
            <w:bookmarkStart w:id="17" w:name="Frage_Nr_8"/>
            <w:bookmarkEnd w:id="17"/>
          </w:p>
        </w:tc>
        <w:tc>
          <w:tcPr>
            <w:tcW w:w="7200" w:type="dxa"/>
          </w:tcPr>
          <w:p w14:paraId="454B0D1D" w14:textId="77777777" w:rsidR="009B7130" w:rsidRDefault="00D61F45" w:rsidP="009B7130">
            <w:pPr>
              <w:pStyle w:val="LTAnfrageText"/>
            </w:pPr>
            <w:r w:rsidRPr="00D61F45">
              <w:rPr>
                <w:szCs w:val="24"/>
              </w:rPr>
              <w:t>Vor dem Hintergrund, dass die Bescheinigungen zur Androhung der Abschiebung nach § 59 Aufenthaltsgesetz (z. B. Grenzübertrittsbescheinigungen) von den Ausländerbehörden uneinheitlich und mit verschiedenen Dokumenten ausgestellt werden und damit dem Erlöschen der Duldung Nachteile für die ausreisepflichtigen Betroffenen einhergehen (z. B. in Hinblick auf Erlangung eines Aufenthaltstitels, Durchführung einer Vaterschaftsanerkennung, Erlaubnis zur Arbeitsaufnahme), frage ich die Staatsregierung, aus welchem Grund von einer einheitlichen Ausstellung der Bescheinigungen abgesehen wird, von welchen unterschiedlichen Bescheinigungen die Ausländerbehörden in der Praxis Gebrauch machen und welche weiteren Nachteile die ausreisepflichtigen Ausländerinnen bzw. Ausländer haben, die nicht im Besitz einer Duldung sind?</w:t>
            </w:r>
          </w:p>
        </w:tc>
      </w:tr>
    </w:tbl>
    <w:p w14:paraId="01B9CEA3" w14:textId="77777777" w:rsidR="009B7130" w:rsidRDefault="009B7130" w:rsidP="009B7130">
      <w:pPr>
        <w:pStyle w:val="LTUeberschrAntwortRessort"/>
      </w:pPr>
      <w:r>
        <w:t>Antwort des Staatsministeriums des Innern, für Sport und Integration</w:t>
      </w:r>
    </w:p>
    <w:p w14:paraId="5038F318" w14:textId="77777777" w:rsidR="009B7130" w:rsidRDefault="00F43A8F" w:rsidP="009B7130">
      <w:pPr>
        <w:pStyle w:val="LTAntwortRessortText"/>
      </w:pPr>
      <w:r>
        <w:t>Nach § </w:t>
      </w:r>
      <w:r w:rsidR="009B7130">
        <w:t>59 Abs. 1 Aufenthaltsgesetz (AufenthG) wird die Abschiebung unter Bestimmung einer angemessenen Frist für die freiwillige Ausreise von in der Regel zwischen sieben und 30 Tagen angedroht. Über die Fristgewährung wird dem Ausländer ei</w:t>
      </w:r>
      <w:r>
        <w:t>ne Bescheinigung ausgestellt (§ </w:t>
      </w:r>
      <w:r w:rsidR="009B7130">
        <w:t>59 Abs. 6 AufenthG).</w:t>
      </w:r>
    </w:p>
    <w:p w14:paraId="33D2BC2F" w14:textId="77777777" w:rsidR="009B7130" w:rsidRDefault="009B7130" w:rsidP="009B7130">
      <w:pPr>
        <w:pStyle w:val="LTAntwortRessortText"/>
      </w:pPr>
      <w:r>
        <w:t>Der Tenor des Verwaltungsakts, der die Abschiebungsandroh</w:t>
      </w:r>
      <w:r w:rsidR="00F43A8F">
        <w:t>ung mit der eingeräumten Ausrei</w:t>
      </w:r>
      <w:r>
        <w:t>sefrist ausweist, erfüllt grundsätzlich die Funkti</w:t>
      </w:r>
      <w:r w:rsidR="00F43A8F">
        <w:t>onen einer Bescheinigung nach § </w:t>
      </w:r>
      <w:r>
        <w:t>59 Abs. 6 AufenthG.</w:t>
      </w:r>
    </w:p>
    <w:p w14:paraId="368A2719" w14:textId="77777777" w:rsidR="009B7130" w:rsidRDefault="00F43A8F" w:rsidP="009B7130">
      <w:pPr>
        <w:pStyle w:val="LTAntwortRessortText"/>
      </w:pPr>
      <w:r>
        <w:t>Kommt eine Duldung nach § </w:t>
      </w:r>
      <w:r w:rsidR="009B7130">
        <w:t>60a AufenthG nicht in Betracht, da die Voraussetzungen für die Erteilung nicht vorliegen, und wird die Ausreisefrist verlän</w:t>
      </w:r>
      <w:r>
        <w:t>gert, kann dem Bescheinigungserfordernis des § </w:t>
      </w:r>
      <w:r w:rsidR="009B7130">
        <w:t>59 Abs. 6 AufenthG durch die Ausstellung eine</w:t>
      </w:r>
      <w:r>
        <w:t>r sog. Grenzübertrittsbescheini</w:t>
      </w:r>
      <w:r w:rsidR="009B7130">
        <w:t>gung Rechnung getragen werden. Ein besonderer amtlicher Vordruck für die Bescheinigung über die Fristgewährung existiert nicht, insbeson</w:t>
      </w:r>
      <w:r>
        <w:t>dere ist ein solcher nicht in § 58 Aufenthalts</w:t>
      </w:r>
      <w:r w:rsidR="009B7130">
        <w:t>verordnung aufgeführt. Es handelt sich üblicherweise um e</w:t>
      </w:r>
      <w:r>
        <w:t>in Formular auf dem die dem Aus</w:t>
      </w:r>
      <w:r w:rsidR="009B7130">
        <w:t>länder gewährte Ausreisefrist eingetragen wird und das beim Grenzübertritt abzugeben ist.</w:t>
      </w:r>
    </w:p>
    <w:p w14:paraId="6D0AC39E" w14:textId="77777777" w:rsidR="009B7130" w:rsidRDefault="009B7130" w:rsidP="009B7130">
      <w:pPr>
        <w:pStyle w:val="LTAntwortRessortText"/>
      </w:pPr>
      <w:r>
        <w:t>Die Bescheinigung über die Frist zur freiwilligen Ausreise dient v.</w:t>
      </w:r>
      <w:r w:rsidR="00F43A8F">
        <w:t> </w:t>
      </w:r>
      <w:r>
        <w:t>a. der Information des Ausländers und dokumentiert den Zeitraum, der dem Ausländer no</w:t>
      </w:r>
      <w:r w:rsidR="00F43A8F">
        <w:t>ch zur endgültigen Ausreise ver</w:t>
      </w:r>
      <w:r>
        <w:t>bleibt.</w:t>
      </w:r>
    </w:p>
    <w:p w14:paraId="50FF86EC" w14:textId="77777777" w:rsidR="009B7130" w:rsidRDefault="009B7130" w:rsidP="009B7130">
      <w:pPr>
        <w:pStyle w:val="LTAntwortRessortText"/>
      </w:pPr>
      <w:r>
        <w:t>Der Aufenthaltsstatus eines Menschen ist das Ergebnis einer Reihe rechtsstaatlicher Verfahren. Ausländer, die nach gründlicher Prüfung ihrer Anträge durch die zuständigen Behörden und Gerichte keinen Anspruch haben, in Deutschland zu bleiben, müssen unser Land wieder v</w:t>
      </w:r>
      <w:r w:rsidR="00F43A8F">
        <w:t>erlas</w:t>
      </w:r>
      <w:r>
        <w:t>sen. An diese rechtsstaatlich zustande gekommenen Entschei</w:t>
      </w:r>
      <w:r w:rsidR="00F43A8F">
        <w:t>dungen sind die Aus</w:t>
      </w:r>
      <w:r>
        <w:t>länderbehörden gebunden und letztlich verpflichtet, in den abschließend entschiedenen Fällen Rückführungen durchzuführen, wenn Ausreisepflichtige nicht freiwillig ausreisen. Der Regelungsgehalt der Duldung, deren Voraussetzungen ggf. im</w:t>
      </w:r>
      <w:r w:rsidR="00F43A8F">
        <w:t xml:space="preserve"> Rahmen der Verwaltungsvollstre</w:t>
      </w:r>
      <w:r>
        <w:t>ckung zu prüfen sind, erschöpft sich darin, dass die Vollstre</w:t>
      </w:r>
      <w:r w:rsidR="00F43A8F">
        <w:t>ckung der Abschiebung vorüberge</w:t>
      </w:r>
      <w:r>
        <w:t>hend ausgesetzt wird, die Ausreisepflicht bleibt durch die Du</w:t>
      </w:r>
      <w:r w:rsidR="00F43A8F">
        <w:t>ldung unberührt. Sofern die Dul</w:t>
      </w:r>
      <w:r>
        <w:t>dungsvoraussetzungen nicht mehr vorliegen, kann eine solche nicht (mehr) ausgestellt werden.</w:t>
      </w:r>
    </w:p>
    <w:p w14:paraId="75E7F5C1" w14:textId="77777777" w:rsidR="009B7130" w:rsidRDefault="009B7130">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9B7130" w14:paraId="33A1FB03" w14:textId="77777777" w:rsidTr="007B0B33">
        <w:tc>
          <w:tcPr>
            <w:tcW w:w="2050" w:type="dxa"/>
          </w:tcPr>
          <w:p w14:paraId="5ECBEE23" w14:textId="77777777" w:rsidR="009B7130" w:rsidRDefault="009B7130" w:rsidP="009B7130">
            <w:pPr>
              <w:pStyle w:val="LTAnfrageInitiator"/>
            </w:pPr>
            <w:r>
              <w:lastRenderedPageBreak/>
              <w:t>Abgeordnete</w:t>
            </w:r>
            <w:r>
              <w:rPr>
                <w:b/>
              </w:rPr>
              <w:br/>
              <w:t>Annette</w:t>
            </w:r>
            <w:r>
              <w:rPr>
                <w:b/>
              </w:rPr>
              <w:br/>
              <w:t>Karl</w:t>
            </w:r>
            <w:r>
              <w:rPr>
                <w:b/>
              </w:rPr>
              <w:br/>
            </w:r>
            <w:r>
              <w:t>(SPD)</w:t>
            </w:r>
            <w:bookmarkStart w:id="19" w:name="Frage_Nr_9"/>
            <w:bookmarkEnd w:id="19"/>
          </w:p>
        </w:tc>
        <w:tc>
          <w:tcPr>
            <w:tcW w:w="7200" w:type="dxa"/>
          </w:tcPr>
          <w:p w14:paraId="507BACD3" w14:textId="77777777" w:rsidR="009B7130" w:rsidRDefault="00D61F45" w:rsidP="009B7130">
            <w:pPr>
              <w:pStyle w:val="LTAnfrageText"/>
            </w:pPr>
            <w:r w:rsidRPr="00D61F45">
              <w:rPr>
                <w:szCs w:val="24"/>
              </w:rPr>
              <w:t>Ich frage die Staatsregierung, inwieweit die vom Bund zur Verfügung gestellten 6,5 Mio. Euro für 2021 bzw. 6,8 Mio. Euro für 2022 zur Verbesserung der Warninfrastruktur als ausreichend betrachtet werden, wie hoch der Ausbaubedarf in Bayern geschätzt wird und welche Mittel der Freistaat zusätzlich zur Verfügung stellt?</w:t>
            </w:r>
          </w:p>
        </w:tc>
      </w:tr>
    </w:tbl>
    <w:p w14:paraId="68276C31" w14:textId="77777777" w:rsidR="009B7130" w:rsidRDefault="009B7130" w:rsidP="009B7130">
      <w:pPr>
        <w:pStyle w:val="LTUeberschrAntwortRessort"/>
      </w:pPr>
      <w:r>
        <w:t>Antwort des Staatsministeriums des Innern, für Sport und Integration</w:t>
      </w:r>
    </w:p>
    <w:p w14:paraId="4B6E864A" w14:textId="77777777" w:rsidR="009B7130" w:rsidRDefault="009B7130" w:rsidP="009B7130">
      <w:pPr>
        <w:pStyle w:val="LTAntwortRessortText"/>
      </w:pPr>
      <w:r>
        <w:t>Die Staatsregierung sieht die vom Bund für das Sonderförderprogramm Sirenen bereitgestellten Fördermittel in Höhe von insgesamt rund 13,4 Mio. Euro als Anschubfinanzierung. Diese soll der Beginn einer langjährigen Förderung sein, um das Ziel einer weitreichenden Abdeckung mit Sirenenanlagen bundesweit zu erreichen.</w:t>
      </w:r>
    </w:p>
    <w:p w14:paraId="6A22B3B3" w14:textId="77777777" w:rsidR="009B7130" w:rsidRDefault="009B7130" w:rsidP="009B7130">
      <w:pPr>
        <w:pStyle w:val="LTAntwortRessortText"/>
      </w:pPr>
      <w:r>
        <w:t>Bereits mehrmals wurde der Bund von den Ländern aufgeforder</w:t>
      </w:r>
      <w:r w:rsidR="00D04907">
        <w:t xml:space="preserve">t (zuletzt mit Beschluss der Innenministerkonferenz vom 01.12.2021 bis </w:t>
      </w:r>
      <w:r>
        <w:t>03.12.2021), das Sonderför</w:t>
      </w:r>
      <w:r w:rsidR="00D04907">
        <w:t>derprogramm Sirenen über das ge</w:t>
      </w:r>
      <w:r>
        <w:t>plante Förderende zum 31.12.2022 hinaus zu verlängern und w</w:t>
      </w:r>
      <w:r w:rsidR="00D04907">
        <w:t>eitere Fördermittel für eine ef</w:t>
      </w:r>
      <w:r>
        <w:t>fektive Weiterentwicklung des Sirenenprogramms bereitzustellen.</w:t>
      </w:r>
    </w:p>
    <w:p w14:paraId="5054CCAB" w14:textId="77777777" w:rsidR="009B7130" w:rsidRDefault="009B7130" w:rsidP="009B7130">
      <w:pPr>
        <w:pStyle w:val="LTAntwortRessortText"/>
      </w:pPr>
      <w:r>
        <w:t>Allein Bayern benötigt für die Umsetzung einer flächendeckenden Si</w:t>
      </w:r>
      <w:r w:rsidR="00D04907">
        <w:t>renenausstattung zwi</w:t>
      </w:r>
      <w:r>
        <w:t>schen 130 und 200 Mio. Euro, also etwa das Zehnfache der für Bayern bereitgestellten Summe. Dies auch vor dem Hintergrund, dass die Staatsregierung am 27</w:t>
      </w:r>
      <w:r w:rsidR="00D04907">
        <w:t>.07.2021 das Ziel einer flächen</w:t>
      </w:r>
      <w:r>
        <w:t>deckenden Versorgung Bayerns mit Sirenen beschlossen hat und anstrebt, d</w:t>
      </w:r>
      <w:r w:rsidR="00D04907">
        <w:t>ie Zahl der Sirenen auf rund 26 </w:t>
      </w:r>
      <w:r>
        <w:t>000 zu erhöhen.</w:t>
      </w:r>
    </w:p>
    <w:p w14:paraId="603C9283" w14:textId="77777777" w:rsidR="009B7130" w:rsidRDefault="009B7130">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9B7130" w14:paraId="168FF015" w14:textId="77777777" w:rsidTr="007B0B33">
        <w:tc>
          <w:tcPr>
            <w:tcW w:w="2050" w:type="dxa"/>
          </w:tcPr>
          <w:p w14:paraId="0ECD95FE" w14:textId="77777777" w:rsidR="009B7130" w:rsidRDefault="009B7130" w:rsidP="009B7130">
            <w:pPr>
              <w:pStyle w:val="LTAnfrageInitiator"/>
            </w:pPr>
            <w:r>
              <w:lastRenderedPageBreak/>
              <w:t>Abgeordneter</w:t>
            </w:r>
            <w:r>
              <w:rPr>
                <w:b/>
              </w:rPr>
              <w:br/>
              <w:t>Andreas</w:t>
            </w:r>
            <w:r>
              <w:rPr>
                <w:b/>
              </w:rPr>
              <w:br/>
              <w:t>Krahl</w:t>
            </w:r>
            <w:r>
              <w:rPr>
                <w:b/>
              </w:rPr>
              <w:br/>
            </w:r>
            <w:r>
              <w:t>(BÜNDNIS 90/DIE GRÜNEN)</w:t>
            </w:r>
            <w:bookmarkStart w:id="21" w:name="Frage_Nr_10"/>
            <w:bookmarkEnd w:id="21"/>
          </w:p>
        </w:tc>
        <w:tc>
          <w:tcPr>
            <w:tcW w:w="7200" w:type="dxa"/>
          </w:tcPr>
          <w:p w14:paraId="7FFFE20C" w14:textId="77777777" w:rsidR="009B7130" w:rsidRDefault="00D61F45" w:rsidP="009B7130">
            <w:pPr>
              <w:pStyle w:val="LTAnfrageText"/>
            </w:pPr>
            <w:r w:rsidRPr="00D61F45">
              <w:rPr>
                <w:szCs w:val="24"/>
              </w:rPr>
              <w:t>Ich frage die Staatsregierung, wer sie kontaktiert hat und die im Bid Book nachzulesende von der Staatsregierung abgegebene Garantie für die Beteiligung an der Finanzierung der Ski-WM 2027 und der dafür erforderlichen Arbeiten und Bauarbeiten angefragt hat ,in welchem Gremium hat sie diese Garantie beschlossen und wie hoch ist diese finanzielle Garantie?</w:t>
            </w:r>
          </w:p>
        </w:tc>
      </w:tr>
    </w:tbl>
    <w:p w14:paraId="2AFA03B6" w14:textId="77777777" w:rsidR="009B7130" w:rsidRDefault="009B7130" w:rsidP="009B7130">
      <w:pPr>
        <w:pStyle w:val="LTUeberschrAntwortRessort"/>
      </w:pPr>
      <w:r>
        <w:t>Antwort des Staatsministeriums des Innern, für Sport und Integration</w:t>
      </w:r>
    </w:p>
    <w:p w14:paraId="546D2BCA" w14:textId="77777777" w:rsidR="009B7130" w:rsidRDefault="009B7130" w:rsidP="009B7130">
      <w:pPr>
        <w:pStyle w:val="LTAntwortRessortText"/>
      </w:pPr>
      <w:r>
        <w:t>Das Bid Book liegt der Staatsregierung nicht vor. Inhaltlich</w:t>
      </w:r>
      <w:r w:rsidR="007C457A">
        <w:t>e Fragen zum Bid Book können da</w:t>
      </w:r>
      <w:r>
        <w:t>her nicht beantwortet werden. Die Staatsregierung hat ihre allgemeine Unterstützung für eine Bewerbung des Marktes Garmisch-Partenkirchen für die Sk</w:t>
      </w:r>
      <w:r w:rsidR="007C457A">
        <w:t>i-WM 2027 signalisiert. Eine Ga</w:t>
      </w:r>
      <w:r>
        <w:t>rantie für die Beteiligung an der Finanzierung und der dafür erforderlichen Vorbereitungen wurde nicht abgegeben.</w:t>
      </w:r>
    </w:p>
    <w:p w14:paraId="7B35D9F1" w14:textId="77777777" w:rsidR="009B7130" w:rsidRDefault="009B7130">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9B7130" w14:paraId="741D65BC" w14:textId="77777777" w:rsidTr="007B0B33">
        <w:tc>
          <w:tcPr>
            <w:tcW w:w="2050" w:type="dxa"/>
          </w:tcPr>
          <w:p w14:paraId="5BF6F287" w14:textId="77777777" w:rsidR="009B7130" w:rsidRDefault="009B7130" w:rsidP="009B7130">
            <w:pPr>
              <w:pStyle w:val="LTAnfrageInitiator"/>
            </w:pPr>
            <w:r>
              <w:lastRenderedPageBreak/>
              <w:t>Abgeordneter</w:t>
            </w:r>
            <w:r>
              <w:rPr>
                <w:b/>
              </w:rPr>
              <w:br/>
              <w:t>Roland</w:t>
            </w:r>
            <w:r>
              <w:rPr>
                <w:b/>
              </w:rPr>
              <w:br/>
              <w:t>Magerl</w:t>
            </w:r>
            <w:r>
              <w:rPr>
                <w:b/>
              </w:rPr>
              <w:br/>
            </w:r>
            <w:r>
              <w:t>(AfD)</w:t>
            </w:r>
            <w:bookmarkStart w:id="23" w:name="Frage_Nr_11"/>
            <w:bookmarkEnd w:id="23"/>
          </w:p>
        </w:tc>
        <w:tc>
          <w:tcPr>
            <w:tcW w:w="7200" w:type="dxa"/>
          </w:tcPr>
          <w:p w14:paraId="2BC3082D" w14:textId="77777777" w:rsidR="009B7130" w:rsidRDefault="00A85AF4" w:rsidP="009B7130">
            <w:pPr>
              <w:pStyle w:val="LTAnfrageText"/>
            </w:pPr>
            <w:r w:rsidRPr="00A85AF4">
              <w:rPr>
                <w:szCs w:val="24"/>
              </w:rPr>
              <w:t>Ich frage die Staatsregierung, wann angedacht ist, die konsolidierten Maßnahmen des Pyramidenprozesses über den gewohnt langwierigen Abstimmungsprozess in Rettungsdienstausschuss und den ganzen Ärztliche Leiter Rettungsdienst (ÄLRD) auch Notfallsanitätern zuzutrauen und so dem Notarztmangel zu begegnen, wie die Prozesse verschlankt werden, damit 2c-Freigaben künftig nicht länger als acht Wochen auf dem Dienstweg hin- und her gesendet werden müssen und ob damit zu rechnen ist, dass mit dem Weggang des zuständigen Ministerialrates in der Abteilung D3 künftig mehr Innovation im Rettungsdienst Einzug hält?</w:t>
            </w:r>
          </w:p>
        </w:tc>
      </w:tr>
    </w:tbl>
    <w:p w14:paraId="26D4D0C3" w14:textId="77777777" w:rsidR="009B7130" w:rsidRDefault="009B7130" w:rsidP="009B7130">
      <w:pPr>
        <w:pStyle w:val="LTUeberschrAntwortRessort"/>
      </w:pPr>
      <w:r>
        <w:t>Antwort des Staatsministeriums des Innern, für Sport und Integration</w:t>
      </w:r>
    </w:p>
    <w:p w14:paraId="4D599F3B" w14:textId="1F3BE300" w:rsidR="009B7130" w:rsidRDefault="009B7130" w:rsidP="009B7130">
      <w:pPr>
        <w:pStyle w:val="LTAntwortRessortText"/>
      </w:pPr>
      <w:r>
        <w:t xml:space="preserve">Im Rahmen des Abstimmungs- und Erörterungsprozesses </w:t>
      </w:r>
      <w:r w:rsidR="006F49A4">
        <w:t>„</w:t>
      </w:r>
      <w:r w:rsidR="00C7753F">
        <w:t>Erweiterte Maßnahmen durch Not</w:t>
      </w:r>
      <w:r>
        <w:t>fallsanitäterinnen und Notfallsanitäter</w:t>
      </w:r>
      <w:r w:rsidR="006F49A4">
        <w:t>“</w:t>
      </w:r>
      <w:r w:rsidR="00C7753F">
        <w:t xml:space="preserve"> – kurz Pyramidenprozess – wurden durch den Bundes</w:t>
      </w:r>
      <w:r>
        <w:t>verband der Ärztlichen Leiter für den Rettungsdienst (BVÄLRD) invasive Maßnahmen und Notfallmedikamente definiert, die in das Aufgabenfeld des Notfallsanitäters fallen sollen. Die Ergebnisse des Pyramidenprozesses stammen aus dem Jahr 2016 und wurden seitdem nicht mehr fortgeschrieben. Die Empfehlungen der ÄLRD Ba</w:t>
      </w:r>
      <w:r w:rsidR="00C7753F">
        <w:t>yern zu Maßnahmen und Medikamentengabe –</w:t>
      </w:r>
      <w:r>
        <w:t xml:space="preserve"> zunächst im Rahmen einer Nothilfehandlung, heute auf der Grundlage des neuen</w:t>
      </w:r>
      <w:r w:rsidR="00A360CE">
        <w:t xml:space="preserve"> </w:t>
      </w:r>
      <w:r w:rsidR="00C7753F">
        <w:t>§ </w:t>
      </w:r>
      <w:r>
        <w:t>2a No</w:t>
      </w:r>
      <w:r w:rsidR="00C7753F">
        <w:t>tfallsanitätergesetz (NotSanG) –</w:t>
      </w:r>
      <w:r>
        <w:t xml:space="preserve"> wurden von Begin</w:t>
      </w:r>
      <w:r w:rsidR="00C7753F">
        <w:t>n an laufend evaluiert und ange</w:t>
      </w:r>
      <w:r>
        <w:t>passt. Die Empfehlungen der ÄLRD Bayern richten sich s</w:t>
      </w:r>
      <w:r w:rsidR="00C7753F">
        <w:t>trikt nach der Indikation des § </w:t>
      </w:r>
      <w:r>
        <w:t>2a NotSanG und dem Kompetenzniveau des Notfallsanitäters. Grundlage sind Leitlinien und Empfehlungen der medizinischen Fachgesellschaften. Die Liste ist von allen ÄLRD in Bayern konsentiert und gilt bayernweit einheitlich. Im Übrigen unte</w:t>
      </w:r>
      <w:r w:rsidR="00C7753F">
        <w:t>rscheidet sich der Pyramidenpro</w:t>
      </w:r>
      <w:r>
        <w:t>zess und die Empfehlungen der ÄLRD Bayern zu 1c-Maßnahmen bzw. zu Maßnahmen nach</w:t>
      </w:r>
      <w:r w:rsidR="00A360CE">
        <w:t xml:space="preserve"> </w:t>
      </w:r>
      <w:r w:rsidR="00C7753F">
        <w:t>§ </w:t>
      </w:r>
      <w:r>
        <w:t>2a NotSanG bei 14 Maßnahmen nur in der Anwendung des</w:t>
      </w:r>
      <w:r w:rsidR="00C7753F">
        <w:t xml:space="preserve"> temporären Schrittmachers, wel</w:t>
      </w:r>
      <w:r>
        <w:t xml:space="preserve">che von den ÄLRD in Bayern nicht im Kompetenzniveau </w:t>
      </w:r>
      <w:r w:rsidR="00C7753F">
        <w:t>des Not</w:t>
      </w:r>
      <w:r w:rsidR="008F735B">
        <w:t>fallsanitäter</w:t>
      </w:r>
      <w:r w:rsidR="00C7753F">
        <w:t xml:space="preserve"> gesehen wird. Das An</w:t>
      </w:r>
      <w:r>
        <w:t>tragsverfahren zum Erhalt der Delegation wurde einvernehmlich in Abst</w:t>
      </w:r>
      <w:r w:rsidR="00C7753F">
        <w:t>immung der Durchfüh</w:t>
      </w:r>
      <w:r>
        <w:t>renden des Rettungsdienstes gestaltet.</w:t>
      </w:r>
    </w:p>
    <w:p w14:paraId="023E84D6" w14:textId="77777777" w:rsidR="009B7130" w:rsidRDefault="009B7130">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B7130" w14:paraId="22CF84C9" w14:textId="77777777" w:rsidTr="007B0B33">
        <w:tc>
          <w:tcPr>
            <w:tcW w:w="2050" w:type="dxa"/>
          </w:tcPr>
          <w:p w14:paraId="337AB686" w14:textId="77777777" w:rsidR="009B7130" w:rsidRDefault="009B7130" w:rsidP="009B7130">
            <w:pPr>
              <w:pStyle w:val="LTAnfrageInitiator"/>
            </w:pPr>
            <w:r>
              <w:lastRenderedPageBreak/>
              <w:t>Abgeordneter</w:t>
            </w:r>
            <w:r>
              <w:rPr>
                <w:b/>
              </w:rPr>
              <w:br/>
              <w:t>Alexander</w:t>
            </w:r>
            <w:r>
              <w:rPr>
                <w:b/>
              </w:rPr>
              <w:br/>
              <w:t>Muthmann</w:t>
            </w:r>
            <w:r>
              <w:rPr>
                <w:b/>
              </w:rPr>
              <w:br/>
            </w:r>
            <w:r>
              <w:t>(FDP)</w:t>
            </w:r>
            <w:bookmarkStart w:id="25" w:name="Frage_Nr_12"/>
            <w:bookmarkEnd w:id="25"/>
          </w:p>
        </w:tc>
        <w:tc>
          <w:tcPr>
            <w:tcW w:w="7200" w:type="dxa"/>
          </w:tcPr>
          <w:p w14:paraId="05B8EFAD" w14:textId="77777777" w:rsidR="009B7130" w:rsidRDefault="00A85AF4" w:rsidP="009B7130">
            <w:pPr>
              <w:pStyle w:val="LTAnfrageText"/>
            </w:pPr>
            <w:r w:rsidRPr="00A85AF4">
              <w:rPr>
                <w:szCs w:val="24"/>
              </w:rPr>
              <w:t>Nachdem im Rahmen des Programms „Mobile Police“ eine grundlegende Digitalisierung der Polizei angekündigt wurde, frage ich die Staatsregierung, wie viele der Polizeibeamtinnen und – beamten ein eigenes dienstliches Smartphone besitzen (bitte Zahlen in den Jahren 2019, 2020, 2021 und heute sowohl in absoluten Zahlen als auch als prozentualer Ausstattungsgrad aller Beamten darstellen), wie viele Einsatzfahrzeuge der Polizei über eine Vollausstattung mit Convertibles und Smartphones verfügen (bitte in oben genannter Darstellungsweise) und in welchem Planungshorizont damit gerechnet wird, dass die Ausstattung vollständig abgeschlossen ist (bitte jeweilige Anschaffungsplanungen je Haushaltsjahr und entsprechend geplante Kosten darstellen)?</w:t>
            </w:r>
          </w:p>
        </w:tc>
      </w:tr>
    </w:tbl>
    <w:p w14:paraId="0E25CAB2" w14:textId="77777777" w:rsidR="009B7130" w:rsidRDefault="009B7130" w:rsidP="009B7130">
      <w:pPr>
        <w:pStyle w:val="LTUeberschrAntwortRessort"/>
      </w:pPr>
      <w:r>
        <w:t>Antwort des Staatsministeriums des Innern, für Sport und Integration</w:t>
      </w:r>
    </w:p>
    <w:p w14:paraId="5ADDC091" w14:textId="77777777" w:rsidR="009B7130" w:rsidRDefault="009B7130" w:rsidP="009B7130">
      <w:pPr>
        <w:pStyle w:val="LTAntwortRessortText"/>
      </w:pPr>
      <w:r>
        <w:t xml:space="preserve">Die Zielsetzung des Programmes </w:t>
      </w:r>
      <w:r w:rsidR="006F49A4">
        <w:t>„</w:t>
      </w:r>
      <w:r>
        <w:t>Mobile Police</w:t>
      </w:r>
      <w:r w:rsidR="006F49A4">
        <w:t>“</w:t>
      </w:r>
      <w:r>
        <w:t xml:space="preserve"> liegt in der Ausstattung aller Einsatz- und Streifenkräfte zur vollständigen und flächendeckenden Einfü</w:t>
      </w:r>
      <w:r w:rsidR="00057427">
        <w:t>hrung des mobilen Einsatzmanage</w:t>
      </w:r>
      <w:r>
        <w:t>ments.</w:t>
      </w:r>
    </w:p>
    <w:p w14:paraId="08315378" w14:textId="578045C0" w:rsidR="009B7130" w:rsidRDefault="009B7130" w:rsidP="009B7130">
      <w:pPr>
        <w:pStyle w:val="LTAntwortRessortText"/>
      </w:pPr>
      <w:r>
        <w:t xml:space="preserve">Zum Jahreswechsel 2021/2022 sind bei der </w:t>
      </w:r>
      <w:r w:rsidR="00057427">
        <w:t>Polizei insgesamt 22 </w:t>
      </w:r>
      <w:r>
        <w:t xml:space="preserve">045 Smartphones aus dem Programm </w:t>
      </w:r>
      <w:r w:rsidR="006F49A4">
        <w:t>„</w:t>
      </w:r>
      <w:r>
        <w:t>Mobile Police</w:t>
      </w:r>
      <w:r w:rsidR="006F49A4">
        <w:t>“</w:t>
      </w:r>
      <w:r>
        <w:t xml:space="preserve"> im Einsatz. Diese Geräteanzahl teil</w:t>
      </w:r>
      <w:r w:rsidR="00057427">
        <w:t>t sich in 13 </w:t>
      </w:r>
      <w:r>
        <w:t>893 (63</w:t>
      </w:r>
      <w:r w:rsidR="005A5C97">
        <w:t> </w:t>
      </w:r>
      <w:r w:rsidR="006F49A4">
        <w:t>Prozent</w:t>
      </w:r>
      <w:r>
        <w:t>) personalisierte (persö</w:t>
      </w:r>
      <w:r w:rsidR="00057427">
        <w:t>nlich fest zugewiesen) und in 8 </w:t>
      </w:r>
      <w:r>
        <w:t>152 (37</w:t>
      </w:r>
      <w:r w:rsidR="00057427">
        <w:t> </w:t>
      </w:r>
      <w:r w:rsidR="006F49A4">
        <w:t>Prozent</w:t>
      </w:r>
      <w:r>
        <w:t>) rollenbasierte (standardisiert und flexibel einsetzbar) Endgeräte.</w:t>
      </w:r>
    </w:p>
    <w:p w14:paraId="675BDF6F" w14:textId="77777777" w:rsidR="009B7130" w:rsidRDefault="009B7130" w:rsidP="009B7130">
      <w:pPr>
        <w:pStyle w:val="LTAntwortRessortText"/>
      </w:pPr>
      <w:r>
        <w:t xml:space="preserve">Im Rahmen des Programms </w:t>
      </w:r>
      <w:r w:rsidR="006F49A4">
        <w:t>„</w:t>
      </w:r>
      <w:r>
        <w:t>Mobile Police</w:t>
      </w:r>
      <w:r w:rsidR="006F49A4">
        <w:t>“</w:t>
      </w:r>
      <w:r>
        <w:t xml:space="preserve"> wurden alle Pol</w:t>
      </w:r>
      <w:r w:rsidR="00057427">
        <w:t>izeiverbände gebeten, personali</w:t>
      </w:r>
      <w:r>
        <w:t>sierte Endgeräte mit Priorisierung auf die Einsatz- und Streifenkräfte auszubringen, um so das mobile Einsatzmanagement flächendeckend bestmöglich zu unterstützen. Die Verteilung der Endgeräte und deren Typen auf die jeweilige Funktion regeln die Verbände in eigener Vera</w:t>
      </w:r>
      <w:r w:rsidR="00057427">
        <w:t>nt</w:t>
      </w:r>
      <w:r>
        <w:t>wortung und Zuständigkeit in Abhängigkeit der dienstbetrieblichen Rahmenbedingungen.</w:t>
      </w:r>
    </w:p>
    <w:p w14:paraId="4A97920B" w14:textId="77777777" w:rsidR="009B7130" w:rsidRDefault="009B7130" w:rsidP="009B7130">
      <w:pPr>
        <w:pStyle w:val="LTAntwortRessortText"/>
      </w:pPr>
      <w:r>
        <w:t>Zur Abdeckung aller Einsatz- und Streifenkräfte mit eine</w:t>
      </w:r>
      <w:r w:rsidR="00057427">
        <w:t>m persönlich zugewiesenen Smart</w:t>
      </w:r>
      <w:r>
        <w:t>phone ist nach bisheriger Grundkonzeption von Mobile Police unter Berücksichtigu</w:t>
      </w:r>
      <w:r w:rsidR="00057427">
        <w:t>ng der An</w:t>
      </w:r>
      <w:r>
        <w:t>zahl aller Polizeibeamten inklusive der Polizeibeamten in Aus</w:t>
      </w:r>
      <w:r w:rsidR="00057427">
        <w:t>bildung sowie des weiteren Stel</w:t>
      </w:r>
      <w:r>
        <w:t>lenaufwuchses eine</w:t>
      </w:r>
      <w:r w:rsidR="00057427">
        <w:t xml:space="preserve"> Gesamtanzahl von mindestens 36 </w:t>
      </w:r>
      <w:r>
        <w:t>000 Sma</w:t>
      </w:r>
      <w:r w:rsidR="00057427">
        <w:t>rtphones erforderlich. Jede dar</w:t>
      </w:r>
      <w:r>
        <w:t>über hinausgehende Zahl erhöht die Flexibilität.</w:t>
      </w:r>
    </w:p>
    <w:p w14:paraId="33CA9F57" w14:textId="77777777" w:rsidR="009B7130" w:rsidRDefault="009B7130" w:rsidP="009B7130">
      <w:pPr>
        <w:pStyle w:val="LTAntwortRessortText"/>
      </w:pPr>
      <w:r>
        <w:t xml:space="preserve">Ferner muss für ein vollvernetztes mobiles Einsatzmanagement auch die Polizeiführung bzw. der -stab entsprechend ausgestattet sein und ein spartenübergreifendes Einsatzmanagement (insbesondere </w:t>
      </w:r>
      <w:r w:rsidR="006F49A4">
        <w:t>z. B.</w:t>
      </w:r>
      <w:r>
        <w:t xml:space="preserve"> in BAO- oder Ad hoc-Lagen) gewährleistet sein.</w:t>
      </w:r>
    </w:p>
    <w:p w14:paraId="7F4FA34B" w14:textId="77777777" w:rsidR="009B7130" w:rsidRDefault="009B7130" w:rsidP="009B7130">
      <w:pPr>
        <w:pStyle w:val="LTAntwortRessortText"/>
      </w:pPr>
      <w:r>
        <w:t>Der Aufwuchs der Smartpho</w:t>
      </w:r>
      <w:r w:rsidR="00057427">
        <w:t>nes bezogen auf das Ziel von 36 000 persönlich zugewiesenen Ge</w:t>
      </w:r>
      <w:r>
        <w:t>räten stellt sich von 2019 bis 2021 wie folgt dar:</w:t>
      </w:r>
    </w:p>
    <w:p w14:paraId="2D387A85" w14:textId="6F00ACEA" w:rsidR="009B7130" w:rsidRDefault="009B7130" w:rsidP="009B7130">
      <w:pPr>
        <w:pStyle w:val="LTAntwortRessortText"/>
      </w:pPr>
      <w:r>
        <w:t>2019</w:t>
      </w:r>
      <w:r w:rsidR="00057427">
        <w:tab/>
        <w:t>9 </w:t>
      </w:r>
      <w:r w:rsidR="00D2325C">
        <w:t>343 Smartphones</w:t>
      </w:r>
      <w:r w:rsidR="00D2325C">
        <w:tab/>
      </w:r>
      <w:r>
        <w:t>25,9</w:t>
      </w:r>
      <w:r w:rsidR="005D7BAC">
        <w:t> </w:t>
      </w:r>
      <w:r w:rsidR="006F49A4">
        <w:t>Prozent</w:t>
      </w:r>
    </w:p>
    <w:p w14:paraId="6AC106F9" w14:textId="07F688DE" w:rsidR="009B7130" w:rsidRDefault="009B7130" w:rsidP="009B7130">
      <w:pPr>
        <w:pStyle w:val="LTAntwortRessortText"/>
      </w:pPr>
      <w:r>
        <w:t>2020</w:t>
      </w:r>
      <w:r w:rsidR="00057427">
        <w:tab/>
        <w:t>20 </w:t>
      </w:r>
      <w:r w:rsidR="00D2325C">
        <w:t>232 Smartphones</w:t>
      </w:r>
      <w:r w:rsidR="00D2325C">
        <w:tab/>
      </w:r>
      <w:r>
        <w:t>56,2</w:t>
      </w:r>
      <w:r w:rsidR="005D7BAC">
        <w:t> </w:t>
      </w:r>
      <w:r w:rsidR="006F49A4">
        <w:t>Prozent</w:t>
      </w:r>
    </w:p>
    <w:p w14:paraId="0A356350" w14:textId="17ED69DE" w:rsidR="009B7130" w:rsidRDefault="009B7130" w:rsidP="009B7130">
      <w:pPr>
        <w:pStyle w:val="LTAntwortRessortText"/>
      </w:pPr>
      <w:r>
        <w:t>2021</w:t>
      </w:r>
      <w:r w:rsidR="00057427">
        <w:tab/>
        <w:t>22 </w:t>
      </w:r>
      <w:r w:rsidR="00D2325C">
        <w:t>045 Smartphones</w:t>
      </w:r>
      <w:r w:rsidR="00D2325C">
        <w:tab/>
      </w:r>
      <w:r>
        <w:t>61,2</w:t>
      </w:r>
      <w:r w:rsidR="005D7BAC">
        <w:t> </w:t>
      </w:r>
      <w:r w:rsidR="006F49A4">
        <w:t>Prozent</w:t>
      </w:r>
    </w:p>
    <w:p w14:paraId="3D2FBA45" w14:textId="77777777" w:rsidR="009B7130" w:rsidRDefault="009B7130" w:rsidP="009B7130">
      <w:pPr>
        <w:pStyle w:val="LTAntwortRessortText"/>
      </w:pPr>
      <w:r>
        <w:lastRenderedPageBreak/>
        <w:t xml:space="preserve">Des Weiteren bilden im Rahmen der Umsetzung von Maßnahmen aus dem Programm </w:t>
      </w:r>
      <w:r w:rsidR="006F49A4">
        <w:t>„</w:t>
      </w:r>
      <w:r>
        <w:t>Mobile Police</w:t>
      </w:r>
      <w:r w:rsidR="006F49A4">
        <w:t>“</w:t>
      </w:r>
      <w:r w:rsidR="00057427">
        <w:t xml:space="preserve"> 5 </w:t>
      </w:r>
      <w:r>
        <w:t xml:space="preserve">000 Einsatzfahrzeuge die zu berücksichtigende Basis für die IT-Ausstattung mit Smartphones und Convertibles. Bei der Festlegung des Ausstattungskonzeptes wurde und wird konsequent der Ansatz </w:t>
      </w:r>
      <w:r w:rsidR="006F49A4">
        <w:t>„</w:t>
      </w:r>
      <w:r>
        <w:t>Gewährleistung der maximalen Flexibilität</w:t>
      </w:r>
      <w:r w:rsidR="006F49A4">
        <w:t>“</w:t>
      </w:r>
      <w:r>
        <w:t xml:space="preserve"> zu Grunde gelegt. Diesem Ansatz folgend, werden die Endgeräte nicht in den Fahrzeugen f</w:t>
      </w:r>
      <w:r w:rsidR="00057427">
        <w:t>est integriert, sondern sind je</w:t>
      </w:r>
      <w:r>
        <w:t xml:space="preserve">derzeit entnehmbar und bedarfsorientiert auch außerhalb des </w:t>
      </w:r>
      <w:r w:rsidR="00057427">
        <w:t>Einsatzfahrzeuges zur polizeili</w:t>
      </w:r>
      <w:r>
        <w:t xml:space="preserve">chen Aufgabenerfüllung vollumfänglich nutzbar. Insofern ist </w:t>
      </w:r>
      <w:r w:rsidR="00057427">
        <w:t>nicht die reine Fahrzeugausstat</w:t>
      </w:r>
      <w:r>
        <w:t>tung, sondern die jeweilige Dienststellenausstattung maßgeblich.</w:t>
      </w:r>
      <w:r w:rsidR="00D2325C">
        <w:t xml:space="preserve"> </w:t>
      </w:r>
      <w:r w:rsidR="00057427">
        <w:t>Insgesamt stehen derzeit 11 </w:t>
      </w:r>
      <w:r>
        <w:t>000 Notebooks und Convertibles</w:t>
      </w:r>
      <w:r w:rsidR="00057427">
        <w:t xml:space="preserve"> zur flexiblen Abdeckung der Be</w:t>
      </w:r>
      <w:r>
        <w:t>darfe zur Verfügung.</w:t>
      </w:r>
      <w:r w:rsidR="00D2325C">
        <w:t xml:space="preserve"> </w:t>
      </w:r>
      <w:r>
        <w:t>Die bedarfsgerechte Planung und Beschaffung der Dienststelle</w:t>
      </w:r>
      <w:r w:rsidR="00057427">
        <w:t>nausstattung liegt in der Bewer</w:t>
      </w:r>
      <w:r>
        <w:t>tung und Verantwortung der Polizeipräsidien und wird jeweils zeitgerecht durchgeführt.</w:t>
      </w:r>
    </w:p>
    <w:p w14:paraId="6B09CA79" w14:textId="77777777" w:rsidR="009B7130" w:rsidRDefault="009B7130" w:rsidP="009B7130">
      <w:pPr>
        <w:pStyle w:val="LTAntwortRessortText"/>
      </w:pPr>
      <w:r>
        <w:t>Schritt für Schritt werden, abhängig von den Rahmenbedingungen des Haushalts, die Gerätekontingente auch in den kommenden Jahren weiter erhöht. Langf</w:t>
      </w:r>
      <w:r w:rsidR="00057427">
        <w:t>ristige Zielsetzung ist, die ge</w:t>
      </w:r>
      <w:r>
        <w:t>samt</w:t>
      </w:r>
      <w:r w:rsidR="00057427">
        <w:t>e Bayerische Polizei mit rd. 44 </w:t>
      </w:r>
      <w:r>
        <w:t>000 Smartphones auszustatten. Detaillierte Planungen hierzu liegen derzeit noch nicht vor.</w:t>
      </w:r>
    </w:p>
    <w:p w14:paraId="71A962E3" w14:textId="77777777" w:rsidR="009B7130" w:rsidRDefault="009B7130" w:rsidP="009B7130">
      <w:pPr>
        <w:pStyle w:val="LTAntwortRessortText"/>
      </w:pPr>
      <w:r>
        <w:t xml:space="preserve">Ferner ist ein finaler Ausbaustand eines volldigitalisierten </w:t>
      </w:r>
      <w:r w:rsidR="00057427">
        <w:t>Streifenwagens bewusst nicht ab</w:t>
      </w:r>
      <w:r>
        <w:t>schließend definiert; vielmehr werden künftig regelmäßig wei</w:t>
      </w:r>
      <w:r w:rsidR="00057427">
        <w:t>tere technisch umsetzbare Erwei</w:t>
      </w:r>
      <w:r>
        <w:t>terungen unter Berücksichtigung der fachlichen Bedarfe und Rahmenbedingungen konzipiert und entwickelt.</w:t>
      </w:r>
    </w:p>
    <w:p w14:paraId="0A43A411" w14:textId="77777777" w:rsidR="009B7130" w:rsidRDefault="009B7130">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9B7130" w14:paraId="0422E56F" w14:textId="77777777" w:rsidTr="007B0B33">
        <w:tc>
          <w:tcPr>
            <w:tcW w:w="2050" w:type="dxa"/>
          </w:tcPr>
          <w:p w14:paraId="5FF9CE8E" w14:textId="77777777" w:rsidR="009B7130" w:rsidRDefault="009B7130" w:rsidP="009B7130">
            <w:pPr>
              <w:pStyle w:val="LTAnfrageInitiator"/>
            </w:pPr>
            <w:r>
              <w:lastRenderedPageBreak/>
              <w:t>Abgeordneter</w:t>
            </w:r>
            <w:r>
              <w:rPr>
                <w:b/>
              </w:rPr>
              <w:br/>
              <w:t>Markus</w:t>
            </w:r>
            <w:r>
              <w:rPr>
                <w:b/>
              </w:rPr>
              <w:br/>
              <w:t>Rinderspacher</w:t>
            </w:r>
            <w:r>
              <w:rPr>
                <w:b/>
              </w:rPr>
              <w:br/>
            </w:r>
            <w:r>
              <w:t>(SPD)</w:t>
            </w:r>
            <w:bookmarkStart w:id="27" w:name="Frage_Nr_13"/>
            <w:bookmarkEnd w:id="27"/>
          </w:p>
        </w:tc>
        <w:tc>
          <w:tcPr>
            <w:tcW w:w="7200" w:type="dxa"/>
          </w:tcPr>
          <w:p w14:paraId="0D760823" w14:textId="77777777" w:rsidR="009B7130" w:rsidRDefault="00A85AF4" w:rsidP="009B7130">
            <w:pPr>
              <w:pStyle w:val="LTAnfrageText"/>
            </w:pPr>
            <w:r w:rsidRPr="00A85AF4">
              <w:rPr>
                <w:szCs w:val="24"/>
              </w:rPr>
              <w:t>Ich frage die Staatsregierung, wie viele Unfälle gab es beim Rechtsabbiegen von Lkw in Bayern seit 2018 (bitte nach Jahren, Zahl der Verletzten und Todesopfer aufgeschlüsselt angeben), über welche Daten verfügt sie, inwieweit Unternehmen mit elektronischen Rechtsabbiegesystemen ausgerüstet sind, um Unfälle zu verhindern und somit Menschenleben zu retten und wann legt der Freistaat ein Förderprogramm für solche Rechtsabbiegesysteme auf?</w:t>
            </w:r>
          </w:p>
        </w:tc>
      </w:tr>
    </w:tbl>
    <w:p w14:paraId="49C88813" w14:textId="77777777" w:rsidR="009B7130" w:rsidRDefault="009B7130" w:rsidP="009B7130">
      <w:pPr>
        <w:pStyle w:val="LTUeberschrAntwortRessort"/>
      </w:pPr>
      <w:r>
        <w:t>Antwort des Staatsministeriums des Innern, für Sport und Integration</w:t>
      </w:r>
    </w:p>
    <w:p w14:paraId="2D1915F3" w14:textId="77777777" w:rsidR="009B7130" w:rsidRDefault="009B7130" w:rsidP="00D33EFB">
      <w:pPr>
        <w:pStyle w:val="LTAntwortRessortText"/>
      </w:pPr>
      <w:r>
        <w:t>Die Rechtsabbiegeunfälle von Lkw in Bayern entwick</w:t>
      </w:r>
      <w:r w:rsidR="00D33EFB">
        <w:t>elten sich seit 2018 wie folgt:</w:t>
      </w:r>
    </w:p>
    <w:p w14:paraId="366BC4F9" w14:textId="77777777" w:rsidR="00D33EFB" w:rsidRDefault="00D33EFB" w:rsidP="00D33EFB">
      <w:pPr>
        <w:pStyle w:val="LTAntwortRessortText"/>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08"/>
        <w:gridCol w:w="709"/>
        <w:gridCol w:w="709"/>
        <w:gridCol w:w="709"/>
      </w:tblGrid>
      <w:tr w:rsidR="00D67352" w:rsidRPr="00D33EFB" w14:paraId="439B2FCE" w14:textId="77777777" w:rsidTr="00BD6FB5">
        <w:trPr>
          <w:trHeight w:val="412"/>
        </w:trPr>
        <w:tc>
          <w:tcPr>
            <w:tcW w:w="1134" w:type="dxa"/>
          </w:tcPr>
          <w:p w14:paraId="5F70590D" w14:textId="77777777" w:rsidR="00D67352" w:rsidRPr="00D33EFB" w:rsidRDefault="00D67352" w:rsidP="005D4EC0">
            <w:pPr>
              <w:pStyle w:val="TableParagraph"/>
              <w:ind w:left="0"/>
              <w:rPr>
                <w:rFonts w:ascii="Arial" w:hAnsi="Arial" w:cs="Arial"/>
                <w:sz w:val="18"/>
                <w:szCs w:val="18"/>
              </w:rPr>
            </w:pPr>
          </w:p>
        </w:tc>
        <w:tc>
          <w:tcPr>
            <w:tcW w:w="708" w:type="dxa"/>
            <w:vAlign w:val="center"/>
          </w:tcPr>
          <w:p w14:paraId="74152455" w14:textId="77777777" w:rsidR="00D67352" w:rsidRPr="00D33EFB" w:rsidRDefault="00D67352" w:rsidP="00D33EFB">
            <w:pPr>
              <w:pStyle w:val="TableParagraph"/>
              <w:spacing w:line="275" w:lineRule="exact"/>
              <w:rPr>
                <w:rFonts w:ascii="Arial" w:hAnsi="Arial" w:cs="Arial"/>
                <w:b/>
                <w:sz w:val="18"/>
                <w:szCs w:val="18"/>
              </w:rPr>
            </w:pPr>
            <w:r w:rsidRPr="00D33EFB">
              <w:rPr>
                <w:rFonts w:ascii="Arial" w:hAnsi="Arial" w:cs="Arial"/>
                <w:b/>
                <w:sz w:val="18"/>
                <w:szCs w:val="18"/>
              </w:rPr>
              <w:t>2018</w:t>
            </w:r>
          </w:p>
        </w:tc>
        <w:tc>
          <w:tcPr>
            <w:tcW w:w="709" w:type="dxa"/>
            <w:vAlign w:val="center"/>
          </w:tcPr>
          <w:p w14:paraId="6A1FBE32" w14:textId="77777777" w:rsidR="00D67352" w:rsidRPr="00D33EFB" w:rsidRDefault="00D67352" w:rsidP="00D33EFB">
            <w:pPr>
              <w:pStyle w:val="TableParagraph"/>
              <w:spacing w:line="275" w:lineRule="exact"/>
              <w:rPr>
                <w:rFonts w:ascii="Arial" w:hAnsi="Arial" w:cs="Arial"/>
                <w:b/>
                <w:sz w:val="18"/>
                <w:szCs w:val="18"/>
              </w:rPr>
            </w:pPr>
            <w:r w:rsidRPr="00D33EFB">
              <w:rPr>
                <w:rFonts w:ascii="Arial" w:hAnsi="Arial" w:cs="Arial"/>
                <w:b/>
                <w:sz w:val="18"/>
                <w:szCs w:val="18"/>
              </w:rPr>
              <w:t>2019</w:t>
            </w:r>
          </w:p>
        </w:tc>
        <w:tc>
          <w:tcPr>
            <w:tcW w:w="709" w:type="dxa"/>
            <w:vAlign w:val="center"/>
          </w:tcPr>
          <w:p w14:paraId="5ED084F7" w14:textId="77777777" w:rsidR="00D67352" w:rsidRPr="00D33EFB" w:rsidRDefault="00D67352" w:rsidP="00D33EFB">
            <w:pPr>
              <w:pStyle w:val="TableParagraph"/>
              <w:spacing w:line="275" w:lineRule="exact"/>
              <w:rPr>
                <w:rFonts w:ascii="Arial" w:hAnsi="Arial" w:cs="Arial"/>
                <w:b/>
                <w:sz w:val="18"/>
                <w:szCs w:val="18"/>
              </w:rPr>
            </w:pPr>
            <w:r w:rsidRPr="00D33EFB">
              <w:rPr>
                <w:rFonts w:ascii="Arial" w:hAnsi="Arial" w:cs="Arial"/>
                <w:b/>
                <w:sz w:val="18"/>
                <w:szCs w:val="18"/>
              </w:rPr>
              <w:t>2020</w:t>
            </w:r>
          </w:p>
        </w:tc>
        <w:tc>
          <w:tcPr>
            <w:tcW w:w="709" w:type="dxa"/>
            <w:vAlign w:val="center"/>
          </w:tcPr>
          <w:p w14:paraId="0089DACA" w14:textId="77777777" w:rsidR="00D67352" w:rsidRPr="00D33EFB" w:rsidRDefault="00D67352" w:rsidP="00D33EFB">
            <w:pPr>
              <w:pStyle w:val="TableParagraph"/>
              <w:spacing w:line="275" w:lineRule="exact"/>
              <w:rPr>
                <w:rFonts w:ascii="Arial" w:hAnsi="Arial" w:cs="Arial"/>
                <w:b/>
                <w:sz w:val="18"/>
                <w:szCs w:val="18"/>
              </w:rPr>
            </w:pPr>
            <w:r w:rsidRPr="00D33EFB">
              <w:rPr>
                <w:rFonts w:ascii="Arial" w:hAnsi="Arial" w:cs="Arial"/>
                <w:b/>
                <w:sz w:val="18"/>
                <w:szCs w:val="18"/>
              </w:rPr>
              <w:t>2021</w:t>
            </w:r>
          </w:p>
        </w:tc>
      </w:tr>
      <w:tr w:rsidR="00D67352" w:rsidRPr="00D33EFB" w14:paraId="110D2711" w14:textId="77777777" w:rsidTr="00BD6FB5">
        <w:trPr>
          <w:trHeight w:val="827"/>
        </w:trPr>
        <w:tc>
          <w:tcPr>
            <w:tcW w:w="1134" w:type="dxa"/>
            <w:vAlign w:val="center"/>
          </w:tcPr>
          <w:p w14:paraId="3385C30F" w14:textId="77777777" w:rsidR="00D67352" w:rsidRPr="00D33EFB" w:rsidRDefault="00D67352" w:rsidP="00D33EFB">
            <w:pPr>
              <w:pStyle w:val="TableParagraph"/>
              <w:spacing w:line="275" w:lineRule="exact"/>
              <w:rPr>
                <w:rFonts w:ascii="Arial" w:hAnsi="Arial" w:cs="Arial"/>
                <w:b/>
                <w:sz w:val="18"/>
                <w:szCs w:val="18"/>
              </w:rPr>
            </w:pPr>
            <w:r w:rsidRPr="00D33EFB">
              <w:rPr>
                <w:rFonts w:ascii="Arial" w:hAnsi="Arial" w:cs="Arial"/>
                <w:b/>
                <w:sz w:val="18"/>
                <w:szCs w:val="18"/>
              </w:rPr>
              <w:t>Verkehrs-</w:t>
            </w:r>
          </w:p>
          <w:p w14:paraId="2D98F7DC" w14:textId="77777777" w:rsidR="00D67352" w:rsidRPr="00D33EFB" w:rsidRDefault="00D67352" w:rsidP="00D33EFB">
            <w:pPr>
              <w:pStyle w:val="TableParagraph"/>
              <w:spacing w:before="139"/>
              <w:rPr>
                <w:rFonts w:ascii="Arial" w:hAnsi="Arial" w:cs="Arial"/>
                <w:b/>
                <w:sz w:val="18"/>
                <w:szCs w:val="18"/>
              </w:rPr>
            </w:pPr>
            <w:r w:rsidRPr="00D33EFB">
              <w:rPr>
                <w:rFonts w:ascii="Arial" w:hAnsi="Arial" w:cs="Arial"/>
                <w:b/>
                <w:sz w:val="18"/>
                <w:szCs w:val="18"/>
              </w:rPr>
              <w:t>unfälle</w:t>
            </w:r>
          </w:p>
        </w:tc>
        <w:tc>
          <w:tcPr>
            <w:tcW w:w="708" w:type="dxa"/>
            <w:vAlign w:val="center"/>
          </w:tcPr>
          <w:p w14:paraId="60696B7E" w14:textId="77777777" w:rsidR="00D67352" w:rsidRPr="00D33EFB" w:rsidRDefault="00D67352" w:rsidP="00D33EFB">
            <w:pPr>
              <w:pStyle w:val="TableParagraph"/>
              <w:spacing w:before="1"/>
              <w:rPr>
                <w:rFonts w:ascii="Arial" w:hAnsi="Arial" w:cs="Arial"/>
                <w:sz w:val="18"/>
                <w:szCs w:val="18"/>
              </w:rPr>
            </w:pPr>
            <w:r w:rsidRPr="00D33EFB">
              <w:rPr>
                <w:rFonts w:ascii="Arial" w:hAnsi="Arial" w:cs="Arial"/>
                <w:sz w:val="18"/>
                <w:szCs w:val="18"/>
              </w:rPr>
              <w:t>401</w:t>
            </w:r>
          </w:p>
        </w:tc>
        <w:tc>
          <w:tcPr>
            <w:tcW w:w="709" w:type="dxa"/>
            <w:vAlign w:val="center"/>
          </w:tcPr>
          <w:p w14:paraId="474D9FEF" w14:textId="77777777" w:rsidR="00D67352" w:rsidRPr="00D33EFB" w:rsidRDefault="00D67352" w:rsidP="00D33EFB">
            <w:pPr>
              <w:pStyle w:val="TableParagraph"/>
              <w:spacing w:before="1"/>
              <w:rPr>
                <w:rFonts w:ascii="Arial" w:hAnsi="Arial" w:cs="Arial"/>
                <w:sz w:val="18"/>
                <w:szCs w:val="18"/>
              </w:rPr>
            </w:pPr>
            <w:r w:rsidRPr="00D33EFB">
              <w:rPr>
                <w:rFonts w:ascii="Arial" w:hAnsi="Arial" w:cs="Arial"/>
                <w:sz w:val="18"/>
                <w:szCs w:val="18"/>
              </w:rPr>
              <w:t>362</w:t>
            </w:r>
          </w:p>
        </w:tc>
        <w:tc>
          <w:tcPr>
            <w:tcW w:w="709" w:type="dxa"/>
            <w:vAlign w:val="center"/>
          </w:tcPr>
          <w:p w14:paraId="07FD6187" w14:textId="77777777" w:rsidR="00D67352" w:rsidRPr="00D33EFB" w:rsidRDefault="00D67352" w:rsidP="00D33EFB">
            <w:pPr>
              <w:pStyle w:val="TableParagraph"/>
              <w:spacing w:before="1"/>
              <w:rPr>
                <w:rFonts w:ascii="Arial" w:hAnsi="Arial" w:cs="Arial"/>
                <w:sz w:val="18"/>
                <w:szCs w:val="18"/>
              </w:rPr>
            </w:pPr>
            <w:r w:rsidRPr="00D33EFB">
              <w:rPr>
                <w:rFonts w:ascii="Arial" w:hAnsi="Arial" w:cs="Arial"/>
                <w:sz w:val="18"/>
                <w:szCs w:val="18"/>
              </w:rPr>
              <w:t>341</w:t>
            </w:r>
          </w:p>
        </w:tc>
        <w:tc>
          <w:tcPr>
            <w:tcW w:w="709" w:type="dxa"/>
            <w:vAlign w:val="center"/>
          </w:tcPr>
          <w:p w14:paraId="1E933962" w14:textId="77777777" w:rsidR="00D67352" w:rsidRPr="00D33EFB" w:rsidRDefault="00D67352" w:rsidP="00D33EFB">
            <w:pPr>
              <w:pStyle w:val="TableParagraph"/>
              <w:spacing w:before="1"/>
              <w:rPr>
                <w:rFonts w:ascii="Arial" w:hAnsi="Arial" w:cs="Arial"/>
                <w:sz w:val="18"/>
                <w:szCs w:val="18"/>
              </w:rPr>
            </w:pPr>
            <w:r w:rsidRPr="00D33EFB">
              <w:rPr>
                <w:rFonts w:ascii="Arial" w:hAnsi="Arial" w:cs="Arial"/>
                <w:sz w:val="18"/>
                <w:szCs w:val="18"/>
              </w:rPr>
              <w:t>296</w:t>
            </w:r>
          </w:p>
        </w:tc>
      </w:tr>
      <w:tr w:rsidR="00D67352" w:rsidRPr="00D33EFB" w14:paraId="1444C13E" w14:textId="77777777" w:rsidTr="00BD6FB5">
        <w:trPr>
          <w:trHeight w:val="415"/>
        </w:trPr>
        <w:tc>
          <w:tcPr>
            <w:tcW w:w="1134" w:type="dxa"/>
            <w:vAlign w:val="center"/>
          </w:tcPr>
          <w:p w14:paraId="40A06F13" w14:textId="77777777" w:rsidR="00D67352" w:rsidRPr="00D33EFB" w:rsidRDefault="00D67352" w:rsidP="00D33EFB">
            <w:pPr>
              <w:pStyle w:val="TableParagraph"/>
              <w:spacing w:line="275" w:lineRule="exact"/>
              <w:rPr>
                <w:rFonts w:ascii="Arial" w:hAnsi="Arial" w:cs="Arial"/>
                <w:b/>
                <w:sz w:val="18"/>
                <w:szCs w:val="18"/>
              </w:rPr>
            </w:pPr>
            <w:r w:rsidRPr="00D33EFB">
              <w:rPr>
                <w:rFonts w:ascii="Arial" w:hAnsi="Arial" w:cs="Arial"/>
                <w:b/>
                <w:sz w:val="18"/>
                <w:szCs w:val="18"/>
              </w:rPr>
              <w:t>Getötete</w:t>
            </w:r>
          </w:p>
        </w:tc>
        <w:tc>
          <w:tcPr>
            <w:tcW w:w="708" w:type="dxa"/>
            <w:vAlign w:val="center"/>
          </w:tcPr>
          <w:p w14:paraId="65D1F2B5" w14:textId="77777777" w:rsidR="00D67352" w:rsidRPr="00D33EFB" w:rsidRDefault="00D67352" w:rsidP="00D33EFB">
            <w:pPr>
              <w:pStyle w:val="TableParagraph"/>
              <w:spacing w:line="270" w:lineRule="exact"/>
              <w:rPr>
                <w:rFonts w:ascii="Arial" w:hAnsi="Arial" w:cs="Arial"/>
                <w:sz w:val="18"/>
                <w:szCs w:val="18"/>
              </w:rPr>
            </w:pPr>
            <w:r w:rsidRPr="00D33EFB">
              <w:rPr>
                <w:rFonts w:ascii="Arial" w:hAnsi="Arial" w:cs="Arial"/>
                <w:sz w:val="18"/>
                <w:szCs w:val="18"/>
              </w:rPr>
              <w:t>2</w:t>
            </w:r>
          </w:p>
        </w:tc>
        <w:tc>
          <w:tcPr>
            <w:tcW w:w="709" w:type="dxa"/>
            <w:vAlign w:val="center"/>
          </w:tcPr>
          <w:p w14:paraId="4258FC8B" w14:textId="77777777" w:rsidR="00D67352" w:rsidRPr="00D33EFB" w:rsidRDefault="00D67352" w:rsidP="00D33EFB">
            <w:pPr>
              <w:pStyle w:val="TableParagraph"/>
              <w:spacing w:line="270" w:lineRule="exact"/>
              <w:rPr>
                <w:rFonts w:ascii="Arial" w:hAnsi="Arial" w:cs="Arial"/>
                <w:sz w:val="18"/>
                <w:szCs w:val="18"/>
              </w:rPr>
            </w:pPr>
            <w:r w:rsidRPr="00D33EFB">
              <w:rPr>
                <w:rFonts w:ascii="Arial" w:hAnsi="Arial" w:cs="Arial"/>
                <w:sz w:val="18"/>
                <w:szCs w:val="18"/>
              </w:rPr>
              <w:t>3</w:t>
            </w:r>
          </w:p>
        </w:tc>
        <w:tc>
          <w:tcPr>
            <w:tcW w:w="709" w:type="dxa"/>
            <w:vAlign w:val="center"/>
          </w:tcPr>
          <w:p w14:paraId="6ADD44D3" w14:textId="77777777" w:rsidR="00D67352" w:rsidRPr="00D33EFB" w:rsidRDefault="00D67352" w:rsidP="00D33EFB">
            <w:pPr>
              <w:pStyle w:val="TableParagraph"/>
              <w:spacing w:line="270" w:lineRule="exact"/>
              <w:rPr>
                <w:rFonts w:ascii="Arial" w:hAnsi="Arial" w:cs="Arial"/>
                <w:sz w:val="18"/>
                <w:szCs w:val="18"/>
              </w:rPr>
            </w:pPr>
            <w:r w:rsidRPr="00D33EFB">
              <w:rPr>
                <w:rFonts w:ascii="Arial" w:hAnsi="Arial" w:cs="Arial"/>
                <w:sz w:val="18"/>
                <w:szCs w:val="18"/>
              </w:rPr>
              <w:t>3</w:t>
            </w:r>
          </w:p>
        </w:tc>
        <w:tc>
          <w:tcPr>
            <w:tcW w:w="709" w:type="dxa"/>
            <w:vAlign w:val="center"/>
          </w:tcPr>
          <w:p w14:paraId="45A634CF" w14:textId="77777777" w:rsidR="00D67352" w:rsidRPr="00D33EFB" w:rsidRDefault="00D67352" w:rsidP="00D33EFB">
            <w:pPr>
              <w:pStyle w:val="TableParagraph"/>
              <w:spacing w:line="270" w:lineRule="exact"/>
              <w:rPr>
                <w:rFonts w:ascii="Arial" w:hAnsi="Arial" w:cs="Arial"/>
                <w:sz w:val="18"/>
                <w:szCs w:val="18"/>
              </w:rPr>
            </w:pPr>
            <w:r w:rsidRPr="00D33EFB">
              <w:rPr>
                <w:rFonts w:ascii="Arial" w:hAnsi="Arial" w:cs="Arial"/>
                <w:sz w:val="18"/>
                <w:szCs w:val="18"/>
              </w:rPr>
              <w:t>0</w:t>
            </w:r>
          </w:p>
        </w:tc>
      </w:tr>
      <w:tr w:rsidR="00D67352" w:rsidRPr="00D33EFB" w14:paraId="47423084" w14:textId="77777777" w:rsidTr="00BD6FB5">
        <w:trPr>
          <w:trHeight w:val="414"/>
        </w:trPr>
        <w:tc>
          <w:tcPr>
            <w:tcW w:w="1134" w:type="dxa"/>
            <w:vAlign w:val="center"/>
          </w:tcPr>
          <w:p w14:paraId="2CB62B69" w14:textId="77777777" w:rsidR="00D67352" w:rsidRPr="00D33EFB" w:rsidRDefault="00D67352" w:rsidP="00D33EFB">
            <w:pPr>
              <w:pStyle w:val="TableParagraph"/>
              <w:spacing w:line="275" w:lineRule="exact"/>
              <w:rPr>
                <w:rFonts w:ascii="Arial" w:hAnsi="Arial" w:cs="Arial"/>
                <w:b/>
                <w:sz w:val="18"/>
                <w:szCs w:val="18"/>
              </w:rPr>
            </w:pPr>
            <w:r w:rsidRPr="00D33EFB">
              <w:rPr>
                <w:rFonts w:ascii="Arial" w:hAnsi="Arial" w:cs="Arial"/>
                <w:b/>
                <w:sz w:val="18"/>
                <w:szCs w:val="18"/>
              </w:rPr>
              <w:t>Verletzte</w:t>
            </w:r>
          </w:p>
        </w:tc>
        <w:tc>
          <w:tcPr>
            <w:tcW w:w="708" w:type="dxa"/>
            <w:vAlign w:val="center"/>
          </w:tcPr>
          <w:p w14:paraId="63AC2459" w14:textId="77777777" w:rsidR="00D67352" w:rsidRPr="00D33EFB" w:rsidRDefault="00D67352" w:rsidP="00D33EFB">
            <w:pPr>
              <w:pStyle w:val="TableParagraph"/>
              <w:spacing w:line="270" w:lineRule="exact"/>
              <w:rPr>
                <w:rFonts w:ascii="Arial" w:hAnsi="Arial" w:cs="Arial"/>
                <w:sz w:val="18"/>
                <w:szCs w:val="18"/>
              </w:rPr>
            </w:pPr>
            <w:r w:rsidRPr="00D33EFB">
              <w:rPr>
                <w:rFonts w:ascii="Arial" w:hAnsi="Arial" w:cs="Arial"/>
                <w:sz w:val="18"/>
                <w:szCs w:val="18"/>
              </w:rPr>
              <w:t>99</w:t>
            </w:r>
          </w:p>
        </w:tc>
        <w:tc>
          <w:tcPr>
            <w:tcW w:w="709" w:type="dxa"/>
            <w:vAlign w:val="center"/>
          </w:tcPr>
          <w:p w14:paraId="5DFB55ED" w14:textId="77777777" w:rsidR="00D67352" w:rsidRPr="00D33EFB" w:rsidRDefault="00D67352" w:rsidP="00D33EFB">
            <w:pPr>
              <w:pStyle w:val="TableParagraph"/>
              <w:spacing w:line="270" w:lineRule="exact"/>
              <w:rPr>
                <w:rFonts w:ascii="Arial" w:hAnsi="Arial" w:cs="Arial"/>
                <w:sz w:val="18"/>
                <w:szCs w:val="18"/>
              </w:rPr>
            </w:pPr>
            <w:r w:rsidRPr="00D33EFB">
              <w:rPr>
                <w:rFonts w:ascii="Arial" w:hAnsi="Arial" w:cs="Arial"/>
                <w:sz w:val="18"/>
                <w:szCs w:val="18"/>
              </w:rPr>
              <w:t>109</w:t>
            </w:r>
          </w:p>
        </w:tc>
        <w:tc>
          <w:tcPr>
            <w:tcW w:w="709" w:type="dxa"/>
            <w:vAlign w:val="center"/>
          </w:tcPr>
          <w:p w14:paraId="0E1C5F02" w14:textId="77777777" w:rsidR="00D67352" w:rsidRPr="00D33EFB" w:rsidRDefault="00D67352" w:rsidP="00D33EFB">
            <w:pPr>
              <w:pStyle w:val="TableParagraph"/>
              <w:spacing w:line="270" w:lineRule="exact"/>
              <w:rPr>
                <w:rFonts w:ascii="Arial" w:hAnsi="Arial" w:cs="Arial"/>
                <w:sz w:val="18"/>
                <w:szCs w:val="18"/>
              </w:rPr>
            </w:pPr>
            <w:r w:rsidRPr="00D33EFB">
              <w:rPr>
                <w:rFonts w:ascii="Arial" w:hAnsi="Arial" w:cs="Arial"/>
                <w:sz w:val="18"/>
                <w:szCs w:val="18"/>
              </w:rPr>
              <w:t>80</w:t>
            </w:r>
          </w:p>
        </w:tc>
        <w:tc>
          <w:tcPr>
            <w:tcW w:w="709" w:type="dxa"/>
            <w:vAlign w:val="center"/>
          </w:tcPr>
          <w:p w14:paraId="71759781" w14:textId="77777777" w:rsidR="00D67352" w:rsidRPr="00D33EFB" w:rsidRDefault="00D67352" w:rsidP="00D33EFB">
            <w:pPr>
              <w:pStyle w:val="TableParagraph"/>
              <w:spacing w:line="270" w:lineRule="exact"/>
              <w:rPr>
                <w:rFonts w:ascii="Arial" w:hAnsi="Arial" w:cs="Arial"/>
                <w:sz w:val="18"/>
                <w:szCs w:val="18"/>
              </w:rPr>
            </w:pPr>
            <w:r w:rsidRPr="00D33EFB">
              <w:rPr>
                <w:rFonts w:ascii="Arial" w:hAnsi="Arial" w:cs="Arial"/>
                <w:sz w:val="18"/>
                <w:szCs w:val="18"/>
              </w:rPr>
              <w:t>65</w:t>
            </w:r>
          </w:p>
        </w:tc>
      </w:tr>
    </w:tbl>
    <w:p w14:paraId="514C0D25" w14:textId="77777777" w:rsidR="009B7130" w:rsidRDefault="009B7130" w:rsidP="00D67352">
      <w:pPr>
        <w:pStyle w:val="LTAntwortRessortText"/>
        <w:ind w:left="0"/>
      </w:pPr>
    </w:p>
    <w:p w14:paraId="6DA1326F" w14:textId="77777777" w:rsidR="009B7130" w:rsidRDefault="009B7130" w:rsidP="009B7130">
      <w:pPr>
        <w:pStyle w:val="LTAntwortRessortText"/>
      </w:pPr>
      <w:r>
        <w:t>Der Bund unterstützt seit 2019 mit der Förderrichtlinie für die Ausrüstung von Kraftfahrzeugen mit Abbiegeassistenzsystemen den Einbau von entsprechenden Nachrüstungen. Förderfähige Kraftfahrzeuge im Sinne dieser Richtlinie sind Nutzfahrzeuge mit einer zulässi</w:t>
      </w:r>
      <w:r w:rsidR="00BD6FB5">
        <w:t>gen Gesamt</w:t>
      </w:r>
      <w:r>
        <w:t xml:space="preserve">masse von mehr als 3,5 Tonnen und Kraftomnibusse mit mehr </w:t>
      </w:r>
      <w:r w:rsidR="00BD6FB5">
        <w:t>als neun Sitzplätzen einschließ</w:t>
      </w:r>
      <w:r>
        <w:t>lich Fahrersitzplatz. Diese müssen im Inland für gewerbliche, freiberufliche, gemeinnützige</w:t>
      </w:r>
      <w:r w:rsidR="00D67352">
        <w:t xml:space="preserve"> </w:t>
      </w:r>
      <w:r w:rsidR="00BD6FB5">
        <w:t>oder öffentlich-</w:t>
      </w:r>
      <w:r>
        <w:t xml:space="preserve">rechtliche Tätigkeiten angeschafft und betrieben werden (vgl. Nummer 2.3 der Richtlinie </w:t>
      </w:r>
      <w:r w:rsidR="006F49A4">
        <w:t>„</w:t>
      </w:r>
      <w:r>
        <w:t>AAS</w:t>
      </w:r>
      <w:r w:rsidR="006F49A4">
        <w:t>“</w:t>
      </w:r>
      <w:r>
        <w:t>). Das Förderprogramm tritt dann außer Kraft</w:t>
      </w:r>
      <w:r w:rsidR="00BD6FB5">
        <w:t>, wenn eine nationale oder euro</w:t>
      </w:r>
      <w:r>
        <w:t>päische Rechtsverordnung den Einbau von Abbiegeassistenzsystemen zwingend vorschreibt, spätestens jedoch am 31. Dezember 2024. Entsprechende F</w:t>
      </w:r>
      <w:r w:rsidR="00BD6FB5">
        <w:t>örderanträge können beim Bundes</w:t>
      </w:r>
      <w:r>
        <w:t>amt für Güterverkehr gestellt werden. Eine parallele Förderung durch den Freistaat Bayern ist daher nicht vorgesehen.</w:t>
      </w:r>
    </w:p>
    <w:p w14:paraId="5C18BF0A" w14:textId="77777777" w:rsidR="009B7130" w:rsidRDefault="009B7130" w:rsidP="009B7130">
      <w:pPr>
        <w:pStyle w:val="LTAntwortRessortText"/>
      </w:pPr>
      <w:r>
        <w:t xml:space="preserve">Der Staatsregierung liegen keine Zahlen vor, wie viele </w:t>
      </w:r>
      <w:r w:rsidR="00BD6FB5">
        <w:t>Unternehmen in ihren Fahr</w:t>
      </w:r>
      <w:r>
        <w:t>zeugen Abbiegeassistenzsysteme eingebaut haben. Von 2019 bis 2021 wurde nach Angaben des Bundesministeriums für Digitales und Ver</w:t>
      </w:r>
      <w:r w:rsidR="00BD6FB5">
        <w:t>kehr die Anschaffung von ca. 26 000 Abbiegeas</w:t>
      </w:r>
      <w:r>
        <w:t>sistenzsystemen mit eine</w:t>
      </w:r>
      <w:r w:rsidR="00BD6FB5">
        <w:t>m Gesamtvolumen von rd. 39 Mio. </w:t>
      </w:r>
      <w:r>
        <w:t>Euro bewilligt. Seit dem 21. Januar 2022 können beim Bundesamt für Güterverkehr erneut Anträge auf Förderung gestellt werden.</w:t>
      </w:r>
    </w:p>
    <w:p w14:paraId="3C65C012" w14:textId="77777777" w:rsidR="009B7130" w:rsidRDefault="009B7130">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9B7130" w14:paraId="21727BB3" w14:textId="77777777" w:rsidTr="007B0B33">
        <w:tc>
          <w:tcPr>
            <w:tcW w:w="2050" w:type="dxa"/>
          </w:tcPr>
          <w:p w14:paraId="2686396C" w14:textId="77777777" w:rsidR="009B7130" w:rsidRDefault="009B7130" w:rsidP="009B7130">
            <w:pPr>
              <w:pStyle w:val="LTAnfrageInitiator"/>
            </w:pPr>
            <w:r>
              <w:lastRenderedPageBreak/>
              <w:t>Abgeordneter</w:t>
            </w:r>
            <w:r>
              <w:rPr>
                <w:b/>
              </w:rPr>
              <w:br/>
              <w:t>Jan</w:t>
            </w:r>
            <w:r>
              <w:rPr>
                <w:b/>
              </w:rPr>
              <w:br/>
              <w:t>Schiffers</w:t>
            </w:r>
            <w:r>
              <w:rPr>
                <w:b/>
              </w:rPr>
              <w:br/>
            </w:r>
            <w:r>
              <w:t>(AfD)</w:t>
            </w:r>
            <w:bookmarkStart w:id="29" w:name="Frage_Nr_14"/>
            <w:bookmarkEnd w:id="29"/>
          </w:p>
        </w:tc>
        <w:tc>
          <w:tcPr>
            <w:tcW w:w="7200" w:type="dxa"/>
          </w:tcPr>
          <w:p w14:paraId="0655B7A2" w14:textId="77777777" w:rsidR="009B7130" w:rsidRDefault="00A85AF4" w:rsidP="009B7130">
            <w:pPr>
              <w:pStyle w:val="LTAnfrageText"/>
            </w:pPr>
            <w:r w:rsidRPr="00A85AF4">
              <w:rPr>
                <w:szCs w:val="24"/>
              </w:rPr>
              <w:t>Ich frage die Staatsregierung, ob die sechs Verwaltungsgerichte in den vergangenen Tagen und Wochen Anschreiben des „Deutschen Instituts für Menschenrechte“ sowie die Broschüre „Rassistische und rechtextreme Positionierungen im Dienste des Staates? Warum ein Eintreten für die AfD mit der verfassungsrechtlichen Treuepflicht nicht vereinbar ist“ von dem genannten Institut zugeschickt bekommen haben, wie sie diesen Versuch beurteilt, die unabhängige Richterschaft zu beeinflussen und welche Reaktionen seitens der Staatsregierung wurden getroffen bzw. sind geplant?</w:t>
            </w:r>
          </w:p>
        </w:tc>
      </w:tr>
    </w:tbl>
    <w:p w14:paraId="40003E32" w14:textId="77777777" w:rsidR="009B7130" w:rsidRDefault="009B7130" w:rsidP="009B7130">
      <w:pPr>
        <w:pStyle w:val="LTUeberschrAntwortRessort"/>
      </w:pPr>
      <w:r>
        <w:t>Antwort des Staatsministeriums des Innern, für Sport und Integration</w:t>
      </w:r>
    </w:p>
    <w:p w14:paraId="645ED888" w14:textId="77777777" w:rsidR="009B7130" w:rsidRDefault="009B7130" w:rsidP="009B7130">
      <w:pPr>
        <w:pStyle w:val="LTAntwortRessortText"/>
      </w:pPr>
      <w:r>
        <w:t xml:space="preserve">Die in der Anfrage genannte Broschüre ging bei fünf der </w:t>
      </w:r>
      <w:r w:rsidR="00B65C5C">
        <w:t>sechs bayerischen Verwaltungsge</w:t>
      </w:r>
      <w:r>
        <w:t>richte ein.</w:t>
      </w:r>
      <w:r w:rsidR="00964560">
        <w:t xml:space="preserve"> </w:t>
      </w:r>
      <w:r>
        <w:t xml:space="preserve">Grundlage für das Handeln des Instituts ist das Bundesgesetz </w:t>
      </w:r>
      <w:r w:rsidR="00B65C5C">
        <w:t>über die Rechtsstellung und Auf</w:t>
      </w:r>
      <w:r>
        <w:t>gaben des Deutschen Instituts für</w:t>
      </w:r>
      <w:r w:rsidR="00B65C5C">
        <w:t xml:space="preserve"> Menschenrechte (DIMRG). Nach § </w:t>
      </w:r>
      <w:r>
        <w:t>2 Abs. 1 Satz 2 DIMRG handelt das Institut unabhängig von Vorgaben und Weisunge</w:t>
      </w:r>
      <w:r w:rsidR="00B65C5C">
        <w:t>n der Bundesregierung oder ande</w:t>
      </w:r>
      <w:r>
        <w:t>ren öffentlichen und privaten Stellen in eigener Initiative od</w:t>
      </w:r>
      <w:r w:rsidR="00B65C5C">
        <w:t>er auf Ersuchen der Bundesregie</w:t>
      </w:r>
      <w:r>
        <w:t>rung oder des Deutschen Bundestages unter eigenverantwortlichem Einsatz seiner Ressourcen.</w:t>
      </w:r>
    </w:p>
    <w:p w14:paraId="25A5C77A" w14:textId="77777777" w:rsidR="009B7130" w:rsidRDefault="009B7130">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9B7130" w14:paraId="31DC8A94" w14:textId="77777777" w:rsidTr="007B0B33">
        <w:tc>
          <w:tcPr>
            <w:tcW w:w="2050" w:type="dxa"/>
          </w:tcPr>
          <w:p w14:paraId="63E266A4" w14:textId="77777777" w:rsidR="009B7130" w:rsidRDefault="009B7130" w:rsidP="009B7130">
            <w:pPr>
              <w:pStyle w:val="LTAnfrageInitiator"/>
            </w:pPr>
            <w:r>
              <w:lastRenderedPageBreak/>
              <w:t>Abgeordnete</w:t>
            </w:r>
            <w:r>
              <w:rPr>
                <w:b/>
              </w:rPr>
              <w:br/>
              <w:t>Katharina</w:t>
            </w:r>
            <w:r>
              <w:rPr>
                <w:b/>
              </w:rPr>
              <w:br/>
              <w:t>Schulze</w:t>
            </w:r>
            <w:r>
              <w:rPr>
                <w:b/>
              </w:rPr>
              <w:br/>
            </w:r>
            <w:r>
              <w:t>(BÜNDNIS 90/DIE GRÜNEN)</w:t>
            </w:r>
            <w:bookmarkStart w:id="31" w:name="Frage_Nr_15"/>
            <w:bookmarkEnd w:id="31"/>
          </w:p>
        </w:tc>
        <w:tc>
          <w:tcPr>
            <w:tcW w:w="7200" w:type="dxa"/>
          </w:tcPr>
          <w:p w14:paraId="7F887AD0" w14:textId="77777777" w:rsidR="009B7130" w:rsidRDefault="00A85AF4" w:rsidP="009B7130">
            <w:pPr>
              <w:pStyle w:val="LTAnfrageText"/>
            </w:pPr>
            <w:r w:rsidRPr="00A85AF4">
              <w:rPr>
                <w:szCs w:val="24"/>
              </w:rPr>
              <w:t>Ich frage die Staatsregierung, welche Erkenntnisse hat sie über die Vernetzung der Incel-Bewegung im Internet, welche Straftaten mit Bezügen zur Incel-Bewegung wurden in Bayern bisher registriert und welche Maßnahmen ergreift sie präventiv gegen Frauenfeindlichkeit in Bayern?</w:t>
            </w:r>
          </w:p>
        </w:tc>
      </w:tr>
    </w:tbl>
    <w:p w14:paraId="74BD23E8" w14:textId="77777777" w:rsidR="009B7130" w:rsidRDefault="009B7130" w:rsidP="009B7130">
      <w:pPr>
        <w:pStyle w:val="LTUeberschrAntwortRessort"/>
      </w:pPr>
      <w:r>
        <w:t>Antwort des Staatsministeriums des Innern, für Sport und Integration</w:t>
      </w:r>
    </w:p>
    <w:p w14:paraId="17177AD0" w14:textId="5144FF73" w:rsidR="009B7130" w:rsidRDefault="009B7130" w:rsidP="009B7130">
      <w:pPr>
        <w:pStyle w:val="LTAntwortRessortText"/>
      </w:pPr>
      <w:r>
        <w:t xml:space="preserve">Der englische Begriff Incel (Kofferwort aus </w:t>
      </w:r>
      <w:r w:rsidR="006F49A4">
        <w:t>„</w:t>
      </w:r>
      <w:r>
        <w:t>involuntary</w:t>
      </w:r>
      <w:r w:rsidR="006F49A4">
        <w:t>“</w:t>
      </w:r>
      <w:r>
        <w:t xml:space="preserve"> und </w:t>
      </w:r>
      <w:r w:rsidR="006F49A4">
        <w:t>„</w:t>
      </w:r>
      <w:r>
        <w:t>celibacy</w:t>
      </w:r>
      <w:r w:rsidR="006F49A4">
        <w:t>“</w:t>
      </w:r>
      <w:r>
        <w:t xml:space="preserve">, deutsch: </w:t>
      </w:r>
      <w:r w:rsidR="006F49A4">
        <w:t>„</w:t>
      </w:r>
      <w:r w:rsidR="00F5259B">
        <w:t>unfrei</w:t>
      </w:r>
      <w:r>
        <w:t>williges Zölibat</w:t>
      </w:r>
      <w:r w:rsidR="006F49A4">
        <w:t>“</w:t>
      </w:r>
      <w:r>
        <w:t xml:space="preserve">) ist die Selbstbezeichnung einer überwiegend aus weißen heterosexuellen Männern bestehenden Internetsubkultur, die eigenen Angaben zufolge unter einer systemseitig oktroyierten sexuellen Enthaltsamkeit leiden. Bei Incels handelt es sich </w:t>
      </w:r>
      <w:r w:rsidR="006F49A4">
        <w:t>u. a.</w:t>
      </w:r>
      <w:r>
        <w:t xml:space="preserve"> um anonym im Internet auftretende Personen, die häufig realweltlich zurückgezogen leben. Die Vernetzung der Incel-Szene geschieht fast ausschließlich virtuell über einschlägige Plattformen, Webseiten und Foren. Der szeneinterne Umgang in Incel-Foren im Internet ist von Gewaltdarstellungen und Hassfantasien geprägt.</w:t>
      </w:r>
    </w:p>
    <w:p w14:paraId="7ACF3707" w14:textId="6DBBEA44" w:rsidR="009B7130" w:rsidRDefault="009B7130" w:rsidP="009B7130">
      <w:pPr>
        <w:pStyle w:val="LTAntwortRessortText"/>
      </w:pPr>
      <w:r>
        <w:t>Eine stetig wachsende Internet-Gemeinschaft und zahlreiche Plattformen mit Incel-Bezug konnten inzwischen festgestellt werden. Im November 2017 schloss die Plattform Reddit ein Incel</w:t>
      </w:r>
      <w:r w:rsidR="00F5259B">
        <w:t>-Forum mit 41 </w:t>
      </w:r>
      <w:r>
        <w:t>000 Mitgliedern, nachdem auf die dor</w:t>
      </w:r>
      <w:r w:rsidR="00F5259B">
        <w:t>t grassierenden Mord- und Verge</w:t>
      </w:r>
      <w:r>
        <w:t>waltigungsphantasien aufmerksam gemacht wurde. Das führte jedoch lediglich zu einer Verschiebung der Aktivitäten auf andere, teilweise verschlüsselte Plattformen.</w:t>
      </w:r>
    </w:p>
    <w:p w14:paraId="7A7F13F5" w14:textId="7AB2D39F" w:rsidR="009B7130" w:rsidRDefault="009B7130" w:rsidP="009B7130">
      <w:pPr>
        <w:pStyle w:val="LTAntwortRessortText"/>
      </w:pPr>
      <w:r>
        <w:t>Bei der Incel-Szene handelt es sich in ihrer Gesamtheit nicht um ein Beobachtungsobjekt des Landesamtes für Verfassungsschutz. Beobachtet werden aber Einzelpersonen, die sich im Zusammenhang mit der Incel-Ideologie verfassungsschutzrelevant betätigen. Das ist dann der Fall, wenn die Frauenfeindlichkeit mit rechtsextremi</w:t>
      </w:r>
      <w:r w:rsidR="00F5259B">
        <w:t>stischen Ideologieelementen ver</w:t>
      </w:r>
      <w:r>
        <w:t>knüpft oder durch Frauenfeindlichkeit die Würde der Frau infrage gestellt wird bzw. wenn</w:t>
      </w:r>
      <w:r w:rsidR="000E3BC3">
        <w:t xml:space="preserve"> </w:t>
      </w:r>
      <w:r>
        <w:t>Frauen entmenschlicht werden. Die Incel-Bewegung ist in B</w:t>
      </w:r>
      <w:r w:rsidR="00F5259B">
        <w:t>ayern bisher als virtuelles Phä</w:t>
      </w:r>
      <w:r>
        <w:t xml:space="preserve">nomen durch Einzelpersonen in Erscheinung getreten. Daher ist </w:t>
      </w:r>
      <w:r w:rsidR="00F5259B">
        <w:t>es, wie bei den meisten virtuel</w:t>
      </w:r>
      <w:r>
        <w:t>len Aktivitäten, schwer nachvollziehbar, inwiefern die Aktivitäten tatsächlich auch von Bayern ausgehen.</w:t>
      </w:r>
    </w:p>
    <w:p w14:paraId="782D8720" w14:textId="3794AD2B" w:rsidR="009B7130" w:rsidRDefault="009B7130" w:rsidP="009B7130">
      <w:pPr>
        <w:pStyle w:val="LTAntwortRessortText"/>
      </w:pPr>
      <w:r>
        <w:t>Bei den in Frage stehenden Straftaten handelt es sich um Politis</w:t>
      </w:r>
      <w:r w:rsidR="00F5259B">
        <w:t>ch Motivierte Kriminalität, wel</w:t>
      </w:r>
      <w:r>
        <w:t>che im bundesweit einheitlichen Kriminalpolizeilichen Melde</w:t>
      </w:r>
      <w:r w:rsidR="00F5259B">
        <w:t>dienst in Fällen Politisch Moti</w:t>
      </w:r>
      <w:r>
        <w:t>vierter Kriminalität (KPMD-PMK) abgebildet werden.</w:t>
      </w:r>
      <w:r w:rsidR="000E3BC3">
        <w:t xml:space="preserve"> </w:t>
      </w:r>
      <w:r>
        <w:t>Im KPMD-PMK ist eine standardisierte Erfassung hinsichtlich der Zugehörigkeit zur sog. Incel-Bewegung nicht vorgesehen, so dass eine automatisi</w:t>
      </w:r>
      <w:r w:rsidR="00F5259B">
        <w:t>erte Recherche im Sinne der Fra</w:t>
      </w:r>
      <w:r>
        <w:t>gestellung nicht erfolgen kann.</w:t>
      </w:r>
    </w:p>
    <w:p w14:paraId="05A5D0D6" w14:textId="77777777" w:rsidR="009B7130" w:rsidRDefault="009B7130" w:rsidP="009B7130">
      <w:pPr>
        <w:pStyle w:val="LTAntwortRessortText"/>
      </w:pPr>
      <w:r>
        <w:t>Die Sicherheitsbehörden ergreifen die notwendigen rechtlichen und tatsächlich möglichen repressiven und präventiven Maßnahmen, um konsequent gegen Frauenfeindlichkeit vorzugehen.</w:t>
      </w:r>
    </w:p>
    <w:p w14:paraId="45495F1C" w14:textId="77777777" w:rsidR="009B7130" w:rsidRDefault="009B7130" w:rsidP="009B7130">
      <w:pPr>
        <w:pStyle w:val="LTAntwortRessortText"/>
      </w:pPr>
      <w:r>
        <w:t xml:space="preserve">Hierzu ist Bayern Teil der offenen Bund-Länder-Arbeitsgruppe (BLAG) betreffend </w:t>
      </w:r>
      <w:r w:rsidR="006F49A4">
        <w:t>„</w:t>
      </w:r>
      <w:r w:rsidR="00F5259B">
        <w:t>Bekämp</w:t>
      </w:r>
      <w:r>
        <w:t>fung von geschlechtsspezifisch gegen Frauen gerichteten Straftaten</w:t>
      </w:r>
      <w:r w:rsidR="006F49A4">
        <w:t>“</w:t>
      </w:r>
      <w:r w:rsidR="00F5259B">
        <w:t>, welche den ersten Sach</w:t>
      </w:r>
      <w:r>
        <w:t xml:space="preserve">standsbericht mit Stand 30. September 2021 vorgelegt hat. </w:t>
      </w:r>
      <w:r>
        <w:lastRenderedPageBreak/>
        <w:t>Dieser Sachstandsbericht wurde mit Zwischenbericht vom 7. Februar 2022 dem Landt</w:t>
      </w:r>
      <w:r w:rsidR="00F5259B">
        <w:t xml:space="preserve">ag zur </w:t>
      </w:r>
      <w:r>
        <w:t>Drs. 18/15311 vom 20. April 2021 übersandt.</w:t>
      </w:r>
    </w:p>
    <w:p w14:paraId="2AD285F2" w14:textId="77777777" w:rsidR="009B7130" w:rsidRDefault="009B7130" w:rsidP="009B7130">
      <w:pPr>
        <w:pStyle w:val="LTAntwortRessortText"/>
      </w:pPr>
      <w:r>
        <w:t xml:space="preserve">Die BLAG konnte sich im Rahmen der ersten Befassung mit dem Thema einen Überblick über dessen Komplexität verschaffen. Die Organisationsstruktur deckt mit den Unterarbeitsgruppen </w:t>
      </w:r>
      <w:r w:rsidR="006F49A4">
        <w:t>„</w:t>
      </w:r>
      <w:r>
        <w:t>Definition</w:t>
      </w:r>
      <w:r w:rsidR="006F49A4">
        <w:t>“</w:t>
      </w:r>
      <w:r>
        <w:t xml:space="preserve">, </w:t>
      </w:r>
      <w:r w:rsidR="006F49A4">
        <w:t>„</w:t>
      </w:r>
      <w:r>
        <w:t>Statistik</w:t>
      </w:r>
      <w:r w:rsidR="006F49A4">
        <w:t>“</w:t>
      </w:r>
      <w:r>
        <w:t xml:space="preserve">, </w:t>
      </w:r>
      <w:r w:rsidR="006F49A4">
        <w:t>„</w:t>
      </w:r>
      <w:r>
        <w:t>Präventions- und Bekämpfungsmaßnahmen</w:t>
      </w:r>
      <w:r w:rsidR="006F49A4">
        <w:t>“</w:t>
      </w:r>
      <w:r>
        <w:t xml:space="preserve"> sowie </w:t>
      </w:r>
      <w:r w:rsidR="006F49A4">
        <w:t>„</w:t>
      </w:r>
      <w:r>
        <w:t>Forschung</w:t>
      </w:r>
      <w:r w:rsidR="006F49A4">
        <w:t>“</w:t>
      </w:r>
      <w:r>
        <w:t xml:space="preserve"> alle maßgeblichen Ansatzpunkte ab. Mit Erarbeitung des ersten Sachstandberichts konnten eine einheitliche Perspektive und ein Aufgabenverständnis zur Aufgabenstellung entwickelt werden.</w:t>
      </w:r>
    </w:p>
    <w:p w14:paraId="69696768" w14:textId="77777777" w:rsidR="009B7130" w:rsidRDefault="009B7130" w:rsidP="009B7130">
      <w:pPr>
        <w:pStyle w:val="LTAntwortRessortText"/>
      </w:pPr>
      <w:r>
        <w:t>Der Sachstandsbericht weist neben der Festlegung einer Definition nachfolgende erläuterte Maßnahmen als konkrete, weitere Entwicklungsschritte als Ansatzpunkte der weiteren Projekt-arbeit der BLAG aus:</w:t>
      </w:r>
    </w:p>
    <w:p w14:paraId="0BB10076" w14:textId="77777777" w:rsidR="009B7130" w:rsidRDefault="009B7130" w:rsidP="00286866">
      <w:pPr>
        <w:pStyle w:val="LTAntwortRessortText"/>
        <w:numPr>
          <w:ilvl w:val="0"/>
          <w:numId w:val="25"/>
        </w:numPr>
        <w:spacing w:before="120"/>
        <w:ind w:left="1020" w:hanging="340"/>
      </w:pPr>
      <w:r>
        <w:t>Prüfung der Ausweisung des Geschlechts des Tatopfers bei Belei</w:t>
      </w:r>
      <w:r w:rsidR="00F5259B">
        <w:t>digungs- und ähnli</w:t>
      </w:r>
      <w:r>
        <w:t>chen Delikten</w:t>
      </w:r>
    </w:p>
    <w:p w14:paraId="206B7620" w14:textId="77777777" w:rsidR="009B7130" w:rsidRDefault="009B7130" w:rsidP="00286866">
      <w:pPr>
        <w:pStyle w:val="LTAntwortRessortText"/>
        <w:numPr>
          <w:ilvl w:val="0"/>
          <w:numId w:val="25"/>
        </w:numPr>
        <w:spacing w:before="120"/>
        <w:ind w:left="1020" w:hanging="340"/>
      </w:pPr>
      <w:r>
        <w:t xml:space="preserve">Erstellung eines Lagebilds </w:t>
      </w:r>
      <w:r w:rsidR="006F49A4">
        <w:t>„</w:t>
      </w:r>
      <w:r>
        <w:t>Geschlechtsspezifisch gegen Frauen gerichtete Straftaten</w:t>
      </w:r>
      <w:r w:rsidR="006F49A4">
        <w:t>“</w:t>
      </w:r>
      <w:r>
        <w:t xml:space="preserve"> aus Daten der Polizeilichen Kriminalstatistik (PKS) sowie des Kriminalpolizeilichen</w:t>
      </w:r>
      <w:r w:rsidR="000E3BC3">
        <w:t xml:space="preserve"> </w:t>
      </w:r>
      <w:r>
        <w:t>Meldedienstes in Fällen Politisch Motivierter Kriminalität (KPMD-</w:t>
      </w:r>
      <w:r w:rsidR="00F5259B">
        <w:t>PMK) auf Basis der Zahlen 2022 –</w:t>
      </w:r>
      <w:r>
        <w:t xml:space="preserve"> erstes Lagebild 2023</w:t>
      </w:r>
    </w:p>
    <w:p w14:paraId="559F797F" w14:textId="77777777" w:rsidR="009B7130" w:rsidRDefault="009B7130" w:rsidP="00286866">
      <w:pPr>
        <w:pStyle w:val="LTAntwortRessortText"/>
        <w:numPr>
          <w:ilvl w:val="0"/>
          <w:numId w:val="25"/>
        </w:numPr>
        <w:spacing w:before="120"/>
        <w:ind w:left="1020" w:hanging="340"/>
      </w:pPr>
      <w:r>
        <w:t>Durchführung von Informations- und Sensibilisierungsmaßnahmen zur Zuordnung von Straftaten in die entsprechenden Statistiken</w:t>
      </w:r>
    </w:p>
    <w:p w14:paraId="6204EF1A" w14:textId="77777777" w:rsidR="009B7130" w:rsidRDefault="009B7130" w:rsidP="00286866">
      <w:pPr>
        <w:pStyle w:val="LTAntwortRessortText"/>
        <w:numPr>
          <w:ilvl w:val="0"/>
          <w:numId w:val="25"/>
        </w:numPr>
        <w:spacing w:before="120"/>
        <w:ind w:left="1020" w:hanging="340"/>
      </w:pPr>
      <w:r>
        <w:t>Ist-Stand-Erhebung vorhandener Präventions- und Bekämpfungsmaßnah</w:t>
      </w:r>
      <w:r w:rsidR="00F5259B">
        <w:t>men im Phäno</w:t>
      </w:r>
      <w:r>
        <w:t>menbereich der geschlechtsspezifisch gegen Frauen gerichteten Straftaten</w:t>
      </w:r>
    </w:p>
    <w:p w14:paraId="72559CD9" w14:textId="77777777" w:rsidR="009B7130" w:rsidRDefault="009B7130" w:rsidP="00286866">
      <w:pPr>
        <w:pStyle w:val="LTAntwortRessortText"/>
        <w:numPr>
          <w:ilvl w:val="0"/>
          <w:numId w:val="25"/>
        </w:numPr>
        <w:spacing w:before="120"/>
        <w:ind w:left="1020" w:hanging="340"/>
      </w:pPr>
      <w:r>
        <w:t>Literaturrecherche und Bund-Länder-Abfrage zu th</w:t>
      </w:r>
      <w:r w:rsidR="00F5259B">
        <w:t>emenrelevanten Forschungsprojek</w:t>
      </w:r>
      <w:r>
        <w:t>ten zur Erhebung eines möglichen Forschungsbedarfs</w:t>
      </w:r>
    </w:p>
    <w:p w14:paraId="596F19F5" w14:textId="77777777" w:rsidR="009B7130" w:rsidRDefault="009B7130" w:rsidP="00286866">
      <w:pPr>
        <w:pStyle w:val="LTAntwortRessortText"/>
        <w:numPr>
          <w:ilvl w:val="0"/>
          <w:numId w:val="25"/>
        </w:numPr>
        <w:spacing w:before="120"/>
        <w:ind w:left="1020" w:hanging="340"/>
      </w:pPr>
      <w:r>
        <w:t>Durchführung einer geschlechtervergleichenden Opferbefragung voraussichtlich in 2023</w:t>
      </w:r>
    </w:p>
    <w:p w14:paraId="16439FDA" w14:textId="77777777" w:rsidR="009B7130" w:rsidRDefault="009B7130" w:rsidP="009B7130">
      <w:pPr>
        <w:pStyle w:val="LTAntwortRessortText"/>
      </w:pPr>
      <w:r>
        <w:t>Die Abbildung der gezielt gegen Frauen gerichteten Straftaten erfolgt:</w:t>
      </w:r>
    </w:p>
    <w:p w14:paraId="3B582B7D" w14:textId="77777777" w:rsidR="009B7130" w:rsidRDefault="009B7130" w:rsidP="00286866">
      <w:pPr>
        <w:pStyle w:val="LTAntwortRessortText"/>
        <w:numPr>
          <w:ilvl w:val="0"/>
          <w:numId w:val="26"/>
        </w:numPr>
        <w:spacing w:before="120"/>
        <w:ind w:left="1020" w:hanging="340"/>
      </w:pPr>
      <w:r>
        <w:t>kurzfristig mittels KPMD-PMK</w:t>
      </w:r>
    </w:p>
    <w:p w14:paraId="40892437" w14:textId="77777777" w:rsidR="009B7130" w:rsidRDefault="00F5259B" w:rsidP="00286866">
      <w:pPr>
        <w:pStyle w:val="LTAntwortRessortText"/>
        <w:numPr>
          <w:ilvl w:val="0"/>
          <w:numId w:val="26"/>
        </w:numPr>
        <w:spacing w:before="120"/>
        <w:ind w:left="1020" w:hanging="340"/>
      </w:pPr>
      <w:r>
        <w:t>mittelfristig mittels PKS</w:t>
      </w:r>
    </w:p>
    <w:p w14:paraId="683F2898" w14:textId="77777777" w:rsidR="009B7130" w:rsidRDefault="009B7130" w:rsidP="009B7130">
      <w:pPr>
        <w:pStyle w:val="LTAntwortRessortText"/>
      </w:pPr>
      <w:r>
        <w:t>So wird seit dem 1. Januar 2022 eine Ausdifferenzierung im KPMD-PMK durchgeführt, um eine bessere Recherchierbarkeit von gegen Frauen gerichteten Politisch Motivierten Straftaten zu ermöglichen.</w:t>
      </w:r>
    </w:p>
    <w:p w14:paraId="5A054E85" w14:textId="77777777" w:rsidR="009B7130" w:rsidRDefault="009B7130" w:rsidP="009B7130">
      <w:pPr>
        <w:pStyle w:val="LTAntwortRessortText"/>
      </w:pPr>
      <w:r>
        <w:t>Vor diesem Hintergrund sind bundesweit entsprechende Informations- und Sensibilisierungsmaßnahmen (Handreichungen, Fallbeispiele) erforderlich, die insbesondere Polizeidienststellen außerhalb des Polizeilichen Staatsschutzes eine wichtige Hilfestellung bei der Ermittlung der Motive und der Zuordnung der Straftaten in der Statistik leisten können.</w:t>
      </w:r>
    </w:p>
    <w:p w14:paraId="18A23576" w14:textId="77777777" w:rsidR="009B7130" w:rsidRDefault="009B7130" w:rsidP="009B7130">
      <w:pPr>
        <w:pStyle w:val="LTAntwortRessortText"/>
      </w:pPr>
      <w:r>
        <w:t>Hierzu wurde die Polizei mittels einer Handreich</w:t>
      </w:r>
      <w:r w:rsidR="00F5259B">
        <w:t>ung mit Fallbeispielen im Zusam</w:t>
      </w:r>
      <w:r>
        <w:t>menhang mit geschlechtsspezifisch gegen Frauen gerichteten Straftaten, welche durch das BLKA erarbeitet wurde, mit Schreiben des Staatsministeriu</w:t>
      </w:r>
      <w:r w:rsidR="00F5259B">
        <w:t>ms des Innern, für Sport und In</w:t>
      </w:r>
      <w:r>
        <w:t>tegration vom 15. Dezember 2021 sensibilisiert.</w:t>
      </w:r>
    </w:p>
    <w:p w14:paraId="21E9ADFC" w14:textId="77777777" w:rsidR="009B7130" w:rsidRDefault="009B7130" w:rsidP="009B7130">
      <w:pPr>
        <w:pStyle w:val="LTAntwortRessortText"/>
      </w:pPr>
      <w:r>
        <w:t xml:space="preserve">Darüber hinaus hat die Staatsregierung bereits im Sommer 2018 einen Drei-Stufen-Plan zum Gewaltschutz und zur Gewaltprävention vorgelegt. Im November 2018 haben die beiden die Staatsregierung tragenden Parteien im Koalitionsvertrag ihren </w:t>
      </w:r>
      <w:r>
        <w:lastRenderedPageBreak/>
        <w:t>Willen b</w:t>
      </w:r>
      <w:r w:rsidR="00F5259B">
        <w:t>ekräftigt, ein umfassen</w:t>
      </w:r>
      <w:r>
        <w:t xml:space="preserve">des Konzept zur Prävention jeder Art von Gewalt erarbeiten </w:t>
      </w:r>
      <w:r w:rsidR="00F5259B">
        <w:t>zu wollen, das auch neue Ausprä</w:t>
      </w:r>
      <w:r>
        <w:t>gungen von Gewalt und deren frühzeitige Erkennung und Gegensteuerung berücksichtigt.</w:t>
      </w:r>
    </w:p>
    <w:p w14:paraId="1CC46647" w14:textId="77777777" w:rsidR="009B7130" w:rsidRDefault="009B7130" w:rsidP="009B7130">
      <w:pPr>
        <w:pStyle w:val="LTAntwortRessortText"/>
      </w:pPr>
      <w:r>
        <w:t>Die frauenpolitischen Veranstaltungen und Förderprojekte der Staatsregierung befassen sich mit einer breiten Palette an Themen, die dazu beitragen, das Selbstbewusstsein von Frauen zu stärken sowie die gleichberechtigte Rolle der Frau in der Gesellschaft zu betonen.</w:t>
      </w:r>
    </w:p>
    <w:p w14:paraId="35948171" w14:textId="77777777" w:rsidR="009B7130" w:rsidRDefault="009B7130" w:rsidP="009B7130">
      <w:pPr>
        <w:pStyle w:val="LTAntwortRessortText"/>
      </w:pPr>
      <w:r>
        <w:t>Daneben stehen möglichen betroffenen bzw. gefährdeten Fra</w:t>
      </w:r>
      <w:r w:rsidR="00F5259B">
        <w:t>uen und Mädchen bei allen Präsi</w:t>
      </w:r>
      <w:r>
        <w:t>dien der Polizei die Beauftragten der Polizei für Kriminalitätsopfer (BPfK) zur Verfügung. Deren Beratungsangebot richtet sich insbesondere an alle Betroffenen, die Opfer von sexueller Gewalt, sexuellem Missbrauch, Misshandlung oder häuslicher Gewalt wurden, oder Fragen zu diesem Themenbereich haben. Neben der polizeilichen Opferbetreuung liegt ein Schwerpunkt der BPfK auch in der Durchführung vertrauen</w:t>
      </w:r>
      <w:r w:rsidR="00F5259B">
        <w:t>sbildender Maßnahmen und der da</w:t>
      </w:r>
      <w:r>
        <w:t>mit verbundenen Öffentlichkeitsarbeit. Zudem nehmen die BPfK im Sinne der Vernetzung mit anderen Behörden und Hilfeorganisationen an über 50 region</w:t>
      </w:r>
      <w:r w:rsidR="00F5259B">
        <w:t>alen sog. Runden Tischen und Ar</w:t>
      </w:r>
      <w:r>
        <w:t>beitskreisen insbesondere zur Bekämpfung von Gewalt gegen Mädchen und Frauen teil.</w:t>
      </w:r>
    </w:p>
    <w:p w14:paraId="1D36A91D" w14:textId="77777777" w:rsidR="009B7130" w:rsidRDefault="009B7130">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9B7130" w14:paraId="129611C6" w14:textId="77777777" w:rsidTr="007B0B33">
        <w:tc>
          <w:tcPr>
            <w:tcW w:w="2050" w:type="dxa"/>
          </w:tcPr>
          <w:p w14:paraId="550287F0" w14:textId="77777777" w:rsidR="009B7130" w:rsidRDefault="009B7130" w:rsidP="009B7130">
            <w:pPr>
              <w:pStyle w:val="LTAnfrageInitiator"/>
            </w:pPr>
            <w:r>
              <w:lastRenderedPageBreak/>
              <w:t>Abgeordneter</w:t>
            </w:r>
            <w:r>
              <w:rPr>
                <w:b/>
              </w:rPr>
              <w:br/>
              <w:t>Stefan</w:t>
            </w:r>
            <w:r>
              <w:rPr>
                <w:b/>
              </w:rPr>
              <w:br/>
              <w:t>Schuster</w:t>
            </w:r>
            <w:r>
              <w:rPr>
                <w:b/>
              </w:rPr>
              <w:br/>
            </w:r>
            <w:r>
              <w:t>(SPD)</w:t>
            </w:r>
            <w:bookmarkStart w:id="33" w:name="Frage_Nr_16"/>
            <w:bookmarkEnd w:id="33"/>
          </w:p>
        </w:tc>
        <w:tc>
          <w:tcPr>
            <w:tcW w:w="7200" w:type="dxa"/>
          </w:tcPr>
          <w:p w14:paraId="5D25EA30" w14:textId="77777777" w:rsidR="009B7130" w:rsidRDefault="0083706D" w:rsidP="009B7130">
            <w:pPr>
              <w:pStyle w:val="LTAnfrageText"/>
            </w:pPr>
            <w:r w:rsidRPr="0083706D">
              <w:rPr>
                <w:szCs w:val="24"/>
              </w:rPr>
              <w:t>Ich frage die Staatsregierung, werden die Kosten durch Angriffe auf Polizeibeamtinnen bzw. -beamte in Bayern statistisch erfasst, welche Kosten entstehen durch Angriffe auf Polizeibeamtinnen bzw. -beamten in Bayern (bitte mit Angabe der Art der Kosten) und wie viele Kosten sind aufgrund von Angriffen auf Polizeibeamtinnen bzw. -beamten im letzten Jahr in Bayern entstanden (bitte mit Angaben zur Höhe der Kosten)?</w:t>
            </w:r>
          </w:p>
        </w:tc>
      </w:tr>
    </w:tbl>
    <w:p w14:paraId="2234A6B5" w14:textId="77777777" w:rsidR="009B7130" w:rsidRDefault="009B7130" w:rsidP="009B7130">
      <w:pPr>
        <w:pStyle w:val="LTUeberschrAntwortRessort"/>
      </w:pPr>
      <w:r>
        <w:t>Antwort des Staatsministeriums des Innern, für Sport und Integration</w:t>
      </w:r>
    </w:p>
    <w:p w14:paraId="58EC360F" w14:textId="77777777" w:rsidR="009B7130" w:rsidRDefault="009B7130" w:rsidP="009B7130">
      <w:pPr>
        <w:pStyle w:val="LTAntwortRessortText"/>
      </w:pPr>
      <w:r>
        <w:t>Die Staatsregierung erhebt keine statistischen Daten im Sinne der Fragestellung.</w:t>
      </w:r>
    </w:p>
    <w:p w14:paraId="78E2C226" w14:textId="77777777" w:rsidR="009B7130" w:rsidRDefault="009B7130" w:rsidP="009B7130">
      <w:pPr>
        <w:pStyle w:val="LTAntwortRessortText"/>
      </w:pPr>
      <w:r>
        <w:t>Grundsätzlich können dem Staatshaushalt bei Angriffen auf Polizeibeamte Kosten aus Körper-schäden (</w:t>
      </w:r>
      <w:r w:rsidR="006F49A4">
        <w:t>z. B.</w:t>
      </w:r>
      <w:r>
        <w:t xml:space="preserve"> Dienstunfall, Beihilfe) und Sachschäden (</w:t>
      </w:r>
      <w:r w:rsidR="006F49A4">
        <w:t>z. B.</w:t>
      </w:r>
      <w:r>
        <w:t xml:space="preserve"> an Ausrüstungsgegenständen, Dienstkleidung, Dienst-Kfz) entstehen. Des Weiteren können Kosten durch Rechtsverfolgung bzw. durch die Erfüllungsübernahme von Schmerzensgeldan</w:t>
      </w:r>
      <w:r w:rsidR="00FE1416">
        <w:t>sprüchen geschädigter Polizeibe</w:t>
      </w:r>
      <w:r>
        <w:t xml:space="preserve">amtinnen und Polizeibeamten durch </w:t>
      </w:r>
      <w:r w:rsidR="00FE1416">
        <w:t>die Dienstherren</w:t>
      </w:r>
      <w:r>
        <w:t xml:space="preserve"> entstehen.</w:t>
      </w:r>
    </w:p>
    <w:p w14:paraId="2E3F30CE" w14:textId="77777777" w:rsidR="009B7130" w:rsidRDefault="009B7130" w:rsidP="009B7130">
      <w:pPr>
        <w:pStyle w:val="LTAntwortRessortText"/>
      </w:pPr>
      <w:r>
        <w:t xml:space="preserve">Gewaltdelikte gegen Polizeibeamtinnen und Polizeibeamte werden im Meldedienst </w:t>
      </w:r>
      <w:r w:rsidR="006F49A4">
        <w:t>„</w:t>
      </w:r>
      <w:r w:rsidR="00FE1416">
        <w:t>Gewalt gegen Polizeibeamtinnen und -beamte</w:t>
      </w:r>
      <w:r w:rsidR="006F49A4">
        <w:t>“</w:t>
      </w:r>
      <w:r>
        <w:t xml:space="preserve"> erfasst. Hierbei werden auch Dienstausfalltage erfasst, die auf</w:t>
      </w:r>
      <w:r w:rsidR="00FE1416">
        <w:t xml:space="preserve"> derartige Gewaltdelikte zurück</w:t>
      </w:r>
      <w:r>
        <w:t>zuführen sind.</w:t>
      </w:r>
    </w:p>
    <w:p w14:paraId="49401232" w14:textId="77777777" w:rsidR="009B7130" w:rsidRDefault="009B7130" w:rsidP="009B7130">
      <w:pPr>
        <w:pStyle w:val="LTAntwortRessortText"/>
      </w:pPr>
      <w:r>
        <w:t>Die Fallzahlen für das Jahr 2021 werden derzeit ausgewertet und liegen noch nicht vor.</w:t>
      </w:r>
      <w:r w:rsidR="00FE1416">
        <w:t xml:space="preserve"> Im Jahr 2020 waren insgesamt 8 </w:t>
      </w:r>
      <w:r>
        <w:t>587 Fälle von physischen und ps</w:t>
      </w:r>
      <w:r w:rsidR="00FE1416">
        <w:t>ychischen Gewaltdelikten zu verzeichnen. 4 </w:t>
      </w:r>
      <w:r>
        <w:t>746 davon waren Fälle reiner körperlicher Gewal</w:t>
      </w:r>
      <w:r w:rsidR="00FE1416">
        <w:t>t. Hierbei wurden 880 Polizeibe</w:t>
      </w:r>
      <w:r>
        <w:t>amtinnen und Polizeibeamte verletzt</w:t>
      </w:r>
      <w:r w:rsidR="00FE1416">
        <w:t>, was bayernweit zu insgesamt 3 </w:t>
      </w:r>
      <w:r>
        <w:t>242 Die</w:t>
      </w:r>
      <w:r w:rsidR="00FE1416">
        <w:t>nstausfalltagen und somit zu 25 </w:t>
      </w:r>
      <w:r>
        <w:t>936 ausgefallenen Arbeitsstunden führte.</w:t>
      </w:r>
    </w:p>
    <w:p w14:paraId="3A06ED51" w14:textId="77777777" w:rsidR="009B7130" w:rsidRDefault="009B7130">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9B7130" w14:paraId="1DB6BC3D" w14:textId="77777777" w:rsidTr="007B0B33">
        <w:tc>
          <w:tcPr>
            <w:tcW w:w="2050" w:type="dxa"/>
          </w:tcPr>
          <w:p w14:paraId="36CB1E82" w14:textId="77777777" w:rsidR="009B7130" w:rsidRDefault="009B7130" w:rsidP="009B7130">
            <w:pPr>
              <w:pStyle w:val="LTAnfrageInitiator"/>
            </w:pPr>
            <w:r>
              <w:lastRenderedPageBreak/>
              <w:t>Abgeordnete</w:t>
            </w:r>
            <w:r>
              <w:rPr>
                <w:b/>
              </w:rPr>
              <w:br/>
              <w:t>Dr. Simone</w:t>
            </w:r>
            <w:r>
              <w:rPr>
                <w:b/>
              </w:rPr>
              <w:br/>
              <w:t>Strohmayr</w:t>
            </w:r>
            <w:r>
              <w:rPr>
                <w:b/>
              </w:rPr>
              <w:br/>
            </w:r>
            <w:r>
              <w:t>(SPD)</w:t>
            </w:r>
            <w:bookmarkStart w:id="35" w:name="Frage_Nr_17"/>
            <w:bookmarkEnd w:id="35"/>
          </w:p>
        </w:tc>
        <w:tc>
          <w:tcPr>
            <w:tcW w:w="7200" w:type="dxa"/>
          </w:tcPr>
          <w:p w14:paraId="295E3227" w14:textId="77777777" w:rsidR="009B7130" w:rsidRDefault="0083706D" w:rsidP="009B7130">
            <w:pPr>
              <w:pStyle w:val="LTAnfrageText"/>
            </w:pPr>
            <w:r w:rsidRPr="0083706D">
              <w:rPr>
                <w:szCs w:val="24"/>
              </w:rPr>
              <w:t>Ich frage die Staatsregierung, wie hoch ist der Anteil (prozentual und in absoluten Zahlen) an Frauen als Dienststellenleitungen der Polizei in Bayern (bitte aufgelistet nach Regierungsbezirken, Landkreisen und kreisfreien Städten in den letzten fünf Jahren angeben)?</w:t>
            </w:r>
          </w:p>
        </w:tc>
      </w:tr>
    </w:tbl>
    <w:p w14:paraId="0660413D" w14:textId="77777777" w:rsidR="009B7130" w:rsidRDefault="009B7130" w:rsidP="009B7130">
      <w:pPr>
        <w:pStyle w:val="LTUeberschrAntwortRessort"/>
      </w:pPr>
      <w:r>
        <w:t>Antwort des Staatsministeriums des Innern, für Sport und Integration</w:t>
      </w:r>
    </w:p>
    <w:p w14:paraId="35B362CE" w14:textId="77777777" w:rsidR="009B7130" w:rsidRDefault="009B7130" w:rsidP="009B7130">
      <w:pPr>
        <w:pStyle w:val="LTAntwortRessortText"/>
      </w:pPr>
      <w:r>
        <w:t>Eine Auflistung nach Regierungsbezirken, Landkreisen und kreisfreien Städten war aufgrund der Kurzfristigkeit der Anfrage als auch im Hinblick auf den organisatorischen Aufbau der Polizei nicht möglich. Aus diesem Grund erfolgte eine Auflistung getrennt nach den einzelnen Polizeiverbänden. Berücksichtigt wurden die Die</w:t>
      </w:r>
      <w:r w:rsidR="00832D3E">
        <w:t>nststellenleitungen der Polizei</w:t>
      </w:r>
      <w:r>
        <w:t>inspektionen, Verkehrspolizeiinspektionen, Kriminalpolizeiinspektionen</w:t>
      </w:r>
      <w:r w:rsidR="00832D3E">
        <w:t>, die Abteilungsleitun</w:t>
      </w:r>
      <w:r>
        <w:t>gen des Präsidiums der Bereitschaftspolizei, die Leitungen der Kriminalfachdezernate sowie die Amtsleitung der Polizeiverbände.</w:t>
      </w:r>
    </w:p>
    <w:p w14:paraId="3DE241AB" w14:textId="77777777" w:rsidR="009B7130" w:rsidRDefault="009B7130" w:rsidP="009B7130">
      <w:pPr>
        <w:pStyle w:val="LTAntwortRessortText"/>
      </w:pPr>
      <w:r>
        <w:t>Die Auswertungen erfolgten zu den Stichtagen 31.12.2018, 31.12.2019, 31.12.2020, 30.06.2021 im Rahmen von Gleichstellungsberichten bzw. Gl</w:t>
      </w:r>
      <w:r w:rsidR="00832D3E">
        <w:t>eichstellungskonzepten sowie an</w:t>
      </w:r>
      <w:r>
        <w:t>lassbezogen zum Stichtag 01.02.2022. Die aufgeschlüsselten Zahlen stellen sich wie folgt dar:</w:t>
      </w:r>
    </w:p>
    <w:p w14:paraId="2BFE05E1" w14:textId="77777777" w:rsidR="009B7130" w:rsidRDefault="00F47B56" w:rsidP="00F47B56">
      <w:pPr>
        <w:pStyle w:val="LTAntwortRessortText"/>
      </w:pPr>
      <w:r>
        <w:t>1. Polizeipräsidium München</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832D3E" w14:paraId="46944814" w14:textId="77777777" w:rsidTr="00832D3E">
        <w:trPr>
          <w:trHeight w:val="275"/>
        </w:trPr>
        <w:tc>
          <w:tcPr>
            <w:tcW w:w="1417" w:type="dxa"/>
            <w:vAlign w:val="center"/>
          </w:tcPr>
          <w:p w14:paraId="4B344A86" w14:textId="77777777" w:rsidR="009D5B6C" w:rsidRPr="00832D3E" w:rsidRDefault="009D5B6C" w:rsidP="00832D3E">
            <w:pPr>
              <w:pStyle w:val="TableParagraph"/>
              <w:ind w:left="301"/>
              <w:rPr>
                <w:rFonts w:ascii="Arial" w:hAnsi="Arial" w:cs="Arial"/>
                <w:sz w:val="18"/>
                <w:szCs w:val="18"/>
              </w:rPr>
            </w:pPr>
            <w:r w:rsidRPr="00832D3E">
              <w:rPr>
                <w:rFonts w:ascii="Arial" w:hAnsi="Arial" w:cs="Arial"/>
                <w:sz w:val="18"/>
                <w:szCs w:val="18"/>
              </w:rPr>
              <w:t>Stichtag</w:t>
            </w:r>
          </w:p>
        </w:tc>
        <w:tc>
          <w:tcPr>
            <w:tcW w:w="1559" w:type="dxa"/>
            <w:vAlign w:val="center"/>
          </w:tcPr>
          <w:p w14:paraId="301BE2F4" w14:textId="77777777" w:rsidR="009D5B6C" w:rsidRPr="00832D3E" w:rsidRDefault="009D5B6C" w:rsidP="00832D3E">
            <w:pPr>
              <w:pStyle w:val="TableParagraph"/>
              <w:ind w:left="446" w:right="438"/>
              <w:jc w:val="center"/>
              <w:rPr>
                <w:rFonts w:ascii="Arial" w:hAnsi="Arial" w:cs="Arial"/>
                <w:sz w:val="18"/>
                <w:szCs w:val="18"/>
              </w:rPr>
            </w:pPr>
            <w:r w:rsidRPr="00832D3E">
              <w:rPr>
                <w:rFonts w:ascii="Arial" w:hAnsi="Arial" w:cs="Arial"/>
                <w:sz w:val="18"/>
                <w:szCs w:val="18"/>
              </w:rPr>
              <w:t>Gesamt</w:t>
            </w:r>
          </w:p>
        </w:tc>
        <w:tc>
          <w:tcPr>
            <w:tcW w:w="1418" w:type="dxa"/>
            <w:vAlign w:val="center"/>
          </w:tcPr>
          <w:p w14:paraId="38DE702D" w14:textId="77777777" w:rsidR="009D5B6C" w:rsidRPr="00832D3E" w:rsidRDefault="009D5B6C" w:rsidP="00832D3E">
            <w:pPr>
              <w:pStyle w:val="TableParagraph"/>
              <w:ind w:left="96" w:right="90"/>
              <w:jc w:val="center"/>
              <w:rPr>
                <w:rFonts w:ascii="Arial" w:hAnsi="Arial" w:cs="Arial"/>
                <w:sz w:val="18"/>
                <w:szCs w:val="18"/>
              </w:rPr>
            </w:pPr>
            <w:r w:rsidRPr="00832D3E">
              <w:rPr>
                <w:rFonts w:ascii="Arial" w:hAnsi="Arial" w:cs="Arial"/>
                <w:sz w:val="18"/>
                <w:szCs w:val="18"/>
              </w:rPr>
              <w:t>Anzahl Frauen</w:t>
            </w:r>
          </w:p>
        </w:tc>
        <w:tc>
          <w:tcPr>
            <w:tcW w:w="2126" w:type="dxa"/>
            <w:vAlign w:val="center"/>
          </w:tcPr>
          <w:p w14:paraId="48823767" w14:textId="77777777" w:rsidR="009D5B6C" w:rsidRPr="00832D3E" w:rsidRDefault="009D5B6C" w:rsidP="00832D3E">
            <w:pPr>
              <w:pStyle w:val="TableParagraph"/>
              <w:ind w:right="110"/>
              <w:jc w:val="center"/>
              <w:rPr>
                <w:rFonts w:ascii="Arial" w:hAnsi="Arial" w:cs="Arial"/>
                <w:sz w:val="18"/>
                <w:szCs w:val="18"/>
              </w:rPr>
            </w:pPr>
            <w:r w:rsidRPr="00832D3E">
              <w:rPr>
                <w:rFonts w:ascii="Arial" w:hAnsi="Arial" w:cs="Arial"/>
                <w:sz w:val="18"/>
                <w:szCs w:val="18"/>
              </w:rPr>
              <w:t xml:space="preserve">Frauenanteil </w:t>
            </w:r>
            <w:r w:rsidR="00832D3E">
              <w:rPr>
                <w:rFonts w:ascii="Arial" w:hAnsi="Arial" w:cs="Arial"/>
                <w:sz w:val="18"/>
                <w:szCs w:val="18"/>
              </w:rPr>
              <w:t xml:space="preserve">in </w:t>
            </w:r>
            <w:r w:rsidR="006F49A4" w:rsidRPr="00832D3E">
              <w:rPr>
                <w:rFonts w:ascii="Arial" w:hAnsi="Arial" w:cs="Arial"/>
                <w:sz w:val="18"/>
                <w:szCs w:val="18"/>
              </w:rPr>
              <w:t>Prozent</w:t>
            </w:r>
          </w:p>
        </w:tc>
      </w:tr>
      <w:tr w:rsidR="009D5B6C" w:rsidRPr="00832D3E" w14:paraId="29FAF256" w14:textId="77777777" w:rsidTr="00832D3E">
        <w:trPr>
          <w:trHeight w:val="275"/>
        </w:trPr>
        <w:tc>
          <w:tcPr>
            <w:tcW w:w="1417" w:type="dxa"/>
            <w:vAlign w:val="center"/>
          </w:tcPr>
          <w:p w14:paraId="419E030E" w14:textId="77777777" w:rsidR="009D5B6C" w:rsidRPr="00832D3E" w:rsidRDefault="009D5B6C" w:rsidP="00832D3E">
            <w:pPr>
              <w:pStyle w:val="TableParagraph"/>
              <w:ind w:left="301"/>
              <w:rPr>
                <w:rFonts w:ascii="Arial" w:hAnsi="Arial" w:cs="Arial"/>
                <w:sz w:val="18"/>
                <w:szCs w:val="18"/>
              </w:rPr>
            </w:pPr>
            <w:r w:rsidRPr="00832D3E">
              <w:rPr>
                <w:rFonts w:ascii="Arial" w:hAnsi="Arial" w:cs="Arial"/>
                <w:sz w:val="18"/>
                <w:szCs w:val="18"/>
              </w:rPr>
              <w:t>31.12.2018</w:t>
            </w:r>
          </w:p>
        </w:tc>
        <w:tc>
          <w:tcPr>
            <w:tcW w:w="1559" w:type="dxa"/>
            <w:vAlign w:val="center"/>
          </w:tcPr>
          <w:p w14:paraId="65E7F71E" w14:textId="77777777" w:rsidR="009D5B6C" w:rsidRPr="00832D3E" w:rsidRDefault="009D5B6C" w:rsidP="00832D3E">
            <w:pPr>
              <w:pStyle w:val="TableParagraph"/>
              <w:ind w:left="445" w:right="438"/>
              <w:jc w:val="center"/>
              <w:rPr>
                <w:rFonts w:ascii="Arial" w:hAnsi="Arial" w:cs="Arial"/>
                <w:sz w:val="18"/>
                <w:szCs w:val="18"/>
              </w:rPr>
            </w:pPr>
            <w:r w:rsidRPr="00832D3E">
              <w:rPr>
                <w:rFonts w:ascii="Arial" w:hAnsi="Arial" w:cs="Arial"/>
                <w:sz w:val="18"/>
                <w:szCs w:val="18"/>
              </w:rPr>
              <w:t>49</w:t>
            </w:r>
          </w:p>
        </w:tc>
        <w:tc>
          <w:tcPr>
            <w:tcW w:w="1418" w:type="dxa"/>
            <w:vAlign w:val="center"/>
          </w:tcPr>
          <w:p w14:paraId="0F001B3C" w14:textId="77777777" w:rsidR="009D5B6C" w:rsidRPr="00832D3E" w:rsidRDefault="009D5B6C" w:rsidP="00832D3E">
            <w:pPr>
              <w:pStyle w:val="TableParagraph"/>
              <w:ind w:left="9"/>
              <w:jc w:val="center"/>
              <w:rPr>
                <w:rFonts w:ascii="Arial" w:hAnsi="Arial" w:cs="Arial"/>
                <w:sz w:val="18"/>
                <w:szCs w:val="18"/>
              </w:rPr>
            </w:pPr>
            <w:r w:rsidRPr="00832D3E">
              <w:rPr>
                <w:rFonts w:ascii="Arial" w:hAnsi="Arial" w:cs="Arial"/>
                <w:sz w:val="18"/>
                <w:szCs w:val="18"/>
              </w:rPr>
              <w:t>3</w:t>
            </w:r>
          </w:p>
        </w:tc>
        <w:tc>
          <w:tcPr>
            <w:tcW w:w="2126" w:type="dxa"/>
            <w:vAlign w:val="center"/>
          </w:tcPr>
          <w:p w14:paraId="12217E67" w14:textId="77777777" w:rsidR="009D5B6C" w:rsidRPr="00832D3E" w:rsidRDefault="00832D3E" w:rsidP="00832D3E">
            <w:pPr>
              <w:pStyle w:val="TableParagraph"/>
              <w:ind w:right="105"/>
              <w:jc w:val="center"/>
              <w:rPr>
                <w:rFonts w:ascii="Arial" w:hAnsi="Arial" w:cs="Arial"/>
                <w:sz w:val="18"/>
                <w:szCs w:val="18"/>
              </w:rPr>
            </w:pPr>
            <w:r>
              <w:rPr>
                <w:rFonts w:ascii="Arial" w:hAnsi="Arial" w:cs="Arial"/>
                <w:sz w:val="18"/>
                <w:szCs w:val="18"/>
              </w:rPr>
              <w:t>6,12</w:t>
            </w:r>
          </w:p>
        </w:tc>
      </w:tr>
      <w:tr w:rsidR="009D5B6C" w:rsidRPr="00832D3E" w14:paraId="10A8AB4C" w14:textId="77777777" w:rsidTr="00832D3E">
        <w:trPr>
          <w:trHeight w:val="278"/>
        </w:trPr>
        <w:tc>
          <w:tcPr>
            <w:tcW w:w="1417" w:type="dxa"/>
            <w:vAlign w:val="center"/>
          </w:tcPr>
          <w:p w14:paraId="1B2F9A92" w14:textId="77777777" w:rsidR="009D5B6C" w:rsidRPr="00832D3E" w:rsidRDefault="009D5B6C" w:rsidP="00832D3E">
            <w:pPr>
              <w:pStyle w:val="TableParagraph"/>
              <w:spacing w:line="258" w:lineRule="exact"/>
              <w:ind w:left="301"/>
              <w:rPr>
                <w:rFonts w:ascii="Arial" w:hAnsi="Arial" w:cs="Arial"/>
                <w:sz w:val="18"/>
                <w:szCs w:val="18"/>
              </w:rPr>
            </w:pPr>
            <w:r w:rsidRPr="00832D3E">
              <w:rPr>
                <w:rFonts w:ascii="Arial" w:hAnsi="Arial" w:cs="Arial"/>
                <w:sz w:val="18"/>
                <w:szCs w:val="18"/>
              </w:rPr>
              <w:t>31.12.2019</w:t>
            </w:r>
          </w:p>
        </w:tc>
        <w:tc>
          <w:tcPr>
            <w:tcW w:w="1559" w:type="dxa"/>
            <w:vAlign w:val="center"/>
          </w:tcPr>
          <w:p w14:paraId="0C4997E7" w14:textId="77777777" w:rsidR="009D5B6C" w:rsidRPr="00832D3E" w:rsidRDefault="009D5B6C" w:rsidP="00832D3E">
            <w:pPr>
              <w:pStyle w:val="TableParagraph"/>
              <w:spacing w:line="258" w:lineRule="exact"/>
              <w:ind w:left="445" w:right="438"/>
              <w:jc w:val="center"/>
              <w:rPr>
                <w:rFonts w:ascii="Arial" w:hAnsi="Arial" w:cs="Arial"/>
                <w:sz w:val="18"/>
                <w:szCs w:val="18"/>
              </w:rPr>
            </w:pPr>
            <w:r w:rsidRPr="00832D3E">
              <w:rPr>
                <w:rFonts w:ascii="Arial" w:hAnsi="Arial" w:cs="Arial"/>
                <w:sz w:val="18"/>
                <w:szCs w:val="18"/>
              </w:rPr>
              <w:t>49</w:t>
            </w:r>
          </w:p>
        </w:tc>
        <w:tc>
          <w:tcPr>
            <w:tcW w:w="1418" w:type="dxa"/>
            <w:vAlign w:val="center"/>
          </w:tcPr>
          <w:p w14:paraId="7E55299E" w14:textId="77777777" w:rsidR="009D5B6C" w:rsidRPr="00832D3E" w:rsidRDefault="009D5B6C" w:rsidP="00832D3E">
            <w:pPr>
              <w:pStyle w:val="TableParagraph"/>
              <w:spacing w:line="258" w:lineRule="exact"/>
              <w:ind w:left="9"/>
              <w:jc w:val="center"/>
              <w:rPr>
                <w:rFonts w:ascii="Arial" w:hAnsi="Arial" w:cs="Arial"/>
                <w:sz w:val="18"/>
                <w:szCs w:val="18"/>
              </w:rPr>
            </w:pPr>
            <w:r w:rsidRPr="00832D3E">
              <w:rPr>
                <w:rFonts w:ascii="Arial" w:hAnsi="Arial" w:cs="Arial"/>
                <w:sz w:val="18"/>
                <w:szCs w:val="18"/>
              </w:rPr>
              <w:t>4</w:t>
            </w:r>
          </w:p>
        </w:tc>
        <w:tc>
          <w:tcPr>
            <w:tcW w:w="2126" w:type="dxa"/>
            <w:vAlign w:val="center"/>
          </w:tcPr>
          <w:p w14:paraId="242A9526" w14:textId="77777777" w:rsidR="009D5B6C" w:rsidRPr="00832D3E" w:rsidRDefault="009D5B6C" w:rsidP="00832D3E">
            <w:pPr>
              <w:pStyle w:val="TableParagraph"/>
              <w:spacing w:line="258" w:lineRule="exact"/>
              <w:ind w:right="105"/>
              <w:jc w:val="center"/>
              <w:rPr>
                <w:rFonts w:ascii="Arial" w:hAnsi="Arial" w:cs="Arial"/>
                <w:sz w:val="18"/>
                <w:szCs w:val="18"/>
              </w:rPr>
            </w:pPr>
            <w:r w:rsidRPr="00832D3E">
              <w:rPr>
                <w:rFonts w:ascii="Arial" w:hAnsi="Arial" w:cs="Arial"/>
                <w:sz w:val="18"/>
                <w:szCs w:val="18"/>
              </w:rPr>
              <w:t>8,16</w:t>
            </w:r>
          </w:p>
        </w:tc>
      </w:tr>
      <w:tr w:rsidR="009D5B6C" w:rsidRPr="00832D3E" w14:paraId="4E424171" w14:textId="77777777" w:rsidTr="00832D3E">
        <w:trPr>
          <w:trHeight w:val="276"/>
        </w:trPr>
        <w:tc>
          <w:tcPr>
            <w:tcW w:w="1417" w:type="dxa"/>
            <w:vAlign w:val="center"/>
          </w:tcPr>
          <w:p w14:paraId="31C049F1" w14:textId="77777777" w:rsidR="009D5B6C" w:rsidRPr="00832D3E" w:rsidRDefault="009D5B6C" w:rsidP="00832D3E">
            <w:pPr>
              <w:pStyle w:val="TableParagraph"/>
              <w:ind w:left="301"/>
              <w:rPr>
                <w:rFonts w:ascii="Arial" w:hAnsi="Arial" w:cs="Arial"/>
                <w:sz w:val="18"/>
                <w:szCs w:val="18"/>
              </w:rPr>
            </w:pPr>
            <w:r w:rsidRPr="00832D3E">
              <w:rPr>
                <w:rFonts w:ascii="Arial" w:hAnsi="Arial" w:cs="Arial"/>
                <w:sz w:val="18"/>
                <w:szCs w:val="18"/>
              </w:rPr>
              <w:t>31.12.2020</w:t>
            </w:r>
          </w:p>
        </w:tc>
        <w:tc>
          <w:tcPr>
            <w:tcW w:w="1559" w:type="dxa"/>
            <w:vAlign w:val="center"/>
          </w:tcPr>
          <w:p w14:paraId="38E17965" w14:textId="77777777" w:rsidR="009D5B6C" w:rsidRPr="00832D3E" w:rsidRDefault="009D5B6C" w:rsidP="00832D3E">
            <w:pPr>
              <w:pStyle w:val="TableParagraph"/>
              <w:ind w:left="445" w:right="438"/>
              <w:jc w:val="center"/>
              <w:rPr>
                <w:rFonts w:ascii="Arial" w:hAnsi="Arial" w:cs="Arial"/>
                <w:sz w:val="18"/>
                <w:szCs w:val="18"/>
              </w:rPr>
            </w:pPr>
            <w:r w:rsidRPr="00832D3E">
              <w:rPr>
                <w:rFonts w:ascii="Arial" w:hAnsi="Arial" w:cs="Arial"/>
                <w:sz w:val="18"/>
                <w:szCs w:val="18"/>
              </w:rPr>
              <w:t>51</w:t>
            </w:r>
          </w:p>
        </w:tc>
        <w:tc>
          <w:tcPr>
            <w:tcW w:w="1418" w:type="dxa"/>
            <w:vAlign w:val="center"/>
          </w:tcPr>
          <w:p w14:paraId="3CFADF2C" w14:textId="77777777" w:rsidR="009D5B6C" w:rsidRPr="00832D3E" w:rsidRDefault="009D5B6C" w:rsidP="00832D3E">
            <w:pPr>
              <w:pStyle w:val="TableParagraph"/>
              <w:ind w:left="9"/>
              <w:jc w:val="center"/>
              <w:rPr>
                <w:rFonts w:ascii="Arial" w:hAnsi="Arial" w:cs="Arial"/>
                <w:sz w:val="18"/>
                <w:szCs w:val="18"/>
              </w:rPr>
            </w:pPr>
            <w:r w:rsidRPr="00832D3E">
              <w:rPr>
                <w:rFonts w:ascii="Arial" w:hAnsi="Arial" w:cs="Arial"/>
                <w:sz w:val="18"/>
                <w:szCs w:val="18"/>
              </w:rPr>
              <w:t>5</w:t>
            </w:r>
          </w:p>
        </w:tc>
        <w:tc>
          <w:tcPr>
            <w:tcW w:w="2126" w:type="dxa"/>
            <w:vAlign w:val="center"/>
          </w:tcPr>
          <w:p w14:paraId="7F507FC2" w14:textId="77777777" w:rsidR="009D5B6C" w:rsidRPr="00832D3E" w:rsidRDefault="009D5B6C" w:rsidP="00832D3E">
            <w:pPr>
              <w:pStyle w:val="TableParagraph"/>
              <w:ind w:right="105"/>
              <w:jc w:val="center"/>
              <w:rPr>
                <w:rFonts w:ascii="Arial" w:hAnsi="Arial" w:cs="Arial"/>
                <w:sz w:val="18"/>
                <w:szCs w:val="18"/>
              </w:rPr>
            </w:pPr>
            <w:r w:rsidRPr="00832D3E">
              <w:rPr>
                <w:rFonts w:ascii="Arial" w:hAnsi="Arial" w:cs="Arial"/>
                <w:sz w:val="18"/>
                <w:szCs w:val="18"/>
              </w:rPr>
              <w:t>9,80</w:t>
            </w:r>
          </w:p>
        </w:tc>
      </w:tr>
      <w:tr w:rsidR="009D5B6C" w:rsidRPr="00832D3E" w14:paraId="010E7768" w14:textId="77777777" w:rsidTr="00832D3E">
        <w:trPr>
          <w:trHeight w:val="275"/>
        </w:trPr>
        <w:tc>
          <w:tcPr>
            <w:tcW w:w="1417" w:type="dxa"/>
            <w:vAlign w:val="center"/>
          </w:tcPr>
          <w:p w14:paraId="5ED57194" w14:textId="77777777" w:rsidR="009D5B6C" w:rsidRPr="00832D3E" w:rsidRDefault="009D5B6C" w:rsidP="00832D3E">
            <w:pPr>
              <w:pStyle w:val="TableParagraph"/>
              <w:ind w:left="301"/>
              <w:rPr>
                <w:rFonts w:ascii="Arial" w:hAnsi="Arial" w:cs="Arial"/>
                <w:sz w:val="18"/>
                <w:szCs w:val="18"/>
              </w:rPr>
            </w:pPr>
            <w:r w:rsidRPr="00832D3E">
              <w:rPr>
                <w:rFonts w:ascii="Arial" w:hAnsi="Arial" w:cs="Arial"/>
                <w:sz w:val="18"/>
                <w:szCs w:val="18"/>
              </w:rPr>
              <w:t>30.06.2021</w:t>
            </w:r>
          </w:p>
        </w:tc>
        <w:tc>
          <w:tcPr>
            <w:tcW w:w="1559" w:type="dxa"/>
            <w:vAlign w:val="center"/>
          </w:tcPr>
          <w:p w14:paraId="3D731953" w14:textId="77777777" w:rsidR="009D5B6C" w:rsidRPr="00832D3E" w:rsidRDefault="009D5B6C" w:rsidP="00832D3E">
            <w:pPr>
              <w:pStyle w:val="TableParagraph"/>
              <w:ind w:left="445" w:right="438"/>
              <w:jc w:val="center"/>
              <w:rPr>
                <w:rFonts w:ascii="Arial" w:hAnsi="Arial" w:cs="Arial"/>
                <w:sz w:val="18"/>
                <w:szCs w:val="18"/>
              </w:rPr>
            </w:pPr>
            <w:r w:rsidRPr="00832D3E">
              <w:rPr>
                <w:rFonts w:ascii="Arial" w:hAnsi="Arial" w:cs="Arial"/>
                <w:sz w:val="18"/>
                <w:szCs w:val="18"/>
              </w:rPr>
              <w:t>50</w:t>
            </w:r>
          </w:p>
        </w:tc>
        <w:tc>
          <w:tcPr>
            <w:tcW w:w="1418" w:type="dxa"/>
            <w:vAlign w:val="center"/>
          </w:tcPr>
          <w:p w14:paraId="039F67D6" w14:textId="77777777" w:rsidR="009D5B6C" w:rsidRPr="00832D3E" w:rsidRDefault="009D5B6C" w:rsidP="00832D3E">
            <w:pPr>
              <w:pStyle w:val="TableParagraph"/>
              <w:ind w:left="9"/>
              <w:jc w:val="center"/>
              <w:rPr>
                <w:rFonts w:ascii="Arial" w:hAnsi="Arial" w:cs="Arial"/>
                <w:sz w:val="18"/>
                <w:szCs w:val="18"/>
              </w:rPr>
            </w:pPr>
            <w:r w:rsidRPr="00832D3E">
              <w:rPr>
                <w:rFonts w:ascii="Arial" w:hAnsi="Arial" w:cs="Arial"/>
                <w:sz w:val="18"/>
                <w:szCs w:val="18"/>
              </w:rPr>
              <w:t>4</w:t>
            </w:r>
          </w:p>
        </w:tc>
        <w:tc>
          <w:tcPr>
            <w:tcW w:w="2126" w:type="dxa"/>
            <w:vAlign w:val="center"/>
          </w:tcPr>
          <w:p w14:paraId="155F38B0" w14:textId="77777777" w:rsidR="009D5B6C" w:rsidRPr="00832D3E" w:rsidRDefault="00832D3E" w:rsidP="00832D3E">
            <w:pPr>
              <w:pStyle w:val="TableParagraph"/>
              <w:ind w:right="107"/>
              <w:jc w:val="center"/>
              <w:rPr>
                <w:rFonts w:ascii="Arial" w:hAnsi="Arial" w:cs="Arial"/>
                <w:sz w:val="18"/>
                <w:szCs w:val="18"/>
              </w:rPr>
            </w:pPr>
            <w:r>
              <w:rPr>
                <w:rFonts w:ascii="Arial" w:hAnsi="Arial" w:cs="Arial"/>
                <w:sz w:val="18"/>
                <w:szCs w:val="18"/>
              </w:rPr>
              <w:t>8</w:t>
            </w:r>
          </w:p>
        </w:tc>
      </w:tr>
      <w:tr w:rsidR="009D5B6C" w:rsidRPr="00832D3E" w14:paraId="39C6FD52" w14:textId="77777777" w:rsidTr="00832D3E">
        <w:trPr>
          <w:trHeight w:val="275"/>
        </w:trPr>
        <w:tc>
          <w:tcPr>
            <w:tcW w:w="1417" w:type="dxa"/>
            <w:vAlign w:val="center"/>
          </w:tcPr>
          <w:p w14:paraId="23077E7D" w14:textId="77777777" w:rsidR="009D5B6C" w:rsidRPr="00832D3E" w:rsidRDefault="009D5B6C" w:rsidP="00832D3E">
            <w:pPr>
              <w:pStyle w:val="TableParagraph"/>
              <w:ind w:left="301"/>
              <w:rPr>
                <w:rFonts w:ascii="Arial" w:hAnsi="Arial" w:cs="Arial"/>
                <w:sz w:val="18"/>
                <w:szCs w:val="18"/>
              </w:rPr>
            </w:pPr>
            <w:r w:rsidRPr="00832D3E">
              <w:rPr>
                <w:rFonts w:ascii="Arial" w:hAnsi="Arial" w:cs="Arial"/>
                <w:sz w:val="18"/>
                <w:szCs w:val="18"/>
              </w:rPr>
              <w:t>01.02.2022</w:t>
            </w:r>
          </w:p>
        </w:tc>
        <w:tc>
          <w:tcPr>
            <w:tcW w:w="1559" w:type="dxa"/>
            <w:vAlign w:val="center"/>
          </w:tcPr>
          <w:p w14:paraId="718C539B" w14:textId="77777777" w:rsidR="009D5B6C" w:rsidRPr="00832D3E" w:rsidRDefault="009D5B6C" w:rsidP="00832D3E">
            <w:pPr>
              <w:pStyle w:val="TableParagraph"/>
              <w:ind w:left="445" w:right="438"/>
              <w:jc w:val="center"/>
              <w:rPr>
                <w:rFonts w:ascii="Arial" w:hAnsi="Arial" w:cs="Arial"/>
                <w:sz w:val="18"/>
                <w:szCs w:val="18"/>
              </w:rPr>
            </w:pPr>
            <w:r w:rsidRPr="00832D3E">
              <w:rPr>
                <w:rFonts w:ascii="Arial" w:hAnsi="Arial" w:cs="Arial"/>
                <w:sz w:val="18"/>
                <w:szCs w:val="18"/>
              </w:rPr>
              <w:t>50</w:t>
            </w:r>
          </w:p>
        </w:tc>
        <w:tc>
          <w:tcPr>
            <w:tcW w:w="1418" w:type="dxa"/>
            <w:vAlign w:val="center"/>
          </w:tcPr>
          <w:p w14:paraId="2F70509E" w14:textId="77777777" w:rsidR="009D5B6C" w:rsidRPr="00832D3E" w:rsidRDefault="009D5B6C" w:rsidP="00832D3E">
            <w:pPr>
              <w:pStyle w:val="TableParagraph"/>
              <w:ind w:left="9"/>
              <w:jc w:val="center"/>
              <w:rPr>
                <w:rFonts w:ascii="Arial" w:hAnsi="Arial" w:cs="Arial"/>
                <w:sz w:val="18"/>
                <w:szCs w:val="18"/>
              </w:rPr>
            </w:pPr>
            <w:r w:rsidRPr="00832D3E">
              <w:rPr>
                <w:rFonts w:ascii="Arial" w:hAnsi="Arial" w:cs="Arial"/>
                <w:sz w:val="18"/>
                <w:szCs w:val="18"/>
              </w:rPr>
              <w:t>7</w:t>
            </w:r>
          </w:p>
        </w:tc>
        <w:tc>
          <w:tcPr>
            <w:tcW w:w="2126" w:type="dxa"/>
            <w:vAlign w:val="center"/>
          </w:tcPr>
          <w:p w14:paraId="02D17D77" w14:textId="77777777" w:rsidR="009D5B6C" w:rsidRPr="00832D3E" w:rsidRDefault="00832D3E" w:rsidP="00832D3E">
            <w:pPr>
              <w:pStyle w:val="TableParagraph"/>
              <w:ind w:right="107"/>
              <w:jc w:val="center"/>
              <w:rPr>
                <w:rFonts w:ascii="Arial" w:hAnsi="Arial" w:cs="Arial"/>
                <w:sz w:val="18"/>
                <w:szCs w:val="18"/>
              </w:rPr>
            </w:pPr>
            <w:r>
              <w:rPr>
                <w:rFonts w:ascii="Arial" w:hAnsi="Arial" w:cs="Arial"/>
                <w:sz w:val="18"/>
                <w:szCs w:val="18"/>
              </w:rPr>
              <w:t>14</w:t>
            </w:r>
          </w:p>
        </w:tc>
      </w:tr>
    </w:tbl>
    <w:p w14:paraId="21F10A62" w14:textId="77777777" w:rsidR="009B7130" w:rsidRDefault="009B7130" w:rsidP="009D5B6C">
      <w:pPr>
        <w:pStyle w:val="LTAntwortRessortText"/>
        <w:ind w:left="0"/>
      </w:pPr>
    </w:p>
    <w:p w14:paraId="3728290B" w14:textId="77777777" w:rsidR="009B7130" w:rsidRDefault="009B7130" w:rsidP="00F47B56">
      <w:pPr>
        <w:pStyle w:val="LTAntwortRessortText"/>
      </w:pPr>
      <w:r>
        <w:t>2</w:t>
      </w:r>
      <w:r w:rsidR="00F47B56">
        <w:t>. Bayerisches Landeskriminalamt</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8F2F46" w14:paraId="1878CBB1" w14:textId="77777777" w:rsidTr="008F2F46">
        <w:trPr>
          <w:trHeight w:val="275"/>
        </w:trPr>
        <w:tc>
          <w:tcPr>
            <w:tcW w:w="1417" w:type="dxa"/>
            <w:vAlign w:val="center"/>
          </w:tcPr>
          <w:p w14:paraId="1ABB63DD" w14:textId="77777777" w:rsidR="009D5B6C" w:rsidRPr="008F2F46" w:rsidRDefault="009D5B6C" w:rsidP="008F2F46">
            <w:pPr>
              <w:pStyle w:val="TableParagraph"/>
              <w:ind w:left="301"/>
              <w:rPr>
                <w:rFonts w:ascii="Arial" w:hAnsi="Arial" w:cs="Arial"/>
                <w:sz w:val="18"/>
                <w:szCs w:val="18"/>
              </w:rPr>
            </w:pPr>
            <w:r w:rsidRPr="008F2F46">
              <w:rPr>
                <w:rFonts w:ascii="Arial" w:hAnsi="Arial" w:cs="Arial"/>
                <w:sz w:val="18"/>
                <w:szCs w:val="18"/>
              </w:rPr>
              <w:t>Stichtag</w:t>
            </w:r>
          </w:p>
        </w:tc>
        <w:tc>
          <w:tcPr>
            <w:tcW w:w="1559" w:type="dxa"/>
            <w:vAlign w:val="center"/>
          </w:tcPr>
          <w:p w14:paraId="21F2D919" w14:textId="77777777" w:rsidR="009D5B6C" w:rsidRPr="008F2F46" w:rsidRDefault="009D5B6C" w:rsidP="008F2F46">
            <w:pPr>
              <w:pStyle w:val="TableParagraph"/>
              <w:ind w:left="446" w:right="438"/>
              <w:jc w:val="center"/>
              <w:rPr>
                <w:rFonts w:ascii="Arial" w:hAnsi="Arial" w:cs="Arial"/>
                <w:sz w:val="18"/>
                <w:szCs w:val="18"/>
              </w:rPr>
            </w:pPr>
            <w:r w:rsidRPr="008F2F46">
              <w:rPr>
                <w:rFonts w:ascii="Arial" w:hAnsi="Arial" w:cs="Arial"/>
                <w:sz w:val="18"/>
                <w:szCs w:val="18"/>
              </w:rPr>
              <w:t>Gesamt</w:t>
            </w:r>
          </w:p>
        </w:tc>
        <w:tc>
          <w:tcPr>
            <w:tcW w:w="1418" w:type="dxa"/>
            <w:vAlign w:val="center"/>
          </w:tcPr>
          <w:p w14:paraId="7C7F5651" w14:textId="77777777" w:rsidR="009D5B6C" w:rsidRPr="008F2F46" w:rsidRDefault="009D5B6C" w:rsidP="008F2F46">
            <w:pPr>
              <w:pStyle w:val="TableParagraph"/>
              <w:ind w:left="96" w:right="90"/>
              <w:jc w:val="center"/>
              <w:rPr>
                <w:rFonts w:ascii="Arial" w:hAnsi="Arial" w:cs="Arial"/>
                <w:sz w:val="18"/>
                <w:szCs w:val="18"/>
              </w:rPr>
            </w:pPr>
            <w:r w:rsidRPr="008F2F46">
              <w:rPr>
                <w:rFonts w:ascii="Arial" w:hAnsi="Arial" w:cs="Arial"/>
                <w:sz w:val="18"/>
                <w:szCs w:val="18"/>
              </w:rPr>
              <w:t>Anzahl Frauen</w:t>
            </w:r>
          </w:p>
        </w:tc>
        <w:tc>
          <w:tcPr>
            <w:tcW w:w="2126" w:type="dxa"/>
            <w:vAlign w:val="center"/>
          </w:tcPr>
          <w:p w14:paraId="3C1F5125" w14:textId="77777777" w:rsidR="009D5B6C" w:rsidRPr="008F2F46" w:rsidRDefault="009D5B6C" w:rsidP="008F2F46">
            <w:pPr>
              <w:pStyle w:val="TableParagraph"/>
              <w:ind w:right="110"/>
              <w:jc w:val="center"/>
              <w:rPr>
                <w:rFonts w:ascii="Arial" w:hAnsi="Arial" w:cs="Arial"/>
                <w:sz w:val="18"/>
                <w:szCs w:val="18"/>
              </w:rPr>
            </w:pPr>
            <w:r w:rsidRPr="008F2F46">
              <w:rPr>
                <w:rFonts w:ascii="Arial" w:hAnsi="Arial" w:cs="Arial"/>
                <w:sz w:val="18"/>
                <w:szCs w:val="18"/>
              </w:rPr>
              <w:t xml:space="preserve">Frauenanteil </w:t>
            </w:r>
            <w:r w:rsidR="008F2F46">
              <w:rPr>
                <w:rFonts w:ascii="Arial" w:hAnsi="Arial" w:cs="Arial"/>
                <w:sz w:val="18"/>
                <w:szCs w:val="18"/>
              </w:rPr>
              <w:t xml:space="preserve">in </w:t>
            </w:r>
            <w:r w:rsidR="006F49A4" w:rsidRPr="008F2F46">
              <w:rPr>
                <w:rFonts w:ascii="Arial" w:hAnsi="Arial" w:cs="Arial"/>
                <w:sz w:val="18"/>
                <w:szCs w:val="18"/>
              </w:rPr>
              <w:t>Prozent</w:t>
            </w:r>
          </w:p>
        </w:tc>
      </w:tr>
      <w:tr w:rsidR="009D5B6C" w:rsidRPr="008F2F46" w14:paraId="7FB2EBC8" w14:textId="77777777" w:rsidTr="008F2F46">
        <w:trPr>
          <w:trHeight w:val="275"/>
        </w:trPr>
        <w:tc>
          <w:tcPr>
            <w:tcW w:w="1417" w:type="dxa"/>
            <w:vAlign w:val="center"/>
          </w:tcPr>
          <w:p w14:paraId="6D2AF135" w14:textId="77777777" w:rsidR="009D5B6C" w:rsidRPr="008F2F46" w:rsidRDefault="009D5B6C" w:rsidP="008F2F46">
            <w:pPr>
              <w:pStyle w:val="TableParagraph"/>
              <w:ind w:left="301"/>
              <w:rPr>
                <w:rFonts w:ascii="Arial" w:hAnsi="Arial" w:cs="Arial"/>
                <w:sz w:val="18"/>
                <w:szCs w:val="18"/>
              </w:rPr>
            </w:pPr>
            <w:r w:rsidRPr="008F2F46">
              <w:rPr>
                <w:rFonts w:ascii="Arial" w:hAnsi="Arial" w:cs="Arial"/>
                <w:sz w:val="18"/>
                <w:szCs w:val="18"/>
              </w:rPr>
              <w:t>31.12.2018</w:t>
            </w:r>
          </w:p>
        </w:tc>
        <w:tc>
          <w:tcPr>
            <w:tcW w:w="1559" w:type="dxa"/>
            <w:vAlign w:val="center"/>
          </w:tcPr>
          <w:p w14:paraId="23746907" w14:textId="77777777" w:rsidR="009D5B6C" w:rsidRPr="008F2F46" w:rsidRDefault="009D5B6C" w:rsidP="008F2F46">
            <w:pPr>
              <w:pStyle w:val="TableParagraph"/>
              <w:ind w:left="7"/>
              <w:jc w:val="center"/>
              <w:rPr>
                <w:rFonts w:ascii="Arial" w:hAnsi="Arial" w:cs="Arial"/>
                <w:sz w:val="18"/>
                <w:szCs w:val="18"/>
              </w:rPr>
            </w:pPr>
            <w:r w:rsidRPr="008F2F46">
              <w:rPr>
                <w:rFonts w:ascii="Arial" w:hAnsi="Arial" w:cs="Arial"/>
                <w:sz w:val="18"/>
                <w:szCs w:val="18"/>
              </w:rPr>
              <w:t>1</w:t>
            </w:r>
          </w:p>
        </w:tc>
        <w:tc>
          <w:tcPr>
            <w:tcW w:w="1418" w:type="dxa"/>
            <w:vAlign w:val="center"/>
          </w:tcPr>
          <w:p w14:paraId="43EE053D" w14:textId="77777777" w:rsidR="009D5B6C" w:rsidRPr="008F2F46" w:rsidRDefault="009D5B6C" w:rsidP="008F2F46">
            <w:pPr>
              <w:pStyle w:val="TableParagraph"/>
              <w:ind w:left="9"/>
              <w:jc w:val="center"/>
              <w:rPr>
                <w:rFonts w:ascii="Arial" w:hAnsi="Arial" w:cs="Arial"/>
                <w:sz w:val="18"/>
                <w:szCs w:val="18"/>
              </w:rPr>
            </w:pPr>
            <w:r w:rsidRPr="008F2F46">
              <w:rPr>
                <w:rFonts w:ascii="Arial" w:hAnsi="Arial" w:cs="Arial"/>
                <w:sz w:val="18"/>
                <w:szCs w:val="18"/>
              </w:rPr>
              <w:t>0</w:t>
            </w:r>
          </w:p>
        </w:tc>
        <w:tc>
          <w:tcPr>
            <w:tcW w:w="2126" w:type="dxa"/>
            <w:vAlign w:val="center"/>
          </w:tcPr>
          <w:p w14:paraId="1D4BCAE1" w14:textId="77777777" w:rsidR="009D5B6C" w:rsidRPr="008F2F46" w:rsidRDefault="008F2F46" w:rsidP="008F2F46">
            <w:pPr>
              <w:pStyle w:val="TableParagraph"/>
              <w:ind w:right="107"/>
              <w:jc w:val="center"/>
              <w:rPr>
                <w:rFonts w:ascii="Arial" w:hAnsi="Arial" w:cs="Arial"/>
                <w:sz w:val="18"/>
                <w:szCs w:val="18"/>
              </w:rPr>
            </w:pPr>
            <w:r>
              <w:rPr>
                <w:rFonts w:ascii="Arial" w:hAnsi="Arial" w:cs="Arial"/>
                <w:sz w:val="18"/>
                <w:szCs w:val="18"/>
              </w:rPr>
              <w:t>0</w:t>
            </w:r>
          </w:p>
        </w:tc>
      </w:tr>
      <w:tr w:rsidR="009D5B6C" w:rsidRPr="008F2F46" w14:paraId="408D973B" w14:textId="77777777" w:rsidTr="008F2F46">
        <w:trPr>
          <w:trHeight w:val="277"/>
        </w:trPr>
        <w:tc>
          <w:tcPr>
            <w:tcW w:w="1417" w:type="dxa"/>
            <w:vAlign w:val="center"/>
          </w:tcPr>
          <w:p w14:paraId="0E0C53E4" w14:textId="77777777" w:rsidR="009D5B6C" w:rsidRPr="008F2F46" w:rsidRDefault="009D5B6C" w:rsidP="008F2F46">
            <w:pPr>
              <w:pStyle w:val="TableParagraph"/>
              <w:ind w:left="301"/>
              <w:rPr>
                <w:rFonts w:ascii="Arial" w:hAnsi="Arial" w:cs="Arial"/>
                <w:sz w:val="18"/>
                <w:szCs w:val="18"/>
              </w:rPr>
            </w:pPr>
            <w:r w:rsidRPr="008F2F46">
              <w:rPr>
                <w:rFonts w:ascii="Arial" w:hAnsi="Arial" w:cs="Arial"/>
                <w:sz w:val="18"/>
                <w:szCs w:val="18"/>
              </w:rPr>
              <w:t>31.12.2019</w:t>
            </w:r>
          </w:p>
        </w:tc>
        <w:tc>
          <w:tcPr>
            <w:tcW w:w="1559" w:type="dxa"/>
            <w:vAlign w:val="center"/>
          </w:tcPr>
          <w:p w14:paraId="09FB0B9A" w14:textId="77777777" w:rsidR="009D5B6C" w:rsidRPr="008F2F46" w:rsidRDefault="009D5B6C" w:rsidP="008F2F46">
            <w:pPr>
              <w:pStyle w:val="TableParagraph"/>
              <w:ind w:left="7"/>
              <w:jc w:val="center"/>
              <w:rPr>
                <w:rFonts w:ascii="Arial" w:hAnsi="Arial" w:cs="Arial"/>
                <w:sz w:val="18"/>
                <w:szCs w:val="18"/>
              </w:rPr>
            </w:pPr>
            <w:r w:rsidRPr="008F2F46">
              <w:rPr>
                <w:rFonts w:ascii="Arial" w:hAnsi="Arial" w:cs="Arial"/>
                <w:sz w:val="18"/>
                <w:szCs w:val="18"/>
              </w:rPr>
              <w:t>1</w:t>
            </w:r>
          </w:p>
        </w:tc>
        <w:tc>
          <w:tcPr>
            <w:tcW w:w="1418" w:type="dxa"/>
            <w:vAlign w:val="center"/>
          </w:tcPr>
          <w:p w14:paraId="7EF8C824" w14:textId="77777777" w:rsidR="009D5B6C" w:rsidRPr="008F2F46" w:rsidRDefault="009D5B6C" w:rsidP="008F2F46">
            <w:pPr>
              <w:pStyle w:val="TableParagraph"/>
              <w:ind w:left="9"/>
              <w:jc w:val="center"/>
              <w:rPr>
                <w:rFonts w:ascii="Arial" w:hAnsi="Arial" w:cs="Arial"/>
                <w:sz w:val="18"/>
                <w:szCs w:val="18"/>
              </w:rPr>
            </w:pPr>
            <w:r w:rsidRPr="008F2F46">
              <w:rPr>
                <w:rFonts w:ascii="Arial" w:hAnsi="Arial" w:cs="Arial"/>
                <w:sz w:val="18"/>
                <w:szCs w:val="18"/>
              </w:rPr>
              <w:t>0</w:t>
            </w:r>
          </w:p>
        </w:tc>
        <w:tc>
          <w:tcPr>
            <w:tcW w:w="2126" w:type="dxa"/>
            <w:vAlign w:val="center"/>
          </w:tcPr>
          <w:p w14:paraId="29230BEF" w14:textId="77777777" w:rsidR="009D5B6C" w:rsidRPr="008F2F46" w:rsidRDefault="008F2F46" w:rsidP="008F2F46">
            <w:pPr>
              <w:pStyle w:val="TableParagraph"/>
              <w:ind w:right="107"/>
              <w:jc w:val="center"/>
              <w:rPr>
                <w:rFonts w:ascii="Arial" w:hAnsi="Arial" w:cs="Arial"/>
                <w:sz w:val="18"/>
                <w:szCs w:val="18"/>
              </w:rPr>
            </w:pPr>
            <w:r>
              <w:rPr>
                <w:rFonts w:ascii="Arial" w:hAnsi="Arial" w:cs="Arial"/>
                <w:sz w:val="18"/>
                <w:szCs w:val="18"/>
              </w:rPr>
              <w:t>0</w:t>
            </w:r>
          </w:p>
        </w:tc>
      </w:tr>
      <w:tr w:rsidR="009D5B6C" w:rsidRPr="008F2F46" w14:paraId="12629468" w14:textId="77777777" w:rsidTr="008F2F46">
        <w:trPr>
          <w:trHeight w:val="275"/>
        </w:trPr>
        <w:tc>
          <w:tcPr>
            <w:tcW w:w="1417" w:type="dxa"/>
            <w:vAlign w:val="center"/>
          </w:tcPr>
          <w:p w14:paraId="12EF903F" w14:textId="77777777" w:rsidR="009D5B6C" w:rsidRPr="008F2F46" w:rsidRDefault="009D5B6C" w:rsidP="008F2F46">
            <w:pPr>
              <w:pStyle w:val="TableParagraph"/>
              <w:ind w:left="301"/>
              <w:rPr>
                <w:rFonts w:ascii="Arial" w:hAnsi="Arial" w:cs="Arial"/>
                <w:sz w:val="18"/>
                <w:szCs w:val="18"/>
              </w:rPr>
            </w:pPr>
            <w:r w:rsidRPr="008F2F46">
              <w:rPr>
                <w:rFonts w:ascii="Arial" w:hAnsi="Arial" w:cs="Arial"/>
                <w:sz w:val="18"/>
                <w:szCs w:val="18"/>
              </w:rPr>
              <w:t>31.12.2020</w:t>
            </w:r>
          </w:p>
        </w:tc>
        <w:tc>
          <w:tcPr>
            <w:tcW w:w="1559" w:type="dxa"/>
            <w:vAlign w:val="center"/>
          </w:tcPr>
          <w:p w14:paraId="0B7D8440" w14:textId="77777777" w:rsidR="009D5B6C" w:rsidRPr="008F2F46" w:rsidRDefault="009D5B6C" w:rsidP="008F2F46">
            <w:pPr>
              <w:pStyle w:val="TableParagraph"/>
              <w:ind w:left="7"/>
              <w:jc w:val="center"/>
              <w:rPr>
                <w:rFonts w:ascii="Arial" w:hAnsi="Arial" w:cs="Arial"/>
                <w:sz w:val="18"/>
                <w:szCs w:val="18"/>
              </w:rPr>
            </w:pPr>
            <w:r w:rsidRPr="008F2F46">
              <w:rPr>
                <w:rFonts w:ascii="Arial" w:hAnsi="Arial" w:cs="Arial"/>
                <w:sz w:val="18"/>
                <w:szCs w:val="18"/>
              </w:rPr>
              <w:t>1</w:t>
            </w:r>
          </w:p>
        </w:tc>
        <w:tc>
          <w:tcPr>
            <w:tcW w:w="1418" w:type="dxa"/>
            <w:vAlign w:val="center"/>
          </w:tcPr>
          <w:p w14:paraId="69474A0A" w14:textId="77777777" w:rsidR="009D5B6C" w:rsidRPr="008F2F46" w:rsidRDefault="009D5B6C" w:rsidP="008F2F46">
            <w:pPr>
              <w:pStyle w:val="TableParagraph"/>
              <w:ind w:left="9"/>
              <w:jc w:val="center"/>
              <w:rPr>
                <w:rFonts w:ascii="Arial" w:hAnsi="Arial" w:cs="Arial"/>
                <w:sz w:val="18"/>
                <w:szCs w:val="18"/>
              </w:rPr>
            </w:pPr>
            <w:r w:rsidRPr="008F2F46">
              <w:rPr>
                <w:rFonts w:ascii="Arial" w:hAnsi="Arial" w:cs="Arial"/>
                <w:sz w:val="18"/>
                <w:szCs w:val="18"/>
              </w:rPr>
              <w:t>0</w:t>
            </w:r>
          </w:p>
        </w:tc>
        <w:tc>
          <w:tcPr>
            <w:tcW w:w="2126" w:type="dxa"/>
            <w:vAlign w:val="center"/>
          </w:tcPr>
          <w:p w14:paraId="6EF043B6" w14:textId="77777777" w:rsidR="009D5B6C" w:rsidRPr="008F2F46" w:rsidRDefault="008F2F46" w:rsidP="008F2F46">
            <w:pPr>
              <w:pStyle w:val="TableParagraph"/>
              <w:ind w:right="107"/>
              <w:jc w:val="center"/>
              <w:rPr>
                <w:rFonts w:ascii="Arial" w:hAnsi="Arial" w:cs="Arial"/>
                <w:sz w:val="18"/>
                <w:szCs w:val="18"/>
              </w:rPr>
            </w:pPr>
            <w:r>
              <w:rPr>
                <w:rFonts w:ascii="Arial" w:hAnsi="Arial" w:cs="Arial"/>
                <w:sz w:val="18"/>
                <w:szCs w:val="18"/>
              </w:rPr>
              <w:t>0</w:t>
            </w:r>
          </w:p>
        </w:tc>
      </w:tr>
      <w:tr w:rsidR="009D5B6C" w:rsidRPr="008F2F46" w14:paraId="42EF8BD5" w14:textId="77777777" w:rsidTr="008F2F46">
        <w:trPr>
          <w:trHeight w:val="275"/>
        </w:trPr>
        <w:tc>
          <w:tcPr>
            <w:tcW w:w="1417" w:type="dxa"/>
            <w:vAlign w:val="center"/>
          </w:tcPr>
          <w:p w14:paraId="6AE413D9" w14:textId="77777777" w:rsidR="009D5B6C" w:rsidRPr="008F2F46" w:rsidRDefault="009D5B6C" w:rsidP="008F2F46">
            <w:pPr>
              <w:pStyle w:val="TableParagraph"/>
              <w:ind w:left="301"/>
              <w:rPr>
                <w:rFonts w:ascii="Arial" w:hAnsi="Arial" w:cs="Arial"/>
                <w:sz w:val="18"/>
                <w:szCs w:val="18"/>
              </w:rPr>
            </w:pPr>
            <w:r w:rsidRPr="008F2F46">
              <w:rPr>
                <w:rFonts w:ascii="Arial" w:hAnsi="Arial" w:cs="Arial"/>
                <w:sz w:val="18"/>
                <w:szCs w:val="18"/>
              </w:rPr>
              <w:t>30.06.2021</w:t>
            </w:r>
          </w:p>
        </w:tc>
        <w:tc>
          <w:tcPr>
            <w:tcW w:w="1559" w:type="dxa"/>
            <w:vAlign w:val="center"/>
          </w:tcPr>
          <w:p w14:paraId="4ADA6344" w14:textId="77777777" w:rsidR="009D5B6C" w:rsidRPr="008F2F46" w:rsidRDefault="009D5B6C" w:rsidP="008F2F46">
            <w:pPr>
              <w:pStyle w:val="TableParagraph"/>
              <w:ind w:left="7"/>
              <w:jc w:val="center"/>
              <w:rPr>
                <w:rFonts w:ascii="Arial" w:hAnsi="Arial" w:cs="Arial"/>
                <w:sz w:val="18"/>
                <w:szCs w:val="18"/>
              </w:rPr>
            </w:pPr>
            <w:r w:rsidRPr="008F2F46">
              <w:rPr>
                <w:rFonts w:ascii="Arial" w:hAnsi="Arial" w:cs="Arial"/>
                <w:sz w:val="18"/>
                <w:szCs w:val="18"/>
              </w:rPr>
              <w:t>1</w:t>
            </w:r>
          </w:p>
        </w:tc>
        <w:tc>
          <w:tcPr>
            <w:tcW w:w="1418" w:type="dxa"/>
            <w:vAlign w:val="center"/>
          </w:tcPr>
          <w:p w14:paraId="371F1639" w14:textId="77777777" w:rsidR="009D5B6C" w:rsidRPr="008F2F46" w:rsidRDefault="009D5B6C" w:rsidP="008F2F46">
            <w:pPr>
              <w:pStyle w:val="TableParagraph"/>
              <w:ind w:left="9"/>
              <w:jc w:val="center"/>
              <w:rPr>
                <w:rFonts w:ascii="Arial" w:hAnsi="Arial" w:cs="Arial"/>
                <w:sz w:val="18"/>
                <w:szCs w:val="18"/>
              </w:rPr>
            </w:pPr>
            <w:r w:rsidRPr="008F2F46">
              <w:rPr>
                <w:rFonts w:ascii="Arial" w:hAnsi="Arial" w:cs="Arial"/>
                <w:sz w:val="18"/>
                <w:szCs w:val="18"/>
              </w:rPr>
              <w:t>0</w:t>
            </w:r>
          </w:p>
        </w:tc>
        <w:tc>
          <w:tcPr>
            <w:tcW w:w="2126" w:type="dxa"/>
            <w:vAlign w:val="center"/>
          </w:tcPr>
          <w:p w14:paraId="3EA45F79" w14:textId="77777777" w:rsidR="009D5B6C" w:rsidRPr="008F2F46" w:rsidRDefault="008F2F46" w:rsidP="008F2F46">
            <w:pPr>
              <w:pStyle w:val="TableParagraph"/>
              <w:ind w:right="107"/>
              <w:jc w:val="center"/>
              <w:rPr>
                <w:rFonts w:ascii="Arial" w:hAnsi="Arial" w:cs="Arial"/>
                <w:sz w:val="18"/>
                <w:szCs w:val="18"/>
              </w:rPr>
            </w:pPr>
            <w:r>
              <w:rPr>
                <w:rFonts w:ascii="Arial" w:hAnsi="Arial" w:cs="Arial"/>
                <w:sz w:val="18"/>
                <w:szCs w:val="18"/>
              </w:rPr>
              <w:t>0</w:t>
            </w:r>
          </w:p>
        </w:tc>
      </w:tr>
      <w:tr w:rsidR="009D5B6C" w:rsidRPr="008F2F46" w14:paraId="54A20B79" w14:textId="77777777" w:rsidTr="008F2F46">
        <w:trPr>
          <w:trHeight w:val="275"/>
        </w:trPr>
        <w:tc>
          <w:tcPr>
            <w:tcW w:w="1417" w:type="dxa"/>
            <w:vAlign w:val="center"/>
          </w:tcPr>
          <w:p w14:paraId="7AD45346" w14:textId="77777777" w:rsidR="009D5B6C" w:rsidRPr="008F2F46" w:rsidRDefault="009D5B6C" w:rsidP="008F2F46">
            <w:pPr>
              <w:pStyle w:val="TableParagraph"/>
              <w:ind w:left="301"/>
              <w:rPr>
                <w:rFonts w:ascii="Arial" w:hAnsi="Arial" w:cs="Arial"/>
                <w:sz w:val="18"/>
                <w:szCs w:val="18"/>
              </w:rPr>
            </w:pPr>
            <w:r w:rsidRPr="008F2F46">
              <w:rPr>
                <w:rFonts w:ascii="Arial" w:hAnsi="Arial" w:cs="Arial"/>
                <w:sz w:val="18"/>
                <w:szCs w:val="18"/>
              </w:rPr>
              <w:t>01.02.2022</w:t>
            </w:r>
          </w:p>
        </w:tc>
        <w:tc>
          <w:tcPr>
            <w:tcW w:w="1559" w:type="dxa"/>
            <w:vAlign w:val="center"/>
          </w:tcPr>
          <w:p w14:paraId="3E8BB006" w14:textId="77777777" w:rsidR="009D5B6C" w:rsidRPr="008F2F46" w:rsidRDefault="009D5B6C" w:rsidP="008F2F46">
            <w:pPr>
              <w:pStyle w:val="TableParagraph"/>
              <w:ind w:left="7"/>
              <w:jc w:val="center"/>
              <w:rPr>
                <w:rFonts w:ascii="Arial" w:hAnsi="Arial" w:cs="Arial"/>
                <w:sz w:val="18"/>
                <w:szCs w:val="18"/>
              </w:rPr>
            </w:pPr>
            <w:r w:rsidRPr="008F2F46">
              <w:rPr>
                <w:rFonts w:ascii="Arial" w:hAnsi="Arial" w:cs="Arial"/>
                <w:sz w:val="18"/>
                <w:szCs w:val="18"/>
              </w:rPr>
              <w:t>1</w:t>
            </w:r>
          </w:p>
        </w:tc>
        <w:tc>
          <w:tcPr>
            <w:tcW w:w="1418" w:type="dxa"/>
            <w:vAlign w:val="center"/>
          </w:tcPr>
          <w:p w14:paraId="0FEC98F2" w14:textId="77777777" w:rsidR="009D5B6C" w:rsidRPr="008F2F46" w:rsidRDefault="009D5B6C" w:rsidP="008F2F46">
            <w:pPr>
              <w:pStyle w:val="TableParagraph"/>
              <w:ind w:left="9"/>
              <w:jc w:val="center"/>
              <w:rPr>
                <w:rFonts w:ascii="Arial" w:hAnsi="Arial" w:cs="Arial"/>
                <w:sz w:val="18"/>
                <w:szCs w:val="18"/>
              </w:rPr>
            </w:pPr>
            <w:r w:rsidRPr="008F2F46">
              <w:rPr>
                <w:rFonts w:ascii="Arial" w:hAnsi="Arial" w:cs="Arial"/>
                <w:sz w:val="18"/>
                <w:szCs w:val="18"/>
              </w:rPr>
              <w:t>0</w:t>
            </w:r>
          </w:p>
        </w:tc>
        <w:tc>
          <w:tcPr>
            <w:tcW w:w="2126" w:type="dxa"/>
            <w:vAlign w:val="center"/>
          </w:tcPr>
          <w:p w14:paraId="02B42953" w14:textId="77777777" w:rsidR="009D5B6C" w:rsidRPr="008F2F46" w:rsidRDefault="008F2F46" w:rsidP="008F2F46">
            <w:pPr>
              <w:pStyle w:val="TableParagraph"/>
              <w:ind w:right="107"/>
              <w:jc w:val="center"/>
              <w:rPr>
                <w:rFonts w:ascii="Arial" w:hAnsi="Arial" w:cs="Arial"/>
                <w:sz w:val="18"/>
                <w:szCs w:val="18"/>
              </w:rPr>
            </w:pPr>
            <w:r>
              <w:rPr>
                <w:rFonts w:ascii="Arial" w:hAnsi="Arial" w:cs="Arial"/>
                <w:sz w:val="18"/>
                <w:szCs w:val="18"/>
              </w:rPr>
              <w:t>0</w:t>
            </w:r>
          </w:p>
        </w:tc>
      </w:tr>
    </w:tbl>
    <w:p w14:paraId="679F153F" w14:textId="77777777" w:rsidR="009B7130" w:rsidRDefault="009B7130" w:rsidP="009D5B6C">
      <w:pPr>
        <w:pStyle w:val="LTAntwortRessortText"/>
        <w:ind w:left="0"/>
      </w:pPr>
    </w:p>
    <w:p w14:paraId="5CFEFF21" w14:textId="77777777" w:rsidR="009B7130" w:rsidRDefault="009B7130" w:rsidP="00F47B56">
      <w:pPr>
        <w:pStyle w:val="LTAntwortRessortText"/>
      </w:pPr>
      <w:r>
        <w:t>3. P</w:t>
      </w:r>
      <w:r w:rsidR="00F47B56">
        <w:t>olizeipräsidium Oberbayern Nord</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D30539" w14:paraId="5C5A78F7" w14:textId="77777777" w:rsidTr="00D30539">
        <w:trPr>
          <w:trHeight w:val="277"/>
        </w:trPr>
        <w:tc>
          <w:tcPr>
            <w:tcW w:w="1417" w:type="dxa"/>
            <w:vAlign w:val="center"/>
          </w:tcPr>
          <w:p w14:paraId="3D8E8EBF" w14:textId="77777777" w:rsidR="009D5B6C" w:rsidRPr="00D30539" w:rsidRDefault="009D5B6C" w:rsidP="00D30539">
            <w:pPr>
              <w:pStyle w:val="TableParagraph"/>
              <w:spacing w:line="258" w:lineRule="exact"/>
              <w:ind w:left="301"/>
              <w:rPr>
                <w:rFonts w:ascii="Arial" w:hAnsi="Arial" w:cs="Arial"/>
                <w:sz w:val="18"/>
                <w:szCs w:val="18"/>
              </w:rPr>
            </w:pPr>
            <w:r w:rsidRPr="00D30539">
              <w:rPr>
                <w:rFonts w:ascii="Arial" w:hAnsi="Arial" w:cs="Arial"/>
                <w:sz w:val="18"/>
                <w:szCs w:val="18"/>
              </w:rPr>
              <w:t>Stichtag</w:t>
            </w:r>
          </w:p>
        </w:tc>
        <w:tc>
          <w:tcPr>
            <w:tcW w:w="1559" w:type="dxa"/>
            <w:vAlign w:val="center"/>
          </w:tcPr>
          <w:p w14:paraId="21071599" w14:textId="77777777" w:rsidR="009D5B6C" w:rsidRPr="00D30539" w:rsidRDefault="009D5B6C" w:rsidP="00D30539">
            <w:pPr>
              <w:pStyle w:val="TableParagraph"/>
              <w:spacing w:line="258" w:lineRule="exact"/>
              <w:ind w:left="446" w:right="438"/>
              <w:jc w:val="center"/>
              <w:rPr>
                <w:rFonts w:ascii="Arial" w:hAnsi="Arial" w:cs="Arial"/>
                <w:sz w:val="18"/>
                <w:szCs w:val="18"/>
              </w:rPr>
            </w:pPr>
            <w:r w:rsidRPr="00D30539">
              <w:rPr>
                <w:rFonts w:ascii="Arial" w:hAnsi="Arial" w:cs="Arial"/>
                <w:sz w:val="18"/>
                <w:szCs w:val="18"/>
              </w:rPr>
              <w:t>Gesamt</w:t>
            </w:r>
          </w:p>
        </w:tc>
        <w:tc>
          <w:tcPr>
            <w:tcW w:w="1418" w:type="dxa"/>
            <w:vAlign w:val="center"/>
          </w:tcPr>
          <w:p w14:paraId="27D44AC0" w14:textId="77777777" w:rsidR="009D5B6C" w:rsidRPr="00D30539" w:rsidRDefault="009D5B6C" w:rsidP="00D30539">
            <w:pPr>
              <w:pStyle w:val="TableParagraph"/>
              <w:spacing w:line="258" w:lineRule="exact"/>
              <w:ind w:left="96" w:right="90"/>
              <w:jc w:val="center"/>
              <w:rPr>
                <w:rFonts w:ascii="Arial" w:hAnsi="Arial" w:cs="Arial"/>
                <w:sz w:val="18"/>
                <w:szCs w:val="18"/>
              </w:rPr>
            </w:pPr>
            <w:r w:rsidRPr="00D30539">
              <w:rPr>
                <w:rFonts w:ascii="Arial" w:hAnsi="Arial" w:cs="Arial"/>
                <w:sz w:val="18"/>
                <w:szCs w:val="18"/>
              </w:rPr>
              <w:t>Anzahl Frauen</w:t>
            </w:r>
          </w:p>
        </w:tc>
        <w:tc>
          <w:tcPr>
            <w:tcW w:w="2126" w:type="dxa"/>
            <w:vAlign w:val="center"/>
          </w:tcPr>
          <w:p w14:paraId="16447C1F" w14:textId="77777777" w:rsidR="009D5B6C" w:rsidRPr="00D30539" w:rsidRDefault="009D5B6C" w:rsidP="00D30539">
            <w:pPr>
              <w:pStyle w:val="TableParagraph"/>
              <w:spacing w:line="258" w:lineRule="exact"/>
              <w:ind w:right="110"/>
              <w:jc w:val="center"/>
              <w:rPr>
                <w:rFonts w:ascii="Arial" w:hAnsi="Arial" w:cs="Arial"/>
                <w:sz w:val="18"/>
                <w:szCs w:val="18"/>
              </w:rPr>
            </w:pPr>
            <w:r w:rsidRPr="00D30539">
              <w:rPr>
                <w:rFonts w:ascii="Arial" w:hAnsi="Arial" w:cs="Arial"/>
                <w:sz w:val="18"/>
                <w:szCs w:val="18"/>
              </w:rPr>
              <w:t xml:space="preserve">Frauenanteil </w:t>
            </w:r>
            <w:r w:rsidR="00D30539">
              <w:rPr>
                <w:rFonts w:ascii="Arial" w:hAnsi="Arial" w:cs="Arial"/>
                <w:sz w:val="18"/>
                <w:szCs w:val="18"/>
              </w:rPr>
              <w:t xml:space="preserve">in </w:t>
            </w:r>
            <w:r w:rsidR="006F49A4" w:rsidRPr="00D30539">
              <w:rPr>
                <w:rFonts w:ascii="Arial" w:hAnsi="Arial" w:cs="Arial"/>
                <w:sz w:val="18"/>
                <w:szCs w:val="18"/>
              </w:rPr>
              <w:t>Prozent</w:t>
            </w:r>
          </w:p>
        </w:tc>
      </w:tr>
      <w:tr w:rsidR="009D5B6C" w:rsidRPr="00D30539" w14:paraId="105694B8" w14:textId="77777777" w:rsidTr="00D30539">
        <w:trPr>
          <w:trHeight w:val="275"/>
        </w:trPr>
        <w:tc>
          <w:tcPr>
            <w:tcW w:w="1417" w:type="dxa"/>
            <w:vAlign w:val="center"/>
          </w:tcPr>
          <w:p w14:paraId="15DF956B" w14:textId="77777777" w:rsidR="009D5B6C" w:rsidRPr="00D30539" w:rsidRDefault="009D5B6C" w:rsidP="00D30539">
            <w:pPr>
              <w:pStyle w:val="TableParagraph"/>
              <w:ind w:left="301"/>
              <w:rPr>
                <w:rFonts w:ascii="Arial" w:hAnsi="Arial" w:cs="Arial"/>
                <w:sz w:val="18"/>
                <w:szCs w:val="18"/>
              </w:rPr>
            </w:pPr>
            <w:r w:rsidRPr="00D30539">
              <w:rPr>
                <w:rFonts w:ascii="Arial" w:hAnsi="Arial" w:cs="Arial"/>
                <w:sz w:val="18"/>
                <w:szCs w:val="18"/>
              </w:rPr>
              <w:t>31.12.2018</w:t>
            </w:r>
          </w:p>
        </w:tc>
        <w:tc>
          <w:tcPr>
            <w:tcW w:w="1559" w:type="dxa"/>
            <w:vAlign w:val="center"/>
          </w:tcPr>
          <w:p w14:paraId="3D73DCBF" w14:textId="77777777" w:rsidR="009D5B6C" w:rsidRPr="00D30539" w:rsidRDefault="009D5B6C" w:rsidP="00D30539">
            <w:pPr>
              <w:pStyle w:val="TableParagraph"/>
              <w:ind w:left="445" w:right="438"/>
              <w:jc w:val="center"/>
              <w:rPr>
                <w:rFonts w:ascii="Arial" w:hAnsi="Arial" w:cs="Arial"/>
                <w:sz w:val="18"/>
                <w:szCs w:val="18"/>
              </w:rPr>
            </w:pPr>
            <w:r w:rsidRPr="00D30539">
              <w:rPr>
                <w:rFonts w:ascii="Arial" w:hAnsi="Arial" w:cs="Arial"/>
                <w:sz w:val="18"/>
                <w:szCs w:val="18"/>
              </w:rPr>
              <w:t>35</w:t>
            </w:r>
          </w:p>
        </w:tc>
        <w:tc>
          <w:tcPr>
            <w:tcW w:w="1418" w:type="dxa"/>
            <w:vAlign w:val="center"/>
          </w:tcPr>
          <w:p w14:paraId="20E8720A" w14:textId="77777777" w:rsidR="009D5B6C" w:rsidRPr="00D30539" w:rsidRDefault="009D5B6C" w:rsidP="00D30539">
            <w:pPr>
              <w:pStyle w:val="TableParagraph"/>
              <w:ind w:left="9"/>
              <w:jc w:val="center"/>
              <w:rPr>
                <w:rFonts w:ascii="Arial" w:hAnsi="Arial" w:cs="Arial"/>
                <w:sz w:val="18"/>
                <w:szCs w:val="18"/>
              </w:rPr>
            </w:pPr>
            <w:r w:rsidRPr="00D30539">
              <w:rPr>
                <w:rFonts w:ascii="Arial" w:hAnsi="Arial" w:cs="Arial"/>
                <w:sz w:val="18"/>
                <w:szCs w:val="18"/>
              </w:rPr>
              <w:t>4</w:t>
            </w:r>
          </w:p>
        </w:tc>
        <w:tc>
          <w:tcPr>
            <w:tcW w:w="2126" w:type="dxa"/>
            <w:vAlign w:val="center"/>
          </w:tcPr>
          <w:p w14:paraId="106BBDA1" w14:textId="77777777" w:rsidR="009D5B6C" w:rsidRPr="00D30539" w:rsidRDefault="00D30539" w:rsidP="00D30539">
            <w:pPr>
              <w:pStyle w:val="TableParagraph"/>
              <w:ind w:right="105"/>
              <w:jc w:val="center"/>
              <w:rPr>
                <w:rFonts w:ascii="Arial" w:hAnsi="Arial" w:cs="Arial"/>
                <w:sz w:val="18"/>
                <w:szCs w:val="18"/>
              </w:rPr>
            </w:pPr>
            <w:r>
              <w:rPr>
                <w:rFonts w:ascii="Arial" w:hAnsi="Arial" w:cs="Arial"/>
                <w:sz w:val="18"/>
                <w:szCs w:val="18"/>
              </w:rPr>
              <w:t>11,43</w:t>
            </w:r>
          </w:p>
        </w:tc>
      </w:tr>
      <w:tr w:rsidR="009D5B6C" w:rsidRPr="00D30539" w14:paraId="4EB5E304" w14:textId="77777777" w:rsidTr="00D30539">
        <w:trPr>
          <w:trHeight w:val="275"/>
        </w:trPr>
        <w:tc>
          <w:tcPr>
            <w:tcW w:w="1417" w:type="dxa"/>
            <w:vAlign w:val="center"/>
          </w:tcPr>
          <w:p w14:paraId="64941867" w14:textId="77777777" w:rsidR="009D5B6C" w:rsidRPr="00D30539" w:rsidRDefault="009D5B6C" w:rsidP="00D30539">
            <w:pPr>
              <w:pStyle w:val="TableParagraph"/>
              <w:ind w:left="301"/>
              <w:rPr>
                <w:rFonts w:ascii="Arial" w:hAnsi="Arial" w:cs="Arial"/>
                <w:sz w:val="18"/>
                <w:szCs w:val="18"/>
              </w:rPr>
            </w:pPr>
            <w:r w:rsidRPr="00D30539">
              <w:rPr>
                <w:rFonts w:ascii="Arial" w:hAnsi="Arial" w:cs="Arial"/>
                <w:sz w:val="18"/>
                <w:szCs w:val="18"/>
              </w:rPr>
              <w:t>31.12.2019</w:t>
            </w:r>
          </w:p>
        </w:tc>
        <w:tc>
          <w:tcPr>
            <w:tcW w:w="1559" w:type="dxa"/>
            <w:vAlign w:val="center"/>
          </w:tcPr>
          <w:p w14:paraId="20792526" w14:textId="77777777" w:rsidR="009D5B6C" w:rsidRPr="00D30539" w:rsidRDefault="009D5B6C" w:rsidP="00D30539">
            <w:pPr>
              <w:pStyle w:val="TableParagraph"/>
              <w:ind w:left="445" w:right="438"/>
              <w:jc w:val="center"/>
              <w:rPr>
                <w:rFonts w:ascii="Arial" w:hAnsi="Arial" w:cs="Arial"/>
                <w:sz w:val="18"/>
                <w:szCs w:val="18"/>
              </w:rPr>
            </w:pPr>
            <w:r w:rsidRPr="00D30539">
              <w:rPr>
                <w:rFonts w:ascii="Arial" w:hAnsi="Arial" w:cs="Arial"/>
                <w:sz w:val="18"/>
                <w:szCs w:val="18"/>
              </w:rPr>
              <w:t>31</w:t>
            </w:r>
          </w:p>
        </w:tc>
        <w:tc>
          <w:tcPr>
            <w:tcW w:w="1418" w:type="dxa"/>
            <w:vAlign w:val="center"/>
          </w:tcPr>
          <w:p w14:paraId="6292F4B3" w14:textId="77777777" w:rsidR="009D5B6C" w:rsidRPr="00D30539" w:rsidRDefault="009D5B6C" w:rsidP="00D30539">
            <w:pPr>
              <w:pStyle w:val="TableParagraph"/>
              <w:ind w:left="9"/>
              <w:jc w:val="center"/>
              <w:rPr>
                <w:rFonts w:ascii="Arial" w:hAnsi="Arial" w:cs="Arial"/>
                <w:sz w:val="18"/>
                <w:szCs w:val="18"/>
              </w:rPr>
            </w:pPr>
            <w:r w:rsidRPr="00D30539">
              <w:rPr>
                <w:rFonts w:ascii="Arial" w:hAnsi="Arial" w:cs="Arial"/>
                <w:sz w:val="18"/>
                <w:szCs w:val="18"/>
              </w:rPr>
              <w:t>4</w:t>
            </w:r>
          </w:p>
        </w:tc>
        <w:tc>
          <w:tcPr>
            <w:tcW w:w="2126" w:type="dxa"/>
            <w:vAlign w:val="center"/>
          </w:tcPr>
          <w:p w14:paraId="3AC26553" w14:textId="77777777" w:rsidR="009D5B6C" w:rsidRPr="00D30539" w:rsidRDefault="00D30539" w:rsidP="00D30539">
            <w:pPr>
              <w:pStyle w:val="TableParagraph"/>
              <w:ind w:right="105"/>
              <w:jc w:val="center"/>
              <w:rPr>
                <w:rFonts w:ascii="Arial" w:hAnsi="Arial" w:cs="Arial"/>
                <w:sz w:val="18"/>
                <w:szCs w:val="18"/>
              </w:rPr>
            </w:pPr>
            <w:r>
              <w:rPr>
                <w:rFonts w:ascii="Arial" w:hAnsi="Arial" w:cs="Arial"/>
                <w:sz w:val="18"/>
                <w:szCs w:val="18"/>
              </w:rPr>
              <w:t>12,90</w:t>
            </w:r>
          </w:p>
        </w:tc>
      </w:tr>
      <w:tr w:rsidR="009D5B6C" w:rsidRPr="00D30539" w14:paraId="76F83817" w14:textId="77777777" w:rsidTr="00D30539">
        <w:trPr>
          <w:trHeight w:val="273"/>
        </w:trPr>
        <w:tc>
          <w:tcPr>
            <w:tcW w:w="1417" w:type="dxa"/>
            <w:tcBorders>
              <w:bottom w:val="single" w:sz="6" w:space="0" w:color="000000"/>
            </w:tcBorders>
            <w:vAlign w:val="center"/>
          </w:tcPr>
          <w:p w14:paraId="32D2DD55" w14:textId="77777777" w:rsidR="009D5B6C" w:rsidRPr="00D30539" w:rsidRDefault="009D5B6C" w:rsidP="00D30539">
            <w:pPr>
              <w:pStyle w:val="TableParagraph"/>
              <w:spacing w:line="253" w:lineRule="exact"/>
              <w:ind w:left="301"/>
              <w:rPr>
                <w:rFonts w:ascii="Arial" w:hAnsi="Arial" w:cs="Arial"/>
                <w:sz w:val="18"/>
                <w:szCs w:val="18"/>
              </w:rPr>
            </w:pPr>
            <w:r w:rsidRPr="00D30539">
              <w:rPr>
                <w:rFonts w:ascii="Arial" w:hAnsi="Arial" w:cs="Arial"/>
                <w:sz w:val="18"/>
                <w:szCs w:val="18"/>
              </w:rPr>
              <w:t>31.12.2020</w:t>
            </w:r>
          </w:p>
        </w:tc>
        <w:tc>
          <w:tcPr>
            <w:tcW w:w="1559" w:type="dxa"/>
            <w:tcBorders>
              <w:bottom w:val="single" w:sz="6" w:space="0" w:color="000000"/>
            </w:tcBorders>
            <w:vAlign w:val="center"/>
          </w:tcPr>
          <w:p w14:paraId="5E81C74A" w14:textId="77777777" w:rsidR="009D5B6C" w:rsidRPr="00D30539" w:rsidRDefault="009D5B6C" w:rsidP="00D30539">
            <w:pPr>
              <w:pStyle w:val="TableParagraph"/>
              <w:spacing w:line="253" w:lineRule="exact"/>
              <w:ind w:left="445" w:right="438"/>
              <w:jc w:val="center"/>
              <w:rPr>
                <w:rFonts w:ascii="Arial" w:hAnsi="Arial" w:cs="Arial"/>
                <w:sz w:val="18"/>
                <w:szCs w:val="18"/>
              </w:rPr>
            </w:pPr>
            <w:r w:rsidRPr="00D30539">
              <w:rPr>
                <w:rFonts w:ascii="Arial" w:hAnsi="Arial" w:cs="Arial"/>
                <w:sz w:val="18"/>
                <w:szCs w:val="18"/>
              </w:rPr>
              <w:t>33</w:t>
            </w:r>
          </w:p>
        </w:tc>
        <w:tc>
          <w:tcPr>
            <w:tcW w:w="1418" w:type="dxa"/>
            <w:tcBorders>
              <w:bottom w:val="single" w:sz="6" w:space="0" w:color="000000"/>
            </w:tcBorders>
            <w:vAlign w:val="center"/>
          </w:tcPr>
          <w:p w14:paraId="33C751AD" w14:textId="77777777" w:rsidR="009D5B6C" w:rsidRPr="00D30539" w:rsidRDefault="009D5B6C" w:rsidP="00D30539">
            <w:pPr>
              <w:pStyle w:val="TableParagraph"/>
              <w:spacing w:line="253" w:lineRule="exact"/>
              <w:ind w:left="9"/>
              <w:jc w:val="center"/>
              <w:rPr>
                <w:rFonts w:ascii="Arial" w:hAnsi="Arial" w:cs="Arial"/>
                <w:sz w:val="18"/>
                <w:szCs w:val="18"/>
              </w:rPr>
            </w:pPr>
            <w:r w:rsidRPr="00D30539">
              <w:rPr>
                <w:rFonts w:ascii="Arial" w:hAnsi="Arial" w:cs="Arial"/>
                <w:sz w:val="18"/>
                <w:szCs w:val="18"/>
              </w:rPr>
              <w:t>3</w:t>
            </w:r>
          </w:p>
        </w:tc>
        <w:tc>
          <w:tcPr>
            <w:tcW w:w="2126" w:type="dxa"/>
            <w:tcBorders>
              <w:bottom w:val="single" w:sz="6" w:space="0" w:color="000000"/>
            </w:tcBorders>
            <w:vAlign w:val="center"/>
          </w:tcPr>
          <w:p w14:paraId="009533FE" w14:textId="77777777" w:rsidR="009D5B6C" w:rsidRPr="00D30539" w:rsidRDefault="00D30539" w:rsidP="00D30539">
            <w:pPr>
              <w:pStyle w:val="TableParagraph"/>
              <w:spacing w:line="253" w:lineRule="exact"/>
              <w:ind w:right="105"/>
              <w:jc w:val="center"/>
              <w:rPr>
                <w:rFonts w:ascii="Arial" w:hAnsi="Arial" w:cs="Arial"/>
                <w:sz w:val="18"/>
                <w:szCs w:val="18"/>
              </w:rPr>
            </w:pPr>
            <w:r>
              <w:rPr>
                <w:rFonts w:ascii="Arial" w:hAnsi="Arial" w:cs="Arial"/>
                <w:sz w:val="18"/>
                <w:szCs w:val="18"/>
              </w:rPr>
              <w:t>9,09</w:t>
            </w:r>
          </w:p>
        </w:tc>
      </w:tr>
      <w:tr w:rsidR="009D5B6C" w:rsidRPr="00D30539" w14:paraId="7A5BA47A" w14:textId="77777777" w:rsidTr="00D30539">
        <w:trPr>
          <w:trHeight w:val="273"/>
        </w:trPr>
        <w:tc>
          <w:tcPr>
            <w:tcW w:w="1417" w:type="dxa"/>
            <w:tcBorders>
              <w:top w:val="single" w:sz="6" w:space="0" w:color="000000"/>
            </w:tcBorders>
            <w:vAlign w:val="center"/>
          </w:tcPr>
          <w:p w14:paraId="2B8CB9A0" w14:textId="77777777" w:rsidR="009D5B6C" w:rsidRPr="00D30539" w:rsidRDefault="009D5B6C" w:rsidP="00D30539">
            <w:pPr>
              <w:pStyle w:val="TableParagraph"/>
              <w:spacing w:line="253" w:lineRule="exact"/>
              <w:ind w:left="301"/>
              <w:rPr>
                <w:rFonts w:ascii="Arial" w:hAnsi="Arial" w:cs="Arial"/>
                <w:sz w:val="18"/>
                <w:szCs w:val="18"/>
              </w:rPr>
            </w:pPr>
            <w:r w:rsidRPr="00D30539">
              <w:rPr>
                <w:rFonts w:ascii="Arial" w:hAnsi="Arial" w:cs="Arial"/>
                <w:sz w:val="18"/>
                <w:szCs w:val="18"/>
              </w:rPr>
              <w:lastRenderedPageBreak/>
              <w:t>30.06.2021</w:t>
            </w:r>
          </w:p>
        </w:tc>
        <w:tc>
          <w:tcPr>
            <w:tcW w:w="1559" w:type="dxa"/>
            <w:tcBorders>
              <w:top w:val="single" w:sz="6" w:space="0" w:color="000000"/>
            </w:tcBorders>
            <w:vAlign w:val="center"/>
          </w:tcPr>
          <w:p w14:paraId="50BA0A76" w14:textId="77777777" w:rsidR="009D5B6C" w:rsidRPr="00D30539" w:rsidRDefault="009D5B6C" w:rsidP="00D30539">
            <w:pPr>
              <w:pStyle w:val="TableParagraph"/>
              <w:spacing w:line="253" w:lineRule="exact"/>
              <w:ind w:left="445" w:right="438"/>
              <w:jc w:val="center"/>
              <w:rPr>
                <w:rFonts w:ascii="Arial" w:hAnsi="Arial" w:cs="Arial"/>
                <w:sz w:val="18"/>
                <w:szCs w:val="18"/>
              </w:rPr>
            </w:pPr>
            <w:r w:rsidRPr="00D30539">
              <w:rPr>
                <w:rFonts w:ascii="Arial" w:hAnsi="Arial" w:cs="Arial"/>
                <w:sz w:val="18"/>
                <w:szCs w:val="18"/>
              </w:rPr>
              <w:t>32</w:t>
            </w:r>
          </w:p>
        </w:tc>
        <w:tc>
          <w:tcPr>
            <w:tcW w:w="1418" w:type="dxa"/>
            <w:tcBorders>
              <w:top w:val="single" w:sz="6" w:space="0" w:color="000000"/>
            </w:tcBorders>
            <w:vAlign w:val="center"/>
          </w:tcPr>
          <w:p w14:paraId="0C303AD2" w14:textId="77777777" w:rsidR="009D5B6C" w:rsidRPr="00D30539" w:rsidRDefault="009D5B6C" w:rsidP="00D30539">
            <w:pPr>
              <w:pStyle w:val="TableParagraph"/>
              <w:spacing w:line="253" w:lineRule="exact"/>
              <w:ind w:left="9"/>
              <w:jc w:val="center"/>
              <w:rPr>
                <w:rFonts w:ascii="Arial" w:hAnsi="Arial" w:cs="Arial"/>
                <w:sz w:val="18"/>
                <w:szCs w:val="18"/>
              </w:rPr>
            </w:pPr>
            <w:r w:rsidRPr="00D30539">
              <w:rPr>
                <w:rFonts w:ascii="Arial" w:hAnsi="Arial" w:cs="Arial"/>
                <w:sz w:val="18"/>
                <w:szCs w:val="18"/>
              </w:rPr>
              <w:t>3</w:t>
            </w:r>
          </w:p>
        </w:tc>
        <w:tc>
          <w:tcPr>
            <w:tcW w:w="2126" w:type="dxa"/>
            <w:tcBorders>
              <w:top w:val="single" w:sz="6" w:space="0" w:color="000000"/>
            </w:tcBorders>
            <w:vAlign w:val="center"/>
          </w:tcPr>
          <w:p w14:paraId="314D379F" w14:textId="77777777" w:rsidR="009D5B6C" w:rsidRPr="00D30539" w:rsidRDefault="00D30539" w:rsidP="00D30539">
            <w:pPr>
              <w:pStyle w:val="TableParagraph"/>
              <w:spacing w:line="253" w:lineRule="exact"/>
              <w:ind w:right="105"/>
              <w:jc w:val="center"/>
              <w:rPr>
                <w:rFonts w:ascii="Arial" w:hAnsi="Arial" w:cs="Arial"/>
                <w:sz w:val="18"/>
                <w:szCs w:val="18"/>
              </w:rPr>
            </w:pPr>
            <w:r>
              <w:rPr>
                <w:rFonts w:ascii="Arial" w:hAnsi="Arial" w:cs="Arial"/>
                <w:sz w:val="18"/>
                <w:szCs w:val="18"/>
              </w:rPr>
              <w:t>9,38</w:t>
            </w:r>
          </w:p>
        </w:tc>
      </w:tr>
      <w:tr w:rsidR="009D5B6C" w:rsidRPr="00D30539" w14:paraId="1C0813ED" w14:textId="77777777" w:rsidTr="00D30539">
        <w:trPr>
          <w:trHeight w:val="277"/>
        </w:trPr>
        <w:tc>
          <w:tcPr>
            <w:tcW w:w="1417" w:type="dxa"/>
            <w:vAlign w:val="center"/>
          </w:tcPr>
          <w:p w14:paraId="28C1D4BB" w14:textId="77777777" w:rsidR="009D5B6C" w:rsidRPr="00D30539" w:rsidRDefault="009D5B6C" w:rsidP="00D30539">
            <w:pPr>
              <w:pStyle w:val="TableParagraph"/>
              <w:spacing w:line="258" w:lineRule="exact"/>
              <w:ind w:left="301"/>
              <w:rPr>
                <w:rFonts w:ascii="Arial" w:hAnsi="Arial" w:cs="Arial"/>
                <w:sz w:val="18"/>
                <w:szCs w:val="18"/>
              </w:rPr>
            </w:pPr>
            <w:r w:rsidRPr="00D30539">
              <w:rPr>
                <w:rFonts w:ascii="Arial" w:hAnsi="Arial" w:cs="Arial"/>
                <w:sz w:val="18"/>
                <w:szCs w:val="18"/>
              </w:rPr>
              <w:t>01.02.2022</w:t>
            </w:r>
          </w:p>
        </w:tc>
        <w:tc>
          <w:tcPr>
            <w:tcW w:w="1559" w:type="dxa"/>
            <w:vAlign w:val="center"/>
          </w:tcPr>
          <w:p w14:paraId="2F0ADFE1" w14:textId="77777777" w:rsidR="009D5B6C" w:rsidRPr="00D30539" w:rsidRDefault="009D5B6C" w:rsidP="00D30539">
            <w:pPr>
              <w:pStyle w:val="TableParagraph"/>
              <w:spacing w:line="258" w:lineRule="exact"/>
              <w:ind w:left="445" w:right="438"/>
              <w:jc w:val="center"/>
              <w:rPr>
                <w:rFonts w:ascii="Arial" w:hAnsi="Arial" w:cs="Arial"/>
                <w:sz w:val="18"/>
                <w:szCs w:val="18"/>
              </w:rPr>
            </w:pPr>
            <w:r w:rsidRPr="00D30539">
              <w:rPr>
                <w:rFonts w:ascii="Arial" w:hAnsi="Arial" w:cs="Arial"/>
                <w:sz w:val="18"/>
                <w:szCs w:val="18"/>
              </w:rPr>
              <w:t>33</w:t>
            </w:r>
          </w:p>
        </w:tc>
        <w:tc>
          <w:tcPr>
            <w:tcW w:w="1418" w:type="dxa"/>
            <w:vAlign w:val="center"/>
          </w:tcPr>
          <w:p w14:paraId="4F3B7B53" w14:textId="77777777" w:rsidR="009D5B6C" w:rsidRPr="00D30539" w:rsidRDefault="009D5B6C" w:rsidP="00D30539">
            <w:pPr>
              <w:pStyle w:val="TableParagraph"/>
              <w:spacing w:line="258" w:lineRule="exact"/>
              <w:ind w:left="9"/>
              <w:jc w:val="center"/>
              <w:rPr>
                <w:rFonts w:ascii="Arial" w:hAnsi="Arial" w:cs="Arial"/>
                <w:sz w:val="18"/>
                <w:szCs w:val="18"/>
              </w:rPr>
            </w:pPr>
            <w:r w:rsidRPr="00D30539">
              <w:rPr>
                <w:rFonts w:ascii="Arial" w:hAnsi="Arial" w:cs="Arial"/>
                <w:sz w:val="18"/>
                <w:szCs w:val="18"/>
              </w:rPr>
              <w:t>3</w:t>
            </w:r>
          </w:p>
        </w:tc>
        <w:tc>
          <w:tcPr>
            <w:tcW w:w="2126" w:type="dxa"/>
            <w:vAlign w:val="center"/>
          </w:tcPr>
          <w:p w14:paraId="37F70F05" w14:textId="77777777" w:rsidR="009D5B6C" w:rsidRPr="00D30539" w:rsidRDefault="00D30539" w:rsidP="00D30539">
            <w:pPr>
              <w:pStyle w:val="TableParagraph"/>
              <w:spacing w:line="258" w:lineRule="exact"/>
              <w:ind w:right="105"/>
              <w:jc w:val="center"/>
              <w:rPr>
                <w:rFonts w:ascii="Arial" w:hAnsi="Arial" w:cs="Arial"/>
                <w:sz w:val="18"/>
                <w:szCs w:val="18"/>
              </w:rPr>
            </w:pPr>
            <w:r>
              <w:rPr>
                <w:rFonts w:ascii="Arial" w:hAnsi="Arial" w:cs="Arial"/>
                <w:sz w:val="18"/>
                <w:szCs w:val="18"/>
              </w:rPr>
              <w:t>9,09</w:t>
            </w:r>
          </w:p>
        </w:tc>
      </w:tr>
    </w:tbl>
    <w:p w14:paraId="7CF12E28" w14:textId="77777777" w:rsidR="009B7130" w:rsidRDefault="009B7130" w:rsidP="009D5B6C">
      <w:pPr>
        <w:pStyle w:val="LTAntwortRessortText"/>
        <w:ind w:left="0"/>
      </w:pPr>
    </w:p>
    <w:p w14:paraId="4B84A42D" w14:textId="77777777" w:rsidR="009B7130" w:rsidRDefault="009B7130" w:rsidP="00F47B56">
      <w:pPr>
        <w:pStyle w:val="LTAntwortRessortText"/>
      </w:pPr>
      <w:r>
        <w:t xml:space="preserve">4. </w:t>
      </w:r>
      <w:r w:rsidR="00F47B56">
        <w:t>Polizeipräsidium Oberbayern Süd</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983181" w14:paraId="5CB62356" w14:textId="77777777" w:rsidTr="004B458D">
        <w:trPr>
          <w:trHeight w:val="275"/>
        </w:trPr>
        <w:tc>
          <w:tcPr>
            <w:tcW w:w="1417" w:type="dxa"/>
            <w:vAlign w:val="center"/>
          </w:tcPr>
          <w:p w14:paraId="3A9B1EB3" w14:textId="77777777" w:rsidR="009D5B6C" w:rsidRPr="00983181" w:rsidRDefault="009D5B6C" w:rsidP="004B458D">
            <w:pPr>
              <w:pStyle w:val="TableParagraph"/>
              <w:ind w:left="301"/>
              <w:rPr>
                <w:rFonts w:ascii="Arial" w:hAnsi="Arial" w:cs="Arial"/>
                <w:sz w:val="18"/>
                <w:szCs w:val="18"/>
              </w:rPr>
            </w:pPr>
            <w:r w:rsidRPr="00983181">
              <w:rPr>
                <w:rFonts w:ascii="Arial" w:hAnsi="Arial" w:cs="Arial"/>
                <w:sz w:val="18"/>
                <w:szCs w:val="18"/>
              </w:rPr>
              <w:t>Stichtag</w:t>
            </w:r>
          </w:p>
        </w:tc>
        <w:tc>
          <w:tcPr>
            <w:tcW w:w="1559" w:type="dxa"/>
            <w:vAlign w:val="center"/>
          </w:tcPr>
          <w:p w14:paraId="6BF59663" w14:textId="77777777" w:rsidR="009D5B6C" w:rsidRPr="00983181" w:rsidRDefault="009D5B6C" w:rsidP="004B458D">
            <w:pPr>
              <w:pStyle w:val="TableParagraph"/>
              <w:ind w:left="446" w:right="438"/>
              <w:jc w:val="center"/>
              <w:rPr>
                <w:rFonts w:ascii="Arial" w:hAnsi="Arial" w:cs="Arial"/>
                <w:sz w:val="18"/>
                <w:szCs w:val="18"/>
              </w:rPr>
            </w:pPr>
            <w:r w:rsidRPr="00983181">
              <w:rPr>
                <w:rFonts w:ascii="Arial" w:hAnsi="Arial" w:cs="Arial"/>
                <w:sz w:val="18"/>
                <w:szCs w:val="18"/>
              </w:rPr>
              <w:t>Gesamt</w:t>
            </w:r>
          </w:p>
        </w:tc>
        <w:tc>
          <w:tcPr>
            <w:tcW w:w="1418" w:type="dxa"/>
            <w:vAlign w:val="center"/>
          </w:tcPr>
          <w:p w14:paraId="47973A3E" w14:textId="77777777" w:rsidR="009D5B6C" w:rsidRPr="00983181" w:rsidRDefault="009D5B6C" w:rsidP="004B458D">
            <w:pPr>
              <w:pStyle w:val="TableParagraph"/>
              <w:ind w:left="96" w:right="90"/>
              <w:jc w:val="center"/>
              <w:rPr>
                <w:rFonts w:ascii="Arial" w:hAnsi="Arial" w:cs="Arial"/>
                <w:sz w:val="18"/>
                <w:szCs w:val="18"/>
              </w:rPr>
            </w:pPr>
            <w:r w:rsidRPr="00983181">
              <w:rPr>
                <w:rFonts w:ascii="Arial" w:hAnsi="Arial" w:cs="Arial"/>
                <w:sz w:val="18"/>
                <w:szCs w:val="18"/>
              </w:rPr>
              <w:t>Anzahl Frauen</w:t>
            </w:r>
          </w:p>
        </w:tc>
        <w:tc>
          <w:tcPr>
            <w:tcW w:w="2126" w:type="dxa"/>
            <w:vAlign w:val="center"/>
          </w:tcPr>
          <w:p w14:paraId="0FA2341E" w14:textId="77777777" w:rsidR="009D5B6C" w:rsidRPr="00983181" w:rsidRDefault="009D5B6C" w:rsidP="004B458D">
            <w:pPr>
              <w:pStyle w:val="TableParagraph"/>
              <w:ind w:right="110"/>
              <w:jc w:val="center"/>
              <w:rPr>
                <w:rFonts w:ascii="Arial" w:hAnsi="Arial" w:cs="Arial"/>
                <w:sz w:val="18"/>
                <w:szCs w:val="18"/>
              </w:rPr>
            </w:pPr>
            <w:r w:rsidRPr="00983181">
              <w:rPr>
                <w:rFonts w:ascii="Arial" w:hAnsi="Arial" w:cs="Arial"/>
                <w:sz w:val="18"/>
                <w:szCs w:val="18"/>
              </w:rPr>
              <w:t xml:space="preserve">Frauenanteil </w:t>
            </w:r>
            <w:r w:rsidR="004B458D">
              <w:rPr>
                <w:rFonts w:ascii="Arial" w:hAnsi="Arial" w:cs="Arial"/>
                <w:sz w:val="18"/>
                <w:szCs w:val="18"/>
              </w:rPr>
              <w:t xml:space="preserve">in </w:t>
            </w:r>
            <w:r w:rsidR="006F49A4" w:rsidRPr="00983181">
              <w:rPr>
                <w:rFonts w:ascii="Arial" w:hAnsi="Arial" w:cs="Arial"/>
                <w:sz w:val="18"/>
                <w:szCs w:val="18"/>
              </w:rPr>
              <w:t>Prozent</w:t>
            </w:r>
          </w:p>
        </w:tc>
      </w:tr>
      <w:tr w:rsidR="009D5B6C" w:rsidRPr="00983181" w14:paraId="6CB862B1" w14:textId="77777777" w:rsidTr="004B458D">
        <w:trPr>
          <w:trHeight w:val="275"/>
        </w:trPr>
        <w:tc>
          <w:tcPr>
            <w:tcW w:w="1417" w:type="dxa"/>
            <w:vAlign w:val="center"/>
          </w:tcPr>
          <w:p w14:paraId="52767C2C" w14:textId="77777777" w:rsidR="009D5B6C" w:rsidRPr="00983181" w:rsidRDefault="009D5B6C" w:rsidP="004B458D">
            <w:pPr>
              <w:pStyle w:val="TableParagraph"/>
              <w:ind w:left="301"/>
              <w:rPr>
                <w:rFonts w:ascii="Arial" w:hAnsi="Arial" w:cs="Arial"/>
                <w:sz w:val="18"/>
                <w:szCs w:val="18"/>
              </w:rPr>
            </w:pPr>
            <w:r w:rsidRPr="00983181">
              <w:rPr>
                <w:rFonts w:ascii="Arial" w:hAnsi="Arial" w:cs="Arial"/>
                <w:sz w:val="18"/>
                <w:szCs w:val="18"/>
              </w:rPr>
              <w:t>31.12.2018</w:t>
            </w:r>
          </w:p>
        </w:tc>
        <w:tc>
          <w:tcPr>
            <w:tcW w:w="1559" w:type="dxa"/>
            <w:vAlign w:val="center"/>
          </w:tcPr>
          <w:p w14:paraId="26868D56" w14:textId="77777777" w:rsidR="009D5B6C" w:rsidRPr="00983181" w:rsidRDefault="009D5B6C" w:rsidP="004B458D">
            <w:pPr>
              <w:pStyle w:val="TableParagraph"/>
              <w:ind w:left="445" w:right="438"/>
              <w:jc w:val="center"/>
              <w:rPr>
                <w:rFonts w:ascii="Arial" w:hAnsi="Arial" w:cs="Arial"/>
                <w:sz w:val="18"/>
                <w:szCs w:val="18"/>
              </w:rPr>
            </w:pPr>
            <w:r w:rsidRPr="00983181">
              <w:rPr>
                <w:rFonts w:ascii="Arial" w:hAnsi="Arial" w:cs="Arial"/>
                <w:sz w:val="18"/>
                <w:szCs w:val="18"/>
              </w:rPr>
              <w:t>37</w:t>
            </w:r>
          </w:p>
        </w:tc>
        <w:tc>
          <w:tcPr>
            <w:tcW w:w="1418" w:type="dxa"/>
            <w:vAlign w:val="center"/>
          </w:tcPr>
          <w:p w14:paraId="12E8DE8F" w14:textId="77777777" w:rsidR="009D5B6C" w:rsidRPr="00983181" w:rsidRDefault="009D5B6C" w:rsidP="004B458D">
            <w:pPr>
              <w:pStyle w:val="TableParagraph"/>
              <w:ind w:left="9"/>
              <w:jc w:val="center"/>
              <w:rPr>
                <w:rFonts w:ascii="Arial" w:hAnsi="Arial" w:cs="Arial"/>
                <w:sz w:val="18"/>
                <w:szCs w:val="18"/>
              </w:rPr>
            </w:pPr>
            <w:r w:rsidRPr="00983181">
              <w:rPr>
                <w:rFonts w:ascii="Arial" w:hAnsi="Arial" w:cs="Arial"/>
                <w:sz w:val="18"/>
                <w:szCs w:val="18"/>
              </w:rPr>
              <w:t>1</w:t>
            </w:r>
          </w:p>
        </w:tc>
        <w:tc>
          <w:tcPr>
            <w:tcW w:w="2126" w:type="dxa"/>
            <w:vAlign w:val="center"/>
          </w:tcPr>
          <w:p w14:paraId="0AAEBDEA" w14:textId="77777777" w:rsidR="009D5B6C" w:rsidRPr="00983181" w:rsidRDefault="004B458D" w:rsidP="004B458D">
            <w:pPr>
              <w:pStyle w:val="TableParagraph"/>
              <w:ind w:right="105"/>
              <w:jc w:val="center"/>
              <w:rPr>
                <w:rFonts w:ascii="Arial" w:hAnsi="Arial" w:cs="Arial"/>
                <w:sz w:val="18"/>
                <w:szCs w:val="18"/>
              </w:rPr>
            </w:pPr>
            <w:r>
              <w:rPr>
                <w:rFonts w:ascii="Arial" w:hAnsi="Arial" w:cs="Arial"/>
                <w:sz w:val="18"/>
                <w:szCs w:val="18"/>
              </w:rPr>
              <w:t>2,70</w:t>
            </w:r>
          </w:p>
        </w:tc>
      </w:tr>
      <w:tr w:rsidR="009D5B6C" w:rsidRPr="00983181" w14:paraId="1624A872" w14:textId="77777777" w:rsidTr="004B458D">
        <w:trPr>
          <w:trHeight w:val="275"/>
        </w:trPr>
        <w:tc>
          <w:tcPr>
            <w:tcW w:w="1417" w:type="dxa"/>
            <w:vAlign w:val="center"/>
          </w:tcPr>
          <w:p w14:paraId="78AF1257" w14:textId="77777777" w:rsidR="009D5B6C" w:rsidRPr="00983181" w:rsidRDefault="009D5B6C" w:rsidP="004B458D">
            <w:pPr>
              <w:pStyle w:val="TableParagraph"/>
              <w:ind w:left="301"/>
              <w:rPr>
                <w:rFonts w:ascii="Arial" w:hAnsi="Arial" w:cs="Arial"/>
                <w:sz w:val="18"/>
                <w:szCs w:val="18"/>
              </w:rPr>
            </w:pPr>
            <w:r w:rsidRPr="00983181">
              <w:rPr>
                <w:rFonts w:ascii="Arial" w:hAnsi="Arial" w:cs="Arial"/>
                <w:sz w:val="18"/>
                <w:szCs w:val="18"/>
              </w:rPr>
              <w:t>31.12.2019</w:t>
            </w:r>
          </w:p>
        </w:tc>
        <w:tc>
          <w:tcPr>
            <w:tcW w:w="1559" w:type="dxa"/>
            <w:vAlign w:val="center"/>
          </w:tcPr>
          <w:p w14:paraId="6F5F7F20" w14:textId="77777777" w:rsidR="009D5B6C" w:rsidRPr="00983181" w:rsidRDefault="009D5B6C" w:rsidP="004B458D">
            <w:pPr>
              <w:pStyle w:val="TableParagraph"/>
              <w:ind w:left="445" w:right="438"/>
              <w:jc w:val="center"/>
              <w:rPr>
                <w:rFonts w:ascii="Arial" w:hAnsi="Arial" w:cs="Arial"/>
                <w:sz w:val="18"/>
                <w:szCs w:val="18"/>
              </w:rPr>
            </w:pPr>
            <w:r w:rsidRPr="00983181">
              <w:rPr>
                <w:rFonts w:ascii="Arial" w:hAnsi="Arial" w:cs="Arial"/>
                <w:sz w:val="18"/>
                <w:szCs w:val="18"/>
              </w:rPr>
              <w:t>36</w:t>
            </w:r>
          </w:p>
        </w:tc>
        <w:tc>
          <w:tcPr>
            <w:tcW w:w="1418" w:type="dxa"/>
            <w:vAlign w:val="center"/>
          </w:tcPr>
          <w:p w14:paraId="3D9CE1A4" w14:textId="77777777" w:rsidR="009D5B6C" w:rsidRPr="00983181" w:rsidRDefault="009D5B6C" w:rsidP="004B458D">
            <w:pPr>
              <w:pStyle w:val="TableParagraph"/>
              <w:ind w:left="9"/>
              <w:jc w:val="center"/>
              <w:rPr>
                <w:rFonts w:ascii="Arial" w:hAnsi="Arial" w:cs="Arial"/>
                <w:sz w:val="18"/>
                <w:szCs w:val="18"/>
              </w:rPr>
            </w:pPr>
            <w:r w:rsidRPr="00983181">
              <w:rPr>
                <w:rFonts w:ascii="Arial" w:hAnsi="Arial" w:cs="Arial"/>
                <w:sz w:val="18"/>
                <w:szCs w:val="18"/>
              </w:rPr>
              <w:t>3</w:t>
            </w:r>
          </w:p>
        </w:tc>
        <w:tc>
          <w:tcPr>
            <w:tcW w:w="2126" w:type="dxa"/>
            <w:vAlign w:val="center"/>
          </w:tcPr>
          <w:p w14:paraId="46892386" w14:textId="77777777" w:rsidR="009D5B6C" w:rsidRPr="00983181" w:rsidRDefault="009D5B6C" w:rsidP="004B458D">
            <w:pPr>
              <w:pStyle w:val="TableParagraph"/>
              <w:ind w:right="105"/>
              <w:jc w:val="center"/>
              <w:rPr>
                <w:rFonts w:ascii="Arial" w:hAnsi="Arial" w:cs="Arial"/>
                <w:sz w:val="18"/>
                <w:szCs w:val="18"/>
              </w:rPr>
            </w:pPr>
            <w:r w:rsidRPr="00983181">
              <w:rPr>
                <w:rFonts w:ascii="Arial" w:hAnsi="Arial" w:cs="Arial"/>
                <w:sz w:val="18"/>
                <w:szCs w:val="18"/>
              </w:rPr>
              <w:t>8,33</w:t>
            </w:r>
          </w:p>
        </w:tc>
      </w:tr>
      <w:tr w:rsidR="009D5B6C" w:rsidRPr="00983181" w14:paraId="13D10E7D" w14:textId="77777777" w:rsidTr="004B458D">
        <w:trPr>
          <w:trHeight w:val="277"/>
        </w:trPr>
        <w:tc>
          <w:tcPr>
            <w:tcW w:w="1417" w:type="dxa"/>
            <w:vAlign w:val="center"/>
          </w:tcPr>
          <w:p w14:paraId="175ECBF3" w14:textId="77777777" w:rsidR="009D5B6C" w:rsidRPr="00983181" w:rsidRDefault="009D5B6C" w:rsidP="004B458D">
            <w:pPr>
              <w:pStyle w:val="TableParagraph"/>
              <w:spacing w:line="258" w:lineRule="exact"/>
              <w:ind w:left="301"/>
              <w:rPr>
                <w:rFonts w:ascii="Arial" w:hAnsi="Arial" w:cs="Arial"/>
                <w:sz w:val="18"/>
                <w:szCs w:val="18"/>
              </w:rPr>
            </w:pPr>
            <w:r w:rsidRPr="00983181">
              <w:rPr>
                <w:rFonts w:ascii="Arial" w:hAnsi="Arial" w:cs="Arial"/>
                <w:sz w:val="18"/>
                <w:szCs w:val="18"/>
              </w:rPr>
              <w:t>31.12.2020</w:t>
            </w:r>
          </w:p>
        </w:tc>
        <w:tc>
          <w:tcPr>
            <w:tcW w:w="1559" w:type="dxa"/>
            <w:vAlign w:val="center"/>
          </w:tcPr>
          <w:p w14:paraId="2AC2D509" w14:textId="77777777" w:rsidR="009D5B6C" w:rsidRPr="00983181" w:rsidRDefault="009D5B6C" w:rsidP="004B458D">
            <w:pPr>
              <w:pStyle w:val="TableParagraph"/>
              <w:spacing w:line="258" w:lineRule="exact"/>
              <w:ind w:left="445" w:right="438"/>
              <w:jc w:val="center"/>
              <w:rPr>
                <w:rFonts w:ascii="Arial" w:hAnsi="Arial" w:cs="Arial"/>
                <w:sz w:val="18"/>
                <w:szCs w:val="18"/>
              </w:rPr>
            </w:pPr>
            <w:r w:rsidRPr="00983181">
              <w:rPr>
                <w:rFonts w:ascii="Arial" w:hAnsi="Arial" w:cs="Arial"/>
                <w:sz w:val="18"/>
                <w:szCs w:val="18"/>
              </w:rPr>
              <w:t>41</w:t>
            </w:r>
          </w:p>
        </w:tc>
        <w:tc>
          <w:tcPr>
            <w:tcW w:w="1418" w:type="dxa"/>
            <w:vAlign w:val="center"/>
          </w:tcPr>
          <w:p w14:paraId="0F73971C" w14:textId="77777777" w:rsidR="009D5B6C" w:rsidRPr="00983181" w:rsidRDefault="009D5B6C" w:rsidP="004B458D">
            <w:pPr>
              <w:pStyle w:val="TableParagraph"/>
              <w:spacing w:line="258" w:lineRule="exact"/>
              <w:ind w:left="9"/>
              <w:jc w:val="center"/>
              <w:rPr>
                <w:rFonts w:ascii="Arial" w:hAnsi="Arial" w:cs="Arial"/>
                <w:sz w:val="18"/>
                <w:szCs w:val="18"/>
              </w:rPr>
            </w:pPr>
            <w:r w:rsidRPr="00983181">
              <w:rPr>
                <w:rFonts w:ascii="Arial" w:hAnsi="Arial" w:cs="Arial"/>
                <w:sz w:val="18"/>
                <w:szCs w:val="18"/>
              </w:rPr>
              <w:t>3</w:t>
            </w:r>
          </w:p>
        </w:tc>
        <w:tc>
          <w:tcPr>
            <w:tcW w:w="2126" w:type="dxa"/>
            <w:vAlign w:val="center"/>
          </w:tcPr>
          <w:p w14:paraId="6078C2AB" w14:textId="77777777" w:rsidR="009D5B6C" w:rsidRPr="00983181" w:rsidRDefault="009D5B6C" w:rsidP="004B458D">
            <w:pPr>
              <w:pStyle w:val="TableParagraph"/>
              <w:spacing w:line="258" w:lineRule="exact"/>
              <w:ind w:right="105"/>
              <w:jc w:val="center"/>
              <w:rPr>
                <w:rFonts w:ascii="Arial" w:hAnsi="Arial" w:cs="Arial"/>
                <w:sz w:val="18"/>
                <w:szCs w:val="18"/>
              </w:rPr>
            </w:pPr>
            <w:r w:rsidRPr="00983181">
              <w:rPr>
                <w:rFonts w:ascii="Arial" w:hAnsi="Arial" w:cs="Arial"/>
                <w:sz w:val="18"/>
                <w:szCs w:val="18"/>
              </w:rPr>
              <w:t>7,</w:t>
            </w:r>
            <w:r w:rsidR="004B458D">
              <w:rPr>
                <w:rFonts w:ascii="Arial" w:hAnsi="Arial" w:cs="Arial"/>
                <w:sz w:val="18"/>
                <w:szCs w:val="18"/>
              </w:rPr>
              <w:t>32</w:t>
            </w:r>
          </w:p>
        </w:tc>
      </w:tr>
      <w:tr w:rsidR="009D5B6C" w:rsidRPr="00983181" w14:paraId="0D98BC5F" w14:textId="77777777" w:rsidTr="004B458D">
        <w:trPr>
          <w:trHeight w:val="275"/>
        </w:trPr>
        <w:tc>
          <w:tcPr>
            <w:tcW w:w="1417" w:type="dxa"/>
            <w:vAlign w:val="center"/>
          </w:tcPr>
          <w:p w14:paraId="56258842" w14:textId="77777777" w:rsidR="009D5B6C" w:rsidRPr="00983181" w:rsidRDefault="009D5B6C" w:rsidP="004B458D">
            <w:pPr>
              <w:pStyle w:val="TableParagraph"/>
              <w:ind w:left="301"/>
              <w:rPr>
                <w:rFonts w:ascii="Arial" w:hAnsi="Arial" w:cs="Arial"/>
                <w:sz w:val="18"/>
                <w:szCs w:val="18"/>
              </w:rPr>
            </w:pPr>
            <w:r w:rsidRPr="00983181">
              <w:rPr>
                <w:rFonts w:ascii="Arial" w:hAnsi="Arial" w:cs="Arial"/>
                <w:sz w:val="18"/>
                <w:szCs w:val="18"/>
              </w:rPr>
              <w:t>30.06.2021</w:t>
            </w:r>
          </w:p>
        </w:tc>
        <w:tc>
          <w:tcPr>
            <w:tcW w:w="1559" w:type="dxa"/>
            <w:vAlign w:val="center"/>
          </w:tcPr>
          <w:p w14:paraId="78E92450" w14:textId="77777777" w:rsidR="009D5B6C" w:rsidRPr="00983181" w:rsidRDefault="009D5B6C" w:rsidP="004B458D">
            <w:pPr>
              <w:pStyle w:val="TableParagraph"/>
              <w:ind w:left="445" w:right="438"/>
              <w:jc w:val="center"/>
              <w:rPr>
                <w:rFonts w:ascii="Arial" w:hAnsi="Arial" w:cs="Arial"/>
                <w:sz w:val="18"/>
                <w:szCs w:val="18"/>
              </w:rPr>
            </w:pPr>
            <w:r w:rsidRPr="00983181">
              <w:rPr>
                <w:rFonts w:ascii="Arial" w:hAnsi="Arial" w:cs="Arial"/>
                <w:sz w:val="18"/>
                <w:szCs w:val="18"/>
              </w:rPr>
              <w:t>41</w:t>
            </w:r>
          </w:p>
        </w:tc>
        <w:tc>
          <w:tcPr>
            <w:tcW w:w="1418" w:type="dxa"/>
            <w:vAlign w:val="center"/>
          </w:tcPr>
          <w:p w14:paraId="23231730" w14:textId="77777777" w:rsidR="009D5B6C" w:rsidRPr="00983181" w:rsidRDefault="009D5B6C" w:rsidP="004B458D">
            <w:pPr>
              <w:pStyle w:val="TableParagraph"/>
              <w:ind w:left="9"/>
              <w:jc w:val="center"/>
              <w:rPr>
                <w:rFonts w:ascii="Arial" w:hAnsi="Arial" w:cs="Arial"/>
                <w:sz w:val="18"/>
                <w:szCs w:val="18"/>
              </w:rPr>
            </w:pPr>
            <w:r w:rsidRPr="00983181">
              <w:rPr>
                <w:rFonts w:ascii="Arial" w:hAnsi="Arial" w:cs="Arial"/>
                <w:sz w:val="18"/>
                <w:szCs w:val="18"/>
              </w:rPr>
              <w:t>3</w:t>
            </w:r>
          </w:p>
        </w:tc>
        <w:tc>
          <w:tcPr>
            <w:tcW w:w="2126" w:type="dxa"/>
            <w:vAlign w:val="center"/>
          </w:tcPr>
          <w:p w14:paraId="143D4550" w14:textId="77777777" w:rsidR="009D5B6C" w:rsidRPr="00983181" w:rsidRDefault="009D5B6C" w:rsidP="004B458D">
            <w:pPr>
              <w:pStyle w:val="TableParagraph"/>
              <w:ind w:right="105"/>
              <w:jc w:val="center"/>
              <w:rPr>
                <w:rFonts w:ascii="Arial" w:hAnsi="Arial" w:cs="Arial"/>
                <w:sz w:val="18"/>
                <w:szCs w:val="18"/>
              </w:rPr>
            </w:pPr>
            <w:r w:rsidRPr="00983181">
              <w:rPr>
                <w:rFonts w:ascii="Arial" w:hAnsi="Arial" w:cs="Arial"/>
                <w:sz w:val="18"/>
                <w:szCs w:val="18"/>
              </w:rPr>
              <w:t>7,32</w:t>
            </w:r>
          </w:p>
        </w:tc>
      </w:tr>
      <w:tr w:rsidR="009D5B6C" w:rsidRPr="00983181" w14:paraId="34247138" w14:textId="77777777" w:rsidTr="004B458D">
        <w:trPr>
          <w:trHeight w:val="275"/>
        </w:trPr>
        <w:tc>
          <w:tcPr>
            <w:tcW w:w="1417" w:type="dxa"/>
            <w:vAlign w:val="center"/>
          </w:tcPr>
          <w:p w14:paraId="377F45BB" w14:textId="77777777" w:rsidR="009D5B6C" w:rsidRPr="00983181" w:rsidRDefault="009D5B6C" w:rsidP="004B458D">
            <w:pPr>
              <w:pStyle w:val="TableParagraph"/>
              <w:ind w:left="301"/>
              <w:rPr>
                <w:rFonts w:ascii="Arial" w:hAnsi="Arial" w:cs="Arial"/>
                <w:sz w:val="18"/>
                <w:szCs w:val="18"/>
              </w:rPr>
            </w:pPr>
            <w:r w:rsidRPr="00983181">
              <w:rPr>
                <w:rFonts w:ascii="Arial" w:hAnsi="Arial" w:cs="Arial"/>
                <w:sz w:val="18"/>
                <w:szCs w:val="18"/>
              </w:rPr>
              <w:t>01.02.2022</w:t>
            </w:r>
          </w:p>
        </w:tc>
        <w:tc>
          <w:tcPr>
            <w:tcW w:w="1559" w:type="dxa"/>
            <w:vAlign w:val="center"/>
          </w:tcPr>
          <w:p w14:paraId="28A2D9C5" w14:textId="77777777" w:rsidR="009D5B6C" w:rsidRPr="00983181" w:rsidRDefault="009D5B6C" w:rsidP="004B458D">
            <w:pPr>
              <w:pStyle w:val="TableParagraph"/>
              <w:ind w:left="445" w:right="438"/>
              <w:jc w:val="center"/>
              <w:rPr>
                <w:rFonts w:ascii="Arial" w:hAnsi="Arial" w:cs="Arial"/>
                <w:sz w:val="18"/>
                <w:szCs w:val="18"/>
              </w:rPr>
            </w:pPr>
            <w:r w:rsidRPr="00983181">
              <w:rPr>
                <w:rFonts w:ascii="Arial" w:hAnsi="Arial" w:cs="Arial"/>
                <w:sz w:val="18"/>
                <w:szCs w:val="18"/>
              </w:rPr>
              <w:t>41</w:t>
            </w:r>
          </w:p>
        </w:tc>
        <w:tc>
          <w:tcPr>
            <w:tcW w:w="1418" w:type="dxa"/>
            <w:vAlign w:val="center"/>
          </w:tcPr>
          <w:p w14:paraId="0A89354F" w14:textId="77777777" w:rsidR="009D5B6C" w:rsidRPr="00983181" w:rsidRDefault="009D5B6C" w:rsidP="004B458D">
            <w:pPr>
              <w:pStyle w:val="TableParagraph"/>
              <w:ind w:left="9"/>
              <w:jc w:val="center"/>
              <w:rPr>
                <w:rFonts w:ascii="Arial" w:hAnsi="Arial" w:cs="Arial"/>
                <w:sz w:val="18"/>
                <w:szCs w:val="18"/>
              </w:rPr>
            </w:pPr>
            <w:r w:rsidRPr="00983181">
              <w:rPr>
                <w:rFonts w:ascii="Arial" w:hAnsi="Arial" w:cs="Arial"/>
                <w:sz w:val="18"/>
                <w:szCs w:val="18"/>
              </w:rPr>
              <w:t>3</w:t>
            </w:r>
          </w:p>
        </w:tc>
        <w:tc>
          <w:tcPr>
            <w:tcW w:w="2126" w:type="dxa"/>
            <w:vAlign w:val="center"/>
          </w:tcPr>
          <w:p w14:paraId="4CCEC9E7" w14:textId="77777777" w:rsidR="009D5B6C" w:rsidRPr="00983181" w:rsidRDefault="004B458D" w:rsidP="004B458D">
            <w:pPr>
              <w:pStyle w:val="TableParagraph"/>
              <w:ind w:right="105"/>
              <w:jc w:val="center"/>
              <w:rPr>
                <w:rFonts w:ascii="Arial" w:hAnsi="Arial" w:cs="Arial"/>
                <w:sz w:val="18"/>
                <w:szCs w:val="18"/>
              </w:rPr>
            </w:pPr>
            <w:r>
              <w:rPr>
                <w:rFonts w:ascii="Arial" w:hAnsi="Arial" w:cs="Arial"/>
                <w:sz w:val="18"/>
                <w:szCs w:val="18"/>
              </w:rPr>
              <w:t>7,32</w:t>
            </w:r>
          </w:p>
        </w:tc>
      </w:tr>
    </w:tbl>
    <w:p w14:paraId="75184410" w14:textId="77777777" w:rsidR="009B7130" w:rsidRDefault="009B7130" w:rsidP="009D5B6C">
      <w:pPr>
        <w:pStyle w:val="LTAntwortRessortText"/>
        <w:ind w:left="0"/>
      </w:pPr>
    </w:p>
    <w:p w14:paraId="3EF80808" w14:textId="77777777" w:rsidR="009B7130" w:rsidRDefault="00F47B56" w:rsidP="00F47B56">
      <w:pPr>
        <w:pStyle w:val="LTAntwortRessortText"/>
      </w:pPr>
      <w:r>
        <w:t>5. Polizeipräsidium Oberfranken</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4B458D" w14:paraId="35A11888" w14:textId="77777777" w:rsidTr="004B458D">
        <w:trPr>
          <w:trHeight w:val="275"/>
        </w:trPr>
        <w:tc>
          <w:tcPr>
            <w:tcW w:w="1417" w:type="dxa"/>
            <w:vAlign w:val="center"/>
          </w:tcPr>
          <w:p w14:paraId="4C58FC3D" w14:textId="77777777" w:rsidR="009D5B6C" w:rsidRPr="004B458D" w:rsidRDefault="009D5B6C" w:rsidP="004B458D">
            <w:pPr>
              <w:pStyle w:val="TableParagraph"/>
              <w:ind w:left="301"/>
              <w:rPr>
                <w:rFonts w:ascii="Arial" w:hAnsi="Arial" w:cs="Arial"/>
                <w:sz w:val="18"/>
                <w:szCs w:val="18"/>
              </w:rPr>
            </w:pPr>
            <w:r w:rsidRPr="004B458D">
              <w:rPr>
                <w:rFonts w:ascii="Arial" w:hAnsi="Arial" w:cs="Arial"/>
                <w:sz w:val="18"/>
                <w:szCs w:val="18"/>
              </w:rPr>
              <w:t>Stichtag</w:t>
            </w:r>
          </w:p>
        </w:tc>
        <w:tc>
          <w:tcPr>
            <w:tcW w:w="1559" w:type="dxa"/>
            <w:vAlign w:val="center"/>
          </w:tcPr>
          <w:p w14:paraId="0CD18821" w14:textId="77777777" w:rsidR="009D5B6C" w:rsidRPr="004B458D" w:rsidRDefault="009D5B6C" w:rsidP="004B458D">
            <w:pPr>
              <w:pStyle w:val="TableParagraph"/>
              <w:ind w:left="446" w:right="438"/>
              <w:jc w:val="center"/>
              <w:rPr>
                <w:rFonts w:ascii="Arial" w:hAnsi="Arial" w:cs="Arial"/>
                <w:sz w:val="18"/>
                <w:szCs w:val="18"/>
              </w:rPr>
            </w:pPr>
            <w:r w:rsidRPr="004B458D">
              <w:rPr>
                <w:rFonts w:ascii="Arial" w:hAnsi="Arial" w:cs="Arial"/>
                <w:sz w:val="18"/>
                <w:szCs w:val="18"/>
              </w:rPr>
              <w:t>Gesamt</w:t>
            </w:r>
          </w:p>
        </w:tc>
        <w:tc>
          <w:tcPr>
            <w:tcW w:w="1418" w:type="dxa"/>
            <w:vAlign w:val="center"/>
          </w:tcPr>
          <w:p w14:paraId="5D6016E7" w14:textId="77777777" w:rsidR="009D5B6C" w:rsidRPr="004B458D" w:rsidRDefault="009D5B6C" w:rsidP="004B458D">
            <w:pPr>
              <w:pStyle w:val="TableParagraph"/>
              <w:ind w:left="96" w:right="90"/>
              <w:jc w:val="center"/>
              <w:rPr>
                <w:rFonts w:ascii="Arial" w:hAnsi="Arial" w:cs="Arial"/>
                <w:sz w:val="18"/>
                <w:szCs w:val="18"/>
              </w:rPr>
            </w:pPr>
            <w:r w:rsidRPr="004B458D">
              <w:rPr>
                <w:rFonts w:ascii="Arial" w:hAnsi="Arial" w:cs="Arial"/>
                <w:sz w:val="18"/>
                <w:szCs w:val="18"/>
              </w:rPr>
              <w:t>Anzahl Frauen</w:t>
            </w:r>
          </w:p>
        </w:tc>
        <w:tc>
          <w:tcPr>
            <w:tcW w:w="2126" w:type="dxa"/>
            <w:vAlign w:val="center"/>
          </w:tcPr>
          <w:p w14:paraId="4A5B8F9B" w14:textId="77777777" w:rsidR="009D5B6C" w:rsidRPr="004B458D" w:rsidRDefault="009D5B6C" w:rsidP="004B458D">
            <w:pPr>
              <w:pStyle w:val="TableParagraph"/>
              <w:ind w:right="110"/>
              <w:jc w:val="center"/>
              <w:rPr>
                <w:rFonts w:ascii="Arial" w:hAnsi="Arial" w:cs="Arial"/>
                <w:sz w:val="18"/>
                <w:szCs w:val="18"/>
              </w:rPr>
            </w:pPr>
            <w:r w:rsidRPr="004B458D">
              <w:rPr>
                <w:rFonts w:ascii="Arial" w:hAnsi="Arial" w:cs="Arial"/>
                <w:sz w:val="18"/>
                <w:szCs w:val="18"/>
              </w:rPr>
              <w:t xml:space="preserve">Frauenanteil </w:t>
            </w:r>
            <w:r w:rsidR="004B458D">
              <w:rPr>
                <w:rFonts w:ascii="Arial" w:hAnsi="Arial" w:cs="Arial"/>
                <w:sz w:val="18"/>
                <w:szCs w:val="18"/>
              </w:rPr>
              <w:t xml:space="preserve">in </w:t>
            </w:r>
            <w:r w:rsidR="006F49A4" w:rsidRPr="004B458D">
              <w:rPr>
                <w:rFonts w:ascii="Arial" w:hAnsi="Arial" w:cs="Arial"/>
                <w:sz w:val="18"/>
                <w:szCs w:val="18"/>
              </w:rPr>
              <w:t>Prozent</w:t>
            </w:r>
          </w:p>
        </w:tc>
      </w:tr>
      <w:tr w:rsidR="009D5B6C" w:rsidRPr="004B458D" w14:paraId="655804A5" w14:textId="77777777" w:rsidTr="004B458D">
        <w:trPr>
          <w:trHeight w:val="275"/>
        </w:trPr>
        <w:tc>
          <w:tcPr>
            <w:tcW w:w="1417" w:type="dxa"/>
            <w:vAlign w:val="center"/>
          </w:tcPr>
          <w:p w14:paraId="0036F07A" w14:textId="77777777" w:rsidR="009D5B6C" w:rsidRPr="004B458D" w:rsidRDefault="009D5B6C" w:rsidP="004B458D">
            <w:pPr>
              <w:pStyle w:val="TableParagraph"/>
              <w:ind w:left="301"/>
              <w:rPr>
                <w:rFonts w:ascii="Arial" w:hAnsi="Arial" w:cs="Arial"/>
                <w:sz w:val="18"/>
                <w:szCs w:val="18"/>
              </w:rPr>
            </w:pPr>
            <w:r w:rsidRPr="004B458D">
              <w:rPr>
                <w:rFonts w:ascii="Arial" w:hAnsi="Arial" w:cs="Arial"/>
                <w:sz w:val="18"/>
                <w:szCs w:val="18"/>
              </w:rPr>
              <w:t>31.12.2018</w:t>
            </w:r>
          </w:p>
        </w:tc>
        <w:tc>
          <w:tcPr>
            <w:tcW w:w="1559" w:type="dxa"/>
            <w:vAlign w:val="center"/>
          </w:tcPr>
          <w:p w14:paraId="56B42E58" w14:textId="77777777" w:rsidR="009D5B6C" w:rsidRPr="004B458D" w:rsidRDefault="009D5B6C" w:rsidP="004B458D">
            <w:pPr>
              <w:pStyle w:val="TableParagraph"/>
              <w:ind w:left="445" w:right="438"/>
              <w:jc w:val="center"/>
              <w:rPr>
                <w:rFonts w:ascii="Arial" w:hAnsi="Arial" w:cs="Arial"/>
                <w:sz w:val="18"/>
                <w:szCs w:val="18"/>
              </w:rPr>
            </w:pPr>
            <w:r w:rsidRPr="004B458D">
              <w:rPr>
                <w:rFonts w:ascii="Arial" w:hAnsi="Arial" w:cs="Arial"/>
                <w:sz w:val="18"/>
                <w:szCs w:val="18"/>
              </w:rPr>
              <w:t>28</w:t>
            </w:r>
          </w:p>
        </w:tc>
        <w:tc>
          <w:tcPr>
            <w:tcW w:w="1418" w:type="dxa"/>
            <w:vAlign w:val="center"/>
          </w:tcPr>
          <w:p w14:paraId="5962BE62" w14:textId="77777777" w:rsidR="009D5B6C" w:rsidRPr="004B458D" w:rsidRDefault="009D5B6C" w:rsidP="004B458D">
            <w:pPr>
              <w:pStyle w:val="TableParagraph"/>
              <w:ind w:left="9"/>
              <w:jc w:val="center"/>
              <w:rPr>
                <w:rFonts w:ascii="Arial" w:hAnsi="Arial" w:cs="Arial"/>
                <w:sz w:val="18"/>
                <w:szCs w:val="18"/>
              </w:rPr>
            </w:pPr>
            <w:r w:rsidRPr="004B458D">
              <w:rPr>
                <w:rFonts w:ascii="Arial" w:hAnsi="Arial" w:cs="Arial"/>
                <w:sz w:val="18"/>
                <w:szCs w:val="18"/>
              </w:rPr>
              <w:t>2</w:t>
            </w:r>
          </w:p>
        </w:tc>
        <w:tc>
          <w:tcPr>
            <w:tcW w:w="2126" w:type="dxa"/>
            <w:vAlign w:val="center"/>
          </w:tcPr>
          <w:p w14:paraId="3C2EAAB7" w14:textId="77777777" w:rsidR="009D5B6C" w:rsidRPr="004B458D" w:rsidRDefault="004B458D" w:rsidP="004B458D">
            <w:pPr>
              <w:pStyle w:val="TableParagraph"/>
              <w:ind w:right="105"/>
              <w:jc w:val="center"/>
              <w:rPr>
                <w:rFonts w:ascii="Arial" w:hAnsi="Arial" w:cs="Arial"/>
                <w:sz w:val="18"/>
                <w:szCs w:val="18"/>
              </w:rPr>
            </w:pPr>
            <w:r>
              <w:rPr>
                <w:rFonts w:ascii="Arial" w:hAnsi="Arial" w:cs="Arial"/>
                <w:sz w:val="18"/>
                <w:szCs w:val="18"/>
              </w:rPr>
              <w:t>7,14</w:t>
            </w:r>
          </w:p>
        </w:tc>
      </w:tr>
      <w:tr w:rsidR="009D5B6C" w:rsidRPr="004B458D" w14:paraId="74211280" w14:textId="77777777" w:rsidTr="004B458D">
        <w:trPr>
          <w:trHeight w:val="277"/>
        </w:trPr>
        <w:tc>
          <w:tcPr>
            <w:tcW w:w="1417" w:type="dxa"/>
            <w:vAlign w:val="center"/>
          </w:tcPr>
          <w:p w14:paraId="7CB729CB" w14:textId="77777777" w:rsidR="009D5B6C" w:rsidRPr="004B458D" w:rsidRDefault="009D5B6C" w:rsidP="004B458D">
            <w:pPr>
              <w:pStyle w:val="TableParagraph"/>
              <w:spacing w:line="258" w:lineRule="exact"/>
              <w:ind w:left="301"/>
              <w:rPr>
                <w:rFonts w:ascii="Arial" w:hAnsi="Arial" w:cs="Arial"/>
                <w:sz w:val="18"/>
                <w:szCs w:val="18"/>
              </w:rPr>
            </w:pPr>
            <w:r w:rsidRPr="004B458D">
              <w:rPr>
                <w:rFonts w:ascii="Arial" w:hAnsi="Arial" w:cs="Arial"/>
                <w:sz w:val="18"/>
                <w:szCs w:val="18"/>
              </w:rPr>
              <w:t>31.12.2019</w:t>
            </w:r>
          </w:p>
        </w:tc>
        <w:tc>
          <w:tcPr>
            <w:tcW w:w="1559" w:type="dxa"/>
            <w:vAlign w:val="center"/>
          </w:tcPr>
          <w:p w14:paraId="19CB5A9E" w14:textId="77777777" w:rsidR="009D5B6C" w:rsidRPr="004B458D" w:rsidRDefault="009D5B6C" w:rsidP="004B458D">
            <w:pPr>
              <w:pStyle w:val="TableParagraph"/>
              <w:spacing w:line="258" w:lineRule="exact"/>
              <w:ind w:left="445" w:right="438"/>
              <w:jc w:val="center"/>
              <w:rPr>
                <w:rFonts w:ascii="Arial" w:hAnsi="Arial" w:cs="Arial"/>
                <w:sz w:val="18"/>
                <w:szCs w:val="18"/>
              </w:rPr>
            </w:pPr>
            <w:r w:rsidRPr="004B458D">
              <w:rPr>
                <w:rFonts w:ascii="Arial" w:hAnsi="Arial" w:cs="Arial"/>
                <w:sz w:val="18"/>
                <w:szCs w:val="18"/>
              </w:rPr>
              <w:t>27</w:t>
            </w:r>
          </w:p>
        </w:tc>
        <w:tc>
          <w:tcPr>
            <w:tcW w:w="1418" w:type="dxa"/>
            <w:vAlign w:val="center"/>
          </w:tcPr>
          <w:p w14:paraId="29601B45" w14:textId="77777777" w:rsidR="009D5B6C" w:rsidRPr="004B458D" w:rsidRDefault="009D5B6C" w:rsidP="004B458D">
            <w:pPr>
              <w:pStyle w:val="TableParagraph"/>
              <w:spacing w:line="258" w:lineRule="exact"/>
              <w:ind w:left="9"/>
              <w:jc w:val="center"/>
              <w:rPr>
                <w:rFonts w:ascii="Arial" w:hAnsi="Arial" w:cs="Arial"/>
                <w:sz w:val="18"/>
                <w:szCs w:val="18"/>
              </w:rPr>
            </w:pPr>
            <w:r w:rsidRPr="004B458D">
              <w:rPr>
                <w:rFonts w:ascii="Arial" w:hAnsi="Arial" w:cs="Arial"/>
                <w:sz w:val="18"/>
                <w:szCs w:val="18"/>
              </w:rPr>
              <w:t>2</w:t>
            </w:r>
          </w:p>
        </w:tc>
        <w:tc>
          <w:tcPr>
            <w:tcW w:w="2126" w:type="dxa"/>
            <w:vAlign w:val="center"/>
          </w:tcPr>
          <w:p w14:paraId="6702DE8F" w14:textId="77777777" w:rsidR="009D5B6C" w:rsidRPr="004B458D" w:rsidRDefault="009D5B6C" w:rsidP="004B458D">
            <w:pPr>
              <w:pStyle w:val="TableParagraph"/>
              <w:spacing w:line="258" w:lineRule="exact"/>
              <w:ind w:right="105"/>
              <w:jc w:val="center"/>
              <w:rPr>
                <w:rFonts w:ascii="Arial" w:hAnsi="Arial" w:cs="Arial"/>
                <w:sz w:val="18"/>
                <w:szCs w:val="18"/>
              </w:rPr>
            </w:pPr>
            <w:r w:rsidRPr="004B458D">
              <w:rPr>
                <w:rFonts w:ascii="Arial" w:hAnsi="Arial" w:cs="Arial"/>
                <w:sz w:val="18"/>
                <w:szCs w:val="18"/>
              </w:rPr>
              <w:t>7,41</w:t>
            </w:r>
          </w:p>
        </w:tc>
      </w:tr>
      <w:tr w:rsidR="009D5B6C" w:rsidRPr="004B458D" w14:paraId="0B80812C" w14:textId="77777777" w:rsidTr="004B458D">
        <w:trPr>
          <w:trHeight w:val="275"/>
        </w:trPr>
        <w:tc>
          <w:tcPr>
            <w:tcW w:w="1417" w:type="dxa"/>
            <w:vAlign w:val="center"/>
          </w:tcPr>
          <w:p w14:paraId="33CFB0B0" w14:textId="77777777" w:rsidR="009D5B6C" w:rsidRPr="004B458D" w:rsidRDefault="009D5B6C" w:rsidP="004B458D">
            <w:pPr>
              <w:pStyle w:val="TableParagraph"/>
              <w:ind w:left="301"/>
              <w:rPr>
                <w:rFonts w:ascii="Arial" w:hAnsi="Arial" w:cs="Arial"/>
                <w:sz w:val="18"/>
                <w:szCs w:val="18"/>
              </w:rPr>
            </w:pPr>
            <w:r w:rsidRPr="004B458D">
              <w:rPr>
                <w:rFonts w:ascii="Arial" w:hAnsi="Arial" w:cs="Arial"/>
                <w:sz w:val="18"/>
                <w:szCs w:val="18"/>
              </w:rPr>
              <w:t>31.12.2020</w:t>
            </w:r>
          </w:p>
        </w:tc>
        <w:tc>
          <w:tcPr>
            <w:tcW w:w="1559" w:type="dxa"/>
            <w:vAlign w:val="center"/>
          </w:tcPr>
          <w:p w14:paraId="41BA10E7" w14:textId="77777777" w:rsidR="009D5B6C" w:rsidRPr="004B458D" w:rsidRDefault="009D5B6C" w:rsidP="004B458D">
            <w:pPr>
              <w:pStyle w:val="TableParagraph"/>
              <w:ind w:left="445" w:right="438"/>
              <w:jc w:val="center"/>
              <w:rPr>
                <w:rFonts w:ascii="Arial" w:hAnsi="Arial" w:cs="Arial"/>
                <w:sz w:val="18"/>
                <w:szCs w:val="18"/>
              </w:rPr>
            </w:pPr>
            <w:r w:rsidRPr="004B458D">
              <w:rPr>
                <w:rFonts w:ascii="Arial" w:hAnsi="Arial" w:cs="Arial"/>
                <w:sz w:val="18"/>
                <w:szCs w:val="18"/>
              </w:rPr>
              <w:t>29</w:t>
            </w:r>
          </w:p>
        </w:tc>
        <w:tc>
          <w:tcPr>
            <w:tcW w:w="1418" w:type="dxa"/>
            <w:vAlign w:val="center"/>
          </w:tcPr>
          <w:p w14:paraId="1A2733E7" w14:textId="77777777" w:rsidR="009D5B6C" w:rsidRPr="004B458D" w:rsidRDefault="009D5B6C" w:rsidP="004B458D">
            <w:pPr>
              <w:pStyle w:val="TableParagraph"/>
              <w:ind w:left="9"/>
              <w:jc w:val="center"/>
              <w:rPr>
                <w:rFonts w:ascii="Arial" w:hAnsi="Arial" w:cs="Arial"/>
                <w:sz w:val="18"/>
                <w:szCs w:val="18"/>
              </w:rPr>
            </w:pPr>
            <w:r w:rsidRPr="004B458D">
              <w:rPr>
                <w:rFonts w:ascii="Arial" w:hAnsi="Arial" w:cs="Arial"/>
                <w:sz w:val="18"/>
                <w:szCs w:val="18"/>
              </w:rPr>
              <w:t>2</w:t>
            </w:r>
          </w:p>
        </w:tc>
        <w:tc>
          <w:tcPr>
            <w:tcW w:w="2126" w:type="dxa"/>
            <w:vAlign w:val="center"/>
          </w:tcPr>
          <w:p w14:paraId="6CFEF16B" w14:textId="77777777" w:rsidR="009D5B6C" w:rsidRPr="004B458D" w:rsidRDefault="004B458D" w:rsidP="004B458D">
            <w:pPr>
              <w:pStyle w:val="TableParagraph"/>
              <w:ind w:right="105"/>
              <w:jc w:val="center"/>
              <w:rPr>
                <w:rFonts w:ascii="Arial" w:hAnsi="Arial" w:cs="Arial"/>
                <w:sz w:val="18"/>
                <w:szCs w:val="18"/>
              </w:rPr>
            </w:pPr>
            <w:r>
              <w:rPr>
                <w:rFonts w:ascii="Arial" w:hAnsi="Arial" w:cs="Arial"/>
                <w:sz w:val="18"/>
                <w:szCs w:val="18"/>
              </w:rPr>
              <w:t>6,90</w:t>
            </w:r>
          </w:p>
        </w:tc>
      </w:tr>
      <w:tr w:rsidR="009D5B6C" w:rsidRPr="004B458D" w14:paraId="5E16CD92" w14:textId="77777777" w:rsidTr="004B458D">
        <w:trPr>
          <w:trHeight w:val="275"/>
        </w:trPr>
        <w:tc>
          <w:tcPr>
            <w:tcW w:w="1417" w:type="dxa"/>
            <w:vAlign w:val="center"/>
          </w:tcPr>
          <w:p w14:paraId="5BE82CA8" w14:textId="77777777" w:rsidR="009D5B6C" w:rsidRPr="004B458D" w:rsidRDefault="009D5B6C" w:rsidP="004B458D">
            <w:pPr>
              <w:pStyle w:val="TableParagraph"/>
              <w:ind w:left="301"/>
              <w:rPr>
                <w:rFonts w:ascii="Arial" w:hAnsi="Arial" w:cs="Arial"/>
                <w:sz w:val="18"/>
                <w:szCs w:val="18"/>
              </w:rPr>
            </w:pPr>
            <w:r w:rsidRPr="004B458D">
              <w:rPr>
                <w:rFonts w:ascii="Arial" w:hAnsi="Arial" w:cs="Arial"/>
                <w:sz w:val="18"/>
                <w:szCs w:val="18"/>
              </w:rPr>
              <w:t>30.06.2021</w:t>
            </w:r>
          </w:p>
        </w:tc>
        <w:tc>
          <w:tcPr>
            <w:tcW w:w="1559" w:type="dxa"/>
            <w:vAlign w:val="center"/>
          </w:tcPr>
          <w:p w14:paraId="7506014B" w14:textId="77777777" w:rsidR="009D5B6C" w:rsidRPr="004B458D" w:rsidRDefault="009D5B6C" w:rsidP="004B458D">
            <w:pPr>
              <w:pStyle w:val="TableParagraph"/>
              <w:ind w:left="445" w:right="438"/>
              <w:jc w:val="center"/>
              <w:rPr>
                <w:rFonts w:ascii="Arial" w:hAnsi="Arial" w:cs="Arial"/>
                <w:sz w:val="18"/>
                <w:szCs w:val="18"/>
              </w:rPr>
            </w:pPr>
            <w:r w:rsidRPr="004B458D">
              <w:rPr>
                <w:rFonts w:ascii="Arial" w:hAnsi="Arial" w:cs="Arial"/>
                <w:sz w:val="18"/>
                <w:szCs w:val="18"/>
              </w:rPr>
              <w:t>28</w:t>
            </w:r>
          </w:p>
        </w:tc>
        <w:tc>
          <w:tcPr>
            <w:tcW w:w="1418" w:type="dxa"/>
            <w:vAlign w:val="center"/>
          </w:tcPr>
          <w:p w14:paraId="026C9967" w14:textId="77777777" w:rsidR="009D5B6C" w:rsidRPr="004B458D" w:rsidRDefault="009D5B6C" w:rsidP="004B458D">
            <w:pPr>
              <w:pStyle w:val="TableParagraph"/>
              <w:ind w:left="9"/>
              <w:jc w:val="center"/>
              <w:rPr>
                <w:rFonts w:ascii="Arial" w:hAnsi="Arial" w:cs="Arial"/>
                <w:sz w:val="18"/>
                <w:szCs w:val="18"/>
              </w:rPr>
            </w:pPr>
            <w:r w:rsidRPr="004B458D">
              <w:rPr>
                <w:rFonts w:ascii="Arial" w:hAnsi="Arial" w:cs="Arial"/>
                <w:sz w:val="18"/>
                <w:szCs w:val="18"/>
              </w:rPr>
              <w:t>2</w:t>
            </w:r>
          </w:p>
        </w:tc>
        <w:tc>
          <w:tcPr>
            <w:tcW w:w="2126" w:type="dxa"/>
            <w:vAlign w:val="center"/>
          </w:tcPr>
          <w:p w14:paraId="1B45C156" w14:textId="77777777" w:rsidR="009D5B6C" w:rsidRPr="004B458D" w:rsidRDefault="004B458D" w:rsidP="004B458D">
            <w:pPr>
              <w:pStyle w:val="TableParagraph"/>
              <w:ind w:right="105"/>
              <w:jc w:val="center"/>
              <w:rPr>
                <w:rFonts w:ascii="Arial" w:hAnsi="Arial" w:cs="Arial"/>
                <w:sz w:val="18"/>
                <w:szCs w:val="18"/>
              </w:rPr>
            </w:pPr>
            <w:r>
              <w:rPr>
                <w:rFonts w:ascii="Arial" w:hAnsi="Arial" w:cs="Arial"/>
                <w:sz w:val="18"/>
                <w:szCs w:val="18"/>
              </w:rPr>
              <w:t>7,14</w:t>
            </w:r>
          </w:p>
        </w:tc>
      </w:tr>
      <w:tr w:rsidR="009D5B6C" w:rsidRPr="004B458D" w14:paraId="081DE75B" w14:textId="77777777" w:rsidTr="004B458D">
        <w:trPr>
          <w:trHeight w:val="275"/>
        </w:trPr>
        <w:tc>
          <w:tcPr>
            <w:tcW w:w="1417" w:type="dxa"/>
            <w:vAlign w:val="center"/>
          </w:tcPr>
          <w:p w14:paraId="2BD935E7" w14:textId="77777777" w:rsidR="009D5B6C" w:rsidRPr="004B458D" w:rsidRDefault="009D5B6C" w:rsidP="004B458D">
            <w:pPr>
              <w:pStyle w:val="TableParagraph"/>
              <w:ind w:left="301"/>
              <w:rPr>
                <w:rFonts w:ascii="Arial" w:hAnsi="Arial" w:cs="Arial"/>
                <w:sz w:val="18"/>
                <w:szCs w:val="18"/>
              </w:rPr>
            </w:pPr>
            <w:r w:rsidRPr="004B458D">
              <w:rPr>
                <w:rFonts w:ascii="Arial" w:hAnsi="Arial" w:cs="Arial"/>
                <w:sz w:val="18"/>
                <w:szCs w:val="18"/>
              </w:rPr>
              <w:t>01.02.2022</w:t>
            </w:r>
          </w:p>
        </w:tc>
        <w:tc>
          <w:tcPr>
            <w:tcW w:w="1559" w:type="dxa"/>
            <w:vAlign w:val="center"/>
          </w:tcPr>
          <w:p w14:paraId="46F5ACEB" w14:textId="77777777" w:rsidR="009D5B6C" w:rsidRPr="004B458D" w:rsidRDefault="009D5B6C" w:rsidP="004B458D">
            <w:pPr>
              <w:pStyle w:val="TableParagraph"/>
              <w:ind w:left="445" w:right="438"/>
              <w:jc w:val="center"/>
              <w:rPr>
                <w:rFonts w:ascii="Arial" w:hAnsi="Arial" w:cs="Arial"/>
                <w:sz w:val="18"/>
                <w:szCs w:val="18"/>
              </w:rPr>
            </w:pPr>
            <w:r w:rsidRPr="004B458D">
              <w:rPr>
                <w:rFonts w:ascii="Arial" w:hAnsi="Arial" w:cs="Arial"/>
                <w:sz w:val="18"/>
                <w:szCs w:val="18"/>
              </w:rPr>
              <w:t>29</w:t>
            </w:r>
          </w:p>
        </w:tc>
        <w:tc>
          <w:tcPr>
            <w:tcW w:w="1418" w:type="dxa"/>
            <w:vAlign w:val="center"/>
          </w:tcPr>
          <w:p w14:paraId="59F79095" w14:textId="77777777" w:rsidR="009D5B6C" w:rsidRPr="004B458D" w:rsidRDefault="009D5B6C" w:rsidP="004B458D">
            <w:pPr>
              <w:pStyle w:val="TableParagraph"/>
              <w:ind w:left="9"/>
              <w:jc w:val="center"/>
              <w:rPr>
                <w:rFonts w:ascii="Arial" w:hAnsi="Arial" w:cs="Arial"/>
                <w:sz w:val="18"/>
                <w:szCs w:val="18"/>
              </w:rPr>
            </w:pPr>
            <w:r w:rsidRPr="004B458D">
              <w:rPr>
                <w:rFonts w:ascii="Arial" w:hAnsi="Arial" w:cs="Arial"/>
                <w:sz w:val="18"/>
                <w:szCs w:val="18"/>
              </w:rPr>
              <w:t>1</w:t>
            </w:r>
          </w:p>
        </w:tc>
        <w:tc>
          <w:tcPr>
            <w:tcW w:w="2126" w:type="dxa"/>
            <w:vAlign w:val="center"/>
          </w:tcPr>
          <w:p w14:paraId="09727C79" w14:textId="77777777" w:rsidR="009D5B6C" w:rsidRPr="004B458D" w:rsidRDefault="009D5B6C" w:rsidP="004B458D">
            <w:pPr>
              <w:pStyle w:val="TableParagraph"/>
              <w:ind w:right="105"/>
              <w:jc w:val="center"/>
              <w:rPr>
                <w:rFonts w:ascii="Arial" w:hAnsi="Arial" w:cs="Arial"/>
                <w:sz w:val="18"/>
                <w:szCs w:val="18"/>
              </w:rPr>
            </w:pPr>
            <w:r w:rsidRPr="004B458D">
              <w:rPr>
                <w:rFonts w:ascii="Arial" w:hAnsi="Arial" w:cs="Arial"/>
                <w:sz w:val="18"/>
                <w:szCs w:val="18"/>
              </w:rPr>
              <w:t>3,45</w:t>
            </w:r>
          </w:p>
        </w:tc>
      </w:tr>
    </w:tbl>
    <w:p w14:paraId="7E4146C7" w14:textId="77777777" w:rsidR="009B7130" w:rsidRDefault="009B7130" w:rsidP="009D5B6C">
      <w:pPr>
        <w:pStyle w:val="LTAntwortRessortText"/>
        <w:ind w:left="0"/>
      </w:pPr>
    </w:p>
    <w:p w14:paraId="29452D64" w14:textId="77777777" w:rsidR="009B7130" w:rsidRDefault="009B7130" w:rsidP="00F47B56">
      <w:pPr>
        <w:pStyle w:val="LTAntwortRessortText"/>
      </w:pPr>
      <w:r>
        <w:t>6.</w:t>
      </w:r>
      <w:r w:rsidR="00F47B56">
        <w:t xml:space="preserve"> Polizeipräsidium Mittelfranken</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7F47AD" w14:paraId="654B496F" w14:textId="77777777" w:rsidTr="001A14F7">
        <w:trPr>
          <w:trHeight w:val="275"/>
        </w:trPr>
        <w:tc>
          <w:tcPr>
            <w:tcW w:w="1417" w:type="dxa"/>
            <w:vAlign w:val="center"/>
          </w:tcPr>
          <w:p w14:paraId="5DEB1AC9" w14:textId="77777777" w:rsidR="009D5B6C" w:rsidRPr="007F47AD" w:rsidRDefault="009D5B6C" w:rsidP="007F47AD">
            <w:pPr>
              <w:pStyle w:val="TableParagraph"/>
              <w:ind w:left="301"/>
              <w:rPr>
                <w:rFonts w:ascii="Arial" w:hAnsi="Arial" w:cs="Arial"/>
                <w:sz w:val="18"/>
                <w:szCs w:val="18"/>
              </w:rPr>
            </w:pPr>
            <w:r w:rsidRPr="007F47AD">
              <w:rPr>
                <w:rFonts w:ascii="Arial" w:hAnsi="Arial" w:cs="Arial"/>
                <w:sz w:val="18"/>
                <w:szCs w:val="18"/>
              </w:rPr>
              <w:t>Stichtag</w:t>
            </w:r>
          </w:p>
        </w:tc>
        <w:tc>
          <w:tcPr>
            <w:tcW w:w="1559" w:type="dxa"/>
            <w:vAlign w:val="center"/>
          </w:tcPr>
          <w:p w14:paraId="1F6F7979" w14:textId="77777777" w:rsidR="009D5B6C" w:rsidRPr="007F47AD" w:rsidRDefault="009D5B6C" w:rsidP="007F47AD">
            <w:pPr>
              <w:pStyle w:val="TableParagraph"/>
              <w:ind w:left="446" w:right="438"/>
              <w:jc w:val="center"/>
              <w:rPr>
                <w:rFonts w:ascii="Arial" w:hAnsi="Arial" w:cs="Arial"/>
                <w:sz w:val="18"/>
                <w:szCs w:val="18"/>
              </w:rPr>
            </w:pPr>
            <w:r w:rsidRPr="007F47AD">
              <w:rPr>
                <w:rFonts w:ascii="Arial" w:hAnsi="Arial" w:cs="Arial"/>
                <w:sz w:val="18"/>
                <w:szCs w:val="18"/>
              </w:rPr>
              <w:t>Gesamt</w:t>
            </w:r>
          </w:p>
        </w:tc>
        <w:tc>
          <w:tcPr>
            <w:tcW w:w="1418" w:type="dxa"/>
            <w:vAlign w:val="center"/>
          </w:tcPr>
          <w:p w14:paraId="1293D261" w14:textId="77777777" w:rsidR="009D5B6C" w:rsidRPr="007F47AD" w:rsidRDefault="009D5B6C" w:rsidP="007F47AD">
            <w:pPr>
              <w:pStyle w:val="TableParagraph"/>
              <w:ind w:left="96" w:right="90"/>
              <w:jc w:val="center"/>
              <w:rPr>
                <w:rFonts w:ascii="Arial" w:hAnsi="Arial" w:cs="Arial"/>
                <w:sz w:val="18"/>
                <w:szCs w:val="18"/>
              </w:rPr>
            </w:pPr>
            <w:r w:rsidRPr="007F47AD">
              <w:rPr>
                <w:rFonts w:ascii="Arial" w:hAnsi="Arial" w:cs="Arial"/>
                <w:sz w:val="18"/>
                <w:szCs w:val="18"/>
              </w:rPr>
              <w:t>Anzahl Frauen</w:t>
            </w:r>
          </w:p>
        </w:tc>
        <w:tc>
          <w:tcPr>
            <w:tcW w:w="2126" w:type="dxa"/>
            <w:vAlign w:val="center"/>
          </w:tcPr>
          <w:p w14:paraId="4BFA884A" w14:textId="77777777" w:rsidR="009D5B6C" w:rsidRPr="007F47AD" w:rsidRDefault="009D5B6C" w:rsidP="007F47AD">
            <w:pPr>
              <w:pStyle w:val="TableParagraph"/>
              <w:ind w:right="110"/>
              <w:jc w:val="center"/>
              <w:rPr>
                <w:rFonts w:ascii="Arial" w:hAnsi="Arial" w:cs="Arial"/>
                <w:sz w:val="18"/>
                <w:szCs w:val="18"/>
              </w:rPr>
            </w:pPr>
            <w:r w:rsidRPr="007F47AD">
              <w:rPr>
                <w:rFonts w:ascii="Arial" w:hAnsi="Arial" w:cs="Arial"/>
                <w:sz w:val="18"/>
                <w:szCs w:val="18"/>
              </w:rPr>
              <w:t xml:space="preserve">Frauenanteil </w:t>
            </w:r>
            <w:r w:rsidR="007F47AD">
              <w:rPr>
                <w:rFonts w:ascii="Arial" w:hAnsi="Arial" w:cs="Arial"/>
                <w:sz w:val="18"/>
                <w:szCs w:val="18"/>
              </w:rPr>
              <w:t xml:space="preserve">in </w:t>
            </w:r>
            <w:r w:rsidR="006F49A4" w:rsidRPr="007F47AD">
              <w:rPr>
                <w:rFonts w:ascii="Arial" w:hAnsi="Arial" w:cs="Arial"/>
                <w:sz w:val="18"/>
                <w:szCs w:val="18"/>
              </w:rPr>
              <w:t>Prozent</w:t>
            </w:r>
          </w:p>
        </w:tc>
      </w:tr>
      <w:tr w:rsidR="009D5B6C" w:rsidRPr="007F47AD" w14:paraId="0E85A35D" w14:textId="77777777" w:rsidTr="001A14F7">
        <w:trPr>
          <w:trHeight w:val="275"/>
        </w:trPr>
        <w:tc>
          <w:tcPr>
            <w:tcW w:w="1417" w:type="dxa"/>
            <w:vAlign w:val="center"/>
          </w:tcPr>
          <w:p w14:paraId="144D1D44" w14:textId="77777777" w:rsidR="009D5B6C" w:rsidRPr="007F47AD" w:rsidRDefault="009D5B6C" w:rsidP="007F47AD">
            <w:pPr>
              <w:pStyle w:val="TableParagraph"/>
              <w:ind w:left="301"/>
              <w:rPr>
                <w:rFonts w:ascii="Arial" w:hAnsi="Arial" w:cs="Arial"/>
                <w:sz w:val="18"/>
                <w:szCs w:val="18"/>
              </w:rPr>
            </w:pPr>
            <w:r w:rsidRPr="007F47AD">
              <w:rPr>
                <w:rFonts w:ascii="Arial" w:hAnsi="Arial" w:cs="Arial"/>
                <w:sz w:val="18"/>
                <w:szCs w:val="18"/>
              </w:rPr>
              <w:t>31.12.2018</w:t>
            </w:r>
          </w:p>
        </w:tc>
        <w:tc>
          <w:tcPr>
            <w:tcW w:w="1559" w:type="dxa"/>
            <w:vAlign w:val="center"/>
          </w:tcPr>
          <w:p w14:paraId="6D68696E" w14:textId="77777777" w:rsidR="009D5B6C" w:rsidRPr="007F47AD" w:rsidRDefault="009D5B6C" w:rsidP="007F47AD">
            <w:pPr>
              <w:pStyle w:val="TableParagraph"/>
              <w:ind w:left="445" w:right="438"/>
              <w:jc w:val="center"/>
              <w:rPr>
                <w:rFonts w:ascii="Arial" w:hAnsi="Arial" w:cs="Arial"/>
                <w:sz w:val="18"/>
                <w:szCs w:val="18"/>
              </w:rPr>
            </w:pPr>
            <w:r w:rsidRPr="007F47AD">
              <w:rPr>
                <w:rFonts w:ascii="Arial" w:hAnsi="Arial" w:cs="Arial"/>
                <w:sz w:val="18"/>
                <w:szCs w:val="18"/>
              </w:rPr>
              <w:t>38</w:t>
            </w:r>
          </w:p>
        </w:tc>
        <w:tc>
          <w:tcPr>
            <w:tcW w:w="1418" w:type="dxa"/>
            <w:vAlign w:val="center"/>
          </w:tcPr>
          <w:p w14:paraId="59A195D9" w14:textId="77777777" w:rsidR="009D5B6C" w:rsidRPr="007F47AD" w:rsidRDefault="009D5B6C" w:rsidP="007F47AD">
            <w:pPr>
              <w:pStyle w:val="TableParagraph"/>
              <w:ind w:left="9"/>
              <w:jc w:val="center"/>
              <w:rPr>
                <w:rFonts w:ascii="Arial" w:hAnsi="Arial" w:cs="Arial"/>
                <w:sz w:val="18"/>
                <w:szCs w:val="18"/>
              </w:rPr>
            </w:pPr>
            <w:r w:rsidRPr="007F47AD">
              <w:rPr>
                <w:rFonts w:ascii="Arial" w:hAnsi="Arial" w:cs="Arial"/>
                <w:sz w:val="18"/>
                <w:szCs w:val="18"/>
              </w:rPr>
              <w:t>2</w:t>
            </w:r>
          </w:p>
        </w:tc>
        <w:tc>
          <w:tcPr>
            <w:tcW w:w="2126" w:type="dxa"/>
            <w:vAlign w:val="center"/>
          </w:tcPr>
          <w:p w14:paraId="26FE8D76" w14:textId="77777777" w:rsidR="009D5B6C" w:rsidRPr="007F47AD" w:rsidRDefault="009D5B6C" w:rsidP="007F47AD">
            <w:pPr>
              <w:pStyle w:val="TableParagraph"/>
              <w:ind w:right="105"/>
              <w:jc w:val="center"/>
              <w:rPr>
                <w:rFonts w:ascii="Arial" w:hAnsi="Arial" w:cs="Arial"/>
                <w:sz w:val="18"/>
                <w:szCs w:val="18"/>
              </w:rPr>
            </w:pPr>
            <w:r w:rsidRPr="007F47AD">
              <w:rPr>
                <w:rFonts w:ascii="Arial" w:hAnsi="Arial" w:cs="Arial"/>
                <w:sz w:val="18"/>
                <w:szCs w:val="18"/>
              </w:rPr>
              <w:t>5,26</w:t>
            </w:r>
          </w:p>
        </w:tc>
      </w:tr>
      <w:tr w:rsidR="009D5B6C" w:rsidRPr="007F47AD" w14:paraId="1DAF5C77" w14:textId="77777777" w:rsidTr="001A14F7">
        <w:trPr>
          <w:trHeight w:val="278"/>
        </w:trPr>
        <w:tc>
          <w:tcPr>
            <w:tcW w:w="1417" w:type="dxa"/>
            <w:vAlign w:val="center"/>
          </w:tcPr>
          <w:p w14:paraId="37D8E2CE" w14:textId="77777777" w:rsidR="009D5B6C" w:rsidRPr="007F47AD" w:rsidRDefault="009D5B6C" w:rsidP="007F47AD">
            <w:pPr>
              <w:pStyle w:val="TableParagraph"/>
              <w:spacing w:line="258" w:lineRule="exact"/>
              <w:ind w:left="301"/>
              <w:rPr>
                <w:rFonts w:ascii="Arial" w:hAnsi="Arial" w:cs="Arial"/>
                <w:sz w:val="18"/>
                <w:szCs w:val="18"/>
              </w:rPr>
            </w:pPr>
            <w:r w:rsidRPr="007F47AD">
              <w:rPr>
                <w:rFonts w:ascii="Arial" w:hAnsi="Arial" w:cs="Arial"/>
                <w:sz w:val="18"/>
                <w:szCs w:val="18"/>
              </w:rPr>
              <w:t>31.12.2019</w:t>
            </w:r>
          </w:p>
        </w:tc>
        <w:tc>
          <w:tcPr>
            <w:tcW w:w="1559" w:type="dxa"/>
            <w:vAlign w:val="center"/>
          </w:tcPr>
          <w:p w14:paraId="1681BF45" w14:textId="77777777" w:rsidR="009D5B6C" w:rsidRPr="007F47AD" w:rsidRDefault="009D5B6C" w:rsidP="007F47AD">
            <w:pPr>
              <w:pStyle w:val="TableParagraph"/>
              <w:spacing w:line="258" w:lineRule="exact"/>
              <w:ind w:left="445" w:right="438"/>
              <w:jc w:val="center"/>
              <w:rPr>
                <w:rFonts w:ascii="Arial" w:hAnsi="Arial" w:cs="Arial"/>
                <w:sz w:val="18"/>
                <w:szCs w:val="18"/>
              </w:rPr>
            </w:pPr>
            <w:r w:rsidRPr="007F47AD">
              <w:rPr>
                <w:rFonts w:ascii="Arial" w:hAnsi="Arial" w:cs="Arial"/>
                <w:sz w:val="18"/>
                <w:szCs w:val="18"/>
              </w:rPr>
              <w:t>41</w:t>
            </w:r>
          </w:p>
        </w:tc>
        <w:tc>
          <w:tcPr>
            <w:tcW w:w="1418" w:type="dxa"/>
            <w:vAlign w:val="center"/>
          </w:tcPr>
          <w:p w14:paraId="0A938A05" w14:textId="77777777" w:rsidR="009D5B6C" w:rsidRPr="007F47AD" w:rsidRDefault="009D5B6C" w:rsidP="007F47AD">
            <w:pPr>
              <w:pStyle w:val="TableParagraph"/>
              <w:spacing w:line="258" w:lineRule="exact"/>
              <w:ind w:left="9"/>
              <w:jc w:val="center"/>
              <w:rPr>
                <w:rFonts w:ascii="Arial" w:hAnsi="Arial" w:cs="Arial"/>
                <w:sz w:val="18"/>
                <w:szCs w:val="18"/>
              </w:rPr>
            </w:pPr>
            <w:r w:rsidRPr="007F47AD">
              <w:rPr>
                <w:rFonts w:ascii="Arial" w:hAnsi="Arial" w:cs="Arial"/>
                <w:sz w:val="18"/>
                <w:szCs w:val="18"/>
              </w:rPr>
              <w:t>3</w:t>
            </w:r>
          </w:p>
        </w:tc>
        <w:tc>
          <w:tcPr>
            <w:tcW w:w="2126" w:type="dxa"/>
            <w:vAlign w:val="center"/>
          </w:tcPr>
          <w:p w14:paraId="59228E06" w14:textId="77777777" w:rsidR="009D5B6C" w:rsidRPr="007F47AD" w:rsidRDefault="007F47AD" w:rsidP="007F47AD">
            <w:pPr>
              <w:pStyle w:val="TableParagraph"/>
              <w:spacing w:line="258" w:lineRule="exact"/>
              <w:ind w:right="105"/>
              <w:jc w:val="center"/>
              <w:rPr>
                <w:rFonts w:ascii="Arial" w:hAnsi="Arial" w:cs="Arial"/>
                <w:sz w:val="18"/>
                <w:szCs w:val="18"/>
              </w:rPr>
            </w:pPr>
            <w:r>
              <w:rPr>
                <w:rFonts w:ascii="Arial" w:hAnsi="Arial" w:cs="Arial"/>
                <w:sz w:val="18"/>
                <w:szCs w:val="18"/>
              </w:rPr>
              <w:t>7,32</w:t>
            </w:r>
          </w:p>
        </w:tc>
      </w:tr>
      <w:tr w:rsidR="009D5B6C" w:rsidRPr="007F47AD" w14:paraId="18E1277B" w14:textId="77777777" w:rsidTr="001A14F7">
        <w:trPr>
          <w:trHeight w:val="275"/>
        </w:trPr>
        <w:tc>
          <w:tcPr>
            <w:tcW w:w="1417" w:type="dxa"/>
            <w:vAlign w:val="center"/>
          </w:tcPr>
          <w:p w14:paraId="6B7B045D" w14:textId="77777777" w:rsidR="009D5B6C" w:rsidRPr="007F47AD" w:rsidRDefault="009D5B6C" w:rsidP="007F47AD">
            <w:pPr>
              <w:pStyle w:val="TableParagraph"/>
              <w:ind w:left="301"/>
              <w:rPr>
                <w:rFonts w:ascii="Arial" w:hAnsi="Arial" w:cs="Arial"/>
                <w:sz w:val="18"/>
                <w:szCs w:val="18"/>
              </w:rPr>
            </w:pPr>
            <w:r w:rsidRPr="007F47AD">
              <w:rPr>
                <w:rFonts w:ascii="Arial" w:hAnsi="Arial" w:cs="Arial"/>
                <w:sz w:val="18"/>
                <w:szCs w:val="18"/>
              </w:rPr>
              <w:t>31.12.2020</w:t>
            </w:r>
          </w:p>
        </w:tc>
        <w:tc>
          <w:tcPr>
            <w:tcW w:w="1559" w:type="dxa"/>
            <w:vAlign w:val="center"/>
          </w:tcPr>
          <w:p w14:paraId="69635A65" w14:textId="77777777" w:rsidR="009D5B6C" w:rsidRPr="007F47AD" w:rsidRDefault="009D5B6C" w:rsidP="007F47AD">
            <w:pPr>
              <w:pStyle w:val="TableParagraph"/>
              <w:ind w:left="445" w:right="438"/>
              <w:jc w:val="center"/>
              <w:rPr>
                <w:rFonts w:ascii="Arial" w:hAnsi="Arial" w:cs="Arial"/>
                <w:sz w:val="18"/>
                <w:szCs w:val="18"/>
              </w:rPr>
            </w:pPr>
            <w:r w:rsidRPr="007F47AD">
              <w:rPr>
                <w:rFonts w:ascii="Arial" w:hAnsi="Arial" w:cs="Arial"/>
                <w:sz w:val="18"/>
                <w:szCs w:val="18"/>
              </w:rPr>
              <w:t>45</w:t>
            </w:r>
          </w:p>
        </w:tc>
        <w:tc>
          <w:tcPr>
            <w:tcW w:w="1418" w:type="dxa"/>
            <w:vAlign w:val="center"/>
          </w:tcPr>
          <w:p w14:paraId="238FC336" w14:textId="77777777" w:rsidR="009D5B6C" w:rsidRPr="007F47AD" w:rsidRDefault="009D5B6C" w:rsidP="007F47AD">
            <w:pPr>
              <w:pStyle w:val="TableParagraph"/>
              <w:ind w:left="9"/>
              <w:jc w:val="center"/>
              <w:rPr>
                <w:rFonts w:ascii="Arial" w:hAnsi="Arial" w:cs="Arial"/>
                <w:sz w:val="18"/>
                <w:szCs w:val="18"/>
              </w:rPr>
            </w:pPr>
            <w:r w:rsidRPr="007F47AD">
              <w:rPr>
                <w:rFonts w:ascii="Arial" w:hAnsi="Arial" w:cs="Arial"/>
                <w:sz w:val="18"/>
                <w:szCs w:val="18"/>
              </w:rPr>
              <w:t>3</w:t>
            </w:r>
          </w:p>
        </w:tc>
        <w:tc>
          <w:tcPr>
            <w:tcW w:w="2126" w:type="dxa"/>
            <w:vAlign w:val="center"/>
          </w:tcPr>
          <w:p w14:paraId="5D40C562" w14:textId="77777777" w:rsidR="009D5B6C" w:rsidRPr="007F47AD" w:rsidRDefault="009D5B6C" w:rsidP="007F47AD">
            <w:pPr>
              <w:pStyle w:val="TableParagraph"/>
              <w:ind w:right="105"/>
              <w:jc w:val="center"/>
              <w:rPr>
                <w:rFonts w:ascii="Arial" w:hAnsi="Arial" w:cs="Arial"/>
                <w:sz w:val="18"/>
                <w:szCs w:val="18"/>
              </w:rPr>
            </w:pPr>
            <w:r w:rsidRPr="007F47AD">
              <w:rPr>
                <w:rFonts w:ascii="Arial" w:hAnsi="Arial" w:cs="Arial"/>
                <w:sz w:val="18"/>
                <w:szCs w:val="18"/>
              </w:rPr>
              <w:t>6,67</w:t>
            </w:r>
          </w:p>
        </w:tc>
      </w:tr>
      <w:tr w:rsidR="009D5B6C" w:rsidRPr="007F47AD" w14:paraId="1481A515" w14:textId="77777777" w:rsidTr="001A14F7">
        <w:trPr>
          <w:trHeight w:val="275"/>
        </w:trPr>
        <w:tc>
          <w:tcPr>
            <w:tcW w:w="1417" w:type="dxa"/>
            <w:vAlign w:val="center"/>
          </w:tcPr>
          <w:p w14:paraId="10B45C39" w14:textId="77777777" w:rsidR="009D5B6C" w:rsidRPr="007F47AD" w:rsidRDefault="009D5B6C" w:rsidP="007F47AD">
            <w:pPr>
              <w:pStyle w:val="TableParagraph"/>
              <w:ind w:left="301"/>
              <w:rPr>
                <w:rFonts w:ascii="Arial" w:hAnsi="Arial" w:cs="Arial"/>
                <w:sz w:val="18"/>
                <w:szCs w:val="18"/>
              </w:rPr>
            </w:pPr>
            <w:r w:rsidRPr="007F47AD">
              <w:rPr>
                <w:rFonts w:ascii="Arial" w:hAnsi="Arial" w:cs="Arial"/>
                <w:sz w:val="18"/>
                <w:szCs w:val="18"/>
              </w:rPr>
              <w:t>30.06.2021</w:t>
            </w:r>
          </w:p>
        </w:tc>
        <w:tc>
          <w:tcPr>
            <w:tcW w:w="1559" w:type="dxa"/>
            <w:vAlign w:val="center"/>
          </w:tcPr>
          <w:p w14:paraId="7242B592" w14:textId="77777777" w:rsidR="009D5B6C" w:rsidRPr="007F47AD" w:rsidRDefault="009D5B6C" w:rsidP="007F47AD">
            <w:pPr>
              <w:pStyle w:val="TableParagraph"/>
              <w:ind w:left="445" w:right="438"/>
              <w:jc w:val="center"/>
              <w:rPr>
                <w:rFonts w:ascii="Arial" w:hAnsi="Arial" w:cs="Arial"/>
                <w:sz w:val="18"/>
                <w:szCs w:val="18"/>
              </w:rPr>
            </w:pPr>
            <w:r w:rsidRPr="007F47AD">
              <w:rPr>
                <w:rFonts w:ascii="Arial" w:hAnsi="Arial" w:cs="Arial"/>
                <w:sz w:val="18"/>
                <w:szCs w:val="18"/>
              </w:rPr>
              <w:t>46</w:t>
            </w:r>
          </w:p>
        </w:tc>
        <w:tc>
          <w:tcPr>
            <w:tcW w:w="1418" w:type="dxa"/>
            <w:vAlign w:val="center"/>
          </w:tcPr>
          <w:p w14:paraId="043C8B18" w14:textId="77777777" w:rsidR="009D5B6C" w:rsidRPr="007F47AD" w:rsidRDefault="009D5B6C" w:rsidP="007F47AD">
            <w:pPr>
              <w:pStyle w:val="TableParagraph"/>
              <w:ind w:left="9"/>
              <w:jc w:val="center"/>
              <w:rPr>
                <w:rFonts w:ascii="Arial" w:hAnsi="Arial" w:cs="Arial"/>
                <w:sz w:val="18"/>
                <w:szCs w:val="18"/>
              </w:rPr>
            </w:pPr>
            <w:r w:rsidRPr="007F47AD">
              <w:rPr>
                <w:rFonts w:ascii="Arial" w:hAnsi="Arial" w:cs="Arial"/>
                <w:sz w:val="18"/>
                <w:szCs w:val="18"/>
              </w:rPr>
              <w:t>3</w:t>
            </w:r>
          </w:p>
        </w:tc>
        <w:tc>
          <w:tcPr>
            <w:tcW w:w="2126" w:type="dxa"/>
            <w:vAlign w:val="center"/>
          </w:tcPr>
          <w:p w14:paraId="21B0BE4F" w14:textId="77777777" w:rsidR="009D5B6C" w:rsidRPr="007F47AD" w:rsidRDefault="007F47AD" w:rsidP="007F47AD">
            <w:pPr>
              <w:pStyle w:val="TableParagraph"/>
              <w:ind w:right="107"/>
              <w:jc w:val="center"/>
              <w:rPr>
                <w:rFonts w:ascii="Arial" w:hAnsi="Arial" w:cs="Arial"/>
                <w:sz w:val="18"/>
                <w:szCs w:val="18"/>
              </w:rPr>
            </w:pPr>
            <w:r>
              <w:rPr>
                <w:rFonts w:ascii="Arial" w:hAnsi="Arial" w:cs="Arial"/>
                <w:sz w:val="18"/>
                <w:szCs w:val="18"/>
              </w:rPr>
              <w:t>6,</w:t>
            </w:r>
            <w:r w:rsidR="009D5B6C" w:rsidRPr="007F47AD">
              <w:rPr>
                <w:rFonts w:ascii="Arial" w:hAnsi="Arial" w:cs="Arial"/>
                <w:sz w:val="18"/>
                <w:szCs w:val="18"/>
              </w:rPr>
              <w:t>52</w:t>
            </w:r>
          </w:p>
        </w:tc>
      </w:tr>
      <w:tr w:rsidR="009D5B6C" w:rsidRPr="007F47AD" w14:paraId="523865B6" w14:textId="77777777" w:rsidTr="001A14F7">
        <w:trPr>
          <w:trHeight w:val="275"/>
        </w:trPr>
        <w:tc>
          <w:tcPr>
            <w:tcW w:w="1417" w:type="dxa"/>
            <w:vAlign w:val="center"/>
          </w:tcPr>
          <w:p w14:paraId="4CA6DBF0" w14:textId="77777777" w:rsidR="009D5B6C" w:rsidRPr="007F47AD" w:rsidRDefault="009D5B6C" w:rsidP="007F47AD">
            <w:pPr>
              <w:pStyle w:val="TableParagraph"/>
              <w:ind w:left="301"/>
              <w:rPr>
                <w:rFonts w:ascii="Arial" w:hAnsi="Arial" w:cs="Arial"/>
                <w:sz w:val="18"/>
                <w:szCs w:val="18"/>
              </w:rPr>
            </w:pPr>
            <w:r w:rsidRPr="007F47AD">
              <w:rPr>
                <w:rFonts w:ascii="Arial" w:hAnsi="Arial" w:cs="Arial"/>
                <w:sz w:val="18"/>
                <w:szCs w:val="18"/>
              </w:rPr>
              <w:t>01.02.2022</w:t>
            </w:r>
          </w:p>
        </w:tc>
        <w:tc>
          <w:tcPr>
            <w:tcW w:w="1559" w:type="dxa"/>
            <w:vAlign w:val="center"/>
          </w:tcPr>
          <w:p w14:paraId="385060B4" w14:textId="77777777" w:rsidR="009D5B6C" w:rsidRPr="007F47AD" w:rsidRDefault="009D5B6C" w:rsidP="007F47AD">
            <w:pPr>
              <w:pStyle w:val="TableParagraph"/>
              <w:ind w:left="445" w:right="438"/>
              <w:jc w:val="center"/>
              <w:rPr>
                <w:rFonts w:ascii="Arial" w:hAnsi="Arial" w:cs="Arial"/>
                <w:sz w:val="18"/>
                <w:szCs w:val="18"/>
              </w:rPr>
            </w:pPr>
            <w:r w:rsidRPr="007F47AD">
              <w:rPr>
                <w:rFonts w:ascii="Arial" w:hAnsi="Arial" w:cs="Arial"/>
                <w:sz w:val="18"/>
                <w:szCs w:val="18"/>
              </w:rPr>
              <w:t>46</w:t>
            </w:r>
          </w:p>
        </w:tc>
        <w:tc>
          <w:tcPr>
            <w:tcW w:w="1418" w:type="dxa"/>
            <w:vAlign w:val="center"/>
          </w:tcPr>
          <w:p w14:paraId="7E9A9D0C" w14:textId="77777777" w:rsidR="009D5B6C" w:rsidRPr="007F47AD" w:rsidRDefault="009D5B6C" w:rsidP="007F47AD">
            <w:pPr>
              <w:pStyle w:val="TableParagraph"/>
              <w:ind w:left="9"/>
              <w:jc w:val="center"/>
              <w:rPr>
                <w:rFonts w:ascii="Arial" w:hAnsi="Arial" w:cs="Arial"/>
                <w:sz w:val="18"/>
                <w:szCs w:val="18"/>
              </w:rPr>
            </w:pPr>
            <w:r w:rsidRPr="007F47AD">
              <w:rPr>
                <w:rFonts w:ascii="Arial" w:hAnsi="Arial" w:cs="Arial"/>
                <w:sz w:val="18"/>
                <w:szCs w:val="18"/>
              </w:rPr>
              <w:t>3</w:t>
            </w:r>
          </w:p>
        </w:tc>
        <w:tc>
          <w:tcPr>
            <w:tcW w:w="2126" w:type="dxa"/>
            <w:vAlign w:val="center"/>
          </w:tcPr>
          <w:p w14:paraId="0C87D664" w14:textId="77777777" w:rsidR="009D5B6C" w:rsidRPr="007F47AD" w:rsidRDefault="009D5B6C" w:rsidP="007F47AD">
            <w:pPr>
              <w:pStyle w:val="TableParagraph"/>
              <w:ind w:right="105"/>
              <w:jc w:val="center"/>
              <w:rPr>
                <w:rFonts w:ascii="Arial" w:hAnsi="Arial" w:cs="Arial"/>
                <w:sz w:val="18"/>
                <w:szCs w:val="18"/>
              </w:rPr>
            </w:pPr>
            <w:r w:rsidRPr="007F47AD">
              <w:rPr>
                <w:rFonts w:ascii="Arial" w:hAnsi="Arial" w:cs="Arial"/>
                <w:sz w:val="18"/>
                <w:szCs w:val="18"/>
              </w:rPr>
              <w:t>6,52</w:t>
            </w:r>
          </w:p>
        </w:tc>
      </w:tr>
    </w:tbl>
    <w:p w14:paraId="58A2D779" w14:textId="77777777" w:rsidR="009B7130" w:rsidRDefault="009B7130" w:rsidP="009D5B6C">
      <w:pPr>
        <w:pStyle w:val="LTAntwortRessortText"/>
        <w:ind w:left="0"/>
      </w:pPr>
    </w:p>
    <w:p w14:paraId="7A312D6C" w14:textId="77777777" w:rsidR="009B7130" w:rsidRDefault="009B7130" w:rsidP="00F47B56">
      <w:pPr>
        <w:pStyle w:val="LTAntwortRessortText"/>
      </w:pPr>
      <w:r>
        <w:t>7. Polizeipräsidium Unterfranken</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1A14F7" w14:paraId="3CD6CD9C" w14:textId="77777777" w:rsidTr="001A14F7">
        <w:trPr>
          <w:trHeight w:val="275"/>
        </w:trPr>
        <w:tc>
          <w:tcPr>
            <w:tcW w:w="1417" w:type="dxa"/>
            <w:vAlign w:val="center"/>
          </w:tcPr>
          <w:p w14:paraId="4BA87AB9" w14:textId="77777777" w:rsidR="009D5B6C" w:rsidRPr="001A14F7" w:rsidRDefault="009D5B6C" w:rsidP="001A14F7">
            <w:pPr>
              <w:pStyle w:val="TableParagraph"/>
              <w:ind w:left="301"/>
              <w:rPr>
                <w:rFonts w:ascii="Arial" w:hAnsi="Arial" w:cs="Arial"/>
                <w:sz w:val="18"/>
                <w:szCs w:val="18"/>
              </w:rPr>
            </w:pPr>
            <w:r w:rsidRPr="001A14F7">
              <w:rPr>
                <w:rFonts w:ascii="Arial" w:hAnsi="Arial" w:cs="Arial"/>
                <w:sz w:val="18"/>
                <w:szCs w:val="18"/>
              </w:rPr>
              <w:t>Stichtag</w:t>
            </w:r>
          </w:p>
        </w:tc>
        <w:tc>
          <w:tcPr>
            <w:tcW w:w="1559" w:type="dxa"/>
            <w:vAlign w:val="center"/>
          </w:tcPr>
          <w:p w14:paraId="1978FA07" w14:textId="77777777" w:rsidR="009D5B6C" w:rsidRPr="001A14F7" w:rsidRDefault="009D5B6C" w:rsidP="001A14F7">
            <w:pPr>
              <w:pStyle w:val="TableParagraph"/>
              <w:ind w:left="446" w:right="438"/>
              <w:jc w:val="center"/>
              <w:rPr>
                <w:rFonts w:ascii="Arial" w:hAnsi="Arial" w:cs="Arial"/>
                <w:sz w:val="18"/>
                <w:szCs w:val="18"/>
              </w:rPr>
            </w:pPr>
            <w:r w:rsidRPr="001A14F7">
              <w:rPr>
                <w:rFonts w:ascii="Arial" w:hAnsi="Arial" w:cs="Arial"/>
                <w:sz w:val="18"/>
                <w:szCs w:val="18"/>
              </w:rPr>
              <w:t>Gesamt</w:t>
            </w:r>
          </w:p>
        </w:tc>
        <w:tc>
          <w:tcPr>
            <w:tcW w:w="1418" w:type="dxa"/>
            <w:vAlign w:val="center"/>
          </w:tcPr>
          <w:p w14:paraId="511CAAD2" w14:textId="77777777" w:rsidR="009D5B6C" w:rsidRPr="001A14F7" w:rsidRDefault="009D5B6C" w:rsidP="001A14F7">
            <w:pPr>
              <w:pStyle w:val="TableParagraph"/>
              <w:ind w:left="96" w:right="90"/>
              <w:jc w:val="center"/>
              <w:rPr>
                <w:rFonts w:ascii="Arial" w:hAnsi="Arial" w:cs="Arial"/>
                <w:sz w:val="18"/>
                <w:szCs w:val="18"/>
              </w:rPr>
            </w:pPr>
            <w:r w:rsidRPr="001A14F7">
              <w:rPr>
                <w:rFonts w:ascii="Arial" w:hAnsi="Arial" w:cs="Arial"/>
                <w:sz w:val="18"/>
                <w:szCs w:val="18"/>
              </w:rPr>
              <w:t>Anzahl Frauen</w:t>
            </w:r>
          </w:p>
        </w:tc>
        <w:tc>
          <w:tcPr>
            <w:tcW w:w="2126" w:type="dxa"/>
            <w:vAlign w:val="center"/>
          </w:tcPr>
          <w:p w14:paraId="53D210AE" w14:textId="77777777" w:rsidR="009D5B6C" w:rsidRPr="001A14F7" w:rsidRDefault="009D5B6C" w:rsidP="001A14F7">
            <w:pPr>
              <w:pStyle w:val="TableParagraph"/>
              <w:ind w:right="110"/>
              <w:jc w:val="center"/>
              <w:rPr>
                <w:rFonts w:ascii="Arial" w:hAnsi="Arial" w:cs="Arial"/>
                <w:sz w:val="18"/>
                <w:szCs w:val="18"/>
              </w:rPr>
            </w:pPr>
            <w:r w:rsidRPr="001A14F7">
              <w:rPr>
                <w:rFonts w:ascii="Arial" w:hAnsi="Arial" w:cs="Arial"/>
                <w:sz w:val="18"/>
                <w:szCs w:val="18"/>
              </w:rPr>
              <w:t xml:space="preserve">Frauenanteil </w:t>
            </w:r>
            <w:r w:rsidR="001A14F7">
              <w:rPr>
                <w:rFonts w:ascii="Arial" w:hAnsi="Arial" w:cs="Arial"/>
                <w:sz w:val="18"/>
                <w:szCs w:val="18"/>
              </w:rPr>
              <w:t xml:space="preserve">in </w:t>
            </w:r>
            <w:r w:rsidR="006F49A4" w:rsidRPr="001A14F7">
              <w:rPr>
                <w:rFonts w:ascii="Arial" w:hAnsi="Arial" w:cs="Arial"/>
                <w:sz w:val="18"/>
                <w:szCs w:val="18"/>
              </w:rPr>
              <w:t>Prozent</w:t>
            </w:r>
          </w:p>
        </w:tc>
      </w:tr>
      <w:tr w:rsidR="009D5B6C" w:rsidRPr="001A14F7" w14:paraId="2F1C485D" w14:textId="77777777" w:rsidTr="001A14F7">
        <w:trPr>
          <w:trHeight w:val="276"/>
        </w:trPr>
        <w:tc>
          <w:tcPr>
            <w:tcW w:w="1417" w:type="dxa"/>
            <w:vAlign w:val="center"/>
          </w:tcPr>
          <w:p w14:paraId="179AB0D1" w14:textId="77777777" w:rsidR="009D5B6C" w:rsidRPr="001A14F7" w:rsidRDefault="009D5B6C" w:rsidP="001A14F7">
            <w:pPr>
              <w:pStyle w:val="TableParagraph"/>
              <w:ind w:left="301"/>
              <w:rPr>
                <w:rFonts w:ascii="Arial" w:hAnsi="Arial" w:cs="Arial"/>
                <w:sz w:val="18"/>
                <w:szCs w:val="18"/>
              </w:rPr>
            </w:pPr>
            <w:r w:rsidRPr="001A14F7">
              <w:rPr>
                <w:rFonts w:ascii="Arial" w:hAnsi="Arial" w:cs="Arial"/>
                <w:sz w:val="18"/>
                <w:szCs w:val="18"/>
              </w:rPr>
              <w:t>31.12.2018</w:t>
            </w:r>
          </w:p>
        </w:tc>
        <w:tc>
          <w:tcPr>
            <w:tcW w:w="1559" w:type="dxa"/>
            <w:vAlign w:val="center"/>
          </w:tcPr>
          <w:p w14:paraId="247DFEEB" w14:textId="77777777" w:rsidR="009D5B6C" w:rsidRPr="001A14F7" w:rsidRDefault="009D5B6C" w:rsidP="001A14F7">
            <w:pPr>
              <w:pStyle w:val="TableParagraph"/>
              <w:ind w:left="445" w:right="438"/>
              <w:jc w:val="center"/>
              <w:rPr>
                <w:rFonts w:ascii="Arial" w:hAnsi="Arial" w:cs="Arial"/>
                <w:sz w:val="18"/>
                <w:szCs w:val="18"/>
              </w:rPr>
            </w:pPr>
            <w:r w:rsidRPr="001A14F7">
              <w:rPr>
                <w:rFonts w:ascii="Arial" w:hAnsi="Arial" w:cs="Arial"/>
                <w:sz w:val="18"/>
                <w:szCs w:val="18"/>
              </w:rPr>
              <w:t>26</w:t>
            </w:r>
          </w:p>
        </w:tc>
        <w:tc>
          <w:tcPr>
            <w:tcW w:w="1418" w:type="dxa"/>
            <w:vAlign w:val="center"/>
          </w:tcPr>
          <w:p w14:paraId="10A951AB" w14:textId="77777777" w:rsidR="009D5B6C" w:rsidRPr="001A14F7" w:rsidRDefault="009D5B6C" w:rsidP="001A14F7">
            <w:pPr>
              <w:pStyle w:val="TableParagraph"/>
              <w:ind w:left="9"/>
              <w:jc w:val="center"/>
              <w:rPr>
                <w:rFonts w:ascii="Arial" w:hAnsi="Arial" w:cs="Arial"/>
                <w:sz w:val="18"/>
                <w:szCs w:val="18"/>
              </w:rPr>
            </w:pPr>
            <w:r w:rsidRPr="001A14F7">
              <w:rPr>
                <w:rFonts w:ascii="Arial" w:hAnsi="Arial" w:cs="Arial"/>
                <w:sz w:val="18"/>
                <w:szCs w:val="18"/>
              </w:rPr>
              <w:t>1</w:t>
            </w:r>
          </w:p>
        </w:tc>
        <w:tc>
          <w:tcPr>
            <w:tcW w:w="2126" w:type="dxa"/>
            <w:vAlign w:val="center"/>
          </w:tcPr>
          <w:p w14:paraId="4AAECDDC" w14:textId="77777777" w:rsidR="009D5B6C" w:rsidRPr="001A14F7" w:rsidRDefault="009D5B6C" w:rsidP="001A14F7">
            <w:pPr>
              <w:pStyle w:val="TableParagraph"/>
              <w:ind w:right="105"/>
              <w:jc w:val="center"/>
              <w:rPr>
                <w:rFonts w:ascii="Arial" w:hAnsi="Arial" w:cs="Arial"/>
                <w:sz w:val="18"/>
                <w:szCs w:val="18"/>
              </w:rPr>
            </w:pPr>
            <w:r w:rsidRPr="001A14F7">
              <w:rPr>
                <w:rFonts w:ascii="Arial" w:hAnsi="Arial" w:cs="Arial"/>
                <w:sz w:val="18"/>
                <w:szCs w:val="18"/>
              </w:rPr>
              <w:t>3,85</w:t>
            </w:r>
          </w:p>
        </w:tc>
      </w:tr>
      <w:tr w:rsidR="009D5B6C" w:rsidRPr="001A14F7" w14:paraId="767C6C6A" w14:textId="77777777" w:rsidTr="001A14F7">
        <w:trPr>
          <w:trHeight w:val="275"/>
        </w:trPr>
        <w:tc>
          <w:tcPr>
            <w:tcW w:w="1417" w:type="dxa"/>
            <w:vAlign w:val="center"/>
          </w:tcPr>
          <w:p w14:paraId="6B10F0A6" w14:textId="77777777" w:rsidR="009D5B6C" w:rsidRPr="001A14F7" w:rsidRDefault="009D5B6C" w:rsidP="001A14F7">
            <w:pPr>
              <w:pStyle w:val="TableParagraph"/>
              <w:ind w:left="301"/>
              <w:rPr>
                <w:rFonts w:ascii="Arial" w:hAnsi="Arial" w:cs="Arial"/>
                <w:sz w:val="18"/>
                <w:szCs w:val="18"/>
              </w:rPr>
            </w:pPr>
            <w:r w:rsidRPr="001A14F7">
              <w:rPr>
                <w:rFonts w:ascii="Arial" w:hAnsi="Arial" w:cs="Arial"/>
                <w:sz w:val="18"/>
                <w:szCs w:val="18"/>
              </w:rPr>
              <w:t>31.12.2019</w:t>
            </w:r>
          </w:p>
        </w:tc>
        <w:tc>
          <w:tcPr>
            <w:tcW w:w="1559" w:type="dxa"/>
            <w:vAlign w:val="center"/>
          </w:tcPr>
          <w:p w14:paraId="03ECFA7B" w14:textId="77777777" w:rsidR="009D5B6C" w:rsidRPr="001A14F7" w:rsidRDefault="009D5B6C" w:rsidP="001A14F7">
            <w:pPr>
              <w:pStyle w:val="TableParagraph"/>
              <w:ind w:left="445" w:right="438"/>
              <w:jc w:val="center"/>
              <w:rPr>
                <w:rFonts w:ascii="Arial" w:hAnsi="Arial" w:cs="Arial"/>
                <w:sz w:val="18"/>
                <w:szCs w:val="18"/>
              </w:rPr>
            </w:pPr>
            <w:r w:rsidRPr="001A14F7">
              <w:rPr>
                <w:rFonts w:ascii="Arial" w:hAnsi="Arial" w:cs="Arial"/>
                <w:sz w:val="18"/>
                <w:szCs w:val="18"/>
              </w:rPr>
              <w:t>26</w:t>
            </w:r>
          </w:p>
        </w:tc>
        <w:tc>
          <w:tcPr>
            <w:tcW w:w="1418" w:type="dxa"/>
            <w:vAlign w:val="center"/>
          </w:tcPr>
          <w:p w14:paraId="355202FF" w14:textId="77777777" w:rsidR="009D5B6C" w:rsidRPr="001A14F7" w:rsidRDefault="009D5B6C" w:rsidP="001A14F7">
            <w:pPr>
              <w:pStyle w:val="TableParagraph"/>
              <w:ind w:left="9"/>
              <w:jc w:val="center"/>
              <w:rPr>
                <w:rFonts w:ascii="Arial" w:hAnsi="Arial" w:cs="Arial"/>
                <w:sz w:val="18"/>
                <w:szCs w:val="18"/>
              </w:rPr>
            </w:pPr>
            <w:r w:rsidRPr="001A14F7">
              <w:rPr>
                <w:rFonts w:ascii="Arial" w:hAnsi="Arial" w:cs="Arial"/>
                <w:sz w:val="18"/>
                <w:szCs w:val="18"/>
              </w:rPr>
              <w:t>1</w:t>
            </w:r>
          </w:p>
        </w:tc>
        <w:tc>
          <w:tcPr>
            <w:tcW w:w="2126" w:type="dxa"/>
            <w:vAlign w:val="center"/>
          </w:tcPr>
          <w:p w14:paraId="2649C0F6" w14:textId="77777777" w:rsidR="009D5B6C" w:rsidRPr="001A14F7" w:rsidRDefault="009D5B6C" w:rsidP="001A14F7">
            <w:pPr>
              <w:pStyle w:val="TableParagraph"/>
              <w:ind w:right="105"/>
              <w:jc w:val="center"/>
              <w:rPr>
                <w:rFonts w:ascii="Arial" w:hAnsi="Arial" w:cs="Arial"/>
                <w:sz w:val="18"/>
                <w:szCs w:val="18"/>
              </w:rPr>
            </w:pPr>
            <w:r w:rsidRPr="001A14F7">
              <w:rPr>
                <w:rFonts w:ascii="Arial" w:hAnsi="Arial" w:cs="Arial"/>
                <w:sz w:val="18"/>
                <w:szCs w:val="18"/>
              </w:rPr>
              <w:t>3,85</w:t>
            </w:r>
          </w:p>
        </w:tc>
      </w:tr>
      <w:tr w:rsidR="009D5B6C" w:rsidRPr="001A14F7" w14:paraId="3E3A3AF3" w14:textId="77777777" w:rsidTr="001A14F7">
        <w:trPr>
          <w:trHeight w:val="275"/>
        </w:trPr>
        <w:tc>
          <w:tcPr>
            <w:tcW w:w="1417" w:type="dxa"/>
            <w:vAlign w:val="center"/>
          </w:tcPr>
          <w:p w14:paraId="1E58108D" w14:textId="77777777" w:rsidR="009D5B6C" w:rsidRPr="001A14F7" w:rsidRDefault="009D5B6C" w:rsidP="001A14F7">
            <w:pPr>
              <w:pStyle w:val="TableParagraph"/>
              <w:ind w:left="301"/>
              <w:rPr>
                <w:rFonts w:ascii="Arial" w:hAnsi="Arial" w:cs="Arial"/>
                <w:sz w:val="18"/>
                <w:szCs w:val="18"/>
              </w:rPr>
            </w:pPr>
            <w:r w:rsidRPr="001A14F7">
              <w:rPr>
                <w:rFonts w:ascii="Arial" w:hAnsi="Arial" w:cs="Arial"/>
                <w:sz w:val="18"/>
                <w:szCs w:val="18"/>
              </w:rPr>
              <w:t>31.12.2020</w:t>
            </w:r>
          </w:p>
        </w:tc>
        <w:tc>
          <w:tcPr>
            <w:tcW w:w="1559" w:type="dxa"/>
            <w:vAlign w:val="center"/>
          </w:tcPr>
          <w:p w14:paraId="337FB662" w14:textId="77777777" w:rsidR="009D5B6C" w:rsidRPr="001A14F7" w:rsidRDefault="009D5B6C" w:rsidP="001A14F7">
            <w:pPr>
              <w:pStyle w:val="TableParagraph"/>
              <w:ind w:left="445" w:right="438"/>
              <w:jc w:val="center"/>
              <w:rPr>
                <w:rFonts w:ascii="Arial" w:hAnsi="Arial" w:cs="Arial"/>
                <w:sz w:val="18"/>
                <w:szCs w:val="18"/>
              </w:rPr>
            </w:pPr>
            <w:r w:rsidRPr="001A14F7">
              <w:rPr>
                <w:rFonts w:ascii="Arial" w:hAnsi="Arial" w:cs="Arial"/>
                <w:sz w:val="18"/>
                <w:szCs w:val="18"/>
              </w:rPr>
              <w:t>28</w:t>
            </w:r>
          </w:p>
        </w:tc>
        <w:tc>
          <w:tcPr>
            <w:tcW w:w="1418" w:type="dxa"/>
            <w:vAlign w:val="center"/>
          </w:tcPr>
          <w:p w14:paraId="45849A2E" w14:textId="77777777" w:rsidR="009D5B6C" w:rsidRPr="001A14F7" w:rsidRDefault="009D5B6C" w:rsidP="001A14F7">
            <w:pPr>
              <w:pStyle w:val="TableParagraph"/>
              <w:ind w:left="9"/>
              <w:jc w:val="center"/>
              <w:rPr>
                <w:rFonts w:ascii="Arial" w:hAnsi="Arial" w:cs="Arial"/>
                <w:sz w:val="18"/>
                <w:szCs w:val="18"/>
              </w:rPr>
            </w:pPr>
            <w:r w:rsidRPr="001A14F7">
              <w:rPr>
                <w:rFonts w:ascii="Arial" w:hAnsi="Arial" w:cs="Arial"/>
                <w:sz w:val="18"/>
                <w:szCs w:val="18"/>
              </w:rPr>
              <w:t>1</w:t>
            </w:r>
          </w:p>
        </w:tc>
        <w:tc>
          <w:tcPr>
            <w:tcW w:w="2126" w:type="dxa"/>
            <w:vAlign w:val="center"/>
          </w:tcPr>
          <w:p w14:paraId="0B1BA29E" w14:textId="77777777" w:rsidR="009D5B6C" w:rsidRPr="001A14F7" w:rsidRDefault="001A14F7" w:rsidP="001A14F7">
            <w:pPr>
              <w:pStyle w:val="TableParagraph"/>
              <w:ind w:right="105"/>
              <w:jc w:val="center"/>
              <w:rPr>
                <w:rFonts w:ascii="Arial" w:hAnsi="Arial" w:cs="Arial"/>
                <w:sz w:val="18"/>
                <w:szCs w:val="18"/>
              </w:rPr>
            </w:pPr>
            <w:r>
              <w:rPr>
                <w:rFonts w:ascii="Arial" w:hAnsi="Arial" w:cs="Arial"/>
                <w:sz w:val="18"/>
                <w:szCs w:val="18"/>
              </w:rPr>
              <w:t>3,57</w:t>
            </w:r>
          </w:p>
        </w:tc>
      </w:tr>
      <w:tr w:rsidR="009D5B6C" w:rsidRPr="001A14F7" w14:paraId="69273949" w14:textId="77777777" w:rsidTr="001A14F7">
        <w:trPr>
          <w:trHeight w:val="275"/>
        </w:trPr>
        <w:tc>
          <w:tcPr>
            <w:tcW w:w="1417" w:type="dxa"/>
            <w:vAlign w:val="center"/>
          </w:tcPr>
          <w:p w14:paraId="5AF454EB" w14:textId="77777777" w:rsidR="009D5B6C" w:rsidRPr="001A14F7" w:rsidRDefault="009D5B6C" w:rsidP="001A14F7">
            <w:pPr>
              <w:pStyle w:val="TableParagraph"/>
              <w:ind w:left="301"/>
              <w:rPr>
                <w:rFonts w:ascii="Arial" w:hAnsi="Arial" w:cs="Arial"/>
                <w:sz w:val="18"/>
                <w:szCs w:val="18"/>
              </w:rPr>
            </w:pPr>
            <w:r w:rsidRPr="001A14F7">
              <w:rPr>
                <w:rFonts w:ascii="Arial" w:hAnsi="Arial" w:cs="Arial"/>
                <w:sz w:val="18"/>
                <w:szCs w:val="18"/>
              </w:rPr>
              <w:t>30.06.2021</w:t>
            </w:r>
          </w:p>
        </w:tc>
        <w:tc>
          <w:tcPr>
            <w:tcW w:w="1559" w:type="dxa"/>
            <w:vAlign w:val="center"/>
          </w:tcPr>
          <w:p w14:paraId="6A6A90A3" w14:textId="77777777" w:rsidR="009D5B6C" w:rsidRPr="001A14F7" w:rsidRDefault="009D5B6C" w:rsidP="001A14F7">
            <w:pPr>
              <w:pStyle w:val="TableParagraph"/>
              <w:ind w:left="445" w:right="438"/>
              <w:jc w:val="center"/>
              <w:rPr>
                <w:rFonts w:ascii="Arial" w:hAnsi="Arial" w:cs="Arial"/>
                <w:sz w:val="18"/>
                <w:szCs w:val="18"/>
              </w:rPr>
            </w:pPr>
            <w:r w:rsidRPr="001A14F7">
              <w:rPr>
                <w:rFonts w:ascii="Arial" w:hAnsi="Arial" w:cs="Arial"/>
                <w:sz w:val="18"/>
                <w:szCs w:val="18"/>
              </w:rPr>
              <w:t>26</w:t>
            </w:r>
          </w:p>
        </w:tc>
        <w:tc>
          <w:tcPr>
            <w:tcW w:w="1418" w:type="dxa"/>
            <w:vAlign w:val="center"/>
          </w:tcPr>
          <w:p w14:paraId="153BB22E" w14:textId="77777777" w:rsidR="009D5B6C" w:rsidRPr="001A14F7" w:rsidRDefault="009D5B6C" w:rsidP="001A14F7">
            <w:pPr>
              <w:pStyle w:val="TableParagraph"/>
              <w:ind w:left="9"/>
              <w:jc w:val="center"/>
              <w:rPr>
                <w:rFonts w:ascii="Arial" w:hAnsi="Arial" w:cs="Arial"/>
                <w:sz w:val="18"/>
                <w:szCs w:val="18"/>
              </w:rPr>
            </w:pPr>
            <w:r w:rsidRPr="001A14F7">
              <w:rPr>
                <w:rFonts w:ascii="Arial" w:hAnsi="Arial" w:cs="Arial"/>
                <w:sz w:val="18"/>
                <w:szCs w:val="18"/>
              </w:rPr>
              <w:t>0</w:t>
            </w:r>
          </w:p>
        </w:tc>
        <w:tc>
          <w:tcPr>
            <w:tcW w:w="2126" w:type="dxa"/>
            <w:vAlign w:val="center"/>
          </w:tcPr>
          <w:p w14:paraId="2E2F56F1" w14:textId="77777777" w:rsidR="009D5B6C" w:rsidRPr="001A14F7" w:rsidRDefault="001A14F7" w:rsidP="001A14F7">
            <w:pPr>
              <w:pStyle w:val="TableParagraph"/>
              <w:ind w:right="107"/>
              <w:jc w:val="center"/>
              <w:rPr>
                <w:rFonts w:ascii="Arial" w:hAnsi="Arial" w:cs="Arial"/>
                <w:sz w:val="18"/>
                <w:szCs w:val="18"/>
              </w:rPr>
            </w:pPr>
            <w:r>
              <w:rPr>
                <w:rFonts w:ascii="Arial" w:hAnsi="Arial" w:cs="Arial"/>
                <w:sz w:val="18"/>
                <w:szCs w:val="18"/>
              </w:rPr>
              <w:t>0</w:t>
            </w:r>
          </w:p>
        </w:tc>
      </w:tr>
      <w:tr w:rsidR="009D5B6C" w:rsidRPr="001A14F7" w14:paraId="649B69B7" w14:textId="77777777" w:rsidTr="001A14F7">
        <w:trPr>
          <w:trHeight w:val="278"/>
        </w:trPr>
        <w:tc>
          <w:tcPr>
            <w:tcW w:w="1417" w:type="dxa"/>
            <w:vAlign w:val="center"/>
          </w:tcPr>
          <w:p w14:paraId="20CD8847" w14:textId="77777777" w:rsidR="009D5B6C" w:rsidRPr="001A14F7" w:rsidRDefault="009D5B6C" w:rsidP="001A14F7">
            <w:pPr>
              <w:pStyle w:val="TableParagraph"/>
              <w:spacing w:line="258" w:lineRule="exact"/>
              <w:ind w:left="301"/>
              <w:rPr>
                <w:rFonts w:ascii="Arial" w:hAnsi="Arial" w:cs="Arial"/>
                <w:sz w:val="18"/>
                <w:szCs w:val="18"/>
              </w:rPr>
            </w:pPr>
            <w:r w:rsidRPr="001A14F7">
              <w:rPr>
                <w:rFonts w:ascii="Arial" w:hAnsi="Arial" w:cs="Arial"/>
                <w:sz w:val="18"/>
                <w:szCs w:val="18"/>
              </w:rPr>
              <w:t>01.02.2022</w:t>
            </w:r>
          </w:p>
        </w:tc>
        <w:tc>
          <w:tcPr>
            <w:tcW w:w="1559" w:type="dxa"/>
            <w:vAlign w:val="center"/>
          </w:tcPr>
          <w:p w14:paraId="07F1CEB5" w14:textId="77777777" w:rsidR="009D5B6C" w:rsidRPr="001A14F7" w:rsidRDefault="009D5B6C" w:rsidP="001A14F7">
            <w:pPr>
              <w:pStyle w:val="TableParagraph"/>
              <w:spacing w:line="258" w:lineRule="exact"/>
              <w:ind w:left="445" w:right="438"/>
              <w:jc w:val="center"/>
              <w:rPr>
                <w:rFonts w:ascii="Arial" w:hAnsi="Arial" w:cs="Arial"/>
                <w:sz w:val="18"/>
                <w:szCs w:val="18"/>
              </w:rPr>
            </w:pPr>
            <w:r w:rsidRPr="001A14F7">
              <w:rPr>
                <w:rFonts w:ascii="Arial" w:hAnsi="Arial" w:cs="Arial"/>
                <w:sz w:val="18"/>
                <w:szCs w:val="18"/>
              </w:rPr>
              <w:t>27</w:t>
            </w:r>
          </w:p>
        </w:tc>
        <w:tc>
          <w:tcPr>
            <w:tcW w:w="1418" w:type="dxa"/>
            <w:vAlign w:val="center"/>
          </w:tcPr>
          <w:p w14:paraId="6293B118" w14:textId="77777777" w:rsidR="009D5B6C" w:rsidRPr="001A14F7" w:rsidRDefault="009D5B6C" w:rsidP="001A14F7">
            <w:pPr>
              <w:pStyle w:val="TableParagraph"/>
              <w:spacing w:line="258" w:lineRule="exact"/>
              <w:ind w:left="9"/>
              <w:jc w:val="center"/>
              <w:rPr>
                <w:rFonts w:ascii="Arial" w:hAnsi="Arial" w:cs="Arial"/>
                <w:sz w:val="18"/>
                <w:szCs w:val="18"/>
              </w:rPr>
            </w:pPr>
            <w:r w:rsidRPr="001A14F7">
              <w:rPr>
                <w:rFonts w:ascii="Arial" w:hAnsi="Arial" w:cs="Arial"/>
                <w:sz w:val="18"/>
                <w:szCs w:val="18"/>
              </w:rPr>
              <w:t>0</w:t>
            </w:r>
          </w:p>
        </w:tc>
        <w:tc>
          <w:tcPr>
            <w:tcW w:w="2126" w:type="dxa"/>
            <w:vAlign w:val="center"/>
          </w:tcPr>
          <w:p w14:paraId="56FDE086" w14:textId="77777777" w:rsidR="009D5B6C" w:rsidRPr="001A14F7" w:rsidRDefault="009D5B6C" w:rsidP="001A14F7">
            <w:pPr>
              <w:pStyle w:val="TableParagraph"/>
              <w:spacing w:line="258" w:lineRule="exact"/>
              <w:ind w:right="107"/>
              <w:jc w:val="center"/>
              <w:rPr>
                <w:rFonts w:ascii="Arial" w:hAnsi="Arial" w:cs="Arial"/>
                <w:sz w:val="18"/>
                <w:szCs w:val="18"/>
              </w:rPr>
            </w:pPr>
            <w:r w:rsidRPr="001A14F7">
              <w:rPr>
                <w:rFonts w:ascii="Arial" w:hAnsi="Arial" w:cs="Arial"/>
                <w:sz w:val="18"/>
                <w:szCs w:val="18"/>
              </w:rPr>
              <w:t>0</w:t>
            </w:r>
          </w:p>
        </w:tc>
      </w:tr>
    </w:tbl>
    <w:p w14:paraId="3933870B" w14:textId="77777777" w:rsidR="00D42F93" w:rsidRDefault="00D42F93" w:rsidP="00F47B56">
      <w:pPr>
        <w:pStyle w:val="LTAntwortRessortText"/>
      </w:pPr>
    </w:p>
    <w:p w14:paraId="08D08A9D" w14:textId="77777777" w:rsidR="009B7130" w:rsidRDefault="009B7130" w:rsidP="00F47B56">
      <w:pPr>
        <w:pStyle w:val="LTAntwortRessortText"/>
      </w:pPr>
      <w:r>
        <w:t>8. Präsidium der B</w:t>
      </w:r>
      <w:r w:rsidR="00F47B56">
        <w:t>ayerischen Bereitschaftspolizei</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1035CA" w14:paraId="06A2DC68" w14:textId="77777777" w:rsidTr="001035CA">
        <w:trPr>
          <w:trHeight w:val="275"/>
        </w:trPr>
        <w:tc>
          <w:tcPr>
            <w:tcW w:w="1417" w:type="dxa"/>
            <w:vAlign w:val="center"/>
          </w:tcPr>
          <w:p w14:paraId="436265CD"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t>Stichtag</w:t>
            </w:r>
          </w:p>
        </w:tc>
        <w:tc>
          <w:tcPr>
            <w:tcW w:w="1559" w:type="dxa"/>
            <w:vAlign w:val="center"/>
          </w:tcPr>
          <w:p w14:paraId="30E84F3A" w14:textId="77777777" w:rsidR="009D5B6C" w:rsidRPr="001035CA" w:rsidRDefault="009D5B6C" w:rsidP="001035CA">
            <w:pPr>
              <w:pStyle w:val="TableParagraph"/>
              <w:ind w:left="446" w:right="438"/>
              <w:jc w:val="center"/>
              <w:rPr>
                <w:rFonts w:ascii="Arial" w:hAnsi="Arial" w:cs="Arial"/>
                <w:sz w:val="18"/>
                <w:szCs w:val="18"/>
              </w:rPr>
            </w:pPr>
            <w:r w:rsidRPr="001035CA">
              <w:rPr>
                <w:rFonts w:ascii="Arial" w:hAnsi="Arial" w:cs="Arial"/>
                <w:sz w:val="18"/>
                <w:szCs w:val="18"/>
              </w:rPr>
              <w:t>Gesamt</w:t>
            </w:r>
          </w:p>
        </w:tc>
        <w:tc>
          <w:tcPr>
            <w:tcW w:w="1418" w:type="dxa"/>
            <w:vAlign w:val="center"/>
          </w:tcPr>
          <w:p w14:paraId="5B34312C" w14:textId="77777777" w:rsidR="009D5B6C" w:rsidRPr="001035CA" w:rsidRDefault="009D5B6C" w:rsidP="001035CA">
            <w:pPr>
              <w:pStyle w:val="TableParagraph"/>
              <w:ind w:left="96" w:right="90"/>
              <w:jc w:val="center"/>
              <w:rPr>
                <w:rFonts w:ascii="Arial" w:hAnsi="Arial" w:cs="Arial"/>
                <w:sz w:val="18"/>
                <w:szCs w:val="18"/>
              </w:rPr>
            </w:pPr>
            <w:r w:rsidRPr="001035CA">
              <w:rPr>
                <w:rFonts w:ascii="Arial" w:hAnsi="Arial" w:cs="Arial"/>
                <w:sz w:val="18"/>
                <w:szCs w:val="18"/>
              </w:rPr>
              <w:t>Anzahl Frauen</w:t>
            </w:r>
          </w:p>
        </w:tc>
        <w:tc>
          <w:tcPr>
            <w:tcW w:w="2126" w:type="dxa"/>
            <w:vAlign w:val="center"/>
          </w:tcPr>
          <w:p w14:paraId="7C4F3B4C" w14:textId="77777777" w:rsidR="009D5B6C" w:rsidRPr="001035CA" w:rsidRDefault="009D5B6C" w:rsidP="001035CA">
            <w:pPr>
              <w:pStyle w:val="TableParagraph"/>
              <w:ind w:right="110"/>
              <w:jc w:val="center"/>
              <w:rPr>
                <w:rFonts w:ascii="Arial" w:hAnsi="Arial" w:cs="Arial"/>
                <w:sz w:val="18"/>
                <w:szCs w:val="18"/>
              </w:rPr>
            </w:pPr>
            <w:r w:rsidRPr="001035CA">
              <w:rPr>
                <w:rFonts w:ascii="Arial" w:hAnsi="Arial" w:cs="Arial"/>
                <w:sz w:val="18"/>
                <w:szCs w:val="18"/>
              </w:rPr>
              <w:t xml:space="preserve">Frauenanteil </w:t>
            </w:r>
            <w:r w:rsidR="001035CA">
              <w:rPr>
                <w:rFonts w:ascii="Arial" w:hAnsi="Arial" w:cs="Arial"/>
                <w:sz w:val="18"/>
                <w:szCs w:val="18"/>
              </w:rPr>
              <w:t xml:space="preserve">in </w:t>
            </w:r>
            <w:r w:rsidR="006F49A4" w:rsidRPr="001035CA">
              <w:rPr>
                <w:rFonts w:ascii="Arial" w:hAnsi="Arial" w:cs="Arial"/>
                <w:sz w:val="18"/>
                <w:szCs w:val="18"/>
              </w:rPr>
              <w:t>Prozent</w:t>
            </w:r>
          </w:p>
        </w:tc>
      </w:tr>
      <w:tr w:rsidR="009D5B6C" w:rsidRPr="001035CA" w14:paraId="680C2AF5" w14:textId="77777777" w:rsidTr="001035CA">
        <w:trPr>
          <w:trHeight w:val="275"/>
        </w:trPr>
        <w:tc>
          <w:tcPr>
            <w:tcW w:w="1417" w:type="dxa"/>
            <w:vAlign w:val="center"/>
          </w:tcPr>
          <w:p w14:paraId="30EE36C2"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t>31.12.2018</w:t>
            </w:r>
          </w:p>
        </w:tc>
        <w:tc>
          <w:tcPr>
            <w:tcW w:w="1559" w:type="dxa"/>
            <w:vAlign w:val="center"/>
          </w:tcPr>
          <w:p w14:paraId="3DB77410" w14:textId="77777777" w:rsidR="009D5B6C" w:rsidRPr="001035CA" w:rsidRDefault="009D5B6C" w:rsidP="001035CA">
            <w:pPr>
              <w:pStyle w:val="TableParagraph"/>
              <w:ind w:left="445" w:right="438"/>
              <w:jc w:val="center"/>
              <w:rPr>
                <w:rFonts w:ascii="Arial" w:hAnsi="Arial" w:cs="Arial"/>
                <w:sz w:val="18"/>
                <w:szCs w:val="18"/>
              </w:rPr>
            </w:pPr>
            <w:r w:rsidRPr="001035CA">
              <w:rPr>
                <w:rFonts w:ascii="Arial" w:hAnsi="Arial" w:cs="Arial"/>
                <w:sz w:val="18"/>
                <w:szCs w:val="18"/>
              </w:rPr>
              <w:t>11</w:t>
            </w:r>
          </w:p>
        </w:tc>
        <w:tc>
          <w:tcPr>
            <w:tcW w:w="1418" w:type="dxa"/>
            <w:vAlign w:val="center"/>
          </w:tcPr>
          <w:p w14:paraId="41EC5D82" w14:textId="77777777" w:rsidR="009D5B6C" w:rsidRPr="001035CA" w:rsidRDefault="009D5B6C" w:rsidP="001035CA">
            <w:pPr>
              <w:pStyle w:val="TableParagraph"/>
              <w:ind w:left="9"/>
              <w:jc w:val="center"/>
              <w:rPr>
                <w:rFonts w:ascii="Arial" w:hAnsi="Arial" w:cs="Arial"/>
                <w:sz w:val="18"/>
                <w:szCs w:val="18"/>
              </w:rPr>
            </w:pPr>
            <w:r w:rsidRPr="001035CA">
              <w:rPr>
                <w:rFonts w:ascii="Arial" w:hAnsi="Arial" w:cs="Arial"/>
                <w:sz w:val="18"/>
                <w:szCs w:val="18"/>
              </w:rPr>
              <w:t>0</w:t>
            </w:r>
          </w:p>
        </w:tc>
        <w:tc>
          <w:tcPr>
            <w:tcW w:w="2126" w:type="dxa"/>
            <w:vAlign w:val="center"/>
          </w:tcPr>
          <w:p w14:paraId="23CC19F2" w14:textId="77777777" w:rsidR="009D5B6C" w:rsidRPr="001035CA" w:rsidRDefault="001035CA" w:rsidP="001035CA">
            <w:pPr>
              <w:pStyle w:val="TableParagraph"/>
              <w:ind w:right="107"/>
              <w:jc w:val="center"/>
              <w:rPr>
                <w:rFonts w:ascii="Arial" w:hAnsi="Arial" w:cs="Arial"/>
                <w:sz w:val="18"/>
                <w:szCs w:val="18"/>
              </w:rPr>
            </w:pPr>
            <w:r>
              <w:rPr>
                <w:rFonts w:ascii="Arial" w:hAnsi="Arial" w:cs="Arial"/>
                <w:sz w:val="18"/>
                <w:szCs w:val="18"/>
              </w:rPr>
              <w:t>0</w:t>
            </w:r>
          </w:p>
        </w:tc>
      </w:tr>
      <w:tr w:rsidR="009D5B6C" w:rsidRPr="001035CA" w14:paraId="3C8F7F7C" w14:textId="77777777" w:rsidTr="001035CA">
        <w:trPr>
          <w:trHeight w:val="275"/>
        </w:trPr>
        <w:tc>
          <w:tcPr>
            <w:tcW w:w="1417" w:type="dxa"/>
            <w:vAlign w:val="center"/>
          </w:tcPr>
          <w:p w14:paraId="35D8F53C"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lastRenderedPageBreak/>
              <w:t>31.12.2019</w:t>
            </w:r>
          </w:p>
        </w:tc>
        <w:tc>
          <w:tcPr>
            <w:tcW w:w="1559" w:type="dxa"/>
            <w:vAlign w:val="center"/>
          </w:tcPr>
          <w:p w14:paraId="5F44DEC7" w14:textId="77777777" w:rsidR="009D5B6C" w:rsidRPr="001035CA" w:rsidRDefault="009D5B6C" w:rsidP="001035CA">
            <w:pPr>
              <w:pStyle w:val="TableParagraph"/>
              <w:ind w:left="445" w:right="438"/>
              <w:jc w:val="center"/>
              <w:rPr>
                <w:rFonts w:ascii="Arial" w:hAnsi="Arial" w:cs="Arial"/>
                <w:sz w:val="18"/>
                <w:szCs w:val="18"/>
              </w:rPr>
            </w:pPr>
            <w:r w:rsidRPr="001035CA">
              <w:rPr>
                <w:rFonts w:ascii="Arial" w:hAnsi="Arial" w:cs="Arial"/>
                <w:sz w:val="18"/>
                <w:szCs w:val="18"/>
              </w:rPr>
              <w:t>11</w:t>
            </w:r>
          </w:p>
        </w:tc>
        <w:tc>
          <w:tcPr>
            <w:tcW w:w="1418" w:type="dxa"/>
            <w:vAlign w:val="center"/>
          </w:tcPr>
          <w:p w14:paraId="70236C48" w14:textId="77777777" w:rsidR="009D5B6C" w:rsidRPr="001035CA" w:rsidRDefault="009D5B6C" w:rsidP="001035CA">
            <w:pPr>
              <w:pStyle w:val="TableParagraph"/>
              <w:ind w:left="9"/>
              <w:jc w:val="center"/>
              <w:rPr>
                <w:rFonts w:ascii="Arial" w:hAnsi="Arial" w:cs="Arial"/>
                <w:sz w:val="18"/>
                <w:szCs w:val="18"/>
              </w:rPr>
            </w:pPr>
            <w:r w:rsidRPr="001035CA">
              <w:rPr>
                <w:rFonts w:ascii="Arial" w:hAnsi="Arial" w:cs="Arial"/>
                <w:sz w:val="18"/>
                <w:szCs w:val="18"/>
              </w:rPr>
              <w:t>0</w:t>
            </w:r>
          </w:p>
        </w:tc>
        <w:tc>
          <w:tcPr>
            <w:tcW w:w="2126" w:type="dxa"/>
            <w:vAlign w:val="center"/>
          </w:tcPr>
          <w:p w14:paraId="19FDE6E4" w14:textId="77777777" w:rsidR="009D5B6C" w:rsidRPr="001035CA" w:rsidRDefault="001035CA" w:rsidP="001035CA">
            <w:pPr>
              <w:pStyle w:val="TableParagraph"/>
              <w:ind w:right="107"/>
              <w:jc w:val="center"/>
              <w:rPr>
                <w:rFonts w:ascii="Arial" w:hAnsi="Arial" w:cs="Arial"/>
                <w:sz w:val="18"/>
                <w:szCs w:val="18"/>
              </w:rPr>
            </w:pPr>
            <w:r>
              <w:rPr>
                <w:rFonts w:ascii="Arial" w:hAnsi="Arial" w:cs="Arial"/>
                <w:sz w:val="18"/>
                <w:szCs w:val="18"/>
              </w:rPr>
              <w:t>0</w:t>
            </w:r>
          </w:p>
        </w:tc>
      </w:tr>
      <w:tr w:rsidR="009D5B6C" w:rsidRPr="001035CA" w14:paraId="12F36944" w14:textId="77777777" w:rsidTr="001035CA">
        <w:trPr>
          <w:trHeight w:val="277"/>
        </w:trPr>
        <w:tc>
          <w:tcPr>
            <w:tcW w:w="1417" w:type="dxa"/>
            <w:vAlign w:val="center"/>
          </w:tcPr>
          <w:p w14:paraId="681A9CE6" w14:textId="77777777" w:rsidR="009D5B6C" w:rsidRPr="001035CA" w:rsidRDefault="009D5B6C" w:rsidP="001035CA">
            <w:pPr>
              <w:pStyle w:val="TableParagraph"/>
              <w:spacing w:line="258" w:lineRule="exact"/>
              <w:ind w:left="301"/>
              <w:rPr>
                <w:rFonts w:ascii="Arial" w:hAnsi="Arial" w:cs="Arial"/>
                <w:sz w:val="18"/>
                <w:szCs w:val="18"/>
              </w:rPr>
            </w:pPr>
            <w:r w:rsidRPr="001035CA">
              <w:rPr>
                <w:rFonts w:ascii="Arial" w:hAnsi="Arial" w:cs="Arial"/>
                <w:sz w:val="18"/>
                <w:szCs w:val="18"/>
              </w:rPr>
              <w:t>31.12.2020</w:t>
            </w:r>
          </w:p>
        </w:tc>
        <w:tc>
          <w:tcPr>
            <w:tcW w:w="1559" w:type="dxa"/>
            <w:vAlign w:val="center"/>
          </w:tcPr>
          <w:p w14:paraId="60021020" w14:textId="77777777" w:rsidR="009D5B6C" w:rsidRPr="001035CA" w:rsidRDefault="009D5B6C" w:rsidP="001035CA">
            <w:pPr>
              <w:pStyle w:val="TableParagraph"/>
              <w:spacing w:line="258" w:lineRule="exact"/>
              <w:ind w:left="445" w:right="438"/>
              <w:jc w:val="center"/>
              <w:rPr>
                <w:rFonts w:ascii="Arial" w:hAnsi="Arial" w:cs="Arial"/>
                <w:sz w:val="18"/>
                <w:szCs w:val="18"/>
              </w:rPr>
            </w:pPr>
            <w:r w:rsidRPr="001035CA">
              <w:rPr>
                <w:rFonts w:ascii="Arial" w:hAnsi="Arial" w:cs="Arial"/>
                <w:sz w:val="18"/>
                <w:szCs w:val="18"/>
              </w:rPr>
              <w:t>11</w:t>
            </w:r>
          </w:p>
        </w:tc>
        <w:tc>
          <w:tcPr>
            <w:tcW w:w="1418" w:type="dxa"/>
            <w:vAlign w:val="center"/>
          </w:tcPr>
          <w:p w14:paraId="4A317D08" w14:textId="77777777" w:rsidR="009D5B6C" w:rsidRPr="001035CA" w:rsidRDefault="009D5B6C" w:rsidP="001035CA">
            <w:pPr>
              <w:pStyle w:val="TableParagraph"/>
              <w:spacing w:line="258" w:lineRule="exact"/>
              <w:ind w:left="9"/>
              <w:jc w:val="center"/>
              <w:rPr>
                <w:rFonts w:ascii="Arial" w:hAnsi="Arial" w:cs="Arial"/>
                <w:sz w:val="18"/>
                <w:szCs w:val="18"/>
              </w:rPr>
            </w:pPr>
            <w:r w:rsidRPr="001035CA">
              <w:rPr>
                <w:rFonts w:ascii="Arial" w:hAnsi="Arial" w:cs="Arial"/>
                <w:sz w:val="18"/>
                <w:szCs w:val="18"/>
              </w:rPr>
              <w:t>0</w:t>
            </w:r>
          </w:p>
        </w:tc>
        <w:tc>
          <w:tcPr>
            <w:tcW w:w="2126" w:type="dxa"/>
            <w:vAlign w:val="center"/>
          </w:tcPr>
          <w:p w14:paraId="67967AD7" w14:textId="77777777" w:rsidR="009D5B6C" w:rsidRPr="001035CA" w:rsidRDefault="001035CA" w:rsidP="001035CA">
            <w:pPr>
              <w:pStyle w:val="TableParagraph"/>
              <w:spacing w:line="258" w:lineRule="exact"/>
              <w:ind w:right="107"/>
              <w:jc w:val="center"/>
              <w:rPr>
                <w:rFonts w:ascii="Arial" w:hAnsi="Arial" w:cs="Arial"/>
                <w:sz w:val="18"/>
                <w:szCs w:val="18"/>
              </w:rPr>
            </w:pPr>
            <w:r>
              <w:rPr>
                <w:rFonts w:ascii="Arial" w:hAnsi="Arial" w:cs="Arial"/>
                <w:sz w:val="18"/>
                <w:szCs w:val="18"/>
              </w:rPr>
              <w:t>0</w:t>
            </w:r>
          </w:p>
        </w:tc>
      </w:tr>
      <w:tr w:rsidR="009D5B6C" w:rsidRPr="001035CA" w14:paraId="1AEDC28E" w14:textId="77777777" w:rsidTr="001035CA">
        <w:trPr>
          <w:trHeight w:val="275"/>
        </w:trPr>
        <w:tc>
          <w:tcPr>
            <w:tcW w:w="1417" w:type="dxa"/>
            <w:vAlign w:val="center"/>
          </w:tcPr>
          <w:p w14:paraId="1F1A2368"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t>30.06.2021</w:t>
            </w:r>
          </w:p>
        </w:tc>
        <w:tc>
          <w:tcPr>
            <w:tcW w:w="1559" w:type="dxa"/>
            <w:vAlign w:val="center"/>
          </w:tcPr>
          <w:p w14:paraId="48CD0E1E" w14:textId="77777777" w:rsidR="009D5B6C" w:rsidRPr="001035CA" w:rsidRDefault="009D5B6C" w:rsidP="001035CA">
            <w:pPr>
              <w:pStyle w:val="TableParagraph"/>
              <w:ind w:left="445" w:right="438"/>
              <w:jc w:val="center"/>
              <w:rPr>
                <w:rFonts w:ascii="Arial" w:hAnsi="Arial" w:cs="Arial"/>
                <w:sz w:val="18"/>
                <w:szCs w:val="18"/>
              </w:rPr>
            </w:pPr>
            <w:r w:rsidRPr="001035CA">
              <w:rPr>
                <w:rFonts w:ascii="Arial" w:hAnsi="Arial" w:cs="Arial"/>
                <w:sz w:val="18"/>
                <w:szCs w:val="18"/>
              </w:rPr>
              <w:t>10</w:t>
            </w:r>
          </w:p>
        </w:tc>
        <w:tc>
          <w:tcPr>
            <w:tcW w:w="1418" w:type="dxa"/>
            <w:vAlign w:val="center"/>
          </w:tcPr>
          <w:p w14:paraId="7DA37DB8" w14:textId="77777777" w:rsidR="009D5B6C" w:rsidRPr="001035CA" w:rsidRDefault="009D5B6C" w:rsidP="001035CA">
            <w:pPr>
              <w:pStyle w:val="TableParagraph"/>
              <w:ind w:left="9"/>
              <w:jc w:val="center"/>
              <w:rPr>
                <w:rFonts w:ascii="Arial" w:hAnsi="Arial" w:cs="Arial"/>
                <w:sz w:val="18"/>
                <w:szCs w:val="18"/>
              </w:rPr>
            </w:pPr>
            <w:r w:rsidRPr="001035CA">
              <w:rPr>
                <w:rFonts w:ascii="Arial" w:hAnsi="Arial" w:cs="Arial"/>
                <w:sz w:val="18"/>
                <w:szCs w:val="18"/>
              </w:rPr>
              <w:t>0</w:t>
            </w:r>
          </w:p>
        </w:tc>
        <w:tc>
          <w:tcPr>
            <w:tcW w:w="2126" w:type="dxa"/>
            <w:vAlign w:val="center"/>
          </w:tcPr>
          <w:p w14:paraId="041B0079" w14:textId="77777777" w:rsidR="009D5B6C" w:rsidRPr="001035CA" w:rsidRDefault="001035CA" w:rsidP="001035CA">
            <w:pPr>
              <w:pStyle w:val="TableParagraph"/>
              <w:ind w:right="107"/>
              <w:jc w:val="center"/>
              <w:rPr>
                <w:rFonts w:ascii="Arial" w:hAnsi="Arial" w:cs="Arial"/>
                <w:sz w:val="18"/>
                <w:szCs w:val="18"/>
              </w:rPr>
            </w:pPr>
            <w:r>
              <w:rPr>
                <w:rFonts w:ascii="Arial" w:hAnsi="Arial" w:cs="Arial"/>
                <w:sz w:val="18"/>
                <w:szCs w:val="18"/>
              </w:rPr>
              <w:t>0</w:t>
            </w:r>
          </w:p>
        </w:tc>
      </w:tr>
      <w:tr w:rsidR="009D5B6C" w:rsidRPr="001035CA" w14:paraId="70103457" w14:textId="77777777" w:rsidTr="001035CA">
        <w:trPr>
          <w:trHeight w:val="276"/>
        </w:trPr>
        <w:tc>
          <w:tcPr>
            <w:tcW w:w="1417" w:type="dxa"/>
            <w:vAlign w:val="center"/>
          </w:tcPr>
          <w:p w14:paraId="2E4D7596"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t>01.02.2022</w:t>
            </w:r>
          </w:p>
        </w:tc>
        <w:tc>
          <w:tcPr>
            <w:tcW w:w="1559" w:type="dxa"/>
            <w:vAlign w:val="center"/>
          </w:tcPr>
          <w:p w14:paraId="6CA4D794" w14:textId="77777777" w:rsidR="009D5B6C" w:rsidRPr="001035CA" w:rsidRDefault="009D5B6C" w:rsidP="001035CA">
            <w:pPr>
              <w:pStyle w:val="TableParagraph"/>
              <w:ind w:left="445" w:right="438"/>
              <w:jc w:val="center"/>
              <w:rPr>
                <w:rFonts w:ascii="Arial" w:hAnsi="Arial" w:cs="Arial"/>
                <w:sz w:val="18"/>
                <w:szCs w:val="18"/>
              </w:rPr>
            </w:pPr>
            <w:r w:rsidRPr="001035CA">
              <w:rPr>
                <w:rFonts w:ascii="Arial" w:hAnsi="Arial" w:cs="Arial"/>
                <w:sz w:val="18"/>
                <w:szCs w:val="18"/>
              </w:rPr>
              <w:t>10</w:t>
            </w:r>
          </w:p>
        </w:tc>
        <w:tc>
          <w:tcPr>
            <w:tcW w:w="1418" w:type="dxa"/>
            <w:vAlign w:val="center"/>
          </w:tcPr>
          <w:p w14:paraId="0AEF2BAD" w14:textId="77777777" w:rsidR="009D5B6C" w:rsidRPr="001035CA" w:rsidRDefault="009D5B6C" w:rsidP="001035CA">
            <w:pPr>
              <w:pStyle w:val="TableParagraph"/>
              <w:ind w:left="9"/>
              <w:jc w:val="center"/>
              <w:rPr>
                <w:rFonts w:ascii="Arial" w:hAnsi="Arial" w:cs="Arial"/>
                <w:sz w:val="18"/>
                <w:szCs w:val="18"/>
              </w:rPr>
            </w:pPr>
            <w:r w:rsidRPr="001035CA">
              <w:rPr>
                <w:rFonts w:ascii="Arial" w:hAnsi="Arial" w:cs="Arial"/>
                <w:sz w:val="18"/>
                <w:szCs w:val="18"/>
              </w:rPr>
              <w:t>0</w:t>
            </w:r>
          </w:p>
        </w:tc>
        <w:tc>
          <w:tcPr>
            <w:tcW w:w="2126" w:type="dxa"/>
            <w:vAlign w:val="center"/>
          </w:tcPr>
          <w:p w14:paraId="146B3656" w14:textId="77777777" w:rsidR="009D5B6C" w:rsidRPr="001035CA" w:rsidRDefault="001035CA" w:rsidP="001035CA">
            <w:pPr>
              <w:pStyle w:val="TableParagraph"/>
              <w:ind w:right="107"/>
              <w:jc w:val="center"/>
              <w:rPr>
                <w:rFonts w:ascii="Arial" w:hAnsi="Arial" w:cs="Arial"/>
                <w:sz w:val="18"/>
                <w:szCs w:val="18"/>
              </w:rPr>
            </w:pPr>
            <w:r>
              <w:rPr>
                <w:rFonts w:ascii="Arial" w:hAnsi="Arial" w:cs="Arial"/>
                <w:sz w:val="18"/>
                <w:szCs w:val="18"/>
              </w:rPr>
              <w:t>0</w:t>
            </w:r>
          </w:p>
        </w:tc>
      </w:tr>
    </w:tbl>
    <w:p w14:paraId="38B4E92A" w14:textId="77777777" w:rsidR="009B7130" w:rsidRDefault="009B7130" w:rsidP="009D5B6C">
      <w:pPr>
        <w:pStyle w:val="LTAntwortRessortText"/>
        <w:ind w:left="0"/>
      </w:pPr>
    </w:p>
    <w:p w14:paraId="0F61B7F8" w14:textId="77777777" w:rsidR="009B7130" w:rsidRDefault="009B7130" w:rsidP="00F47B56">
      <w:pPr>
        <w:pStyle w:val="LTAntwortRessortText"/>
      </w:pPr>
      <w:r>
        <w:t>9. Pol</w:t>
      </w:r>
      <w:r w:rsidR="00F47B56">
        <w:t>izeipräsidium Oberpfalz</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1035CA" w14:paraId="30A12ACB" w14:textId="77777777" w:rsidTr="001035CA">
        <w:trPr>
          <w:trHeight w:val="278"/>
        </w:trPr>
        <w:tc>
          <w:tcPr>
            <w:tcW w:w="1417" w:type="dxa"/>
            <w:vAlign w:val="center"/>
          </w:tcPr>
          <w:p w14:paraId="32DB520D" w14:textId="77777777" w:rsidR="009D5B6C" w:rsidRPr="001035CA" w:rsidRDefault="009D5B6C" w:rsidP="001035CA">
            <w:pPr>
              <w:pStyle w:val="TableParagraph"/>
              <w:spacing w:line="258" w:lineRule="exact"/>
              <w:ind w:left="301"/>
              <w:rPr>
                <w:rFonts w:ascii="Arial" w:hAnsi="Arial" w:cs="Arial"/>
                <w:sz w:val="18"/>
                <w:szCs w:val="18"/>
              </w:rPr>
            </w:pPr>
            <w:r w:rsidRPr="001035CA">
              <w:rPr>
                <w:rFonts w:ascii="Arial" w:hAnsi="Arial" w:cs="Arial"/>
                <w:sz w:val="18"/>
                <w:szCs w:val="18"/>
              </w:rPr>
              <w:t>Stichtag</w:t>
            </w:r>
          </w:p>
        </w:tc>
        <w:tc>
          <w:tcPr>
            <w:tcW w:w="1559" w:type="dxa"/>
            <w:vAlign w:val="center"/>
          </w:tcPr>
          <w:p w14:paraId="22E795F7" w14:textId="77777777" w:rsidR="009D5B6C" w:rsidRPr="001035CA" w:rsidRDefault="009D5B6C" w:rsidP="001035CA">
            <w:pPr>
              <w:pStyle w:val="TableParagraph"/>
              <w:spacing w:line="258" w:lineRule="exact"/>
              <w:ind w:left="446" w:right="438"/>
              <w:jc w:val="center"/>
              <w:rPr>
                <w:rFonts w:ascii="Arial" w:hAnsi="Arial" w:cs="Arial"/>
                <w:sz w:val="18"/>
                <w:szCs w:val="18"/>
              </w:rPr>
            </w:pPr>
            <w:r w:rsidRPr="001035CA">
              <w:rPr>
                <w:rFonts w:ascii="Arial" w:hAnsi="Arial" w:cs="Arial"/>
                <w:sz w:val="18"/>
                <w:szCs w:val="18"/>
              </w:rPr>
              <w:t>Gesamt</w:t>
            </w:r>
          </w:p>
        </w:tc>
        <w:tc>
          <w:tcPr>
            <w:tcW w:w="1418" w:type="dxa"/>
            <w:vAlign w:val="center"/>
          </w:tcPr>
          <w:p w14:paraId="2970E505" w14:textId="77777777" w:rsidR="009D5B6C" w:rsidRPr="001035CA" w:rsidRDefault="009D5B6C" w:rsidP="001035CA">
            <w:pPr>
              <w:pStyle w:val="TableParagraph"/>
              <w:spacing w:line="258" w:lineRule="exact"/>
              <w:ind w:left="96" w:right="90"/>
              <w:jc w:val="center"/>
              <w:rPr>
                <w:rFonts w:ascii="Arial" w:hAnsi="Arial" w:cs="Arial"/>
                <w:sz w:val="18"/>
                <w:szCs w:val="18"/>
              </w:rPr>
            </w:pPr>
            <w:r w:rsidRPr="001035CA">
              <w:rPr>
                <w:rFonts w:ascii="Arial" w:hAnsi="Arial" w:cs="Arial"/>
                <w:sz w:val="18"/>
                <w:szCs w:val="18"/>
              </w:rPr>
              <w:t>Anzahl Frauen</w:t>
            </w:r>
          </w:p>
        </w:tc>
        <w:tc>
          <w:tcPr>
            <w:tcW w:w="2126" w:type="dxa"/>
            <w:vAlign w:val="center"/>
          </w:tcPr>
          <w:p w14:paraId="6B0EC4CF" w14:textId="77777777" w:rsidR="009D5B6C" w:rsidRPr="001035CA" w:rsidRDefault="009D5B6C" w:rsidP="001035CA">
            <w:pPr>
              <w:pStyle w:val="TableParagraph"/>
              <w:spacing w:line="258" w:lineRule="exact"/>
              <w:ind w:right="110"/>
              <w:jc w:val="center"/>
              <w:rPr>
                <w:rFonts w:ascii="Arial" w:hAnsi="Arial" w:cs="Arial"/>
                <w:sz w:val="18"/>
                <w:szCs w:val="18"/>
              </w:rPr>
            </w:pPr>
            <w:r w:rsidRPr="001035CA">
              <w:rPr>
                <w:rFonts w:ascii="Arial" w:hAnsi="Arial" w:cs="Arial"/>
                <w:sz w:val="18"/>
                <w:szCs w:val="18"/>
              </w:rPr>
              <w:t xml:space="preserve">Frauenanteil </w:t>
            </w:r>
            <w:r w:rsidR="001035CA">
              <w:rPr>
                <w:rFonts w:ascii="Arial" w:hAnsi="Arial" w:cs="Arial"/>
                <w:sz w:val="18"/>
                <w:szCs w:val="18"/>
              </w:rPr>
              <w:t xml:space="preserve">in </w:t>
            </w:r>
            <w:r w:rsidR="006F49A4" w:rsidRPr="001035CA">
              <w:rPr>
                <w:rFonts w:ascii="Arial" w:hAnsi="Arial" w:cs="Arial"/>
                <w:sz w:val="18"/>
                <w:szCs w:val="18"/>
              </w:rPr>
              <w:t>Prozent</w:t>
            </w:r>
          </w:p>
        </w:tc>
      </w:tr>
      <w:tr w:rsidR="009D5B6C" w:rsidRPr="001035CA" w14:paraId="4DE2C69B" w14:textId="77777777" w:rsidTr="001035CA">
        <w:trPr>
          <w:trHeight w:val="275"/>
        </w:trPr>
        <w:tc>
          <w:tcPr>
            <w:tcW w:w="1417" w:type="dxa"/>
            <w:vAlign w:val="center"/>
          </w:tcPr>
          <w:p w14:paraId="31F36F4F"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t>31.12.2018</w:t>
            </w:r>
          </w:p>
        </w:tc>
        <w:tc>
          <w:tcPr>
            <w:tcW w:w="1559" w:type="dxa"/>
            <w:vAlign w:val="center"/>
          </w:tcPr>
          <w:p w14:paraId="63020110" w14:textId="77777777" w:rsidR="009D5B6C" w:rsidRPr="001035CA" w:rsidRDefault="009D5B6C" w:rsidP="001035CA">
            <w:pPr>
              <w:pStyle w:val="TableParagraph"/>
              <w:ind w:left="445" w:right="438"/>
              <w:jc w:val="center"/>
              <w:rPr>
                <w:rFonts w:ascii="Arial" w:hAnsi="Arial" w:cs="Arial"/>
                <w:sz w:val="18"/>
                <w:szCs w:val="18"/>
              </w:rPr>
            </w:pPr>
            <w:r w:rsidRPr="001035CA">
              <w:rPr>
                <w:rFonts w:ascii="Arial" w:hAnsi="Arial" w:cs="Arial"/>
                <w:sz w:val="18"/>
                <w:szCs w:val="18"/>
              </w:rPr>
              <w:t>32</w:t>
            </w:r>
          </w:p>
        </w:tc>
        <w:tc>
          <w:tcPr>
            <w:tcW w:w="1418" w:type="dxa"/>
            <w:vAlign w:val="center"/>
          </w:tcPr>
          <w:p w14:paraId="5EEFBB12" w14:textId="77777777" w:rsidR="009D5B6C" w:rsidRPr="001035CA" w:rsidRDefault="009D5B6C" w:rsidP="001035CA">
            <w:pPr>
              <w:pStyle w:val="TableParagraph"/>
              <w:ind w:left="9"/>
              <w:jc w:val="center"/>
              <w:rPr>
                <w:rFonts w:ascii="Arial" w:hAnsi="Arial" w:cs="Arial"/>
                <w:sz w:val="18"/>
                <w:szCs w:val="18"/>
              </w:rPr>
            </w:pPr>
            <w:r w:rsidRPr="001035CA">
              <w:rPr>
                <w:rFonts w:ascii="Arial" w:hAnsi="Arial" w:cs="Arial"/>
                <w:sz w:val="18"/>
                <w:szCs w:val="18"/>
              </w:rPr>
              <w:t>2</w:t>
            </w:r>
          </w:p>
        </w:tc>
        <w:tc>
          <w:tcPr>
            <w:tcW w:w="2126" w:type="dxa"/>
            <w:vAlign w:val="center"/>
          </w:tcPr>
          <w:p w14:paraId="2DE88FD6" w14:textId="77777777" w:rsidR="009D5B6C" w:rsidRPr="001035CA" w:rsidRDefault="009D5B6C" w:rsidP="001035CA">
            <w:pPr>
              <w:pStyle w:val="TableParagraph"/>
              <w:ind w:right="105"/>
              <w:jc w:val="center"/>
              <w:rPr>
                <w:rFonts w:ascii="Arial" w:hAnsi="Arial" w:cs="Arial"/>
                <w:sz w:val="18"/>
                <w:szCs w:val="18"/>
              </w:rPr>
            </w:pPr>
            <w:r w:rsidRPr="001035CA">
              <w:rPr>
                <w:rFonts w:ascii="Arial" w:hAnsi="Arial" w:cs="Arial"/>
                <w:sz w:val="18"/>
                <w:szCs w:val="18"/>
              </w:rPr>
              <w:t>6,25</w:t>
            </w:r>
          </w:p>
        </w:tc>
      </w:tr>
      <w:tr w:rsidR="009D5B6C" w:rsidRPr="001035CA" w14:paraId="324BCEF6" w14:textId="77777777" w:rsidTr="001035CA">
        <w:trPr>
          <w:trHeight w:val="275"/>
        </w:trPr>
        <w:tc>
          <w:tcPr>
            <w:tcW w:w="1417" w:type="dxa"/>
            <w:vAlign w:val="center"/>
          </w:tcPr>
          <w:p w14:paraId="0FE9F530"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t>31.12.2019</w:t>
            </w:r>
          </w:p>
        </w:tc>
        <w:tc>
          <w:tcPr>
            <w:tcW w:w="1559" w:type="dxa"/>
            <w:vAlign w:val="center"/>
          </w:tcPr>
          <w:p w14:paraId="1D6FF3DA" w14:textId="77777777" w:rsidR="009D5B6C" w:rsidRPr="001035CA" w:rsidRDefault="009D5B6C" w:rsidP="001035CA">
            <w:pPr>
              <w:pStyle w:val="TableParagraph"/>
              <w:ind w:left="445" w:right="438"/>
              <w:jc w:val="center"/>
              <w:rPr>
                <w:rFonts w:ascii="Arial" w:hAnsi="Arial" w:cs="Arial"/>
                <w:sz w:val="18"/>
                <w:szCs w:val="18"/>
              </w:rPr>
            </w:pPr>
            <w:r w:rsidRPr="001035CA">
              <w:rPr>
                <w:rFonts w:ascii="Arial" w:hAnsi="Arial" w:cs="Arial"/>
                <w:sz w:val="18"/>
                <w:szCs w:val="18"/>
              </w:rPr>
              <w:t>34</w:t>
            </w:r>
          </w:p>
        </w:tc>
        <w:tc>
          <w:tcPr>
            <w:tcW w:w="1418" w:type="dxa"/>
            <w:vAlign w:val="center"/>
          </w:tcPr>
          <w:p w14:paraId="6AEABB9F" w14:textId="77777777" w:rsidR="009D5B6C" w:rsidRPr="001035CA" w:rsidRDefault="009D5B6C" w:rsidP="001035CA">
            <w:pPr>
              <w:pStyle w:val="TableParagraph"/>
              <w:ind w:left="9"/>
              <w:jc w:val="center"/>
              <w:rPr>
                <w:rFonts w:ascii="Arial" w:hAnsi="Arial" w:cs="Arial"/>
                <w:sz w:val="18"/>
                <w:szCs w:val="18"/>
              </w:rPr>
            </w:pPr>
            <w:r w:rsidRPr="001035CA">
              <w:rPr>
                <w:rFonts w:ascii="Arial" w:hAnsi="Arial" w:cs="Arial"/>
                <w:sz w:val="18"/>
                <w:szCs w:val="18"/>
              </w:rPr>
              <w:t>2</w:t>
            </w:r>
          </w:p>
        </w:tc>
        <w:tc>
          <w:tcPr>
            <w:tcW w:w="2126" w:type="dxa"/>
            <w:vAlign w:val="center"/>
          </w:tcPr>
          <w:p w14:paraId="4A2CC343" w14:textId="77777777" w:rsidR="009D5B6C" w:rsidRPr="001035CA" w:rsidRDefault="001035CA" w:rsidP="001035CA">
            <w:pPr>
              <w:pStyle w:val="TableParagraph"/>
              <w:ind w:right="105"/>
              <w:jc w:val="center"/>
              <w:rPr>
                <w:rFonts w:ascii="Arial" w:hAnsi="Arial" w:cs="Arial"/>
                <w:sz w:val="18"/>
                <w:szCs w:val="18"/>
              </w:rPr>
            </w:pPr>
            <w:r>
              <w:rPr>
                <w:rFonts w:ascii="Arial" w:hAnsi="Arial" w:cs="Arial"/>
                <w:sz w:val="18"/>
                <w:szCs w:val="18"/>
              </w:rPr>
              <w:t>5,88</w:t>
            </w:r>
          </w:p>
        </w:tc>
      </w:tr>
      <w:tr w:rsidR="009D5B6C" w:rsidRPr="001035CA" w14:paraId="1BA71CE5" w14:textId="77777777" w:rsidTr="001035CA">
        <w:trPr>
          <w:trHeight w:val="275"/>
        </w:trPr>
        <w:tc>
          <w:tcPr>
            <w:tcW w:w="1417" w:type="dxa"/>
            <w:vAlign w:val="center"/>
          </w:tcPr>
          <w:p w14:paraId="214F833E"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t>31.12.2020</w:t>
            </w:r>
          </w:p>
        </w:tc>
        <w:tc>
          <w:tcPr>
            <w:tcW w:w="1559" w:type="dxa"/>
            <w:vAlign w:val="center"/>
          </w:tcPr>
          <w:p w14:paraId="026AAD21" w14:textId="77777777" w:rsidR="009D5B6C" w:rsidRPr="001035CA" w:rsidRDefault="009D5B6C" w:rsidP="001035CA">
            <w:pPr>
              <w:pStyle w:val="TableParagraph"/>
              <w:ind w:left="445" w:right="438"/>
              <w:jc w:val="center"/>
              <w:rPr>
                <w:rFonts w:ascii="Arial" w:hAnsi="Arial" w:cs="Arial"/>
                <w:sz w:val="18"/>
                <w:szCs w:val="18"/>
              </w:rPr>
            </w:pPr>
            <w:r w:rsidRPr="001035CA">
              <w:rPr>
                <w:rFonts w:ascii="Arial" w:hAnsi="Arial" w:cs="Arial"/>
                <w:sz w:val="18"/>
                <w:szCs w:val="18"/>
              </w:rPr>
              <w:t>37</w:t>
            </w:r>
          </w:p>
        </w:tc>
        <w:tc>
          <w:tcPr>
            <w:tcW w:w="1418" w:type="dxa"/>
            <w:vAlign w:val="center"/>
          </w:tcPr>
          <w:p w14:paraId="51808907" w14:textId="77777777" w:rsidR="009D5B6C" w:rsidRPr="001035CA" w:rsidRDefault="009D5B6C" w:rsidP="001035CA">
            <w:pPr>
              <w:pStyle w:val="TableParagraph"/>
              <w:ind w:left="9"/>
              <w:jc w:val="center"/>
              <w:rPr>
                <w:rFonts w:ascii="Arial" w:hAnsi="Arial" w:cs="Arial"/>
                <w:sz w:val="18"/>
                <w:szCs w:val="18"/>
              </w:rPr>
            </w:pPr>
            <w:r w:rsidRPr="001035CA">
              <w:rPr>
                <w:rFonts w:ascii="Arial" w:hAnsi="Arial" w:cs="Arial"/>
                <w:sz w:val="18"/>
                <w:szCs w:val="18"/>
              </w:rPr>
              <w:t>2</w:t>
            </w:r>
          </w:p>
        </w:tc>
        <w:tc>
          <w:tcPr>
            <w:tcW w:w="2126" w:type="dxa"/>
            <w:vAlign w:val="center"/>
          </w:tcPr>
          <w:p w14:paraId="4B15BAAB" w14:textId="77777777" w:rsidR="009D5B6C" w:rsidRPr="001035CA" w:rsidRDefault="009D5B6C" w:rsidP="001035CA">
            <w:pPr>
              <w:pStyle w:val="TableParagraph"/>
              <w:ind w:right="105"/>
              <w:jc w:val="center"/>
              <w:rPr>
                <w:rFonts w:ascii="Arial" w:hAnsi="Arial" w:cs="Arial"/>
                <w:sz w:val="18"/>
                <w:szCs w:val="18"/>
              </w:rPr>
            </w:pPr>
            <w:r w:rsidRPr="001035CA">
              <w:rPr>
                <w:rFonts w:ascii="Arial" w:hAnsi="Arial" w:cs="Arial"/>
                <w:sz w:val="18"/>
                <w:szCs w:val="18"/>
              </w:rPr>
              <w:t>5,41</w:t>
            </w:r>
          </w:p>
        </w:tc>
      </w:tr>
      <w:tr w:rsidR="009D5B6C" w:rsidRPr="001035CA" w14:paraId="138F0A5E" w14:textId="77777777" w:rsidTr="001035CA">
        <w:trPr>
          <w:trHeight w:val="275"/>
        </w:trPr>
        <w:tc>
          <w:tcPr>
            <w:tcW w:w="1417" w:type="dxa"/>
            <w:vAlign w:val="center"/>
          </w:tcPr>
          <w:p w14:paraId="750C50CF"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t>30.06.2021</w:t>
            </w:r>
          </w:p>
        </w:tc>
        <w:tc>
          <w:tcPr>
            <w:tcW w:w="1559" w:type="dxa"/>
            <w:vAlign w:val="center"/>
          </w:tcPr>
          <w:p w14:paraId="74850A4F" w14:textId="77777777" w:rsidR="009D5B6C" w:rsidRPr="001035CA" w:rsidRDefault="009D5B6C" w:rsidP="001035CA">
            <w:pPr>
              <w:pStyle w:val="TableParagraph"/>
              <w:ind w:left="445" w:right="438"/>
              <w:jc w:val="center"/>
              <w:rPr>
                <w:rFonts w:ascii="Arial" w:hAnsi="Arial" w:cs="Arial"/>
                <w:sz w:val="18"/>
                <w:szCs w:val="18"/>
              </w:rPr>
            </w:pPr>
            <w:r w:rsidRPr="001035CA">
              <w:rPr>
                <w:rFonts w:ascii="Arial" w:hAnsi="Arial" w:cs="Arial"/>
                <w:sz w:val="18"/>
                <w:szCs w:val="18"/>
              </w:rPr>
              <w:t>37</w:t>
            </w:r>
          </w:p>
        </w:tc>
        <w:tc>
          <w:tcPr>
            <w:tcW w:w="1418" w:type="dxa"/>
            <w:vAlign w:val="center"/>
          </w:tcPr>
          <w:p w14:paraId="2EE9754E" w14:textId="77777777" w:rsidR="009D5B6C" w:rsidRPr="001035CA" w:rsidRDefault="009D5B6C" w:rsidP="001035CA">
            <w:pPr>
              <w:pStyle w:val="TableParagraph"/>
              <w:ind w:left="9"/>
              <w:jc w:val="center"/>
              <w:rPr>
                <w:rFonts w:ascii="Arial" w:hAnsi="Arial" w:cs="Arial"/>
                <w:sz w:val="18"/>
                <w:szCs w:val="18"/>
              </w:rPr>
            </w:pPr>
            <w:r w:rsidRPr="001035CA">
              <w:rPr>
                <w:rFonts w:ascii="Arial" w:hAnsi="Arial" w:cs="Arial"/>
                <w:sz w:val="18"/>
                <w:szCs w:val="18"/>
              </w:rPr>
              <w:t>2</w:t>
            </w:r>
          </w:p>
        </w:tc>
        <w:tc>
          <w:tcPr>
            <w:tcW w:w="2126" w:type="dxa"/>
            <w:vAlign w:val="center"/>
          </w:tcPr>
          <w:p w14:paraId="4D460DDF" w14:textId="77777777" w:rsidR="009D5B6C" w:rsidRPr="001035CA" w:rsidRDefault="009D5B6C" w:rsidP="001035CA">
            <w:pPr>
              <w:pStyle w:val="TableParagraph"/>
              <w:ind w:right="105"/>
              <w:jc w:val="center"/>
              <w:rPr>
                <w:rFonts w:ascii="Arial" w:hAnsi="Arial" w:cs="Arial"/>
                <w:sz w:val="18"/>
                <w:szCs w:val="18"/>
              </w:rPr>
            </w:pPr>
            <w:r w:rsidRPr="001035CA">
              <w:rPr>
                <w:rFonts w:ascii="Arial" w:hAnsi="Arial" w:cs="Arial"/>
                <w:sz w:val="18"/>
                <w:szCs w:val="18"/>
              </w:rPr>
              <w:t>5,41</w:t>
            </w:r>
          </w:p>
        </w:tc>
      </w:tr>
      <w:tr w:rsidR="009D5B6C" w:rsidRPr="001035CA" w14:paraId="1A0AB534" w14:textId="77777777" w:rsidTr="001035CA">
        <w:trPr>
          <w:trHeight w:val="277"/>
        </w:trPr>
        <w:tc>
          <w:tcPr>
            <w:tcW w:w="1417" w:type="dxa"/>
            <w:vAlign w:val="center"/>
          </w:tcPr>
          <w:p w14:paraId="718D7044" w14:textId="77777777" w:rsidR="009D5B6C" w:rsidRPr="001035CA" w:rsidRDefault="009D5B6C" w:rsidP="001035CA">
            <w:pPr>
              <w:pStyle w:val="TableParagraph"/>
              <w:spacing w:line="258" w:lineRule="exact"/>
              <w:ind w:left="301"/>
              <w:rPr>
                <w:rFonts w:ascii="Arial" w:hAnsi="Arial" w:cs="Arial"/>
                <w:sz w:val="18"/>
                <w:szCs w:val="18"/>
              </w:rPr>
            </w:pPr>
            <w:r w:rsidRPr="001035CA">
              <w:rPr>
                <w:rFonts w:ascii="Arial" w:hAnsi="Arial" w:cs="Arial"/>
                <w:sz w:val="18"/>
                <w:szCs w:val="18"/>
              </w:rPr>
              <w:t>01.02.2022</w:t>
            </w:r>
          </w:p>
        </w:tc>
        <w:tc>
          <w:tcPr>
            <w:tcW w:w="1559" w:type="dxa"/>
            <w:vAlign w:val="center"/>
          </w:tcPr>
          <w:p w14:paraId="5A18E2C7" w14:textId="77777777" w:rsidR="009D5B6C" w:rsidRPr="001035CA" w:rsidRDefault="009D5B6C" w:rsidP="001035CA">
            <w:pPr>
              <w:pStyle w:val="TableParagraph"/>
              <w:spacing w:line="258" w:lineRule="exact"/>
              <w:ind w:left="445" w:right="438"/>
              <w:jc w:val="center"/>
              <w:rPr>
                <w:rFonts w:ascii="Arial" w:hAnsi="Arial" w:cs="Arial"/>
                <w:sz w:val="18"/>
                <w:szCs w:val="18"/>
              </w:rPr>
            </w:pPr>
            <w:r w:rsidRPr="001035CA">
              <w:rPr>
                <w:rFonts w:ascii="Arial" w:hAnsi="Arial" w:cs="Arial"/>
                <w:sz w:val="18"/>
                <w:szCs w:val="18"/>
              </w:rPr>
              <w:t>34</w:t>
            </w:r>
          </w:p>
        </w:tc>
        <w:tc>
          <w:tcPr>
            <w:tcW w:w="1418" w:type="dxa"/>
            <w:vAlign w:val="center"/>
          </w:tcPr>
          <w:p w14:paraId="07C0D2B9" w14:textId="77777777" w:rsidR="009D5B6C" w:rsidRPr="001035CA" w:rsidRDefault="009D5B6C" w:rsidP="001035CA">
            <w:pPr>
              <w:pStyle w:val="TableParagraph"/>
              <w:spacing w:line="258" w:lineRule="exact"/>
              <w:ind w:left="9"/>
              <w:jc w:val="center"/>
              <w:rPr>
                <w:rFonts w:ascii="Arial" w:hAnsi="Arial" w:cs="Arial"/>
                <w:sz w:val="18"/>
                <w:szCs w:val="18"/>
              </w:rPr>
            </w:pPr>
            <w:r w:rsidRPr="001035CA">
              <w:rPr>
                <w:rFonts w:ascii="Arial" w:hAnsi="Arial" w:cs="Arial"/>
                <w:sz w:val="18"/>
                <w:szCs w:val="18"/>
              </w:rPr>
              <w:t>2</w:t>
            </w:r>
          </w:p>
        </w:tc>
        <w:tc>
          <w:tcPr>
            <w:tcW w:w="2126" w:type="dxa"/>
            <w:vAlign w:val="center"/>
          </w:tcPr>
          <w:p w14:paraId="0B60C24D" w14:textId="77777777" w:rsidR="009D5B6C" w:rsidRPr="001035CA" w:rsidRDefault="001035CA" w:rsidP="001035CA">
            <w:pPr>
              <w:pStyle w:val="TableParagraph"/>
              <w:spacing w:line="258" w:lineRule="exact"/>
              <w:ind w:right="105"/>
              <w:jc w:val="center"/>
              <w:rPr>
                <w:rFonts w:ascii="Arial" w:hAnsi="Arial" w:cs="Arial"/>
                <w:sz w:val="18"/>
                <w:szCs w:val="18"/>
              </w:rPr>
            </w:pPr>
            <w:r>
              <w:rPr>
                <w:rFonts w:ascii="Arial" w:hAnsi="Arial" w:cs="Arial"/>
                <w:sz w:val="18"/>
                <w:szCs w:val="18"/>
              </w:rPr>
              <w:t>5,88</w:t>
            </w:r>
          </w:p>
        </w:tc>
      </w:tr>
    </w:tbl>
    <w:p w14:paraId="27D64C55" w14:textId="77777777" w:rsidR="009B7130" w:rsidRDefault="009B7130" w:rsidP="009D5B6C">
      <w:pPr>
        <w:pStyle w:val="LTAntwortRessortText"/>
        <w:ind w:left="0"/>
      </w:pPr>
    </w:p>
    <w:p w14:paraId="633B1472" w14:textId="77777777" w:rsidR="009B7130" w:rsidRDefault="009B7130" w:rsidP="00F47B56">
      <w:pPr>
        <w:pStyle w:val="LTAntwortRessortText"/>
      </w:pPr>
      <w:r>
        <w:t>10. Polizeipräsidium Schwabe</w:t>
      </w:r>
      <w:r w:rsidR="00F47B56">
        <w:t>n Nord</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1035CA" w14:paraId="125DDD0A" w14:textId="77777777" w:rsidTr="001035CA">
        <w:trPr>
          <w:trHeight w:val="278"/>
        </w:trPr>
        <w:tc>
          <w:tcPr>
            <w:tcW w:w="1417" w:type="dxa"/>
            <w:vAlign w:val="center"/>
          </w:tcPr>
          <w:p w14:paraId="6C8C42C3" w14:textId="77777777" w:rsidR="009D5B6C" w:rsidRPr="001035CA" w:rsidRDefault="009D5B6C" w:rsidP="001035CA">
            <w:pPr>
              <w:pStyle w:val="TableParagraph"/>
              <w:spacing w:line="259" w:lineRule="exact"/>
              <w:ind w:left="301"/>
              <w:rPr>
                <w:rFonts w:ascii="Arial" w:hAnsi="Arial" w:cs="Arial"/>
                <w:sz w:val="18"/>
                <w:szCs w:val="18"/>
              </w:rPr>
            </w:pPr>
            <w:r w:rsidRPr="001035CA">
              <w:rPr>
                <w:rFonts w:ascii="Arial" w:hAnsi="Arial" w:cs="Arial"/>
                <w:sz w:val="18"/>
                <w:szCs w:val="18"/>
              </w:rPr>
              <w:t>Stichtag</w:t>
            </w:r>
          </w:p>
        </w:tc>
        <w:tc>
          <w:tcPr>
            <w:tcW w:w="1559" w:type="dxa"/>
            <w:vAlign w:val="center"/>
          </w:tcPr>
          <w:p w14:paraId="5BEA1B83" w14:textId="77777777" w:rsidR="009D5B6C" w:rsidRPr="001035CA" w:rsidRDefault="009D5B6C" w:rsidP="001035CA">
            <w:pPr>
              <w:pStyle w:val="TableParagraph"/>
              <w:spacing w:line="259" w:lineRule="exact"/>
              <w:ind w:left="446" w:right="438"/>
              <w:jc w:val="center"/>
              <w:rPr>
                <w:rFonts w:ascii="Arial" w:hAnsi="Arial" w:cs="Arial"/>
                <w:sz w:val="18"/>
                <w:szCs w:val="18"/>
              </w:rPr>
            </w:pPr>
            <w:r w:rsidRPr="001035CA">
              <w:rPr>
                <w:rFonts w:ascii="Arial" w:hAnsi="Arial" w:cs="Arial"/>
                <w:sz w:val="18"/>
                <w:szCs w:val="18"/>
              </w:rPr>
              <w:t>Gesamt</w:t>
            </w:r>
          </w:p>
        </w:tc>
        <w:tc>
          <w:tcPr>
            <w:tcW w:w="1418" w:type="dxa"/>
            <w:vAlign w:val="center"/>
          </w:tcPr>
          <w:p w14:paraId="3F2E675A" w14:textId="77777777" w:rsidR="009D5B6C" w:rsidRPr="001035CA" w:rsidRDefault="009D5B6C" w:rsidP="001035CA">
            <w:pPr>
              <w:pStyle w:val="TableParagraph"/>
              <w:spacing w:line="259" w:lineRule="exact"/>
              <w:ind w:left="96" w:right="90"/>
              <w:jc w:val="center"/>
              <w:rPr>
                <w:rFonts w:ascii="Arial" w:hAnsi="Arial" w:cs="Arial"/>
                <w:sz w:val="18"/>
                <w:szCs w:val="18"/>
              </w:rPr>
            </w:pPr>
            <w:r w:rsidRPr="001035CA">
              <w:rPr>
                <w:rFonts w:ascii="Arial" w:hAnsi="Arial" w:cs="Arial"/>
                <w:sz w:val="18"/>
                <w:szCs w:val="18"/>
              </w:rPr>
              <w:t>Anzahl Frauen</w:t>
            </w:r>
          </w:p>
        </w:tc>
        <w:tc>
          <w:tcPr>
            <w:tcW w:w="2126" w:type="dxa"/>
            <w:vAlign w:val="center"/>
          </w:tcPr>
          <w:p w14:paraId="723FBDB6" w14:textId="77777777" w:rsidR="009D5B6C" w:rsidRPr="001035CA" w:rsidRDefault="009D5B6C" w:rsidP="001035CA">
            <w:pPr>
              <w:pStyle w:val="TableParagraph"/>
              <w:spacing w:line="259" w:lineRule="exact"/>
              <w:ind w:right="110"/>
              <w:jc w:val="center"/>
              <w:rPr>
                <w:rFonts w:ascii="Arial" w:hAnsi="Arial" w:cs="Arial"/>
                <w:sz w:val="18"/>
                <w:szCs w:val="18"/>
              </w:rPr>
            </w:pPr>
            <w:r w:rsidRPr="001035CA">
              <w:rPr>
                <w:rFonts w:ascii="Arial" w:hAnsi="Arial" w:cs="Arial"/>
                <w:sz w:val="18"/>
                <w:szCs w:val="18"/>
              </w:rPr>
              <w:t xml:space="preserve">Frauenanteil </w:t>
            </w:r>
            <w:r w:rsidR="001035CA">
              <w:rPr>
                <w:rFonts w:ascii="Arial" w:hAnsi="Arial" w:cs="Arial"/>
                <w:sz w:val="18"/>
                <w:szCs w:val="18"/>
              </w:rPr>
              <w:t xml:space="preserve">in </w:t>
            </w:r>
            <w:r w:rsidR="006F49A4" w:rsidRPr="001035CA">
              <w:rPr>
                <w:rFonts w:ascii="Arial" w:hAnsi="Arial" w:cs="Arial"/>
                <w:sz w:val="18"/>
                <w:szCs w:val="18"/>
              </w:rPr>
              <w:t>Prozent</w:t>
            </w:r>
          </w:p>
        </w:tc>
      </w:tr>
      <w:tr w:rsidR="009D5B6C" w:rsidRPr="001035CA" w14:paraId="5AF7CE1D" w14:textId="77777777" w:rsidTr="001035CA">
        <w:trPr>
          <w:trHeight w:val="275"/>
        </w:trPr>
        <w:tc>
          <w:tcPr>
            <w:tcW w:w="1417" w:type="dxa"/>
            <w:vAlign w:val="center"/>
          </w:tcPr>
          <w:p w14:paraId="35F58E18"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t>31.12.2018</w:t>
            </w:r>
          </w:p>
        </w:tc>
        <w:tc>
          <w:tcPr>
            <w:tcW w:w="1559" w:type="dxa"/>
            <w:vAlign w:val="center"/>
          </w:tcPr>
          <w:p w14:paraId="2858F0CF" w14:textId="77777777" w:rsidR="009D5B6C" w:rsidRPr="001035CA" w:rsidRDefault="009D5B6C" w:rsidP="001035CA">
            <w:pPr>
              <w:pStyle w:val="TableParagraph"/>
              <w:ind w:left="445" w:right="438"/>
              <w:jc w:val="center"/>
              <w:rPr>
                <w:rFonts w:ascii="Arial" w:hAnsi="Arial" w:cs="Arial"/>
                <w:sz w:val="18"/>
                <w:szCs w:val="18"/>
              </w:rPr>
            </w:pPr>
            <w:r w:rsidRPr="001035CA">
              <w:rPr>
                <w:rFonts w:ascii="Arial" w:hAnsi="Arial" w:cs="Arial"/>
                <w:sz w:val="18"/>
                <w:szCs w:val="18"/>
              </w:rPr>
              <w:t>22</w:t>
            </w:r>
          </w:p>
        </w:tc>
        <w:tc>
          <w:tcPr>
            <w:tcW w:w="1418" w:type="dxa"/>
            <w:vAlign w:val="center"/>
          </w:tcPr>
          <w:p w14:paraId="771AF09D" w14:textId="77777777" w:rsidR="009D5B6C" w:rsidRPr="001035CA" w:rsidRDefault="009D5B6C" w:rsidP="001035CA">
            <w:pPr>
              <w:pStyle w:val="TableParagraph"/>
              <w:ind w:left="9"/>
              <w:jc w:val="center"/>
              <w:rPr>
                <w:rFonts w:ascii="Arial" w:hAnsi="Arial" w:cs="Arial"/>
                <w:sz w:val="18"/>
                <w:szCs w:val="18"/>
              </w:rPr>
            </w:pPr>
            <w:r w:rsidRPr="001035CA">
              <w:rPr>
                <w:rFonts w:ascii="Arial" w:hAnsi="Arial" w:cs="Arial"/>
                <w:sz w:val="18"/>
                <w:szCs w:val="18"/>
              </w:rPr>
              <w:t>1</w:t>
            </w:r>
          </w:p>
        </w:tc>
        <w:tc>
          <w:tcPr>
            <w:tcW w:w="2126" w:type="dxa"/>
            <w:vAlign w:val="center"/>
          </w:tcPr>
          <w:p w14:paraId="5F8DB8CF" w14:textId="77777777" w:rsidR="009D5B6C" w:rsidRPr="001035CA" w:rsidRDefault="009D5B6C" w:rsidP="001035CA">
            <w:pPr>
              <w:pStyle w:val="TableParagraph"/>
              <w:ind w:right="105"/>
              <w:jc w:val="center"/>
              <w:rPr>
                <w:rFonts w:ascii="Arial" w:hAnsi="Arial" w:cs="Arial"/>
                <w:sz w:val="18"/>
                <w:szCs w:val="18"/>
              </w:rPr>
            </w:pPr>
            <w:r w:rsidRPr="001035CA">
              <w:rPr>
                <w:rFonts w:ascii="Arial" w:hAnsi="Arial" w:cs="Arial"/>
                <w:sz w:val="18"/>
                <w:szCs w:val="18"/>
              </w:rPr>
              <w:t>4,55</w:t>
            </w:r>
          </w:p>
        </w:tc>
      </w:tr>
      <w:tr w:rsidR="009D5B6C" w:rsidRPr="001035CA" w14:paraId="7B36AA55" w14:textId="77777777" w:rsidTr="001035CA">
        <w:trPr>
          <w:trHeight w:val="275"/>
        </w:trPr>
        <w:tc>
          <w:tcPr>
            <w:tcW w:w="1417" w:type="dxa"/>
            <w:vAlign w:val="center"/>
          </w:tcPr>
          <w:p w14:paraId="6FAB2478"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t>31.12.2019</w:t>
            </w:r>
          </w:p>
        </w:tc>
        <w:tc>
          <w:tcPr>
            <w:tcW w:w="1559" w:type="dxa"/>
            <w:vAlign w:val="center"/>
          </w:tcPr>
          <w:p w14:paraId="13A30C0D" w14:textId="77777777" w:rsidR="009D5B6C" w:rsidRPr="001035CA" w:rsidRDefault="009D5B6C" w:rsidP="001035CA">
            <w:pPr>
              <w:pStyle w:val="TableParagraph"/>
              <w:ind w:left="445" w:right="438"/>
              <w:jc w:val="center"/>
              <w:rPr>
                <w:rFonts w:ascii="Arial" w:hAnsi="Arial" w:cs="Arial"/>
                <w:sz w:val="18"/>
                <w:szCs w:val="18"/>
              </w:rPr>
            </w:pPr>
            <w:r w:rsidRPr="001035CA">
              <w:rPr>
                <w:rFonts w:ascii="Arial" w:hAnsi="Arial" w:cs="Arial"/>
                <w:sz w:val="18"/>
                <w:szCs w:val="18"/>
              </w:rPr>
              <w:t>21</w:t>
            </w:r>
          </w:p>
        </w:tc>
        <w:tc>
          <w:tcPr>
            <w:tcW w:w="1418" w:type="dxa"/>
            <w:vAlign w:val="center"/>
          </w:tcPr>
          <w:p w14:paraId="71121D52" w14:textId="77777777" w:rsidR="009D5B6C" w:rsidRPr="001035CA" w:rsidRDefault="009D5B6C" w:rsidP="001035CA">
            <w:pPr>
              <w:pStyle w:val="TableParagraph"/>
              <w:ind w:left="9"/>
              <w:jc w:val="center"/>
              <w:rPr>
                <w:rFonts w:ascii="Arial" w:hAnsi="Arial" w:cs="Arial"/>
                <w:sz w:val="18"/>
                <w:szCs w:val="18"/>
              </w:rPr>
            </w:pPr>
            <w:r w:rsidRPr="001035CA">
              <w:rPr>
                <w:rFonts w:ascii="Arial" w:hAnsi="Arial" w:cs="Arial"/>
                <w:sz w:val="18"/>
                <w:szCs w:val="18"/>
              </w:rPr>
              <w:t>1</w:t>
            </w:r>
          </w:p>
        </w:tc>
        <w:tc>
          <w:tcPr>
            <w:tcW w:w="2126" w:type="dxa"/>
            <w:vAlign w:val="center"/>
          </w:tcPr>
          <w:p w14:paraId="5EFBC162" w14:textId="77777777" w:rsidR="009D5B6C" w:rsidRPr="001035CA" w:rsidRDefault="001035CA" w:rsidP="001035CA">
            <w:pPr>
              <w:pStyle w:val="TableParagraph"/>
              <w:ind w:right="105"/>
              <w:jc w:val="center"/>
              <w:rPr>
                <w:rFonts w:ascii="Arial" w:hAnsi="Arial" w:cs="Arial"/>
                <w:sz w:val="18"/>
                <w:szCs w:val="18"/>
              </w:rPr>
            </w:pPr>
            <w:r>
              <w:rPr>
                <w:rFonts w:ascii="Arial" w:hAnsi="Arial" w:cs="Arial"/>
                <w:sz w:val="18"/>
                <w:szCs w:val="18"/>
              </w:rPr>
              <w:t>4,76</w:t>
            </w:r>
          </w:p>
        </w:tc>
      </w:tr>
      <w:tr w:rsidR="009D5B6C" w:rsidRPr="001035CA" w14:paraId="0CA1A90D" w14:textId="77777777" w:rsidTr="001035CA">
        <w:trPr>
          <w:trHeight w:val="275"/>
        </w:trPr>
        <w:tc>
          <w:tcPr>
            <w:tcW w:w="1417" w:type="dxa"/>
            <w:vAlign w:val="center"/>
          </w:tcPr>
          <w:p w14:paraId="7B3187FF"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t>31.12.2020</w:t>
            </w:r>
          </w:p>
        </w:tc>
        <w:tc>
          <w:tcPr>
            <w:tcW w:w="1559" w:type="dxa"/>
            <w:vAlign w:val="center"/>
          </w:tcPr>
          <w:p w14:paraId="363B2B10" w14:textId="77777777" w:rsidR="009D5B6C" w:rsidRPr="001035CA" w:rsidRDefault="009D5B6C" w:rsidP="001035CA">
            <w:pPr>
              <w:pStyle w:val="TableParagraph"/>
              <w:ind w:left="445" w:right="438"/>
              <w:jc w:val="center"/>
              <w:rPr>
                <w:rFonts w:ascii="Arial" w:hAnsi="Arial" w:cs="Arial"/>
                <w:sz w:val="18"/>
                <w:szCs w:val="18"/>
              </w:rPr>
            </w:pPr>
            <w:r w:rsidRPr="001035CA">
              <w:rPr>
                <w:rFonts w:ascii="Arial" w:hAnsi="Arial" w:cs="Arial"/>
                <w:sz w:val="18"/>
                <w:szCs w:val="18"/>
              </w:rPr>
              <w:t>23</w:t>
            </w:r>
          </w:p>
        </w:tc>
        <w:tc>
          <w:tcPr>
            <w:tcW w:w="1418" w:type="dxa"/>
            <w:vAlign w:val="center"/>
          </w:tcPr>
          <w:p w14:paraId="16EFCE2C" w14:textId="77777777" w:rsidR="009D5B6C" w:rsidRPr="001035CA" w:rsidRDefault="009D5B6C" w:rsidP="001035CA">
            <w:pPr>
              <w:pStyle w:val="TableParagraph"/>
              <w:ind w:left="9"/>
              <w:jc w:val="center"/>
              <w:rPr>
                <w:rFonts w:ascii="Arial" w:hAnsi="Arial" w:cs="Arial"/>
                <w:sz w:val="18"/>
                <w:szCs w:val="18"/>
              </w:rPr>
            </w:pPr>
            <w:r w:rsidRPr="001035CA">
              <w:rPr>
                <w:rFonts w:ascii="Arial" w:hAnsi="Arial" w:cs="Arial"/>
                <w:sz w:val="18"/>
                <w:szCs w:val="18"/>
              </w:rPr>
              <w:t>1</w:t>
            </w:r>
          </w:p>
        </w:tc>
        <w:tc>
          <w:tcPr>
            <w:tcW w:w="2126" w:type="dxa"/>
            <w:vAlign w:val="center"/>
          </w:tcPr>
          <w:p w14:paraId="08C51ACC" w14:textId="77777777" w:rsidR="009D5B6C" w:rsidRPr="001035CA" w:rsidRDefault="001035CA" w:rsidP="001035CA">
            <w:pPr>
              <w:pStyle w:val="TableParagraph"/>
              <w:ind w:right="105"/>
              <w:jc w:val="center"/>
              <w:rPr>
                <w:rFonts w:ascii="Arial" w:hAnsi="Arial" w:cs="Arial"/>
                <w:sz w:val="18"/>
                <w:szCs w:val="18"/>
              </w:rPr>
            </w:pPr>
            <w:r>
              <w:rPr>
                <w:rFonts w:ascii="Arial" w:hAnsi="Arial" w:cs="Arial"/>
                <w:sz w:val="18"/>
                <w:szCs w:val="18"/>
              </w:rPr>
              <w:t>4,35</w:t>
            </w:r>
          </w:p>
        </w:tc>
      </w:tr>
      <w:tr w:rsidR="009D5B6C" w:rsidRPr="001035CA" w14:paraId="52601EC3" w14:textId="77777777" w:rsidTr="001035CA">
        <w:trPr>
          <w:trHeight w:val="275"/>
        </w:trPr>
        <w:tc>
          <w:tcPr>
            <w:tcW w:w="1417" w:type="dxa"/>
            <w:vAlign w:val="center"/>
          </w:tcPr>
          <w:p w14:paraId="30DF2041" w14:textId="77777777" w:rsidR="009D5B6C" w:rsidRPr="001035CA" w:rsidRDefault="009D5B6C" w:rsidP="001035CA">
            <w:pPr>
              <w:pStyle w:val="TableParagraph"/>
              <w:ind w:left="301"/>
              <w:rPr>
                <w:rFonts w:ascii="Arial" w:hAnsi="Arial" w:cs="Arial"/>
                <w:sz w:val="18"/>
                <w:szCs w:val="18"/>
              </w:rPr>
            </w:pPr>
            <w:r w:rsidRPr="001035CA">
              <w:rPr>
                <w:rFonts w:ascii="Arial" w:hAnsi="Arial" w:cs="Arial"/>
                <w:sz w:val="18"/>
                <w:szCs w:val="18"/>
              </w:rPr>
              <w:t>30.06.2021</w:t>
            </w:r>
          </w:p>
        </w:tc>
        <w:tc>
          <w:tcPr>
            <w:tcW w:w="1559" w:type="dxa"/>
            <w:vAlign w:val="center"/>
          </w:tcPr>
          <w:p w14:paraId="7AE530DB" w14:textId="77777777" w:rsidR="009D5B6C" w:rsidRPr="001035CA" w:rsidRDefault="009D5B6C" w:rsidP="001035CA">
            <w:pPr>
              <w:pStyle w:val="TableParagraph"/>
              <w:ind w:left="445" w:right="438"/>
              <w:jc w:val="center"/>
              <w:rPr>
                <w:rFonts w:ascii="Arial" w:hAnsi="Arial" w:cs="Arial"/>
                <w:sz w:val="18"/>
                <w:szCs w:val="18"/>
              </w:rPr>
            </w:pPr>
            <w:r w:rsidRPr="001035CA">
              <w:rPr>
                <w:rFonts w:ascii="Arial" w:hAnsi="Arial" w:cs="Arial"/>
                <w:sz w:val="18"/>
                <w:szCs w:val="18"/>
              </w:rPr>
              <w:t>23</w:t>
            </w:r>
          </w:p>
        </w:tc>
        <w:tc>
          <w:tcPr>
            <w:tcW w:w="1418" w:type="dxa"/>
            <w:vAlign w:val="center"/>
          </w:tcPr>
          <w:p w14:paraId="45903A31" w14:textId="77777777" w:rsidR="009D5B6C" w:rsidRPr="001035CA" w:rsidRDefault="009D5B6C" w:rsidP="001035CA">
            <w:pPr>
              <w:pStyle w:val="TableParagraph"/>
              <w:ind w:left="9"/>
              <w:jc w:val="center"/>
              <w:rPr>
                <w:rFonts w:ascii="Arial" w:hAnsi="Arial" w:cs="Arial"/>
                <w:sz w:val="18"/>
                <w:szCs w:val="18"/>
              </w:rPr>
            </w:pPr>
            <w:r w:rsidRPr="001035CA">
              <w:rPr>
                <w:rFonts w:ascii="Arial" w:hAnsi="Arial" w:cs="Arial"/>
                <w:sz w:val="18"/>
                <w:szCs w:val="18"/>
              </w:rPr>
              <w:t>1</w:t>
            </w:r>
          </w:p>
        </w:tc>
        <w:tc>
          <w:tcPr>
            <w:tcW w:w="2126" w:type="dxa"/>
            <w:vAlign w:val="center"/>
          </w:tcPr>
          <w:p w14:paraId="491554B9" w14:textId="77777777" w:rsidR="009D5B6C" w:rsidRPr="001035CA" w:rsidRDefault="009D5B6C" w:rsidP="001035CA">
            <w:pPr>
              <w:pStyle w:val="TableParagraph"/>
              <w:ind w:right="105"/>
              <w:jc w:val="center"/>
              <w:rPr>
                <w:rFonts w:ascii="Arial" w:hAnsi="Arial" w:cs="Arial"/>
                <w:sz w:val="18"/>
                <w:szCs w:val="18"/>
              </w:rPr>
            </w:pPr>
            <w:r w:rsidRPr="001035CA">
              <w:rPr>
                <w:rFonts w:ascii="Arial" w:hAnsi="Arial" w:cs="Arial"/>
                <w:sz w:val="18"/>
                <w:szCs w:val="18"/>
              </w:rPr>
              <w:t>4,35</w:t>
            </w:r>
          </w:p>
        </w:tc>
      </w:tr>
      <w:tr w:rsidR="009D5B6C" w:rsidRPr="001035CA" w14:paraId="088B067B" w14:textId="77777777" w:rsidTr="001035CA">
        <w:trPr>
          <w:trHeight w:val="277"/>
        </w:trPr>
        <w:tc>
          <w:tcPr>
            <w:tcW w:w="1417" w:type="dxa"/>
            <w:vAlign w:val="center"/>
          </w:tcPr>
          <w:p w14:paraId="4C890BB6" w14:textId="77777777" w:rsidR="009D5B6C" w:rsidRPr="001035CA" w:rsidRDefault="009D5B6C" w:rsidP="001035CA">
            <w:pPr>
              <w:pStyle w:val="TableParagraph"/>
              <w:spacing w:line="258" w:lineRule="exact"/>
              <w:ind w:left="301"/>
              <w:rPr>
                <w:rFonts w:ascii="Arial" w:hAnsi="Arial" w:cs="Arial"/>
                <w:sz w:val="18"/>
                <w:szCs w:val="18"/>
              </w:rPr>
            </w:pPr>
            <w:r w:rsidRPr="001035CA">
              <w:rPr>
                <w:rFonts w:ascii="Arial" w:hAnsi="Arial" w:cs="Arial"/>
                <w:sz w:val="18"/>
                <w:szCs w:val="18"/>
              </w:rPr>
              <w:t>01.02.2022</w:t>
            </w:r>
          </w:p>
        </w:tc>
        <w:tc>
          <w:tcPr>
            <w:tcW w:w="1559" w:type="dxa"/>
            <w:vAlign w:val="center"/>
          </w:tcPr>
          <w:p w14:paraId="40931C09" w14:textId="77777777" w:rsidR="009D5B6C" w:rsidRPr="001035CA" w:rsidRDefault="009D5B6C" w:rsidP="001035CA">
            <w:pPr>
              <w:pStyle w:val="TableParagraph"/>
              <w:spacing w:line="258" w:lineRule="exact"/>
              <w:ind w:left="445" w:right="438"/>
              <w:jc w:val="center"/>
              <w:rPr>
                <w:rFonts w:ascii="Arial" w:hAnsi="Arial" w:cs="Arial"/>
                <w:sz w:val="18"/>
                <w:szCs w:val="18"/>
              </w:rPr>
            </w:pPr>
            <w:r w:rsidRPr="001035CA">
              <w:rPr>
                <w:rFonts w:ascii="Arial" w:hAnsi="Arial" w:cs="Arial"/>
                <w:sz w:val="18"/>
                <w:szCs w:val="18"/>
              </w:rPr>
              <w:t>22</w:t>
            </w:r>
          </w:p>
        </w:tc>
        <w:tc>
          <w:tcPr>
            <w:tcW w:w="1418" w:type="dxa"/>
            <w:vAlign w:val="center"/>
          </w:tcPr>
          <w:p w14:paraId="66A753B8" w14:textId="77777777" w:rsidR="009D5B6C" w:rsidRPr="001035CA" w:rsidRDefault="009D5B6C" w:rsidP="001035CA">
            <w:pPr>
              <w:pStyle w:val="TableParagraph"/>
              <w:spacing w:line="258" w:lineRule="exact"/>
              <w:ind w:left="9"/>
              <w:jc w:val="center"/>
              <w:rPr>
                <w:rFonts w:ascii="Arial" w:hAnsi="Arial" w:cs="Arial"/>
                <w:sz w:val="18"/>
                <w:szCs w:val="18"/>
              </w:rPr>
            </w:pPr>
            <w:r w:rsidRPr="001035CA">
              <w:rPr>
                <w:rFonts w:ascii="Arial" w:hAnsi="Arial" w:cs="Arial"/>
                <w:sz w:val="18"/>
                <w:szCs w:val="18"/>
              </w:rPr>
              <w:t>1</w:t>
            </w:r>
          </w:p>
        </w:tc>
        <w:tc>
          <w:tcPr>
            <w:tcW w:w="2126" w:type="dxa"/>
            <w:vAlign w:val="center"/>
          </w:tcPr>
          <w:p w14:paraId="3C439A80" w14:textId="77777777" w:rsidR="009D5B6C" w:rsidRPr="001035CA" w:rsidRDefault="009D5B6C" w:rsidP="001035CA">
            <w:pPr>
              <w:pStyle w:val="TableParagraph"/>
              <w:spacing w:line="258" w:lineRule="exact"/>
              <w:ind w:right="105"/>
              <w:jc w:val="center"/>
              <w:rPr>
                <w:rFonts w:ascii="Arial" w:hAnsi="Arial" w:cs="Arial"/>
                <w:sz w:val="18"/>
                <w:szCs w:val="18"/>
              </w:rPr>
            </w:pPr>
            <w:r w:rsidRPr="001035CA">
              <w:rPr>
                <w:rFonts w:ascii="Arial" w:hAnsi="Arial" w:cs="Arial"/>
                <w:sz w:val="18"/>
                <w:szCs w:val="18"/>
              </w:rPr>
              <w:t>4,55</w:t>
            </w:r>
          </w:p>
        </w:tc>
      </w:tr>
    </w:tbl>
    <w:p w14:paraId="58845853" w14:textId="77777777" w:rsidR="009B7130" w:rsidRDefault="009B7130" w:rsidP="009D5B6C">
      <w:pPr>
        <w:pStyle w:val="LTAntwortRessortText"/>
        <w:ind w:left="0"/>
      </w:pPr>
    </w:p>
    <w:p w14:paraId="683D5878" w14:textId="77777777" w:rsidR="009B7130" w:rsidRDefault="009B7130" w:rsidP="00F47B56">
      <w:pPr>
        <w:pStyle w:val="LTAntwortRessortText"/>
      </w:pPr>
      <w:r>
        <w:t>11. Pol</w:t>
      </w:r>
      <w:r w:rsidR="00F47B56">
        <w:t>izeipräsidium Schwaben Süd/West</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235533" w14:paraId="0B02FD17" w14:textId="77777777" w:rsidTr="00235533">
        <w:trPr>
          <w:trHeight w:val="275"/>
        </w:trPr>
        <w:tc>
          <w:tcPr>
            <w:tcW w:w="1417" w:type="dxa"/>
            <w:vAlign w:val="center"/>
          </w:tcPr>
          <w:p w14:paraId="1477D827" w14:textId="77777777" w:rsidR="009D5B6C" w:rsidRPr="00235533" w:rsidRDefault="009D5B6C" w:rsidP="00235533">
            <w:pPr>
              <w:pStyle w:val="TableParagraph"/>
              <w:ind w:left="301"/>
              <w:rPr>
                <w:rFonts w:ascii="Arial" w:hAnsi="Arial" w:cs="Arial"/>
                <w:sz w:val="18"/>
                <w:szCs w:val="18"/>
              </w:rPr>
            </w:pPr>
            <w:r w:rsidRPr="00235533">
              <w:rPr>
                <w:rFonts w:ascii="Arial" w:hAnsi="Arial" w:cs="Arial"/>
                <w:sz w:val="18"/>
                <w:szCs w:val="18"/>
              </w:rPr>
              <w:t>Stichtag</w:t>
            </w:r>
          </w:p>
        </w:tc>
        <w:tc>
          <w:tcPr>
            <w:tcW w:w="1559" w:type="dxa"/>
            <w:vAlign w:val="center"/>
          </w:tcPr>
          <w:p w14:paraId="54ABFA80" w14:textId="77777777" w:rsidR="009D5B6C" w:rsidRPr="00235533" w:rsidRDefault="009D5B6C" w:rsidP="00235533">
            <w:pPr>
              <w:pStyle w:val="TableParagraph"/>
              <w:ind w:left="446" w:right="438"/>
              <w:jc w:val="center"/>
              <w:rPr>
                <w:rFonts w:ascii="Arial" w:hAnsi="Arial" w:cs="Arial"/>
                <w:sz w:val="18"/>
                <w:szCs w:val="18"/>
              </w:rPr>
            </w:pPr>
            <w:r w:rsidRPr="00235533">
              <w:rPr>
                <w:rFonts w:ascii="Arial" w:hAnsi="Arial" w:cs="Arial"/>
                <w:sz w:val="18"/>
                <w:szCs w:val="18"/>
              </w:rPr>
              <w:t>Gesamt</w:t>
            </w:r>
          </w:p>
        </w:tc>
        <w:tc>
          <w:tcPr>
            <w:tcW w:w="1418" w:type="dxa"/>
            <w:vAlign w:val="center"/>
          </w:tcPr>
          <w:p w14:paraId="64B5F264" w14:textId="77777777" w:rsidR="009D5B6C" w:rsidRPr="00235533" w:rsidRDefault="009D5B6C" w:rsidP="00235533">
            <w:pPr>
              <w:pStyle w:val="TableParagraph"/>
              <w:ind w:left="96" w:right="90"/>
              <w:jc w:val="center"/>
              <w:rPr>
                <w:rFonts w:ascii="Arial" w:hAnsi="Arial" w:cs="Arial"/>
                <w:sz w:val="18"/>
                <w:szCs w:val="18"/>
              </w:rPr>
            </w:pPr>
            <w:r w:rsidRPr="00235533">
              <w:rPr>
                <w:rFonts w:ascii="Arial" w:hAnsi="Arial" w:cs="Arial"/>
                <w:sz w:val="18"/>
                <w:szCs w:val="18"/>
              </w:rPr>
              <w:t>Anzahl Frauen</w:t>
            </w:r>
          </w:p>
        </w:tc>
        <w:tc>
          <w:tcPr>
            <w:tcW w:w="2126" w:type="dxa"/>
            <w:vAlign w:val="center"/>
          </w:tcPr>
          <w:p w14:paraId="3320C3C4" w14:textId="77777777" w:rsidR="009D5B6C" w:rsidRPr="00235533" w:rsidRDefault="009D5B6C" w:rsidP="00235533">
            <w:pPr>
              <w:pStyle w:val="TableParagraph"/>
              <w:ind w:right="110"/>
              <w:jc w:val="center"/>
              <w:rPr>
                <w:rFonts w:ascii="Arial" w:hAnsi="Arial" w:cs="Arial"/>
                <w:sz w:val="18"/>
                <w:szCs w:val="18"/>
              </w:rPr>
            </w:pPr>
            <w:r w:rsidRPr="00235533">
              <w:rPr>
                <w:rFonts w:ascii="Arial" w:hAnsi="Arial" w:cs="Arial"/>
                <w:sz w:val="18"/>
                <w:szCs w:val="18"/>
              </w:rPr>
              <w:t xml:space="preserve">Frauenanteil </w:t>
            </w:r>
            <w:r w:rsidR="00235533">
              <w:rPr>
                <w:rFonts w:ascii="Arial" w:hAnsi="Arial" w:cs="Arial"/>
                <w:sz w:val="18"/>
                <w:szCs w:val="18"/>
              </w:rPr>
              <w:t xml:space="preserve">in </w:t>
            </w:r>
            <w:r w:rsidR="006F49A4" w:rsidRPr="00235533">
              <w:rPr>
                <w:rFonts w:ascii="Arial" w:hAnsi="Arial" w:cs="Arial"/>
                <w:sz w:val="18"/>
                <w:szCs w:val="18"/>
              </w:rPr>
              <w:t>Prozent</w:t>
            </w:r>
          </w:p>
        </w:tc>
      </w:tr>
      <w:tr w:rsidR="009D5B6C" w:rsidRPr="00235533" w14:paraId="7466A3CD" w14:textId="77777777" w:rsidTr="00235533">
        <w:trPr>
          <w:trHeight w:val="275"/>
        </w:trPr>
        <w:tc>
          <w:tcPr>
            <w:tcW w:w="1417" w:type="dxa"/>
            <w:vAlign w:val="center"/>
          </w:tcPr>
          <w:p w14:paraId="0CB40864" w14:textId="77777777" w:rsidR="009D5B6C" w:rsidRPr="00235533" w:rsidRDefault="009D5B6C" w:rsidP="00235533">
            <w:pPr>
              <w:pStyle w:val="TableParagraph"/>
              <w:ind w:left="301"/>
              <w:rPr>
                <w:rFonts w:ascii="Arial" w:hAnsi="Arial" w:cs="Arial"/>
                <w:sz w:val="18"/>
                <w:szCs w:val="18"/>
              </w:rPr>
            </w:pPr>
            <w:r w:rsidRPr="00235533">
              <w:rPr>
                <w:rFonts w:ascii="Arial" w:hAnsi="Arial" w:cs="Arial"/>
                <w:sz w:val="18"/>
                <w:szCs w:val="18"/>
              </w:rPr>
              <w:t>31.12.2018</w:t>
            </w:r>
          </w:p>
        </w:tc>
        <w:tc>
          <w:tcPr>
            <w:tcW w:w="1559" w:type="dxa"/>
            <w:vAlign w:val="center"/>
          </w:tcPr>
          <w:p w14:paraId="71B29E2C" w14:textId="77777777" w:rsidR="009D5B6C" w:rsidRPr="00235533" w:rsidRDefault="009D5B6C" w:rsidP="00235533">
            <w:pPr>
              <w:pStyle w:val="TableParagraph"/>
              <w:ind w:left="445" w:right="438"/>
              <w:jc w:val="center"/>
              <w:rPr>
                <w:rFonts w:ascii="Arial" w:hAnsi="Arial" w:cs="Arial"/>
                <w:sz w:val="18"/>
                <w:szCs w:val="18"/>
              </w:rPr>
            </w:pPr>
            <w:r w:rsidRPr="00235533">
              <w:rPr>
                <w:rFonts w:ascii="Arial" w:hAnsi="Arial" w:cs="Arial"/>
                <w:sz w:val="18"/>
                <w:szCs w:val="18"/>
              </w:rPr>
              <w:t>25</w:t>
            </w:r>
          </w:p>
        </w:tc>
        <w:tc>
          <w:tcPr>
            <w:tcW w:w="1418" w:type="dxa"/>
            <w:vAlign w:val="center"/>
          </w:tcPr>
          <w:p w14:paraId="6C6AE083" w14:textId="77777777" w:rsidR="009D5B6C" w:rsidRPr="00235533" w:rsidRDefault="009D5B6C" w:rsidP="00235533">
            <w:pPr>
              <w:pStyle w:val="TableParagraph"/>
              <w:ind w:left="9"/>
              <w:jc w:val="center"/>
              <w:rPr>
                <w:rFonts w:ascii="Arial" w:hAnsi="Arial" w:cs="Arial"/>
                <w:sz w:val="18"/>
                <w:szCs w:val="18"/>
              </w:rPr>
            </w:pPr>
            <w:r w:rsidRPr="00235533">
              <w:rPr>
                <w:rFonts w:ascii="Arial" w:hAnsi="Arial" w:cs="Arial"/>
                <w:sz w:val="18"/>
                <w:szCs w:val="18"/>
              </w:rPr>
              <w:t>2</w:t>
            </w:r>
          </w:p>
        </w:tc>
        <w:tc>
          <w:tcPr>
            <w:tcW w:w="2126" w:type="dxa"/>
            <w:vAlign w:val="center"/>
          </w:tcPr>
          <w:p w14:paraId="5B33FC65" w14:textId="77777777" w:rsidR="009D5B6C" w:rsidRPr="00235533" w:rsidRDefault="00235533" w:rsidP="00235533">
            <w:pPr>
              <w:pStyle w:val="TableParagraph"/>
              <w:ind w:right="107"/>
              <w:jc w:val="center"/>
              <w:rPr>
                <w:rFonts w:ascii="Arial" w:hAnsi="Arial" w:cs="Arial"/>
                <w:sz w:val="18"/>
                <w:szCs w:val="18"/>
              </w:rPr>
            </w:pPr>
            <w:r>
              <w:rPr>
                <w:rFonts w:ascii="Arial" w:hAnsi="Arial" w:cs="Arial"/>
                <w:sz w:val="18"/>
                <w:szCs w:val="18"/>
              </w:rPr>
              <w:t>8</w:t>
            </w:r>
          </w:p>
        </w:tc>
      </w:tr>
      <w:tr w:rsidR="009D5B6C" w:rsidRPr="00235533" w14:paraId="38FBFD43" w14:textId="77777777" w:rsidTr="00235533">
        <w:trPr>
          <w:trHeight w:val="277"/>
        </w:trPr>
        <w:tc>
          <w:tcPr>
            <w:tcW w:w="1417" w:type="dxa"/>
            <w:vAlign w:val="center"/>
          </w:tcPr>
          <w:p w14:paraId="20A6EC01" w14:textId="77777777" w:rsidR="009D5B6C" w:rsidRPr="00235533" w:rsidRDefault="009D5B6C" w:rsidP="00235533">
            <w:pPr>
              <w:pStyle w:val="TableParagraph"/>
              <w:spacing w:line="258" w:lineRule="exact"/>
              <w:ind w:left="301"/>
              <w:rPr>
                <w:rFonts w:ascii="Arial" w:hAnsi="Arial" w:cs="Arial"/>
                <w:sz w:val="18"/>
                <w:szCs w:val="18"/>
              </w:rPr>
            </w:pPr>
            <w:r w:rsidRPr="00235533">
              <w:rPr>
                <w:rFonts w:ascii="Arial" w:hAnsi="Arial" w:cs="Arial"/>
                <w:sz w:val="18"/>
                <w:szCs w:val="18"/>
              </w:rPr>
              <w:t>31.12.2019</w:t>
            </w:r>
          </w:p>
        </w:tc>
        <w:tc>
          <w:tcPr>
            <w:tcW w:w="1559" w:type="dxa"/>
            <w:vAlign w:val="center"/>
          </w:tcPr>
          <w:p w14:paraId="3EB8B802" w14:textId="77777777" w:rsidR="009D5B6C" w:rsidRPr="00235533" w:rsidRDefault="009D5B6C" w:rsidP="00235533">
            <w:pPr>
              <w:pStyle w:val="TableParagraph"/>
              <w:spacing w:line="258" w:lineRule="exact"/>
              <w:ind w:left="445" w:right="438"/>
              <w:jc w:val="center"/>
              <w:rPr>
                <w:rFonts w:ascii="Arial" w:hAnsi="Arial" w:cs="Arial"/>
                <w:sz w:val="18"/>
                <w:szCs w:val="18"/>
              </w:rPr>
            </w:pPr>
            <w:r w:rsidRPr="00235533">
              <w:rPr>
                <w:rFonts w:ascii="Arial" w:hAnsi="Arial" w:cs="Arial"/>
                <w:sz w:val="18"/>
                <w:szCs w:val="18"/>
              </w:rPr>
              <w:t>25</w:t>
            </w:r>
          </w:p>
        </w:tc>
        <w:tc>
          <w:tcPr>
            <w:tcW w:w="1418" w:type="dxa"/>
            <w:vAlign w:val="center"/>
          </w:tcPr>
          <w:p w14:paraId="4F77EFCE" w14:textId="77777777" w:rsidR="009D5B6C" w:rsidRPr="00235533" w:rsidRDefault="009D5B6C" w:rsidP="00235533">
            <w:pPr>
              <w:pStyle w:val="TableParagraph"/>
              <w:spacing w:line="258" w:lineRule="exact"/>
              <w:ind w:left="9"/>
              <w:jc w:val="center"/>
              <w:rPr>
                <w:rFonts w:ascii="Arial" w:hAnsi="Arial" w:cs="Arial"/>
                <w:sz w:val="18"/>
                <w:szCs w:val="18"/>
              </w:rPr>
            </w:pPr>
            <w:r w:rsidRPr="00235533">
              <w:rPr>
                <w:rFonts w:ascii="Arial" w:hAnsi="Arial" w:cs="Arial"/>
                <w:sz w:val="18"/>
                <w:szCs w:val="18"/>
              </w:rPr>
              <w:t>3</w:t>
            </w:r>
          </w:p>
        </w:tc>
        <w:tc>
          <w:tcPr>
            <w:tcW w:w="2126" w:type="dxa"/>
            <w:vAlign w:val="center"/>
          </w:tcPr>
          <w:p w14:paraId="47378BD3" w14:textId="77777777" w:rsidR="009D5B6C" w:rsidRPr="00235533" w:rsidRDefault="00235533" w:rsidP="00235533">
            <w:pPr>
              <w:pStyle w:val="TableParagraph"/>
              <w:spacing w:line="258" w:lineRule="exact"/>
              <w:ind w:right="107"/>
              <w:jc w:val="center"/>
              <w:rPr>
                <w:rFonts w:ascii="Arial" w:hAnsi="Arial" w:cs="Arial"/>
                <w:sz w:val="18"/>
                <w:szCs w:val="18"/>
              </w:rPr>
            </w:pPr>
            <w:r>
              <w:rPr>
                <w:rFonts w:ascii="Arial" w:hAnsi="Arial" w:cs="Arial"/>
                <w:sz w:val="18"/>
                <w:szCs w:val="18"/>
              </w:rPr>
              <w:t>12</w:t>
            </w:r>
          </w:p>
        </w:tc>
      </w:tr>
      <w:tr w:rsidR="009D5B6C" w:rsidRPr="00235533" w14:paraId="24C6BC73" w14:textId="77777777" w:rsidTr="00235533">
        <w:trPr>
          <w:trHeight w:val="275"/>
        </w:trPr>
        <w:tc>
          <w:tcPr>
            <w:tcW w:w="1417" w:type="dxa"/>
            <w:vAlign w:val="center"/>
          </w:tcPr>
          <w:p w14:paraId="362FC47D" w14:textId="77777777" w:rsidR="009D5B6C" w:rsidRPr="00235533" w:rsidRDefault="009D5B6C" w:rsidP="00235533">
            <w:pPr>
              <w:pStyle w:val="TableParagraph"/>
              <w:ind w:left="301"/>
              <w:rPr>
                <w:rFonts w:ascii="Arial" w:hAnsi="Arial" w:cs="Arial"/>
                <w:sz w:val="18"/>
                <w:szCs w:val="18"/>
              </w:rPr>
            </w:pPr>
            <w:r w:rsidRPr="00235533">
              <w:rPr>
                <w:rFonts w:ascii="Arial" w:hAnsi="Arial" w:cs="Arial"/>
                <w:sz w:val="18"/>
                <w:szCs w:val="18"/>
              </w:rPr>
              <w:t>31.12.2020</w:t>
            </w:r>
          </w:p>
        </w:tc>
        <w:tc>
          <w:tcPr>
            <w:tcW w:w="1559" w:type="dxa"/>
            <w:vAlign w:val="center"/>
          </w:tcPr>
          <w:p w14:paraId="6191BE62" w14:textId="77777777" w:rsidR="009D5B6C" w:rsidRPr="00235533" w:rsidRDefault="009D5B6C" w:rsidP="00235533">
            <w:pPr>
              <w:pStyle w:val="TableParagraph"/>
              <w:ind w:left="445" w:right="438"/>
              <w:jc w:val="center"/>
              <w:rPr>
                <w:rFonts w:ascii="Arial" w:hAnsi="Arial" w:cs="Arial"/>
                <w:sz w:val="18"/>
                <w:szCs w:val="18"/>
              </w:rPr>
            </w:pPr>
            <w:r w:rsidRPr="00235533">
              <w:rPr>
                <w:rFonts w:ascii="Arial" w:hAnsi="Arial" w:cs="Arial"/>
                <w:sz w:val="18"/>
                <w:szCs w:val="18"/>
              </w:rPr>
              <w:t>28</w:t>
            </w:r>
          </w:p>
        </w:tc>
        <w:tc>
          <w:tcPr>
            <w:tcW w:w="1418" w:type="dxa"/>
            <w:vAlign w:val="center"/>
          </w:tcPr>
          <w:p w14:paraId="2F41A0AD" w14:textId="77777777" w:rsidR="009D5B6C" w:rsidRPr="00235533" w:rsidRDefault="009D5B6C" w:rsidP="00235533">
            <w:pPr>
              <w:pStyle w:val="TableParagraph"/>
              <w:ind w:left="9"/>
              <w:jc w:val="center"/>
              <w:rPr>
                <w:rFonts w:ascii="Arial" w:hAnsi="Arial" w:cs="Arial"/>
                <w:sz w:val="18"/>
                <w:szCs w:val="18"/>
              </w:rPr>
            </w:pPr>
            <w:r w:rsidRPr="00235533">
              <w:rPr>
                <w:rFonts w:ascii="Arial" w:hAnsi="Arial" w:cs="Arial"/>
                <w:sz w:val="18"/>
                <w:szCs w:val="18"/>
              </w:rPr>
              <w:t>4</w:t>
            </w:r>
          </w:p>
        </w:tc>
        <w:tc>
          <w:tcPr>
            <w:tcW w:w="2126" w:type="dxa"/>
            <w:vAlign w:val="center"/>
          </w:tcPr>
          <w:p w14:paraId="03BDD5FB" w14:textId="77777777" w:rsidR="009D5B6C" w:rsidRPr="00235533" w:rsidRDefault="009D5B6C" w:rsidP="00235533">
            <w:pPr>
              <w:pStyle w:val="TableParagraph"/>
              <w:ind w:right="105"/>
              <w:jc w:val="center"/>
              <w:rPr>
                <w:rFonts w:ascii="Arial" w:hAnsi="Arial" w:cs="Arial"/>
                <w:sz w:val="18"/>
                <w:szCs w:val="18"/>
              </w:rPr>
            </w:pPr>
            <w:r w:rsidRPr="00235533">
              <w:rPr>
                <w:rFonts w:ascii="Arial" w:hAnsi="Arial" w:cs="Arial"/>
                <w:sz w:val="18"/>
                <w:szCs w:val="18"/>
              </w:rPr>
              <w:t>14,23</w:t>
            </w:r>
          </w:p>
        </w:tc>
      </w:tr>
      <w:tr w:rsidR="009D5B6C" w:rsidRPr="00235533" w14:paraId="257096E2" w14:textId="77777777" w:rsidTr="00235533">
        <w:trPr>
          <w:trHeight w:val="275"/>
        </w:trPr>
        <w:tc>
          <w:tcPr>
            <w:tcW w:w="1417" w:type="dxa"/>
            <w:vAlign w:val="center"/>
          </w:tcPr>
          <w:p w14:paraId="77385F71" w14:textId="77777777" w:rsidR="009D5B6C" w:rsidRPr="00235533" w:rsidRDefault="009D5B6C" w:rsidP="00235533">
            <w:pPr>
              <w:pStyle w:val="TableParagraph"/>
              <w:ind w:left="301"/>
              <w:rPr>
                <w:rFonts w:ascii="Arial" w:hAnsi="Arial" w:cs="Arial"/>
                <w:sz w:val="18"/>
                <w:szCs w:val="18"/>
              </w:rPr>
            </w:pPr>
            <w:r w:rsidRPr="00235533">
              <w:rPr>
                <w:rFonts w:ascii="Arial" w:hAnsi="Arial" w:cs="Arial"/>
                <w:sz w:val="18"/>
                <w:szCs w:val="18"/>
              </w:rPr>
              <w:t>30.06.2021</w:t>
            </w:r>
          </w:p>
        </w:tc>
        <w:tc>
          <w:tcPr>
            <w:tcW w:w="1559" w:type="dxa"/>
            <w:vAlign w:val="center"/>
          </w:tcPr>
          <w:p w14:paraId="48B25FD2" w14:textId="77777777" w:rsidR="009D5B6C" w:rsidRPr="00235533" w:rsidRDefault="009D5B6C" w:rsidP="00235533">
            <w:pPr>
              <w:pStyle w:val="TableParagraph"/>
              <w:ind w:left="445" w:right="438"/>
              <w:jc w:val="center"/>
              <w:rPr>
                <w:rFonts w:ascii="Arial" w:hAnsi="Arial" w:cs="Arial"/>
                <w:sz w:val="18"/>
                <w:szCs w:val="18"/>
              </w:rPr>
            </w:pPr>
            <w:r w:rsidRPr="00235533">
              <w:rPr>
                <w:rFonts w:ascii="Arial" w:hAnsi="Arial" w:cs="Arial"/>
                <w:sz w:val="18"/>
                <w:szCs w:val="18"/>
              </w:rPr>
              <w:t>29</w:t>
            </w:r>
          </w:p>
        </w:tc>
        <w:tc>
          <w:tcPr>
            <w:tcW w:w="1418" w:type="dxa"/>
            <w:vAlign w:val="center"/>
          </w:tcPr>
          <w:p w14:paraId="7E12D92C" w14:textId="77777777" w:rsidR="009D5B6C" w:rsidRPr="00235533" w:rsidRDefault="009D5B6C" w:rsidP="00235533">
            <w:pPr>
              <w:pStyle w:val="TableParagraph"/>
              <w:ind w:left="9"/>
              <w:jc w:val="center"/>
              <w:rPr>
                <w:rFonts w:ascii="Arial" w:hAnsi="Arial" w:cs="Arial"/>
                <w:sz w:val="18"/>
                <w:szCs w:val="18"/>
              </w:rPr>
            </w:pPr>
            <w:r w:rsidRPr="00235533">
              <w:rPr>
                <w:rFonts w:ascii="Arial" w:hAnsi="Arial" w:cs="Arial"/>
                <w:sz w:val="18"/>
                <w:szCs w:val="18"/>
              </w:rPr>
              <w:t>5</w:t>
            </w:r>
          </w:p>
        </w:tc>
        <w:tc>
          <w:tcPr>
            <w:tcW w:w="2126" w:type="dxa"/>
            <w:vAlign w:val="center"/>
          </w:tcPr>
          <w:p w14:paraId="34225DAD" w14:textId="77777777" w:rsidR="009D5B6C" w:rsidRPr="00235533" w:rsidRDefault="00235533" w:rsidP="00235533">
            <w:pPr>
              <w:pStyle w:val="TableParagraph"/>
              <w:ind w:right="105"/>
              <w:jc w:val="center"/>
              <w:rPr>
                <w:rFonts w:ascii="Arial" w:hAnsi="Arial" w:cs="Arial"/>
                <w:sz w:val="18"/>
                <w:szCs w:val="18"/>
              </w:rPr>
            </w:pPr>
            <w:r>
              <w:rPr>
                <w:rFonts w:ascii="Arial" w:hAnsi="Arial" w:cs="Arial"/>
                <w:sz w:val="18"/>
                <w:szCs w:val="18"/>
              </w:rPr>
              <w:t>17,24</w:t>
            </w:r>
          </w:p>
        </w:tc>
      </w:tr>
      <w:tr w:rsidR="009D5B6C" w:rsidRPr="00235533" w14:paraId="1E55BBDA" w14:textId="77777777" w:rsidTr="00235533">
        <w:trPr>
          <w:trHeight w:val="275"/>
        </w:trPr>
        <w:tc>
          <w:tcPr>
            <w:tcW w:w="1417" w:type="dxa"/>
            <w:vAlign w:val="center"/>
          </w:tcPr>
          <w:p w14:paraId="6B591831" w14:textId="77777777" w:rsidR="009D5B6C" w:rsidRPr="00235533" w:rsidRDefault="009D5B6C" w:rsidP="00235533">
            <w:pPr>
              <w:pStyle w:val="TableParagraph"/>
              <w:ind w:left="301"/>
              <w:rPr>
                <w:rFonts w:ascii="Arial" w:hAnsi="Arial" w:cs="Arial"/>
                <w:sz w:val="18"/>
                <w:szCs w:val="18"/>
              </w:rPr>
            </w:pPr>
            <w:r w:rsidRPr="00235533">
              <w:rPr>
                <w:rFonts w:ascii="Arial" w:hAnsi="Arial" w:cs="Arial"/>
                <w:sz w:val="18"/>
                <w:szCs w:val="18"/>
              </w:rPr>
              <w:t>01.02.2022</w:t>
            </w:r>
          </w:p>
        </w:tc>
        <w:tc>
          <w:tcPr>
            <w:tcW w:w="1559" w:type="dxa"/>
            <w:vAlign w:val="center"/>
          </w:tcPr>
          <w:p w14:paraId="54020390" w14:textId="77777777" w:rsidR="009D5B6C" w:rsidRPr="00235533" w:rsidRDefault="009D5B6C" w:rsidP="00235533">
            <w:pPr>
              <w:pStyle w:val="TableParagraph"/>
              <w:ind w:left="445" w:right="438"/>
              <w:jc w:val="center"/>
              <w:rPr>
                <w:rFonts w:ascii="Arial" w:hAnsi="Arial" w:cs="Arial"/>
                <w:sz w:val="18"/>
                <w:szCs w:val="18"/>
              </w:rPr>
            </w:pPr>
            <w:r w:rsidRPr="00235533">
              <w:rPr>
                <w:rFonts w:ascii="Arial" w:hAnsi="Arial" w:cs="Arial"/>
                <w:sz w:val="18"/>
                <w:szCs w:val="18"/>
              </w:rPr>
              <w:t>28</w:t>
            </w:r>
          </w:p>
        </w:tc>
        <w:tc>
          <w:tcPr>
            <w:tcW w:w="1418" w:type="dxa"/>
            <w:vAlign w:val="center"/>
          </w:tcPr>
          <w:p w14:paraId="6C4F9D93" w14:textId="77777777" w:rsidR="009D5B6C" w:rsidRPr="00235533" w:rsidRDefault="009D5B6C" w:rsidP="00235533">
            <w:pPr>
              <w:pStyle w:val="TableParagraph"/>
              <w:ind w:left="9"/>
              <w:jc w:val="center"/>
              <w:rPr>
                <w:rFonts w:ascii="Arial" w:hAnsi="Arial" w:cs="Arial"/>
                <w:sz w:val="18"/>
                <w:szCs w:val="18"/>
              </w:rPr>
            </w:pPr>
            <w:r w:rsidRPr="00235533">
              <w:rPr>
                <w:rFonts w:ascii="Arial" w:hAnsi="Arial" w:cs="Arial"/>
                <w:sz w:val="18"/>
                <w:szCs w:val="18"/>
              </w:rPr>
              <w:t>4</w:t>
            </w:r>
          </w:p>
        </w:tc>
        <w:tc>
          <w:tcPr>
            <w:tcW w:w="2126" w:type="dxa"/>
            <w:vAlign w:val="center"/>
          </w:tcPr>
          <w:p w14:paraId="455D10AE" w14:textId="77777777" w:rsidR="009D5B6C" w:rsidRPr="00235533" w:rsidRDefault="009D5B6C" w:rsidP="00235533">
            <w:pPr>
              <w:pStyle w:val="TableParagraph"/>
              <w:ind w:right="105"/>
              <w:jc w:val="center"/>
              <w:rPr>
                <w:rFonts w:ascii="Arial" w:hAnsi="Arial" w:cs="Arial"/>
                <w:sz w:val="18"/>
                <w:szCs w:val="18"/>
              </w:rPr>
            </w:pPr>
            <w:r w:rsidRPr="00235533">
              <w:rPr>
                <w:rFonts w:ascii="Arial" w:hAnsi="Arial" w:cs="Arial"/>
                <w:sz w:val="18"/>
                <w:szCs w:val="18"/>
              </w:rPr>
              <w:t>14,23</w:t>
            </w:r>
          </w:p>
        </w:tc>
      </w:tr>
    </w:tbl>
    <w:p w14:paraId="5A146F76" w14:textId="77777777" w:rsidR="009B7130" w:rsidRDefault="009B7130" w:rsidP="009D5B6C">
      <w:pPr>
        <w:pStyle w:val="LTAntwortRessortText"/>
        <w:ind w:left="0"/>
      </w:pPr>
    </w:p>
    <w:p w14:paraId="5D04F6D4" w14:textId="77777777" w:rsidR="009B7130" w:rsidRDefault="009B7130" w:rsidP="00F47B56">
      <w:pPr>
        <w:pStyle w:val="LTAntwortRessortText"/>
      </w:pPr>
      <w:r>
        <w:t>12</w:t>
      </w:r>
      <w:r w:rsidR="00F47B56">
        <w:t>. Polizeipräsidium Niederbayern</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235533" w14:paraId="36D4E3B4" w14:textId="77777777" w:rsidTr="00235533">
        <w:trPr>
          <w:trHeight w:val="277"/>
        </w:trPr>
        <w:tc>
          <w:tcPr>
            <w:tcW w:w="1417" w:type="dxa"/>
            <w:vAlign w:val="center"/>
          </w:tcPr>
          <w:p w14:paraId="227E119D" w14:textId="77777777" w:rsidR="009D5B6C" w:rsidRPr="00235533" w:rsidRDefault="009D5B6C" w:rsidP="00235533">
            <w:pPr>
              <w:pStyle w:val="TableParagraph"/>
              <w:spacing w:line="258" w:lineRule="exact"/>
              <w:ind w:left="301"/>
              <w:rPr>
                <w:rFonts w:ascii="Arial" w:hAnsi="Arial" w:cs="Arial"/>
                <w:sz w:val="18"/>
                <w:szCs w:val="18"/>
              </w:rPr>
            </w:pPr>
            <w:r w:rsidRPr="00235533">
              <w:rPr>
                <w:rFonts w:ascii="Arial" w:hAnsi="Arial" w:cs="Arial"/>
                <w:sz w:val="18"/>
                <w:szCs w:val="18"/>
              </w:rPr>
              <w:t>Stichtag</w:t>
            </w:r>
          </w:p>
        </w:tc>
        <w:tc>
          <w:tcPr>
            <w:tcW w:w="1559" w:type="dxa"/>
            <w:vAlign w:val="center"/>
          </w:tcPr>
          <w:p w14:paraId="59766B68" w14:textId="77777777" w:rsidR="009D5B6C" w:rsidRPr="00235533" w:rsidRDefault="009D5B6C" w:rsidP="00235533">
            <w:pPr>
              <w:pStyle w:val="TableParagraph"/>
              <w:spacing w:line="258" w:lineRule="exact"/>
              <w:ind w:left="446" w:right="438"/>
              <w:jc w:val="center"/>
              <w:rPr>
                <w:rFonts w:ascii="Arial" w:hAnsi="Arial" w:cs="Arial"/>
                <w:sz w:val="18"/>
                <w:szCs w:val="18"/>
              </w:rPr>
            </w:pPr>
            <w:r w:rsidRPr="00235533">
              <w:rPr>
                <w:rFonts w:ascii="Arial" w:hAnsi="Arial" w:cs="Arial"/>
                <w:sz w:val="18"/>
                <w:szCs w:val="18"/>
              </w:rPr>
              <w:t>Gesamt</w:t>
            </w:r>
          </w:p>
        </w:tc>
        <w:tc>
          <w:tcPr>
            <w:tcW w:w="1418" w:type="dxa"/>
            <w:vAlign w:val="center"/>
          </w:tcPr>
          <w:p w14:paraId="2F03578A" w14:textId="77777777" w:rsidR="009D5B6C" w:rsidRPr="00235533" w:rsidRDefault="009D5B6C" w:rsidP="00235533">
            <w:pPr>
              <w:pStyle w:val="TableParagraph"/>
              <w:spacing w:line="258" w:lineRule="exact"/>
              <w:ind w:left="96" w:right="90"/>
              <w:jc w:val="center"/>
              <w:rPr>
                <w:rFonts w:ascii="Arial" w:hAnsi="Arial" w:cs="Arial"/>
                <w:sz w:val="18"/>
                <w:szCs w:val="18"/>
              </w:rPr>
            </w:pPr>
            <w:r w:rsidRPr="00235533">
              <w:rPr>
                <w:rFonts w:ascii="Arial" w:hAnsi="Arial" w:cs="Arial"/>
                <w:sz w:val="18"/>
                <w:szCs w:val="18"/>
              </w:rPr>
              <w:t>Anzahl Frauen</w:t>
            </w:r>
          </w:p>
        </w:tc>
        <w:tc>
          <w:tcPr>
            <w:tcW w:w="2126" w:type="dxa"/>
            <w:vAlign w:val="center"/>
          </w:tcPr>
          <w:p w14:paraId="2E420C0C" w14:textId="77777777" w:rsidR="009D5B6C" w:rsidRPr="00235533" w:rsidRDefault="009D5B6C" w:rsidP="00235533">
            <w:pPr>
              <w:pStyle w:val="TableParagraph"/>
              <w:spacing w:line="258" w:lineRule="exact"/>
              <w:ind w:right="110"/>
              <w:jc w:val="center"/>
              <w:rPr>
                <w:rFonts w:ascii="Arial" w:hAnsi="Arial" w:cs="Arial"/>
                <w:sz w:val="18"/>
                <w:szCs w:val="18"/>
              </w:rPr>
            </w:pPr>
            <w:r w:rsidRPr="00235533">
              <w:rPr>
                <w:rFonts w:ascii="Arial" w:hAnsi="Arial" w:cs="Arial"/>
                <w:sz w:val="18"/>
                <w:szCs w:val="18"/>
              </w:rPr>
              <w:t xml:space="preserve">Frauenanteil </w:t>
            </w:r>
            <w:r w:rsidR="00235533">
              <w:rPr>
                <w:rFonts w:ascii="Arial" w:hAnsi="Arial" w:cs="Arial"/>
                <w:sz w:val="18"/>
                <w:szCs w:val="18"/>
              </w:rPr>
              <w:t xml:space="preserve">in </w:t>
            </w:r>
            <w:r w:rsidR="006F49A4" w:rsidRPr="00235533">
              <w:rPr>
                <w:rFonts w:ascii="Arial" w:hAnsi="Arial" w:cs="Arial"/>
                <w:sz w:val="18"/>
                <w:szCs w:val="18"/>
              </w:rPr>
              <w:t>Prozent</w:t>
            </w:r>
          </w:p>
        </w:tc>
      </w:tr>
      <w:tr w:rsidR="009D5B6C" w:rsidRPr="00235533" w14:paraId="6544F32B" w14:textId="77777777" w:rsidTr="00235533">
        <w:trPr>
          <w:trHeight w:val="275"/>
        </w:trPr>
        <w:tc>
          <w:tcPr>
            <w:tcW w:w="1417" w:type="dxa"/>
            <w:vAlign w:val="center"/>
          </w:tcPr>
          <w:p w14:paraId="203044D6" w14:textId="77777777" w:rsidR="009D5B6C" w:rsidRPr="00235533" w:rsidRDefault="009D5B6C" w:rsidP="00235533">
            <w:pPr>
              <w:pStyle w:val="TableParagraph"/>
              <w:ind w:left="301"/>
              <w:rPr>
                <w:rFonts w:ascii="Arial" w:hAnsi="Arial" w:cs="Arial"/>
                <w:sz w:val="18"/>
                <w:szCs w:val="18"/>
              </w:rPr>
            </w:pPr>
            <w:r w:rsidRPr="00235533">
              <w:rPr>
                <w:rFonts w:ascii="Arial" w:hAnsi="Arial" w:cs="Arial"/>
                <w:sz w:val="18"/>
                <w:szCs w:val="18"/>
              </w:rPr>
              <w:t>31.12.2018</w:t>
            </w:r>
          </w:p>
        </w:tc>
        <w:tc>
          <w:tcPr>
            <w:tcW w:w="1559" w:type="dxa"/>
            <w:vAlign w:val="center"/>
          </w:tcPr>
          <w:p w14:paraId="76CD946A" w14:textId="77777777" w:rsidR="009D5B6C" w:rsidRPr="00235533" w:rsidRDefault="009D5B6C" w:rsidP="00235533">
            <w:pPr>
              <w:pStyle w:val="TableParagraph"/>
              <w:ind w:left="445" w:right="438"/>
              <w:jc w:val="center"/>
              <w:rPr>
                <w:rFonts w:ascii="Arial" w:hAnsi="Arial" w:cs="Arial"/>
                <w:sz w:val="18"/>
                <w:szCs w:val="18"/>
              </w:rPr>
            </w:pPr>
            <w:r w:rsidRPr="00235533">
              <w:rPr>
                <w:rFonts w:ascii="Arial" w:hAnsi="Arial" w:cs="Arial"/>
                <w:sz w:val="18"/>
                <w:szCs w:val="18"/>
              </w:rPr>
              <w:t>32</w:t>
            </w:r>
          </w:p>
        </w:tc>
        <w:tc>
          <w:tcPr>
            <w:tcW w:w="1418" w:type="dxa"/>
            <w:vAlign w:val="center"/>
          </w:tcPr>
          <w:p w14:paraId="47C39C12" w14:textId="77777777" w:rsidR="009D5B6C" w:rsidRPr="00235533" w:rsidRDefault="009D5B6C" w:rsidP="00235533">
            <w:pPr>
              <w:pStyle w:val="TableParagraph"/>
              <w:ind w:left="9"/>
              <w:jc w:val="center"/>
              <w:rPr>
                <w:rFonts w:ascii="Arial" w:hAnsi="Arial" w:cs="Arial"/>
                <w:sz w:val="18"/>
                <w:szCs w:val="18"/>
              </w:rPr>
            </w:pPr>
            <w:r w:rsidRPr="00235533">
              <w:rPr>
                <w:rFonts w:ascii="Arial" w:hAnsi="Arial" w:cs="Arial"/>
                <w:sz w:val="18"/>
                <w:szCs w:val="18"/>
              </w:rPr>
              <w:t>3</w:t>
            </w:r>
          </w:p>
        </w:tc>
        <w:tc>
          <w:tcPr>
            <w:tcW w:w="2126" w:type="dxa"/>
            <w:vAlign w:val="center"/>
          </w:tcPr>
          <w:p w14:paraId="3647383B" w14:textId="77777777" w:rsidR="009D5B6C" w:rsidRPr="00235533" w:rsidRDefault="00235533" w:rsidP="00235533">
            <w:pPr>
              <w:pStyle w:val="TableParagraph"/>
              <w:ind w:right="105"/>
              <w:jc w:val="center"/>
              <w:rPr>
                <w:rFonts w:ascii="Arial" w:hAnsi="Arial" w:cs="Arial"/>
                <w:sz w:val="18"/>
                <w:szCs w:val="18"/>
              </w:rPr>
            </w:pPr>
            <w:r>
              <w:rPr>
                <w:rFonts w:ascii="Arial" w:hAnsi="Arial" w:cs="Arial"/>
                <w:sz w:val="18"/>
                <w:szCs w:val="18"/>
              </w:rPr>
              <w:t>9,38</w:t>
            </w:r>
          </w:p>
        </w:tc>
      </w:tr>
      <w:tr w:rsidR="009D5B6C" w:rsidRPr="00235533" w14:paraId="76D1D968" w14:textId="77777777" w:rsidTr="00235533">
        <w:trPr>
          <w:trHeight w:val="275"/>
        </w:trPr>
        <w:tc>
          <w:tcPr>
            <w:tcW w:w="1417" w:type="dxa"/>
            <w:vAlign w:val="center"/>
          </w:tcPr>
          <w:p w14:paraId="21319A41" w14:textId="77777777" w:rsidR="009D5B6C" w:rsidRPr="00235533" w:rsidRDefault="009D5B6C" w:rsidP="00235533">
            <w:pPr>
              <w:pStyle w:val="TableParagraph"/>
              <w:ind w:left="301"/>
              <w:rPr>
                <w:rFonts w:ascii="Arial" w:hAnsi="Arial" w:cs="Arial"/>
                <w:sz w:val="18"/>
                <w:szCs w:val="18"/>
              </w:rPr>
            </w:pPr>
            <w:r w:rsidRPr="00235533">
              <w:rPr>
                <w:rFonts w:ascii="Arial" w:hAnsi="Arial" w:cs="Arial"/>
                <w:sz w:val="18"/>
                <w:szCs w:val="18"/>
              </w:rPr>
              <w:t>31.12.2019</w:t>
            </w:r>
          </w:p>
        </w:tc>
        <w:tc>
          <w:tcPr>
            <w:tcW w:w="1559" w:type="dxa"/>
            <w:vAlign w:val="center"/>
          </w:tcPr>
          <w:p w14:paraId="06F77D18" w14:textId="77777777" w:rsidR="009D5B6C" w:rsidRPr="00235533" w:rsidRDefault="009D5B6C" w:rsidP="00235533">
            <w:pPr>
              <w:pStyle w:val="TableParagraph"/>
              <w:ind w:left="445" w:right="438"/>
              <w:jc w:val="center"/>
              <w:rPr>
                <w:rFonts w:ascii="Arial" w:hAnsi="Arial" w:cs="Arial"/>
                <w:sz w:val="18"/>
                <w:szCs w:val="18"/>
              </w:rPr>
            </w:pPr>
            <w:r w:rsidRPr="00235533">
              <w:rPr>
                <w:rFonts w:ascii="Arial" w:hAnsi="Arial" w:cs="Arial"/>
                <w:sz w:val="18"/>
                <w:szCs w:val="18"/>
              </w:rPr>
              <w:t>31</w:t>
            </w:r>
          </w:p>
        </w:tc>
        <w:tc>
          <w:tcPr>
            <w:tcW w:w="1418" w:type="dxa"/>
            <w:vAlign w:val="center"/>
          </w:tcPr>
          <w:p w14:paraId="5F86AE26" w14:textId="77777777" w:rsidR="009D5B6C" w:rsidRPr="00235533" w:rsidRDefault="009D5B6C" w:rsidP="00235533">
            <w:pPr>
              <w:pStyle w:val="TableParagraph"/>
              <w:ind w:left="9"/>
              <w:jc w:val="center"/>
              <w:rPr>
                <w:rFonts w:ascii="Arial" w:hAnsi="Arial" w:cs="Arial"/>
                <w:sz w:val="18"/>
                <w:szCs w:val="18"/>
              </w:rPr>
            </w:pPr>
            <w:r w:rsidRPr="00235533">
              <w:rPr>
                <w:rFonts w:ascii="Arial" w:hAnsi="Arial" w:cs="Arial"/>
                <w:sz w:val="18"/>
                <w:szCs w:val="18"/>
              </w:rPr>
              <w:t>3</w:t>
            </w:r>
          </w:p>
        </w:tc>
        <w:tc>
          <w:tcPr>
            <w:tcW w:w="2126" w:type="dxa"/>
            <w:vAlign w:val="center"/>
          </w:tcPr>
          <w:p w14:paraId="4CD3DCFE" w14:textId="77777777" w:rsidR="009D5B6C" w:rsidRPr="00235533" w:rsidRDefault="009D5B6C" w:rsidP="00235533">
            <w:pPr>
              <w:pStyle w:val="TableParagraph"/>
              <w:ind w:right="105"/>
              <w:jc w:val="center"/>
              <w:rPr>
                <w:rFonts w:ascii="Arial" w:hAnsi="Arial" w:cs="Arial"/>
                <w:sz w:val="18"/>
                <w:szCs w:val="18"/>
              </w:rPr>
            </w:pPr>
            <w:r w:rsidRPr="00235533">
              <w:rPr>
                <w:rFonts w:ascii="Arial" w:hAnsi="Arial" w:cs="Arial"/>
                <w:sz w:val="18"/>
                <w:szCs w:val="18"/>
              </w:rPr>
              <w:t>9,68</w:t>
            </w:r>
          </w:p>
        </w:tc>
      </w:tr>
      <w:tr w:rsidR="009D5B6C" w:rsidRPr="00235533" w14:paraId="4205042F" w14:textId="77777777" w:rsidTr="00235533">
        <w:trPr>
          <w:trHeight w:val="273"/>
        </w:trPr>
        <w:tc>
          <w:tcPr>
            <w:tcW w:w="1417" w:type="dxa"/>
            <w:tcBorders>
              <w:bottom w:val="single" w:sz="6" w:space="0" w:color="000000"/>
            </w:tcBorders>
            <w:vAlign w:val="center"/>
          </w:tcPr>
          <w:p w14:paraId="6B8E6284" w14:textId="77777777" w:rsidR="009D5B6C" w:rsidRPr="00235533" w:rsidRDefault="009D5B6C" w:rsidP="00235533">
            <w:pPr>
              <w:pStyle w:val="TableParagraph"/>
              <w:spacing w:line="253" w:lineRule="exact"/>
              <w:ind w:left="301"/>
              <w:rPr>
                <w:rFonts w:ascii="Arial" w:hAnsi="Arial" w:cs="Arial"/>
                <w:sz w:val="18"/>
                <w:szCs w:val="18"/>
              </w:rPr>
            </w:pPr>
            <w:r w:rsidRPr="00235533">
              <w:rPr>
                <w:rFonts w:ascii="Arial" w:hAnsi="Arial" w:cs="Arial"/>
                <w:sz w:val="18"/>
                <w:szCs w:val="18"/>
              </w:rPr>
              <w:t>31.12.2020</w:t>
            </w:r>
          </w:p>
        </w:tc>
        <w:tc>
          <w:tcPr>
            <w:tcW w:w="1559" w:type="dxa"/>
            <w:tcBorders>
              <w:bottom w:val="single" w:sz="6" w:space="0" w:color="000000"/>
            </w:tcBorders>
            <w:vAlign w:val="center"/>
          </w:tcPr>
          <w:p w14:paraId="506645FB" w14:textId="77777777" w:rsidR="009D5B6C" w:rsidRPr="00235533" w:rsidRDefault="009D5B6C" w:rsidP="00235533">
            <w:pPr>
              <w:pStyle w:val="TableParagraph"/>
              <w:spacing w:line="253" w:lineRule="exact"/>
              <w:ind w:left="445" w:right="438"/>
              <w:jc w:val="center"/>
              <w:rPr>
                <w:rFonts w:ascii="Arial" w:hAnsi="Arial" w:cs="Arial"/>
                <w:sz w:val="18"/>
                <w:szCs w:val="18"/>
              </w:rPr>
            </w:pPr>
            <w:r w:rsidRPr="00235533">
              <w:rPr>
                <w:rFonts w:ascii="Arial" w:hAnsi="Arial" w:cs="Arial"/>
                <w:sz w:val="18"/>
                <w:szCs w:val="18"/>
              </w:rPr>
              <w:t>31</w:t>
            </w:r>
          </w:p>
        </w:tc>
        <w:tc>
          <w:tcPr>
            <w:tcW w:w="1418" w:type="dxa"/>
            <w:tcBorders>
              <w:bottom w:val="single" w:sz="6" w:space="0" w:color="000000"/>
            </w:tcBorders>
            <w:vAlign w:val="center"/>
          </w:tcPr>
          <w:p w14:paraId="7E979AE7" w14:textId="77777777" w:rsidR="009D5B6C" w:rsidRPr="00235533" w:rsidRDefault="009D5B6C" w:rsidP="00235533">
            <w:pPr>
              <w:pStyle w:val="TableParagraph"/>
              <w:spacing w:line="253" w:lineRule="exact"/>
              <w:ind w:left="9"/>
              <w:jc w:val="center"/>
              <w:rPr>
                <w:rFonts w:ascii="Arial" w:hAnsi="Arial" w:cs="Arial"/>
                <w:sz w:val="18"/>
                <w:szCs w:val="18"/>
              </w:rPr>
            </w:pPr>
            <w:r w:rsidRPr="00235533">
              <w:rPr>
                <w:rFonts w:ascii="Arial" w:hAnsi="Arial" w:cs="Arial"/>
                <w:sz w:val="18"/>
                <w:szCs w:val="18"/>
              </w:rPr>
              <w:t>3</w:t>
            </w:r>
          </w:p>
        </w:tc>
        <w:tc>
          <w:tcPr>
            <w:tcW w:w="2126" w:type="dxa"/>
            <w:tcBorders>
              <w:bottom w:val="single" w:sz="6" w:space="0" w:color="000000"/>
            </w:tcBorders>
            <w:vAlign w:val="center"/>
          </w:tcPr>
          <w:p w14:paraId="191E7F44" w14:textId="77777777" w:rsidR="009D5B6C" w:rsidRPr="00235533" w:rsidRDefault="00235533" w:rsidP="00235533">
            <w:pPr>
              <w:pStyle w:val="TableParagraph"/>
              <w:spacing w:line="253" w:lineRule="exact"/>
              <w:ind w:right="105"/>
              <w:jc w:val="center"/>
              <w:rPr>
                <w:rFonts w:ascii="Arial" w:hAnsi="Arial" w:cs="Arial"/>
                <w:sz w:val="18"/>
                <w:szCs w:val="18"/>
              </w:rPr>
            </w:pPr>
            <w:r>
              <w:rPr>
                <w:rFonts w:ascii="Arial" w:hAnsi="Arial" w:cs="Arial"/>
                <w:sz w:val="18"/>
                <w:szCs w:val="18"/>
              </w:rPr>
              <w:t>9,68</w:t>
            </w:r>
          </w:p>
        </w:tc>
      </w:tr>
      <w:tr w:rsidR="009D5B6C" w:rsidRPr="00235533" w14:paraId="6C92EE55" w14:textId="77777777" w:rsidTr="00235533">
        <w:trPr>
          <w:trHeight w:val="273"/>
        </w:trPr>
        <w:tc>
          <w:tcPr>
            <w:tcW w:w="1417" w:type="dxa"/>
            <w:tcBorders>
              <w:top w:val="single" w:sz="6" w:space="0" w:color="000000"/>
            </w:tcBorders>
            <w:vAlign w:val="center"/>
          </w:tcPr>
          <w:p w14:paraId="557E468E" w14:textId="77777777" w:rsidR="009D5B6C" w:rsidRPr="00235533" w:rsidRDefault="009D5B6C" w:rsidP="00235533">
            <w:pPr>
              <w:pStyle w:val="TableParagraph"/>
              <w:spacing w:line="253" w:lineRule="exact"/>
              <w:ind w:left="301"/>
              <w:rPr>
                <w:rFonts w:ascii="Arial" w:hAnsi="Arial" w:cs="Arial"/>
                <w:sz w:val="18"/>
                <w:szCs w:val="18"/>
              </w:rPr>
            </w:pPr>
            <w:r w:rsidRPr="00235533">
              <w:rPr>
                <w:rFonts w:ascii="Arial" w:hAnsi="Arial" w:cs="Arial"/>
                <w:sz w:val="18"/>
                <w:szCs w:val="18"/>
              </w:rPr>
              <w:t>30.06.2021</w:t>
            </w:r>
          </w:p>
        </w:tc>
        <w:tc>
          <w:tcPr>
            <w:tcW w:w="1559" w:type="dxa"/>
            <w:tcBorders>
              <w:top w:val="single" w:sz="6" w:space="0" w:color="000000"/>
            </w:tcBorders>
            <w:vAlign w:val="center"/>
          </w:tcPr>
          <w:p w14:paraId="68659A5D" w14:textId="77777777" w:rsidR="009D5B6C" w:rsidRPr="00235533" w:rsidRDefault="009D5B6C" w:rsidP="00235533">
            <w:pPr>
              <w:pStyle w:val="TableParagraph"/>
              <w:spacing w:line="253" w:lineRule="exact"/>
              <w:ind w:left="445" w:right="438"/>
              <w:jc w:val="center"/>
              <w:rPr>
                <w:rFonts w:ascii="Arial" w:hAnsi="Arial" w:cs="Arial"/>
                <w:sz w:val="18"/>
                <w:szCs w:val="18"/>
              </w:rPr>
            </w:pPr>
            <w:r w:rsidRPr="00235533">
              <w:rPr>
                <w:rFonts w:ascii="Arial" w:hAnsi="Arial" w:cs="Arial"/>
                <w:sz w:val="18"/>
                <w:szCs w:val="18"/>
              </w:rPr>
              <w:t>30</w:t>
            </w:r>
          </w:p>
        </w:tc>
        <w:tc>
          <w:tcPr>
            <w:tcW w:w="1418" w:type="dxa"/>
            <w:tcBorders>
              <w:top w:val="single" w:sz="6" w:space="0" w:color="000000"/>
            </w:tcBorders>
            <w:vAlign w:val="center"/>
          </w:tcPr>
          <w:p w14:paraId="1CDFC764" w14:textId="77777777" w:rsidR="009D5B6C" w:rsidRPr="00235533" w:rsidRDefault="009D5B6C" w:rsidP="00235533">
            <w:pPr>
              <w:pStyle w:val="TableParagraph"/>
              <w:spacing w:line="253" w:lineRule="exact"/>
              <w:ind w:left="9"/>
              <w:jc w:val="center"/>
              <w:rPr>
                <w:rFonts w:ascii="Arial" w:hAnsi="Arial" w:cs="Arial"/>
                <w:sz w:val="18"/>
                <w:szCs w:val="18"/>
              </w:rPr>
            </w:pPr>
            <w:r w:rsidRPr="00235533">
              <w:rPr>
                <w:rFonts w:ascii="Arial" w:hAnsi="Arial" w:cs="Arial"/>
                <w:sz w:val="18"/>
                <w:szCs w:val="18"/>
              </w:rPr>
              <w:t>3</w:t>
            </w:r>
          </w:p>
        </w:tc>
        <w:tc>
          <w:tcPr>
            <w:tcW w:w="2126" w:type="dxa"/>
            <w:tcBorders>
              <w:top w:val="single" w:sz="6" w:space="0" w:color="000000"/>
            </w:tcBorders>
            <w:vAlign w:val="center"/>
          </w:tcPr>
          <w:p w14:paraId="4FF1067E" w14:textId="77777777" w:rsidR="009D5B6C" w:rsidRPr="00235533" w:rsidRDefault="00235533" w:rsidP="00235533">
            <w:pPr>
              <w:pStyle w:val="TableParagraph"/>
              <w:spacing w:line="253" w:lineRule="exact"/>
              <w:ind w:right="107"/>
              <w:jc w:val="center"/>
              <w:rPr>
                <w:rFonts w:ascii="Arial" w:hAnsi="Arial" w:cs="Arial"/>
                <w:sz w:val="18"/>
                <w:szCs w:val="18"/>
              </w:rPr>
            </w:pPr>
            <w:r>
              <w:rPr>
                <w:rFonts w:ascii="Arial" w:hAnsi="Arial" w:cs="Arial"/>
                <w:sz w:val="18"/>
                <w:szCs w:val="18"/>
              </w:rPr>
              <w:t>10</w:t>
            </w:r>
          </w:p>
        </w:tc>
      </w:tr>
      <w:tr w:rsidR="009D5B6C" w:rsidRPr="00235533" w14:paraId="3F1A4EBC" w14:textId="77777777" w:rsidTr="00235533">
        <w:trPr>
          <w:trHeight w:val="277"/>
        </w:trPr>
        <w:tc>
          <w:tcPr>
            <w:tcW w:w="1417" w:type="dxa"/>
            <w:vAlign w:val="center"/>
          </w:tcPr>
          <w:p w14:paraId="5BCE158F" w14:textId="77777777" w:rsidR="009D5B6C" w:rsidRPr="00235533" w:rsidRDefault="009D5B6C" w:rsidP="00235533">
            <w:pPr>
              <w:pStyle w:val="TableParagraph"/>
              <w:spacing w:line="258" w:lineRule="exact"/>
              <w:ind w:left="301"/>
              <w:rPr>
                <w:rFonts w:ascii="Arial" w:hAnsi="Arial" w:cs="Arial"/>
                <w:sz w:val="18"/>
                <w:szCs w:val="18"/>
              </w:rPr>
            </w:pPr>
            <w:r w:rsidRPr="00235533">
              <w:rPr>
                <w:rFonts w:ascii="Arial" w:hAnsi="Arial" w:cs="Arial"/>
                <w:sz w:val="18"/>
                <w:szCs w:val="18"/>
              </w:rPr>
              <w:t>01.02.2022</w:t>
            </w:r>
          </w:p>
        </w:tc>
        <w:tc>
          <w:tcPr>
            <w:tcW w:w="1559" w:type="dxa"/>
            <w:vAlign w:val="center"/>
          </w:tcPr>
          <w:p w14:paraId="0C1DF155" w14:textId="77777777" w:rsidR="009D5B6C" w:rsidRPr="00235533" w:rsidRDefault="009D5B6C" w:rsidP="00235533">
            <w:pPr>
              <w:pStyle w:val="TableParagraph"/>
              <w:spacing w:line="258" w:lineRule="exact"/>
              <w:ind w:left="445" w:right="438"/>
              <w:jc w:val="center"/>
              <w:rPr>
                <w:rFonts w:ascii="Arial" w:hAnsi="Arial" w:cs="Arial"/>
                <w:sz w:val="18"/>
                <w:szCs w:val="18"/>
              </w:rPr>
            </w:pPr>
            <w:r w:rsidRPr="00235533">
              <w:rPr>
                <w:rFonts w:ascii="Arial" w:hAnsi="Arial" w:cs="Arial"/>
                <w:sz w:val="18"/>
                <w:szCs w:val="18"/>
              </w:rPr>
              <w:t>31</w:t>
            </w:r>
          </w:p>
        </w:tc>
        <w:tc>
          <w:tcPr>
            <w:tcW w:w="1418" w:type="dxa"/>
            <w:vAlign w:val="center"/>
          </w:tcPr>
          <w:p w14:paraId="73C0104F" w14:textId="77777777" w:rsidR="009D5B6C" w:rsidRPr="00235533" w:rsidRDefault="009D5B6C" w:rsidP="00235533">
            <w:pPr>
              <w:pStyle w:val="TableParagraph"/>
              <w:spacing w:line="258" w:lineRule="exact"/>
              <w:ind w:left="9"/>
              <w:jc w:val="center"/>
              <w:rPr>
                <w:rFonts w:ascii="Arial" w:hAnsi="Arial" w:cs="Arial"/>
                <w:sz w:val="18"/>
                <w:szCs w:val="18"/>
              </w:rPr>
            </w:pPr>
            <w:r w:rsidRPr="00235533">
              <w:rPr>
                <w:rFonts w:ascii="Arial" w:hAnsi="Arial" w:cs="Arial"/>
                <w:sz w:val="18"/>
                <w:szCs w:val="18"/>
              </w:rPr>
              <w:t>4</w:t>
            </w:r>
          </w:p>
        </w:tc>
        <w:tc>
          <w:tcPr>
            <w:tcW w:w="2126" w:type="dxa"/>
            <w:vAlign w:val="center"/>
          </w:tcPr>
          <w:p w14:paraId="2A3E9D03" w14:textId="77777777" w:rsidR="009D5B6C" w:rsidRPr="00235533" w:rsidRDefault="009D5B6C" w:rsidP="00235533">
            <w:pPr>
              <w:pStyle w:val="TableParagraph"/>
              <w:spacing w:line="258" w:lineRule="exact"/>
              <w:ind w:right="105"/>
              <w:jc w:val="center"/>
              <w:rPr>
                <w:rFonts w:ascii="Arial" w:hAnsi="Arial" w:cs="Arial"/>
                <w:sz w:val="18"/>
                <w:szCs w:val="18"/>
              </w:rPr>
            </w:pPr>
            <w:r w:rsidRPr="00235533">
              <w:rPr>
                <w:rFonts w:ascii="Arial" w:hAnsi="Arial" w:cs="Arial"/>
                <w:sz w:val="18"/>
                <w:szCs w:val="18"/>
              </w:rPr>
              <w:t>12,90</w:t>
            </w:r>
          </w:p>
        </w:tc>
      </w:tr>
    </w:tbl>
    <w:p w14:paraId="6F4B698C" w14:textId="77777777" w:rsidR="009B7130" w:rsidRDefault="009B7130" w:rsidP="009D5B6C">
      <w:pPr>
        <w:pStyle w:val="LTAntwortRessortText"/>
        <w:ind w:left="0"/>
      </w:pPr>
    </w:p>
    <w:p w14:paraId="3B1D053D" w14:textId="77777777" w:rsidR="00D42F93" w:rsidRDefault="00D42F93" w:rsidP="00F47B56">
      <w:pPr>
        <w:pStyle w:val="LTAntwortRessortText"/>
      </w:pPr>
    </w:p>
    <w:p w14:paraId="635EC5DB" w14:textId="77777777" w:rsidR="009B7130" w:rsidRDefault="009B7130" w:rsidP="00F47B56">
      <w:pPr>
        <w:pStyle w:val="LTAntwortRessortText"/>
      </w:pPr>
      <w:r>
        <w:lastRenderedPageBreak/>
        <w:t>13. Ba</w:t>
      </w:r>
      <w:r w:rsidR="00F47B56">
        <w:t>yerisches Polizeiverwaltungsamt</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59"/>
        <w:gridCol w:w="1418"/>
        <w:gridCol w:w="2126"/>
      </w:tblGrid>
      <w:tr w:rsidR="009D5B6C" w:rsidRPr="00235533" w14:paraId="2D69B56C" w14:textId="77777777" w:rsidTr="00235533">
        <w:trPr>
          <w:trHeight w:val="275"/>
        </w:trPr>
        <w:tc>
          <w:tcPr>
            <w:tcW w:w="1417" w:type="dxa"/>
            <w:vAlign w:val="center"/>
          </w:tcPr>
          <w:p w14:paraId="45D95473" w14:textId="77777777" w:rsidR="009D5B6C" w:rsidRPr="00235533" w:rsidRDefault="009D5B6C" w:rsidP="00235533">
            <w:pPr>
              <w:pStyle w:val="TableParagraph"/>
              <w:ind w:left="301"/>
              <w:rPr>
                <w:rFonts w:ascii="Arial" w:hAnsi="Arial" w:cs="Arial"/>
                <w:sz w:val="18"/>
                <w:szCs w:val="18"/>
              </w:rPr>
            </w:pPr>
            <w:r w:rsidRPr="00235533">
              <w:rPr>
                <w:rFonts w:ascii="Arial" w:hAnsi="Arial" w:cs="Arial"/>
                <w:sz w:val="18"/>
                <w:szCs w:val="18"/>
              </w:rPr>
              <w:t>Stichtag</w:t>
            </w:r>
          </w:p>
        </w:tc>
        <w:tc>
          <w:tcPr>
            <w:tcW w:w="1559" w:type="dxa"/>
            <w:vAlign w:val="center"/>
          </w:tcPr>
          <w:p w14:paraId="3D899D37" w14:textId="77777777" w:rsidR="009D5B6C" w:rsidRPr="00235533" w:rsidRDefault="009D5B6C" w:rsidP="00235533">
            <w:pPr>
              <w:pStyle w:val="TableParagraph"/>
              <w:ind w:left="446" w:right="438"/>
              <w:jc w:val="center"/>
              <w:rPr>
                <w:rFonts w:ascii="Arial" w:hAnsi="Arial" w:cs="Arial"/>
                <w:sz w:val="18"/>
                <w:szCs w:val="18"/>
              </w:rPr>
            </w:pPr>
            <w:r w:rsidRPr="00235533">
              <w:rPr>
                <w:rFonts w:ascii="Arial" w:hAnsi="Arial" w:cs="Arial"/>
                <w:sz w:val="18"/>
                <w:szCs w:val="18"/>
              </w:rPr>
              <w:t>Gesamt</w:t>
            </w:r>
          </w:p>
        </w:tc>
        <w:tc>
          <w:tcPr>
            <w:tcW w:w="1418" w:type="dxa"/>
            <w:vAlign w:val="center"/>
          </w:tcPr>
          <w:p w14:paraId="63610DDC" w14:textId="77777777" w:rsidR="009D5B6C" w:rsidRPr="00235533" w:rsidRDefault="009D5B6C" w:rsidP="00235533">
            <w:pPr>
              <w:pStyle w:val="TableParagraph"/>
              <w:ind w:left="96" w:right="90"/>
              <w:jc w:val="center"/>
              <w:rPr>
                <w:rFonts w:ascii="Arial" w:hAnsi="Arial" w:cs="Arial"/>
                <w:sz w:val="18"/>
                <w:szCs w:val="18"/>
              </w:rPr>
            </w:pPr>
            <w:r w:rsidRPr="00235533">
              <w:rPr>
                <w:rFonts w:ascii="Arial" w:hAnsi="Arial" w:cs="Arial"/>
                <w:sz w:val="18"/>
                <w:szCs w:val="18"/>
              </w:rPr>
              <w:t>Anzahl Frauen</w:t>
            </w:r>
          </w:p>
        </w:tc>
        <w:tc>
          <w:tcPr>
            <w:tcW w:w="2126" w:type="dxa"/>
            <w:vAlign w:val="center"/>
          </w:tcPr>
          <w:p w14:paraId="1D5DAAAF" w14:textId="77777777" w:rsidR="009D5B6C" w:rsidRPr="00235533" w:rsidRDefault="009D5B6C" w:rsidP="00235533">
            <w:pPr>
              <w:pStyle w:val="TableParagraph"/>
              <w:ind w:right="110"/>
              <w:jc w:val="center"/>
              <w:rPr>
                <w:rFonts w:ascii="Arial" w:hAnsi="Arial" w:cs="Arial"/>
                <w:sz w:val="18"/>
                <w:szCs w:val="18"/>
              </w:rPr>
            </w:pPr>
            <w:r w:rsidRPr="00235533">
              <w:rPr>
                <w:rFonts w:ascii="Arial" w:hAnsi="Arial" w:cs="Arial"/>
                <w:sz w:val="18"/>
                <w:szCs w:val="18"/>
              </w:rPr>
              <w:t xml:space="preserve">Frauenanteil </w:t>
            </w:r>
            <w:r w:rsidR="00235533">
              <w:rPr>
                <w:rFonts w:ascii="Arial" w:hAnsi="Arial" w:cs="Arial"/>
                <w:sz w:val="18"/>
                <w:szCs w:val="18"/>
              </w:rPr>
              <w:t xml:space="preserve">in </w:t>
            </w:r>
            <w:r w:rsidR="006F49A4" w:rsidRPr="00235533">
              <w:rPr>
                <w:rFonts w:ascii="Arial" w:hAnsi="Arial" w:cs="Arial"/>
                <w:sz w:val="18"/>
                <w:szCs w:val="18"/>
              </w:rPr>
              <w:t>Prozent</w:t>
            </w:r>
          </w:p>
        </w:tc>
      </w:tr>
      <w:tr w:rsidR="009D5B6C" w:rsidRPr="00235533" w14:paraId="568DA6F5" w14:textId="77777777" w:rsidTr="00235533">
        <w:trPr>
          <w:trHeight w:val="275"/>
        </w:trPr>
        <w:tc>
          <w:tcPr>
            <w:tcW w:w="1417" w:type="dxa"/>
            <w:vAlign w:val="center"/>
          </w:tcPr>
          <w:p w14:paraId="4B61AC67" w14:textId="77777777" w:rsidR="009D5B6C" w:rsidRPr="00235533" w:rsidRDefault="009D5B6C" w:rsidP="00235533">
            <w:pPr>
              <w:pStyle w:val="TableParagraph"/>
              <w:ind w:left="301"/>
              <w:rPr>
                <w:rFonts w:ascii="Arial" w:hAnsi="Arial" w:cs="Arial"/>
                <w:sz w:val="18"/>
                <w:szCs w:val="18"/>
              </w:rPr>
            </w:pPr>
            <w:r w:rsidRPr="00235533">
              <w:rPr>
                <w:rFonts w:ascii="Arial" w:hAnsi="Arial" w:cs="Arial"/>
                <w:sz w:val="18"/>
                <w:szCs w:val="18"/>
              </w:rPr>
              <w:t>31.12.2018</w:t>
            </w:r>
          </w:p>
        </w:tc>
        <w:tc>
          <w:tcPr>
            <w:tcW w:w="1559" w:type="dxa"/>
            <w:vAlign w:val="center"/>
          </w:tcPr>
          <w:p w14:paraId="7D1FBFC9" w14:textId="77777777" w:rsidR="009D5B6C" w:rsidRPr="00235533" w:rsidRDefault="009D5B6C" w:rsidP="00235533">
            <w:pPr>
              <w:pStyle w:val="TableParagraph"/>
              <w:ind w:left="7"/>
              <w:jc w:val="center"/>
              <w:rPr>
                <w:rFonts w:ascii="Arial" w:hAnsi="Arial" w:cs="Arial"/>
                <w:sz w:val="18"/>
                <w:szCs w:val="18"/>
              </w:rPr>
            </w:pPr>
            <w:r w:rsidRPr="00235533">
              <w:rPr>
                <w:rFonts w:ascii="Arial" w:hAnsi="Arial" w:cs="Arial"/>
                <w:sz w:val="18"/>
                <w:szCs w:val="18"/>
              </w:rPr>
              <w:t>1</w:t>
            </w:r>
          </w:p>
        </w:tc>
        <w:tc>
          <w:tcPr>
            <w:tcW w:w="1418" w:type="dxa"/>
            <w:vAlign w:val="center"/>
          </w:tcPr>
          <w:p w14:paraId="460D7017" w14:textId="77777777" w:rsidR="009D5B6C" w:rsidRPr="00235533" w:rsidRDefault="009D5B6C" w:rsidP="00235533">
            <w:pPr>
              <w:pStyle w:val="TableParagraph"/>
              <w:ind w:left="9"/>
              <w:jc w:val="center"/>
              <w:rPr>
                <w:rFonts w:ascii="Arial" w:hAnsi="Arial" w:cs="Arial"/>
                <w:sz w:val="18"/>
                <w:szCs w:val="18"/>
              </w:rPr>
            </w:pPr>
            <w:r w:rsidRPr="00235533">
              <w:rPr>
                <w:rFonts w:ascii="Arial" w:hAnsi="Arial" w:cs="Arial"/>
                <w:sz w:val="18"/>
                <w:szCs w:val="18"/>
              </w:rPr>
              <w:t>0</w:t>
            </w:r>
          </w:p>
        </w:tc>
        <w:tc>
          <w:tcPr>
            <w:tcW w:w="2126" w:type="dxa"/>
            <w:vAlign w:val="center"/>
          </w:tcPr>
          <w:p w14:paraId="0C91F5C1" w14:textId="77777777" w:rsidR="009D5B6C" w:rsidRPr="00235533" w:rsidRDefault="00235533" w:rsidP="00235533">
            <w:pPr>
              <w:pStyle w:val="TableParagraph"/>
              <w:ind w:right="107"/>
              <w:jc w:val="center"/>
              <w:rPr>
                <w:rFonts w:ascii="Arial" w:hAnsi="Arial" w:cs="Arial"/>
                <w:sz w:val="18"/>
                <w:szCs w:val="18"/>
              </w:rPr>
            </w:pPr>
            <w:r>
              <w:rPr>
                <w:rFonts w:ascii="Arial" w:hAnsi="Arial" w:cs="Arial"/>
                <w:sz w:val="18"/>
                <w:szCs w:val="18"/>
              </w:rPr>
              <w:t>0</w:t>
            </w:r>
          </w:p>
        </w:tc>
      </w:tr>
      <w:tr w:rsidR="009D5B6C" w:rsidRPr="00235533" w14:paraId="07FEBBD9" w14:textId="77777777" w:rsidTr="00235533">
        <w:trPr>
          <w:trHeight w:val="275"/>
        </w:trPr>
        <w:tc>
          <w:tcPr>
            <w:tcW w:w="1417" w:type="dxa"/>
            <w:vAlign w:val="center"/>
          </w:tcPr>
          <w:p w14:paraId="134AE78A" w14:textId="77777777" w:rsidR="009D5B6C" w:rsidRPr="00235533" w:rsidRDefault="009D5B6C" w:rsidP="00235533">
            <w:pPr>
              <w:pStyle w:val="TableParagraph"/>
              <w:ind w:left="301"/>
              <w:rPr>
                <w:rFonts w:ascii="Arial" w:hAnsi="Arial" w:cs="Arial"/>
                <w:sz w:val="18"/>
                <w:szCs w:val="18"/>
              </w:rPr>
            </w:pPr>
            <w:r w:rsidRPr="00235533">
              <w:rPr>
                <w:rFonts w:ascii="Arial" w:hAnsi="Arial" w:cs="Arial"/>
                <w:sz w:val="18"/>
                <w:szCs w:val="18"/>
              </w:rPr>
              <w:t>31.12.2019</w:t>
            </w:r>
          </w:p>
        </w:tc>
        <w:tc>
          <w:tcPr>
            <w:tcW w:w="1559" w:type="dxa"/>
            <w:vAlign w:val="center"/>
          </w:tcPr>
          <w:p w14:paraId="3BA14724" w14:textId="77777777" w:rsidR="009D5B6C" w:rsidRPr="00235533" w:rsidRDefault="009D5B6C" w:rsidP="00235533">
            <w:pPr>
              <w:pStyle w:val="TableParagraph"/>
              <w:ind w:left="7"/>
              <w:jc w:val="center"/>
              <w:rPr>
                <w:rFonts w:ascii="Arial" w:hAnsi="Arial" w:cs="Arial"/>
                <w:sz w:val="18"/>
                <w:szCs w:val="18"/>
              </w:rPr>
            </w:pPr>
            <w:r w:rsidRPr="00235533">
              <w:rPr>
                <w:rFonts w:ascii="Arial" w:hAnsi="Arial" w:cs="Arial"/>
                <w:sz w:val="18"/>
                <w:szCs w:val="18"/>
              </w:rPr>
              <w:t>1</w:t>
            </w:r>
          </w:p>
        </w:tc>
        <w:tc>
          <w:tcPr>
            <w:tcW w:w="1418" w:type="dxa"/>
            <w:vAlign w:val="center"/>
          </w:tcPr>
          <w:p w14:paraId="3532F7C9" w14:textId="77777777" w:rsidR="009D5B6C" w:rsidRPr="00235533" w:rsidRDefault="009D5B6C" w:rsidP="00235533">
            <w:pPr>
              <w:pStyle w:val="TableParagraph"/>
              <w:ind w:left="9"/>
              <w:jc w:val="center"/>
              <w:rPr>
                <w:rFonts w:ascii="Arial" w:hAnsi="Arial" w:cs="Arial"/>
                <w:sz w:val="18"/>
                <w:szCs w:val="18"/>
              </w:rPr>
            </w:pPr>
            <w:r w:rsidRPr="00235533">
              <w:rPr>
                <w:rFonts w:ascii="Arial" w:hAnsi="Arial" w:cs="Arial"/>
                <w:sz w:val="18"/>
                <w:szCs w:val="18"/>
              </w:rPr>
              <w:t>0</w:t>
            </w:r>
          </w:p>
        </w:tc>
        <w:tc>
          <w:tcPr>
            <w:tcW w:w="2126" w:type="dxa"/>
            <w:vAlign w:val="center"/>
          </w:tcPr>
          <w:p w14:paraId="7F58AD56" w14:textId="77777777" w:rsidR="009D5B6C" w:rsidRPr="00235533" w:rsidRDefault="00235533" w:rsidP="00235533">
            <w:pPr>
              <w:pStyle w:val="TableParagraph"/>
              <w:ind w:right="107"/>
              <w:jc w:val="center"/>
              <w:rPr>
                <w:rFonts w:ascii="Arial" w:hAnsi="Arial" w:cs="Arial"/>
                <w:sz w:val="18"/>
                <w:szCs w:val="18"/>
              </w:rPr>
            </w:pPr>
            <w:r>
              <w:rPr>
                <w:rFonts w:ascii="Arial" w:hAnsi="Arial" w:cs="Arial"/>
                <w:sz w:val="18"/>
                <w:szCs w:val="18"/>
              </w:rPr>
              <w:t>0</w:t>
            </w:r>
          </w:p>
        </w:tc>
      </w:tr>
      <w:tr w:rsidR="009D5B6C" w:rsidRPr="00235533" w14:paraId="217EE2AA" w14:textId="77777777" w:rsidTr="00235533">
        <w:trPr>
          <w:trHeight w:val="275"/>
        </w:trPr>
        <w:tc>
          <w:tcPr>
            <w:tcW w:w="1417" w:type="dxa"/>
            <w:vAlign w:val="center"/>
          </w:tcPr>
          <w:p w14:paraId="52793432" w14:textId="77777777" w:rsidR="009D5B6C" w:rsidRPr="00235533" w:rsidRDefault="009D5B6C" w:rsidP="00235533">
            <w:pPr>
              <w:pStyle w:val="TableParagraph"/>
              <w:ind w:left="301"/>
              <w:rPr>
                <w:rFonts w:ascii="Arial" w:hAnsi="Arial" w:cs="Arial"/>
                <w:sz w:val="18"/>
                <w:szCs w:val="18"/>
              </w:rPr>
            </w:pPr>
            <w:r w:rsidRPr="00235533">
              <w:rPr>
                <w:rFonts w:ascii="Arial" w:hAnsi="Arial" w:cs="Arial"/>
                <w:sz w:val="18"/>
                <w:szCs w:val="18"/>
              </w:rPr>
              <w:t>31.12.2020</w:t>
            </w:r>
          </w:p>
        </w:tc>
        <w:tc>
          <w:tcPr>
            <w:tcW w:w="1559" w:type="dxa"/>
            <w:vAlign w:val="center"/>
          </w:tcPr>
          <w:p w14:paraId="0ED43D21" w14:textId="77777777" w:rsidR="009D5B6C" w:rsidRPr="00235533" w:rsidRDefault="009D5B6C" w:rsidP="00235533">
            <w:pPr>
              <w:pStyle w:val="TableParagraph"/>
              <w:ind w:left="7"/>
              <w:jc w:val="center"/>
              <w:rPr>
                <w:rFonts w:ascii="Arial" w:hAnsi="Arial" w:cs="Arial"/>
                <w:sz w:val="18"/>
                <w:szCs w:val="18"/>
              </w:rPr>
            </w:pPr>
            <w:r w:rsidRPr="00235533">
              <w:rPr>
                <w:rFonts w:ascii="Arial" w:hAnsi="Arial" w:cs="Arial"/>
                <w:sz w:val="18"/>
                <w:szCs w:val="18"/>
              </w:rPr>
              <w:t>1</w:t>
            </w:r>
          </w:p>
        </w:tc>
        <w:tc>
          <w:tcPr>
            <w:tcW w:w="1418" w:type="dxa"/>
            <w:vAlign w:val="center"/>
          </w:tcPr>
          <w:p w14:paraId="7F39E217" w14:textId="77777777" w:rsidR="009D5B6C" w:rsidRPr="00235533" w:rsidRDefault="009D5B6C" w:rsidP="00235533">
            <w:pPr>
              <w:pStyle w:val="TableParagraph"/>
              <w:ind w:left="9"/>
              <w:jc w:val="center"/>
              <w:rPr>
                <w:rFonts w:ascii="Arial" w:hAnsi="Arial" w:cs="Arial"/>
                <w:sz w:val="18"/>
                <w:szCs w:val="18"/>
              </w:rPr>
            </w:pPr>
            <w:r w:rsidRPr="00235533">
              <w:rPr>
                <w:rFonts w:ascii="Arial" w:hAnsi="Arial" w:cs="Arial"/>
                <w:sz w:val="18"/>
                <w:szCs w:val="18"/>
              </w:rPr>
              <w:t>0</w:t>
            </w:r>
          </w:p>
        </w:tc>
        <w:tc>
          <w:tcPr>
            <w:tcW w:w="2126" w:type="dxa"/>
            <w:vAlign w:val="center"/>
          </w:tcPr>
          <w:p w14:paraId="6AA39B04" w14:textId="77777777" w:rsidR="009D5B6C" w:rsidRPr="00235533" w:rsidRDefault="00235533" w:rsidP="00235533">
            <w:pPr>
              <w:pStyle w:val="TableParagraph"/>
              <w:ind w:right="107"/>
              <w:jc w:val="center"/>
              <w:rPr>
                <w:rFonts w:ascii="Arial" w:hAnsi="Arial" w:cs="Arial"/>
                <w:sz w:val="18"/>
                <w:szCs w:val="18"/>
              </w:rPr>
            </w:pPr>
            <w:r>
              <w:rPr>
                <w:rFonts w:ascii="Arial" w:hAnsi="Arial" w:cs="Arial"/>
                <w:sz w:val="18"/>
                <w:szCs w:val="18"/>
              </w:rPr>
              <w:t>0</w:t>
            </w:r>
          </w:p>
        </w:tc>
      </w:tr>
      <w:tr w:rsidR="009D5B6C" w:rsidRPr="00235533" w14:paraId="3CEFD005" w14:textId="77777777" w:rsidTr="00235533">
        <w:trPr>
          <w:trHeight w:val="278"/>
        </w:trPr>
        <w:tc>
          <w:tcPr>
            <w:tcW w:w="1417" w:type="dxa"/>
            <w:vAlign w:val="center"/>
          </w:tcPr>
          <w:p w14:paraId="1BCA510D" w14:textId="77777777" w:rsidR="009D5B6C" w:rsidRPr="00235533" w:rsidRDefault="009D5B6C" w:rsidP="00235533">
            <w:pPr>
              <w:pStyle w:val="TableParagraph"/>
              <w:spacing w:line="258" w:lineRule="exact"/>
              <w:ind w:left="301"/>
              <w:rPr>
                <w:rFonts w:ascii="Arial" w:hAnsi="Arial" w:cs="Arial"/>
                <w:sz w:val="18"/>
                <w:szCs w:val="18"/>
              </w:rPr>
            </w:pPr>
            <w:r w:rsidRPr="00235533">
              <w:rPr>
                <w:rFonts w:ascii="Arial" w:hAnsi="Arial" w:cs="Arial"/>
                <w:sz w:val="18"/>
                <w:szCs w:val="18"/>
              </w:rPr>
              <w:t>30.06.2021</w:t>
            </w:r>
          </w:p>
        </w:tc>
        <w:tc>
          <w:tcPr>
            <w:tcW w:w="1559" w:type="dxa"/>
            <w:vAlign w:val="center"/>
          </w:tcPr>
          <w:p w14:paraId="3B942987" w14:textId="77777777" w:rsidR="009D5B6C" w:rsidRPr="00235533" w:rsidRDefault="009D5B6C" w:rsidP="00235533">
            <w:pPr>
              <w:pStyle w:val="TableParagraph"/>
              <w:spacing w:line="258" w:lineRule="exact"/>
              <w:ind w:left="7"/>
              <w:jc w:val="center"/>
              <w:rPr>
                <w:rFonts w:ascii="Arial" w:hAnsi="Arial" w:cs="Arial"/>
                <w:sz w:val="18"/>
                <w:szCs w:val="18"/>
              </w:rPr>
            </w:pPr>
            <w:r w:rsidRPr="00235533">
              <w:rPr>
                <w:rFonts w:ascii="Arial" w:hAnsi="Arial" w:cs="Arial"/>
                <w:sz w:val="18"/>
                <w:szCs w:val="18"/>
              </w:rPr>
              <w:t>1</w:t>
            </w:r>
          </w:p>
        </w:tc>
        <w:tc>
          <w:tcPr>
            <w:tcW w:w="1418" w:type="dxa"/>
            <w:vAlign w:val="center"/>
          </w:tcPr>
          <w:p w14:paraId="3E09F6A9" w14:textId="77777777" w:rsidR="009D5B6C" w:rsidRPr="00235533" w:rsidRDefault="009D5B6C" w:rsidP="00235533">
            <w:pPr>
              <w:pStyle w:val="TableParagraph"/>
              <w:spacing w:line="258" w:lineRule="exact"/>
              <w:ind w:left="9"/>
              <w:jc w:val="center"/>
              <w:rPr>
                <w:rFonts w:ascii="Arial" w:hAnsi="Arial" w:cs="Arial"/>
                <w:sz w:val="18"/>
                <w:szCs w:val="18"/>
              </w:rPr>
            </w:pPr>
            <w:r w:rsidRPr="00235533">
              <w:rPr>
                <w:rFonts w:ascii="Arial" w:hAnsi="Arial" w:cs="Arial"/>
                <w:sz w:val="18"/>
                <w:szCs w:val="18"/>
              </w:rPr>
              <w:t>0</w:t>
            </w:r>
          </w:p>
        </w:tc>
        <w:tc>
          <w:tcPr>
            <w:tcW w:w="2126" w:type="dxa"/>
            <w:vAlign w:val="center"/>
          </w:tcPr>
          <w:p w14:paraId="1F488A56" w14:textId="77777777" w:rsidR="009D5B6C" w:rsidRPr="00235533" w:rsidRDefault="00235533" w:rsidP="00235533">
            <w:pPr>
              <w:pStyle w:val="TableParagraph"/>
              <w:spacing w:line="258" w:lineRule="exact"/>
              <w:ind w:right="107"/>
              <w:jc w:val="center"/>
              <w:rPr>
                <w:rFonts w:ascii="Arial" w:hAnsi="Arial" w:cs="Arial"/>
                <w:sz w:val="18"/>
                <w:szCs w:val="18"/>
              </w:rPr>
            </w:pPr>
            <w:r>
              <w:rPr>
                <w:rFonts w:ascii="Arial" w:hAnsi="Arial" w:cs="Arial"/>
                <w:sz w:val="18"/>
                <w:szCs w:val="18"/>
              </w:rPr>
              <w:t>0</w:t>
            </w:r>
          </w:p>
        </w:tc>
      </w:tr>
      <w:tr w:rsidR="009D5B6C" w:rsidRPr="00235533" w14:paraId="0C3C5F41" w14:textId="77777777" w:rsidTr="00235533">
        <w:trPr>
          <w:trHeight w:val="275"/>
        </w:trPr>
        <w:tc>
          <w:tcPr>
            <w:tcW w:w="1417" w:type="dxa"/>
            <w:vAlign w:val="center"/>
          </w:tcPr>
          <w:p w14:paraId="570C344B" w14:textId="77777777" w:rsidR="009D5B6C" w:rsidRPr="00235533" w:rsidRDefault="009D5B6C" w:rsidP="00235533">
            <w:pPr>
              <w:pStyle w:val="TableParagraph"/>
              <w:ind w:left="301"/>
              <w:rPr>
                <w:rFonts w:ascii="Arial" w:hAnsi="Arial" w:cs="Arial"/>
                <w:sz w:val="18"/>
                <w:szCs w:val="18"/>
              </w:rPr>
            </w:pPr>
            <w:r w:rsidRPr="00235533">
              <w:rPr>
                <w:rFonts w:ascii="Arial" w:hAnsi="Arial" w:cs="Arial"/>
                <w:sz w:val="18"/>
                <w:szCs w:val="18"/>
              </w:rPr>
              <w:t>01.02.2022</w:t>
            </w:r>
          </w:p>
        </w:tc>
        <w:tc>
          <w:tcPr>
            <w:tcW w:w="1559" w:type="dxa"/>
            <w:vAlign w:val="center"/>
          </w:tcPr>
          <w:p w14:paraId="0A3F1158" w14:textId="77777777" w:rsidR="009D5B6C" w:rsidRPr="00235533" w:rsidRDefault="009D5B6C" w:rsidP="00235533">
            <w:pPr>
              <w:pStyle w:val="TableParagraph"/>
              <w:ind w:left="7"/>
              <w:jc w:val="center"/>
              <w:rPr>
                <w:rFonts w:ascii="Arial" w:hAnsi="Arial" w:cs="Arial"/>
                <w:sz w:val="18"/>
                <w:szCs w:val="18"/>
              </w:rPr>
            </w:pPr>
            <w:r w:rsidRPr="00235533">
              <w:rPr>
                <w:rFonts w:ascii="Arial" w:hAnsi="Arial" w:cs="Arial"/>
                <w:sz w:val="18"/>
                <w:szCs w:val="18"/>
              </w:rPr>
              <w:t>1</w:t>
            </w:r>
          </w:p>
        </w:tc>
        <w:tc>
          <w:tcPr>
            <w:tcW w:w="1418" w:type="dxa"/>
            <w:vAlign w:val="center"/>
          </w:tcPr>
          <w:p w14:paraId="30890641" w14:textId="77777777" w:rsidR="009D5B6C" w:rsidRPr="00235533" w:rsidRDefault="009D5B6C" w:rsidP="00235533">
            <w:pPr>
              <w:pStyle w:val="TableParagraph"/>
              <w:ind w:left="9"/>
              <w:jc w:val="center"/>
              <w:rPr>
                <w:rFonts w:ascii="Arial" w:hAnsi="Arial" w:cs="Arial"/>
                <w:sz w:val="18"/>
                <w:szCs w:val="18"/>
              </w:rPr>
            </w:pPr>
            <w:r w:rsidRPr="00235533">
              <w:rPr>
                <w:rFonts w:ascii="Arial" w:hAnsi="Arial" w:cs="Arial"/>
                <w:sz w:val="18"/>
                <w:szCs w:val="18"/>
              </w:rPr>
              <w:t>0</w:t>
            </w:r>
          </w:p>
        </w:tc>
        <w:tc>
          <w:tcPr>
            <w:tcW w:w="2126" w:type="dxa"/>
            <w:vAlign w:val="center"/>
          </w:tcPr>
          <w:p w14:paraId="13C1C8AD" w14:textId="77777777" w:rsidR="009D5B6C" w:rsidRPr="00235533" w:rsidRDefault="00235533" w:rsidP="00235533">
            <w:pPr>
              <w:pStyle w:val="TableParagraph"/>
              <w:ind w:right="107"/>
              <w:jc w:val="center"/>
              <w:rPr>
                <w:rFonts w:ascii="Arial" w:hAnsi="Arial" w:cs="Arial"/>
                <w:sz w:val="18"/>
                <w:szCs w:val="18"/>
              </w:rPr>
            </w:pPr>
            <w:r>
              <w:rPr>
                <w:rFonts w:ascii="Arial" w:hAnsi="Arial" w:cs="Arial"/>
                <w:sz w:val="18"/>
                <w:szCs w:val="18"/>
              </w:rPr>
              <w:t>0</w:t>
            </w:r>
          </w:p>
        </w:tc>
      </w:tr>
    </w:tbl>
    <w:p w14:paraId="031F0241" w14:textId="77777777" w:rsidR="009B7130" w:rsidRDefault="009B7130" w:rsidP="009B7130">
      <w:pPr>
        <w:pStyle w:val="LTAntwortRessortText"/>
      </w:pPr>
    </w:p>
    <w:p w14:paraId="57A62F95" w14:textId="77777777" w:rsidR="009B7130" w:rsidRDefault="009B7130">
      <w:bookmarkStart w:id="36" w:name="Frage_Nr_17_Ende"/>
      <w:bookmarkEnd w:id="36"/>
      <w:r>
        <w:br w:type="page"/>
      </w:r>
    </w:p>
    <w:p w14:paraId="1D7C5B46" w14:textId="77777777" w:rsidR="009B7130" w:rsidRDefault="009B7130" w:rsidP="009B7130">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9B7130" w14:paraId="6CD7340C" w14:textId="77777777" w:rsidTr="007B0B33">
        <w:tc>
          <w:tcPr>
            <w:tcW w:w="2050" w:type="dxa"/>
          </w:tcPr>
          <w:p w14:paraId="46C64560" w14:textId="77777777" w:rsidR="009B7130" w:rsidRDefault="009B7130" w:rsidP="009B7130">
            <w:pPr>
              <w:pStyle w:val="LTAnfrageInitiator"/>
            </w:pPr>
            <w:r>
              <w:t>Abgeordneter</w:t>
            </w:r>
            <w:r>
              <w:rPr>
                <w:b/>
              </w:rPr>
              <w:br/>
              <w:t>Thomas</w:t>
            </w:r>
            <w:r>
              <w:rPr>
                <w:b/>
              </w:rPr>
              <w:br/>
              <w:t>Gehring</w:t>
            </w:r>
            <w:r>
              <w:rPr>
                <w:b/>
              </w:rPr>
              <w:br/>
            </w:r>
            <w:r>
              <w:t>(BÜNDNIS 90/DIE GRÜNEN)</w:t>
            </w:r>
            <w:bookmarkStart w:id="37" w:name="Frage_Nr_18"/>
            <w:bookmarkEnd w:id="37"/>
          </w:p>
        </w:tc>
        <w:tc>
          <w:tcPr>
            <w:tcW w:w="7200" w:type="dxa"/>
          </w:tcPr>
          <w:p w14:paraId="3F604F83" w14:textId="77777777" w:rsidR="009B7130" w:rsidRDefault="0083706D" w:rsidP="009B7130">
            <w:pPr>
              <w:pStyle w:val="LTAnfrageText"/>
            </w:pPr>
            <w:r w:rsidRPr="0083706D">
              <w:rPr>
                <w:szCs w:val="24"/>
              </w:rPr>
              <w:t>Ich frage die Staatsregierung, wie viele Anträge zum Förderprogramm Bürgerbusse gab bzw. gibt es, welche Kommunen haben die Fördergelder abgerufen (bitte mit Angabe der jeweiligen Fördersumme) und unter welchen Bedingungen können Fördermittel noch abgerufen werden?</w:t>
            </w:r>
          </w:p>
        </w:tc>
      </w:tr>
    </w:tbl>
    <w:p w14:paraId="16F499F0" w14:textId="77777777" w:rsidR="009B7130" w:rsidRDefault="009B7130" w:rsidP="009B7130">
      <w:pPr>
        <w:pStyle w:val="LTUeberschrAntwortRessort"/>
      </w:pPr>
      <w:r>
        <w:t>Antwort des Staatsministeriums für Wohnen, Bau und Verkehr</w:t>
      </w:r>
    </w:p>
    <w:p w14:paraId="40C23D1E" w14:textId="77777777" w:rsidR="009B7130" w:rsidRDefault="009B7130" w:rsidP="009B7130">
      <w:pPr>
        <w:pStyle w:val="LTAntwortRessortText"/>
      </w:pPr>
      <w:r>
        <w:t>Seit 2019 fördert der Freistaat ehrenamtliche Bü</w:t>
      </w:r>
      <w:r w:rsidR="0085170F">
        <w:t>rgerprojekte nach der am 8. Mai </w:t>
      </w:r>
      <w:r>
        <w:t>2019 veröffentlichten Richtlinie zum Förderprogramm von Bürgerbusprojekten vom 8. Februar 2019, Az. 62-3524.5-1-1. Zuwendungsempfänger können sein: eingetragene Vereine, die einen entsprechende</w:t>
      </w:r>
      <w:r w:rsidR="0085170F">
        <w:t>n Verkehr durchführen (insbeson</w:t>
      </w:r>
      <w:r>
        <w:t>dere zum Zweck der Verkehrsdurchführung gegründete Bürgerbusvereine oder andere mit der Verkehrsdurchführung befasste Vereine) sowie in Fällen, in denen kein solcher Verein besteht, die Kommune, w</w:t>
      </w:r>
      <w:r w:rsidR="0085170F">
        <w:t>enn sie selbst den Bürgerbus be</w:t>
      </w:r>
      <w:r>
        <w:t>treibt.</w:t>
      </w:r>
    </w:p>
    <w:p w14:paraId="76AF72D3" w14:textId="77777777" w:rsidR="009B7130" w:rsidRDefault="009B7130" w:rsidP="009B7130">
      <w:pPr>
        <w:pStyle w:val="LTAntwortRessortText"/>
      </w:pPr>
      <w:r>
        <w:t>In den Jahren 2019 bis 2021 wurden in 14 Fällen Fördergelder von Kommunen und Vereinen abgerufen. Weitere Projek</w:t>
      </w:r>
      <w:r w:rsidR="0085170F">
        <w:t>te haben sich wegen der Coronap</w:t>
      </w:r>
      <w:r>
        <w:t>andemie verzögert und konnten noch nicht umg</w:t>
      </w:r>
      <w:r w:rsidR="0085170F">
        <w:t>esetzt werden. Die konkret abge</w:t>
      </w:r>
      <w:r>
        <w:t>rufene Förderung der Jahre 2019 bis 2021 ist i</w:t>
      </w:r>
      <w:r w:rsidR="0085170F">
        <w:t xml:space="preserve">n der beigefügten Tabelle </w:t>
      </w:r>
      <w:r w:rsidR="00D42F93" w:rsidRPr="00D42F93">
        <w:rPr>
          <w:rStyle w:val="LTHyperlinkZchn"/>
          <w:b w:val="0"/>
        </w:rPr>
        <w:t>*)</w:t>
      </w:r>
      <w:r w:rsidR="00D42F93">
        <w:t xml:space="preserve"> </w:t>
      </w:r>
      <w:r w:rsidR="0085170F">
        <w:t>darge</w:t>
      </w:r>
      <w:r>
        <w:t>stellt. Der finale Antragsstand für das Jahr 2022 ist noch nicht bekannt, da die Anträge jährlich bis zum 30. September einzureichen sind.</w:t>
      </w:r>
    </w:p>
    <w:p w14:paraId="43D4FB11" w14:textId="77777777" w:rsidR="009B7130" w:rsidRDefault="009B7130" w:rsidP="009B7130">
      <w:pPr>
        <w:pStyle w:val="LTAntwortRessortText"/>
      </w:pPr>
      <w:r>
        <w:t>Förderfähig sind ehrenamtliche Bürgerbusprojek</w:t>
      </w:r>
      <w:r w:rsidR="0085170F">
        <w:t>te zur Unterstützung des öffent</w:t>
      </w:r>
      <w:r>
        <w:t>lichen Personennahverkehrs, die personenbefö</w:t>
      </w:r>
      <w:r w:rsidR="0085170F">
        <w:t>rderungsrechtlich genehmigt wer</w:t>
      </w:r>
      <w:r>
        <w:t>den beziehungsweise genehmigt sind. Bürgerbusprojekte, die diese Vora</w:t>
      </w:r>
      <w:r w:rsidR="0085170F">
        <w:t>usset</w:t>
      </w:r>
      <w:r>
        <w:t>zungen erfüllen, können auch 2022 noch eine Förderung beantragen. Bezuschusst werden Fahrerlaubnisse zur Fahrgastbeförderung, eine Organisationspauschale sowie Beschaffung von Fahrzeugen für Bürgerbusprojekte.</w:t>
      </w:r>
    </w:p>
    <w:p w14:paraId="5CB0A31A" w14:textId="77777777" w:rsidR="009B7130" w:rsidRDefault="009B7130" w:rsidP="009B7130">
      <w:pPr>
        <w:pStyle w:val="LTAntwortRessortText"/>
      </w:pPr>
    </w:p>
    <w:p w14:paraId="7F6DF3CF" w14:textId="3B24A671" w:rsidR="00D42F93" w:rsidRDefault="00D42F93" w:rsidP="00D42F93">
      <w:pPr>
        <w:pStyle w:val="StandardWeb"/>
        <w:spacing w:before="0" w:beforeAutospacing="0" w:after="0" w:afterAutospacing="0"/>
        <w:ind w:left="340"/>
      </w:pPr>
      <w:r>
        <w:t xml:space="preserve">*) Von einem Abdruck wurde abgesehen. Die Tabelle ist als pdf-Dokument </w:t>
      </w:r>
      <w:hyperlink r:id="rId13" w:history="1">
        <w:r w:rsidRPr="00D42F93">
          <w:rPr>
            <w:rStyle w:val="LTHyperlinkZchn"/>
            <w:b w:val="0"/>
          </w:rPr>
          <w:t>hier</w:t>
        </w:r>
      </w:hyperlink>
      <w:r>
        <w:t xml:space="preserve"> einsehbar.</w:t>
      </w:r>
    </w:p>
    <w:p w14:paraId="382F4476" w14:textId="77777777" w:rsidR="009B7130" w:rsidRDefault="009B7130" w:rsidP="00D42F93">
      <w:pPr>
        <w:pStyle w:val="LTAntwortRessortText"/>
        <w:ind w:left="0"/>
      </w:pPr>
    </w:p>
    <w:p w14:paraId="08622AE1" w14:textId="77777777" w:rsidR="009B7130" w:rsidRDefault="009B7130">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B7130" w14:paraId="33C242E1" w14:textId="77777777" w:rsidTr="007B0B33">
        <w:tc>
          <w:tcPr>
            <w:tcW w:w="2050" w:type="dxa"/>
          </w:tcPr>
          <w:p w14:paraId="39139C35" w14:textId="77777777" w:rsidR="009B7130" w:rsidRDefault="009B7130" w:rsidP="009B7130">
            <w:pPr>
              <w:pStyle w:val="LTAnfrageInitiator"/>
            </w:pPr>
            <w:r>
              <w:lastRenderedPageBreak/>
              <w:t>Abgeordnete</w:t>
            </w:r>
            <w:r>
              <w:rPr>
                <w:b/>
              </w:rPr>
              <w:br/>
              <w:t>Christina</w:t>
            </w:r>
            <w:r>
              <w:rPr>
                <w:b/>
              </w:rPr>
              <w:br/>
              <w:t>Haubrich</w:t>
            </w:r>
            <w:r>
              <w:rPr>
                <w:b/>
              </w:rPr>
              <w:br/>
            </w:r>
            <w:r>
              <w:t>(BÜNDNIS 90/DIE GRÜNEN)</w:t>
            </w:r>
            <w:bookmarkStart w:id="39" w:name="Frage_Nr_19"/>
            <w:bookmarkEnd w:id="39"/>
          </w:p>
        </w:tc>
        <w:tc>
          <w:tcPr>
            <w:tcW w:w="7200" w:type="dxa"/>
          </w:tcPr>
          <w:p w14:paraId="405C6602" w14:textId="77777777" w:rsidR="009B7130" w:rsidRDefault="0083706D" w:rsidP="009B7130">
            <w:pPr>
              <w:pStyle w:val="LTAnfrageText"/>
            </w:pPr>
            <w:r w:rsidRPr="0083706D">
              <w:rPr>
                <w:szCs w:val="24"/>
              </w:rPr>
              <w:t>Ich frage die Staatsregierung, welche finanziellen Fördermöglichkeiten gibt es in Bayern für eventuelle Mehrkosten, die durch den Einsatz von recycelten Baumaterialien wie z. B. RC-Beton entstehen, welche Unterstützung gibt es speziell für Schulen in Schwaben für nachhaltiges Bauen; plant sie weitere Förderprogramme für nachhaltiges Bauen mit recycelten Baumaterialien?</w:t>
            </w:r>
          </w:p>
        </w:tc>
      </w:tr>
    </w:tbl>
    <w:p w14:paraId="3E8C77A6" w14:textId="77777777" w:rsidR="009B7130" w:rsidRDefault="009B7130" w:rsidP="009B7130">
      <w:pPr>
        <w:pStyle w:val="LTUeberschrAntwortRessort"/>
      </w:pPr>
      <w:r>
        <w:t>Antwort des Staatsministeriums für Wohnen, Bau und Verkehr</w:t>
      </w:r>
    </w:p>
    <w:p w14:paraId="2DD6E0D7" w14:textId="77777777" w:rsidR="009B7130" w:rsidRDefault="009B7130" w:rsidP="009B7130">
      <w:pPr>
        <w:pStyle w:val="LTAntwortRessortText"/>
      </w:pPr>
      <w:r>
        <w:t>Aktuell gibt es von Seiten des Staatsministeriums für Wohnen, Bau und Verkehr (StMB) keine finanziellen Fördermöglichkeiten für den Einsatz von recycelten Baumaterialien. Mit der Novelle der Wohn</w:t>
      </w:r>
      <w:r w:rsidR="000955E5">
        <w:t>raumförderbestimmungen zum zwei</w:t>
      </w:r>
      <w:r>
        <w:t>ten Quartal 2022 soll die Möglichkeit geschaffen werden, besonders nachhaltige Maßnahmen im Rahmen des geförderten Wohnungsbaus mit einem Förderbonus zu bezuschussen. Der Einsatz von recycelten Bau</w:t>
      </w:r>
      <w:r w:rsidR="000955E5">
        <w:t>materialien und die dadurch ent</w:t>
      </w:r>
      <w:r>
        <w:t>stehenden Mehrkosten werden so auch förderfähig sein.</w:t>
      </w:r>
    </w:p>
    <w:p w14:paraId="277C612A" w14:textId="77777777" w:rsidR="009B7130" w:rsidRDefault="009B7130" w:rsidP="009B7130">
      <w:pPr>
        <w:pStyle w:val="LTAntwortRessortText"/>
      </w:pPr>
      <w:r>
        <w:t>Für neu zu bewilligende Maßnahmen an Schulge</w:t>
      </w:r>
      <w:r w:rsidR="000955E5">
        <w:t>bäuden gibt es derzeit kein För</w:t>
      </w:r>
      <w:r>
        <w:t xml:space="preserve">derprogramm für den Einsatz von recycelten </w:t>
      </w:r>
      <w:r w:rsidR="000955E5">
        <w:t>Baumaterialien in den Zuständig</w:t>
      </w:r>
      <w:r>
        <w:t>keitsbereichen des StMB und des Staatsministeriums für Unterricht und Kultus.</w:t>
      </w:r>
    </w:p>
    <w:p w14:paraId="69A83F8D" w14:textId="77777777" w:rsidR="009B7130" w:rsidRDefault="009B7130" w:rsidP="009B7130">
      <w:pPr>
        <w:pStyle w:val="LTAntwortRessortText"/>
      </w:pPr>
      <w:r>
        <w:t>Im Übrigen ist die finanzielle Förderung von Schulbaumaßnahmen der Komm</w:t>
      </w:r>
      <w:r w:rsidR="000955E5">
        <w:t>u</w:t>
      </w:r>
      <w:r>
        <w:t>nen durch den Freistaat wie folgt ausgestaltet: Die Verantwortung über Art und Umfang der Schulbaumaßnahmen als kommunale Baumaßnahmen obliegt den Sachaufwandsträgern. Der Freistaat unters</w:t>
      </w:r>
      <w:r w:rsidR="000955E5">
        <w:t>tützt seine Kommunen bei Baumaß</w:t>
      </w:r>
      <w:r>
        <w:t>nahmen an öffentlichen Schulen mit</w:t>
      </w:r>
      <w:r w:rsidR="000955E5">
        <w:t xml:space="preserve"> Zuweisungen nach Art. 10 Bayerisches Fi</w:t>
      </w:r>
      <w:r>
        <w:t>nanzausgleichsgesetz (BayFAG). Förderfähig</w:t>
      </w:r>
      <w:r w:rsidR="000955E5">
        <w:t xml:space="preserve"> sind die zuweisungsfähigen Aus</w:t>
      </w:r>
      <w:r>
        <w:t xml:space="preserve">gaben für Neu-, Um- und Erweiterungsbauten </w:t>
      </w:r>
      <w:r w:rsidR="000955E5">
        <w:t>sowie General- und Teilsanierun</w:t>
      </w:r>
      <w:r>
        <w:t>gen. Im Rahmen der Kostenrichtwerte sind grundsätzlich auch Aufwendungen für Bauvorhaben, bei denen ein erhöhter Energies</w:t>
      </w:r>
      <w:r w:rsidR="000955E5">
        <w:t>tandard oder eine besondere Bau</w:t>
      </w:r>
      <w:r>
        <w:t>weise verwirklicht wird, förderfähig.</w:t>
      </w:r>
    </w:p>
    <w:p w14:paraId="769B065F" w14:textId="77777777" w:rsidR="009B7130" w:rsidRDefault="009B7130">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9B7130" w14:paraId="5A409F00" w14:textId="77777777" w:rsidTr="007B0B33">
        <w:tc>
          <w:tcPr>
            <w:tcW w:w="2050" w:type="dxa"/>
          </w:tcPr>
          <w:p w14:paraId="345057E8" w14:textId="77777777" w:rsidR="009B7130" w:rsidRDefault="009B7130" w:rsidP="009B7130">
            <w:pPr>
              <w:pStyle w:val="LTAnfrageInitiator"/>
            </w:pPr>
            <w:r>
              <w:lastRenderedPageBreak/>
              <w:t>Abgeordneter</w:t>
            </w:r>
            <w:r>
              <w:rPr>
                <w:b/>
              </w:rPr>
              <w:br/>
              <w:t>Dr. Wolfgang</w:t>
            </w:r>
            <w:r>
              <w:rPr>
                <w:b/>
              </w:rPr>
              <w:br/>
              <w:t>Heubisch</w:t>
            </w:r>
            <w:r>
              <w:rPr>
                <w:b/>
              </w:rPr>
              <w:br/>
            </w:r>
            <w:r>
              <w:t>(FDP)</w:t>
            </w:r>
            <w:bookmarkStart w:id="41" w:name="Frage_Nr_20"/>
            <w:bookmarkEnd w:id="41"/>
          </w:p>
        </w:tc>
        <w:tc>
          <w:tcPr>
            <w:tcW w:w="7200" w:type="dxa"/>
          </w:tcPr>
          <w:p w14:paraId="0949409E" w14:textId="77777777" w:rsidR="009B7130" w:rsidRDefault="0083706D" w:rsidP="009B7130">
            <w:pPr>
              <w:pStyle w:val="LTAnfrageText"/>
            </w:pPr>
            <w:r w:rsidRPr="0083706D">
              <w:rPr>
                <w:szCs w:val="24"/>
              </w:rPr>
              <w:t>Ich frage die Staatsregierung, welche Maßnahmen organisatorischer wie finanzieller Art nach dem Brand am 16. Februar 2021 in der Münchner Studentenstadt ergriffen wurden, um die Gebäude (dies beinhaltet das Brandgebäude sowie die daraufhin gesperrten Gebäude) wieder in Stand zu setzen, welche Summen hierfür im Haushaltsentwurf 2022 bereit gestellt werden sollen (bitte unter Angabe der genauen Titelnummer) und welche Maßnahmen sie bereits ergriffen hat bzw. noch wird, um studentischen Wohnraum in München zu fördern?</w:t>
            </w:r>
          </w:p>
        </w:tc>
      </w:tr>
    </w:tbl>
    <w:p w14:paraId="7C20A647" w14:textId="77777777" w:rsidR="009B7130" w:rsidRDefault="009B7130" w:rsidP="009B7130">
      <w:pPr>
        <w:pStyle w:val="LTUeberschrAntwortRessort"/>
      </w:pPr>
      <w:r>
        <w:t>Antwort des Staatsministeriums für Wohnen, Bau und Verkehr</w:t>
      </w:r>
    </w:p>
    <w:p w14:paraId="0B97E57C" w14:textId="77777777" w:rsidR="009B7130" w:rsidRDefault="009B7130" w:rsidP="009B7130">
      <w:pPr>
        <w:pStyle w:val="LTAntwortRessortText"/>
      </w:pPr>
      <w:r>
        <w:t>Nac</w:t>
      </w:r>
      <w:r w:rsidR="0005426E">
        <w:t>h Art. </w:t>
      </w:r>
      <w:r>
        <w:t>88 Bayerisches Hochschulgesetz obliegt den Studentenwerken unter anderem auch der Bau und Betrieb von Studentenwohnheimen.</w:t>
      </w:r>
      <w:r w:rsidR="003F21E8">
        <w:t xml:space="preserve"> </w:t>
      </w:r>
      <w:r>
        <w:t>In den vergangenen Jahren lag der Schwerpunk</w:t>
      </w:r>
      <w:r w:rsidR="0005426E">
        <w:t>t der Sanierungen des Studenten</w:t>
      </w:r>
      <w:r>
        <w:t>werks München im Studentenviertel Oberwiesenfeld (</w:t>
      </w:r>
      <w:r w:rsidR="0005426E">
        <w:t>Olympiadorf), der Schwer</w:t>
      </w:r>
      <w:r>
        <w:t xml:space="preserve">punkt der nächsten Jahre liegt nun in der </w:t>
      </w:r>
      <w:r w:rsidR="0005426E">
        <w:t>Studentenstadt, die mit knapp 2 </w:t>
      </w:r>
      <w:r>
        <w:t>500 Bewohnern die größte Studentensiedlung Deutschlands ist. Dieser Schwerpunkt war auch bereits vor dem Brand so geplant. In der Studentenstadt wurden in de</w:t>
      </w:r>
      <w:r w:rsidR="0005426E">
        <w:t>n letzten Jahren rund 340 </w:t>
      </w:r>
      <w:r>
        <w:t>Wohnplätze mit rund 12 Mi</w:t>
      </w:r>
      <w:r w:rsidR="0005426E">
        <w:t>o.</w:t>
      </w:r>
      <w:r>
        <w:t xml:space="preserve"> Euro Fördermitteln aus der Studentenwohnraumförderung saniert</w:t>
      </w:r>
      <w:r w:rsidR="0005426E">
        <w:t>. Die Sanierung weiterer rund 1 </w:t>
      </w:r>
      <w:r>
        <w:t>000 Wohnheimplätze wurde durch das Studentenwerk München angemeldet,</w:t>
      </w:r>
      <w:r w:rsidR="003F21E8">
        <w:t xml:space="preserve"> </w:t>
      </w:r>
      <w:r>
        <w:t>dabei soll nach Aussagen des Studentenwerks die Sanierung des Hauses 12 (440 Wohnplätze) als nächste Maßnahme durchgeführt werden. Eine Förderung im Rahmen der Studentenwohnraumförderung des Staatsministeriums für Wohnen, Bau und Verkehr wurde in Aussicht gestellt. Planung und Priorisierung</w:t>
      </w:r>
      <w:r w:rsidR="0005426E">
        <w:t xml:space="preserve"> der Ein</w:t>
      </w:r>
      <w:r>
        <w:t>zelmaßnahmen liegt im Zuständigkeitsbereich des Studentenwerks München.</w:t>
      </w:r>
    </w:p>
    <w:p w14:paraId="5D4B8AE8" w14:textId="77777777" w:rsidR="009B7130" w:rsidRDefault="009B7130" w:rsidP="009B7130">
      <w:pPr>
        <w:pStyle w:val="LTAntwortRessortText"/>
      </w:pPr>
      <w:r>
        <w:t xml:space="preserve">Die Schaffung und der Erhalt von bezahlbarem Wohnraum für Studierende ist ein wichtiges Ziel der Staatsregierung. Daher hat der Freistaat ein eigenes Förderpro-gramm für die Schaffung von Wohnraum für Studierende aufgelegt und stellt hierfür jährlich beachtliche Haushaltsmittel zur Verfügung. In den vergangenen zehn Jahren hat der Freistaat 340 </w:t>
      </w:r>
      <w:r w:rsidR="0005426E">
        <w:t>Mio.</w:t>
      </w:r>
      <w:r>
        <w:t xml:space="preserve"> Euro in die Schaffung und den Erhalt von Wohnplätzen für Studierende investiert, davon alleine 75 </w:t>
      </w:r>
      <w:r w:rsidR="0005426E">
        <w:t>Mio.</w:t>
      </w:r>
      <w:r>
        <w:t xml:space="preserve"> Euro für Maßnahmen in München. Für das Jahr 2022 stehen 38 </w:t>
      </w:r>
      <w:r w:rsidR="0005426E">
        <w:t>Mio.</w:t>
      </w:r>
      <w:r>
        <w:t xml:space="preserve"> Euro (Kapitel 0904 Titel 89368) für die Schaffung und den Erhalt von Wohnplätzen für Studierende zur Verfügung.</w:t>
      </w:r>
    </w:p>
    <w:p w14:paraId="361CBD59" w14:textId="77777777" w:rsidR="009B7130" w:rsidRDefault="009B7130" w:rsidP="009B7130">
      <w:pPr>
        <w:pStyle w:val="LTAntwortRessortText"/>
      </w:pPr>
      <w:r>
        <w:t>Derzeit befinden sich sieben Wohnheime m</w:t>
      </w:r>
      <w:r w:rsidR="0005426E">
        <w:t>it rund 1 400 geförderten Wohnplät</w:t>
      </w:r>
      <w:r>
        <w:t>zen in München im Bau oder in Sanierung.</w:t>
      </w:r>
    </w:p>
    <w:p w14:paraId="0798DBB9" w14:textId="77777777" w:rsidR="009B7130" w:rsidRDefault="009B7130">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9B7130" w14:paraId="653A805A" w14:textId="77777777" w:rsidTr="007B0B33">
        <w:tc>
          <w:tcPr>
            <w:tcW w:w="2050" w:type="dxa"/>
          </w:tcPr>
          <w:p w14:paraId="0E31FA43" w14:textId="77777777" w:rsidR="009B7130" w:rsidRDefault="009B7130" w:rsidP="009B7130">
            <w:pPr>
              <w:pStyle w:val="LTAnfrageInitiator"/>
            </w:pPr>
            <w:r>
              <w:lastRenderedPageBreak/>
              <w:t>Abgeordnete</w:t>
            </w:r>
            <w:r>
              <w:rPr>
                <w:b/>
              </w:rPr>
              <w:br/>
              <w:t>Natascha</w:t>
            </w:r>
            <w:r>
              <w:rPr>
                <w:b/>
              </w:rPr>
              <w:br/>
              <w:t>Kohnen</w:t>
            </w:r>
            <w:r>
              <w:rPr>
                <w:b/>
              </w:rPr>
              <w:br/>
            </w:r>
            <w:r>
              <w:t>(SPD)</w:t>
            </w:r>
            <w:bookmarkStart w:id="43" w:name="Frage_Nr_21"/>
            <w:bookmarkEnd w:id="43"/>
          </w:p>
        </w:tc>
        <w:tc>
          <w:tcPr>
            <w:tcW w:w="7200" w:type="dxa"/>
          </w:tcPr>
          <w:p w14:paraId="2E5A9CB4" w14:textId="77777777" w:rsidR="009B7130" w:rsidRDefault="0083706D" w:rsidP="009B7130">
            <w:pPr>
              <w:pStyle w:val="LTAnfrageText"/>
            </w:pPr>
            <w:r w:rsidRPr="0083706D">
              <w:rPr>
                <w:szCs w:val="24"/>
              </w:rPr>
              <w:t>Ich frage die Staatsregierung, ob ihr Fälle bekannt sind, bei denen es in Unterkünften, die eigens für Studierende gebaut wurden und dabei vom Freistaat gefördert wurden (z. B. durch zinslose Darlehen des Staatsministerium des Innern, für Sport und Integration) nach Beendigung der Bindungsfristen (u. a. durch Rückzahlung der Darlehen) zu einem Anstieg der Mietpreise von über 15 Prozent gekommen ist?</w:t>
            </w:r>
          </w:p>
        </w:tc>
      </w:tr>
    </w:tbl>
    <w:p w14:paraId="105AEA2B" w14:textId="77777777" w:rsidR="009B7130" w:rsidRDefault="009B7130" w:rsidP="009B7130">
      <w:pPr>
        <w:pStyle w:val="LTUeberschrAntwortRessort"/>
      </w:pPr>
      <w:r>
        <w:t>Antwort des Staatsministeriums für Wohnen, Bau und Verkehr</w:t>
      </w:r>
    </w:p>
    <w:p w14:paraId="0AD63590" w14:textId="77777777" w:rsidR="009B7130" w:rsidRDefault="009B7130" w:rsidP="009B7130">
      <w:pPr>
        <w:pStyle w:val="LTAntwortRessortText"/>
      </w:pPr>
      <w:r>
        <w:t>Der Staatsregierung ist nur ein Wohnheim bekannt, bei dem nach Rückzahlung des Darlehens deutliche Mieterhöhungen vorgenommen wurden. Es handelt sich dabei um einen Neubau, der 2009 mit Fördermitteln</w:t>
      </w:r>
      <w:r w:rsidR="009857B1">
        <w:t xml:space="preserve"> des Freistaats gefördert wur</w:t>
      </w:r>
      <w:r>
        <w:t>de. Die seinerzeit gewährten Fördermittel wurden zulässigerweise 2021 vorzeitig und vollständig zurückgezahlt. Mit der Rückza</w:t>
      </w:r>
      <w:r w:rsidR="009857B1">
        <w:t>hlung sind sämtliche mit dem Be</w:t>
      </w:r>
      <w:r>
        <w:t>willigungsbescheid verbundenen Bindungen und Mietvorgaben erloschen.</w:t>
      </w:r>
    </w:p>
    <w:p w14:paraId="56D182CB" w14:textId="77777777" w:rsidR="009B7130" w:rsidRDefault="009B7130" w:rsidP="009B7130">
      <w:pPr>
        <w:pStyle w:val="LTAntwortRessortText"/>
      </w:pPr>
      <w:r>
        <w:t>Generell besteht nach Bindungsende seitens de</w:t>
      </w:r>
      <w:r w:rsidR="009857B1">
        <w:t>r Staatsregierung keine Möglich</w:t>
      </w:r>
      <w:r>
        <w:t>keit, auf die nachfolgende Mietpreisgestaltung</w:t>
      </w:r>
      <w:r w:rsidR="009857B1">
        <w:t xml:space="preserve"> der Wohnplätze Einfluss zu neh</w:t>
      </w:r>
      <w:r>
        <w:t>men. Es gelten die Bestimmungen des allgemeinen Mietrechts.</w:t>
      </w:r>
    </w:p>
    <w:p w14:paraId="3E938967" w14:textId="77777777" w:rsidR="009B7130" w:rsidRDefault="009B7130" w:rsidP="009B7130">
      <w:pPr>
        <w:pStyle w:val="LTAntwortRessortText"/>
      </w:pPr>
      <w:r>
        <w:t>Für nach 2018 bewilligte Maßnahmen wurde eine Nachwirkungsfrist von zehn Jahren bei vorzeitiger Rückzahlung der Fördermitt</w:t>
      </w:r>
      <w:r w:rsidR="009857B1">
        <w:t>el in den Richtlinien der Förde</w:t>
      </w:r>
      <w:r>
        <w:t>rung von Wohnraum für Studierende eingeführt.</w:t>
      </w:r>
    </w:p>
    <w:p w14:paraId="3D0AFE39" w14:textId="77777777" w:rsidR="009B7130" w:rsidRDefault="009B7130">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9B7130" w14:paraId="4123077F" w14:textId="77777777" w:rsidTr="007B0B33">
        <w:tc>
          <w:tcPr>
            <w:tcW w:w="2050" w:type="dxa"/>
          </w:tcPr>
          <w:p w14:paraId="69C7A752" w14:textId="77777777" w:rsidR="009B7130" w:rsidRDefault="009B7130" w:rsidP="009B7130">
            <w:pPr>
              <w:pStyle w:val="LTAnfrageInitiator"/>
            </w:pPr>
            <w:r>
              <w:lastRenderedPageBreak/>
              <w:t>Abgeordneter</w:t>
            </w:r>
            <w:r>
              <w:rPr>
                <w:b/>
              </w:rPr>
              <w:br/>
              <w:t>Sebastian</w:t>
            </w:r>
            <w:r>
              <w:rPr>
                <w:b/>
              </w:rPr>
              <w:br/>
              <w:t>Körber</w:t>
            </w:r>
            <w:r>
              <w:rPr>
                <w:b/>
              </w:rPr>
              <w:br/>
            </w:r>
            <w:r>
              <w:t>(FDP)</w:t>
            </w:r>
            <w:bookmarkStart w:id="45" w:name="Frage_Nr_22"/>
            <w:bookmarkEnd w:id="45"/>
          </w:p>
        </w:tc>
        <w:tc>
          <w:tcPr>
            <w:tcW w:w="7200" w:type="dxa"/>
          </w:tcPr>
          <w:p w14:paraId="2B6AF418" w14:textId="77777777" w:rsidR="009B7130" w:rsidRDefault="009D404B" w:rsidP="009B7130">
            <w:pPr>
              <w:pStyle w:val="LTAnfrageText"/>
            </w:pPr>
            <w:r w:rsidRPr="009D404B">
              <w:rPr>
                <w:szCs w:val="24"/>
              </w:rPr>
              <w:t>Nachdem das Staatsministerium für Wohnen, Bau und Verkehr in seiner Pressemitteilung am 15.12.2021 (vgl. Pressemitteilung 246/2021) ein Stufenkonzept zur Verbesserung der Schienenanbindung des Flughafens München ankündigte, frage ich die Staatsregierung, welche einzelnen Stufen das Konzept beinhaltet, welche Schritte hier jeweils notwendig sind (bspw. in Form finanzieller Mittel, Unterstützung vom Bund etc.) und bis wann die einzelnen Stufen jeweils erreicht werden sollten (Zielwert)?</w:t>
            </w:r>
          </w:p>
        </w:tc>
      </w:tr>
    </w:tbl>
    <w:p w14:paraId="77E3779D" w14:textId="77777777" w:rsidR="009B7130" w:rsidRDefault="009B7130" w:rsidP="009B7130">
      <w:pPr>
        <w:pStyle w:val="LTUeberschrAntwortRessort"/>
      </w:pPr>
      <w:r>
        <w:t>Antwort des Staatsministeriums für Wohnen, Bau und Verkehr</w:t>
      </w:r>
    </w:p>
    <w:p w14:paraId="6C70B220" w14:textId="77777777" w:rsidR="009B7130" w:rsidRDefault="009B7130" w:rsidP="009B7130">
      <w:pPr>
        <w:pStyle w:val="LTAntwortRessortText"/>
      </w:pPr>
      <w:r>
        <w:t>Die gutachterlichen Arbeiten zur Verbesserung der überregionalen Anbindung des Flughafens München per Schiene sind no</w:t>
      </w:r>
      <w:r w:rsidR="000B2DBF">
        <w:t>ch nicht abgeschlossen. Nach Ab</w:t>
      </w:r>
      <w:r>
        <w:t>schluss der Arbeiten wird über ein mögliches Stufenkonzept berichtet werden. Es wird hierfür weiterhin das Frühjahr dieses Jahres angestrebt.</w:t>
      </w:r>
    </w:p>
    <w:p w14:paraId="3A6E6BA3" w14:textId="77777777" w:rsidR="009B7130" w:rsidRDefault="009B7130">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9B7130" w14:paraId="01DAF70F" w14:textId="77777777" w:rsidTr="007B0B33">
        <w:tc>
          <w:tcPr>
            <w:tcW w:w="2050" w:type="dxa"/>
          </w:tcPr>
          <w:p w14:paraId="3924295A" w14:textId="77777777" w:rsidR="009B7130" w:rsidRDefault="009B7130" w:rsidP="009B7130">
            <w:pPr>
              <w:pStyle w:val="LTAnfrageInitiator"/>
            </w:pPr>
            <w:r>
              <w:lastRenderedPageBreak/>
              <w:t>Abgeordneter</w:t>
            </w:r>
            <w:r>
              <w:rPr>
                <w:b/>
              </w:rPr>
              <w:br/>
              <w:t>Jürgen</w:t>
            </w:r>
            <w:r>
              <w:rPr>
                <w:b/>
              </w:rPr>
              <w:br/>
              <w:t>Mistol</w:t>
            </w:r>
            <w:r>
              <w:rPr>
                <w:b/>
              </w:rPr>
              <w:br/>
            </w:r>
            <w:r>
              <w:t>(BÜNDNIS 90/DIE GRÜNEN)</w:t>
            </w:r>
            <w:bookmarkStart w:id="47" w:name="Frage_Nr_23"/>
            <w:bookmarkEnd w:id="47"/>
          </w:p>
        </w:tc>
        <w:tc>
          <w:tcPr>
            <w:tcW w:w="7200" w:type="dxa"/>
          </w:tcPr>
          <w:p w14:paraId="3B533311" w14:textId="21793CC9" w:rsidR="009B7130" w:rsidRDefault="009D404B" w:rsidP="009B7130">
            <w:pPr>
              <w:pStyle w:val="LTAnfrageText"/>
            </w:pPr>
            <w:r w:rsidRPr="009D404B">
              <w:rPr>
                <w:szCs w:val="24"/>
              </w:rPr>
              <w:t xml:space="preserve">Nachdem der Großraum Regensburg laut einem von der regionalen Politik und der </w:t>
            </w:r>
            <w:r w:rsidR="00F5349F">
              <w:rPr>
                <w:szCs w:val="24"/>
              </w:rPr>
              <w:t xml:space="preserve">Bayerischen </w:t>
            </w:r>
            <w:r w:rsidRPr="009D404B">
              <w:rPr>
                <w:szCs w:val="24"/>
              </w:rPr>
              <w:t xml:space="preserve">Eisenbahngesellschaft </w:t>
            </w:r>
            <w:r w:rsidR="00F5349F">
              <w:rPr>
                <w:szCs w:val="24"/>
              </w:rPr>
              <w:t xml:space="preserve">mbH </w:t>
            </w:r>
            <w:r w:rsidRPr="009D404B">
              <w:rPr>
                <w:szCs w:val="24"/>
              </w:rPr>
              <w:t xml:space="preserve">(BEG) in Auftrag gegebenen Gutachten bis Mitte der 2030er-Jahre im Schienenpersonennahverkehr (SPNV) über einen S-Bahn-ähnlichen Verkehr verfügen könnte </w:t>
            </w:r>
            <w:r w:rsidRPr="009D404B">
              <w:rPr>
                <w:rStyle w:val="Funotenzeichen"/>
                <w:szCs w:val="24"/>
              </w:rPr>
              <w:footnoteReference w:id="1"/>
            </w:r>
            <w:r w:rsidRPr="009D404B">
              <w:rPr>
                <w:szCs w:val="24"/>
              </w:rPr>
              <w:t>, frage ich die Staatsregierung, sind diese Vorhaben bzw. die geplanten Infrastrukturmaßnahmen für das Gemeindeverkehrsfinanzierungsgesetz (GVFG-Bundesprogramm) angemeldet, ist das Projekt in das GVFG aufgenommen, wenn nicht, wie gestalten sich die weiteren zeitlichen Planungen der BEG zu diesem Projekt?</w:t>
            </w:r>
          </w:p>
        </w:tc>
      </w:tr>
    </w:tbl>
    <w:p w14:paraId="4844B2CC" w14:textId="77777777" w:rsidR="009B7130" w:rsidRDefault="009B7130" w:rsidP="009B7130">
      <w:pPr>
        <w:pStyle w:val="LTUeberschrAntwortRessort"/>
      </w:pPr>
      <w:r>
        <w:t>Antwort des Staatsministeriums für Wohnen, Bau und Verkehr</w:t>
      </w:r>
    </w:p>
    <w:p w14:paraId="0E8C065E" w14:textId="77777777" w:rsidR="009B7130" w:rsidRDefault="009B7130" w:rsidP="009B7130">
      <w:pPr>
        <w:pStyle w:val="LTAntwortRessortText"/>
      </w:pPr>
      <w:r>
        <w:t xml:space="preserve">Die Bayerische Eisenbahngesellschaft mbH (BEG) hat das </w:t>
      </w:r>
      <w:r w:rsidR="00E82D15">
        <w:rPr>
          <w:rStyle w:val="hgkelc"/>
        </w:rPr>
        <w:t>Schienenpersonennahverkehr</w:t>
      </w:r>
      <w:r>
        <w:t>-Gutachten für den Raum Regensburg gemeinsam mit der Region finanziert und durchgeführt. Auf ausdrücklichen Wunsch der Landkreise wurde dabei die Regio-S-Bahn, also ein Verkehrssystem, das ausschließlich auf Eisenbahngleisen verkehrt und das vom Straßenbahnnetz getrennt ist, für die gutachterliche Untersuchung unterstellt.</w:t>
      </w:r>
    </w:p>
    <w:p w14:paraId="2CDD0EDA" w14:textId="60A7FC37" w:rsidR="009B7130" w:rsidRDefault="009B7130" w:rsidP="009B7130">
      <w:pPr>
        <w:pStyle w:val="LTAntwortRessortText"/>
      </w:pPr>
      <w:r>
        <w:t>Mitte 2021 hat der Regensburger Kreistag beschlossen, dass auch das Poten</w:t>
      </w:r>
      <w:r w:rsidR="00F5349F">
        <w:t>z</w:t>
      </w:r>
      <w:r>
        <w:t>ial einer sogenannten Regional-Stadtbahn untersucht werden soll. Hierbei würde es sich um ein Verkehrssystem mit Mehrsystemfah</w:t>
      </w:r>
      <w:r w:rsidR="00E82D15">
        <w:t>rzeugen handeln, die im Stadtge</w:t>
      </w:r>
      <w:r>
        <w:t>biet auf den geplanten Straßenbahngleisen fah</w:t>
      </w:r>
      <w:r w:rsidR="00E82D15">
        <w:t>ren und am Stadtrand auf die Ei</w:t>
      </w:r>
      <w:r>
        <w:t>senbahngleise wechseln, um auf diesem Wege eine umsteigefreie Verbindung ins Umland herzustellen.</w:t>
      </w:r>
    </w:p>
    <w:p w14:paraId="378F9EB5" w14:textId="04E4EAC7" w:rsidR="009B7130" w:rsidRDefault="009B7130" w:rsidP="009B7130">
      <w:pPr>
        <w:pStyle w:val="LTAntwortRessortText"/>
      </w:pPr>
      <w:r>
        <w:t xml:space="preserve">Die Systementscheidung zwischen einer Regio-S-Bahn und einer Regional-Stadtbahn hat erhebliche Auswirkungen auf die Gestaltung der Gleisanlagen und der Stationen. Solange die Kommunen hierzu keine abschließende Entscheidung getroffen haben, können weder die DB und der </w:t>
      </w:r>
      <w:r w:rsidR="00E82D15">
        <w:t>Freistaat einen Zeitplan für um</w:t>
      </w:r>
      <w:r>
        <w:t>fassende Planungen für eine Regio-S-Bahn aufstellen noch dafür no</w:t>
      </w:r>
      <w:r w:rsidR="00E82D15">
        <w:t>twendige Inf</w:t>
      </w:r>
      <w:r>
        <w:t xml:space="preserve">rastrukturprojekte für eine </w:t>
      </w:r>
      <w:r w:rsidR="009853FB">
        <w:t>(GVFG</w:t>
      </w:r>
      <w:r w:rsidR="00F5349F">
        <w:t xml:space="preserve"> = Gemeindeverkehrsfinanzierungsgesetz</w:t>
      </w:r>
      <w:r w:rsidR="009853FB">
        <w:t>)</w:t>
      </w:r>
      <w:r>
        <w:t>-Förderung beim Bund angemeldet werden.</w:t>
      </w:r>
    </w:p>
    <w:p w14:paraId="1BC8539B" w14:textId="77777777" w:rsidR="009B7130" w:rsidRDefault="009B7130" w:rsidP="00F52506">
      <w:pPr>
        <w:pStyle w:val="LTAntwortRessortText"/>
      </w:pPr>
      <w:r>
        <w:t>Dessen unbeschadet setzt sich die Staatsregierun</w:t>
      </w:r>
      <w:r w:rsidR="00E82D15">
        <w:t>g dafür ein, dass die DB Planun</w:t>
      </w:r>
      <w:r>
        <w:t>gen für vier neue Bahnstationen zwischen Regensburg Hbf und Maxhütte-Haidhof anfertigt. Im Dezember 2021 haben das Staatsministerium für Wohnen, Bau und Verkehr, die Stadt Regensburg und die DB eine Planungsvereinbarung für den neuen Bahnhof Regensburg-Walhallastra</w:t>
      </w:r>
      <w:r w:rsidR="00E82D15">
        <w:t>ße unterzeichnet. Zu drei weite</w:t>
      </w:r>
      <w:r>
        <w:t>ren Haltepunkten in Regensburg-Wutzlhofen, Regenst</w:t>
      </w:r>
      <w:r w:rsidR="009853FB">
        <w:t>auf-Diesenbach und Pon</w:t>
      </w:r>
      <w:r>
        <w:t>holz laufen entsprechende Verhandlungen mit d</w:t>
      </w:r>
      <w:r w:rsidR="009853FB">
        <w:t>er DB. Sobald die Planungen hin</w:t>
      </w:r>
      <w:r>
        <w:t>reichend weit vorangeschritten sind, sollen die vier Halte vorbehaltlich ihrer Wirtschaftlichkeit und der Verfügbarkeit von Landesmitteln zur Kofinanzierung für das GVFG-Bundesprogramm angemeldet werden.</w:t>
      </w:r>
    </w:p>
    <w:p w14:paraId="6F3C3095" w14:textId="77777777" w:rsidR="009B7130" w:rsidRDefault="009B7130">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B7130" w14:paraId="47DCC6B3" w14:textId="77777777" w:rsidTr="007B0B33">
        <w:tc>
          <w:tcPr>
            <w:tcW w:w="2050" w:type="dxa"/>
          </w:tcPr>
          <w:p w14:paraId="7320A4B5" w14:textId="77777777" w:rsidR="009B7130" w:rsidRDefault="009B7130" w:rsidP="009B7130">
            <w:pPr>
              <w:pStyle w:val="LTAnfrageInitiator"/>
            </w:pPr>
            <w:r>
              <w:lastRenderedPageBreak/>
              <w:t>Abgeordnete</w:t>
            </w:r>
            <w:r>
              <w:rPr>
                <w:b/>
              </w:rPr>
              <w:br/>
              <w:t>Ursula</w:t>
            </w:r>
            <w:r>
              <w:rPr>
                <w:b/>
              </w:rPr>
              <w:br/>
              <w:t>Sowa</w:t>
            </w:r>
            <w:r>
              <w:rPr>
                <w:b/>
              </w:rPr>
              <w:br/>
            </w:r>
            <w:r>
              <w:t>(BÜNDNIS 90/DIE GRÜNEN)</w:t>
            </w:r>
            <w:bookmarkStart w:id="49" w:name="Frage_Nr_24"/>
            <w:bookmarkEnd w:id="49"/>
          </w:p>
        </w:tc>
        <w:tc>
          <w:tcPr>
            <w:tcW w:w="7200" w:type="dxa"/>
          </w:tcPr>
          <w:p w14:paraId="465BB933" w14:textId="77777777" w:rsidR="009B7130" w:rsidRDefault="009D404B" w:rsidP="009B7130">
            <w:pPr>
              <w:pStyle w:val="LTAnfrageText"/>
            </w:pPr>
            <w:r w:rsidRPr="009D404B">
              <w:rPr>
                <w:szCs w:val="24"/>
              </w:rPr>
              <w:t>Vor dem Hintergrund, dass Bayerns Staatsministerin für Wohnen, Bau und Verkehr Kerstin Schreyer am 8. Februar 2022 das Modellprojekt LANDSTADT BAYERN gestartet und zur Bewerbung bayerischer Städte und Gemeinden (mit bis zu 100 000 Einwohnern) bis zum 8. April 2022 aufgerufen hat, frage ich die Staatsregierung, wie hoch ist das Fördervolumen für das Modellvorhaben LANDSTADT BAYERN, aus welchem Fördertopf werden die benötigten Mittel genommen und wie viele Städte und Gemeinden können mit dem Modellvorhaben voraussichtlich gefördert werden?</w:t>
            </w:r>
          </w:p>
        </w:tc>
      </w:tr>
    </w:tbl>
    <w:p w14:paraId="7BBF8D73" w14:textId="77777777" w:rsidR="009B7130" w:rsidRDefault="009B7130" w:rsidP="009B7130">
      <w:pPr>
        <w:pStyle w:val="LTUeberschrAntwortRessort"/>
      </w:pPr>
      <w:r>
        <w:t>Antwort des Staatsministeriums für Wohnen, Bau und Verkehr</w:t>
      </w:r>
    </w:p>
    <w:p w14:paraId="7EA27F77" w14:textId="5D0F86F1" w:rsidR="009B7130" w:rsidRDefault="009B7130" w:rsidP="009B7130">
      <w:pPr>
        <w:pStyle w:val="LTAntwortRessortText"/>
      </w:pPr>
      <w:r>
        <w:t xml:space="preserve">Für das Projekt stehen Mittel in Höhe von rund 2,4 </w:t>
      </w:r>
      <w:r w:rsidR="005122C2">
        <w:t>Mio.</w:t>
      </w:r>
      <w:r>
        <w:t xml:space="preserve"> Euro bei einem maximalen Fördersatz von 80</w:t>
      </w:r>
      <w:r w:rsidR="005A0FC6">
        <w:t> </w:t>
      </w:r>
      <w:r w:rsidR="006F49A4">
        <w:t>Prozent</w:t>
      </w:r>
      <w:r>
        <w:t xml:space="preserve"> zur Verfügung.</w:t>
      </w:r>
      <w:r w:rsidR="005122C2">
        <w:t xml:space="preserve"> Die Mittel werden aus den nach</w:t>
      </w:r>
      <w:r>
        <w:t>genannten, bestehenden Programmen entsprechen</w:t>
      </w:r>
      <w:r w:rsidR="005122C2">
        <w:t>d der integrierten Aufgabenstel</w:t>
      </w:r>
      <w:r>
        <w:t>lung über die Bereiche Raumplanung / Städtebau</w:t>
      </w:r>
      <w:r w:rsidR="005122C2">
        <w:t>, Mobilität und Verkehr, Digita</w:t>
      </w:r>
      <w:r>
        <w:t xml:space="preserve">lisierung und Nachhaltigkeit gebündelt und im Haushaltstitel 0905 537 91 </w:t>
      </w:r>
      <w:r w:rsidR="006F49A4">
        <w:t>„</w:t>
      </w:r>
      <w:r w:rsidR="005122C2">
        <w:t>Zu</w:t>
      </w:r>
      <w:r>
        <w:t>schüsse des Landes für modellhafte Planungen und Forschungen</w:t>
      </w:r>
      <w:r w:rsidR="006F49A4">
        <w:t>“</w:t>
      </w:r>
      <w:r>
        <w:t xml:space="preserve"> bereitgestellt:</w:t>
      </w:r>
    </w:p>
    <w:p w14:paraId="3B0100D3" w14:textId="77777777" w:rsidR="009B7130" w:rsidRDefault="009B7130" w:rsidP="00485907">
      <w:pPr>
        <w:pStyle w:val="LTAntwortRessortText"/>
        <w:numPr>
          <w:ilvl w:val="0"/>
          <w:numId w:val="27"/>
        </w:numPr>
        <w:spacing w:before="120"/>
        <w:ind w:left="1020" w:hanging="340"/>
      </w:pPr>
      <w:r>
        <w:t>09 05 883 91 Zuschüsse des Landes fü</w:t>
      </w:r>
      <w:r w:rsidR="005122C2">
        <w:t>r modellhafte Planungen und For</w:t>
      </w:r>
      <w:r>
        <w:t>schungen</w:t>
      </w:r>
    </w:p>
    <w:p w14:paraId="30897D96" w14:textId="77777777" w:rsidR="009B7130" w:rsidRDefault="009B7130" w:rsidP="00485907">
      <w:pPr>
        <w:pStyle w:val="LTAntwortRessortText"/>
        <w:numPr>
          <w:ilvl w:val="0"/>
          <w:numId w:val="27"/>
        </w:numPr>
        <w:spacing w:before="120"/>
        <w:ind w:left="1020" w:hanging="340"/>
      </w:pPr>
      <w:r>
        <w:t>09 04 883 11 Zuweisungen für Investitionen an Gemeinden und Geme</w:t>
      </w:r>
      <w:r w:rsidR="005122C2">
        <w:t>in</w:t>
      </w:r>
      <w:r>
        <w:t>deverbände zur Förderung von Wohnraum (KommWFP)</w:t>
      </w:r>
    </w:p>
    <w:p w14:paraId="25A3C2A7" w14:textId="77777777" w:rsidR="009B7130" w:rsidRDefault="009B7130" w:rsidP="00485907">
      <w:pPr>
        <w:pStyle w:val="LTAntwortRessortText"/>
        <w:numPr>
          <w:ilvl w:val="0"/>
          <w:numId w:val="27"/>
        </w:numPr>
        <w:spacing w:before="120"/>
        <w:ind w:left="1020" w:hanging="340"/>
      </w:pPr>
      <w:r>
        <w:t>09 05 883 88 Zuschüsse des Landes an Gemeinden für Maßnahmen im Rahmen des Bayerischen Städtebauförderungsprogramms</w:t>
      </w:r>
    </w:p>
    <w:p w14:paraId="166F4E5F" w14:textId="77777777" w:rsidR="009B7130" w:rsidRDefault="009B7130" w:rsidP="00485907">
      <w:pPr>
        <w:pStyle w:val="LTAntwortRessortText"/>
        <w:numPr>
          <w:ilvl w:val="0"/>
          <w:numId w:val="27"/>
        </w:numPr>
        <w:spacing w:before="120"/>
        <w:ind w:left="1020" w:hanging="340"/>
      </w:pPr>
      <w:r>
        <w:t>09 20 TG 70 Kostenanteile für Projekte bei zentralen Sonderaufgaben des Straßenbaus bzw. Pilotprojekten im Straßenverkehr</w:t>
      </w:r>
    </w:p>
    <w:p w14:paraId="471E53D9" w14:textId="77777777" w:rsidR="009B7130" w:rsidRDefault="009B7130" w:rsidP="00485907">
      <w:pPr>
        <w:pStyle w:val="LTAntwortRessortText"/>
        <w:numPr>
          <w:ilvl w:val="0"/>
          <w:numId w:val="27"/>
        </w:numPr>
        <w:spacing w:before="120"/>
        <w:ind w:left="1020" w:hanging="340"/>
      </w:pPr>
      <w:r>
        <w:t>09 09 TG 80 Logistik und Schienengüterverkehr, Innovationen im Verkehr</w:t>
      </w:r>
    </w:p>
    <w:p w14:paraId="718394A7" w14:textId="77777777" w:rsidR="009B7130" w:rsidRDefault="009B7130" w:rsidP="00485907">
      <w:pPr>
        <w:pStyle w:val="LTAntwortRessortText"/>
        <w:numPr>
          <w:ilvl w:val="0"/>
          <w:numId w:val="27"/>
        </w:numPr>
        <w:spacing w:before="120"/>
        <w:ind w:left="1020" w:hanging="340"/>
      </w:pPr>
      <w:r>
        <w:t>09 02 547 15 IuK-Haushalt der Staatsbauverwaltung</w:t>
      </w:r>
    </w:p>
    <w:p w14:paraId="5FEACF4A" w14:textId="77777777" w:rsidR="009B7130" w:rsidRDefault="009B7130" w:rsidP="009B7130">
      <w:pPr>
        <w:pStyle w:val="LTAntwortRessortText"/>
      </w:pPr>
      <w:r>
        <w:t>Bis zu zehn Projektstädte werden für die Durchführung von Wettbewerben und eine Konzepterarbeitung gefördert. Hieraus werden bis zu drei Projektstädte bzw. -gemeinden mit besonders zukunftsfesten und umsetzbaren Projektideen für die Umsetzungsphase ausgewählt. Das Fördervolu</w:t>
      </w:r>
      <w:r w:rsidR="005122C2">
        <w:t>men für die Umsetzungsphase (ab </w:t>
      </w:r>
      <w:r>
        <w:t>2023/2024) wurde noch nicht festgelegt.</w:t>
      </w:r>
    </w:p>
    <w:p w14:paraId="4E1F3734" w14:textId="77777777" w:rsidR="009B7130" w:rsidRDefault="009B7130">
      <w:bookmarkStart w:id="50" w:name="Frage_Nr_24_Ende"/>
      <w:bookmarkEnd w:id="50"/>
      <w:r>
        <w:br w:type="page"/>
      </w:r>
    </w:p>
    <w:p w14:paraId="1E95A042" w14:textId="77777777" w:rsidR="009B7130" w:rsidRDefault="009B7130" w:rsidP="009B7130">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9B7130" w14:paraId="561AA3AC" w14:textId="77777777" w:rsidTr="007B0B33">
        <w:tc>
          <w:tcPr>
            <w:tcW w:w="2050" w:type="dxa"/>
          </w:tcPr>
          <w:p w14:paraId="6D31B9B3" w14:textId="77777777" w:rsidR="009B7130" w:rsidRDefault="009B7130" w:rsidP="009B7130">
            <w:pPr>
              <w:pStyle w:val="LTAnfrageInitiator"/>
            </w:pPr>
            <w:r>
              <w:t>Abgeordneter</w:t>
            </w:r>
            <w:r w:rsidR="0065191B">
              <w:rPr>
                <w:b/>
              </w:rPr>
              <w:br/>
              <w:t>Cemal</w:t>
            </w:r>
            <w:r w:rsidR="0065191B">
              <w:rPr>
                <w:b/>
              </w:rPr>
              <w:br/>
              <w:t>Bozo</w:t>
            </w:r>
            <w:r w:rsidR="0065191B">
              <w:rPr>
                <w:rFonts w:cs="Arial"/>
                <w:b/>
              </w:rPr>
              <w:t>ǧ</w:t>
            </w:r>
            <w:r>
              <w:rPr>
                <w:b/>
              </w:rPr>
              <w:t>lu</w:t>
            </w:r>
            <w:r>
              <w:rPr>
                <w:b/>
              </w:rPr>
              <w:br/>
            </w:r>
            <w:r>
              <w:t>(BÜNDNIS 90/DIE GRÜNEN)</w:t>
            </w:r>
            <w:bookmarkStart w:id="51" w:name="Frage_Nr_25"/>
            <w:bookmarkEnd w:id="51"/>
          </w:p>
        </w:tc>
        <w:tc>
          <w:tcPr>
            <w:tcW w:w="7200" w:type="dxa"/>
          </w:tcPr>
          <w:p w14:paraId="27ADEAEF" w14:textId="77777777" w:rsidR="009B7130" w:rsidRDefault="009D404B" w:rsidP="009B7130">
            <w:pPr>
              <w:pStyle w:val="LTAnfrageText"/>
            </w:pPr>
            <w:r w:rsidRPr="009D404B">
              <w:rPr>
                <w:szCs w:val="24"/>
              </w:rPr>
              <w:t>Nachdem auf meine Schriftliche Anfrage „Menschenschmuggel via „Grauer Dienstpässe aus der Türkei“ aus dem Mai 2021 auf Drs. 18/17574 die Staatsregierung geantwortet hat, dass Ermittlungsverfahren bei den Staatsanwaltschaften Traunstein, Weiden und München I laufen, frage ich sie nun, auf welchem Ermittlungsstand diese Verfahren sind, ob es ansonsten neue Erkenntnisse bzw. Fälle (mit Zahl der Personen) der Art „Menschenschmuggel mit Grauen Dienstpässen“ gibt und ob es stimmt, dass ein Busunternehmen aus München ebenfalls in diesen Schmuggel involviert war?</w:t>
            </w:r>
          </w:p>
        </w:tc>
      </w:tr>
    </w:tbl>
    <w:p w14:paraId="5705D6F3" w14:textId="77777777" w:rsidR="009B7130" w:rsidRDefault="009B7130" w:rsidP="009B7130">
      <w:pPr>
        <w:pStyle w:val="LTUeberschrAntwortRessort"/>
      </w:pPr>
      <w:r>
        <w:t>Antwort des Staatsministeriums der Justiz</w:t>
      </w:r>
    </w:p>
    <w:p w14:paraId="1613FD79" w14:textId="77777777" w:rsidR="009B7130" w:rsidRDefault="009B7130" w:rsidP="009B7130">
      <w:pPr>
        <w:pStyle w:val="LTAntwortRessortText"/>
      </w:pPr>
      <w:r>
        <w:t>Nach Auskunft der Staatsanwaltschaft Traunstei</w:t>
      </w:r>
      <w:r w:rsidR="007D4321">
        <w:t>n wurden die dortigen Ermittlungen –</w:t>
      </w:r>
      <w:r>
        <w:t xml:space="preserve"> wie bereits bei Beantwortung der vorbezeich</w:t>
      </w:r>
      <w:r w:rsidR="007D4321">
        <w:t>neten Schriftlichen Anfrage mitgeteilt –</w:t>
      </w:r>
      <w:r>
        <w:t xml:space="preserve"> teilweise eingestellt und im Übrigen a</w:t>
      </w:r>
      <w:r w:rsidR="007D4321">
        <w:t>n eine außerbayerische Staatsan</w:t>
      </w:r>
      <w:r>
        <w:t>waltschaft abgegeben. Insoweit kann daher nicht weiter Stell</w:t>
      </w:r>
      <w:r w:rsidR="007D4321">
        <w:t>ung genommen wer</w:t>
      </w:r>
      <w:r>
        <w:t>den.</w:t>
      </w:r>
    </w:p>
    <w:p w14:paraId="17EFD297" w14:textId="77777777" w:rsidR="009B7130" w:rsidRDefault="009B7130" w:rsidP="009B7130">
      <w:pPr>
        <w:pStyle w:val="LTAntwortRessortText"/>
      </w:pPr>
      <w:r>
        <w:t>Die Ermittlungen der Staatsanwaltschaft Weiden dauern nach Mitteilung der Staatsanwaltschaft an. Insbesondere sei zwischenzeitlich ein Rechtshilfeersuchen an die Türkei gerichtet worden. Dieses sei am 3</w:t>
      </w:r>
      <w:r w:rsidR="007D4321">
        <w:t>0. November 2021 durch die Deut</w:t>
      </w:r>
      <w:r>
        <w:t>sche Botschaft in Ankara an das türkische Justizministerium übergeben worden. Eine Antwort stehe noch aus. In dem Ermittlungsverfahren spielt nach Auskunft der Staatsanwaltschaft Weiden auch ein Busunt</w:t>
      </w:r>
      <w:r w:rsidR="007D4321">
        <w:t>ernehmen eine Rolle, welches un</w:t>
      </w:r>
      <w:r>
        <w:t>ter anderem eine Niederlassung in München unterhält. Weitergehende Auskünfte können derzeit nicht erteilt werden, um den Zweck des Ermittlungsverfahrens nicht zu gefährden.</w:t>
      </w:r>
    </w:p>
    <w:p w14:paraId="666EB735" w14:textId="77777777" w:rsidR="009B7130" w:rsidRDefault="009B7130" w:rsidP="009B7130">
      <w:pPr>
        <w:pStyle w:val="LTAntwortRessortText"/>
      </w:pPr>
      <w:r>
        <w:t xml:space="preserve">Nach Auskunft der Staatsanwaltschaft München </w:t>
      </w:r>
      <w:r w:rsidR="007D4321">
        <w:t>I dauern die dortigen Ermittlun</w:t>
      </w:r>
      <w:r>
        <w:t>gen ebenfalls an und gestalten sich schwierig. Tatverdächtige hätten bislang nicht identifiziert werden können.</w:t>
      </w:r>
    </w:p>
    <w:p w14:paraId="4077499D" w14:textId="77777777" w:rsidR="009B7130" w:rsidRDefault="009B7130" w:rsidP="009B7130">
      <w:pPr>
        <w:pStyle w:val="LTAntwortRessortText"/>
      </w:pPr>
      <w:r>
        <w:t>Die Einleitung weiterer Ermittlungsverfahren</w:t>
      </w:r>
      <w:r w:rsidR="007D4321">
        <w:t xml:space="preserve"> wegen Einschleusens von Auslän</w:t>
      </w:r>
      <w:r>
        <w:t xml:space="preserve">dern unter Verwendung </w:t>
      </w:r>
      <w:r w:rsidR="006F49A4">
        <w:t>„</w:t>
      </w:r>
      <w:r>
        <w:t>Grauer Dienstpässe</w:t>
      </w:r>
      <w:r w:rsidR="006F49A4">
        <w:t>“</w:t>
      </w:r>
      <w:r>
        <w:t xml:space="preserve"> ist dem Staatsministerium der Justiz nicht bekannt. Eine diesbezügliche Abfrage bei</w:t>
      </w:r>
      <w:r w:rsidR="007D4321">
        <w:t xml:space="preserve"> allen bayerischen Staatsanwalt</w:t>
      </w:r>
      <w:r>
        <w:t>schaften war aufgrund der Kürze der zur Verfügung stehenden Zeit nicht möglich.</w:t>
      </w:r>
    </w:p>
    <w:p w14:paraId="3B4FF250" w14:textId="77777777" w:rsidR="009B7130" w:rsidRDefault="009B7130">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9B7130" w14:paraId="056FBAA3" w14:textId="77777777" w:rsidTr="007B0B33">
        <w:tc>
          <w:tcPr>
            <w:tcW w:w="2050" w:type="dxa"/>
          </w:tcPr>
          <w:p w14:paraId="050FBE95" w14:textId="77777777" w:rsidR="009B7130" w:rsidRDefault="009B7130" w:rsidP="009B7130">
            <w:pPr>
              <w:pStyle w:val="LTAnfrageInitiator"/>
            </w:pPr>
            <w:r>
              <w:lastRenderedPageBreak/>
              <w:t>Abgeordneter</w:t>
            </w:r>
            <w:r>
              <w:rPr>
                <w:b/>
              </w:rPr>
              <w:br/>
              <w:t>Dr. Helmut</w:t>
            </w:r>
            <w:r>
              <w:rPr>
                <w:b/>
              </w:rPr>
              <w:br/>
              <w:t>Kaltenhauser</w:t>
            </w:r>
            <w:r>
              <w:rPr>
                <w:b/>
              </w:rPr>
              <w:br/>
            </w:r>
            <w:r>
              <w:t>(FDP)</w:t>
            </w:r>
            <w:bookmarkStart w:id="53" w:name="Frage_Nr_26"/>
            <w:bookmarkEnd w:id="53"/>
          </w:p>
        </w:tc>
        <w:tc>
          <w:tcPr>
            <w:tcW w:w="7200" w:type="dxa"/>
          </w:tcPr>
          <w:p w14:paraId="480F1399" w14:textId="77777777" w:rsidR="009B7130" w:rsidRDefault="009D404B" w:rsidP="009B7130">
            <w:pPr>
              <w:pStyle w:val="LTAnfrageText"/>
            </w:pPr>
            <w:r w:rsidRPr="009D404B">
              <w:rPr>
                <w:szCs w:val="24"/>
              </w:rPr>
              <w:t>Ich frage die Staatsregierung, ob Sie über Kenntnisse verfügt, dass der mutmaßliche Fluchthelfer von Jan Marsalek und ehemalige österreichische Verfassungsschützer, Egisto O., mit russischen Geheimdiensten Kontakt hatte, ob sie Kenntnisse darüber hat, dass Jan Marsalek nach seinem Verschwinden versucht hat, Aussagen von Vertrauten bei der Staatsanwaltschaft zu manipulieren und seit wann der Staatsanwaltschaft München österreichische Ermittlungsakten vorliegen, auf die sich die Süddeutsche Zeitung in dem Artikel „Marsalek, der Maulwurf und der Wiener Sumpf“ vom 16.02.2022 bezieht?</w:t>
            </w:r>
          </w:p>
        </w:tc>
      </w:tr>
    </w:tbl>
    <w:p w14:paraId="2A57C1D4" w14:textId="77777777" w:rsidR="009B7130" w:rsidRDefault="009B7130" w:rsidP="009B7130">
      <w:pPr>
        <w:pStyle w:val="LTUeberschrAntwortRessort"/>
      </w:pPr>
      <w:r>
        <w:t>Antwort des Staatsministeriums der Justiz</w:t>
      </w:r>
    </w:p>
    <w:p w14:paraId="03B3A7DA" w14:textId="77777777" w:rsidR="009B7130" w:rsidRDefault="009B7130" w:rsidP="009B7130">
      <w:pPr>
        <w:pStyle w:val="LTAntwortRessortText"/>
      </w:pPr>
      <w:r>
        <w:t>Nach Auskunft der Staatsanwaltschaft München I s</w:t>
      </w:r>
      <w:r w:rsidR="00FB3943">
        <w:t>ind die in der Fragestellung ge</w:t>
      </w:r>
      <w:r>
        <w:t>nannten Sachverhalte Gegenstand der laufenden Ermittlungen und der Fahndung nach Jan Marsalek. Weitergehende Informationen können nach Mitteilung der Staatsanwaltschaft München I nicht erteilt werden, um den Untersuchungszweck und die Fahndungsmaßnahmen nicht zu gefährden.</w:t>
      </w:r>
    </w:p>
    <w:p w14:paraId="1E3B14C3" w14:textId="77777777" w:rsidR="009B7130" w:rsidRDefault="009B7130">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9B7130" w14:paraId="7DC529F7" w14:textId="77777777" w:rsidTr="007B0B33">
        <w:tc>
          <w:tcPr>
            <w:tcW w:w="2050" w:type="dxa"/>
          </w:tcPr>
          <w:p w14:paraId="5B984A04" w14:textId="77777777" w:rsidR="009B7130" w:rsidRDefault="009B7130" w:rsidP="009B7130">
            <w:pPr>
              <w:pStyle w:val="LTAnfrageInitiator"/>
            </w:pPr>
            <w:r>
              <w:lastRenderedPageBreak/>
              <w:t>Abgeordneter</w:t>
            </w:r>
            <w:r>
              <w:rPr>
                <w:b/>
              </w:rPr>
              <w:br/>
              <w:t>Helmut</w:t>
            </w:r>
            <w:r>
              <w:rPr>
                <w:b/>
              </w:rPr>
              <w:br/>
              <w:t>Markwort</w:t>
            </w:r>
            <w:r>
              <w:rPr>
                <w:b/>
              </w:rPr>
              <w:br/>
            </w:r>
            <w:r>
              <w:t>(FDP)</w:t>
            </w:r>
            <w:bookmarkStart w:id="55" w:name="Frage_Nr_27"/>
            <w:bookmarkEnd w:id="55"/>
          </w:p>
        </w:tc>
        <w:tc>
          <w:tcPr>
            <w:tcW w:w="7200" w:type="dxa"/>
          </w:tcPr>
          <w:p w14:paraId="7C5C58BC" w14:textId="77777777" w:rsidR="009B7130" w:rsidRDefault="009D404B" w:rsidP="009B7130">
            <w:pPr>
              <w:pStyle w:val="LTAnfrageText"/>
            </w:pPr>
            <w:r w:rsidRPr="009D404B">
              <w:rPr>
                <w:szCs w:val="24"/>
              </w:rPr>
              <w:t>Ich frage die Staatsregierung, seit wann die Staatsanwaltschaft München Kenntnis von denen als Suisse Secrets bekannt gewordenen Daten hat, seit wann sie über die diese Daten verfügt und welche Schritte sie aufgrund dieser Enthüllung nach heutigem Stand einleiten wird?</w:t>
            </w:r>
          </w:p>
        </w:tc>
      </w:tr>
    </w:tbl>
    <w:p w14:paraId="0FE7EABC" w14:textId="77777777" w:rsidR="009B7130" w:rsidRDefault="009B7130" w:rsidP="009B7130">
      <w:pPr>
        <w:pStyle w:val="LTUeberschrAntwortRessort"/>
      </w:pPr>
      <w:r>
        <w:t>Antwort des Staatsministeriums der Justiz</w:t>
      </w:r>
    </w:p>
    <w:p w14:paraId="4F24E777" w14:textId="77777777" w:rsidR="009B7130" w:rsidRDefault="009B7130" w:rsidP="009B7130">
      <w:pPr>
        <w:pStyle w:val="LTAntwortRessortText"/>
      </w:pPr>
      <w:r>
        <w:t>Die Staatsanwaltschaft München I prüft die Pres</w:t>
      </w:r>
      <w:r w:rsidR="00FB3943">
        <w:t>seberichterstattung über die Da</w:t>
      </w:r>
      <w:r>
        <w:t>ten im Hinblick auf einen Anfangsverdacht für v</w:t>
      </w:r>
      <w:r w:rsidR="00FB3943">
        <w:t>erfolgbare Straftaten. Nach Aus</w:t>
      </w:r>
      <w:r>
        <w:t>kunft der Staatsanwaltschaft München I liegen die Daten selbst dort nicht vor.</w:t>
      </w:r>
    </w:p>
    <w:p w14:paraId="55D0B0C6" w14:textId="77777777" w:rsidR="009B7130" w:rsidRDefault="009B7130" w:rsidP="009B7130">
      <w:pPr>
        <w:pStyle w:val="LTAntwortRessortText"/>
      </w:pPr>
      <w:r>
        <w:t xml:space="preserve">Gegen eine in der Presseberichterstattung </w:t>
      </w:r>
      <w:r w:rsidR="00FB3943">
        <w:t>vom 20. und 21. Februar 2022 ge</w:t>
      </w:r>
      <w:r>
        <w:t>nannte Person ist nach Auskunft der Staatsanwalts</w:t>
      </w:r>
      <w:r w:rsidR="00FB3943">
        <w:t>chaft München I dort ein Ermitt</w:t>
      </w:r>
      <w:r>
        <w:t>lungsverfahren wegen Geldwäsche anhängig. Die</w:t>
      </w:r>
      <w:r w:rsidR="00FB3943">
        <w:t>ses Ermittlungsverfahren sei be</w:t>
      </w:r>
      <w:r>
        <w:t>reits vor der aktuellen Berichterstattung eingeleitet worde</w:t>
      </w:r>
      <w:r w:rsidR="00FB3943">
        <w:t>n. Weitergehende Infor</w:t>
      </w:r>
      <w:r>
        <w:t>mationen hierzu, insbesondere zu der Frage,</w:t>
      </w:r>
      <w:r w:rsidR="00FB3943">
        <w:t xml:space="preserve"> welche Ermittlungsmaßnahmen ge</w:t>
      </w:r>
      <w:r>
        <w:t>plant sind, können nach Mitteilung der Staatsanwaltschaft München I derzeit nicht erteilt werden, um den Untersuchungszweck nicht zu gefährden.</w:t>
      </w:r>
    </w:p>
    <w:p w14:paraId="421A6F06" w14:textId="77777777" w:rsidR="009B7130" w:rsidRDefault="009B7130">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9B7130" w14:paraId="713E3E32" w14:textId="77777777" w:rsidTr="007B0B33">
        <w:tc>
          <w:tcPr>
            <w:tcW w:w="2050" w:type="dxa"/>
          </w:tcPr>
          <w:p w14:paraId="0B2223E2" w14:textId="77777777" w:rsidR="009B7130" w:rsidRDefault="009B7130" w:rsidP="009B7130">
            <w:pPr>
              <w:pStyle w:val="LTAnfrageInitiator"/>
            </w:pPr>
            <w:r>
              <w:lastRenderedPageBreak/>
              <w:t>Abgeordneter</w:t>
            </w:r>
            <w:r>
              <w:rPr>
                <w:b/>
              </w:rPr>
              <w:br/>
              <w:t>Toni</w:t>
            </w:r>
            <w:r>
              <w:rPr>
                <w:b/>
              </w:rPr>
              <w:br/>
              <w:t>Schuberl</w:t>
            </w:r>
            <w:r>
              <w:rPr>
                <w:b/>
              </w:rPr>
              <w:br/>
            </w:r>
            <w:r>
              <w:t>(BÜNDNIS 90/DIE GRÜNEN)</w:t>
            </w:r>
            <w:bookmarkStart w:id="57" w:name="Frage_Nr_28"/>
            <w:bookmarkEnd w:id="57"/>
          </w:p>
        </w:tc>
        <w:tc>
          <w:tcPr>
            <w:tcW w:w="7200" w:type="dxa"/>
          </w:tcPr>
          <w:p w14:paraId="37C73B64" w14:textId="37B8C3A9" w:rsidR="009B7130" w:rsidRDefault="009D404B" w:rsidP="009B7130">
            <w:pPr>
              <w:pStyle w:val="LTAnfrageText"/>
            </w:pPr>
            <w:r w:rsidRPr="009D404B">
              <w:rPr>
                <w:szCs w:val="24"/>
              </w:rPr>
              <w:t>Angesichts der Presseberichterstattung (vgl. S</w:t>
            </w:r>
            <w:r w:rsidR="00CA1689">
              <w:rPr>
                <w:szCs w:val="24"/>
              </w:rPr>
              <w:t xml:space="preserve">üddeutsche Zeitung </w:t>
            </w:r>
            <w:r w:rsidRPr="009D404B">
              <w:rPr>
                <w:szCs w:val="24"/>
              </w:rPr>
              <w:t xml:space="preserve"> vom 05.02.2022, Die letzte Chance der Kirche, Seite 44), wonach das Bistum Passau erwägt, insbesondere mit Blick auf ca. 3 000 bisher ungesichteter Personalakten katholischer Geistlicher, ein externes Gutachten zum sexuellen Missbrauchs durch kirchliches Personal im Bistum Passau in Auftrag zu geben, frage ich die Staatsregierung, welche staatsanwaltschaftlichen Ermittlungen gegen Geistliche und andere Mitarbeiter aus dem Bistum Passau geführt werden bzw. wurden, welcher Austausch zwischen staatlichen Behörden mit dem Bistum Passau zu diesem Thema stattgefunden hat und insbesondere wann die Unterlagen, die zur Erstellung des externen Gutachtens herangezogen werden sollen, von den Ermittlungsbehörden beschafft werden bzw. wurden, um gemäß des Legalitätsprinzips den staatlichen Ermittlungen den Vorrang vor kirchlichen Ermittlungen einzuräumen?</w:t>
            </w:r>
          </w:p>
        </w:tc>
      </w:tr>
    </w:tbl>
    <w:p w14:paraId="7BE50051" w14:textId="77777777" w:rsidR="009B7130" w:rsidRDefault="009B7130" w:rsidP="009B7130">
      <w:pPr>
        <w:pStyle w:val="LTUeberschrAntwortRessort"/>
      </w:pPr>
      <w:r>
        <w:t>Antwort des Staatsministeriums der Justiz</w:t>
      </w:r>
    </w:p>
    <w:p w14:paraId="1B4A22E2" w14:textId="14D673E4" w:rsidR="009B7130" w:rsidRDefault="009B7130" w:rsidP="009B7130">
      <w:pPr>
        <w:pStyle w:val="LTAntwortRessortText"/>
      </w:pPr>
      <w:r>
        <w:t>Hinsichtlich staatsanwaltschaftlicher Ermittlungen gegen Geistliche des Bistums Passau wegen sexuellen Missbrauchs wird, sowe</w:t>
      </w:r>
      <w:r w:rsidR="00AC4F5E">
        <w:t>it die Fälle Gegenstand der Stu</w:t>
      </w:r>
      <w:r>
        <w:t xml:space="preserve">die </w:t>
      </w:r>
      <w:r w:rsidR="006F49A4">
        <w:t>„</w:t>
      </w:r>
      <w:r>
        <w:t>Sexueller Missbrauch an Minderjährigen durch katholische Priester, Diakone und männliche Ordensangehörige im Bereich der Deutschen Bischofskonferenz</w:t>
      </w:r>
      <w:r w:rsidR="006F49A4">
        <w:t>“</w:t>
      </w:r>
      <w:r>
        <w:t xml:space="preserve"> (sog. MHG-Studie) waren, auf die Antwort der Staatsregierung auf die Schriftliche Anfrage der Abgeordneten Toni Schuberl und Gabriele Triebel </w:t>
      </w:r>
      <w:r w:rsidR="006F49A4">
        <w:t>„</w:t>
      </w:r>
      <w:r>
        <w:t>Strafrechtliche Konsequenzen aus der Missbrauchsstudie der Katholischen Kirche</w:t>
      </w:r>
      <w:r w:rsidR="006F49A4">
        <w:t>“</w:t>
      </w:r>
      <w:r>
        <w:t xml:space="preserve"> vom 4. Juni 2020</w:t>
      </w:r>
      <w:r w:rsidR="00CA1689">
        <w:t>, Drs. 18/9383,</w:t>
      </w:r>
      <w:r>
        <w:t xml:space="preserve"> Bezug genommen. Der Leitende Ob</w:t>
      </w:r>
      <w:r w:rsidR="00AC4F5E">
        <w:t>erstaatsanwalt in Passau hat er</w:t>
      </w:r>
      <w:r>
        <w:t>gänzend mitgeteilt, dass die Diözese Passau ü</w:t>
      </w:r>
      <w:r w:rsidR="00AC4F5E">
        <w:t>ber die MHG-Studie hinaus insge</w:t>
      </w:r>
      <w:r>
        <w:t>samt vier Verdachtsfälle sexuellen Missbrauchs zur Anzeige gebracht hat. In drei</w:t>
      </w:r>
      <w:r w:rsidR="0026549A">
        <w:t xml:space="preserve"> </w:t>
      </w:r>
      <w:r>
        <w:t>dieser Fälle wurde jeweils aus tatsächlichen Grün</w:t>
      </w:r>
      <w:r w:rsidR="00AC4F5E">
        <w:t>den von der Einleitung eines Ermittlungsverfahrens gemäß § </w:t>
      </w:r>
      <w:r>
        <w:t xml:space="preserve">152 Abs. 2 </w:t>
      </w:r>
      <w:r w:rsidR="00AC4F5E">
        <w:t>der Strafprozessordnung (StPO) abgesehen bzw. ein solches gemäß § </w:t>
      </w:r>
      <w:r>
        <w:t>170 Abs. 2 StPO eingestellt. Der vierte</w:t>
      </w:r>
      <w:r w:rsidR="00AC4F5E">
        <w:t xml:space="preserve"> Fall wurde an die Staatsanwalt</w:t>
      </w:r>
      <w:r>
        <w:t>schaft Deggendorf abgegeben und ist dort noch anhängig. Im Übrigen ist darauf hinzuweisen, dass Ermittlungs- und Strafverfa</w:t>
      </w:r>
      <w:r w:rsidR="00AC4F5E">
        <w:t>hren im Zusammenhang mit sexuel</w:t>
      </w:r>
      <w:r>
        <w:t>lem Missbrauch durch Kirchenangehörige als solche im Fachverfahren web.sta, das in Bayern und in acht weiteren Bundesländern bei den Staatsanwaltschaften verwendet wird, nicht gesondert statistisch erfa</w:t>
      </w:r>
      <w:r w:rsidR="00AC4F5E">
        <w:t>sst werden. Die Frage könnte da</w:t>
      </w:r>
      <w:r>
        <w:t>her nur umfassend beantwortet werden, wenn alle relevanten Verfahrensakten händisch durchgesehen werden. Dies ist innerhalb der für die Beantwortung der Anfrage zur Verfügung stehenden Zeit nicht durchführbar.</w:t>
      </w:r>
    </w:p>
    <w:p w14:paraId="0628EA88" w14:textId="77777777" w:rsidR="0026549A" w:rsidRDefault="009B7130" w:rsidP="009B7130">
      <w:pPr>
        <w:pStyle w:val="LTAntwortRessortText"/>
      </w:pPr>
      <w:r>
        <w:t>Das Bischö</w:t>
      </w:r>
      <w:r w:rsidR="00AC4F5E">
        <w:t>fliche Ordinariat Passau wurde –</w:t>
      </w:r>
      <w:r>
        <w:t xml:space="preserve"> wi</w:t>
      </w:r>
      <w:r w:rsidR="00AC4F5E">
        <w:t>e auch die übrigen Ordinariate –</w:t>
      </w:r>
      <w:r>
        <w:t xml:space="preserve"> unmittelbar nach Vorstellung der MHG-Studi</w:t>
      </w:r>
      <w:r w:rsidR="00AC4F5E">
        <w:t>e durch die Generalstaatsanwalt</w:t>
      </w:r>
      <w:r>
        <w:t>schaft in München aufgefordert, die der MHG-Studie zugrundeliegenden Fälle der Staatsanwaltschaft vorzulegen. Wegen des Ergebnisses der Prüfung dieser Fälle wird auf die obenstehenden Ausführungen Bezug genommen. Darüber hinaus hat die Staatsanwaltschaft Passau mitgeteilt, dass sie seit Veröffentlichung der MHG-Studie mit der Diözese Passau, insbesondere der Kanzlerin des</w:t>
      </w:r>
      <w:r w:rsidR="0026549A">
        <w:t xml:space="preserve"> Ordinariats, in Kontakt stehe.</w:t>
      </w:r>
    </w:p>
    <w:p w14:paraId="6ABA203F" w14:textId="77777777" w:rsidR="009B7130" w:rsidRDefault="009B7130" w:rsidP="009B7130">
      <w:pPr>
        <w:pStyle w:val="LTAntwortRessortText"/>
      </w:pPr>
      <w:r>
        <w:lastRenderedPageBreak/>
        <w:t>Soweit die Diözese Passau nunmehr nach Medi</w:t>
      </w:r>
      <w:r w:rsidR="007B0C4D">
        <w:t>enberichten erwägen soll, insbesondere mit Blick auf ca. 3 </w:t>
      </w:r>
      <w:r>
        <w:t>000 bisher ungesichtete Personalakten ein externes Gutachten in Auftrag zu geben, ergibt sich alleine hieraus nach Auffassung der Generalstaatsanwaltschaft München noch kein</w:t>
      </w:r>
      <w:r w:rsidR="007B0C4D">
        <w:t xml:space="preserve"> Anfangsverdacht im Sinne des § 152 </w:t>
      </w:r>
      <w:r>
        <w:t>Abs. 2 StPO ergeben. Dies gilt umso mehr</w:t>
      </w:r>
      <w:r w:rsidR="007B0C4D">
        <w:t>, als die Personalakten ausweis</w:t>
      </w:r>
      <w:r>
        <w:t>lich des SZ-Berichts vom 5. Februar 2022 den Zeitraum ab Mit</w:t>
      </w:r>
      <w:r w:rsidR="007B0C4D">
        <w:t>te des 19. Jahrhun</w:t>
      </w:r>
      <w:r>
        <w:t>derts betreffen sollen und damit zu einem ganz e</w:t>
      </w:r>
      <w:r w:rsidR="007B0C4D">
        <w:t>rheblichen Teil bereits verstor</w:t>
      </w:r>
      <w:r>
        <w:t>bene Kirchenangehörige. Die Staatsanwaltschaft Passau wird jedoch die Diözese Passau auffordern, im Falle der Erstellung eines Gutachtens die den Gutachtern zur Verfügung zu stellenden Unterlagen auch der Staatsanwaltschaft zur Prüfung vorzulegen.</w:t>
      </w:r>
    </w:p>
    <w:p w14:paraId="0173FD9D" w14:textId="77777777" w:rsidR="009B7130" w:rsidRDefault="009B7130">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B7130" w14:paraId="5B3F1FCB" w14:textId="77777777" w:rsidTr="007B0B33">
        <w:tc>
          <w:tcPr>
            <w:tcW w:w="2050" w:type="dxa"/>
          </w:tcPr>
          <w:p w14:paraId="59D512A7" w14:textId="77777777" w:rsidR="009B7130" w:rsidRDefault="009B7130" w:rsidP="009B7130">
            <w:pPr>
              <w:pStyle w:val="LTAnfrageInitiator"/>
            </w:pPr>
            <w:r>
              <w:lastRenderedPageBreak/>
              <w:t>Abgeordnete</w:t>
            </w:r>
            <w:r>
              <w:rPr>
                <w:b/>
              </w:rPr>
              <w:br/>
              <w:t>Gisela</w:t>
            </w:r>
            <w:r>
              <w:rPr>
                <w:b/>
              </w:rPr>
              <w:br/>
              <w:t>Sengl</w:t>
            </w:r>
            <w:r>
              <w:rPr>
                <w:b/>
              </w:rPr>
              <w:br/>
            </w:r>
            <w:r>
              <w:t>(BÜNDNIS 90/DIE GRÜNEN)</w:t>
            </w:r>
            <w:bookmarkStart w:id="59" w:name="Frage_Nr_29"/>
            <w:bookmarkEnd w:id="59"/>
          </w:p>
        </w:tc>
        <w:tc>
          <w:tcPr>
            <w:tcW w:w="7200" w:type="dxa"/>
          </w:tcPr>
          <w:p w14:paraId="5E39675C" w14:textId="77777777" w:rsidR="009B7130" w:rsidRDefault="009D404B" w:rsidP="009B7130">
            <w:pPr>
              <w:pStyle w:val="LTAnfrageText"/>
            </w:pPr>
            <w:r w:rsidRPr="009D404B">
              <w:rPr>
                <w:szCs w:val="24"/>
              </w:rPr>
              <w:t>Ich frage die Staatsregierung, wie ist der beschlossene Zeitplan für Planung und Bauausführung für die dringend notwendige Sanierung oder Neubau des Sitzungssaalgebäudes im Justizzentrum Traunstein, für welche Verfahrensschritte wurden die Gelder im Haushalt bereits berücksichtigt und nach welchem Energiestandard wird saniert bzw. neu gebaut?</w:t>
            </w:r>
          </w:p>
        </w:tc>
      </w:tr>
    </w:tbl>
    <w:p w14:paraId="1FB393C0" w14:textId="77777777" w:rsidR="009B7130" w:rsidRDefault="009B7130" w:rsidP="009B7130">
      <w:pPr>
        <w:pStyle w:val="LTUeberschrAntwortRessort"/>
      </w:pPr>
      <w:r>
        <w:t>Antwort des Staatsministeriums der Justiz</w:t>
      </w:r>
    </w:p>
    <w:p w14:paraId="473800E5" w14:textId="77777777" w:rsidR="009B7130" w:rsidRDefault="009B7130" w:rsidP="009B7130">
      <w:pPr>
        <w:pStyle w:val="LTAntwortRessortText"/>
      </w:pPr>
      <w:r>
        <w:t>Derzeit werden mit Blick auf eine Hochbaumaß</w:t>
      </w:r>
      <w:r w:rsidR="00C1111F">
        <w:t>nahme zur Erweiterung und Sanie</w:t>
      </w:r>
      <w:r>
        <w:t>rung des Zentraljustizgebäudes in Traunstein die für</w:t>
      </w:r>
      <w:r w:rsidR="00C1111F">
        <w:t xml:space="preserve"> einen Projektantrag erforderli</w:t>
      </w:r>
      <w:r>
        <w:t xml:space="preserve">chen Unterlagen vorbereitet; hierbei werden </w:t>
      </w:r>
      <w:r w:rsidR="006F49A4">
        <w:t>u. a.</w:t>
      </w:r>
      <w:r>
        <w:t xml:space="preserve"> aktuelle Angaben zur Termin</w:t>
      </w:r>
      <w:r w:rsidR="00C1111F">
        <w:t>pla</w:t>
      </w:r>
      <w:r>
        <w:t>nung entwickelt. Bei einer Genehmigung des Projektantrags schließt sich das in Abschn. E Nr. 2 der Richtlinien für die Durchführung von Hochbauaufgaben des Freistaates Bayern (RLBau 2020) vorgesehene Verfahren zur Projektplanung an. Im Haushaltsplan sind Mittel zur Planung der Baumaßnahme veranschlagt; der Regierungsentwurf für den Haushaltsplan 2022 sieht bei Kap. 04 04 Tit. 716 01 (Zentraljustizgebäude in Traunstein, Herzog-Ot</w:t>
      </w:r>
      <w:r w:rsidR="00C1111F">
        <w:t>to-Straße 1, Erweiterung, Umpla</w:t>
      </w:r>
      <w:r>
        <w:t xml:space="preserve">nung, Instandsetzung) Ausgabemittel in Höhe von 400.000 </w:t>
      </w:r>
      <w:r w:rsidR="00C1111F">
        <w:t>Euro und eine Ver</w:t>
      </w:r>
      <w:r>
        <w:t xml:space="preserve">pflichtungsermächtigung in Höhe von 600.000 </w:t>
      </w:r>
      <w:r w:rsidR="00C1111F">
        <w:t>Euro vor. Hinsichtlich des Energie</w:t>
      </w:r>
      <w:r>
        <w:t>standards werden die gesetzlichen Vorgaben des Gebäudeenergiegesetzes (GEG) und der einschlägigen Ministerratsbeschlüsse eingehalten.</w:t>
      </w:r>
    </w:p>
    <w:p w14:paraId="4A872A5B" w14:textId="77777777" w:rsidR="009B7130" w:rsidRDefault="009B7130">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B7130" w14:paraId="1E5880EF" w14:textId="77777777" w:rsidTr="007B0B33">
        <w:tc>
          <w:tcPr>
            <w:tcW w:w="2050" w:type="dxa"/>
          </w:tcPr>
          <w:p w14:paraId="3E70C4BE" w14:textId="77777777" w:rsidR="009B7130" w:rsidRDefault="009B7130" w:rsidP="009B7130">
            <w:pPr>
              <w:pStyle w:val="LTAnfrageInitiator"/>
            </w:pPr>
            <w:r>
              <w:lastRenderedPageBreak/>
              <w:t>Abgeordnete</w:t>
            </w:r>
            <w:r>
              <w:rPr>
                <w:b/>
              </w:rPr>
              <w:br/>
              <w:t>Dr. Sabine</w:t>
            </w:r>
            <w:r>
              <w:rPr>
                <w:b/>
              </w:rPr>
              <w:br/>
              <w:t>Weigand</w:t>
            </w:r>
            <w:r>
              <w:rPr>
                <w:b/>
              </w:rPr>
              <w:br/>
            </w:r>
            <w:r>
              <w:t>(BÜNDNIS 90/DIE GRÜNEN)</w:t>
            </w:r>
            <w:bookmarkStart w:id="61" w:name="Frage_Nr_30"/>
            <w:bookmarkEnd w:id="61"/>
          </w:p>
        </w:tc>
        <w:tc>
          <w:tcPr>
            <w:tcW w:w="7200" w:type="dxa"/>
          </w:tcPr>
          <w:p w14:paraId="07388525" w14:textId="77777777" w:rsidR="009B7130" w:rsidRDefault="009D404B" w:rsidP="009B7130">
            <w:pPr>
              <w:pStyle w:val="LTAnfrageText"/>
            </w:pPr>
            <w:r w:rsidRPr="009D404B">
              <w:rPr>
                <w:szCs w:val="24"/>
              </w:rPr>
              <w:t>Angesichts der Eröffnung eines Verfahrens vor der Staatsschutzkammer des Landgerichts München gegen drei Männer aus der rechtsextremen Szene wegen Verstößen gegen das Kriegswaffenkontrollgesetz und das Waffengesetz, frage ich die Staatsregierung, wann mit der Eröffnung der Verfahren gegen die weiteren an dem Schmuggel von Kriegswaffen aus Kroatien beteiligten 14 Personen zu rechnen ist, vor welchen Gerichten jeweils die Verfahren stattfinden werden und ob es neue Erkenntnisse zum Verbleib der geschmuggelten Kriegswaffen gibt?</w:t>
            </w:r>
          </w:p>
        </w:tc>
      </w:tr>
    </w:tbl>
    <w:p w14:paraId="445715E8" w14:textId="77777777" w:rsidR="009B7130" w:rsidRDefault="009B7130" w:rsidP="009B7130">
      <w:pPr>
        <w:pStyle w:val="LTUeberschrAntwortRessort"/>
      </w:pPr>
      <w:r>
        <w:t>Antwort des Staatsministeriums der Justiz</w:t>
      </w:r>
    </w:p>
    <w:p w14:paraId="5BF05140" w14:textId="77777777" w:rsidR="009B7130" w:rsidRDefault="009B7130" w:rsidP="009B7130">
      <w:pPr>
        <w:pStyle w:val="LTAntwortRessortText"/>
      </w:pPr>
      <w:r>
        <w:t>Laut Mitteilung der Zentralstelle zur Bekämpfu</w:t>
      </w:r>
      <w:r w:rsidR="00E774D3">
        <w:t>ng von Extremismus und Terroris</w:t>
      </w:r>
      <w:r>
        <w:t>mus (ZET) bei der Generalstaatsanwaltschaft München ergeben sich hinsichtlich der weiteren Beschuldigten aus dem betreffenden Verfahrenskomplex folgende Verfahrensstände:</w:t>
      </w:r>
    </w:p>
    <w:p w14:paraId="2D69FAA3" w14:textId="77777777" w:rsidR="009B7130" w:rsidRDefault="009B7130" w:rsidP="00C5112F">
      <w:pPr>
        <w:pStyle w:val="LTAntwortRessortText"/>
        <w:numPr>
          <w:ilvl w:val="1"/>
          <w:numId w:val="25"/>
        </w:numPr>
        <w:ind w:left="1020" w:hanging="340"/>
      </w:pPr>
      <w:r>
        <w:t>Das Strafverfahren gegen eine Person ist be</w:t>
      </w:r>
      <w:r w:rsidR="00E774D3">
        <w:t>reits rechtskräftig durch Straf</w:t>
      </w:r>
      <w:r>
        <w:t xml:space="preserve">befehl des Amtsgerichts München (Geldstrafe in Höhe </w:t>
      </w:r>
      <w:r w:rsidR="00E774D3">
        <w:t>von 197 Tsd. zu je 15 </w:t>
      </w:r>
      <w:r>
        <w:t>Euro) abgeschlossen.</w:t>
      </w:r>
    </w:p>
    <w:p w14:paraId="55C118C1" w14:textId="77777777" w:rsidR="009B7130" w:rsidRDefault="009B7130" w:rsidP="00C5112F">
      <w:pPr>
        <w:pStyle w:val="LTAntwortRessortText"/>
        <w:numPr>
          <w:ilvl w:val="1"/>
          <w:numId w:val="25"/>
        </w:numPr>
        <w:ind w:left="1020" w:hanging="340"/>
      </w:pPr>
      <w:r>
        <w:t xml:space="preserve">Gegen vier weitere Personen ist bei dem </w:t>
      </w:r>
      <w:r w:rsidR="00E774D3">
        <w:t>Landgericht München I ein weite</w:t>
      </w:r>
      <w:r>
        <w:t>res Strafverfahren anhängig. Das Hauptverfahren ist eröffnet. Termine zur mündlichen Hauptverhandlung stehen noch nicht fest.</w:t>
      </w:r>
    </w:p>
    <w:p w14:paraId="6BDF8046" w14:textId="77777777" w:rsidR="009B7130" w:rsidRDefault="009B7130" w:rsidP="00C5112F">
      <w:pPr>
        <w:pStyle w:val="LTAntwortRessortText"/>
        <w:numPr>
          <w:ilvl w:val="1"/>
          <w:numId w:val="25"/>
        </w:numPr>
        <w:ind w:left="1020" w:hanging="340"/>
      </w:pPr>
      <w:r>
        <w:t>Gegen eine weitere Person wurde das Strafverfahren abgetrennt und die Anklage vor dem Amtsgericht München eröffnet. Termine zur mündlichen Hauptverhandlung stehen ebenfalls noc</w:t>
      </w:r>
      <w:r w:rsidR="00C5112F">
        <w:t>h nicht fest.</w:t>
      </w:r>
    </w:p>
    <w:p w14:paraId="7848E74D" w14:textId="77777777" w:rsidR="009B7130" w:rsidRDefault="009B7130" w:rsidP="00C5112F">
      <w:pPr>
        <w:pStyle w:val="LTAntwortRessortText"/>
        <w:numPr>
          <w:ilvl w:val="1"/>
          <w:numId w:val="25"/>
        </w:numPr>
        <w:ind w:left="1020" w:hanging="340"/>
      </w:pPr>
      <w:r>
        <w:t>Gegen eine weitere Person wurde bei dem Amtsgericht Ebersberg Anklage erhoben. Über die Eröffnung des Haupt</w:t>
      </w:r>
      <w:r w:rsidR="00E774D3">
        <w:t>verfahrens wurde noch nicht ent</w:t>
      </w:r>
      <w:r>
        <w:t>schieden.</w:t>
      </w:r>
    </w:p>
    <w:p w14:paraId="1FDE6824" w14:textId="77777777" w:rsidR="009B7130" w:rsidRDefault="009B7130" w:rsidP="00C5112F">
      <w:pPr>
        <w:pStyle w:val="LTAntwortRessortText"/>
        <w:numPr>
          <w:ilvl w:val="1"/>
          <w:numId w:val="25"/>
        </w:numPr>
        <w:ind w:left="1020" w:hanging="340"/>
      </w:pPr>
      <w:r>
        <w:t>Gegen eine weitere Person ist ein Strafv</w:t>
      </w:r>
      <w:r w:rsidR="00E774D3">
        <w:t>erfahren bei dem Amtsgericht Ro</w:t>
      </w:r>
      <w:r>
        <w:t>senheim anhängig. Termin zur mündl</w:t>
      </w:r>
      <w:r w:rsidR="00E774D3">
        <w:t>ichen Hauptverhandlung wurde be</w:t>
      </w:r>
      <w:r>
        <w:t>stimmt auf 03.03.2022.</w:t>
      </w:r>
    </w:p>
    <w:p w14:paraId="324DE799" w14:textId="77777777" w:rsidR="009B7130" w:rsidRDefault="009B7130" w:rsidP="00C5112F">
      <w:pPr>
        <w:pStyle w:val="LTAntwortRessortText"/>
        <w:numPr>
          <w:ilvl w:val="1"/>
          <w:numId w:val="25"/>
        </w:numPr>
        <w:ind w:left="1020" w:hanging="340"/>
      </w:pPr>
      <w:r>
        <w:t xml:space="preserve">Gegen eine weitere Person wurde bei </w:t>
      </w:r>
      <w:r w:rsidR="00E774D3">
        <w:t>dem Amtsgericht Weilheim der Er</w:t>
      </w:r>
      <w:r>
        <w:t>lass eines Strafbefehls beantragt.</w:t>
      </w:r>
    </w:p>
    <w:p w14:paraId="71BAAD19" w14:textId="77777777" w:rsidR="009B7130" w:rsidRDefault="009B7130" w:rsidP="00C5112F">
      <w:pPr>
        <w:pStyle w:val="LTAntwortRessortText"/>
        <w:numPr>
          <w:ilvl w:val="1"/>
          <w:numId w:val="25"/>
        </w:numPr>
        <w:ind w:left="1020" w:hanging="340"/>
      </w:pPr>
      <w:r>
        <w:t>Gegen fünf weitere Personen wurde da</w:t>
      </w:r>
      <w:r w:rsidR="00E774D3">
        <w:t>s Verfahren jeweils an Staatsan</w:t>
      </w:r>
      <w:r>
        <w:t>waltschaften außerhalb Bayerns abgegeben. Insoweit liegen zu möglichen gerichtlichen Verfahren keine Informationen vor.</w:t>
      </w:r>
    </w:p>
    <w:p w14:paraId="218F9417" w14:textId="77777777" w:rsidR="009B7130" w:rsidRDefault="009B7130" w:rsidP="009B7130">
      <w:pPr>
        <w:pStyle w:val="LTAntwortRessortText"/>
      </w:pPr>
      <w:r>
        <w:t>Soweit nach Erkenntnissen zum Verbleib der</w:t>
      </w:r>
      <w:r w:rsidR="00E774D3">
        <w:t xml:space="preserve"> geschmuggelten Kriegswaffen ge</w:t>
      </w:r>
      <w:r>
        <w:t>fragt wird, ist eine Beantwortung nicht möglich, da hierdurch nach Einschätzung der ZET laufende Ermittlungen sowie gerichtliche Strafverfahren beeinträchtigt werden könnten.</w:t>
      </w:r>
    </w:p>
    <w:p w14:paraId="1C310183" w14:textId="77777777" w:rsidR="009B7130" w:rsidRDefault="009B7130">
      <w:bookmarkStart w:id="62" w:name="Frage_Nr_30_Ende"/>
      <w:bookmarkEnd w:id="62"/>
      <w:r>
        <w:br w:type="page"/>
      </w:r>
    </w:p>
    <w:p w14:paraId="1F13B930" w14:textId="77777777" w:rsidR="009B7130" w:rsidRDefault="009B7130" w:rsidP="009B7130">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B7130" w14:paraId="1E01C133" w14:textId="77777777" w:rsidTr="007B0B33">
        <w:tc>
          <w:tcPr>
            <w:tcW w:w="2050" w:type="dxa"/>
          </w:tcPr>
          <w:p w14:paraId="52B41B90" w14:textId="77777777" w:rsidR="009B7130" w:rsidRDefault="009B7130" w:rsidP="009B7130">
            <w:pPr>
              <w:pStyle w:val="LTAnfrageInitiator"/>
            </w:pPr>
            <w:r>
              <w:t>Abgeordneter</w:t>
            </w:r>
            <w:r>
              <w:rPr>
                <w:b/>
              </w:rPr>
              <w:br/>
              <w:t>Maximilian</w:t>
            </w:r>
            <w:r>
              <w:rPr>
                <w:b/>
              </w:rPr>
              <w:br/>
              <w:t>Deisenhofer</w:t>
            </w:r>
            <w:r>
              <w:rPr>
                <w:b/>
              </w:rPr>
              <w:br/>
            </w:r>
            <w:r>
              <w:t>(BÜNDNIS 90/DIE GRÜNEN)</w:t>
            </w:r>
            <w:bookmarkStart w:id="63" w:name="Frage_Nr_31"/>
            <w:bookmarkEnd w:id="63"/>
          </w:p>
        </w:tc>
        <w:tc>
          <w:tcPr>
            <w:tcW w:w="7200" w:type="dxa"/>
          </w:tcPr>
          <w:p w14:paraId="629234D5" w14:textId="77777777" w:rsidR="009B7130" w:rsidRDefault="009D404B" w:rsidP="009B7130">
            <w:pPr>
              <w:pStyle w:val="LTAnfrageText"/>
            </w:pPr>
            <w:r w:rsidRPr="009D404B">
              <w:rPr>
                <w:szCs w:val="24"/>
              </w:rPr>
              <w:t>Ich frage die Staatsregierung, welches neue Modellprojekt zur Digitalen Schule für 250 Schulen mit digitaler Vollausstattung der Schülerinnen bzw. Schülern ist geplant, warum wird erneut ein Modellprojekt durchgeführt, statt endlich für eine flächendeckende digitale Ausstattung der Schulen zu sorgen und wie gestaltet sich das Bewerbungsverfahren auf das Projekt (bitte u. a. Zeitraum des Verfahrens, Auswahlkriterien sowie Start des Projekts angeben)?</w:t>
            </w:r>
          </w:p>
        </w:tc>
      </w:tr>
    </w:tbl>
    <w:p w14:paraId="445D71A2" w14:textId="77777777" w:rsidR="009B7130" w:rsidRDefault="009B7130" w:rsidP="009B7130">
      <w:pPr>
        <w:pStyle w:val="LTUeberschrAntwortRessort"/>
      </w:pPr>
      <w:r>
        <w:t>Antwort des Staatsministeriums für Unterricht und Kultus</w:t>
      </w:r>
    </w:p>
    <w:p w14:paraId="4FDD1EDB" w14:textId="77777777" w:rsidR="009B7130" w:rsidRDefault="009B7130" w:rsidP="009B7130">
      <w:pPr>
        <w:pStyle w:val="LTAntwortRessortText"/>
      </w:pPr>
      <w:r>
        <w:t>Der Ministerrat hat in seiner Sitzung am 7. Dezember 2021 die Durchführung des</w:t>
      </w:r>
      <w:r w:rsidR="00AF7DFB">
        <w:t xml:space="preserve"> </w:t>
      </w:r>
      <w:r>
        <w:t xml:space="preserve">Pilotversuchs </w:t>
      </w:r>
      <w:r w:rsidR="006F49A4">
        <w:t>„</w:t>
      </w:r>
      <w:r>
        <w:t>Digitale Schule der Zukunft</w:t>
      </w:r>
      <w:r w:rsidR="006F49A4">
        <w:t>“</w:t>
      </w:r>
      <w:r>
        <w:t xml:space="preserve"> beschlossen. In diesem Rahmen soll im</w:t>
      </w:r>
      <w:r w:rsidR="00AF7DFB">
        <w:t xml:space="preserve"> </w:t>
      </w:r>
      <w:r>
        <w:t>Schuljahr 2022/2023 an bis zu 250 ausgewählten Pilotschulen die Digitalisierung als</w:t>
      </w:r>
      <w:r w:rsidR="00AF7DFB">
        <w:t xml:space="preserve"> </w:t>
      </w:r>
      <w:r>
        <w:t>umfassender Schulentwicklungsprozess in den Blick genommen werden.</w:t>
      </w:r>
    </w:p>
    <w:p w14:paraId="70F58A94" w14:textId="77777777" w:rsidR="009B7130" w:rsidRDefault="009B7130" w:rsidP="009B7130">
      <w:pPr>
        <w:pStyle w:val="LTAntwortRessortText"/>
      </w:pPr>
      <w:r>
        <w:t>Im Rahmen des Pilotversuchs sollen innovative pädagogisch-didaktische Rahmen</w:t>
      </w:r>
      <w:r w:rsidR="009A49B7">
        <w:t xml:space="preserve"> </w:t>
      </w:r>
      <w:r>
        <w:t>und</w:t>
      </w:r>
      <w:r w:rsidR="00AF7DFB">
        <w:t xml:space="preserve"> </w:t>
      </w:r>
      <w:r>
        <w:t>Unterrichtskonzepte entwickelt, erprobt und implementiert, die digitalen</w:t>
      </w:r>
      <w:r w:rsidR="00AF7DFB">
        <w:t xml:space="preserve"> </w:t>
      </w:r>
      <w:r>
        <w:t>Kompetenzen der Lehrkräfte weiter vertieft, administrative Abläufe digitalisiert und</w:t>
      </w:r>
      <w:r w:rsidR="00AF7DFB">
        <w:t xml:space="preserve"> </w:t>
      </w:r>
      <w:r>
        <w:t xml:space="preserve">die digitale Infrastruktur an den Schulen weiterentwickelt werden. Die </w:t>
      </w:r>
      <w:r w:rsidR="006F49A4">
        <w:t>„</w:t>
      </w:r>
      <w:r>
        <w:t>Digitalen</w:t>
      </w:r>
      <w:r w:rsidR="00AF7DFB">
        <w:t xml:space="preserve"> </w:t>
      </w:r>
      <w:r>
        <w:t>Schule der Zukunft</w:t>
      </w:r>
      <w:r w:rsidR="006F49A4">
        <w:t>“</w:t>
      </w:r>
      <w:r>
        <w:t xml:space="preserve"> greift Erfahrungen und Entwicklungen im digitalen Bereich</w:t>
      </w:r>
      <w:r w:rsidR="00AF7DFB">
        <w:t xml:space="preserve"> </w:t>
      </w:r>
      <w:r w:rsidR="009A49B7">
        <w:t>während der Coronap</w:t>
      </w:r>
      <w:r>
        <w:t>andemie auf und fokussiert in einem breiten Ansatz die</w:t>
      </w:r>
      <w:r w:rsidR="00AF7DFB">
        <w:t xml:space="preserve"> </w:t>
      </w:r>
      <w:r>
        <w:t>digitalisierungsbezogene Schul- und Unterrichtsentwicklung ausgehend von einem</w:t>
      </w:r>
      <w:r w:rsidR="00AF7DFB">
        <w:t xml:space="preserve"> </w:t>
      </w:r>
      <w:r>
        <w:t>niederschwelligen Zugang zu einem personenbezogenen digitalen Endgerät als</w:t>
      </w:r>
      <w:r w:rsidR="00AF7DFB">
        <w:t xml:space="preserve"> </w:t>
      </w:r>
      <w:r>
        <w:t>Basis des selbstverständlichen Neben- und Miteinander analoger und digital</w:t>
      </w:r>
      <w:r w:rsidR="00AF7DFB">
        <w:t xml:space="preserve"> </w:t>
      </w:r>
      <w:r>
        <w:t>gestützter Lernsettings im Klassenzimmer sowie beim Lernen zuhause. Dabei</w:t>
      </w:r>
      <w:r w:rsidR="00AF7DFB">
        <w:t xml:space="preserve"> </w:t>
      </w:r>
      <w:r>
        <w:t>werden auch Erfahrungen vorangehender Schulversuche berücksichtigt und</w:t>
      </w:r>
      <w:r w:rsidR="00AF7DFB">
        <w:t xml:space="preserve"> </w:t>
      </w:r>
      <w:r>
        <w:t>integriert.</w:t>
      </w:r>
    </w:p>
    <w:p w14:paraId="16D2337F" w14:textId="48A45838" w:rsidR="009B7130" w:rsidRDefault="009B7130" w:rsidP="009B7130">
      <w:pPr>
        <w:pStyle w:val="LTAntwortRessortText"/>
      </w:pPr>
      <w:r>
        <w:t xml:space="preserve">Ein wichtiger Bestandteil wird die Implementierung und Erprobung eines </w:t>
      </w:r>
      <w:r w:rsidR="00546EA2">
        <w:t>Eins-zu-eins</w:t>
      </w:r>
      <w:r>
        <w:t>-Ausstattungskonzepts sein. Hi</w:t>
      </w:r>
      <w:r w:rsidR="009A49B7">
        <w:t>erfür stehen Haushaltsmittel i. H. </w:t>
      </w:r>
      <w:r>
        <w:t>v. 16 Mio. Euro zur</w:t>
      </w:r>
      <w:r w:rsidR="00AF7DFB">
        <w:t xml:space="preserve"> </w:t>
      </w:r>
      <w:r>
        <w:t>Verfügung, insbesondere um die Ausstattung von Schülerinnen und Schülern</w:t>
      </w:r>
      <w:r w:rsidR="00AF7DFB">
        <w:t xml:space="preserve"> </w:t>
      </w:r>
      <w:r>
        <w:t>ausgewählter Jahrgangsstufen an den Pilotschulen mit eigenen mobilen Endgeräten</w:t>
      </w:r>
      <w:r w:rsidR="00AF7DFB">
        <w:t xml:space="preserve"> </w:t>
      </w:r>
      <w:r>
        <w:t>zu unterstützen. Details zum Bewerbungsverfahren werden derzeit abgestimmt.</w:t>
      </w:r>
    </w:p>
    <w:p w14:paraId="190E5FFD" w14:textId="77777777" w:rsidR="009B7130" w:rsidRDefault="009B7130">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9"/>
        <w:gridCol w:w="5727"/>
      </w:tblGrid>
      <w:tr w:rsidR="009B7130" w14:paraId="47C10027" w14:textId="77777777" w:rsidTr="007B0B33">
        <w:tc>
          <w:tcPr>
            <w:tcW w:w="2050" w:type="dxa"/>
          </w:tcPr>
          <w:p w14:paraId="57852003" w14:textId="77777777" w:rsidR="009B7130" w:rsidRDefault="009B7130" w:rsidP="009B7130">
            <w:pPr>
              <w:pStyle w:val="LTAnfrageInitiator"/>
            </w:pPr>
            <w:r>
              <w:lastRenderedPageBreak/>
              <w:t>Abgeordneter</w:t>
            </w:r>
            <w:r>
              <w:rPr>
                <w:b/>
              </w:rPr>
              <w:br/>
              <w:t>Matthias</w:t>
            </w:r>
            <w:r>
              <w:rPr>
                <w:b/>
              </w:rPr>
              <w:br/>
              <w:t>Fischbach</w:t>
            </w:r>
            <w:r>
              <w:rPr>
                <w:b/>
              </w:rPr>
              <w:br/>
            </w:r>
            <w:r>
              <w:t>(FDP)</w:t>
            </w:r>
            <w:bookmarkStart w:id="65" w:name="Frage_Nr_32"/>
            <w:bookmarkEnd w:id="65"/>
          </w:p>
        </w:tc>
        <w:tc>
          <w:tcPr>
            <w:tcW w:w="7200" w:type="dxa"/>
          </w:tcPr>
          <w:p w14:paraId="2929E849" w14:textId="5C299FC1" w:rsidR="009B7130" w:rsidRDefault="009D404B" w:rsidP="009B7130">
            <w:pPr>
              <w:pStyle w:val="LTAnfrageText"/>
            </w:pPr>
            <w:r w:rsidRPr="009D404B">
              <w:rPr>
                <w:szCs w:val="24"/>
              </w:rPr>
              <w:t xml:space="preserve">Vor dem Hintergrund der am 21. Januar 2022 bekanntgemachten Änderungen an der Richtlinie zur Förderung von Investitionskosten für technische Maßnahmen zum infektionsschutzgerechten Lüften in Schulen (FILS-R-N) und den Äußerungen des Staatsministers </w:t>
            </w:r>
            <w:r w:rsidR="009562DA">
              <w:rPr>
                <w:szCs w:val="24"/>
              </w:rPr>
              <w:t xml:space="preserve">Prof. </w:t>
            </w:r>
            <w:r w:rsidRPr="009D404B">
              <w:rPr>
                <w:szCs w:val="24"/>
              </w:rPr>
              <w:t>Dr. Michael Piazolo vom 17. Januar 2022 („Über 70 Prozent der Klassenräume in Bayern verfügen über einen mobilen Luftreiniger, der nach bayerischen Programmen entsprechend finanziert ist.“) frage ich die Staatsregierung, für wie viele Klassenräume wurde nach der Landesförderrichtlinien FILS-R-N eine Förderung beantragt, bewilligt und ausgezahlt (bitte einzelne Summen je Status im Förderverfahren nennen und dazu auch das damit verbundene Fördervolumen in Euro darstellen sowie auf mittlerweile zurückgezogene Anträge eingehen), wie viele Mittel sind vor dem Hintergrund der neu in die FILS-R-N aufgenommenen Nr. 8.4, die einen Hinweis auf eine mögliche Überzeichnung des Förderprogramms gibt, aktuell noch nicht gebunden bzw. für neue Anträge noch verfügbar und wie viele Räume an bayerischen Schulen entsprechend der Meldungen über das Schulportal (vgl. Kultusministerielles Schreiben vom 27. August 2021) je Monat seit September 2021 mit Raumluftreinigern ausgestattet wurden (bitte Aufschlüsseln nach Ausstattung der Räume in absoluten und relativen Zahlen – möglichst auf Kreisebene – für die Einzelmonate seit September 2021)?</w:t>
            </w:r>
          </w:p>
        </w:tc>
      </w:tr>
    </w:tbl>
    <w:p w14:paraId="522FA485" w14:textId="77777777" w:rsidR="009B7130" w:rsidRDefault="009B7130" w:rsidP="009B7130">
      <w:pPr>
        <w:pStyle w:val="LTUeberschrAntwortRessort"/>
      </w:pPr>
      <w:r>
        <w:t>Antwort des Staatsministeriums für Unterricht und Kultus</w:t>
      </w:r>
    </w:p>
    <w:p w14:paraId="08C75FAE" w14:textId="77777777" w:rsidR="009B7130" w:rsidRDefault="009B7130" w:rsidP="009B7130">
      <w:pPr>
        <w:pStyle w:val="LTAntwortRessortText"/>
      </w:pPr>
      <w:r>
        <w:t xml:space="preserve">Im Rahmen der begleitenden Evaluierung des Förderprogramm </w:t>
      </w:r>
      <w:r w:rsidR="00017FCF">
        <w:t>Richtlinie zur Förderung von Investitionskosten für technische Maßnahmen zum infektionsschutzgerechten Lüften in Schulen (</w:t>
      </w:r>
      <w:r>
        <w:t>FILS-R-N</w:t>
      </w:r>
      <w:r w:rsidR="00017FCF">
        <w:t>)</w:t>
      </w:r>
      <w:r>
        <w:t xml:space="preserve"> wurden die</w:t>
      </w:r>
      <w:r w:rsidR="00941B1A">
        <w:t xml:space="preserve"> </w:t>
      </w:r>
      <w:r>
        <w:t>Regierungen als Bewilligungsbehörden im laufenden Förderverfahren um</w:t>
      </w:r>
      <w:r w:rsidR="00941B1A">
        <w:t xml:space="preserve"> </w:t>
      </w:r>
      <w:r>
        <w:t>Übermittlung des um Antragsrücknahmen etc. bereinigten Zwischenstands zum</w:t>
      </w:r>
      <w:r w:rsidR="00941B1A">
        <w:t xml:space="preserve"> </w:t>
      </w:r>
      <w:r>
        <w:t>15.02.2022 gebeten. Auf Basis dieser übermittelten Daten beläuft sich die Zahl der</w:t>
      </w:r>
      <w:r w:rsidR="00941B1A">
        <w:t xml:space="preserve"> </w:t>
      </w:r>
      <w:r>
        <w:t>zur För</w:t>
      </w:r>
      <w:r w:rsidR="00017FCF">
        <w:t>derung beantragten Räume auf 39 </w:t>
      </w:r>
      <w:r>
        <w:t>751; an Fördermitteln wurden rd. 68,03</w:t>
      </w:r>
      <w:r w:rsidR="00941B1A">
        <w:t xml:space="preserve"> </w:t>
      </w:r>
      <w:r>
        <w:t>Mio. Euro beantragt und rd. 49,22 Mio. Euro bewilligt. Die Auszahlung erfolgt</w:t>
      </w:r>
      <w:r w:rsidR="00941B1A">
        <w:t xml:space="preserve"> </w:t>
      </w:r>
      <w:r>
        <w:t>sukzessive nach Vorlage des Verwendungsnachweises.</w:t>
      </w:r>
    </w:p>
    <w:p w14:paraId="63AE561F" w14:textId="77777777" w:rsidR="009B7130" w:rsidRDefault="009B7130" w:rsidP="009B7130">
      <w:pPr>
        <w:pStyle w:val="LTAntwortRessortText"/>
      </w:pPr>
      <w:r>
        <w:t>Von den auf den Ressortbereich des Staatsministeriums für Unterricht und Kultus für</w:t>
      </w:r>
      <w:r w:rsidR="00941B1A">
        <w:t xml:space="preserve"> </w:t>
      </w:r>
      <w:r>
        <w:t xml:space="preserve">die Neuauflage der Förderung in Höhe von 105,825 </w:t>
      </w:r>
      <w:r w:rsidR="00017FCF">
        <w:t>Mio.</w:t>
      </w:r>
      <w:r>
        <w:t xml:space="preserve"> Euro entfallenden</w:t>
      </w:r>
      <w:r w:rsidR="00941B1A">
        <w:t xml:space="preserve"> </w:t>
      </w:r>
      <w:r w:rsidR="00017FCF">
        <w:t>Mitteln sind –</w:t>
      </w:r>
      <w:r>
        <w:t xml:space="preserve"> nach Abzug der zur Kofinanzierung der Maßnahmen im parallelen</w:t>
      </w:r>
      <w:r w:rsidR="00941B1A">
        <w:t xml:space="preserve"> </w:t>
      </w:r>
      <w:r>
        <w:t xml:space="preserve">Bundesprogramm </w:t>
      </w:r>
      <w:r w:rsidR="006F49A4">
        <w:t>„</w:t>
      </w:r>
      <w:r>
        <w:t>VV Mobile Luftreiniger 2021</w:t>
      </w:r>
      <w:r w:rsidR="006F49A4">
        <w:t>“</w:t>
      </w:r>
      <w:r w:rsidR="00017FCF">
        <w:t xml:space="preserve"> benötigten Mittel –</w:t>
      </w:r>
      <w:r>
        <w:t xml:space="preserve"> noch rund 46,4</w:t>
      </w:r>
      <w:r w:rsidR="00017FCF">
        <w:t> Mio. </w:t>
      </w:r>
      <w:r>
        <w:t>Euro für neue Anträge verfügbar.</w:t>
      </w:r>
    </w:p>
    <w:p w14:paraId="322AE124" w14:textId="77777777" w:rsidR="009B7130" w:rsidRDefault="009B7130" w:rsidP="009B7130">
      <w:pPr>
        <w:pStyle w:val="LTAntwortRessortText"/>
      </w:pPr>
      <w:r>
        <w:t xml:space="preserve">Die mit dem genannten </w:t>
      </w:r>
      <w:r w:rsidR="00017FCF">
        <w:t>Kultusministeriellen Schreiben</w:t>
      </w:r>
      <w:r>
        <w:t xml:space="preserve"> initiierte Schulabfrage sollte insbesondere Erkenntnisse</w:t>
      </w:r>
      <w:r w:rsidR="00941B1A">
        <w:t xml:space="preserve"> </w:t>
      </w:r>
      <w:r>
        <w:t>dazu liefern, ob die Zahl der mit mobilen Luftreinigungsgeräten ausgestatteten</w:t>
      </w:r>
      <w:r w:rsidR="00941B1A">
        <w:t xml:space="preserve"> </w:t>
      </w:r>
      <w:r>
        <w:t>Räume ansteigt. Die Zahl der von den Schulen als mit mobilen Luftreinigungsgeräten</w:t>
      </w:r>
      <w:r w:rsidR="00941B1A">
        <w:t xml:space="preserve"> </w:t>
      </w:r>
      <w:r>
        <w:t>ausgestattet angegebenen Räume enthält einerseits auch Geräte, die außerhalb der</w:t>
      </w:r>
      <w:r w:rsidR="00941B1A">
        <w:t xml:space="preserve"> </w:t>
      </w:r>
      <w:r>
        <w:t xml:space="preserve">Förderprogramme </w:t>
      </w:r>
      <w:r w:rsidR="006F49A4">
        <w:t>z. B.</w:t>
      </w:r>
      <w:r>
        <w:t xml:space="preserve"> durch Elterninitiativen beschafft werden, sie enthält</w:t>
      </w:r>
      <w:r w:rsidR="00941B1A">
        <w:t xml:space="preserve"> </w:t>
      </w:r>
      <w:r>
        <w:t>andererseits aber nicht diejenigen Räume, für deren in Kürze vorgesehene</w:t>
      </w:r>
      <w:r w:rsidR="00941B1A">
        <w:t xml:space="preserve"> </w:t>
      </w:r>
      <w:r>
        <w:t>Ausstattung die Schulaufwandsträger bereits eine staatliche Förderung beantragt</w:t>
      </w:r>
      <w:r w:rsidR="00941B1A">
        <w:t xml:space="preserve"> </w:t>
      </w:r>
      <w:r>
        <w:t>haben. Die Schulabfrage ist daher eine Erkenntnishilfe zur Entwicklung, aber kein</w:t>
      </w:r>
      <w:r w:rsidR="00941B1A">
        <w:t xml:space="preserve"> </w:t>
      </w:r>
      <w:r>
        <w:t>aktuelles Abbi</w:t>
      </w:r>
      <w:r w:rsidR="00017FCF">
        <w:t>ld der tatsächlichen Situation –</w:t>
      </w:r>
      <w:r>
        <w:t xml:space="preserve"> dies schon </w:t>
      </w:r>
      <w:r>
        <w:lastRenderedPageBreak/>
        <w:t>deshalb, weil die Schulen</w:t>
      </w:r>
      <w:r w:rsidR="00941B1A">
        <w:t xml:space="preserve"> </w:t>
      </w:r>
      <w:r>
        <w:t>aufgrund der mannigfachen Anforderungen in der Pandemie ihre Daten im</w:t>
      </w:r>
      <w:r w:rsidR="00941B1A">
        <w:t xml:space="preserve"> </w:t>
      </w:r>
      <w:r>
        <w:t>Schulportal z.</w:t>
      </w:r>
      <w:r w:rsidR="00017FCF">
        <w:t> </w:t>
      </w:r>
      <w:r>
        <w:t>T. nicht zeitnah aktualisieren können.</w:t>
      </w:r>
      <w:r w:rsidR="00941B1A">
        <w:t xml:space="preserve"> </w:t>
      </w:r>
      <w:r>
        <w:t>Viele Schulen haben im Portal noch keine Angaben zur Ausstattung mit mobilen</w:t>
      </w:r>
      <w:r w:rsidR="00941B1A">
        <w:t xml:space="preserve"> </w:t>
      </w:r>
      <w:r>
        <w:t>Lüftern gemacht bzw. seit 01.10.2021 ihre Daten nicht mehr aktualisiert. Die im</w:t>
      </w:r>
      <w:r w:rsidR="00941B1A">
        <w:t xml:space="preserve"> </w:t>
      </w:r>
      <w:r>
        <w:t>Portal gemeldete Zahl an Lüftern ist deswegen nicht repräsentativ für die tatsächliche</w:t>
      </w:r>
      <w:r w:rsidR="00941B1A">
        <w:t xml:space="preserve"> </w:t>
      </w:r>
      <w:r>
        <w:t>Ausstattung der Schulen mit mobilen Lüftern. Mit den Antragszahlen des</w:t>
      </w:r>
      <w:r w:rsidR="00941B1A">
        <w:t xml:space="preserve"> </w:t>
      </w:r>
      <w:r>
        <w:t>Förderprogramms haben wir ohnehin inzwischen ein viel besseres Instrument, um</w:t>
      </w:r>
      <w:r w:rsidR="00941B1A">
        <w:t xml:space="preserve"> </w:t>
      </w:r>
      <w:r>
        <w:t>die aktuelle Ausstattung an den Schulen abschätzen zu können, da hier konkrete</w:t>
      </w:r>
      <w:r w:rsidR="00941B1A">
        <w:t xml:space="preserve"> </w:t>
      </w:r>
      <w:r>
        <w:t>Beschaffungen mit Förderanträgen dahinterstecken. Die Zahl der zur Förderung</w:t>
      </w:r>
      <w:r w:rsidR="00941B1A">
        <w:t xml:space="preserve"> </w:t>
      </w:r>
      <w:r>
        <w:t xml:space="preserve">beantragten Räume liegt aktuell über alle </w:t>
      </w:r>
      <w:r w:rsidR="00017FCF">
        <w:t>Förderrunden hinweg bei rund 54 </w:t>
      </w:r>
      <w:r>
        <w:t>000</w:t>
      </w:r>
      <w:r w:rsidR="00941B1A">
        <w:t xml:space="preserve"> </w:t>
      </w:r>
      <w:r>
        <w:t>Räumen.</w:t>
      </w:r>
    </w:p>
    <w:p w14:paraId="320C01EA" w14:textId="77777777" w:rsidR="009B7130" w:rsidRDefault="009B7130">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9B7130" w14:paraId="5BC2CF69" w14:textId="77777777" w:rsidTr="007B0B33">
        <w:tc>
          <w:tcPr>
            <w:tcW w:w="2050" w:type="dxa"/>
          </w:tcPr>
          <w:p w14:paraId="11B22DB3" w14:textId="77777777" w:rsidR="009B7130" w:rsidRDefault="009B7130" w:rsidP="009B7130">
            <w:pPr>
              <w:pStyle w:val="LTAnfrageInitiator"/>
            </w:pPr>
            <w:r>
              <w:lastRenderedPageBreak/>
              <w:t>Abgeordneter</w:t>
            </w:r>
            <w:r>
              <w:rPr>
                <w:b/>
              </w:rPr>
              <w:br/>
              <w:t>Christian</w:t>
            </w:r>
            <w:r>
              <w:rPr>
                <w:b/>
              </w:rPr>
              <w:br/>
              <w:t>Flisek</w:t>
            </w:r>
            <w:r>
              <w:rPr>
                <w:b/>
              </w:rPr>
              <w:br/>
            </w:r>
            <w:r>
              <w:t>(SPD)</w:t>
            </w:r>
            <w:bookmarkStart w:id="67" w:name="Frage_Nr_33"/>
            <w:bookmarkEnd w:id="67"/>
          </w:p>
        </w:tc>
        <w:tc>
          <w:tcPr>
            <w:tcW w:w="7200" w:type="dxa"/>
          </w:tcPr>
          <w:p w14:paraId="7B8FEEA3" w14:textId="77777777" w:rsidR="009B7130" w:rsidRDefault="009D404B" w:rsidP="009B7130">
            <w:pPr>
              <w:pStyle w:val="LTAnfrageText"/>
            </w:pPr>
            <w:r w:rsidRPr="009D404B">
              <w:rPr>
                <w:szCs w:val="24"/>
              </w:rPr>
              <w:t>Ich frage die Staatsregierung, wie viele Dienstunfähigkeitsverfahren in den letzten fünf Jahren bei Lehrkräften an Grund- und Mittelschulen gestellt wurden, wie viele in diesem Zeitraum positiv bzw. negativ verbeschieden wurden (bitte jeweils aufgelistet nach Regierungsbezirken angeben) und was die Hauptgründe für eine Genehmigung bzw. Ablehnung waren?</w:t>
            </w:r>
          </w:p>
        </w:tc>
      </w:tr>
    </w:tbl>
    <w:p w14:paraId="5B9BD412" w14:textId="77777777" w:rsidR="009B7130" w:rsidRDefault="009B7130" w:rsidP="009B7130">
      <w:pPr>
        <w:pStyle w:val="LTUeberschrAntwortRessort"/>
      </w:pPr>
      <w:r>
        <w:t>Antwort des Staatsministeriums für Unterricht und Kultus</w:t>
      </w:r>
    </w:p>
    <w:p w14:paraId="0423AA15" w14:textId="77777777" w:rsidR="009B7130" w:rsidRDefault="009B7130" w:rsidP="009B7130">
      <w:pPr>
        <w:pStyle w:val="LTAntwortRessortText"/>
      </w:pPr>
      <w:r>
        <w:t>Nach einer Auswertung aus VIVA, dem Bezügesystem des Freistaats Bayern, ging in</w:t>
      </w:r>
      <w:r w:rsidR="00A66444">
        <w:t xml:space="preserve"> </w:t>
      </w:r>
      <w:r>
        <w:t>den jeweiligen Schuljahren in den einzelnen Regierungsbezirken die in der</w:t>
      </w:r>
      <w:r w:rsidR="00A66444">
        <w:t xml:space="preserve"> </w:t>
      </w:r>
      <w:r>
        <w:t xml:space="preserve">beigefügten Tabelle </w:t>
      </w:r>
      <w:r w:rsidR="00F27513" w:rsidRPr="00064D0C">
        <w:rPr>
          <w:rStyle w:val="LTHyperlinkZchn"/>
          <w:b w:val="0"/>
        </w:rPr>
        <w:t>*)</w:t>
      </w:r>
      <w:r w:rsidR="00F27513">
        <w:t xml:space="preserve"> </w:t>
      </w:r>
      <w:r>
        <w:t>aufgeführte Anzahl von verbeamteten Lehrkräften im Bereich</w:t>
      </w:r>
      <w:r w:rsidR="00A66444">
        <w:t xml:space="preserve"> </w:t>
      </w:r>
      <w:r>
        <w:t xml:space="preserve">Grund- und Mittelschule mit dem Abgangsgrund </w:t>
      </w:r>
      <w:r w:rsidR="006F49A4">
        <w:t>„</w:t>
      </w:r>
      <w:r>
        <w:t>Dienstunfähigkeit</w:t>
      </w:r>
      <w:r w:rsidR="006F49A4">
        <w:t>“</w:t>
      </w:r>
      <w:r>
        <w:t xml:space="preserve"> in Ruhestand.</w:t>
      </w:r>
      <w:r w:rsidR="00A66444">
        <w:t xml:space="preserve"> </w:t>
      </w:r>
      <w:r>
        <w:t>Seitens des Staatsministeriums für Unterricht und Kultus wird statistisch nicht erfasst,</w:t>
      </w:r>
      <w:r w:rsidR="00A66444">
        <w:t xml:space="preserve"> </w:t>
      </w:r>
      <w:r>
        <w:t>wie viele dieser Verfahren auf Überprüfung der Dienstfähigkeit im jeweiligen</w:t>
      </w:r>
      <w:r w:rsidR="00A66444">
        <w:t xml:space="preserve"> </w:t>
      </w:r>
      <w:r>
        <w:t>Schuljahr (von Amts wegen bzw. auf Antrag) eingeleitet werden. Ebenso sind die</w:t>
      </w:r>
      <w:r w:rsidR="00A66444">
        <w:t xml:space="preserve"> </w:t>
      </w:r>
      <w:r>
        <w:t>Gründe für den jeweiligen Verfahrensausgang in VIVA nicht hin</w:t>
      </w:r>
      <w:r w:rsidR="008C6B45">
        <w:t>terlegt,</w:t>
      </w:r>
      <w:r>
        <w:t xml:space="preserve"> darüber</w:t>
      </w:r>
      <w:r w:rsidR="00A66444">
        <w:t xml:space="preserve"> </w:t>
      </w:r>
      <w:r>
        <w:t>hinaus handelt es sich hierbei um besonders sensible Daten, die aufgrund dessen</w:t>
      </w:r>
      <w:r w:rsidR="00A66444">
        <w:t xml:space="preserve"> </w:t>
      </w:r>
      <w:r>
        <w:t>seitens des Staatsministeriums nicht erhoben werden. Auf eine Abfrage bei den</w:t>
      </w:r>
      <w:r w:rsidR="00A66444">
        <w:t xml:space="preserve"> </w:t>
      </w:r>
      <w:r>
        <w:t xml:space="preserve">Regierungen als personalführende Behörden wird aufgrund des für </w:t>
      </w:r>
      <w:r w:rsidR="008C6B45">
        <w:t>diesen unverhältnismäßigen Verwaltungsaufwand</w:t>
      </w:r>
      <w:r>
        <w:t xml:space="preserve"> verzichtet. Aussagen über die</w:t>
      </w:r>
      <w:r w:rsidR="00A66444">
        <w:t xml:space="preserve"> </w:t>
      </w:r>
      <w:r>
        <w:t>Hintergründe des Ausscheidens aus dem aktiven Dienst sind in VIVA nur für Beamte</w:t>
      </w:r>
      <w:r w:rsidR="00A66444">
        <w:t xml:space="preserve"> </w:t>
      </w:r>
      <w:r>
        <w:t>hinterlegt, so dass sich die Zahlen auch nur auf verbeamtete Lehrkräfte beziehen.</w:t>
      </w:r>
    </w:p>
    <w:p w14:paraId="67409E8D" w14:textId="77777777" w:rsidR="009B7130" w:rsidRDefault="009B7130" w:rsidP="009B7130">
      <w:pPr>
        <w:pStyle w:val="LTAntwortRessortText"/>
      </w:pPr>
    </w:p>
    <w:p w14:paraId="350F6688" w14:textId="0C313E8C" w:rsidR="009B7130" w:rsidRDefault="003059C0" w:rsidP="009B7130">
      <w:pPr>
        <w:pStyle w:val="LTAntwortRessortText"/>
      </w:pPr>
      <w:r>
        <w:t xml:space="preserve">*) Von einem Abdruck wurde abgesehen. Die </w:t>
      </w:r>
      <w:r w:rsidR="00F27513">
        <w:t>Tabelle</w:t>
      </w:r>
      <w:r>
        <w:t xml:space="preserve"> ist als pdf-Dokument </w:t>
      </w:r>
      <w:hyperlink r:id="rId14" w:history="1">
        <w:r w:rsidRPr="00F27513">
          <w:rPr>
            <w:rStyle w:val="LTHyperlinkZchn"/>
            <w:b w:val="0"/>
          </w:rPr>
          <w:t>hier</w:t>
        </w:r>
      </w:hyperlink>
      <w:r>
        <w:t xml:space="preserve"> einsehbar.</w:t>
      </w:r>
    </w:p>
    <w:p w14:paraId="2ADD4B0C" w14:textId="77777777" w:rsidR="009B7130" w:rsidRDefault="009B7130">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9B7130" w14:paraId="2FCD66B3" w14:textId="77777777" w:rsidTr="007B0B33">
        <w:tc>
          <w:tcPr>
            <w:tcW w:w="2050" w:type="dxa"/>
          </w:tcPr>
          <w:p w14:paraId="0694C475" w14:textId="77777777" w:rsidR="009B7130" w:rsidRDefault="009B7130" w:rsidP="009B7130">
            <w:pPr>
              <w:pStyle w:val="LTAnfrageInitiator"/>
            </w:pPr>
            <w:r>
              <w:lastRenderedPageBreak/>
              <w:t>Abgeordnete</w:t>
            </w:r>
            <w:r>
              <w:rPr>
                <w:b/>
              </w:rPr>
              <w:br/>
              <w:t>Julika</w:t>
            </w:r>
            <w:r>
              <w:rPr>
                <w:b/>
              </w:rPr>
              <w:br/>
              <w:t>Sandt</w:t>
            </w:r>
            <w:r>
              <w:rPr>
                <w:b/>
              </w:rPr>
              <w:br/>
            </w:r>
            <w:r>
              <w:t>(FDP)</w:t>
            </w:r>
            <w:bookmarkStart w:id="69" w:name="Frage_Nr_34"/>
            <w:bookmarkEnd w:id="69"/>
          </w:p>
        </w:tc>
        <w:tc>
          <w:tcPr>
            <w:tcW w:w="7200" w:type="dxa"/>
          </w:tcPr>
          <w:p w14:paraId="14417FB8" w14:textId="77777777" w:rsidR="009B7130" w:rsidRDefault="00464F5C" w:rsidP="009B7130">
            <w:pPr>
              <w:pStyle w:val="LTAnfrageText"/>
            </w:pPr>
            <w:r w:rsidRPr="00464F5C">
              <w:rPr>
                <w:szCs w:val="24"/>
              </w:rPr>
              <w:t>Ich frage die Staatsregierung, für wie viele Räume in der Kindertagesbetreuung und in den Schulen in Bayern wurde nach der Landesförderrichtlinie (VISKu 12-R) eine Förderung für mobile Raumluftreiniger beantragt, bewilligt und ausgezahlt (bitte einzelne Summen aufgegliedert nach Kindertageseinrichtungen, Schulen und Heilpädagogische Tagesstätten je Status im Förderverfahren nennen und dazu auch das damit verbundene Fördervolumen in Euro darstellen sowie auf mittlerweile zurückgezogene Anträge eingehen), wie hoch sind die Mittel, die sie bereits beim Bund hierfür angemeldet bzw. ausgezahlt bekommen hat (bitte unter Nennung der bereits ausbezahlten Fördermittel in absoluten Zahlen und relativ zur insgesamt bereitstehenden Summe für Bayern beantworten), und wie wird die Ausstattung der Räume mit Raumluftreinigungsgeräten in den verschiedenen Einrichtungsformen dokumentiert (bitte die unterschiedlichen Dokumentationssysteme der Staatsministerien darstellen und deren Nutzung begründen)?</w:t>
            </w:r>
          </w:p>
        </w:tc>
      </w:tr>
    </w:tbl>
    <w:p w14:paraId="75E9A4FC" w14:textId="77777777" w:rsidR="009B7130" w:rsidRDefault="009B7130" w:rsidP="009B7130">
      <w:pPr>
        <w:pStyle w:val="LTUeberschrAntwortRessort"/>
      </w:pPr>
      <w:r>
        <w:t>Antwort des Staatsministeriums für Unterricht und Kultus</w:t>
      </w:r>
    </w:p>
    <w:p w14:paraId="1F6B4E16" w14:textId="63D92878" w:rsidR="009B7130" w:rsidRPr="005D4EC0" w:rsidRDefault="009B7130" w:rsidP="009B7130">
      <w:pPr>
        <w:pStyle w:val="LTAntwortRessortText"/>
        <w:rPr>
          <w:b/>
        </w:rPr>
      </w:pPr>
      <w:r w:rsidRPr="005D4EC0">
        <w:rPr>
          <w:b/>
          <w:u w:val="single"/>
        </w:rPr>
        <w:t>Räume und Fördermittel</w:t>
      </w:r>
    </w:p>
    <w:p w14:paraId="729F6341" w14:textId="1CF2726A" w:rsidR="009B7130" w:rsidRDefault="009B7130" w:rsidP="009B7130">
      <w:pPr>
        <w:pStyle w:val="LTAntwortRessortText"/>
      </w:pPr>
      <w:r>
        <w:t>Nach der Richtlinie über die Gewährung von Zuwendungen zur Verbesserung</w:t>
      </w:r>
      <w:r w:rsidR="005D4EC0">
        <w:t xml:space="preserve"> </w:t>
      </w:r>
      <w:r>
        <w:t>des Infektionsschutzes für die Betreuung von Kindern unter 12 Jahren in</w:t>
      </w:r>
      <w:r w:rsidR="005D4EC0">
        <w:t xml:space="preserve"> </w:t>
      </w:r>
      <w:r>
        <w:t>Schulen sowie in der Kindertagesbetreuung und in den Heilpädagogischen</w:t>
      </w:r>
      <w:r w:rsidR="005D4EC0">
        <w:t xml:space="preserve"> </w:t>
      </w:r>
      <w:r>
        <w:t>Tagesstätten der Jugend- und Behindertenhilfe (VISKu12-R) vom 30.</w:t>
      </w:r>
      <w:r w:rsidR="005D4EC0">
        <w:t xml:space="preserve"> </w:t>
      </w:r>
      <w:r>
        <w:t>September 2021 (</w:t>
      </w:r>
      <w:r w:rsidR="00C75084">
        <w:rPr>
          <w:rStyle w:val="hgkelc"/>
        </w:rPr>
        <w:t>Bayerisches Ministerialblatt</w:t>
      </w:r>
      <w:r w:rsidR="00C75084">
        <w:t xml:space="preserve"> – </w:t>
      </w:r>
      <w:r>
        <w:t>BayMBl. Nr. 712) ist die Beschaffung, Inbetriebnahme und</w:t>
      </w:r>
      <w:r w:rsidR="005D4EC0">
        <w:t xml:space="preserve"> </w:t>
      </w:r>
      <w:r>
        <w:t>bzw. oder Wartung von mobilen Luftreinigungsgeräten für Räume mit</w:t>
      </w:r>
      <w:r w:rsidR="005D4EC0">
        <w:t xml:space="preserve"> </w:t>
      </w:r>
      <w:r>
        <w:t>eingeschränkter Lüftungsmöglichkeit zuwendungsfähig. Der</w:t>
      </w:r>
      <w:r w:rsidR="005D4EC0">
        <w:t xml:space="preserve"> </w:t>
      </w:r>
      <w:r>
        <w:t>Finanzierungsanteil des Bundes beträgt bis zu 50</w:t>
      </w:r>
      <w:r w:rsidR="009562DA">
        <w:t> </w:t>
      </w:r>
      <w:r w:rsidR="006F49A4">
        <w:t>Prozent</w:t>
      </w:r>
      <w:r>
        <w:t xml:space="preserve"> der zuwendungsfähigen</w:t>
      </w:r>
      <w:r w:rsidR="005D4EC0">
        <w:t xml:space="preserve"> </w:t>
      </w:r>
      <w:r>
        <w:t>Ausgaben.</w:t>
      </w:r>
      <w:r w:rsidR="005D4EC0">
        <w:t xml:space="preserve"> </w:t>
      </w:r>
      <w:r>
        <w:t>Die angefragten Daten können im laufenden Förderverfahren in der für die</w:t>
      </w:r>
      <w:r w:rsidR="005D4EC0">
        <w:t xml:space="preserve"> </w:t>
      </w:r>
      <w:r>
        <w:t>Beantwortung einer Anfrage zum Plenum zur Verfügung stehenden Zeit nicht</w:t>
      </w:r>
      <w:r w:rsidR="005D4EC0">
        <w:t xml:space="preserve"> </w:t>
      </w:r>
      <w:r>
        <w:t>in der gewünschten Tiefe und Aufgliederung von den Bewilligungsbehörden</w:t>
      </w:r>
      <w:r w:rsidR="005D4EC0">
        <w:t xml:space="preserve"> </w:t>
      </w:r>
      <w:r>
        <w:t>im Schul- sowie Kita-Bereich abgefragt werden.</w:t>
      </w:r>
    </w:p>
    <w:p w14:paraId="67AF9678" w14:textId="77777777" w:rsidR="009B7130" w:rsidRDefault="009B7130" w:rsidP="009B7130">
      <w:pPr>
        <w:pStyle w:val="LTAntwortRessortText"/>
      </w:pPr>
      <w:r>
        <w:t>Im Rahmen der Förderrichtlinie VISKu12-R ergeben sich auf Basis der von</w:t>
      </w:r>
      <w:r w:rsidR="005D4EC0">
        <w:t xml:space="preserve"> </w:t>
      </w:r>
      <w:r>
        <w:t>den Bewilligungsbehörden erfassten und den Staatsministerien für Unterricht</w:t>
      </w:r>
      <w:r w:rsidR="005D4EC0">
        <w:t xml:space="preserve"> </w:t>
      </w:r>
      <w:r>
        <w:t>und Kultus sowie für Familie, Arbeit und Soziales vorliegenden Daten zum</w:t>
      </w:r>
      <w:r w:rsidR="005D4EC0">
        <w:t xml:space="preserve"> </w:t>
      </w:r>
      <w:r>
        <w:t>Stand 22.02.2022 folgende Angaben:</w:t>
      </w:r>
    </w:p>
    <w:p w14:paraId="562C5C20" w14:textId="7CEFAD69" w:rsidR="009B7130" w:rsidRDefault="009B7130" w:rsidP="009B7130">
      <w:pPr>
        <w:pStyle w:val="LTAntwortRessortText"/>
      </w:pPr>
      <w:r>
        <w:t>Für Kindertageseinrichtungen wurde eine Förderung für 718 Räume beantragt</w:t>
      </w:r>
      <w:r w:rsidR="005D4EC0">
        <w:t xml:space="preserve"> </w:t>
      </w:r>
      <w:r>
        <w:t>(Fördermittel 1.527,14 T</w:t>
      </w:r>
      <w:r w:rsidR="00697763">
        <w:t>sd.</w:t>
      </w:r>
      <w:r>
        <w:t xml:space="preserve"> </w:t>
      </w:r>
      <w:r w:rsidR="006F49A4">
        <w:t>Euro</w:t>
      </w:r>
      <w:r>
        <w:t>) und für 661 Räume bewilligt (Fördermittel</w:t>
      </w:r>
      <w:r w:rsidR="00C75084">
        <w:t> 1.507,45 </w:t>
      </w:r>
      <w:r>
        <w:t>T</w:t>
      </w:r>
      <w:r w:rsidR="00697763">
        <w:t>sd.</w:t>
      </w:r>
      <w:r>
        <w:t xml:space="preserve"> </w:t>
      </w:r>
      <w:r w:rsidR="006F49A4">
        <w:t>Euro</w:t>
      </w:r>
      <w:r>
        <w:t>).</w:t>
      </w:r>
    </w:p>
    <w:p w14:paraId="7ED70BFE" w14:textId="08C58356" w:rsidR="009B7130" w:rsidRDefault="009B7130" w:rsidP="009B7130">
      <w:pPr>
        <w:pStyle w:val="LTAntwortRessortText"/>
      </w:pPr>
      <w:r>
        <w:t>Für Sch</w:t>
      </w:r>
      <w:r w:rsidR="00C75084">
        <w:t>ulen wurde eine Förderung für 3 </w:t>
      </w:r>
      <w:r>
        <w:t>492 Räume beantragt (Fördermittel</w:t>
      </w:r>
      <w:r w:rsidR="00C75084">
        <w:t> 9.205,3 </w:t>
      </w:r>
      <w:r>
        <w:t>T</w:t>
      </w:r>
      <w:r w:rsidR="00697763">
        <w:t>sd.</w:t>
      </w:r>
      <w:r>
        <w:t xml:space="preserve"> </w:t>
      </w:r>
      <w:r w:rsidR="006F49A4">
        <w:t>Euro</w:t>
      </w:r>
      <w:r w:rsidR="00C75084">
        <w:t>) und für 3 </w:t>
      </w:r>
      <w:r>
        <w:t>419 Räume bewi</w:t>
      </w:r>
      <w:r w:rsidR="00C75084">
        <w:t>lligt (Fördermittel 8.655,2 T</w:t>
      </w:r>
      <w:r w:rsidR="00697763">
        <w:t>sd.</w:t>
      </w:r>
      <w:r w:rsidR="00C75084">
        <w:t> </w:t>
      </w:r>
      <w:r w:rsidR="006F49A4">
        <w:t>Euro</w:t>
      </w:r>
      <w:r>
        <w:t>).</w:t>
      </w:r>
      <w:r w:rsidR="005D4EC0">
        <w:t xml:space="preserve"> </w:t>
      </w:r>
      <w:r>
        <w:t>Bezüglich des Landesprogramms FILS-R-N mit einem deutlich</w:t>
      </w:r>
      <w:r w:rsidR="005D4EC0">
        <w:t xml:space="preserve"> </w:t>
      </w:r>
      <w:r>
        <w:t>höheren Mittelabfluss wird auf die Anfrage zum Plenum am 23.02.2022 des</w:t>
      </w:r>
      <w:r w:rsidR="005D4EC0">
        <w:t xml:space="preserve"> </w:t>
      </w:r>
      <w:r>
        <w:t>Abgeordneten Matthias Fischbach verwiesen.</w:t>
      </w:r>
      <w:r w:rsidR="005D4EC0">
        <w:t xml:space="preserve"> </w:t>
      </w:r>
      <w:r>
        <w:t>Für Heilpädagogische Tagesstätten wurde eine Förderung für 91 Räume</w:t>
      </w:r>
      <w:r w:rsidR="005D4EC0">
        <w:t xml:space="preserve"> </w:t>
      </w:r>
      <w:r>
        <w:t xml:space="preserve">beantragt (Fördermittel 234,8 </w:t>
      </w:r>
      <w:r w:rsidR="00697763">
        <w:t>Tsd.</w:t>
      </w:r>
      <w:r>
        <w:t xml:space="preserve"> </w:t>
      </w:r>
      <w:r w:rsidR="006F49A4">
        <w:t>Euro</w:t>
      </w:r>
      <w:r>
        <w:t>) und für 91 Räume bewilligt (Fördermittel</w:t>
      </w:r>
      <w:r w:rsidR="005D4EC0">
        <w:t xml:space="preserve"> </w:t>
      </w:r>
      <w:r>
        <w:t>34,8 T</w:t>
      </w:r>
      <w:r w:rsidR="00C45221">
        <w:t>sd.</w:t>
      </w:r>
      <w:r>
        <w:t xml:space="preserve"> </w:t>
      </w:r>
      <w:r w:rsidR="006F49A4">
        <w:t>Euro</w:t>
      </w:r>
      <w:r>
        <w:t>).</w:t>
      </w:r>
      <w:r w:rsidR="005D4EC0">
        <w:t xml:space="preserve"> </w:t>
      </w:r>
      <w:r>
        <w:t>Die Zahl zurückgezogener Anträge ist dem Staatsministerium nicht bekannt.</w:t>
      </w:r>
    </w:p>
    <w:p w14:paraId="1AF3FD58" w14:textId="1C4C3AFC" w:rsidR="009B7130" w:rsidRPr="005D4EC0" w:rsidRDefault="009B7130" w:rsidP="009B7130">
      <w:pPr>
        <w:pStyle w:val="LTAntwortRessortText"/>
        <w:rPr>
          <w:b/>
        </w:rPr>
      </w:pPr>
      <w:r w:rsidRPr="005D4EC0">
        <w:rPr>
          <w:b/>
          <w:u w:val="single"/>
        </w:rPr>
        <w:lastRenderedPageBreak/>
        <w:t>Mittel</w:t>
      </w:r>
    </w:p>
    <w:p w14:paraId="1D4AEC5E" w14:textId="77777777" w:rsidR="009B7130" w:rsidRDefault="009B7130" w:rsidP="009B7130">
      <w:pPr>
        <w:pStyle w:val="LTAntwortRessortText"/>
      </w:pPr>
      <w:r>
        <w:t>Zum Stand 22.02.2022 kann mitgeteilt werden, dass von den insgesamt zur</w:t>
      </w:r>
      <w:r w:rsidR="00454CA9">
        <w:t xml:space="preserve"> </w:t>
      </w:r>
      <w:r>
        <w:t xml:space="preserve">Verfügung gestellten Bundesmitteln in Höhe von 31,1 Mio. </w:t>
      </w:r>
      <w:r w:rsidR="006F49A4">
        <w:t>Euro</w:t>
      </w:r>
      <w:r>
        <w:t xml:space="preserve"> durch</w:t>
      </w:r>
      <w:r w:rsidR="00454CA9">
        <w:t xml:space="preserve"> </w:t>
      </w:r>
      <w:r>
        <w:t xml:space="preserve">Bewilligungsbescheid rund 5,1 Mio. </w:t>
      </w:r>
      <w:r w:rsidR="006F49A4">
        <w:t>Euro</w:t>
      </w:r>
      <w:r>
        <w:t xml:space="preserve"> gebunden wurden.</w:t>
      </w:r>
    </w:p>
    <w:p w14:paraId="5E5A8BFE" w14:textId="337F86A0" w:rsidR="009B7130" w:rsidRPr="00454CA9" w:rsidRDefault="009B7130" w:rsidP="009B7130">
      <w:pPr>
        <w:pStyle w:val="LTAntwortRessortText"/>
        <w:rPr>
          <w:b/>
        </w:rPr>
      </w:pPr>
      <w:r w:rsidRPr="00454CA9">
        <w:rPr>
          <w:b/>
        </w:rPr>
        <w:t xml:space="preserve"> </w:t>
      </w:r>
      <w:r w:rsidRPr="00454CA9">
        <w:rPr>
          <w:b/>
          <w:u w:val="single"/>
        </w:rPr>
        <w:t>Dokumentation</w:t>
      </w:r>
    </w:p>
    <w:p w14:paraId="52B971CE" w14:textId="77777777" w:rsidR="009B7130" w:rsidRDefault="009B7130" w:rsidP="009B7130">
      <w:pPr>
        <w:pStyle w:val="LTAntwortRessortText"/>
      </w:pPr>
      <w:r>
        <w:t>Anzahl und Ausstattung aller an den Kindertageseinrichtungen,</w:t>
      </w:r>
      <w:r w:rsidR="00454CA9">
        <w:t xml:space="preserve"> </w:t>
      </w:r>
      <w:r>
        <w:t>Heilpädagogischen Tagesstätten sowie Schulen vorhandenen Räume sind</w:t>
      </w:r>
      <w:r w:rsidR="00454CA9">
        <w:t xml:space="preserve"> </w:t>
      </w:r>
      <w:r>
        <w:t>den Staatsministerien nicht bekannt; Errichtung und Ausstattung der</w:t>
      </w:r>
      <w:r w:rsidR="00454CA9">
        <w:t xml:space="preserve"> </w:t>
      </w:r>
      <w:r>
        <w:t>Schulgebäude, Kindertageseinrichtungen etc. fallen in die Zuständigkeit der</w:t>
      </w:r>
      <w:r w:rsidR="00454CA9">
        <w:t xml:space="preserve"> </w:t>
      </w:r>
      <w:r>
        <w:t>Schulaufwandsträger sowie der Gemeinden bzw. privater Träger. Im Rahmen</w:t>
      </w:r>
      <w:r w:rsidR="00454CA9">
        <w:t xml:space="preserve"> </w:t>
      </w:r>
      <w:r>
        <w:t>des Vollzugs des Förderprogramms erfolgt keine einrichtungsscharfe</w:t>
      </w:r>
      <w:r w:rsidR="00454CA9">
        <w:t xml:space="preserve"> </w:t>
      </w:r>
      <w:r>
        <w:t>Erfassung bzw. Dokumentation der Ausstattung. Den Staatsministerien liegen</w:t>
      </w:r>
      <w:r w:rsidR="00454CA9">
        <w:t xml:space="preserve"> </w:t>
      </w:r>
      <w:r>
        <w:t>durch Meldungen der Bewilligungsbehörden lediglich die Anzahl der Anträge</w:t>
      </w:r>
      <w:r w:rsidR="00454CA9">
        <w:t xml:space="preserve"> </w:t>
      </w:r>
      <w:r>
        <w:t>und die Zahl der sich daraus ergebenden Räume, für die eine Förderung</w:t>
      </w:r>
      <w:r w:rsidR="00454CA9">
        <w:t xml:space="preserve"> </w:t>
      </w:r>
      <w:r>
        <w:t>beantragt wurde, vor.</w:t>
      </w:r>
    </w:p>
    <w:p w14:paraId="2F4FC035" w14:textId="77777777" w:rsidR="009B7130" w:rsidRDefault="009B7130">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9B7130" w14:paraId="2DFF612E" w14:textId="77777777" w:rsidTr="007B0B33">
        <w:tc>
          <w:tcPr>
            <w:tcW w:w="2050" w:type="dxa"/>
          </w:tcPr>
          <w:p w14:paraId="218D78F6" w14:textId="77777777" w:rsidR="009B7130" w:rsidRDefault="009B7130" w:rsidP="009B7130">
            <w:pPr>
              <w:pStyle w:val="LTAnfrageInitiator"/>
            </w:pPr>
            <w:r>
              <w:lastRenderedPageBreak/>
              <w:t>Abgeordneter</w:t>
            </w:r>
            <w:r>
              <w:rPr>
                <w:b/>
              </w:rPr>
              <w:br/>
              <w:t>Dr. Dominik</w:t>
            </w:r>
            <w:r>
              <w:rPr>
                <w:b/>
              </w:rPr>
              <w:br/>
              <w:t>Spitzer</w:t>
            </w:r>
            <w:r>
              <w:rPr>
                <w:b/>
              </w:rPr>
              <w:br/>
            </w:r>
            <w:r>
              <w:t>(FDP)</w:t>
            </w:r>
            <w:bookmarkStart w:id="71" w:name="Frage_Nr_35"/>
            <w:bookmarkEnd w:id="71"/>
          </w:p>
        </w:tc>
        <w:tc>
          <w:tcPr>
            <w:tcW w:w="7200" w:type="dxa"/>
          </w:tcPr>
          <w:p w14:paraId="4B6648B0" w14:textId="77777777" w:rsidR="009B7130" w:rsidRDefault="00464F5C" w:rsidP="009B7130">
            <w:pPr>
              <w:pStyle w:val="LTAnfrageText"/>
            </w:pPr>
            <w:r w:rsidRPr="00464F5C">
              <w:rPr>
                <w:szCs w:val="24"/>
              </w:rPr>
              <w:t>Vor dem Hintergrund des Konkordats von 1924 sowie den Erklärungen zu Art. 5 aus dem Schlussprotokoll vom 4. September 1974, geändert durch Schlussprotokoll zum Vertrag zwischen dem Heiligen Stuhl und dem Freistaat Bayern vom 8. Juni 1988 (Gesetz- und Verordnungsblatt – GVBl Seite 241) frage ich die Staatsregierung, wie sich die im Haushaltsentwurf 2022 und im Haushalt 2021 angesetzten Zahlungen an Seelsorgegeistlichen jeweils genau errechnet haben (bitte hierbei die Zahl der mit einem Pauschalbetrag bezuschussten Personen und dessen jeweilige Höhe sowie die Zahl der vergüteten Jahreswochenstunden für durch kirchliches Personal erteilten Religionsunterricht benennen und zum Vergleich nach den beiden Kirchen untergliedern), wie oft wurde sie im Sinne des Art. 10 § 1 Satz 2 Buchst. k) des Konkordats in den vergangenen zehn Jahren um ihr Einverständnis zu neu errichteten oder umgewandelten Seelsorgestellen gebeten (bitte jeweils den Sachverhalt kurz darstellen) und wie ist die auf Drs. 18/3954 angesprochene Auffassung der Staatsregierung, die „Zuschüsse zur Besoldung der Seelsorgegeistlichen“ seien freiwillige Leistungen im Detail begründet (bitte Herleitung und Rechtsfolgen – insbesondere für eventuelle Veränderungen in der Höhe der Leistungen – sowie ggfs. hierzu beauftragte Rechtsgutachten darstellen)?</w:t>
            </w:r>
          </w:p>
        </w:tc>
      </w:tr>
    </w:tbl>
    <w:p w14:paraId="393FE200" w14:textId="77777777" w:rsidR="009B7130" w:rsidRDefault="009B7130" w:rsidP="009B7130">
      <w:pPr>
        <w:pStyle w:val="LTUeberschrAntwortRessort"/>
      </w:pPr>
      <w:r>
        <w:t>Antwort des Staatsministeriums für Unterricht und Kultus</w:t>
      </w:r>
    </w:p>
    <w:p w14:paraId="62CDEDFE" w14:textId="77777777" w:rsidR="009B7130" w:rsidRDefault="009B7130" w:rsidP="009B7130">
      <w:pPr>
        <w:pStyle w:val="LTAntwortRessortText"/>
      </w:pPr>
      <w:r>
        <w:t>Der als Zuschuss zur Besoldung der Seelsorgegeistlichen der Römisch-Katholischen</w:t>
      </w:r>
      <w:r w:rsidR="004E4CB6">
        <w:t xml:space="preserve"> </w:t>
      </w:r>
      <w:r>
        <w:t>Kirche und der Evangelisch-Lutherischen Kirche gezahlte Betrag wird jeweils gemäß</w:t>
      </w:r>
      <w:r w:rsidR="004E4CB6">
        <w:t xml:space="preserve"> </w:t>
      </w:r>
      <w:r w:rsidR="00A55FA2">
        <w:t>§ </w:t>
      </w:r>
      <w:r>
        <w:t>1 der Vereinbarungen zwischen dem Freistaat Bayern und den sieben römischkatholischen</w:t>
      </w:r>
      <w:r w:rsidR="004E4CB6">
        <w:t xml:space="preserve"> </w:t>
      </w:r>
      <w:r>
        <w:t>(Erz-)Diözesen in Bayern und zwischen dem Freistaat Bayern und der</w:t>
      </w:r>
      <w:r w:rsidR="004E4CB6">
        <w:t xml:space="preserve"> </w:t>
      </w:r>
      <w:r>
        <w:t xml:space="preserve">Evangelisch-Lutherischen Kirche in Bayern, jeweils vom 15. </w:t>
      </w:r>
      <w:r w:rsidR="00A55FA2">
        <w:t>Dezember </w:t>
      </w:r>
      <w:r>
        <w:t>2014, je</w:t>
      </w:r>
      <w:r w:rsidR="004E4CB6">
        <w:t xml:space="preserve"> </w:t>
      </w:r>
      <w:r>
        <w:t>Bekenntnisangehörigem geleistet und wie folgt berechnet: Als Ausgangswert (für das</w:t>
      </w:r>
      <w:r w:rsidR="004E4CB6">
        <w:t xml:space="preserve"> </w:t>
      </w:r>
      <w:r>
        <w:t>Jahr 2015) ist für die Berechn</w:t>
      </w:r>
      <w:r w:rsidR="00A55FA2">
        <w:t>ung ein Betrag in Höhe von 6,24 </w:t>
      </w:r>
      <w:r w:rsidR="006F49A4">
        <w:t>Euro</w:t>
      </w:r>
      <w:r>
        <w:t xml:space="preserve"> je</w:t>
      </w:r>
      <w:r w:rsidR="004E4CB6">
        <w:t xml:space="preserve"> </w:t>
      </w:r>
      <w:r>
        <w:t>Bekenntnisangehörigen festgelegt. Die Mitgliederzahl wird in der nach</w:t>
      </w:r>
      <w:r w:rsidR="004E4CB6">
        <w:t xml:space="preserve"> </w:t>
      </w:r>
      <w:r>
        <w:t>kirchenamtlicher Statistik des jeweiligen Vorvorjahres (beginnend mit dem</w:t>
      </w:r>
      <w:r w:rsidR="004E4CB6">
        <w:t xml:space="preserve"> </w:t>
      </w:r>
      <w:r>
        <w:t>Mitgliederstand am 31. Dezember 2013 für das Jahr 2015) angegebenen Höhe zu</w:t>
      </w:r>
      <w:r w:rsidR="004E4CB6">
        <w:t xml:space="preserve"> </w:t>
      </w:r>
      <w:r>
        <w:t>Grunde gelegt. Der Betrag je Bekenntnisangehörigem erhöht oder vermindert sich um</w:t>
      </w:r>
      <w:r w:rsidR="004E4CB6">
        <w:t xml:space="preserve"> </w:t>
      </w:r>
      <w:r>
        <w:t>den Vomhundertsatz, um den sich jeweils das Grundgehalt der Besoldungsgruppe</w:t>
      </w:r>
      <w:r w:rsidR="004E4CB6">
        <w:t xml:space="preserve"> </w:t>
      </w:r>
      <w:r>
        <w:t>A13 Stufe 10 der Anlage 3 des Besoldungsgesetzes gegenüber dem</w:t>
      </w:r>
      <w:r w:rsidR="004E4CB6">
        <w:t xml:space="preserve"> </w:t>
      </w:r>
      <w:r w:rsidR="00A55FA2">
        <w:t>Stand zum 31. </w:t>
      </w:r>
      <w:r>
        <w:t>Dezember 2013 erhöht oder vermindert hat. Stichtag hierfür ist jeweils</w:t>
      </w:r>
      <w:r w:rsidR="004E4CB6">
        <w:t xml:space="preserve"> </w:t>
      </w:r>
      <w:r>
        <w:t>der 31. Dezember des Vorvorjahres.</w:t>
      </w:r>
    </w:p>
    <w:p w14:paraId="11301ADE" w14:textId="1C56E24E" w:rsidR="009B7130" w:rsidRDefault="009B7130" w:rsidP="009B7130">
      <w:pPr>
        <w:pStyle w:val="LTAntwortRessortText"/>
      </w:pPr>
      <w:r>
        <w:t>Dementsprechend waren für die Zahlungen und entsprechenden Haushaltansätze in</w:t>
      </w:r>
      <w:r w:rsidR="004E4CB6">
        <w:t xml:space="preserve"> </w:t>
      </w:r>
      <w:r>
        <w:t>den Haushaltsjahren 2021 und 2022 die jeweiligen Mitgliederzahlen zum Stand 31.</w:t>
      </w:r>
      <w:r w:rsidR="004E4CB6">
        <w:t xml:space="preserve"> </w:t>
      </w:r>
      <w:r>
        <w:t>Dezember 2019 und 31. Dezember 2020 zu Grunde zu legen. Für die Römisch-</w:t>
      </w:r>
      <w:r w:rsidR="00A55FA2">
        <w:t>Katholische Kirche waren dies 6 </w:t>
      </w:r>
      <w:r>
        <w:t>272.161 (2019) un</w:t>
      </w:r>
      <w:r w:rsidR="00A55FA2">
        <w:t>d 6 </w:t>
      </w:r>
      <w:r>
        <w:t>163.821 (2020) Mitglieder, für</w:t>
      </w:r>
      <w:r w:rsidR="004E4CB6">
        <w:t xml:space="preserve"> </w:t>
      </w:r>
      <w:r>
        <w:t>die Evangelisch</w:t>
      </w:r>
      <w:r w:rsidR="00A55FA2">
        <w:t>-Lutherische Kirche in Bayern 2 297.509 (2019) und 2 </w:t>
      </w:r>
      <w:r>
        <w:t>252.534 (2020)</w:t>
      </w:r>
      <w:r w:rsidR="004E4CB6">
        <w:t xml:space="preserve"> </w:t>
      </w:r>
      <w:r>
        <w:t>Mitglieder. Als nach den vorstehend genannten Vorgaben errechneter Pro-Kopf-Betrag je Bekenntnisangehörigem waren für das Haushaltsjahr 20</w:t>
      </w:r>
      <w:r w:rsidR="00A55FA2">
        <w:t>21 7,23 </w:t>
      </w:r>
      <w:r w:rsidR="006F49A4">
        <w:t>Euro</w:t>
      </w:r>
      <w:r>
        <w:t xml:space="preserve"> und für</w:t>
      </w:r>
      <w:r w:rsidR="004E4CB6">
        <w:t xml:space="preserve"> </w:t>
      </w:r>
      <w:r>
        <w:t xml:space="preserve">das Haushaltsjahr 2022 7,46 </w:t>
      </w:r>
      <w:r w:rsidR="006F49A4">
        <w:t>Euro</w:t>
      </w:r>
      <w:r w:rsidR="00A55FA2">
        <w:t xml:space="preserve"> (Grundgehalt</w:t>
      </w:r>
      <w:r w:rsidR="00F52506">
        <w:t xml:space="preserve"> BesGr. A13 Stufe </w:t>
      </w:r>
      <w:r w:rsidR="00A55FA2">
        <w:t>10 –</w:t>
      </w:r>
      <w:r>
        <w:t xml:space="preserve"> 2013: 4.423,19 </w:t>
      </w:r>
      <w:r w:rsidR="006F49A4">
        <w:t>Euro</w:t>
      </w:r>
      <w:r>
        <w:t>,</w:t>
      </w:r>
      <w:r w:rsidR="004E4CB6">
        <w:t xml:space="preserve"> </w:t>
      </w:r>
      <w:r>
        <w:t xml:space="preserve">2019: 5.124,25 </w:t>
      </w:r>
      <w:r w:rsidR="006F49A4">
        <w:t>Euro</w:t>
      </w:r>
      <w:r w:rsidR="00A55FA2">
        <w:t xml:space="preserve">, </w:t>
      </w:r>
      <w:r w:rsidR="00F52506">
        <w:t xml:space="preserve">2020: </w:t>
      </w:r>
      <w:r>
        <w:t xml:space="preserve">5.288,23 </w:t>
      </w:r>
      <w:r w:rsidR="006F49A4">
        <w:t>Euro</w:t>
      </w:r>
      <w:r w:rsidR="00A55FA2">
        <w:t>; Steige</w:t>
      </w:r>
      <w:r w:rsidR="00A55FA2">
        <w:lastRenderedPageBreak/>
        <w:t>rung –</w:t>
      </w:r>
      <w:r>
        <w:t xml:space="preserve"> 2013/2019: 15,85</w:t>
      </w:r>
      <w:r w:rsidR="00A55FA2">
        <w:t xml:space="preserve"> </w:t>
      </w:r>
      <w:r w:rsidR="006F49A4">
        <w:t>Prozent</w:t>
      </w:r>
      <w:r>
        <w:t>, 2013/2020:</w:t>
      </w:r>
      <w:r w:rsidR="00F52506">
        <w:t xml:space="preserve"> </w:t>
      </w:r>
      <w:r>
        <w:t>19,56</w:t>
      </w:r>
      <w:r w:rsidR="00F52506">
        <w:t xml:space="preserve"> </w:t>
      </w:r>
      <w:r w:rsidR="006F49A4">
        <w:t>Prozent</w:t>
      </w:r>
      <w:r>
        <w:t>; daraus folgende Erhöhu</w:t>
      </w:r>
      <w:r w:rsidR="00F52506">
        <w:t xml:space="preserve">ng Pro-Kopf-Betrag – 2015/2021: </w:t>
      </w:r>
      <w:r>
        <w:t xml:space="preserve">0,99 </w:t>
      </w:r>
      <w:r w:rsidR="006F49A4">
        <w:t>Euro</w:t>
      </w:r>
      <w:r>
        <w:t>, 2015/2022:</w:t>
      </w:r>
      <w:r w:rsidR="004E4CB6">
        <w:t xml:space="preserve"> </w:t>
      </w:r>
      <w:r>
        <w:t xml:space="preserve">1,22 </w:t>
      </w:r>
      <w:r w:rsidR="006F49A4">
        <w:t>Euro</w:t>
      </w:r>
      <w:r>
        <w:t>) anzusetzen.</w:t>
      </w:r>
    </w:p>
    <w:p w14:paraId="7D837835" w14:textId="77777777" w:rsidR="009B7130" w:rsidRDefault="009B7130" w:rsidP="009B7130">
      <w:pPr>
        <w:pStyle w:val="LTAntwortRessortText"/>
      </w:pPr>
      <w:r>
        <w:t>Der Berechnung der Pauschalvergütung für den lehrplanmäßigen Religionsunterricht</w:t>
      </w:r>
      <w:r w:rsidR="004E4CB6">
        <w:t xml:space="preserve"> </w:t>
      </w:r>
      <w:r>
        <w:t>durch Geistliche, Katecheten und sonstige Religionslehrkräfte der Kirche an</w:t>
      </w:r>
      <w:r w:rsidR="004E4CB6">
        <w:t xml:space="preserve"> </w:t>
      </w:r>
      <w:r>
        <w:t>öffentlichen Grundschulen, Mittelschulen und Förderzentren für das Haushaltsjahr</w:t>
      </w:r>
      <w:r w:rsidR="00A55FA2">
        <w:t> </w:t>
      </w:r>
      <w:r>
        <w:t>2021 waren nach der Schlussrechnu</w:t>
      </w:r>
      <w:r w:rsidR="00A55FA2">
        <w:t>ng 2021 aus dem jeweils gemäß § </w:t>
      </w:r>
      <w:r>
        <w:t>3 der</w:t>
      </w:r>
      <w:r w:rsidR="004E4CB6">
        <w:t xml:space="preserve"> </w:t>
      </w:r>
      <w:r>
        <w:t>Vereinbarungen zwischen dem Freistaat Bayern und den sieben römisch-katholischen</w:t>
      </w:r>
      <w:r w:rsidR="004E4CB6">
        <w:t xml:space="preserve"> </w:t>
      </w:r>
      <w:r>
        <w:t>(Erz-)Diözesen in Bayern vom 10. November 2016 und zwischen dem Freistaat</w:t>
      </w:r>
      <w:r w:rsidR="004E4CB6">
        <w:t xml:space="preserve"> </w:t>
      </w:r>
      <w:r>
        <w:t>Bayern und der Evangelisch-Lutherischen Kirche in Bayern vom 18. November 2016</w:t>
      </w:r>
      <w:r w:rsidR="004E4CB6">
        <w:t xml:space="preserve"> </w:t>
      </w:r>
      <w:r>
        <w:t>maßgeblichen Erhebungsjahr 2019 bei der</w:t>
      </w:r>
      <w:r w:rsidR="00A55FA2">
        <w:t xml:space="preserve"> Römisch-Katholischen Kirche 27 </w:t>
      </w:r>
      <w:r>
        <w:t>003</w:t>
      </w:r>
      <w:r w:rsidR="004E4CB6">
        <w:t xml:space="preserve"> </w:t>
      </w:r>
      <w:r>
        <w:t>Jahreswochenstunden und bei der Evangelisch-Luthe</w:t>
      </w:r>
      <w:r w:rsidR="00A55FA2">
        <w:t>rischen Kirche in Bayern 13 </w:t>
      </w:r>
      <w:r>
        <w:t>777</w:t>
      </w:r>
      <w:r w:rsidR="004E4CB6">
        <w:t xml:space="preserve"> </w:t>
      </w:r>
      <w:r>
        <w:t>Jahreswochenstunden zu Grunde zu legen. Die Pauschalvergütung 2021 stellt auch</w:t>
      </w:r>
      <w:r w:rsidR="004E4CB6">
        <w:t xml:space="preserve"> </w:t>
      </w:r>
      <w:r>
        <w:t>die Grundlage für die Abschlagszahlungen im Haushaltsjahr 2022 dar. Die</w:t>
      </w:r>
      <w:r w:rsidR="004E4CB6">
        <w:t xml:space="preserve"> </w:t>
      </w:r>
      <w:r>
        <w:t>Berechnung der Pauschalvergütung für das Jahr 2022 erfolgt im Herbst 2022 unter</w:t>
      </w:r>
      <w:r w:rsidR="004E4CB6">
        <w:t xml:space="preserve"> </w:t>
      </w:r>
      <w:r>
        <w:t xml:space="preserve">Heranziehung der Jahreswochenstunden </w:t>
      </w:r>
      <w:r w:rsidR="00A55FA2">
        <w:t>aus der Erhebung 2021. Dem in § </w:t>
      </w:r>
      <w:r>
        <w:t>1 Abs. 2</w:t>
      </w:r>
      <w:r w:rsidR="004E4CB6">
        <w:t xml:space="preserve"> </w:t>
      </w:r>
      <w:r>
        <w:t>der jeweiligen Vereinbarungen über den Zuschuss zur Besoldung der</w:t>
      </w:r>
      <w:r w:rsidR="004E4CB6">
        <w:t xml:space="preserve"> </w:t>
      </w:r>
      <w:r>
        <w:t>Seelsorgegeistlichen vom 15. Dezember 20</w:t>
      </w:r>
      <w:r w:rsidR="00A55FA2">
        <w:t>14 vereinbarten Abzug von 50 v. </w:t>
      </w:r>
      <w:r>
        <w:t>H. des</w:t>
      </w:r>
      <w:r w:rsidR="004E4CB6">
        <w:t xml:space="preserve"> </w:t>
      </w:r>
      <w:r>
        <w:t>Zuschusses zur Besoldung der Seelsorge</w:t>
      </w:r>
      <w:r w:rsidR="00A55FA2">
        <w:t>geistlichen ist jeweils gemäß § </w:t>
      </w:r>
      <w:r>
        <w:t>4 der</w:t>
      </w:r>
      <w:r w:rsidR="004E4CB6">
        <w:t xml:space="preserve"> </w:t>
      </w:r>
      <w:r>
        <w:t>Vereinbarungen über die pauschale Vergütung für die Erteilung des lehrplanmäßigen</w:t>
      </w:r>
      <w:r w:rsidR="004E4CB6">
        <w:t xml:space="preserve"> </w:t>
      </w:r>
      <w:r>
        <w:t>Religionsunterrichts durch Geistliche, Katecheten und sonstige Religionslehrkräfte der</w:t>
      </w:r>
      <w:r w:rsidR="004E4CB6">
        <w:t xml:space="preserve"> </w:t>
      </w:r>
      <w:r>
        <w:t>Kirche an öffentlichen Grundschulen, Mittelschulen und Förderzentren vom 10.</w:t>
      </w:r>
      <w:r w:rsidR="00A55FA2">
        <w:t> </w:t>
      </w:r>
      <w:r>
        <w:t>bzw.</w:t>
      </w:r>
      <w:r w:rsidR="004E4CB6">
        <w:t xml:space="preserve"> </w:t>
      </w:r>
      <w:r>
        <w:t>18. November 2016 dergestalt Rechnung getragen, dass der Abzug im jeweiligen</w:t>
      </w:r>
      <w:r w:rsidR="004E4CB6">
        <w:t xml:space="preserve"> </w:t>
      </w:r>
      <w:r w:rsidR="00A55FA2">
        <w:t>Vergütungssatz nach § </w:t>
      </w:r>
      <w:r>
        <w:t>2 Abs. 1 dieser Vereinbarungen (dynamisierte</w:t>
      </w:r>
      <w:r w:rsidR="004E4CB6">
        <w:t xml:space="preserve"> </w:t>
      </w:r>
      <w:r>
        <w:t xml:space="preserve">Ausgangspauschale 2016: 1.445 </w:t>
      </w:r>
      <w:r w:rsidR="006F49A4">
        <w:t>Euro</w:t>
      </w:r>
      <w:r>
        <w:t>) bereits pauschal berücksichtigt ist.</w:t>
      </w:r>
    </w:p>
    <w:p w14:paraId="37A786FC" w14:textId="7DCD5415" w:rsidR="009B7130" w:rsidRDefault="009B7130" w:rsidP="009B7130">
      <w:pPr>
        <w:pStyle w:val="LTAntwortRessortText"/>
      </w:pPr>
      <w:r>
        <w:t>Die Staatsregierung wurde in den vergangenen zehn Jahren nicht um ihr</w:t>
      </w:r>
      <w:r w:rsidR="004E4CB6">
        <w:t xml:space="preserve"> </w:t>
      </w:r>
      <w:r>
        <w:t>Einverständnis zu neu errichteten oder umgewandelten Seelsorgestellen im Sinne des</w:t>
      </w:r>
      <w:r w:rsidR="004E4CB6">
        <w:t xml:space="preserve"> </w:t>
      </w:r>
      <w:r w:rsidR="00A55FA2">
        <w:t>Art. 10 § </w:t>
      </w:r>
      <w:r>
        <w:t xml:space="preserve">1 Satz 2 </w:t>
      </w:r>
      <w:r w:rsidR="00C45221">
        <w:t>Buchst.</w:t>
      </w:r>
      <w:r>
        <w:t xml:space="preserve"> k Bayerisches Konkordat gebeten.</w:t>
      </w:r>
    </w:p>
    <w:p w14:paraId="30F24398" w14:textId="77777777" w:rsidR="009B7130" w:rsidRDefault="009B7130" w:rsidP="009B7130">
      <w:pPr>
        <w:pStyle w:val="LTAntwortRessortText"/>
      </w:pPr>
      <w:r>
        <w:t>Die in der Drs. 18/3954 angesprochene Auffassung der Staatsregierung, dass die</w:t>
      </w:r>
      <w:r w:rsidR="004E4CB6">
        <w:t xml:space="preserve"> </w:t>
      </w:r>
      <w:r>
        <w:t>Zuschüsse zur Besoldung der Seelsorgegeistlichen freiwillige Leistungen seien, liegt</w:t>
      </w:r>
      <w:r w:rsidR="004E4CB6">
        <w:t xml:space="preserve"> </w:t>
      </w:r>
      <w:r>
        <w:t>darin begründet, dass das Königreich Bayern schon zu Beginn des 19. Jahrhunderts</w:t>
      </w:r>
      <w:r w:rsidR="004E4CB6">
        <w:t xml:space="preserve"> </w:t>
      </w:r>
      <w:r>
        <w:t>Zuschüsse zur Besoldung der Seelsorgegeistlichen leistete, wenn das Einkommen</w:t>
      </w:r>
      <w:r w:rsidR="004E4CB6">
        <w:t xml:space="preserve"> </w:t>
      </w:r>
      <w:r>
        <w:t>des jeweiligen Pfarrers aus seinen Pfarrpfründen eine vom Staat bestimmte Höhe nicht</w:t>
      </w:r>
      <w:r w:rsidR="004E4CB6">
        <w:t xml:space="preserve"> </w:t>
      </w:r>
      <w:r>
        <w:t>erreichte, und dass das Bayerische Konkordat sowie der Vertrag mit der Evangelisch-Lutherischen Kirche in Bayern, beide aus dem Jahr 1924, die Rechtsnatur der mithin</w:t>
      </w:r>
      <w:r w:rsidR="004E4CB6">
        <w:t xml:space="preserve"> </w:t>
      </w:r>
      <w:r>
        <w:t>bereits vor Vertragsschluss einseitig gewährten staatlichen Leistungen nach</w:t>
      </w:r>
      <w:r w:rsidR="004E4CB6">
        <w:t xml:space="preserve"> </w:t>
      </w:r>
      <w:r>
        <w:t>staatlicher Rechtsauffassung nicht veränderte.</w:t>
      </w:r>
    </w:p>
    <w:p w14:paraId="5917F416" w14:textId="77777777" w:rsidR="009B7130" w:rsidRDefault="009B7130" w:rsidP="009B7130">
      <w:pPr>
        <w:pStyle w:val="LTAntwortRessortText"/>
      </w:pPr>
      <w:r>
        <w:t>Nach der Aufhebung der gesetzlichen Regelung und zwischenzeitlichen Einstellung</w:t>
      </w:r>
      <w:r w:rsidR="004E4CB6">
        <w:t xml:space="preserve"> </w:t>
      </w:r>
      <w:r>
        <w:t>der Zahlungen durch das NS-Regime wurde der Zuschuss 1949 aufgrund des</w:t>
      </w:r>
      <w:r w:rsidR="004E4CB6">
        <w:t xml:space="preserve"> </w:t>
      </w:r>
      <w:r>
        <w:t>Staatshaushaltsplans wieder aufgenommen und seither dauernd gewährt und dabei</w:t>
      </w:r>
      <w:r w:rsidR="004E4CB6">
        <w:t xml:space="preserve"> </w:t>
      </w:r>
      <w:r>
        <w:t>als freiwillige staatliche Leistung angesehen. Folge dieser Rechtsauffassung ist</w:t>
      </w:r>
      <w:r w:rsidR="004E4CB6">
        <w:t xml:space="preserve"> </w:t>
      </w:r>
      <w:r>
        <w:t>zunächst, dass es sich nicht um eine ohne weiteres aus den Kirchenverträgen</w:t>
      </w:r>
      <w:r w:rsidR="004E4CB6">
        <w:t xml:space="preserve"> </w:t>
      </w:r>
      <w:r>
        <w:t>einklagbare Rechtspflicht handelt, ferner, dass zwar auch andere Religions- und</w:t>
      </w:r>
      <w:r w:rsidR="004E4CB6">
        <w:t xml:space="preserve"> </w:t>
      </w:r>
      <w:r>
        <w:t>weltanschauliche Gemeinschaften mit Körperschaftsstatus aus Paritätsgründen die</w:t>
      </w:r>
      <w:r w:rsidR="004E4CB6">
        <w:t xml:space="preserve"> </w:t>
      </w:r>
      <w:r>
        <w:t>Gewährung einer entsprechenden Leistung beantragen können, und schließlich, dass</w:t>
      </w:r>
      <w:r w:rsidR="004E4CB6">
        <w:t xml:space="preserve"> </w:t>
      </w:r>
      <w:r>
        <w:t>darin aber auch die Grundlage für den oben erläuterten pauschalen Abzug von der für</w:t>
      </w:r>
      <w:r w:rsidR="004E4CB6">
        <w:t xml:space="preserve"> </w:t>
      </w:r>
      <w:r>
        <w:t>den von kirchlichem Personal erteilten Religionsunterricht an staatlichen Schulen zu</w:t>
      </w:r>
      <w:r w:rsidR="004E4CB6">
        <w:t xml:space="preserve"> </w:t>
      </w:r>
      <w:r>
        <w:t>leistenden Vergütung besteht.</w:t>
      </w:r>
    </w:p>
    <w:p w14:paraId="06FBCFFB" w14:textId="77777777" w:rsidR="009B7130" w:rsidRDefault="009B7130">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tblGrid>
      <w:tr w:rsidR="009B7130" w14:paraId="13C74564" w14:textId="77777777" w:rsidTr="007B0B33">
        <w:tc>
          <w:tcPr>
            <w:tcW w:w="2050" w:type="dxa"/>
          </w:tcPr>
          <w:p w14:paraId="05667773" w14:textId="77777777" w:rsidR="009B7130" w:rsidRDefault="009B7130" w:rsidP="009B7130">
            <w:pPr>
              <w:pStyle w:val="LTAnfrageInitiator"/>
            </w:pPr>
            <w:r>
              <w:lastRenderedPageBreak/>
              <w:t>Abgeordnete</w:t>
            </w:r>
            <w:r>
              <w:rPr>
                <w:b/>
              </w:rPr>
              <w:br/>
              <w:t>Diana</w:t>
            </w:r>
            <w:r>
              <w:rPr>
                <w:b/>
              </w:rPr>
              <w:br/>
              <w:t>Stachowitz</w:t>
            </w:r>
            <w:r>
              <w:rPr>
                <w:b/>
              </w:rPr>
              <w:br/>
            </w:r>
            <w:r>
              <w:t>(SPD)</w:t>
            </w:r>
            <w:bookmarkStart w:id="73" w:name="Frage_Nr_36"/>
            <w:bookmarkEnd w:id="73"/>
          </w:p>
        </w:tc>
        <w:tc>
          <w:tcPr>
            <w:tcW w:w="7200" w:type="dxa"/>
          </w:tcPr>
          <w:p w14:paraId="47013125" w14:textId="77777777" w:rsidR="009B7130" w:rsidRDefault="00464F5C" w:rsidP="009B7130">
            <w:pPr>
              <w:pStyle w:val="LTAnfrageText"/>
            </w:pPr>
            <w:r w:rsidRPr="00464F5C">
              <w:rPr>
                <w:szCs w:val="24"/>
              </w:rPr>
              <w:t>Da die Grund- und Mittelschulen in Bayern, um den Schulbetrieb zu gewährleisten, dringend personelle Unterstützung brauchen und bisher zum Halbjahr häufig Lehrkräfte zur Verfügung standen, die sich während ihrer eigentlichen Elternzeit bereit erklärt haben, für einige Stunden Unterrichtsverpflichtung ihre Familienpause zu unterbrechen, um an einer Schule in der Nähe ihres Wohnortes auszuhelfen, frage ich die Staatsregierung, in welchem Stundenumfang in den einzelnen Regierungsbezirken die Lehrerinnen bzw. Lehrer dieses Angebot unterbreitet haben und wie viele dieser Unterrichtsverpflichtungs-Angebote angenommen bzw. abgelehnt wurden und falls Ablehnungen ausgesprochen wurden, mit welcher Begründung?</w:t>
            </w:r>
          </w:p>
        </w:tc>
      </w:tr>
    </w:tbl>
    <w:p w14:paraId="5EBDC4D9" w14:textId="77777777" w:rsidR="009B7130" w:rsidRDefault="009B7130" w:rsidP="009B7130">
      <w:pPr>
        <w:pStyle w:val="LTUeberschrAntwortRessort"/>
      </w:pPr>
      <w:r>
        <w:t>Antwort des Staatsministeriums für Unterricht und Kultus</w:t>
      </w:r>
    </w:p>
    <w:p w14:paraId="3135A987" w14:textId="491F923B" w:rsidR="009B7130" w:rsidRDefault="009B7130" w:rsidP="009B7130">
      <w:pPr>
        <w:pStyle w:val="LTAntwortRessortText"/>
      </w:pPr>
      <w:r>
        <w:t>Stellen für Lehrkräfte, die während des ersten Schulhalbjahres frei werden, dürfen</w:t>
      </w:r>
      <w:r w:rsidR="00D85FAE">
        <w:t xml:space="preserve"> </w:t>
      </w:r>
      <w:r>
        <w:t xml:space="preserve">frühestens zum </w:t>
      </w:r>
      <w:r w:rsidR="008204DD">
        <w:t>darauffolgenden</w:t>
      </w:r>
      <w:r>
        <w:t xml:space="preserve"> Schulhalbjahr wiederbesetzt werden. Dies gilt für</w:t>
      </w:r>
      <w:r w:rsidR="00D85FAE">
        <w:t xml:space="preserve"> </w:t>
      </w:r>
      <w:r>
        <w:t>alle möglichen Gründe des Freiwerdens der Stellen (</w:t>
      </w:r>
      <w:r w:rsidR="006F49A4">
        <w:t>u. a.</w:t>
      </w:r>
      <w:r>
        <w:t xml:space="preserve"> gesetzlicher Ruhestand</w:t>
      </w:r>
      <w:r w:rsidR="00D85FAE">
        <w:t xml:space="preserve"> </w:t>
      </w:r>
      <w:r>
        <w:t>zum Schulhalbjahr, Ruhestand wegen Dienstunfähigkeit). Das Staatsministerium für</w:t>
      </w:r>
      <w:r w:rsidR="00D85FAE">
        <w:t xml:space="preserve"> </w:t>
      </w:r>
      <w:r>
        <w:t>Unterricht und Kultus ermittelt den Gesamtumfang des im ersten Schulhalbjahr</w:t>
      </w:r>
      <w:r w:rsidR="00D85FAE">
        <w:t xml:space="preserve"> </w:t>
      </w:r>
      <w:r>
        <w:t>entstandenen bzw. noch zum Ende des ersten Schulhalbjahres entstehenden</w:t>
      </w:r>
      <w:r w:rsidR="00D85FAE">
        <w:t xml:space="preserve"> </w:t>
      </w:r>
      <w:r>
        <w:t>Ersatzbedarfs in den einzelnen Regierungsbezirken. Da die Regierungen</w:t>
      </w:r>
      <w:r w:rsidR="00D85FAE">
        <w:t xml:space="preserve"> </w:t>
      </w:r>
      <w:r>
        <w:t>grundsätzlich ermächtigt sind, den gesamten Ersatzbedarf in eigener Zuständigkeit</w:t>
      </w:r>
      <w:r w:rsidR="00D85FAE">
        <w:t xml:space="preserve"> </w:t>
      </w:r>
      <w:r>
        <w:t>zum Beginn des zweiten Schulhalbjahres durch personalwirtschaftliche Maßnahmen</w:t>
      </w:r>
      <w:r w:rsidR="00D85FAE">
        <w:t xml:space="preserve"> </w:t>
      </w:r>
      <w:r>
        <w:t>wie Teilzeiterhöhungen, Beurlaubungsrückkehrerinnen bzw. -rückkehrer sowie neue</w:t>
      </w:r>
      <w:r w:rsidR="00D85FAE">
        <w:t xml:space="preserve"> </w:t>
      </w:r>
      <w:r>
        <w:t>befristete Arbeitsverträge zu decken, wird in diesem Zuge auch erfasst, in welchem</w:t>
      </w:r>
      <w:r w:rsidR="00D85FAE">
        <w:t xml:space="preserve"> </w:t>
      </w:r>
      <w:r>
        <w:t>Umfang die Regierungen den Ersatzbedarf voraussichtlich über diese</w:t>
      </w:r>
      <w:r w:rsidR="00D85FAE">
        <w:t xml:space="preserve"> </w:t>
      </w:r>
      <w:r>
        <w:t>personalwirtschaftlichen Möglichkeiten decken können. Es erfolgt jedoch keine</w:t>
      </w:r>
      <w:r w:rsidR="00D85FAE">
        <w:t xml:space="preserve"> </w:t>
      </w:r>
      <w:r>
        <w:t>Aufschlüsselung, mit welcher personalwirtschaftlichen Maßnahme im Einzelnen</w:t>
      </w:r>
      <w:r w:rsidR="00D85FAE">
        <w:t xml:space="preserve"> </w:t>
      </w:r>
      <w:r>
        <w:t>geplant ist, die erforderlichen Kapazitäten zu decken. Es werden seitens des</w:t>
      </w:r>
      <w:r w:rsidR="00D85FAE">
        <w:t xml:space="preserve"> </w:t>
      </w:r>
      <w:r>
        <w:t>Staatsministeriums für Unterricht und Kultus zudem keine Daten erhoben, wenn die</w:t>
      </w:r>
      <w:r w:rsidR="00D85FAE">
        <w:t xml:space="preserve"> </w:t>
      </w:r>
      <w:r>
        <w:t>Regierungen in diesem Rahmen Angebote von Lehrkräften beispielsweise aus</w:t>
      </w:r>
      <w:r w:rsidR="00D85FAE">
        <w:t xml:space="preserve"> </w:t>
      </w:r>
      <w:r>
        <w:t>formalen oder schulorganisatorischen Gründen ablehnen müssen.</w:t>
      </w:r>
    </w:p>
    <w:p w14:paraId="72B55AB6" w14:textId="77777777" w:rsidR="009B7130" w:rsidRDefault="009B7130">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9B7130" w14:paraId="0C3A9869" w14:textId="77777777" w:rsidTr="007B0B33">
        <w:tc>
          <w:tcPr>
            <w:tcW w:w="2050" w:type="dxa"/>
          </w:tcPr>
          <w:p w14:paraId="3265DA93" w14:textId="77777777" w:rsidR="009B7130" w:rsidRDefault="009B7130" w:rsidP="009B7130">
            <w:pPr>
              <w:pStyle w:val="LTAnfrageInitiator"/>
            </w:pPr>
            <w:r>
              <w:lastRenderedPageBreak/>
              <w:t>Abgeordnete</w:t>
            </w:r>
            <w:r>
              <w:rPr>
                <w:b/>
              </w:rPr>
              <w:br/>
              <w:t>Gabriele</w:t>
            </w:r>
            <w:r>
              <w:rPr>
                <w:b/>
              </w:rPr>
              <w:br/>
              <w:t>Triebel</w:t>
            </w:r>
            <w:r>
              <w:rPr>
                <w:b/>
              </w:rPr>
              <w:br/>
            </w:r>
            <w:r>
              <w:t>(BÜNDNIS 90/DIE GRÜNEN)</w:t>
            </w:r>
            <w:bookmarkStart w:id="75" w:name="Frage_Nr_37"/>
            <w:bookmarkEnd w:id="75"/>
          </w:p>
        </w:tc>
        <w:tc>
          <w:tcPr>
            <w:tcW w:w="7200" w:type="dxa"/>
          </w:tcPr>
          <w:p w14:paraId="087F06F5" w14:textId="77777777" w:rsidR="009B7130" w:rsidRDefault="00464F5C" w:rsidP="009B7130">
            <w:pPr>
              <w:pStyle w:val="LTAnfrageText"/>
            </w:pPr>
            <w:r w:rsidRPr="00464F5C">
              <w:rPr>
                <w:szCs w:val="24"/>
              </w:rPr>
              <w:t>Anlässlich des Erdrutsches am KZ-Ehrenfriedhof Leitenberg (siehe Berichterstattung in der Süddeutschen Zeitung vom 11.02.2022) und anknüpfend an meine Anfrage zum Plenum vom 05.02.2021 frage ich die Staatsregierung, wieso hat die Stiftung Bayerische Gedenkstätten bzw. das zuständige Staatsministerium für Unterricht und Kultus bislang keinen Beschluss zur Erhaltung des KZ-Ehrenfriedhofs Leitenberg gefasst, welche Sofortmaßnahmen wird sie ergreifen, um den weiteren Verfall dieses zentralen Gedenkortes zu verhindern und welche zeitliche bzw. finanzielle Perspektive für die Zuwegung und Sicherung des Friedhofs sieht sie?</w:t>
            </w:r>
          </w:p>
        </w:tc>
      </w:tr>
    </w:tbl>
    <w:p w14:paraId="3EF5987C" w14:textId="77777777" w:rsidR="009B7130" w:rsidRDefault="009B7130" w:rsidP="009B7130">
      <w:pPr>
        <w:pStyle w:val="LTUeberschrAntwortRessort"/>
      </w:pPr>
      <w:r>
        <w:t>Antwort des Staatsministeriums für Unterricht und Kultus</w:t>
      </w:r>
    </w:p>
    <w:p w14:paraId="6EE7AA8E" w14:textId="77777777" w:rsidR="009B7130" w:rsidRDefault="009B7130" w:rsidP="009B7130">
      <w:pPr>
        <w:pStyle w:val="LTAntwortRessortText"/>
      </w:pPr>
      <w:r>
        <w:t>Die Staatsregierung hat keinen gesonderten Beschluss zum KZ-Friedhof Leitenberg</w:t>
      </w:r>
      <w:r w:rsidR="00351A5B">
        <w:t xml:space="preserve"> </w:t>
      </w:r>
      <w:r>
        <w:t>gefasst, weil dessen Erhalt im Rahmen der regulären Aufgabenwahrnehmung der</w:t>
      </w:r>
      <w:r w:rsidR="00351A5B">
        <w:t xml:space="preserve"> </w:t>
      </w:r>
      <w:r>
        <w:t>Stiftung Bayerische Gedenkstätten bzw. der Gedenkstätte Dachau sichergestellt</w:t>
      </w:r>
      <w:r w:rsidR="00351A5B">
        <w:t xml:space="preserve"> </w:t>
      </w:r>
      <w:r>
        <w:t>wird.</w:t>
      </w:r>
      <w:r w:rsidR="00351A5B">
        <w:t xml:space="preserve"> </w:t>
      </w:r>
      <w:r>
        <w:t>Als Sofortmaßnahmen anlässlich des kleineren Erdrutsches, der sich in einer</w:t>
      </w:r>
      <w:r w:rsidR="00351A5B">
        <w:t xml:space="preserve"> </w:t>
      </w:r>
      <w:r>
        <w:t>Entfernung von ca. 100 bis 150 Meter vom KZ-Friedhof ereignete und auf diesen</w:t>
      </w:r>
      <w:r w:rsidR="00351A5B">
        <w:t xml:space="preserve"> </w:t>
      </w:r>
      <w:r>
        <w:t>keinerlei Einfluss hatte, wurden an der Abbruchkante in Abstimmung mit den</w:t>
      </w:r>
      <w:r w:rsidR="00351A5B">
        <w:t xml:space="preserve"> </w:t>
      </w:r>
      <w:r>
        <w:t>örtlichen Naturschutzbehörden einige Bäume gefällt. Die Situation an der Hangkante</w:t>
      </w:r>
      <w:r w:rsidR="00351A5B">
        <w:t xml:space="preserve"> </w:t>
      </w:r>
      <w:r>
        <w:t>wird von der Gedenkstätte sowie vom zuständigen Staatlichen Bauamt Freising</w:t>
      </w:r>
      <w:r w:rsidR="00351A5B">
        <w:t xml:space="preserve"> </w:t>
      </w:r>
      <w:r>
        <w:t>laufend überwacht, um eine Gefährdung des KZ-Friedhofs auszuschließen.</w:t>
      </w:r>
      <w:r w:rsidR="00351A5B">
        <w:t xml:space="preserve"> </w:t>
      </w:r>
      <w:r>
        <w:t>Die Zugänglichkeit des Friedhofs ist durch einen gut gepflegten, allerdings nicht</w:t>
      </w:r>
      <w:r w:rsidR="00351A5B">
        <w:t xml:space="preserve"> </w:t>
      </w:r>
      <w:r>
        <w:t>barrierefreien Zuweg jederzeit sichergestellt. Die Errichtung eines zusätzlichen</w:t>
      </w:r>
      <w:r w:rsidR="00351A5B">
        <w:t xml:space="preserve"> </w:t>
      </w:r>
      <w:r>
        <w:t>barrierefreien Zuwegs ist in Abstimmung mit der Stadt Dachau konzipiert, wird aktuell</w:t>
      </w:r>
      <w:r w:rsidR="00351A5B">
        <w:t xml:space="preserve"> </w:t>
      </w:r>
      <w:r>
        <w:t>aber noch durch den Einspruch eines privaten Grundstückseigentümers verhindert.</w:t>
      </w:r>
      <w:r w:rsidR="00351A5B">
        <w:t xml:space="preserve"> </w:t>
      </w:r>
      <w:r>
        <w:t>Über die Frage, ob weitere Nebenwege, die sich in einem schlechteren Zustand</w:t>
      </w:r>
      <w:r w:rsidR="00351A5B">
        <w:t xml:space="preserve"> </w:t>
      </w:r>
      <w:r>
        <w:t>befinden und in einem Fall aktuell gesperrt sind, erneuert oder rückgebaut werden,</w:t>
      </w:r>
      <w:r w:rsidR="00351A5B">
        <w:t xml:space="preserve"> </w:t>
      </w:r>
      <w:r>
        <w:t>werden Stiftung, Gedenkstätte und Bauamt nach weiteren Untersuchungen</w:t>
      </w:r>
      <w:r w:rsidR="00351A5B">
        <w:t xml:space="preserve"> </w:t>
      </w:r>
      <w:r>
        <w:t>entscheiden.</w:t>
      </w:r>
    </w:p>
    <w:p w14:paraId="4886FDCD" w14:textId="77777777" w:rsidR="009B7130" w:rsidRDefault="009B7130" w:rsidP="009B7130">
      <w:pPr>
        <w:pStyle w:val="LTAntwortRessortText"/>
      </w:pPr>
      <w:r>
        <w:t>Der weitere Erhalt und die Pflege d</w:t>
      </w:r>
      <w:r w:rsidR="00741C28">
        <w:t>es KZ-Friedhofs Leitenberg ist –</w:t>
      </w:r>
      <w:r>
        <w:t xml:space="preserve"> wie bei den rund</w:t>
      </w:r>
      <w:r w:rsidR="00351A5B">
        <w:t xml:space="preserve"> </w:t>
      </w:r>
      <w:r>
        <w:t xml:space="preserve">75 weiteren KZ-Friedhöfen auch </w:t>
      </w:r>
      <w:r w:rsidR="00741C28">
        <w:t>–</w:t>
      </w:r>
      <w:r>
        <w:t xml:space="preserve"> durch von der Bundesregierung</w:t>
      </w:r>
      <w:r w:rsidR="00351A5B">
        <w:t xml:space="preserve"> </w:t>
      </w:r>
      <w:r>
        <w:t>bereitgestellte Bauunterhaltsmittel grundsätzlich gesichert. Diese werden bei Bedarf</w:t>
      </w:r>
      <w:r w:rsidR="00351A5B">
        <w:t xml:space="preserve"> </w:t>
      </w:r>
      <w:r>
        <w:t>durch Sondermittel ergänzt. Eine entsprechende Initiative hat</w:t>
      </w:r>
      <w:r w:rsidR="00351A5B">
        <w:t xml:space="preserve"> </w:t>
      </w:r>
      <w:r>
        <w:t xml:space="preserve">beispielsweise Stiftungsdirektor und Erster Landtagsvizepräsident </w:t>
      </w:r>
      <w:r w:rsidR="00741C28">
        <w:t xml:space="preserve">Karl </w:t>
      </w:r>
      <w:r>
        <w:t>Freller im Rahmen</w:t>
      </w:r>
      <w:r w:rsidR="00351A5B">
        <w:t xml:space="preserve"> </w:t>
      </w:r>
      <w:r>
        <w:t>der Haushaltsgesetzgebung 2022 auf den Weg gebracht.</w:t>
      </w:r>
    </w:p>
    <w:p w14:paraId="7DC370D1" w14:textId="77777777" w:rsidR="009B7130" w:rsidRDefault="009B7130">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9B7130" w14:paraId="188F0785" w14:textId="77777777" w:rsidTr="007B0B33">
        <w:tc>
          <w:tcPr>
            <w:tcW w:w="2050" w:type="dxa"/>
          </w:tcPr>
          <w:p w14:paraId="4DCC0FD7" w14:textId="77777777" w:rsidR="009B7130" w:rsidRDefault="009B7130" w:rsidP="009B7130">
            <w:pPr>
              <w:pStyle w:val="LTAnfrageInitiator"/>
            </w:pPr>
            <w:r>
              <w:lastRenderedPageBreak/>
              <w:t>Abgeordnete</w:t>
            </w:r>
            <w:r>
              <w:rPr>
                <w:b/>
              </w:rPr>
              <w:br/>
              <w:t>Margit</w:t>
            </w:r>
            <w:r>
              <w:rPr>
                <w:b/>
              </w:rPr>
              <w:br/>
              <w:t>Wild</w:t>
            </w:r>
            <w:r>
              <w:rPr>
                <w:b/>
              </w:rPr>
              <w:br/>
            </w:r>
            <w:r>
              <w:t>(SPD)</w:t>
            </w:r>
            <w:bookmarkStart w:id="77" w:name="Frage_Nr_38"/>
            <w:bookmarkEnd w:id="77"/>
          </w:p>
        </w:tc>
        <w:tc>
          <w:tcPr>
            <w:tcW w:w="7200" w:type="dxa"/>
          </w:tcPr>
          <w:p w14:paraId="28888625" w14:textId="77777777" w:rsidR="009B7130" w:rsidRDefault="00464F5C" w:rsidP="009B7130">
            <w:pPr>
              <w:pStyle w:val="LTAnfrageText"/>
            </w:pPr>
            <w:r w:rsidRPr="00464F5C">
              <w:rPr>
                <w:szCs w:val="24"/>
              </w:rPr>
              <w:t>Nachdem während der Coronapandemie sog. Teamlehrkräfte den Unterrichtsbetrieb in Bayern unterstützt haben und teilweise den Präsenzunterrichts einer Stammlehrkraft, die coronabedingt nicht selbst vor der Klasse stehen konnte, übernommen haben, frage ich die Staatsregierung, wie viele Teamlehrkräfte jeweils in den beiden Schuljahren 2020/2021 bzw. 2021/2022 bisher zum Einsatz gekommen sind (bitte aufgelistet nach Regierungsbezirken, kreisfreien Städten und Gemeinden angeben), wie sich der Stundenumfang der Teamlehrkräfte in diesen beiden Schuljahren darstellt (bitte aufgelistet nach Regierungsbezirken, kreisfreien Städten und Gemeinden angeben) und welcher unverbrauchter Finanzmittel-Bedarf für die Teamlehrkräfte in den beiden Schuljahren sich bisher errechnet?</w:t>
            </w:r>
          </w:p>
        </w:tc>
      </w:tr>
    </w:tbl>
    <w:p w14:paraId="42203722" w14:textId="77777777" w:rsidR="009B7130" w:rsidRDefault="009B7130" w:rsidP="009B7130">
      <w:pPr>
        <w:pStyle w:val="LTUeberschrAntwortRessort"/>
      </w:pPr>
      <w:r>
        <w:t>Antwort des Staatsministeriums für Unterricht und Kultus</w:t>
      </w:r>
    </w:p>
    <w:p w14:paraId="68EFE792" w14:textId="4E59DA8D" w:rsidR="009B7130" w:rsidRDefault="009B7130" w:rsidP="009B7130">
      <w:pPr>
        <w:pStyle w:val="LTAntwortRessortText"/>
      </w:pPr>
      <w:r>
        <w:t>Die pandemiebedingte Beschäftigung von Teamlehrkräften an den Schulen in</w:t>
      </w:r>
      <w:r w:rsidR="00B01476">
        <w:t xml:space="preserve"> </w:t>
      </w:r>
      <w:r>
        <w:t>Bayern ist erstmals seit Beginn des Schuljahres 2020/2021 möglich. Diese</w:t>
      </w:r>
      <w:r w:rsidR="00B01476">
        <w:t xml:space="preserve"> </w:t>
      </w:r>
      <w:r>
        <w:t>übernehmen den Präsenzunterricht einer Stammlehrkraft, die coronabedingt nicht</w:t>
      </w:r>
      <w:r w:rsidR="00B01476">
        <w:t xml:space="preserve"> </w:t>
      </w:r>
      <w:r>
        <w:t>selbst vor der Klasse stehen kann. Teamlehrkräfte bereiten den Unterricht</w:t>
      </w:r>
      <w:r w:rsidR="00B01476">
        <w:t xml:space="preserve"> </w:t>
      </w:r>
      <w:r>
        <w:t>gemeinsam mit der Stammlehrkraft, die für die jeweilige Klasse bzw. das jeweilige</w:t>
      </w:r>
      <w:r w:rsidR="00B01476">
        <w:t xml:space="preserve"> </w:t>
      </w:r>
      <w:r>
        <w:t>Fach eingeteilt ist, vor und nach. Die Stammlehrkraft leistet bei pädagogischen und</w:t>
      </w:r>
      <w:r w:rsidR="00B01476">
        <w:t xml:space="preserve"> </w:t>
      </w:r>
      <w:r>
        <w:t>fachlichen Fragen Unterstützung.</w:t>
      </w:r>
      <w:r w:rsidR="00B01476">
        <w:t xml:space="preserve"> </w:t>
      </w:r>
      <w:r w:rsidR="00634909">
        <w:t xml:space="preserve">Den beiliegenden Tabellen </w:t>
      </w:r>
      <w:r w:rsidR="00F811E4" w:rsidRPr="00F811E4">
        <w:rPr>
          <w:rStyle w:val="LTHyperlinkZchn"/>
          <w:b w:val="0"/>
        </w:rPr>
        <w:t>*)</w:t>
      </w:r>
      <w:r w:rsidR="00F811E4">
        <w:t xml:space="preserve"> </w:t>
      </w:r>
      <w:r w:rsidR="00903597">
        <w:t>1</w:t>
      </w:r>
      <w:r w:rsidR="00F811E4">
        <w:t xml:space="preserve"> bis </w:t>
      </w:r>
      <w:r w:rsidR="00903597">
        <w:t>3</w:t>
      </w:r>
      <w:r>
        <w:t xml:space="preserve"> kann für den jeweiligen Stichtag die Anzahl der</w:t>
      </w:r>
      <w:r w:rsidR="00B01476">
        <w:t xml:space="preserve"> </w:t>
      </w:r>
      <w:r>
        <w:t>Teamlehrkräfte (10.02.2021) sowie die Anzahl der Team- bzw. Aushilfslehrkräfte</w:t>
      </w:r>
      <w:r w:rsidR="00B01476">
        <w:t xml:space="preserve"> </w:t>
      </w:r>
      <w:r>
        <w:t>(28.07.2021 und 16.02.2022), mit denen zum entsprechenden Stichtag</w:t>
      </w:r>
      <w:r w:rsidR="00B01476">
        <w:t xml:space="preserve"> </w:t>
      </w:r>
      <w:r>
        <w:t>Vereinbarungen zum Einsatz im Schuljahr 2020/2021 bzw. 2021/2022 bestanden, in</w:t>
      </w:r>
      <w:r w:rsidR="00B01476">
        <w:t xml:space="preserve"> </w:t>
      </w:r>
      <w:r>
        <w:t>Aufgliederung nach dem Regierungsbezirk entnommen werden. Dabei wird sowohl</w:t>
      </w:r>
      <w:r w:rsidR="00B01476">
        <w:t xml:space="preserve"> </w:t>
      </w:r>
      <w:r>
        <w:t>die Anzahl der Personen als auch die Anzahl an Vollzeitäquivalenten ausgewiesen.</w:t>
      </w:r>
      <w:r w:rsidR="00B01476">
        <w:t xml:space="preserve"> </w:t>
      </w:r>
      <w:r>
        <w:t>Daten auf Ebene der Gemeinden bzw. kreisfreien Städte liegen dem</w:t>
      </w:r>
      <w:r w:rsidR="00B01476">
        <w:t xml:space="preserve"> </w:t>
      </w:r>
      <w:r>
        <w:t>Staatsministerium für Unterricht und Kultus (StMUK) nicht vor; auf eine Erhebung</w:t>
      </w:r>
      <w:r w:rsidR="00B01476">
        <w:t xml:space="preserve"> </w:t>
      </w:r>
      <w:r>
        <w:t>wurde aufgrund des damit verbundenen Verwaltungsaufwands verzichtet.</w:t>
      </w:r>
    </w:p>
    <w:p w14:paraId="5693AC2C" w14:textId="77777777" w:rsidR="009B7130" w:rsidRDefault="009B7130" w:rsidP="009B7130">
      <w:pPr>
        <w:pStyle w:val="LTAntwortRessortText"/>
      </w:pPr>
      <w:r>
        <w:t>Da dem StMUK für die Beruflichen Oberschulen keine entsprechenden</w:t>
      </w:r>
      <w:r w:rsidR="00B01476">
        <w:t xml:space="preserve"> </w:t>
      </w:r>
      <w:r>
        <w:t>regionalisierten Daten vorliegen, sind diese Schularten in den beiliegenden Tabellen</w:t>
      </w:r>
      <w:r w:rsidR="00B01476">
        <w:t xml:space="preserve"> </w:t>
      </w:r>
      <w:r>
        <w:t>1 bis 3 nicht berücksichtigt.</w:t>
      </w:r>
      <w:r w:rsidR="00B01476">
        <w:t xml:space="preserve"> </w:t>
      </w:r>
      <w:r>
        <w:t>Seit dem 24.02.2021 wird dem StMUK über den Einsatz der Team- wie auch der</w:t>
      </w:r>
      <w:r w:rsidR="00B01476">
        <w:t xml:space="preserve"> </w:t>
      </w:r>
      <w:r>
        <w:t>zusätzlichen Aushilfskräfte, die ebenfalls bei coronabedingten Ausfällen von</w:t>
      </w:r>
      <w:r w:rsidR="00B01476">
        <w:t xml:space="preserve"> </w:t>
      </w:r>
      <w:r>
        <w:t xml:space="preserve">Stammlehrkräften </w:t>
      </w:r>
      <w:r w:rsidR="00634909">
        <w:t>zum Einsatz kommen und für die –</w:t>
      </w:r>
      <w:r>
        <w:t xml:space="preserve"> ergänzend zu den sonstigen</w:t>
      </w:r>
      <w:r w:rsidR="00B01476">
        <w:t xml:space="preserve"> </w:t>
      </w:r>
      <w:r w:rsidR="00634909">
        <w:t>Aushilfsmitteln –</w:t>
      </w:r>
      <w:r>
        <w:t xml:space="preserve"> ebenfalls zusätzliche Mittel aus dem gleichen Haushaltsansatz</w:t>
      </w:r>
      <w:r w:rsidR="00B01476">
        <w:t xml:space="preserve"> </w:t>
      </w:r>
      <w:r>
        <w:t>bereitgestellt wurden, in einer gemeinsamen Meldung berichtet. Daher ist ein</w:t>
      </w:r>
      <w:r w:rsidR="00B01476">
        <w:t xml:space="preserve"> </w:t>
      </w:r>
      <w:r>
        <w:t>Vergleich der Zahlen vor dem 24.02.2021 mit den Zahlen ab diesem Stichtag nur</w:t>
      </w:r>
      <w:r w:rsidR="00B01476">
        <w:t xml:space="preserve"> </w:t>
      </w:r>
      <w:r>
        <w:t>bedingt möglich.</w:t>
      </w:r>
    </w:p>
    <w:p w14:paraId="7A40EF8B" w14:textId="77777777" w:rsidR="009B7130" w:rsidRDefault="009B7130" w:rsidP="009B7130">
      <w:pPr>
        <w:pStyle w:val="LTAntwortRessortText"/>
      </w:pPr>
      <w:r>
        <w:t>Es wird darauf hingewiesen, dass die vorliegenden Daten jeweils die</w:t>
      </w:r>
      <w:r w:rsidR="002B2533">
        <w:t xml:space="preserve"> </w:t>
      </w:r>
      <w:r>
        <w:t>stichtagsbezogene Situation abbilden, jedoch keine summativen Werte darstellen.</w:t>
      </w:r>
      <w:r w:rsidR="002B2533">
        <w:t xml:space="preserve"> </w:t>
      </w:r>
      <w:r>
        <w:t xml:space="preserve">Konkrete Aussagen dazu, wie viele Personen insgesamt bislang </w:t>
      </w:r>
      <w:r w:rsidR="006F49A4">
        <w:t>z. B.</w:t>
      </w:r>
      <w:r>
        <w:t xml:space="preserve"> als</w:t>
      </w:r>
      <w:r w:rsidR="002B2533">
        <w:t xml:space="preserve"> </w:t>
      </w:r>
      <w:r>
        <w:t>Teamlehrkraft beschäftigt waren, sind daher nicht möglich. Zu beachten ist ferner,</w:t>
      </w:r>
      <w:r w:rsidR="002B2533">
        <w:t xml:space="preserve"> </w:t>
      </w:r>
      <w:r>
        <w:t>dass der Mittelabruf seinerseits einer gewissen Fluktuation unterworfen ist: So kann</w:t>
      </w:r>
      <w:r w:rsidR="002B2533">
        <w:t xml:space="preserve"> </w:t>
      </w:r>
      <w:r>
        <w:t>beispielsweise der Einsatz einer Teamlehrkraft entbehrlich werden, wenn die</w:t>
      </w:r>
      <w:r w:rsidR="002B2533">
        <w:t xml:space="preserve"> </w:t>
      </w:r>
      <w:r>
        <w:t>betreffende Stammlehrkraft während des Schuljahres in den Unterricht zurückkehrt;</w:t>
      </w:r>
      <w:r w:rsidR="002B2533">
        <w:t xml:space="preserve"> </w:t>
      </w:r>
      <w:r>
        <w:t>die entsprechenden Mittel können in diesem Fall für andere Verträge verwendet</w:t>
      </w:r>
      <w:r w:rsidR="002B2533">
        <w:t xml:space="preserve"> </w:t>
      </w:r>
      <w:r>
        <w:t>werden.</w:t>
      </w:r>
    </w:p>
    <w:p w14:paraId="2832A65A" w14:textId="77777777" w:rsidR="009B7130" w:rsidRDefault="009B7130" w:rsidP="009B7130">
      <w:pPr>
        <w:pStyle w:val="LTAntwortRessortText"/>
      </w:pPr>
      <w:r>
        <w:lastRenderedPageBreak/>
        <w:t>Zur Beschäftigung von Teamlehrkräften ab dem Schuljahr 2020/2021 wurden über</w:t>
      </w:r>
      <w:r w:rsidR="002B2533">
        <w:t xml:space="preserve"> </w:t>
      </w:r>
      <w:r w:rsidR="00634909">
        <w:t>den Sonderfonds Coronap</w:t>
      </w:r>
      <w:r>
        <w:t xml:space="preserve">andemie bei Kap. 13 19 Tit. 428 95 insg. 30 Mio. </w:t>
      </w:r>
      <w:r w:rsidR="006F49A4">
        <w:t>Euro</w:t>
      </w:r>
      <w:r w:rsidR="002B2533">
        <w:t xml:space="preserve"> </w:t>
      </w:r>
      <w:r>
        <w:t>bereitgestellt. Zum 31.08.2021 (Ende des Schuljahres 2020/2021) wurden hiervon rd.</w:t>
      </w:r>
      <w:r w:rsidR="002B2533">
        <w:t xml:space="preserve"> </w:t>
      </w:r>
      <w:r>
        <w:t xml:space="preserve">21,3 Mio. </w:t>
      </w:r>
      <w:r w:rsidR="006F49A4">
        <w:t>Euro</w:t>
      </w:r>
      <w:r>
        <w:t xml:space="preserve"> verausgabt, zum 31.01.2022 insgesamt rd. 24,4 Mio. </w:t>
      </w:r>
      <w:r w:rsidR="006F49A4">
        <w:t>Euro</w:t>
      </w:r>
      <w:r>
        <w:t>.</w:t>
      </w:r>
    </w:p>
    <w:p w14:paraId="3A24921A" w14:textId="77777777" w:rsidR="009B7130" w:rsidRDefault="009B7130" w:rsidP="009B7130">
      <w:pPr>
        <w:pStyle w:val="LTAntwortRessortText"/>
      </w:pPr>
    </w:p>
    <w:p w14:paraId="2805CD42" w14:textId="58393648" w:rsidR="009B7130" w:rsidRDefault="00F811E4" w:rsidP="009B7130">
      <w:pPr>
        <w:pStyle w:val="LTAntwortRessortText"/>
      </w:pPr>
      <w:r>
        <w:t xml:space="preserve">*) Von einem Abdruck wurde abgesehen. Die Anlage ist als pdf-Dokument </w:t>
      </w:r>
      <w:hyperlink r:id="rId15" w:history="1">
        <w:r w:rsidRPr="00F811E4">
          <w:rPr>
            <w:rStyle w:val="LTHyperlinkZchn"/>
            <w:b w:val="0"/>
          </w:rPr>
          <w:t>hier</w:t>
        </w:r>
      </w:hyperlink>
      <w:r>
        <w:t xml:space="preserve"> einsehbar.</w:t>
      </w:r>
    </w:p>
    <w:p w14:paraId="01A02057" w14:textId="77777777" w:rsidR="009B7130" w:rsidRDefault="009B7130">
      <w:bookmarkStart w:id="78" w:name="Frage_Nr_38_Ende"/>
      <w:bookmarkEnd w:id="78"/>
      <w:r>
        <w:br w:type="page"/>
      </w:r>
    </w:p>
    <w:p w14:paraId="77056864" w14:textId="77777777" w:rsidR="009B7130" w:rsidRDefault="009B7130" w:rsidP="009B7130">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B7130" w14:paraId="02104F96" w14:textId="77777777" w:rsidTr="007B0B33">
        <w:tc>
          <w:tcPr>
            <w:tcW w:w="2050" w:type="dxa"/>
          </w:tcPr>
          <w:p w14:paraId="2582CCC7" w14:textId="77777777" w:rsidR="009B7130" w:rsidRDefault="009B7130" w:rsidP="009B7130">
            <w:pPr>
              <w:pStyle w:val="LTAnfrageInitiator"/>
            </w:pPr>
            <w:r>
              <w:t>Abgeordnete</w:t>
            </w:r>
            <w:r>
              <w:rPr>
                <w:b/>
              </w:rPr>
              <w:br/>
              <w:t>Anne</w:t>
            </w:r>
            <w:r>
              <w:rPr>
                <w:b/>
              </w:rPr>
              <w:br/>
              <w:t>Franke</w:t>
            </w:r>
            <w:r>
              <w:rPr>
                <w:b/>
              </w:rPr>
              <w:br/>
            </w:r>
            <w:r>
              <w:t>(BÜNDNIS 90/DIE GRÜNEN)</w:t>
            </w:r>
            <w:bookmarkStart w:id="79" w:name="Frage_Nr_39"/>
            <w:bookmarkEnd w:id="79"/>
          </w:p>
        </w:tc>
        <w:tc>
          <w:tcPr>
            <w:tcW w:w="7200" w:type="dxa"/>
          </w:tcPr>
          <w:p w14:paraId="25F6A478" w14:textId="77777777" w:rsidR="009B7130" w:rsidRDefault="00464F5C" w:rsidP="009B7130">
            <w:pPr>
              <w:pStyle w:val="LTAnfrageText"/>
            </w:pPr>
            <w:r w:rsidRPr="00464F5C">
              <w:rPr>
                <w:szCs w:val="24"/>
              </w:rPr>
              <w:t>Angesichts der Bedeutung, die die Staatsregierung dem Thema Cyber Security beimisst (siehe die Antwort auf meine Anfrage zum Plenum, wonach im Haushalt für die Münchner Sicherheitskonferenz im Bereich Cyber Security eine finanzielle Förderung von insgesamt 902 Tsd. Euro vorgesehen ist) frage ich die Staatsregierung, was ist aus dem im Reformbeirat und im Hochschulbeirat der Hochschule für Politik angedachten interdisziplinären „Center for Conflict Resolution, Human and Cyber Security“ samt vorgesehener W3 Professur geworden, aus welchem Grund wurde das Vorhaben nicht umgesetzt und welche wissenschaftlichen Einrichtungen außer der neu geschaffenen Professur „Global Security &amp; Technology“ an der Hochschule für Politik (HfP) sind in diesem Bereich geplant?</w:t>
            </w:r>
          </w:p>
        </w:tc>
      </w:tr>
    </w:tbl>
    <w:p w14:paraId="46C9E59D" w14:textId="77777777" w:rsidR="009B7130" w:rsidRDefault="009B7130" w:rsidP="009B7130">
      <w:pPr>
        <w:pStyle w:val="LTUeberschrAntwortRessort"/>
      </w:pPr>
      <w:r>
        <w:t>Antwort des Staatsministeriums für Wissenschaft und Kunst</w:t>
      </w:r>
    </w:p>
    <w:p w14:paraId="4A7A93C0" w14:textId="77777777" w:rsidR="009B7130" w:rsidRDefault="009B7130" w:rsidP="009B7130">
      <w:pPr>
        <w:pStyle w:val="LTAntwortRessortText"/>
      </w:pPr>
      <w:r>
        <w:t xml:space="preserve">Für das seinerzeit von der Reformrektorin der </w:t>
      </w:r>
      <w:r w:rsidR="003303F8">
        <w:t>Hochschule für Politik (</w:t>
      </w:r>
      <w:r>
        <w:t>HfP</w:t>
      </w:r>
      <w:r w:rsidR="003303F8">
        <w:t>)</w:t>
      </w:r>
      <w:r>
        <w:t xml:space="preserve"> </w:t>
      </w:r>
      <w:r w:rsidR="003303F8">
        <w:t>mit Unterstützung des Reformbei</w:t>
      </w:r>
      <w:r>
        <w:t>rats ausgearbeitete Konzept war die Bereitstellung d</w:t>
      </w:r>
      <w:r w:rsidR="003303F8">
        <w:t>er erforderlichen Mittel zur Fi</w:t>
      </w:r>
      <w:r>
        <w:t>nanzierung des Lehrstuhls zum damaligen Zeitpunkt (September 2020) seitens der TUM-Hochschulleitung ungeachtet der Bedeutung des Themas nicht möglich. Ein Antrag auf Bereitstellung zusätzlicher Mittel aus dem Staatshaushalt erfolgte nicht.</w:t>
      </w:r>
    </w:p>
    <w:p w14:paraId="5B8303D1" w14:textId="77777777" w:rsidR="009B7130" w:rsidRDefault="009B7130" w:rsidP="009B7130">
      <w:pPr>
        <w:pStyle w:val="LTAntwortRessortText"/>
      </w:pPr>
      <w:r>
        <w:t>Aktuell ist vorgesehen, die Themen Cyber Security, Resilienz und Souveränität im Rahmen des neu geschaffenen TUM Think Tan</w:t>
      </w:r>
      <w:r w:rsidR="003303F8">
        <w:t>ks an der HfP als zentrale Quer</w:t>
      </w:r>
      <w:r>
        <w:t>schnittsthemen zu berücksichtigen. Dabei werden auch gezielt Schnittstellen mit dem HfP-affiliierten TUM Center for Digital Public Services einbezogen, das sich intensiv mit den vielgestaltigen Fragen d</w:t>
      </w:r>
      <w:r w:rsidR="003303F8">
        <w:t>er IT-Sicherheit in der Praxis – mit einem Schwer</w:t>
      </w:r>
      <w:r>
        <w:t>pun</w:t>
      </w:r>
      <w:r w:rsidR="003303F8">
        <w:t>kt auf öffentlicher Verwaltung –</w:t>
      </w:r>
      <w:r>
        <w:t xml:space="preserve"> beschäftigt.</w:t>
      </w:r>
    </w:p>
    <w:p w14:paraId="4C364550" w14:textId="77777777" w:rsidR="009B7130" w:rsidRDefault="009B7130" w:rsidP="009B7130">
      <w:pPr>
        <w:pStyle w:val="LTAntwortRessortText"/>
      </w:pPr>
      <w:r>
        <w:t xml:space="preserve">Die Bereiche Cyber Security und die damit in Zusammenhang stehende Conflict Prevention &amp; Resolution spielen zudem im Rahmen des Lehrstuhls für Recht und Sicherheit der Digitalisierung sowie im Kontext der neu geschaffenen Professur Public Policy, Governance and Innovative Technology eine wichtige Rolle, </w:t>
      </w:r>
      <w:r w:rsidR="006F49A4">
        <w:t>u. a.</w:t>
      </w:r>
      <w:r>
        <w:t xml:space="preserve"> in Zusammenarbeit mit dem WEF (World Economic </w:t>
      </w:r>
      <w:r w:rsidR="00244F19">
        <w:t xml:space="preserve">Forum), UNICEF (Kinderhilfswerk </w:t>
      </w:r>
      <w:r>
        <w:t>der Vereinten Nationen), der OECD (Organisation</w:t>
      </w:r>
      <w:r w:rsidR="00904223">
        <w:t xml:space="preserve"> für wirtschaftliche Zusammenar</w:t>
      </w:r>
      <w:r>
        <w:t>beit und Entwicklung) sowie der ICT4Peace Foundation1.</w:t>
      </w:r>
      <w:r w:rsidR="00244F19">
        <w:t xml:space="preserve"> </w:t>
      </w:r>
      <w:r>
        <w:t>München, den 24. Februar 2022 1 Die ICT4Peace Foundation ist eine politik- und handlungsorientierte internationale Stiftung mit Sitz in der Schweiz. Ihr Ziel ist es, durch Informations- und Kommunikationstechnologie Leben zu retten und die Menschenwürde zu schützen.</w:t>
      </w:r>
    </w:p>
    <w:p w14:paraId="590DE67A" w14:textId="77777777" w:rsidR="009B7130" w:rsidRDefault="009B7130">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B7130" w14:paraId="295A4743" w14:textId="77777777" w:rsidTr="007B0B33">
        <w:tc>
          <w:tcPr>
            <w:tcW w:w="2050" w:type="dxa"/>
          </w:tcPr>
          <w:p w14:paraId="054FBD0D" w14:textId="77777777" w:rsidR="009B7130" w:rsidRDefault="009B7130" w:rsidP="009B7130">
            <w:pPr>
              <w:pStyle w:val="LTAnfrageInitiator"/>
            </w:pPr>
            <w:r>
              <w:lastRenderedPageBreak/>
              <w:t>Abgeordnete</w:t>
            </w:r>
            <w:r>
              <w:rPr>
                <w:b/>
              </w:rPr>
              <w:br/>
              <w:t>Verena</w:t>
            </w:r>
            <w:r>
              <w:rPr>
                <w:b/>
              </w:rPr>
              <w:br/>
              <w:t>Osgyan</w:t>
            </w:r>
            <w:r>
              <w:rPr>
                <w:b/>
              </w:rPr>
              <w:br/>
            </w:r>
            <w:r>
              <w:t>(BÜNDNIS 90/DIE GRÜNEN)</w:t>
            </w:r>
            <w:bookmarkStart w:id="81" w:name="Frage_Nr_40"/>
            <w:bookmarkEnd w:id="81"/>
          </w:p>
        </w:tc>
        <w:tc>
          <w:tcPr>
            <w:tcW w:w="7200" w:type="dxa"/>
          </w:tcPr>
          <w:p w14:paraId="5F145052" w14:textId="77777777" w:rsidR="009B7130" w:rsidRDefault="00464F5C" w:rsidP="009B7130">
            <w:pPr>
              <w:pStyle w:val="LTAnfrageText"/>
            </w:pPr>
            <w:r w:rsidRPr="00464F5C">
              <w:rPr>
                <w:szCs w:val="24"/>
              </w:rPr>
              <w:t>Ich frage die Staatsregierung, wie ist der Wortlaut der planerischen und baulichen Masterplanungen für die Friedrich-Alexander-Universität (FAU) Erlangen-Nürnberg, konkret des Masterplans FAU, des Masterplans Universitätsklinikum und des Masterplans Uni-Südgelände?</w:t>
            </w:r>
          </w:p>
        </w:tc>
      </w:tr>
    </w:tbl>
    <w:p w14:paraId="076C9748" w14:textId="77777777" w:rsidR="009B7130" w:rsidRDefault="009B7130" w:rsidP="009B7130">
      <w:pPr>
        <w:pStyle w:val="LTUeberschrAntwortRessort"/>
      </w:pPr>
      <w:r>
        <w:t>Antwort des Staatsministeriums für Wissenschaft und Kunst</w:t>
      </w:r>
    </w:p>
    <w:p w14:paraId="6BF452A3" w14:textId="77777777" w:rsidR="009B7130" w:rsidRDefault="009B7130" w:rsidP="009B7130">
      <w:pPr>
        <w:pStyle w:val="LTAntwortRessortText"/>
      </w:pPr>
      <w:r>
        <w:t xml:space="preserve">Vorab ist festzuhalten, dass </w:t>
      </w:r>
      <w:r w:rsidR="006F49A4">
        <w:t>„</w:t>
      </w:r>
      <w:r>
        <w:t>Masterpläne</w:t>
      </w:r>
      <w:r w:rsidR="006F49A4">
        <w:t>“</w:t>
      </w:r>
      <w:r>
        <w:t xml:space="preserve"> kein fo</w:t>
      </w:r>
      <w:r w:rsidR="005F08EE">
        <w:t>rmelles Instrument im Bauverfah</w:t>
      </w:r>
      <w:r>
        <w:t>ren sind, sondern lediglich der internen Planung und l</w:t>
      </w:r>
      <w:r w:rsidR="005F08EE">
        <w:t>angfristigen Strukturierung die</w:t>
      </w:r>
      <w:r>
        <w:t>nen.</w:t>
      </w:r>
    </w:p>
    <w:p w14:paraId="17131ADF" w14:textId="77777777" w:rsidR="009B7130" w:rsidRPr="00A60251" w:rsidRDefault="009B7130" w:rsidP="009B7130">
      <w:pPr>
        <w:pStyle w:val="LTAntwortRessortText"/>
        <w:rPr>
          <w:u w:val="single"/>
        </w:rPr>
      </w:pPr>
      <w:r w:rsidRPr="00A60251">
        <w:rPr>
          <w:u w:val="single"/>
        </w:rPr>
        <w:t xml:space="preserve">1. </w:t>
      </w:r>
      <w:r w:rsidR="006F49A4">
        <w:rPr>
          <w:u w:val="single"/>
        </w:rPr>
        <w:t>„</w:t>
      </w:r>
      <w:r w:rsidRPr="00A60251">
        <w:rPr>
          <w:u w:val="single"/>
        </w:rPr>
        <w:t xml:space="preserve">Masterplan </w:t>
      </w:r>
      <w:r w:rsidR="005F08EE">
        <w:rPr>
          <w:u w:val="single"/>
        </w:rPr>
        <w:t>Friedrich-Alexander-Universität (</w:t>
      </w:r>
      <w:r w:rsidRPr="00A60251">
        <w:rPr>
          <w:u w:val="single"/>
        </w:rPr>
        <w:t>FAU</w:t>
      </w:r>
      <w:r w:rsidR="005F08EE">
        <w:rPr>
          <w:u w:val="single"/>
        </w:rPr>
        <w:t>)</w:t>
      </w:r>
      <w:r w:rsidR="006F49A4">
        <w:rPr>
          <w:u w:val="single"/>
        </w:rPr>
        <w:t>“</w:t>
      </w:r>
    </w:p>
    <w:p w14:paraId="52FAA6F7" w14:textId="77777777" w:rsidR="009B7130" w:rsidRDefault="009B7130" w:rsidP="00A60251">
      <w:pPr>
        <w:pStyle w:val="LTAntwortRessortText"/>
        <w:spacing w:before="60"/>
      </w:pPr>
      <w:r>
        <w:t xml:space="preserve">Ein förmlich ausformulierter allgemeiner Masterplan der FAU existiert nicht. Die FAU hat aber unabhängig davon konkrete Vorstellungen zu ihrer baulichen Entwicklung, auf deren Grundlage gemeinsam mit dem </w:t>
      </w:r>
      <w:r w:rsidR="005F08EE">
        <w:t>Staatsministerium für Wissenschaft und Kunst (</w:t>
      </w:r>
      <w:r>
        <w:t>StMWK</w:t>
      </w:r>
      <w:r w:rsidR="005F08EE">
        <w:t>)</w:t>
      </w:r>
      <w:r>
        <w:t xml:space="preserve"> Schritt für Schritt die Umsetzung des baulichen Sanierungs- und Neubaubedarfs erfolgt. Für diesen wurden seit 2019 bereits Große Baumaßnahmen mit einem Gesamtumfang von annähernd 1 </w:t>
      </w:r>
      <w:r w:rsidR="005F08EE">
        <w:t>Mrd.</w:t>
      </w:r>
      <w:r>
        <w:t xml:space="preserve"> Euro gebilligt und verbindlich eingeplant.</w:t>
      </w:r>
    </w:p>
    <w:p w14:paraId="74E43648" w14:textId="77777777" w:rsidR="009B7130" w:rsidRPr="00A60251" w:rsidRDefault="009B7130" w:rsidP="009B7130">
      <w:pPr>
        <w:pStyle w:val="LTAntwortRessortText"/>
        <w:rPr>
          <w:u w:val="single"/>
        </w:rPr>
      </w:pPr>
      <w:r w:rsidRPr="00A60251">
        <w:rPr>
          <w:u w:val="single"/>
        </w:rPr>
        <w:t>2. Masterplanung Universitätsmedizin Erlangen</w:t>
      </w:r>
    </w:p>
    <w:p w14:paraId="72035F37" w14:textId="77777777" w:rsidR="009B7130" w:rsidRDefault="009B7130" w:rsidP="00A60251">
      <w:pPr>
        <w:pStyle w:val="LTAntwortRessortText"/>
        <w:spacing w:before="60"/>
      </w:pPr>
      <w:r>
        <w:t xml:space="preserve">Die Masterplanung Universitätsmedizin Erlangen, die im Auftrag des Staatlichen Bauamts Erlangen-Nürnberg erstellt worden ist, wurde im Juni 2018 abgeschlossen und im Anschluss dem Stadtrat der Stadt Erlangen </w:t>
      </w:r>
      <w:r w:rsidR="005F08EE">
        <w:t>und dem Aufsichtsrat des Univer</w:t>
      </w:r>
      <w:r>
        <w:t>sitätsklinikums Erlangen vorgestellt.</w:t>
      </w:r>
    </w:p>
    <w:p w14:paraId="0668B2F3" w14:textId="77777777" w:rsidR="009B7130" w:rsidRPr="00A60251" w:rsidRDefault="009B7130" w:rsidP="009B7130">
      <w:pPr>
        <w:pStyle w:val="LTAntwortRessortText"/>
        <w:rPr>
          <w:u w:val="single"/>
        </w:rPr>
      </w:pPr>
      <w:r w:rsidRPr="00A60251">
        <w:rPr>
          <w:u w:val="single"/>
        </w:rPr>
        <w:t>3. Masterplan Südgelände der FAU</w:t>
      </w:r>
    </w:p>
    <w:p w14:paraId="79A5D264" w14:textId="77777777" w:rsidR="009B7130" w:rsidRDefault="009B7130" w:rsidP="00A60251">
      <w:pPr>
        <w:pStyle w:val="LTAntwortRessortText"/>
        <w:spacing w:before="60"/>
      </w:pPr>
      <w:r>
        <w:t>Für die FAU existiert ein umfangreicher Entwurf ein</w:t>
      </w:r>
      <w:r w:rsidR="005F08EE">
        <w:t>es Masterplans Süd (unter Einbe</w:t>
      </w:r>
      <w:r>
        <w:t>ziehung des Siemens-Geländes). Dieser Masterplan</w:t>
      </w:r>
      <w:r w:rsidR="00A60251">
        <w:t xml:space="preserve"> Süd geht auch auf Flächen ein, </w:t>
      </w:r>
      <w:r>
        <w:t>die der Freistaat Bayern bislang noch nicht rechtsk</w:t>
      </w:r>
      <w:r w:rsidR="005F08EE">
        <w:t>räftig erworben hat. Um die Ver</w:t>
      </w:r>
      <w:r>
        <w:t>handlungen nicht zu behindern, wurde bis zum Ab</w:t>
      </w:r>
      <w:r w:rsidR="005F08EE">
        <w:t>schluss des Erwerbs Stillschwei</w:t>
      </w:r>
      <w:r>
        <w:t>gen vereinbart. Nach einer in diesem Zusammenhang vorgesehenen Befassung des Erlanger Stadtrats wird die FAU den Masterplan Süd zur allgemeinen Information auf ihrer Homepage zur Verfügung stellen.</w:t>
      </w:r>
    </w:p>
    <w:p w14:paraId="6985366B" w14:textId="77777777" w:rsidR="009B7130" w:rsidRDefault="009B7130">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B7130" w14:paraId="41E280A9" w14:textId="77777777" w:rsidTr="007B0B33">
        <w:tc>
          <w:tcPr>
            <w:tcW w:w="2050" w:type="dxa"/>
          </w:tcPr>
          <w:p w14:paraId="36859CE2" w14:textId="77777777" w:rsidR="009B7130" w:rsidRDefault="009B7130" w:rsidP="009B7130">
            <w:pPr>
              <w:pStyle w:val="LTAnfrageInitiator"/>
            </w:pPr>
            <w:r>
              <w:lastRenderedPageBreak/>
              <w:t>Abgeordneter</w:t>
            </w:r>
            <w:r>
              <w:rPr>
                <w:b/>
              </w:rPr>
              <w:br/>
              <w:t>Christian</w:t>
            </w:r>
            <w:r>
              <w:rPr>
                <w:b/>
              </w:rPr>
              <w:br/>
              <w:t>Zwanziger</w:t>
            </w:r>
            <w:r>
              <w:rPr>
                <w:b/>
              </w:rPr>
              <w:br/>
            </w:r>
            <w:r>
              <w:t>(BÜNDNIS 90/DIE GRÜNEN)</w:t>
            </w:r>
            <w:bookmarkStart w:id="83" w:name="Frage_Nr_41"/>
            <w:bookmarkEnd w:id="83"/>
          </w:p>
        </w:tc>
        <w:tc>
          <w:tcPr>
            <w:tcW w:w="7200" w:type="dxa"/>
          </w:tcPr>
          <w:p w14:paraId="3EE0672A" w14:textId="77777777" w:rsidR="009B7130" w:rsidRDefault="00464F5C" w:rsidP="009B7130">
            <w:pPr>
              <w:pStyle w:val="LTAnfrageText"/>
            </w:pPr>
            <w:r w:rsidRPr="00464F5C">
              <w:rPr>
                <w:szCs w:val="24"/>
              </w:rPr>
              <w:t>Ich frage die Staatsregierung, ob Einnahmen aus einer Parkraumbewirtschaftung durch Hochschulen und Universitäten unter Art. 5 Abs. 1 Satz 5 des Bayerischen Hochschulgesetzes (BayHschG) („Soweit im Staatshaushaltsplan oder in diesem Gesetz nichts anderes bestimmt ist, stehen von der Hochschule erzielte Einnahmen dieser zur Verwendung für Hochschulzwecke zur Verfügung.“) fallen würden, ob Einnahmen aus einer Parkraumbewirtschaftung demnach an Hochschulen und Universitäten verwendbar für Lehre, Forschung oder etwa Klimaschutz- und Klimaanpassungsmaßnahmen wären und welche zusätzlichen Anreize für Studierende wie Beschäftigte an staatlichen Hochschulen und Universitäten wird die Staatsregierung schaffen, damit diese auf Fahrrad, Bahn und Bus umsteigen (bitte Zeitplan nennen)?</w:t>
            </w:r>
          </w:p>
        </w:tc>
      </w:tr>
    </w:tbl>
    <w:p w14:paraId="296EBB66" w14:textId="77777777" w:rsidR="009B7130" w:rsidRDefault="009B7130" w:rsidP="00115D08">
      <w:pPr>
        <w:pStyle w:val="LTUeberschrAntwortRessort"/>
      </w:pPr>
      <w:r>
        <w:t>Antwort des Staatsminister</w:t>
      </w:r>
      <w:r w:rsidR="00115D08">
        <w:t xml:space="preserve">iums für Wissenschaft und Kunst </w:t>
      </w:r>
      <w:r>
        <w:t>unter Abstimmung mit dem Staatsministerium für Wohnen. Bau und Verkehr:</w:t>
      </w:r>
    </w:p>
    <w:p w14:paraId="1817F007" w14:textId="77777777" w:rsidR="009B7130" w:rsidRDefault="009B7130" w:rsidP="00115D08">
      <w:pPr>
        <w:pStyle w:val="LTAntwortRessortText"/>
      </w:pPr>
      <w:r>
        <w:t>Bei den Einnahmen aus einer Parkraumbewirtsch</w:t>
      </w:r>
      <w:r w:rsidR="00E34CDA">
        <w:t>aftung ist zu unterscheiden zwi</w:t>
      </w:r>
      <w:r>
        <w:t>schen längerfristiger und kurzfristiger Stellplatzvermietung.</w:t>
      </w:r>
      <w:r w:rsidR="00115D08">
        <w:t xml:space="preserve"> </w:t>
      </w:r>
      <w:r>
        <w:t>Die Einnahmen aus längerfristiger Vermietung, V</w:t>
      </w:r>
      <w:r w:rsidR="00E34CDA">
        <w:t>erpachtung oder Nutzung von Räu</w:t>
      </w:r>
      <w:r>
        <w:t>men (einschließlich Stellplätzen) sind von der Hochschule bei dem Titel 124 01 für den Staatshaushalt zu vereinnahmen und stehen der Hochschule daher nicht zur Verfügung.</w:t>
      </w:r>
      <w:r w:rsidR="00115D08">
        <w:t xml:space="preserve"> </w:t>
      </w:r>
      <w:r>
        <w:t>Für die Einnahmen aus kurzfristiger Vermietung, Verpachtung oder Nutzung von Räumen (einschließlich Stellplätzen), die von der Hochschule bei dem Titel 124 02 gebucht werden, ist im jeweiligen Hochschulkapitel in</w:t>
      </w:r>
      <w:r w:rsidR="00E34CDA">
        <w:t xml:space="preserve"> der Titelgruppe 73 (Ausgaben) –</w:t>
      </w:r>
      <w:r>
        <w:t xml:space="preserve"> </w:t>
      </w:r>
      <w:r w:rsidR="006F49A4">
        <w:t>„</w:t>
      </w:r>
      <w:r>
        <w:t>Lehre und Forschung</w:t>
      </w:r>
      <w:r w:rsidR="006F49A4">
        <w:t>“</w:t>
      </w:r>
      <w:r>
        <w:t xml:space="preserve"> (Universitäten), </w:t>
      </w:r>
      <w:r w:rsidR="006F49A4">
        <w:t>„</w:t>
      </w:r>
      <w:r>
        <w:t>Lehre, Versuchseinrichtungen und Prüf-stellen</w:t>
      </w:r>
      <w:r w:rsidR="006F49A4">
        <w:t>“</w:t>
      </w:r>
      <w:r>
        <w:t xml:space="preserve"> (Hochschulen für angewandte Wissenschaften) bzw. </w:t>
      </w:r>
      <w:r w:rsidR="006F49A4">
        <w:t>„</w:t>
      </w:r>
      <w:r w:rsidR="00E34CDA">
        <w:t>Lehr- und Unterrichts</w:t>
      </w:r>
      <w:r>
        <w:t>betrieb</w:t>
      </w:r>
      <w:r w:rsidR="006F49A4">
        <w:t>“</w:t>
      </w:r>
      <w:r w:rsidR="00E34CDA">
        <w:t xml:space="preserve"> (Kunsthochschulen) –</w:t>
      </w:r>
      <w:r>
        <w:t xml:space="preserve"> folgender Haushaltsvermerk ausgebracht: </w:t>
      </w:r>
      <w:r w:rsidR="006F49A4">
        <w:t>„</w:t>
      </w:r>
      <w:r w:rsidR="00E34CDA">
        <w:t>Die Ausga</w:t>
      </w:r>
      <w:r>
        <w:t>bebefugnis erhöht (...) sich um die Mehr- oder Mindereinnahme bei 124 02 (...).</w:t>
      </w:r>
      <w:r w:rsidR="006F49A4">
        <w:t>“</w:t>
      </w:r>
      <w:r w:rsidR="00E34CDA">
        <w:t xml:space="preserve"> Tat</w:t>
      </w:r>
      <w:r>
        <w:t>sächliche Mehreinnahmen gegenüber dem bei T</w:t>
      </w:r>
      <w:r w:rsidR="00E34CDA">
        <w:t>itel 124 02 veranschlagten Haus</w:t>
      </w:r>
      <w:r>
        <w:t>haltsansatz verbleiben daher bei der Hochschule und stehen ihr im Rahmen der Zweckbestimmung der Titelgruppe 73 für Lehre und Forschung zur Verfügung. Eine Verwendung der Mehreinnahmen für reine Klimaschutz- und</w:t>
      </w:r>
      <w:r w:rsidR="00E34CDA">
        <w:t xml:space="preserve"> Anpassungsmaßnah</w:t>
      </w:r>
      <w:r>
        <w:t>men, etwa im baulichen Bereich, scheidet damit im Regelfall aus. Eine Ausnahm</w:t>
      </w:r>
      <w:r w:rsidR="00115D08">
        <w:t>e ist möglich bei der (Ersatz-)</w:t>
      </w:r>
      <w:r>
        <w:t>Beschaffung energieeffizienter, klimafreundlicher Geräte für Lehre und Forschung (Titel 812 73).</w:t>
      </w:r>
    </w:p>
    <w:p w14:paraId="69600A51" w14:textId="77777777" w:rsidR="009B7130" w:rsidRDefault="009B7130" w:rsidP="009B7130">
      <w:pPr>
        <w:pStyle w:val="LTAntwortRessortText"/>
      </w:pPr>
      <w:r>
        <w:t>Für alle Beschäftigten des Freistaats gibt es Jobticket-Angebote (</w:t>
      </w:r>
      <w:r w:rsidR="006F49A4">
        <w:t>z. B.</w:t>
      </w:r>
      <w:r>
        <w:t xml:space="preserve"> Jobticket der Deutschen Bahn, IsarCardjob im Bereich des Mün</w:t>
      </w:r>
      <w:r w:rsidR="00E34CDA">
        <w:t>chner Verkehrs- und Tarifverbun</w:t>
      </w:r>
      <w:r>
        <w:t>des, Jobticket der</w:t>
      </w:r>
      <w:r w:rsidR="00E34CDA">
        <w:t xml:space="preserve"> Bayerischen Oberlandbahn GmbH –</w:t>
      </w:r>
      <w:r>
        <w:t xml:space="preserve"> BOB, auch für das MERI-DIAN-Netz), um den Umstieg auf den öffentlichen Nahverkehr zu erleichtern.</w:t>
      </w:r>
    </w:p>
    <w:p w14:paraId="2478B419" w14:textId="77777777" w:rsidR="009B7130" w:rsidRDefault="009B7130" w:rsidP="009B7130">
      <w:pPr>
        <w:pStyle w:val="LTAntwortRessortText"/>
      </w:pPr>
      <w:r>
        <w:t>Für die Studierenden habe</w:t>
      </w:r>
      <w:r w:rsidR="00E34CDA">
        <w:t>n die Studentenwerke (vgl. Art. </w:t>
      </w:r>
      <w:r>
        <w:t xml:space="preserve">95 Abs. 4 </w:t>
      </w:r>
      <w:r w:rsidR="00E34CDA">
        <w:t xml:space="preserve">Bayerisches Hochschulgesetz – </w:t>
      </w:r>
      <w:r>
        <w:t>BayHSchG) mit den jeweiligen Trägern des öffentlichen Nahverkeh</w:t>
      </w:r>
      <w:r w:rsidR="00E34CDA">
        <w:t>rs für folgende Hochschulen Ver</w:t>
      </w:r>
      <w:r>
        <w:t>einbarungen für die Beförderung der Studierenden zu einem meist deutli</w:t>
      </w:r>
      <w:r w:rsidR="00E34CDA">
        <w:t>ch ermäßig</w:t>
      </w:r>
      <w:r>
        <w:t>ten Beförderungsentgelt geschlossen. Die Einfü</w:t>
      </w:r>
      <w:r w:rsidR="00E34CDA">
        <w:t>hrung muss von den Studentenwer</w:t>
      </w:r>
      <w:r>
        <w:t>ken vor Ort umgesetzt werden. Eine Einführung durch den Freistaat selbst ist nicht möglich.</w:t>
      </w:r>
    </w:p>
    <w:p w14:paraId="45A1E16C" w14:textId="77777777" w:rsidR="009B7130" w:rsidRDefault="009B7130" w:rsidP="009B7130">
      <w:pPr>
        <w:pStyle w:val="LTAntwortRessortText"/>
      </w:pPr>
    </w:p>
    <w:tbl>
      <w:tblPr>
        <w:tblStyle w:val="TableNormal"/>
        <w:tblW w:w="724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3128"/>
        <w:gridCol w:w="4110"/>
      </w:tblGrid>
      <w:tr w:rsidR="00115D08" w:rsidRPr="00BC5B04" w14:paraId="0C0C91F3" w14:textId="77777777" w:rsidTr="00E34CDA">
        <w:trPr>
          <w:gridBefore w:val="1"/>
          <w:wBefore w:w="10" w:type="dxa"/>
          <w:trHeight w:val="357"/>
        </w:trPr>
        <w:tc>
          <w:tcPr>
            <w:tcW w:w="3128" w:type="dxa"/>
            <w:vMerge w:val="restart"/>
          </w:tcPr>
          <w:p w14:paraId="6E51CADE" w14:textId="77777777" w:rsidR="00115D08" w:rsidRPr="00BC5B04" w:rsidRDefault="00115D08" w:rsidP="00945207">
            <w:pPr>
              <w:pStyle w:val="TableParagraph"/>
              <w:ind w:left="107"/>
              <w:rPr>
                <w:rFonts w:ascii="Arial" w:hAnsi="Arial" w:cs="Arial"/>
                <w:sz w:val="18"/>
                <w:szCs w:val="18"/>
              </w:rPr>
            </w:pPr>
            <w:r w:rsidRPr="00BC5B04">
              <w:rPr>
                <w:rFonts w:ascii="Arial" w:hAnsi="Arial" w:cs="Arial"/>
                <w:sz w:val="18"/>
                <w:szCs w:val="18"/>
              </w:rPr>
              <w:lastRenderedPageBreak/>
              <w:t>Studentenwerk Augsburg:</w:t>
            </w:r>
          </w:p>
        </w:tc>
        <w:tc>
          <w:tcPr>
            <w:tcW w:w="4110" w:type="dxa"/>
          </w:tcPr>
          <w:p w14:paraId="52E0904C"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Universität Augsburg</w:t>
            </w:r>
          </w:p>
        </w:tc>
      </w:tr>
      <w:tr w:rsidR="00115D08" w:rsidRPr="00BC5B04" w14:paraId="2099A304" w14:textId="77777777" w:rsidTr="00E34CDA">
        <w:trPr>
          <w:gridBefore w:val="1"/>
          <w:wBefore w:w="10" w:type="dxa"/>
          <w:trHeight w:val="354"/>
        </w:trPr>
        <w:tc>
          <w:tcPr>
            <w:tcW w:w="3128" w:type="dxa"/>
            <w:vMerge/>
            <w:tcBorders>
              <w:top w:val="nil"/>
            </w:tcBorders>
          </w:tcPr>
          <w:p w14:paraId="5947BEB0" w14:textId="77777777" w:rsidR="00115D08" w:rsidRPr="00BC5B04" w:rsidRDefault="00115D08" w:rsidP="00945207">
            <w:pPr>
              <w:rPr>
                <w:rFonts w:cs="Arial"/>
                <w:sz w:val="18"/>
                <w:szCs w:val="18"/>
              </w:rPr>
            </w:pPr>
          </w:p>
        </w:tc>
        <w:tc>
          <w:tcPr>
            <w:tcW w:w="4110" w:type="dxa"/>
          </w:tcPr>
          <w:p w14:paraId="306B549C"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Hochschule Augsburg</w:t>
            </w:r>
          </w:p>
        </w:tc>
      </w:tr>
      <w:tr w:rsidR="00115D08" w:rsidRPr="00BC5B04" w14:paraId="059651BF" w14:textId="77777777" w:rsidTr="00E34CDA">
        <w:trPr>
          <w:gridBefore w:val="1"/>
          <w:wBefore w:w="10" w:type="dxa"/>
          <w:trHeight w:val="357"/>
        </w:trPr>
        <w:tc>
          <w:tcPr>
            <w:tcW w:w="3128" w:type="dxa"/>
            <w:vMerge/>
            <w:tcBorders>
              <w:top w:val="nil"/>
            </w:tcBorders>
          </w:tcPr>
          <w:p w14:paraId="410F88B9" w14:textId="77777777" w:rsidR="00115D08" w:rsidRPr="00BC5B04" w:rsidRDefault="00115D08" w:rsidP="00945207">
            <w:pPr>
              <w:rPr>
                <w:rFonts w:cs="Arial"/>
                <w:sz w:val="18"/>
                <w:szCs w:val="18"/>
              </w:rPr>
            </w:pPr>
          </w:p>
        </w:tc>
        <w:tc>
          <w:tcPr>
            <w:tcW w:w="4110" w:type="dxa"/>
          </w:tcPr>
          <w:p w14:paraId="0BFD0ADC"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Hochschule Kempten</w:t>
            </w:r>
          </w:p>
        </w:tc>
      </w:tr>
      <w:tr w:rsidR="00115D08" w:rsidRPr="00BC5B04" w14:paraId="30F09A6E" w14:textId="77777777" w:rsidTr="00E34CDA">
        <w:trPr>
          <w:gridBefore w:val="1"/>
          <w:wBefore w:w="10" w:type="dxa"/>
          <w:trHeight w:val="354"/>
        </w:trPr>
        <w:tc>
          <w:tcPr>
            <w:tcW w:w="3128" w:type="dxa"/>
            <w:vMerge/>
            <w:tcBorders>
              <w:top w:val="nil"/>
            </w:tcBorders>
          </w:tcPr>
          <w:p w14:paraId="72CACC39" w14:textId="77777777" w:rsidR="00115D08" w:rsidRPr="00BC5B04" w:rsidRDefault="00115D08" w:rsidP="00945207">
            <w:pPr>
              <w:rPr>
                <w:rFonts w:cs="Arial"/>
                <w:sz w:val="18"/>
                <w:szCs w:val="18"/>
              </w:rPr>
            </w:pPr>
          </w:p>
        </w:tc>
        <w:tc>
          <w:tcPr>
            <w:tcW w:w="4110" w:type="dxa"/>
          </w:tcPr>
          <w:p w14:paraId="69099D9E"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Hochschule Neu-Ulm</w:t>
            </w:r>
          </w:p>
        </w:tc>
      </w:tr>
      <w:tr w:rsidR="00115D08" w:rsidRPr="00BC5B04" w14:paraId="3A61505E" w14:textId="77777777" w:rsidTr="00E34CDA">
        <w:trPr>
          <w:gridBefore w:val="1"/>
          <w:wBefore w:w="10" w:type="dxa"/>
          <w:trHeight w:val="357"/>
        </w:trPr>
        <w:tc>
          <w:tcPr>
            <w:tcW w:w="3128" w:type="dxa"/>
            <w:vMerge w:val="restart"/>
          </w:tcPr>
          <w:p w14:paraId="1961343F" w14:textId="77777777" w:rsidR="00115D08" w:rsidRPr="00BC5B04" w:rsidRDefault="00115D08" w:rsidP="00945207">
            <w:pPr>
              <w:pStyle w:val="TableParagraph"/>
              <w:ind w:left="107"/>
              <w:rPr>
                <w:rFonts w:ascii="Arial" w:hAnsi="Arial" w:cs="Arial"/>
                <w:sz w:val="18"/>
                <w:szCs w:val="18"/>
              </w:rPr>
            </w:pPr>
            <w:r w:rsidRPr="00BC5B04">
              <w:rPr>
                <w:rFonts w:ascii="Arial" w:hAnsi="Arial" w:cs="Arial"/>
                <w:sz w:val="18"/>
                <w:szCs w:val="18"/>
              </w:rPr>
              <w:t>Studentenwerk Erlangen-Nürnberg:</w:t>
            </w:r>
          </w:p>
        </w:tc>
        <w:tc>
          <w:tcPr>
            <w:tcW w:w="4110" w:type="dxa"/>
          </w:tcPr>
          <w:p w14:paraId="411E16E6"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Universität Erlangen-Nürnberg</w:t>
            </w:r>
          </w:p>
        </w:tc>
      </w:tr>
      <w:tr w:rsidR="00115D08" w:rsidRPr="00BC5B04" w14:paraId="5739C335" w14:textId="77777777" w:rsidTr="00E34CDA">
        <w:trPr>
          <w:gridBefore w:val="1"/>
          <w:wBefore w:w="10" w:type="dxa"/>
          <w:trHeight w:val="355"/>
        </w:trPr>
        <w:tc>
          <w:tcPr>
            <w:tcW w:w="3128" w:type="dxa"/>
            <w:vMerge/>
            <w:tcBorders>
              <w:top w:val="nil"/>
            </w:tcBorders>
          </w:tcPr>
          <w:p w14:paraId="425505AF" w14:textId="77777777" w:rsidR="00115D08" w:rsidRPr="00BC5B04" w:rsidRDefault="00115D08" w:rsidP="00945207">
            <w:pPr>
              <w:rPr>
                <w:rFonts w:cs="Arial"/>
                <w:sz w:val="18"/>
                <w:szCs w:val="18"/>
              </w:rPr>
            </w:pPr>
          </w:p>
        </w:tc>
        <w:tc>
          <w:tcPr>
            <w:tcW w:w="4110" w:type="dxa"/>
          </w:tcPr>
          <w:p w14:paraId="52C7D4C1"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TH Nürnberg</w:t>
            </w:r>
          </w:p>
        </w:tc>
      </w:tr>
      <w:tr w:rsidR="00115D08" w:rsidRPr="00BC5B04" w14:paraId="6B5C9B1D" w14:textId="77777777" w:rsidTr="00E34CDA">
        <w:trPr>
          <w:gridBefore w:val="1"/>
          <w:wBefore w:w="10" w:type="dxa"/>
          <w:trHeight w:val="357"/>
        </w:trPr>
        <w:tc>
          <w:tcPr>
            <w:tcW w:w="3128" w:type="dxa"/>
            <w:vMerge/>
            <w:tcBorders>
              <w:top w:val="nil"/>
            </w:tcBorders>
          </w:tcPr>
          <w:p w14:paraId="5E02B2F3" w14:textId="77777777" w:rsidR="00115D08" w:rsidRPr="00BC5B04" w:rsidRDefault="00115D08" w:rsidP="00945207">
            <w:pPr>
              <w:rPr>
                <w:rFonts w:cs="Arial"/>
                <w:sz w:val="18"/>
                <w:szCs w:val="18"/>
              </w:rPr>
            </w:pPr>
          </w:p>
        </w:tc>
        <w:tc>
          <w:tcPr>
            <w:tcW w:w="4110" w:type="dxa"/>
          </w:tcPr>
          <w:p w14:paraId="2898074B"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Hochschule für Musik Nürnberg</w:t>
            </w:r>
          </w:p>
        </w:tc>
      </w:tr>
      <w:tr w:rsidR="00115D08" w:rsidRPr="00BC5B04" w14:paraId="3B09530B" w14:textId="77777777" w:rsidTr="00E34CDA">
        <w:trPr>
          <w:gridBefore w:val="1"/>
          <w:wBefore w:w="10" w:type="dxa"/>
          <w:trHeight w:val="630"/>
        </w:trPr>
        <w:tc>
          <w:tcPr>
            <w:tcW w:w="3128" w:type="dxa"/>
            <w:vMerge/>
            <w:tcBorders>
              <w:top w:val="nil"/>
            </w:tcBorders>
          </w:tcPr>
          <w:p w14:paraId="5AB7A3B1" w14:textId="77777777" w:rsidR="00115D08" w:rsidRPr="00BC5B04" w:rsidRDefault="00115D08" w:rsidP="00945207">
            <w:pPr>
              <w:rPr>
                <w:rFonts w:cs="Arial"/>
                <w:sz w:val="18"/>
                <w:szCs w:val="18"/>
              </w:rPr>
            </w:pPr>
          </w:p>
        </w:tc>
        <w:tc>
          <w:tcPr>
            <w:tcW w:w="4110" w:type="dxa"/>
          </w:tcPr>
          <w:p w14:paraId="520F9664" w14:textId="77777777" w:rsidR="00115D08" w:rsidRPr="00BC5B04" w:rsidRDefault="00115D08" w:rsidP="00945207">
            <w:pPr>
              <w:pStyle w:val="TableParagraph"/>
              <w:ind w:right="369"/>
              <w:rPr>
                <w:rFonts w:ascii="Arial" w:hAnsi="Arial" w:cs="Arial"/>
                <w:sz w:val="18"/>
                <w:szCs w:val="18"/>
              </w:rPr>
            </w:pPr>
            <w:r w:rsidRPr="00BC5B04">
              <w:rPr>
                <w:rFonts w:ascii="Arial" w:hAnsi="Arial" w:cs="Arial"/>
                <w:sz w:val="18"/>
                <w:szCs w:val="18"/>
              </w:rPr>
              <w:t>Evangel</w:t>
            </w:r>
            <w:r w:rsidR="00E34CDA" w:rsidRPr="00BC5B04">
              <w:rPr>
                <w:rFonts w:ascii="Arial" w:hAnsi="Arial" w:cs="Arial"/>
                <w:sz w:val="18"/>
                <w:szCs w:val="18"/>
              </w:rPr>
              <w:t>ische Stiftungshochschule Nürn</w:t>
            </w:r>
            <w:r w:rsidRPr="00BC5B04">
              <w:rPr>
                <w:rFonts w:ascii="Arial" w:hAnsi="Arial" w:cs="Arial"/>
                <w:sz w:val="18"/>
                <w:szCs w:val="18"/>
              </w:rPr>
              <w:t>berg</w:t>
            </w:r>
          </w:p>
        </w:tc>
      </w:tr>
      <w:tr w:rsidR="00115D08" w:rsidRPr="00BC5B04" w14:paraId="7915C58C" w14:textId="77777777" w:rsidTr="00E34CDA">
        <w:trPr>
          <w:gridBefore w:val="1"/>
          <w:wBefore w:w="10" w:type="dxa"/>
          <w:trHeight w:val="766"/>
        </w:trPr>
        <w:tc>
          <w:tcPr>
            <w:tcW w:w="3128" w:type="dxa"/>
            <w:vMerge w:val="restart"/>
            <w:tcBorders>
              <w:bottom w:val="nil"/>
            </w:tcBorders>
          </w:tcPr>
          <w:p w14:paraId="6FC3A93B" w14:textId="77777777" w:rsidR="00115D08" w:rsidRPr="00BC5B04" w:rsidRDefault="00115D08" w:rsidP="00945207">
            <w:pPr>
              <w:pStyle w:val="TableParagraph"/>
              <w:ind w:left="107"/>
              <w:rPr>
                <w:rFonts w:ascii="Arial" w:hAnsi="Arial" w:cs="Arial"/>
                <w:sz w:val="18"/>
                <w:szCs w:val="18"/>
              </w:rPr>
            </w:pPr>
            <w:r w:rsidRPr="00BC5B04">
              <w:rPr>
                <w:rFonts w:ascii="Arial" w:hAnsi="Arial" w:cs="Arial"/>
                <w:sz w:val="18"/>
                <w:szCs w:val="18"/>
              </w:rPr>
              <w:t>Studentenwerk München:</w:t>
            </w:r>
          </w:p>
        </w:tc>
        <w:tc>
          <w:tcPr>
            <w:tcW w:w="4110" w:type="dxa"/>
          </w:tcPr>
          <w:p w14:paraId="40402D47" w14:textId="77777777" w:rsidR="00115D08" w:rsidRPr="00BC5B04" w:rsidRDefault="00115D08" w:rsidP="00E34CDA">
            <w:pPr>
              <w:pStyle w:val="TableParagraph"/>
              <w:spacing w:line="259" w:lineRule="auto"/>
              <w:ind w:right="142"/>
              <w:rPr>
                <w:rFonts w:ascii="Arial" w:hAnsi="Arial" w:cs="Arial"/>
                <w:sz w:val="18"/>
                <w:szCs w:val="18"/>
              </w:rPr>
            </w:pPr>
            <w:r w:rsidRPr="00BC5B04">
              <w:rPr>
                <w:rFonts w:ascii="Arial" w:hAnsi="Arial" w:cs="Arial"/>
                <w:sz w:val="18"/>
                <w:szCs w:val="18"/>
              </w:rPr>
              <w:t>Ludwig-Maximilians-Universität München Technisch</w:t>
            </w:r>
            <w:r w:rsidR="00E34CDA" w:rsidRPr="00BC5B04">
              <w:rPr>
                <w:rFonts w:ascii="Arial" w:hAnsi="Arial" w:cs="Arial"/>
                <w:sz w:val="18"/>
                <w:szCs w:val="18"/>
              </w:rPr>
              <w:t>e Universität München (mit Aus</w:t>
            </w:r>
            <w:r w:rsidRPr="00BC5B04">
              <w:rPr>
                <w:rFonts w:ascii="Arial" w:hAnsi="Arial" w:cs="Arial"/>
                <w:sz w:val="18"/>
                <w:szCs w:val="18"/>
              </w:rPr>
              <w:t>nahme de</w:t>
            </w:r>
            <w:r w:rsidR="00E34CDA" w:rsidRPr="00BC5B04">
              <w:rPr>
                <w:rFonts w:ascii="Arial" w:hAnsi="Arial" w:cs="Arial"/>
                <w:sz w:val="18"/>
                <w:szCs w:val="18"/>
              </w:rPr>
              <w:t>r Abteilungen Straubing und Sin</w:t>
            </w:r>
            <w:r w:rsidRPr="00BC5B04">
              <w:rPr>
                <w:rFonts w:ascii="Arial" w:hAnsi="Arial" w:cs="Arial"/>
                <w:sz w:val="18"/>
                <w:szCs w:val="18"/>
              </w:rPr>
              <w:t>gapur)</w:t>
            </w:r>
          </w:p>
        </w:tc>
      </w:tr>
      <w:tr w:rsidR="00115D08" w:rsidRPr="00BC5B04" w14:paraId="52DD4E46" w14:textId="77777777" w:rsidTr="00E34CDA">
        <w:trPr>
          <w:gridBefore w:val="1"/>
          <w:wBefore w:w="10" w:type="dxa"/>
          <w:trHeight w:val="357"/>
        </w:trPr>
        <w:tc>
          <w:tcPr>
            <w:tcW w:w="3128" w:type="dxa"/>
            <w:vMerge/>
            <w:tcBorders>
              <w:top w:val="nil"/>
              <w:bottom w:val="nil"/>
            </w:tcBorders>
          </w:tcPr>
          <w:p w14:paraId="53487402" w14:textId="77777777" w:rsidR="00115D08" w:rsidRPr="00BC5B04" w:rsidRDefault="00115D08" w:rsidP="00945207">
            <w:pPr>
              <w:rPr>
                <w:rFonts w:cs="Arial"/>
                <w:sz w:val="18"/>
                <w:szCs w:val="18"/>
              </w:rPr>
            </w:pPr>
          </w:p>
        </w:tc>
        <w:tc>
          <w:tcPr>
            <w:tcW w:w="4110" w:type="dxa"/>
          </w:tcPr>
          <w:p w14:paraId="1D975D26"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Hochschule München</w:t>
            </w:r>
          </w:p>
        </w:tc>
      </w:tr>
      <w:tr w:rsidR="00115D08" w:rsidRPr="00BC5B04" w14:paraId="46492996" w14:textId="77777777" w:rsidTr="00E34CDA">
        <w:trPr>
          <w:gridBefore w:val="1"/>
          <w:wBefore w:w="10" w:type="dxa"/>
          <w:trHeight w:val="631"/>
        </w:trPr>
        <w:tc>
          <w:tcPr>
            <w:tcW w:w="3128" w:type="dxa"/>
            <w:vMerge/>
            <w:tcBorders>
              <w:top w:val="nil"/>
              <w:bottom w:val="nil"/>
            </w:tcBorders>
          </w:tcPr>
          <w:p w14:paraId="0F10BA9C" w14:textId="77777777" w:rsidR="00115D08" w:rsidRPr="00BC5B04" w:rsidRDefault="00115D08" w:rsidP="00945207">
            <w:pPr>
              <w:rPr>
                <w:rFonts w:cs="Arial"/>
                <w:sz w:val="18"/>
                <w:szCs w:val="18"/>
              </w:rPr>
            </w:pPr>
          </w:p>
        </w:tc>
        <w:tc>
          <w:tcPr>
            <w:tcW w:w="4110" w:type="dxa"/>
          </w:tcPr>
          <w:p w14:paraId="0FD3AAB9" w14:textId="77777777" w:rsidR="00115D08" w:rsidRPr="00BC5B04" w:rsidRDefault="00115D08" w:rsidP="00945207">
            <w:pPr>
              <w:pStyle w:val="TableParagraph"/>
              <w:spacing w:before="38"/>
              <w:ind w:right="89"/>
              <w:rPr>
                <w:rFonts w:ascii="Arial" w:hAnsi="Arial" w:cs="Arial"/>
                <w:sz w:val="18"/>
                <w:szCs w:val="18"/>
              </w:rPr>
            </w:pPr>
            <w:r w:rsidRPr="00BC5B04">
              <w:rPr>
                <w:rFonts w:ascii="Arial" w:hAnsi="Arial" w:cs="Arial"/>
                <w:sz w:val="18"/>
                <w:szCs w:val="18"/>
              </w:rPr>
              <w:t>Katholische Stiftungshochschule, Abteilung München</w:t>
            </w:r>
          </w:p>
        </w:tc>
      </w:tr>
      <w:tr w:rsidR="00115D08" w:rsidRPr="00BC5B04" w14:paraId="300B8F4E" w14:textId="77777777" w:rsidTr="00E34CDA">
        <w:trPr>
          <w:gridBefore w:val="1"/>
          <w:wBefore w:w="10" w:type="dxa"/>
          <w:trHeight w:val="409"/>
        </w:trPr>
        <w:tc>
          <w:tcPr>
            <w:tcW w:w="3128" w:type="dxa"/>
            <w:vMerge/>
            <w:tcBorders>
              <w:top w:val="nil"/>
              <w:bottom w:val="nil"/>
            </w:tcBorders>
          </w:tcPr>
          <w:p w14:paraId="7FCD4A09" w14:textId="77777777" w:rsidR="00115D08" w:rsidRPr="00BC5B04" w:rsidRDefault="00115D08" w:rsidP="00945207">
            <w:pPr>
              <w:rPr>
                <w:rFonts w:cs="Arial"/>
                <w:sz w:val="18"/>
                <w:szCs w:val="18"/>
              </w:rPr>
            </w:pPr>
          </w:p>
        </w:tc>
        <w:tc>
          <w:tcPr>
            <w:tcW w:w="4110" w:type="dxa"/>
          </w:tcPr>
          <w:p w14:paraId="019E46B7" w14:textId="77777777" w:rsidR="00115D08" w:rsidRPr="00BC5B04" w:rsidRDefault="00115D08" w:rsidP="00945207">
            <w:pPr>
              <w:pStyle w:val="TableParagraph"/>
              <w:spacing w:before="38"/>
              <w:ind w:right="410"/>
              <w:rPr>
                <w:rFonts w:ascii="Arial" w:hAnsi="Arial" w:cs="Arial"/>
                <w:sz w:val="18"/>
                <w:szCs w:val="18"/>
              </w:rPr>
            </w:pPr>
            <w:r w:rsidRPr="00BC5B04">
              <w:rPr>
                <w:rFonts w:ascii="Arial" w:hAnsi="Arial" w:cs="Arial"/>
                <w:sz w:val="18"/>
                <w:szCs w:val="18"/>
              </w:rPr>
              <w:t>Hochsc</w:t>
            </w:r>
            <w:r w:rsidR="00E34CDA" w:rsidRPr="00BC5B04">
              <w:rPr>
                <w:rFonts w:ascii="Arial" w:hAnsi="Arial" w:cs="Arial"/>
                <w:sz w:val="18"/>
                <w:szCs w:val="18"/>
              </w:rPr>
              <w:t>hule für Musik und Theater Mün</w:t>
            </w:r>
            <w:r w:rsidRPr="00BC5B04">
              <w:rPr>
                <w:rFonts w:ascii="Arial" w:hAnsi="Arial" w:cs="Arial"/>
                <w:sz w:val="18"/>
                <w:szCs w:val="18"/>
              </w:rPr>
              <w:t>chen</w:t>
            </w:r>
          </w:p>
        </w:tc>
      </w:tr>
      <w:tr w:rsidR="00115D08" w:rsidRPr="00BC5B04" w14:paraId="0754493A" w14:textId="77777777" w:rsidTr="00E34CDA">
        <w:trPr>
          <w:gridBefore w:val="1"/>
          <w:wBefore w:w="10" w:type="dxa"/>
          <w:trHeight w:val="354"/>
        </w:trPr>
        <w:tc>
          <w:tcPr>
            <w:tcW w:w="3128" w:type="dxa"/>
            <w:vMerge/>
            <w:tcBorders>
              <w:top w:val="nil"/>
              <w:bottom w:val="nil"/>
            </w:tcBorders>
          </w:tcPr>
          <w:p w14:paraId="46857F59" w14:textId="77777777" w:rsidR="00115D08" w:rsidRPr="00BC5B04" w:rsidRDefault="00115D08" w:rsidP="00945207">
            <w:pPr>
              <w:rPr>
                <w:rFonts w:cs="Arial"/>
                <w:sz w:val="18"/>
                <w:szCs w:val="18"/>
              </w:rPr>
            </w:pPr>
          </w:p>
        </w:tc>
        <w:tc>
          <w:tcPr>
            <w:tcW w:w="4110" w:type="dxa"/>
          </w:tcPr>
          <w:p w14:paraId="0A7360C6"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Akademie der Bildenden Künste München</w:t>
            </w:r>
          </w:p>
        </w:tc>
      </w:tr>
      <w:tr w:rsidR="00115D08" w:rsidRPr="00BC5B04" w14:paraId="1F20C332" w14:textId="77777777" w:rsidTr="00E34CDA">
        <w:trPr>
          <w:gridBefore w:val="1"/>
          <w:wBefore w:w="10" w:type="dxa"/>
          <w:trHeight w:val="357"/>
        </w:trPr>
        <w:tc>
          <w:tcPr>
            <w:tcW w:w="3128" w:type="dxa"/>
            <w:vMerge/>
            <w:tcBorders>
              <w:top w:val="nil"/>
              <w:bottom w:val="nil"/>
            </w:tcBorders>
          </w:tcPr>
          <w:p w14:paraId="4789D983" w14:textId="77777777" w:rsidR="00115D08" w:rsidRPr="00BC5B04" w:rsidRDefault="00115D08" w:rsidP="00945207">
            <w:pPr>
              <w:rPr>
                <w:rFonts w:cs="Arial"/>
                <w:sz w:val="18"/>
                <w:szCs w:val="18"/>
              </w:rPr>
            </w:pPr>
          </w:p>
        </w:tc>
        <w:tc>
          <w:tcPr>
            <w:tcW w:w="4110" w:type="dxa"/>
          </w:tcPr>
          <w:p w14:paraId="0E6A4D36"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Internationale Hochschule SDI München</w:t>
            </w:r>
          </w:p>
        </w:tc>
      </w:tr>
      <w:tr w:rsidR="00115D08" w:rsidRPr="00BC5B04" w14:paraId="23380DA3" w14:textId="77777777" w:rsidTr="00E34CDA">
        <w:trPr>
          <w:gridBefore w:val="1"/>
          <w:wBefore w:w="10" w:type="dxa"/>
          <w:trHeight w:val="354"/>
        </w:trPr>
        <w:tc>
          <w:tcPr>
            <w:tcW w:w="3128" w:type="dxa"/>
            <w:vMerge/>
            <w:tcBorders>
              <w:top w:val="nil"/>
              <w:bottom w:val="nil"/>
            </w:tcBorders>
          </w:tcPr>
          <w:p w14:paraId="46ED1FF1" w14:textId="77777777" w:rsidR="00115D08" w:rsidRPr="00BC5B04" w:rsidRDefault="00115D08" w:rsidP="00945207">
            <w:pPr>
              <w:rPr>
                <w:rFonts w:cs="Arial"/>
                <w:sz w:val="18"/>
                <w:szCs w:val="18"/>
              </w:rPr>
            </w:pPr>
          </w:p>
        </w:tc>
        <w:tc>
          <w:tcPr>
            <w:tcW w:w="4110" w:type="dxa"/>
          </w:tcPr>
          <w:p w14:paraId="11EF4508"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Hochschule für Philosophie München</w:t>
            </w:r>
          </w:p>
        </w:tc>
      </w:tr>
      <w:tr w:rsidR="00115D08" w:rsidRPr="00BC5B04" w14:paraId="10D8ACBD" w14:textId="77777777" w:rsidTr="00E34CDA">
        <w:trPr>
          <w:gridBefore w:val="1"/>
          <w:wBefore w:w="10" w:type="dxa"/>
          <w:trHeight w:val="357"/>
        </w:trPr>
        <w:tc>
          <w:tcPr>
            <w:tcW w:w="3128" w:type="dxa"/>
            <w:vMerge/>
            <w:tcBorders>
              <w:top w:val="nil"/>
              <w:bottom w:val="nil"/>
            </w:tcBorders>
          </w:tcPr>
          <w:p w14:paraId="386FF5DD" w14:textId="77777777" w:rsidR="00115D08" w:rsidRPr="00BC5B04" w:rsidRDefault="00115D08" w:rsidP="00945207">
            <w:pPr>
              <w:rPr>
                <w:rFonts w:cs="Arial"/>
                <w:sz w:val="18"/>
                <w:szCs w:val="18"/>
              </w:rPr>
            </w:pPr>
          </w:p>
        </w:tc>
        <w:tc>
          <w:tcPr>
            <w:tcW w:w="4110" w:type="dxa"/>
          </w:tcPr>
          <w:p w14:paraId="3A37FC59"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Hochschule für Politik München</w:t>
            </w:r>
          </w:p>
        </w:tc>
      </w:tr>
      <w:tr w:rsidR="00115D08" w:rsidRPr="00BC5B04" w14:paraId="7E46BEB0" w14:textId="77777777" w:rsidTr="00E34CDA">
        <w:trPr>
          <w:gridBefore w:val="1"/>
          <w:wBefore w:w="10" w:type="dxa"/>
          <w:trHeight w:val="630"/>
        </w:trPr>
        <w:tc>
          <w:tcPr>
            <w:tcW w:w="3128" w:type="dxa"/>
            <w:vMerge/>
            <w:tcBorders>
              <w:top w:val="nil"/>
              <w:bottom w:val="nil"/>
            </w:tcBorders>
          </w:tcPr>
          <w:p w14:paraId="6367904C" w14:textId="77777777" w:rsidR="00115D08" w:rsidRPr="00BC5B04" w:rsidRDefault="00115D08" w:rsidP="00945207">
            <w:pPr>
              <w:rPr>
                <w:rFonts w:cs="Arial"/>
                <w:sz w:val="18"/>
                <w:szCs w:val="18"/>
              </w:rPr>
            </w:pPr>
          </w:p>
        </w:tc>
        <w:tc>
          <w:tcPr>
            <w:tcW w:w="4110" w:type="dxa"/>
          </w:tcPr>
          <w:p w14:paraId="171791F2" w14:textId="77777777" w:rsidR="00115D08" w:rsidRPr="00BC5B04" w:rsidRDefault="00115D08" w:rsidP="00945207">
            <w:pPr>
              <w:pStyle w:val="TableParagraph"/>
              <w:ind w:right="197"/>
              <w:rPr>
                <w:rFonts w:ascii="Arial" w:hAnsi="Arial" w:cs="Arial"/>
                <w:sz w:val="18"/>
                <w:szCs w:val="18"/>
              </w:rPr>
            </w:pPr>
            <w:r w:rsidRPr="00BC5B04">
              <w:rPr>
                <w:rFonts w:ascii="Arial" w:hAnsi="Arial" w:cs="Arial"/>
                <w:sz w:val="18"/>
                <w:szCs w:val="18"/>
              </w:rPr>
              <w:t>Hochschule Weihenstephan-Triesdorf (mit Ausnahme der Abteilung Triesdorf)</w:t>
            </w:r>
          </w:p>
        </w:tc>
      </w:tr>
      <w:tr w:rsidR="00115D08" w:rsidRPr="00BC5B04" w14:paraId="320D68AC" w14:textId="77777777" w:rsidTr="00E34CDA">
        <w:trPr>
          <w:trHeight w:val="633"/>
        </w:trPr>
        <w:tc>
          <w:tcPr>
            <w:tcW w:w="3138" w:type="dxa"/>
            <w:gridSpan w:val="2"/>
            <w:vMerge w:val="restart"/>
            <w:tcBorders>
              <w:top w:val="nil"/>
            </w:tcBorders>
          </w:tcPr>
          <w:p w14:paraId="7B0E549A" w14:textId="77777777" w:rsidR="00115D08" w:rsidRPr="00BC5B04" w:rsidRDefault="00115D08" w:rsidP="00945207">
            <w:pPr>
              <w:pStyle w:val="TableParagraph"/>
              <w:ind w:left="0"/>
              <w:rPr>
                <w:rFonts w:ascii="Arial" w:hAnsi="Arial" w:cs="Arial"/>
                <w:sz w:val="18"/>
                <w:szCs w:val="18"/>
              </w:rPr>
            </w:pPr>
          </w:p>
        </w:tc>
        <w:tc>
          <w:tcPr>
            <w:tcW w:w="4110" w:type="dxa"/>
          </w:tcPr>
          <w:p w14:paraId="6FD0A316" w14:textId="77777777" w:rsidR="00115D08" w:rsidRPr="00BC5B04" w:rsidRDefault="00115D08" w:rsidP="00945207">
            <w:pPr>
              <w:pStyle w:val="TableParagraph"/>
              <w:spacing w:before="38"/>
              <w:ind w:right="263"/>
              <w:rPr>
                <w:rFonts w:ascii="Arial" w:hAnsi="Arial" w:cs="Arial"/>
                <w:sz w:val="18"/>
                <w:szCs w:val="18"/>
              </w:rPr>
            </w:pPr>
            <w:r w:rsidRPr="00BC5B04">
              <w:rPr>
                <w:rFonts w:ascii="Arial" w:hAnsi="Arial" w:cs="Arial"/>
                <w:sz w:val="18"/>
                <w:szCs w:val="18"/>
              </w:rPr>
              <w:t>Hochsch</w:t>
            </w:r>
            <w:r w:rsidR="00E34CDA" w:rsidRPr="00BC5B04">
              <w:rPr>
                <w:rFonts w:ascii="Arial" w:hAnsi="Arial" w:cs="Arial"/>
                <w:sz w:val="18"/>
                <w:szCs w:val="18"/>
              </w:rPr>
              <w:t>ule für Fernsehen und Film Mün</w:t>
            </w:r>
            <w:r w:rsidRPr="00BC5B04">
              <w:rPr>
                <w:rFonts w:ascii="Arial" w:hAnsi="Arial" w:cs="Arial"/>
                <w:sz w:val="18"/>
                <w:szCs w:val="18"/>
              </w:rPr>
              <w:t>chen</w:t>
            </w:r>
          </w:p>
        </w:tc>
      </w:tr>
      <w:tr w:rsidR="00115D08" w:rsidRPr="00BC5B04" w14:paraId="37E55DB0" w14:textId="77777777" w:rsidTr="00E34CDA">
        <w:trPr>
          <w:trHeight w:val="354"/>
        </w:trPr>
        <w:tc>
          <w:tcPr>
            <w:tcW w:w="3138" w:type="dxa"/>
            <w:gridSpan w:val="2"/>
            <w:vMerge/>
            <w:tcBorders>
              <w:top w:val="nil"/>
            </w:tcBorders>
          </w:tcPr>
          <w:p w14:paraId="477554B1" w14:textId="77777777" w:rsidR="00115D08" w:rsidRPr="00BC5B04" w:rsidRDefault="00115D08" w:rsidP="00945207">
            <w:pPr>
              <w:rPr>
                <w:rFonts w:cs="Arial"/>
                <w:sz w:val="18"/>
                <w:szCs w:val="18"/>
              </w:rPr>
            </w:pPr>
          </w:p>
        </w:tc>
        <w:tc>
          <w:tcPr>
            <w:tcW w:w="4110" w:type="dxa"/>
          </w:tcPr>
          <w:p w14:paraId="7B3EEBB4"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Hochschule der Bayerischen Wirtschaft</w:t>
            </w:r>
          </w:p>
        </w:tc>
      </w:tr>
      <w:tr w:rsidR="00115D08" w:rsidRPr="00BC5B04" w14:paraId="0EB26E67" w14:textId="77777777" w:rsidTr="00E34CDA">
        <w:trPr>
          <w:trHeight w:val="633"/>
        </w:trPr>
        <w:tc>
          <w:tcPr>
            <w:tcW w:w="3138" w:type="dxa"/>
            <w:gridSpan w:val="2"/>
            <w:vMerge/>
            <w:tcBorders>
              <w:top w:val="nil"/>
            </w:tcBorders>
          </w:tcPr>
          <w:p w14:paraId="7548082B" w14:textId="77777777" w:rsidR="00115D08" w:rsidRPr="00BC5B04" w:rsidRDefault="00115D08" w:rsidP="00945207">
            <w:pPr>
              <w:rPr>
                <w:rFonts w:cs="Arial"/>
                <w:sz w:val="18"/>
                <w:szCs w:val="18"/>
              </w:rPr>
            </w:pPr>
          </w:p>
        </w:tc>
        <w:tc>
          <w:tcPr>
            <w:tcW w:w="4110" w:type="dxa"/>
          </w:tcPr>
          <w:p w14:paraId="676E54A7" w14:textId="77777777" w:rsidR="00115D08" w:rsidRPr="00BC5B04" w:rsidRDefault="00115D08" w:rsidP="00945207">
            <w:pPr>
              <w:pStyle w:val="TableParagraph"/>
              <w:spacing w:before="38"/>
              <w:ind w:right="169"/>
              <w:rPr>
                <w:rFonts w:ascii="Arial" w:hAnsi="Arial" w:cs="Arial"/>
                <w:sz w:val="18"/>
                <w:szCs w:val="18"/>
              </w:rPr>
            </w:pPr>
            <w:r w:rsidRPr="00BC5B04">
              <w:rPr>
                <w:rFonts w:ascii="Arial" w:hAnsi="Arial" w:cs="Arial"/>
                <w:sz w:val="18"/>
                <w:szCs w:val="18"/>
              </w:rPr>
              <w:t>International School of Management (ISM) (Standort München)</w:t>
            </w:r>
          </w:p>
        </w:tc>
      </w:tr>
      <w:tr w:rsidR="00115D08" w:rsidRPr="00BC5B04" w14:paraId="20AE1CFB" w14:textId="77777777" w:rsidTr="00E34CDA">
        <w:trPr>
          <w:trHeight w:val="671"/>
        </w:trPr>
        <w:tc>
          <w:tcPr>
            <w:tcW w:w="3138" w:type="dxa"/>
            <w:gridSpan w:val="2"/>
            <w:vMerge w:val="restart"/>
          </w:tcPr>
          <w:p w14:paraId="6E420FD3" w14:textId="77777777" w:rsidR="00115D08" w:rsidRPr="00BC5B04" w:rsidRDefault="00115D08" w:rsidP="00945207">
            <w:pPr>
              <w:pStyle w:val="TableParagraph"/>
              <w:spacing w:before="38"/>
              <w:ind w:left="107" w:right="310"/>
              <w:rPr>
                <w:rFonts w:ascii="Arial" w:hAnsi="Arial" w:cs="Arial"/>
                <w:sz w:val="18"/>
                <w:szCs w:val="18"/>
              </w:rPr>
            </w:pPr>
            <w:r w:rsidRPr="00BC5B04">
              <w:rPr>
                <w:rFonts w:ascii="Arial" w:hAnsi="Arial" w:cs="Arial"/>
                <w:sz w:val="18"/>
                <w:szCs w:val="18"/>
              </w:rPr>
              <w:t>S</w:t>
            </w:r>
            <w:r w:rsidR="00E34CDA" w:rsidRPr="00BC5B04">
              <w:rPr>
                <w:rFonts w:ascii="Arial" w:hAnsi="Arial" w:cs="Arial"/>
                <w:sz w:val="18"/>
                <w:szCs w:val="18"/>
              </w:rPr>
              <w:t>tudentenwerk Niederbayern-Ober</w:t>
            </w:r>
            <w:r w:rsidRPr="00BC5B04">
              <w:rPr>
                <w:rFonts w:ascii="Arial" w:hAnsi="Arial" w:cs="Arial"/>
                <w:sz w:val="18"/>
                <w:szCs w:val="18"/>
              </w:rPr>
              <w:t>pfalz:</w:t>
            </w:r>
          </w:p>
        </w:tc>
        <w:tc>
          <w:tcPr>
            <w:tcW w:w="4110" w:type="dxa"/>
          </w:tcPr>
          <w:p w14:paraId="77660A82" w14:textId="77777777" w:rsidR="00115D08" w:rsidRPr="00BC5B04" w:rsidRDefault="00E34CDA" w:rsidP="00945207">
            <w:pPr>
              <w:pStyle w:val="TableParagraph"/>
              <w:spacing w:before="8" w:line="316" w:lineRule="exact"/>
              <w:ind w:right="2171"/>
              <w:rPr>
                <w:rFonts w:ascii="Arial" w:hAnsi="Arial" w:cs="Arial"/>
                <w:sz w:val="18"/>
                <w:szCs w:val="18"/>
              </w:rPr>
            </w:pPr>
            <w:r w:rsidRPr="00BC5B04">
              <w:rPr>
                <w:rFonts w:ascii="Arial" w:hAnsi="Arial" w:cs="Arial"/>
                <w:sz w:val="18"/>
                <w:szCs w:val="18"/>
              </w:rPr>
              <w:t>Universität Regens</w:t>
            </w:r>
            <w:r w:rsidR="00115D08" w:rsidRPr="00BC5B04">
              <w:rPr>
                <w:rFonts w:ascii="Arial" w:hAnsi="Arial" w:cs="Arial"/>
                <w:sz w:val="18"/>
                <w:szCs w:val="18"/>
              </w:rPr>
              <w:t>burg OTH Regensburg</w:t>
            </w:r>
          </w:p>
        </w:tc>
      </w:tr>
      <w:tr w:rsidR="00115D08" w:rsidRPr="00BC5B04" w14:paraId="44B8476C" w14:textId="77777777" w:rsidTr="00E34CDA">
        <w:trPr>
          <w:trHeight w:val="354"/>
        </w:trPr>
        <w:tc>
          <w:tcPr>
            <w:tcW w:w="3138" w:type="dxa"/>
            <w:gridSpan w:val="2"/>
            <w:vMerge/>
            <w:tcBorders>
              <w:top w:val="nil"/>
            </w:tcBorders>
          </w:tcPr>
          <w:p w14:paraId="529A977C" w14:textId="77777777" w:rsidR="00115D08" w:rsidRPr="00BC5B04" w:rsidRDefault="00115D08" w:rsidP="00945207">
            <w:pPr>
              <w:rPr>
                <w:rFonts w:cs="Arial"/>
                <w:sz w:val="18"/>
                <w:szCs w:val="18"/>
              </w:rPr>
            </w:pPr>
          </w:p>
        </w:tc>
        <w:tc>
          <w:tcPr>
            <w:tcW w:w="4110" w:type="dxa"/>
          </w:tcPr>
          <w:p w14:paraId="0FB242C5"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Universität Passau</w:t>
            </w:r>
          </w:p>
        </w:tc>
      </w:tr>
      <w:tr w:rsidR="00115D08" w:rsidRPr="00BC5B04" w14:paraId="2CCD0A0B" w14:textId="77777777" w:rsidTr="00E34CDA">
        <w:trPr>
          <w:trHeight w:val="357"/>
        </w:trPr>
        <w:tc>
          <w:tcPr>
            <w:tcW w:w="3138" w:type="dxa"/>
            <w:gridSpan w:val="2"/>
            <w:vMerge/>
            <w:tcBorders>
              <w:top w:val="nil"/>
            </w:tcBorders>
          </w:tcPr>
          <w:p w14:paraId="6C98DB7D" w14:textId="77777777" w:rsidR="00115D08" w:rsidRPr="00BC5B04" w:rsidRDefault="00115D08" w:rsidP="00945207">
            <w:pPr>
              <w:rPr>
                <w:rFonts w:cs="Arial"/>
                <w:sz w:val="18"/>
                <w:szCs w:val="18"/>
              </w:rPr>
            </w:pPr>
          </w:p>
        </w:tc>
        <w:tc>
          <w:tcPr>
            <w:tcW w:w="4110" w:type="dxa"/>
          </w:tcPr>
          <w:p w14:paraId="3F2941C5" w14:textId="77777777" w:rsidR="00115D08" w:rsidRPr="00BC5B04" w:rsidRDefault="00115D08" w:rsidP="00945207">
            <w:pPr>
              <w:pStyle w:val="TableParagraph"/>
              <w:spacing w:before="38"/>
              <w:rPr>
                <w:rFonts w:ascii="Arial" w:hAnsi="Arial" w:cs="Arial"/>
                <w:sz w:val="18"/>
                <w:szCs w:val="18"/>
              </w:rPr>
            </w:pPr>
            <w:r w:rsidRPr="00BC5B04">
              <w:rPr>
                <w:rFonts w:ascii="Arial" w:hAnsi="Arial" w:cs="Arial"/>
                <w:sz w:val="18"/>
                <w:szCs w:val="18"/>
              </w:rPr>
              <w:t>Hochschule Landshut</w:t>
            </w:r>
          </w:p>
        </w:tc>
      </w:tr>
      <w:tr w:rsidR="00115D08" w:rsidRPr="00BC5B04" w14:paraId="1D586E8A" w14:textId="77777777" w:rsidTr="00E34CDA">
        <w:trPr>
          <w:trHeight w:val="354"/>
        </w:trPr>
        <w:tc>
          <w:tcPr>
            <w:tcW w:w="3138" w:type="dxa"/>
            <w:gridSpan w:val="2"/>
            <w:vMerge w:val="restart"/>
          </w:tcPr>
          <w:p w14:paraId="51071BEA" w14:textId="77777777" w:rsidR="00115D08" w:rsidRPr="00BC5B04" w:rsidRDefault="00115D08" w:rsidP="00945207">
            <w:pPr>
              <w:pStyle w:val="TableParagraph"/>
              <w:ind w:left="107"/>
              <w:rPr>
                <w:rFonts w:ascii="Arial" w:hAnsi="Arial" w:cs="Arial"/>
                <w:sz w:val="18"/>
                <w:szCs w:val="18"/>
              </w:rPr>
            </w:pPr>
            <w:r w:rsidRPr="00BC5B04">
              <w:rPr>
                <w:rFonts w:ascii="Arial" w:hAnsi="Arial" w:cs="Arial"/>
                <w:sz w:val="18"/>
                <w:szCs w:val="18"/>
              </w:rPr>
              <w:t>Studentenwerk Oberfranken:</w:t>
            </w:r>
          </w:p>
        </w:tc>
        <w:tc>
          <w:tcPr>
            <w:tcW w:w="4110" w:type="dxa"/>
          </w:tcPr>
          <w:p w14:paraId="18C6CAA2"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Universität Bayreuth</w:t>
            </w:r>
          </w:p>
        </w:tc>
      </w:tr>
      <w:tr w:rsidR="00115D08" w:rsidRPr="00BC5B04" w14:paraId="1BB4CA84" w14:textId="77777777" w:rsidTr="00E34CDA">
        <w:trPr>
          <w:trHeight w:val="357"/>
        </w:trPr>
        <w:tc>
          <w:tcPr>
            <w:tcW w:w="3138" w:type="dxa"/>
            <w:gridSpan w:val="2"/>
            <w:vMerge/>
            <w:tcBorders>
              <w:top w:val="nil"/>
            </w:tcBorders>
          </w:tcPr>
          <w:p w14:paraId="649554C2" w14:textId="77777777" w:rsidR="00115D08" w:rsidRPr="00BC5B04" w:rsidRDefault="00115D08" w:rsidP="00945207">
            <w:pPr>
              <w:rPr>
                <w:rFonts w:cs="Arial"/>
                <w:sz w:val="18"/>
                <w:szCs w:val="18"/>
              </w:rPr>
            </w:pPr>
          </w:p>
        </w:tc>
        <w:tc>
          <w:tcPr>
            <w:tcW w:w="4110" w:type="dxa"/>
          </w:tcPr>
          <w:p w14:paraId="4FE19242" w14:textId="77777777" w:rsidR="00115D08" w:rsidRPr="00BC5B04" w:rsidRDefault="00115D08" w:rsidP="00945207">
            <w:pPr>
              <w:pStyle w:val="TableParagraph"/>
              <w:spacing w:before="38"/>
              <w:rPr>
                <w:rFonts w:ascii="Arial" w:hAnsi="Arial" w:cs="Arial"/>
                <w:sz w:val="18"/>
                <w:szCs w:val="18"/>
              </w:rPr>
            </w:pPr>
            <w:r w:rsidRPr="00BC5B04">
              <w:rPr>
                <w:rFonts w:ascii="Arial" w:hAnsi="Arial" w:cs="Arial"/>
                <w:sz w:val="18"/>
                <w:szCs w:val="18"/>
              </w:rPr>
              <w:t>Hochschule Hof</w:t>
            </w:r>
          </w:p>
        </w:tc>
      </w:tr>
      <w:tr w:rsidR="00115D08" w:rsidRPr="00BC5B04" w14:paraId="10CEB1FD" w14:textId="77777777" w:rsidTr="00E34CDA">
        <w:trPr>
          <w:trHeight w:val="355"/>
        </w:trPr>
        <w:tc>
          <w:tcPr>
            <w:tcW w:w="3138" w:type="dxa"/>
            <w:gridSpan w:val="2"/>
            <w:vMerge/>
            <w:tcBorders>
              <w:top w:val="nil"/>
            </w:tcBorders>
          </w:tcPr>
          <w:p w14:paraId="01C9E9F2" w14:textId="77777777" w:rsidR="00115D08" w:rsidRPr="00BC5B04" w:rsidRDefault="00115D08" w:rsidP="00945207">
            <w:pPr>
              <w:rPr>
                <w:rFonts w:cs="Arial"/>
                <w:sz w:val="18"/>
                <w:szCs w:val="18"/>
              </w:rPr>
            </w:pPr>
          </w:p>
        </w:tc>
        <w:tc>
          <w:tcPr>
            <w:tcW w:w="4110" w:type="dxa"/>
          </w:tcPr>
          <w:p w14:paraId="3A20A109"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Hochschule Coburg</w:t>
            </w:r>
          </w:p>
        </w:tc>
      </w:tr>
      <w:tr w:rsidR="00115D08" w:rsidRPr="00BC5B04" w14:paraId="2BC55DA7" w14:textId="77777777" w:rsidTr="00E34CDA">
        <w:trPr>
          <w:trHeight w:val="357"/>
        </w:trPr>
        <w:tc>
          <w:tcPr>
            <w:tcW w:w="3138" w:type="dxa"/>
            <w:gridSpan w:val="2"/>
            <w:vMerge w:val="restart"/>
          </w:tcPr>
          <w:p w14:paraId="648EE79D" w14:textId="77777777" w:rsidR="00115D08" w:rsidRPr="00BC5B04" w:rsidRDefault="00115D08" w:rsidP="00945207">
            <w:pPr>
              <w:pStyle w:val="TableParagraph"/>
              <w:spacing w:before="38"/>
              <w:ind w:left="107"/>
              <w:rPr>
                <w:rFonts w:ascii="Arial" w:hAnsi="Arial" w:cs="Arial"/>
                <w:sz w:val="18"/>
                <w:szCs w:val="18"/>
              </w:rPr>
            </w:pPr>
            <w:r w:rsidRPr="00BC5B04">
              <w:rPr>
                <w:rFonts w:ascii="Arial" w:hAnsi="Arial" w:cs="Arial"/>
                <w:sz w:val="18"/>
                <w:szCs w:val="18"/>
              </w:rPr>
              <w:t>Studentenwerk Würzburg:</w:t>
            </w:r>
          </w:p>
        </w:tc>
        <w:tc>
          <w:tcPr>
            <w:tcW w:w="4110" w:type="dxa"/>
          </w:tcPr>
          <w:p w14:paraId="59584E6C" w14:textId="77777777" w:rsidR="00115D08" w:rsidRPr="00BC5B04" w:rsidRDefault="00115D08" w:rsidP="00945207">
            <w:pPr>
              <w:pStyle w:val="TableParagraph"/>
              <w:spacing w:before="38"/>
              <w:rPr>
                <w:rFonts w:ascii="Arial" w:hAnsi="Arial" w:cs="Arial"/>
                <w:sz w:val="18"/>
                <w:szCs w:val="18"/>
              </w:rPr>
            </w:pPr>
            <w:r w:rsidRPr="00BC5B04">
              <w:rPr>
                <w:rFonts w:ascii="Arial" w:hAnsi="Arial" w:cs="Arial"/>
                <w:sz w:val="18"/>
                <w:szCs w:val="18"/>
              </w:rPr>
              <w:t>Universität Würzburg</w:t>
            </w:r>
          </w:p>
        </w:tc>
      </w:tr>
      <w:tr w:rsidR="00115D08" w:rsidRPr="00BC5B04" w14:paraId="654DFB1E" w14:textId="77777777" w:rsidTr="00E34CDA">
        <w:trPr>
          <w:trHeight w:val="354"/>
        </w:trPr>
        <w:tc>
          <w:tcPr>
            <w:tcW w:w="3138" w:type="dxa"/>
            <w:gridSpan w:val="2"/>
            <w:vMerge/>
            <w:tcBorders>
              <w:top w:val="nil"/>
            </w:tcBorders>
          </w:tcPr>
          <w:p w14:paraId="4DA69008" w14:textId="77777777" w:rsidR="00115D08" w:rsidRPr="00BC5B04" w:rsidRDefault="00115D08" w:rsidP="00945207">
            <w:pPr>
              <w:rPr>
                <w:rFonts w:cs="Arial"/>
                <w:sz w:val="18"/>
                <w:szCs w:val="18"/>
              </w:rPr>
            </w:pPr>
          </w:p>
        </w:tc>
        <w:tc>
          <w:tcPr>
            <w:tcW w:w="4110" w:type="dxa"/>
          </w:tcPr>
          <w:p w14:paraId="09F05DDF"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Hochschule für Musik Würzburg</w:t>
            </w:r>
          </w:p>
        </w:tc>
      </w:tr>
      <w:tr w:rsidR="00115D08" w:rsidRPr="00BC5B04" w14:paraId="35AD7E3E" w14:textId="77777777" w:rsidTr="00E34CDA">
        <w:trPr>
          <w:trHeight w:val="633"/>
        </w:trPr>
        <w:tc>
          <w:tcPr>
            <w:tcW w:w="3138" w:type="dxa"/>
            <w:gridSpan w:val="2"/>
            <w:vMerge/>
            <w:tcBorders>
              <w:top w:val="nil"/>
            </w:tcBorders>
          </w:tcPr>
          <w:p w14:paraId="7BA79632" w14:textId="77777777" w:rsidR="00115D08" w:rsidRPr="00BC5B04" w:rsidRDefault="00115D08" w:rsidP="00945207">
            <w:pPr>
              <w:rPr>
                <w:rFonts w:cs="Arial"/>
                <w:sz w:val="18"/>
                <w:szCs w:val="18"/>
              </w:rPr>
            </w:pPr>
          </w:p>
        </w:tc>
        <w:tc>
          <w:tcPr>
            <w:tcW w:w="4110" w:type="dxa"/>
          </w:tcPr>
          <w:p w14:paraId="6739F65F" w14:textId="77777777" w:rsidR="00115D08" w:rsidRPr="00BC5B04" w:rsidRDefault="00115D08" w:rsidP="00945207">
            <w:pPr>
              <w:pStyle w:val="TableParagraph"/>
              <w:spacing w:before="38"/>
              <w:ind w:right="250"/>
              <w:rPr>
                <w:rFonts w:ascii="Arial" w:hAnsi="Arial" w:cs="Arial"/>
                <w:sz w:val="18"/>
                <w:szCs w:val="18"/>
              </w:rPr>
            </w:pPr>
            <w:r w:rsidRPr="00BC5B04">
              <w:rPr>
                <w:rFonts w:ascii="Arial" w:hAnsi="Arial" w:cs="Arial"/>
                <w:sz w:val="18"/>
                <w:szCs w:val="18"/>
              </w:rPr>
              <w:t>Hochschule Würzburg-Schweinfurt für die Standorte Würzburg bzw. Schweinfurt</w:t>
            </w:r>
          </w:p>
        </w:tc>
      </w:tr>
      <w:tr w:rsidR="00115D08" w:rsidRPr="00BC5B04" w14:paraId="36FE2C20" w14:textId="77777777" w:rsidTr="00E34CDA">
        <w:trPr>
          <w:trHeight w:val="357"/>
        </w:trPr>
        <w:tc>
          <w:tcPr>
            <w:tcW w:w="3138" w:type="dxa"/>
            <w:gridSpan w:val="2"/>
            <w:vMerge/>
            <w:tcBorders>
              <w:top w:val="nil"/>
            </w:tcBorders>
          </w:tcPr>
          <w:p w14:paraId="5BD0E14B" w14:textId="77777777" w:rsidR="00115D08" w:rsidRPr="00BC5B04" w:rsidRDefault="00115D08" w:rsidP="00945207">
            <w:pPr>
              <w:rPr>
                <w:rFonts w:cs="Arial"/>
                <w:sz w:val="18"/>
                <w:szCs w:val="18"/>
              </w:rPr>
            </w:pPr>
          </w:p>
        </w:tc>
        <w:tc>
          <w:tcPr>
            <w:tcW w:w="4110" w:type="dxa"/>
          </w:tcPr>
          <w:p w14:paraId="775FF31A" w14:textId="77777777" w:rsidR="00115D08" w:rsidRPr="00BC5B04" w:rsidRDefault="00115D08" w:rsidP="00945207">
            <w:pPr>
              <w:pStyle w:val="TableParagraph"/>
              <w:rPr>
                <w:rFonts w:ascii="Arial" w:hAnsi="Arial" w:cs="Arial"/>
                <w:sz w:val="18"/>
                <w:szCs w:val="18"/>
              </w:rPr>
            </w:pPr>
            <w:r w:rsidRPr="00BC5B04">
              <w:rPr>
                <w:rFonts w:ascii="Arial" w:hAnsi="Arial" w:cs="Arial"/>
                <w:sz w:val="18"/>
                <w:szCs w:val="18"/>
              </w:rPr>
              <w:t>Universität Bamberg</w:t>
            </w:r>
          </w:p>
        </w:tc>
      </w:tr>
    </w:tbl>
    <w:p w14:paraId="4FEF8EE2" w14:textId="77777777" w:rsidR="009B7130" w:rsidRDefault="009B7130" w:rsidP="00115D08">
      <w:pPr>
        <w:pStyle w:val="LTAntwortRessortText"/>
        <w:ind w:left="0"/>
      </w:pPr>
    </w:p>
    <w:p w14:paraId="344943FA" w14:textId="4A28101A" w:rsidR="009B7130" w:rsidRDefault="009B7130" w:rsidP="009B7130">
      <w:pPr>
        <w:pStyle w:val="LTAntwortRessortText"/>
      </w:pPr>
      <w:r>
        <w:t>Ziel der bayerischen Verkehrspolitik ist ein attraktives verkehrliches Angebot, um durch ein ganztägiges regelmäßiges und dichte</w:t>
      </w:r>
      <w:r w:rsidR="00BC5B04">
        <w:t>s Fahrtenangebot eine bedarfsge</w:t>
      </w:r>
      <w:r>
        <w:t>rechte Erreichbarkeit gerade auch der Studiensta</w:t>
      </w:r>
      <w:r w:rsidR="00BC5B04">
        <w:t>ndorte zu ermöglichen. Im Schie</w:t>
      </w:r>
      <w:r>
        <w:t xml:space="preserve">nenpersonennahverkehr stellt der Freistaat mit dem Bayerntakt fast flächendeckend werktags zwischen </w:t>
      </w:r>
      <w:r w:rsidR="00BC5B04">
        <w:t>0</w:t>
      </w:r>
      <w:r>
        <w:t>5</w:t>
      </w:r>
      <w:r w:rsidR="00D9304D">
        <w:t>.</w:t>
      </w:r>
      <w:r>
        <w:t>00 Uhr und 23</w:t>
      </w:r>
      <w:r w:rsidR="00D9304D">
        <w:t>.</w:t>
      </w:r>
      <w:r>
        <w:t>00 Uhr ein Ve</w:t>
      </w:r>
      <w:r w:rsidR="00BC5B04">
        <w:t>rkehrsangebot mit einem stündli</w:t>
      </w:r>
      <w:r>
        <w:t>chen Fahrtenangebot zur Verfügung, das im eng</w:t>
      </w:r>
      <w:r w:rsidR="00BC5B04">
        <w:t>eren Einzugsbereich vieler Hoch</w:t>
      </w:r>
      <w:r>
        <w:t>schulstandorte zu einem noch dichteren Angebot erwei</w:t>
      </w:r>
      <w:r w:rsidR="00BC5B04">
        <w:t xml:space="preserve">tert ist. Im allgemeinen </w:t>
      </w:r>
      <w:r>
        <w:t>ÖPNV unterstützt er d</w:t>
      </w:r>
      <w:r w:rsidR="00BC5B04">
        <w:t>urch die Förderung der zuständi</w:t>
      </w:r>
      <w:r>
        <w:t>gen Kommunen den Ausbau des verkehrlichen Ang</w:t>
      </w:r>
      <w:r w:rsidR="00BC5B04">
        <w:t>ebotes, um eine gute Erreichbar</w:t>
      </w:r>
      <w:r>
        <w:t>keit der Studienstandorte in einem angemessenen Takt zu ermöglichen. Gemeinsam mit den örtlichen Semestertickets besteht so ein attrak</w:t>
      </w:r>
      <w:r w:rsidR="00BC5B04">
        <w:t>tives verkehrliches und tarifli</w:t>
      </w:r>
      <w:r>
        <w:t>ches Angebot im gesamten ÖPNV.</w:t>
      </w:r>
    </w:p>
    <w:p w14:paraId="79C1996B" w14:textId="77777777" w:rsidR="009B7130" w:rsidRDefault="009B7130" w:rsidP="009B7130">
      <w:pPr>
        <w:pStyle w:val="LTAntwortRessortText"/>
      </w:pPr>
      <w:r>
        <w:t>Bei der Anreise zum Arbeitsplatz beziehungsweise zum Studium am Hochschulort handelt es sich, wie bei jedem Auszubildenden oder Beschäftigten auch, um eine persönliche Entscheidung, die maßgeblich von der individuell sehr unterschiedlichen Situation sowie persönlichen Präferenzen und Mögli</w:t>
      </w:r>
      <w:r w:rsidR="00115D08">
        <w:t>chkeiten beeinflusst wird (</w:t>
      </w:r>
      <w:r w:rsidR="006F49A4">
        <w:t>u. a.</w:t>
      </w:r>
      <w:r w:rsidR="00115D08">
        <w:t xml:space="preserve"> </w:t>
      </w:r>
      <w:r>
        <w:t>Entfernung des Wohnorts zum Hochschulort, Anbin</w:t>
      </w:r>
      <w:r w:rsidR="00036977">
        <w:t>dung an den öffentlichen Nahver</w:t>
      </w:r>
      <w:r>
        <w:t>kehr, körperliche Konstitution, Bereitschaft zur Zurücklegung längerer Fußwege oder der Fahrradnutzung).</w:t>
      </w:r>
      <w:r w:rsidR="00115D08">
        <w:t xml:space="preserve"> </w:t>
      </w:r>
      <w:r>
        <w:t>Freistaat, Kommunen und Verkehrsunternehmen k</w:t>
      </w:r>
      <w:r w:rsidR="00036977">
        <w:t>önnen zwar ein attraktives Ange</w:t>
      </w:r>
      <w:r>
        <w:t>bot zur klimafreundlichen Mobilität zur Verfügung st</w:t>
      </w:r>
      <w:r w:rsidR="00036977">
        <w:t>ellen, die Entscheidung zur Nut</w:t>
      </w:r>
      <w:r>
        <w:t>zung liegt aber weiterhin in der Entscheidungsfreiheit des Einzelnen.</w:t>
      </w:r>
    </w:p>
    <w:p w14:paraId="1327A8A4" w14:textId="77777777" w:rsidR="009B7130" w:rsidRDefault="009B7130">
      <w:bookmarkStart w:id="84" w:name="Frage_Nr_41_Ende"/>
      <w:bookmarkEnd w:id="84"/>
      <w:r>
        <w:br w:type="page"/>
      </w:r>
    </w:p>
    <w:p w14:paraId="737D5E56" w14:textId="77777777" w:rsidR="009B7130" w:rsidRDefault="009B7130" w:rsidP="009B7130">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B7130" w14:paraId="6EC25FFA" w14:textId="77777777" w:rsidTr="007B0B33">
        <w:tc>
          <w:tcPr>
            <w:tcW w:w="2050" w:type="dxa"/>
          </w:tcPr>
          <w:p w14:paraId="2B990360" w14:textId="77777777" w:rsidR="009B7130" w:rsidRDefault="009B7130" w:rsidP="009B7130">
            <w:pPr>
              <w:pStyle w:val="LTAnfrageInitiator"/>
            </w:pPr>
            <w:r>
              <w:t>Abgeordneter</w:t>
            </w:r>
            <w:r>
              <w:rPr>
                <w:b/>
              </w:rPr>
              <w:br/>
              <w:t>Dr. Markus</w:t>
            </w:r>
            <w:r>
              <w:rPr>
                <w:b/>
              </w:rPr>
              <w:br/>
              <w:t>Büchler</w:t>
            </w:r>
            <w:r>
              <w:rPr>
                <w:b/>
              </w:rPr>
              <w:br/>
            </w:r>
            <w:r>
              <w:t>(BÜNDNIS 90/DIE GRÜNEN)</w:t>
            </w:r>
            <w:bookmarkStart w:id="85" w:name="Frage_Nr_42"/>
            <w:bookmarkEnd w:id="85"/>
          </w:p>
        </w:tc>
        <w:tc>
          <w:tcPr>
            <w:tcW w:w="7200" w:type="dxa"/>
          </w:tcPr>
          <w:p w14:paraId="282356B7" w14:textId="77777777" w:rsidR="009B7130" w:rsidRDefault="00464F5C" w:rsidP="009B7130">
            <w:pPr>
              <w:pStyle w:val="LTAnfrageText"/>
            </w:pPr>
            <w:r w:rsidRPr="00464F5C">
              <w:rPr>
                <w:szCs w:val="24"/>
              </w:rPr>
              <w:t>Ich frage die Staatsregierung, wie viele landeseigene Nutzfahrzeuge gibt es im Bestand, wie viele wurden seit 2019 jährlich neu angeschafft bzw. geleast und wie viele sind mit einem Abbiegeassistenzsystem ausgestattet (bitte jeweils nach Fahrzeugklasse angeben)?</w:t>
            </w:r>
          </w:p>
        </w:tc>
      </w:tr>
    </w:tbl>
    <w:p w14:paraId="31E8EE2F" w14:textId="77777777" w:rsidR="009B7130" w:rsidRDefault="009B7130" w:rsidP="009B7130">
      <w:pPr>
        <w:pStyle w:val="LTUeberschrAntwortRessort"/>
      </w:pPr>
      <w:r>
        <w:t>Antwort des Staatsministeriums der Finanzen und für Heimat</w:t>
      </w:r>
    </w:p>
    <w:p w14:paraId="50065E5C" w14:textId="77777777" w:rsidR="009B7130" w:rsidRDefault="009B7130" w:rsidP="009B7130">
      <w:pPr>
        <w:pStyle w:val="LTAntwortRessortText"/>
      </w:pPr>
      <w:r>
        <w:t xml:space="preserve">Daten über den Bestand an Nutzfahrzeugen liegen </w:t>
      </w:r>
      <w:r w:rsidR="006C0384">
        <w:t>dem Staatsministerium der Finan</w:t>
      </w:r>
      <w:r>
        <w:t>zen und für Heimat nicht vor.</w:t>
      </w:r>
    </w:p>
    <w:p w14:paraId="1F5ECEBC" w14:textId="77777777" w:rsidR="009B7130" w:rsidRDefault="009B7130">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9B7130" w14:paraId="773F60B5" w14:textId="77777777" w:rsidTr="007B0B33">
        <w:tc>
          <w:tcPr>
            <w:tcW w:w="2050" w:type="dxa"/>
          </w:tcPr>
          <w:p w14:paraId="132DB793" w14:textId="77777777" w:rsidR="009B7130" w:rsidRDefault="009B7130" w:rsidP="009B7130">
            <w:pPr>
              <w:pStyle w:val="LTAnfrageInitiator"/>
            </w:pPr>
            <w:r>
              <w:lastRenderedPageBreak/>
              <w:t>Abgeordneter</w:t>
            </w:r>
            <w:r>
              <w:rPr>
                <w:b/>
              </w:rPr>
              <w:br/>
              <w:t>Martin</w:t>
            </w:r>
            <w:r>
              <w:rPr>
                <w:b/>
              </w:rPr>
              <w:br/>
              <w:t>Hagen</w:t>
            </w:r>
            <w:r>
              <w:rPr>
                <w:b/>
              </w:rPr>
              <w:br/>
            </w:r>
            <w:r>
              <w:t>(FDP)</w:t>
            </w:r>
            <w:bookmarkStart w:id="87" w:name="Frage_Nr_43"/>
            <w:bookmarkEnd w:id="87"/>
          </w:p>
        </w:tc>
        <w:tc>
          <w:tcPr>
            <w:tcW w:w="7200" w:type="dxa"/>
          </w:tcPr>
          <w:p w14:paraId="5BE83B7F" w14:textId="77777777" w:rsidR="009B7130" w:rsidRDefault="00464F5C" w:rsidP="00CB3417">
            <w:pPr>
              <w:pStyle w:val="LTAnfrageText"/>
            </w:pPr>
            <w:r w:rsidRPr="00464F5C">
              <w:rPr>
                <w:szCs w:val="24"/>
              </w:rPr>
              <w:t>Ich frage die Staatsregierung, wie hoch ist die durchschnittliche Bezahlung von Mitarbeiterinnen und Mitarbeitern in den Staatsministerien und den Landesbehörden (bitte aufgeschlüsselt nach Geschlecht, Alter, Anstellungsart und durchschnittlicher Verbleib in der Entgeltgruppe), welche Maßnahmen hat die Staatsregierung seit 2018 ergriffen, um den bekannten Gehaltsunterschied zwischen Mitarbeiterinnen und Mitarbeitern in ihren Ministerien und den angegliederten Landesbehörden zu verringern und welche Strategie verfolgt sie allgemein um das Thema Equal Pay in Bayern voranzutreiben?</w:t>
            </w:r>
          </w:p>
        </w:tc>
      </w:tr>
    </w:tbl>
    <w:p w14:paraId="556DFD55" w14:textId="77777777" w:rsidR="009B7130" w:rsidRDefault="009B7130" w:rsidP="009B7130">
      <w:pPr>
        <w:pStyle w:val="LTUeberschrAntwortRessort"/>
      </w:pPr>
      <w:r>
        <w:t>Antwort des Staatsministeriums der Finanzen und für Heimat</w:t>
      </w:r>
    </w:p>
    <w:p w14:paraId="779C9033" w14:textId="77777777" w:rsidR="009B7130" w:rsidRDefault="009B7130" w:rsidP="009B7130">
      <w:pPr>
        <w:pStyle w:val="LTAntwortRessortText"/>
      </w:pPr>
      <w:r>
        <w:t xml:space="preserve">Die Besoldung der Beamten und Beamtinnen bzw. </w:t>
      </w:r>
      <w:r w:rsidR="00BC2555">
        <w:t>Richter und Richterinnen ist gesetzlich geregelt (Art. </w:t>
      </w:r>
      <w:r>
        <w:t xml:space="preserve">3 Abs. 1 </w:t>
      </w:r>
      <w:r w:rsidR="00BC2555">
        <w:t xml:space="preserve">Bayerisches Besoldungsgesetz – </w:t>
      </w:r>
      <w:r>
        <w:t>BayBesG). Die besold</w:t>
      </w:r>
      <w:r w:rsidR="00BC2555">
        <w:t>ungsrechtlich zur Verfügung ste</w:t>
      </w:r>
      <w:r>
        <w:t>henden Ämter richten sich dabei sowohl in den Minist</w:t>
      </w:r>
      <w:r w:rsidR="00BC2555">
        <w:t>erien als auch in den nachgeord</w:t>
      </w:r>
      <w:r>
        <w:t>neten Behörden nach Anlage 1 zum Bayerischen Besoldungsgesetz; sie sind nach ihrem Amtsinhalt und der mit dem jeweiligen Amt ve</w:t>
      </w:r>
      <w:r w:rsidR="00BC2555">
        <w:t>rbundenen Verantwortung sach</w:t>
      </w:r>
      <w:r>
        <w:t>gerecht und angemessen bewertet. Im Übrigen ist die</w:t>
      </w:r>
      <w:r w:rsidR="00BC2555">
        <w:t xml:space="preserve"> Besoldungsstruktur im öffentli</w:t>
      </w:r>
      <w:r>
        <w:t>chen Dienst für Beamte und Beamtinnen sowie Richt</w:t>
      </w:r>
      <w:r w:rsidR="00BC2555">
        <w:t>er und Richterinnen völlig iden</w:t>
      </w:r>
      <w:r>
        <w:t>tisch. Das Grundgehalt bestimmt sich nach der Besoldungsgruppe des verliehenen Amtes, wobei eine Differenzierung nach Geschlech</w:t>
      </w:r>
      <w:r w:rsidR="00BC2555">
        <w:t>t nicht vorgenommen wird und da</w:t>
      </w:r>
      <w:r>
        <w:t>mit die Regelungen jeweils für Beamte und Beamtin</w:t>
      </w:r>
      <w:r w:rsidR="00BC2555">
        <w:t>nen gleichermaßen Gültigkeit be</w:t>
      </w:r>
      <w:r>
        <w:t>sitzen. Dies gilt auch für alle übrigen Besoldungsbestandteile.</w:t>
      </w:r>
    </w:p>
    <w:p w14:paraId="4C54EB10" w14:textId="77777777" w:rsidR="009B7130" w:rsidRDefault="009B7130" w:rsidP="009B7130">
      <w:pPr>
        <w:pStyle w:val="LTAntwortRessortText"/>
      </w:pPr>
      <w:r>
        <w:t>Das Entgelt der Arbeitnehmerinnen und Arbeitnehmer</w:t>
      </w:r>
      <w:r w:rsidR="00BC2555">
        <w:t xml:space="preserve"> ist im Tarifvertrag für den öf</w:t>
      </w:r>
      <w:r>
        <w:t>fentlichen Dienst der Länder (TV-L) geregelt. Die Eingruppierung richtet sich sowohl in den Ministerien als auch in den nachgeordneten B</w:t>
      </w:r>
      <w:r w:rsidR="00BC2555">
        <w:t>ehörden nach den Tätigkeitsmerk</w:t>
      </w:r>
      <w:r>
        <w:t>malen der Entgeltordnung, eine Differenzierung nach Geschlecht wird auch im TV-L nicht vorgenommen.</w:t>
      </w:r>
    </w:p>
    <w:p w14:paraId="70CAAC70" w14:textId="77777777" w:rsidR="009B7130" w:rsidRDefault="009B7130" w:rsidP="009B7130">
      <w:pPr>
        <w:pStyle w:val="LTAntwortRessortText"/>
      </w:pPr>
      <w:r>
        <w:t>Komplexe, aufgeschlüsselte Auswertungen zur durch</w:t>
      </w:r>
      <w:r w:rsidR="00BC2555">
        <w:t>schnittlichen Bezahlung in Mini</w:t>
      </w:r>
      <w:r>
        <w:t>sterien und nachgeordneten Behörden liegen dem Staatsministerium der Finanzen und für Heimat nicht vor.</w:t>
      </w:r>
    </w:p>
    <w:p w14:paraId="2A46268C" w14:textId="77777777" w:rsidR="009B7130" w:rsidRDefault="009B7130">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B7130" w14:paraId="2C1CA5B7" w14:textId="77777777" w:rsidTr="007B0B33">
        <w:tc>
          <w:tcPr>
            <w:tcW w:w="2050" w:type="dxa"/>
          </w:tcPr>
          <w:p w14:paraId="60418506" w14:textId="77777777" w:rsidR="009B7130" w:rsidRDefault="009B7130" w:rsidP="009B7130">
            <w:pPr>
              <w:pStyle w:val="LTAnfrageInitiator"/>
            </w:pPr>
            <w:r>
              <w:lastRenderedPageBreak/>
              <w:t>Abgeordneter</w:t>
            </w:r>
            <w:r>
              <w:rPr>
                <w:b/>
              </w:rPr>
              <w:br/>
              <w:t>Elmar</w:t>
            </w:r>
            <w:r>
              <w:rPr>
                <w:b/>
              </w:rPr>
              <w:br/>
              <w:t>Hayn</w:t>
            </w:r>
            <w:r>
              <w:rPr>
                <w:b/>
              </w:rPr>
              <w:br/>
            </w:r>
            <w:r>
              <w:t>(BÜNDNIS 90/DIE GRÜNEN)</w:t>
            </w:r>
            <w:bookmarkStart w:id="89" w:name="Frage_Nr_44"/>
            <w:bookmarkEnd w:id="89"/>
          </w:p>
        </w:tc>
        <w:tc>
          <w:tcPr>
            <w:tcW w:w="7200" w:type="dxa"/>
          </w:tcPr>
          <w:p w14:paraId="4C9931E9" w14:textId="77777777" w:rsidR="009B7130" w:rsidRDefault="00464F5C" w:rsidP="00CB3417">
            <w:pPr>
              <w:pStyle w:val="LTAnfrageText"/>
            </w:pPr>
            <w:r w:rsidRPr="00464F5C">
              <w:rPr>
                <w:szCs w:val="24"/>
              </w:rPr>
              <w:t>Ich frage die Staatsregierung, wie viele Stellen (angestellt oder verbeamtet) sind derzeit unbesetzt, wie hoch ist der Anteil davon, der voraussichtlich bis zum Jahresende 2022 besetzt werden kann, wie viel Zeit verging in den Jahren 2019 bis 2021 zwischen Ausschreibung und Besetzung der Stelle (Angaben bitte aufschlüsseln nach kürzestem Zeitraum, maximalem Zeitraum, durchschnittlichem Zeitraum und Median sowie nach Regierungsbezirken, Angestellten/ Beamten und Jahren)?</w:t>
            </w:r>
          </w:p>
        </w:tc>
      </w:tr>
    </w:tbl>
    <w:p w14:paraId="620E30CD" w14:textId="77777777" w:rsidR="009B7130" w:rsidRDefault="009B7130" w:rsidP="009B7130">
      <w:pPr>
        <w:pStyle w:val="LTUeberschrAntwortRessort"/>
      </w:pPr>
      <w:r>
        <w:t>Antwort des Staatsministeriums der Finanzen und für Heimat</w:t>
      </w:r>
    </w:p>
    <w:p w14:paraId="557301B6" w14:textId="77777777" w:rsidR="009B7130" w:rsidRDefault="009B7130" w:rsidP="009B7130">
      <w:pPr>
        <w:pStyle w:val="LTAntwortRessortText"/>
      </w:pPr>
      <w:r>
        <w:t xml:space="preserve">Der Stellenplan als Teil des Haushaltsplans </w:t>
      </w:r>
      <w:r w:rsidR="00492535">
        <w:t>des Freistaates Bayern gilt lan</w:t>
      </w:r>
      <w:r>
        <w:t xml:space="preserve">desweit. Er sieht keine Untergliederung in Regierungsbezirke oder Regionen vor. Die jeweils zuständigen Ressorts verteilen die (Plan-)Stellen und die sog. Mittelstellen bzw. das Personal nach </w:t>
      </w:r>
      <w:r w:rsidR="00492535">
        <w:t>den Vorgaben des vom Landtag be</w:t>
      </w:r>
      <w:r>
        <w:t>schlossenen Haushaltsplans auf die einzel</w:t>
      </w:r>
      <w:r w:rsidR="00492535">
        <w:t>nen Verwaltungszweige und inner</w:t>
      </w:r>
      <w:r>
        <w:t>halb dieser Verwaltungszweige auf die einzelnen Regionen, Behörden und Behördenstandorte. Die Stellen- und Perso</w:t>
      </w:r>
      <w:r w:rsidR="00492535">
        <w:t>nalverteilung, die Stellenbeset</w:t>
      </w:r>
      <w:r>
        <w:t>zung und somit auch die Personalplanun</w:t>
      </w:r>
      <w:r w:rsidR="00492535">
        <w:t>g und die notwendigen Ausschrei</w:t>
      </w:r>
      <w:r>
        <w:t>bungen sowie die Einstellungen werden von den zuständigen Ressorts nach den fachlichen, organisatorischen und perso</w:t>
      </w:r>
      <w:r w:rsidR="00492535">
        <w:t>nalwirtschaftlichen Erfordernis</w:t>
      </w:r>
      <w:r>
        <w:t>sen im Rahmen ihrer Personalbewirtschaftungshoheit und im Rahmen der haushaltsrechtlichen Vorgaben vorgenommen. Daten zur (regionalisierten) Stellenbesetzung, Daten zum Zeitraum zwischen Ausschreibung und Stelle</w:t>
      </w:r>
      <w:r w:rsidR="00492535">
        <w:t>n</w:t>
      </w:r>
      <w:r>
        <w:t>besetzung und Daten zu den Stellen, die bis zum Jahresende besetzt werden können, liegen nicht vor. Zur Ermittlung de</w:t>
      </w:r>
      <w:r w:rsidR="00492535">
        <w:t>r Daten wären umfangreiche Erhe</w:t>
      </w:r>
      <w:r>
        <w:t>bungen bei einer Vielzahl von personalbewi</w:t>
      </w:r>
      <w:r w:rsidR="00492535">
        <w:t>rtschaftenden Stellen aller Res</w:t>
      </w:r>
      <w:r>
        <w:t>sorts erforderlich.</w:t>
      </w:r>
    </w:p>
    <w:p w14:paraId="381589C5" w14:textId="77777777" w:rsidR="009B7130" w:rsidRDefault="009B7130">
      <w:bookmarkStart w:id="90" w:name="Frage_Nr_44_Ende"/>
      <w:bookmarkEnd w:id="90"/>
      <w:r>
        <w:br w:type="page"/>
      </w:r>
    </w:p>
    <w:p w14:paraId="2D531E90" w14:textId="77777777" w:rsidR="009B7130" w:rsidRDefault="009B7130" w:rsidP="009B7130">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9B7130" w14:paraId="0DB5C1D2" w14:textId="77777777" w:rsidTr="007B0B33">
        <w:tc>
          <w:tcPr>
            <w:tcW w:w="2050" w:type="dxa"/>
          </w:tcPr>
          <w:p w14:paraId="68C8458A" w14:textId="77777777" w:rsidR="009B7130" w:rsidRDefault="009B7130" w:rsidP="009B7130">
            <w:pPr>
              <w:pStyle w:val="LTAnfrageInitiator"/>
            </w:pPr>
            <w:r>
              <w:t>Abgeordneter</w:t>
            </w:r>
            <w:r>
              <w:rPr>
                <w:b/>
              </w:rPr>
              <w:br/>
              <w:t>Albert</w:t>
            </w:r>
            <w:r>
              <w:rPr>
                <w:b/>
              </w:rPr>
              <w:br/>
              <w:t>Duin</w:t>
            </w:r>
            <w:r>
              <w:rPr>
                <w:b/>
              </w:rPr>
              <w:br/>
            </w:r>
            <w:r>
              <w:t>(FDP)</w:t>
            </w:r>
            <w:bookmarkStart w:id="91" w:name="Frage_Nr_45"/>
            <w:bookmarkEnd w:id="91"/>
          </w:p>
        </w:tc>
        <w:tc>
          <w:tcPr>
            <w:tcW w:w="7200" w:type="dxa"/>
          </w:tcPr>
          <w:p w14:paraId="6620A70E" w14:textId="77777777" w:rsidR="009B7130" w:rsidRDefault="00464F5C" w:rsidP="009B7130">
            <w:pPr>
              <w:pStyle w:val="LTAnfrageText"/>
            </w:pPr>
            <w:r w:rsidRPr="00464F5C">
              <w:rPr>
                <w:szCs w:val="24"/>
              </w:rPr>
              <w:t>Vor dem Hintergrund der Prüfung einer sogenannten sozialen Taxonomie durch die Europäische Kommission, welche analog zur umstrittenen grünen Variante Anlegern signalisieren soll, welche Unternehmen dem Gemeinwesen dienen und sich deshalb für die Anlage nach sozialen Standards eignen, frage ich die Staatsregierung, welche grundlegende Position hat sie zu einer sozialen Taxonomie, welche Auswirkungen hätte eine soziale Taxonomie nach Ansicht der Staatsregierung auf die Wirtschaft in Bayern und welche Wirtschaftszweige in Bayern wären besonders von einer sozialen Taxonomie betroffen?</w:t>
            </w:r>
          </w:p>
        </w:tc>
      </w:tr>
    </w:tbl>
    <w:p w14:paraId="10D940D3" w14:textId="77777777" w:rsidR="009B7130" w:rsidRDefault="009B7130" w:rsidP="009B7130">
      <w:pPr>
        <w:pStyle w:val="LTUeberschrAntwortRessort"/>
      </w:pPr>
      <w:r>
        <w:t>Antwort des Staatsministeriums für Wirtschaft, Landesentwicklung und Energie</w:t>
      </w:r>
    </w:p>
    <w:p w14:paraId="7998A695" w14:textId="77777777" w:rsidR="009B7130" w:rsidRDefault="009B7130" w:rsidP="00CB3417">
      <w:pPr>
        <w:pStyle w:val="LTAntwortRessortText"/>
      </w:pPr>
      <w:r>
        <w:t xml:space="preserve">Die Europäische Kommission hat im Sommer 2021 in </w:t>
      </w:r>
      <w:r w:rsidR="00B06BA8">
        <w:t>ihrer Strategie zur Stärkung ei</w:t>
      </w:r>
      <w:r>
        <w:t>ner nachhaltigen Wirtschaft angekündigt, einen Berich</w:t>
      </w:r>
      <w:r w:rsidR="00B06BA8">
        <w:t>t über eine Sozialtaxonomie vor</w:t>
      </w:r>
      <w:r>
        <w:t>zulegen. Aktuell wird der Abschlussbericht der Plattform für</w:t>
      </w:r>
      <w:r w:rsidR="00B06BA8">
        <w:t xml:space="preserve"> ein nachhaltiges Finanz</w:t>
      </w:r>
      <w:r>
        <w:t>wesen, die die EU-Kommission im Bereich ihrer Sustainable-Finance-Initiative berät, mit Empfehlungen zu einer etwaigen Sozialtaxonomie erwartet.</w:t>
      </w:r>
      <w:r w:rsidR="00CB3417">
        <w:t xml:space="preserve"> </w:t>
      </w:r>
      <w:r>
        <w:t>Zum jetzigen Zeitpunkt ist eine abschließende Bewe</w:t>
      </w:r>
      <w:r w:rsidR="00B06BA8">
        <w:t>rtung der Inhalte und der mögli</w:t>
      </w:r>
      <w:r>
        <w:t>chen Auswirkungen auf unterschiedliche Wirtschaft</w:t>
      </w:r>
      <w:r w:rsidR="00B06BA8">
        <w:t xml:space="preserve">szweige in Bayern durch die </w:t>
      </w:r>
      <w:r>
        <w:t>Staatsregierung noch nicht möglich.</w:t>
      </w:r>
      <w:r w:rsidR="00CB3417">
        <w:t xml:space="preserve"> </w:t>
      </w:r>
      <w:r>
        <w:t>Die Staatsregierung lehnt eine pauschale</w:t>
      </w:r>
      <w:r w:rsidR="00B06BA8">
        <w:t xml:space="preserve"> Einstufung von Wirtschaftszwei</w:t>
      </w:r>
      <w:r>
        <w:t xml:space="preserve">gen als </w:t>
      </w:r>
      <w:r w:rsidR="006F49A4">
        <w:t>„</w:t>
      </w:r>
      <w:r>
        <w:t>socially harmful</w:t>
      </w:r>
      <w:r w:rsidR="006F49A4">
        <w:t>“</w:t>
      </w:r>
      <w:r>
        <w:t xml:space="preserve"> im Rahmen einer Sozialtaxon</w:t>
      </w:r>
      <w:r w:rsidR="00B06BA8">
        <w:t>omie ab. Dies trifft undifferen</w:t>
      </w:r>
      <w:r>
        <w:t>ziert Unternehmen, die einen Beitrag zur Sicherheit unseres Landes, aber auch zum technologischen Fortschritt leisten. Entsprechende Befürchtungen hat die Sicherheits- und Verteidigungsindustrie (SVI) an das Staatsminister</w:t>
      </w:r>
      <w:r w:rsidR="00B06BA8">
        <w:t>ium für Wirtschaft, Landesent</w:t>
      </w:r>
      <w:r>
        <w:t>wicklung und Energie (StMWi) herangetragen. Man s</w:t>
      </w:r>
      <w:r w:rsidR="00B06BA8">
        <w:t>teht mit der Branche seit länge</w:t>
      </w:r>
      <w:r>
        <w:t>rem in einem engen Austausch zum Thema Sozialtaxonomie. Das StMWi setzt sich bei den Entscheidungsträgern auf europäischer und Bundesebene für eine Einstufung der SVI im Rahmen einer etwaigen Sozialtaxonomie ein, die entweder den Beitrag d</w:t>
      </w:r>
      <w:r w:rsidR="00CB3417">
        <w:t xml:space="preserve">er </w:t>
      </w:r>
      <w:r>
        <w:t xml:space="preserve">Branche zum öffentlichen Gut </w:t>
      </w:r>
      <w:r w:rsidR="006F49A4">
        <w:t>„</w:t>
      </w:r>
      <w:r>
        <w:t>innere und äußere Sicherheit</w:t>
      </w:r>
      <w:r w:rsidR="006F49A4">
        <w:t>“</w:t>
      </w:r>
      <w:r w:rsidR="00B06BA8">
        <w:t xml:space="preserve"> angemessen würdigt o</w:t>
      </w:r>
      <w:r>
        <w:t>der auf andere Weise unseren Sicherheits- und Versorgungsinteressen bei Militär und Polizei gerecht wird.</w:t>
      </w:r>
    </w:p>
    <w:p w14:paraId="703B8A5A" w14:textId="77777777" w:rsidR="009B7130" w:rsidRDefault="009B7130">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9"/>
        <w:gridCol w:w="5727"/>
      </w:tblGrid>
      <w:tr w:rsidR="009B7130" w14:paraId="351DD823" w14:textId="77777777" w:rsidTr="007B0B33">
        <w:tc>
          <w:tcPr>
            <w:tcW w:w="2050" w:type="dxa"/>
          </w:tcPr>
          <w:p w14:paraId="37379203" w14:textId="77777777" w:rsidR="009B7130" w:rsidRDefault="009B7130" w:rsidP="009B7130">
            <w:pPr>
              <w:pStyle w:val="LTAnfrageInitiator"/>
            </w:pPr>
            <w:r>
              <w:lastRenderedPageBreak/>
              <w:t>Abgeordnete</w:t>
            </w:r>
            <w:r>
              <w:rPr>
                <w:b/>
              </w:rPr>
              <w:br/>
              <w:t>Susanne</w:t>
            </w:r>
            <w:r>
              <w:rPr>
                <w:b/>
              </w:rPr>
              <w:br/>
              <w:t>Kurz</w:t>
            </w:r>
            <w:r>
              <w:rPr>
                <w:b/>
              </w:rPr>
              <w:br/>
            </w:r>
            <w:r>
              <w:t>(BÜNDNIS 90/DIE GRÜNEN)</w:t>
            </w:r>
            <w:bookmarkStart w:id="93" w:name="Frage_Nr_46"/>
            <w:bookmarkEnd w:id="93"/>
          </w:p>
        </w:tc>
        <w:tc>
          <w:tcPr>
            <w:tcW w:w="7200" w:type="dxa"/>
          </w:tcPr>
          <w:p w14:paraId="69E9458B" w14:textId="77777777" w:rsidR="009B7130" w:rsidRDefault="00E70B7A" w:rsidP="009B7130">
            <w:pPr>
              <w:pStyle w:val="LTAnfrageText"/>
            </w:pPr>
            <w:r w:rsidRPr="00E70B7A">
              <w:rPr>
                <w:szCs w:val="24"/>
              </w:rPr>
              <w:t>Ich frage die Staatsregierung, welche Rahmenbedingungen für die von ihr in Aussicht gestellte Ermöglichung von Märkten und Volksfesten in diesem Jahr gelten, ob die Aufhebung der bestehenden Kapazitätsgrenzen für Freizeitparks sowie die aktuelle Lockerung von 2G auf 3G in der Gastronomie für Märkte, Volksfeste und Festwirte übernommen wird und bis wann die Marktkaufleute, Schaustellerinnen und Schausteller sowie Festwirtinnen und Festwirte verbindliche Angaben erhalten, um mit Vorbereitungen wie Personalbeschaffung, Organisation und Planung rechtzeitig vor Saisonstart beginnen zu können?</w:t>
            </w:r>
          </w:p>
        </w:tc>
      </w:tr>
    </w:tbl>
    <w:p w14:paraId="54F98D1B" w14:textId="77777777" w:rsidR="009B7130" w:rsidRDefault="009B7130" w:rsidP="009B7130">
      <w:pPr>
        <w:pStyle w:val="LTUeberschrAntwortRessort"/>
      </w:pPr>
      <w:r>
        <w:t>Antwort des Staatsministeriums für Wirtschaft, Landesentwicklung und Energie</w:t>
      </w:r>
    </w:p>
    <w:p w14:paraId="04A72F36" w14:textId="7DFE8910" w:rsidR="009B7130" w:rsidRDefault="009B7130" w:rsidP="009B7130">
      <w:pPr>
        <w:pStyle w:val="LTAntwortRessortText"/>
      </w:pPr>
      <w:r>
        <w:t xml:space="preserve">Bezüglich der Rahmenbedingungen für die Durchführung von Volksfesten in diesem Jahr wird auf Initiative von Staatsminister </w:t>
      </w:r>
      <w:r w:rsidR="00300090">
        <w:t xml:space="preserve">für Wirtschaft, Landesentwicklung und Energie Hubert </w:t>
      </w:r>
      <w:r>
        <w:t>Aiwanger am 24. Februar 20</w:t>
      </w:r>
      <w:r w:rsidR="00300090">
        <w:t>22 ein Runder Tisch Volksfeste –</w:t>
      </w:r>
      <w:r>
        <w:t xml:space="preserve"> gemeinsam mit dem Staatsminister für Gesundheit und Pflege</w:t>
      </w:r>
      <w:r w:rsidR="00300090">
        <w:t xml:space="preserve"> Klaus Holetschek</w:t>
      </w:r>
      <w:r>
        <w:t>, dem Staatsminister für Wissenschaft und Kunst</w:t>
      </w:r>
      <w:r w:rsidR="00300090">
        <w:t xml:space="preserve"> Bernd Sibler, der Staatsministerin für Digi</w:t>
      </w:r>
      <w:r>
        <w:t xml:space="preserve">tales </w:t>
      </w:r>
      <w:r w:rsidR="00300090">
        <w:t xml:space="preserve">Judith Gerlach </w:t>
      </w:r>
      <w:r>
        <w:t xml:space="preserve">sowie dem Beauftragten für Bürokratieabbau der Staatsregierung, Herrn </w:t>
      </w:r>
      <w:r w:rsidR="00300090">
        <w:t xml:space="preserve">Walter </w:t>
      </w:r>
      <w:r>
        <w:t>Nussel,</w:t>
      </w:r>
      <w:r w:rsidR="00B00327">
        <w:t xml:space="preserve">MdL, </w:t>
      </w:r>
      <w:r>
        <w:t xml:space="preserve"> den Vertretern der Verbände der Schausteller, Marktkaufleute, Festwirte sowie der Gastronomie und unter Beteiligung des </w:t>
      </w:r>
      <w:r w:rsidR="003E3665">
        <w:t>Städte- und Gemeindetags –</w:t>
      </w:r>
      <w:r>
        <w:t xml:space="preserve"> durchgeführt. Im Nachgang werden</w:t>
      </w:r>
      <w:r w:rsidR="003E3665">
        <w:t xml:space="preserve"> das Staatsministerium für Wirt</w:t>
      </w:r>
      <w:r>
        <w:t>schaft, Landesentwicklung und Energie und das Staatsministerium für Gesundheit und Pflege ein entsprechendes Rahmenkonzept für di</w:t>
      </w:r>
      <w:r w:rsidR="003E3665">
        <w:t>e zu beachtenden Schutz- und Hy</w:t>
      </w:r>
      <w:r>
        <w:t>gienebestimmungen ausarbeiten. Dabei ist jedoch zu beachten, dass berücksichtigt werden muss, welche konkreten Vorgaben der Bun</w:t>
      </w:r>
      <w:r w:rsidR="003E3665">
        <w:t>d für die Durchführung von Groß</w:t>
      </w:r>
      <w:r>
        <w:t>veranstaltungen beschließen wird.</w:t>
      </w:r>
    </w:p>
    <w:p w14:paraId="1CCADB66" w14:textId="77777777" w:rsidR="009B7130" w:rsidRDefault="009B7130" w:rsidP="009B7130">
      <w:pPr>
        <w:pStyle w:val="LTAntwortRessortText"/>
      </w:pPr>
      <w:r>
        <w:t>Aufgrund der laufenden Abstimmungen können zum j</w:t>
      </w:r>
      <w:r w:rsidR="003E3665">
        <w:t>etzigen Zeitpunkt keine verbind</w:t>
      </w:r>
      <w:r>
        <w:t>lichen Aussagen getroffen werden.</w:t>
      </w:r>
    </w:p>
    <w:p w14:paraId="2D4F950C" w14:textId="77777777" w:rsidR="009B7130" w:rsidRDefault="009B7130">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B7130" w14:paraId="61B0FF02" w14:textId="77777777" w:rsidTr="007B0B33">
        <w:tc>
          <w:tcPr>
            <w:tcW w:w="2050" w:type="dxa"/>
          </w:tcPr>
          <w:p w14:paraId="6115C1A7" w14:textId="77777777" w:rsidR="009B7130" w:rsidRDefault="009B7130" w:rsidP="009B7130">
            <w:pPr>
              <w:pStyle w:val="LTAnfrageInitiator"/>
            </w:pPr>
            <w:r>
              <w:lastRenderedPageBreak/>
              <w:t>Abgeordnete</w:t>
            </w:r>
            <w:r>
              <w:rPr>
                <w:b/>
              </w:rPr>
              <w:br/>
              <w:t>Rosi</w:t>
            </w:r>
            <w:r>
              <w:rPr>
                <w:b/>
              </w:rPr>
              <w:br/>
              <w:t>Steinberger</w:t>
            </w:r>
            <w:r>
              <w:rPr>
                <w:b/>
              </w:rPr>
              <w:br/>
            </w:r>
            <w:r>
              <w:t>(BÜNDNIS 90/DIE GRÜNEN)</w:t>
            </w:r>
            <w:bookmarkStart w:id="95" w:name="Frage_Nr_47"/>
            <w:bookmarkEnd w:id="95"/>
          </w:p>
        </w:tc>
        <w:tc>
          <w:tcPr>
            <w:tcW w:w="7200" w:type="dxa"/>
          </w:tcPr>
          <w:p w14:paraId="1AB30AC6" w14:textId="77777777" w:rsidR="009B7130" w:rsidRDefault="00E70B7A" w:rsidP="009B7130">
            <w:pPr>
              <w:pStyle w:val="LTAnfrageText"/>
            </w:pPr>
            <w:r w:rsidRPr="00E70B7A">
              <w:rPr>
                <w:szCs w:val="24"/>
              </w:rPr>
              <w:t>Ich frage die Staatsregierung, welche Gebiete in Niederbayern gelten als Tourismusgebiete im Sinne des bayerischen regionalen Förderprogramms für die gewerbliche Wirtschaft, welche Kriterien muss ein Gebiet erfüllen, um als Tourismusgebiet eingestuft zu werden und welche Veränderungen gab es bei den Tourismusgebieten in Niederbayern in den letzten fünf Jahren?</w:t>
            </w:r>
          </w:p>
        </w:tc>
      </w:tr>
    </w:tbl>
    <w:p w14:paraId="5E33C897" w14:textId="77777777" w:rsidR="009B7130" w:rsidRDefault="009B7130" w:rsidP="009B7130">
      <w:pPr>
        <w:pStyle w:val="LTUeberschrAntwortRessort"/>
      </w:pPr>
      <w:r>
        <w:t>Antwort des Staatsministeriums für Wirtschaft, Landesentwicklung und Energie</w:t>
      </w:r>
    </w:p>
    <w:p w14:paraId="03A33308" w14:textId="77777777" w:rsidR="009B7130" w:rsidRDefault="009B7130" w:rsidP="009B7130">
      <w:pPr>
        <w:pStyle w:val="LTAntwortRessortText"/>
      </w:pPr>
      <w:r>
        <w:t xml:space="preserve">In den Tourismusregionen im Sinn des Tourismuspolitischen Konzepts der Staatsregierung sollen die Fördermittel der </w:t>
      </w:r>
      <w:r w:rsidR="00F5021C">
        <w:t>Regionalför</w:t>
      </w:r>
      <w:r>
        <w:t>derung die Durchführung von Vorhaben der gewerblic</w:t>
      </w:r>
      <w:r w:rsidR="00F5021C">
        <w:t>hen Tourismuswirtschaft erleich</w:t>
      </w:r>
      <w:r>
        <w:t>tern, die Wirtschaftskraft dieser Gebiete stärken und</w:t>
      </w:r>
      <w:r w:rsidR="00F5021C">
        <w:t xml:space="preserve"> die Leistungs- und Wettbewerbs</w:t>
      </w:r>
      <w:r>
        <w:t xml:space="preserve">fähigkeit der Tourismuswirtschaft festigen und erhöhen. Das Landesentwicklungsprogramm (LEP) hingegen sieht keine Tourismusgebietskarte mehr vor. Insofern ist die letztmals im Rahmen des LEP aufgelegte Karte der Tourismusgebiete (Stand: 01.09.2006) im </w:t>
      </w:r>
      <w:r w:rsidR="00A54082">
        <w:t>Rahmen der Regionalförderung le</w:t>
      </w:r>
      <w:r>
        <w:t>diglich verwaltungsintern als Anhalt heranzuziehen. I</w:t>
      </w:r>
      <w:r w:rsidR="00A54082">
        <w:t>m Zweifel ist durch die Bewilli</w:t>
      </w:r>
      <w:r>
        <w:t xml:space="preserve">gungsstelle mit der Tourismusabteilung des </w:t>
      </w:r>
      <w:r w:rsidR="00A54082">
        <w:t>Staatsministeriums für Wirtschaft, Landesentwicklung und Energie</w:t>
      </w:r>
      <w:r>
        <w:t xml:space="preserve"> abzuklären, ob die Gemeinde, in der die Investition getätigt werden soll, als Tourismus(entwicklungs)gebiet anzusehen ist.</w:t>
      </w:r>
    </w:p>
    <w:p w14:paraId="26E97C25" w14:textId="77777777" w:rsidR="009B7130" w:rsidRDefault="009B7130">
      <w:bookmarkStart w:id="96" w:name="Frage_Nr_47_Ende"/>
      <w:bookmarkEnd w:id="96"/>
      <w:r>
        <w:br w:type="page"/>
      </w:r>
    </w:p>
    <w:p w14:paraId="664C60CB" w14:textId="77777777" w:rsidR="009B7130" w:rsidRDefault="009B7130" w:rsidP="009B7130">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9B7130" w14:paraId="76EEC565" w14:textId="77777777" w:rsidTr="007B0B33">
        <w:tc>
          <w:tcPr>
            <w:tcW w:w="2050" w:type="dxa"/>
          </w:tcPr>
          <w:p w14:paraId="1B2A4548" w14:textId="77777777" w:rsidR="009B7130" w:rsidRDefault="009B7130" w:rsidP="009B7130">
            <w:pPr>
              <w:pStyle w:val="LTAnfrageInitiator"/>
            </w:pPr>
            <w:r>
              <w:t>Abgeordneter</w:t>
            </w:r>
            <w:r>
              <w:rPr>
                <w:b/>
              </w:rPr>
              <w:br/>
              <w:t>Florian</w:t>
            </w:r>
            <w:r w:rsidR="002A6584">
              <w:rPr>
                <w:b/>
              </w:rPr>
              <w:t xml:space="preserve"> von</w:t>
            </w:r>
            <w:r>
              <w:rPr>
                <w:b/>
              </w:rPr>
              <w:br/>
              <w:t>Brunn</w:t>
            </w:r>
            <w:r>
              <w:rPr>
                <w:b/>
              </w:rPr>
              <w:br/>
            </w:r>
            <w:r>
              <w:t>(SPD)</w:t>
            </w:r>
            <w:bookmarkStart w:id="97" w:name="Frage_Nr_48"/>
            <w:bookmarkEnd w:id="97"/>
          </w:p>
        </w:tc>
        <w:tc>
          <w:tcPr>
            <w:tcW w:w="7200" w:type="dxa"/>
          </w:tcPr>
          <w:p w14:paraId="3FB0A676" w14:textId="77777777" w:rsidR="009B7130" w:rsidRDefault="00E70B7A" w:rsidP="009B7130">
            <w:pPr>
              <w:pStyle w:val="LTAnfrageText"/>
            </w:pPr>
            <w:r w:rsidRPr="00E70B7A">
              <w:rPr>
                <w:szCs w:val="24"/>
              </w:rPr>
              <w:t>Nachdem sich Staatsminister für Umwelt und Verbraucherschutz Thorsten Glauber laut Medienberichten in nächster Zeit mit vier Betroffenen des Flutpolder-Baus an der Donau treffen will, frage ich die Staatsregierung, bis wann alle geplanten Flutpolder an der Donau fertig gebaut und einsatzbereit sind (bitte mit Angabe des geplanten Zeitpunkts der Fertigstellung und Einsatzbereitschaft für jeden einzelnen Flutpolder), wie bis zur Fertigstellung der Polder der Schutz der Donauanlieger vor Hochwassern sichergestellt wird, und zu welcher zeitlichen Verzögerung der Fertigstellung der Flutpolder an der Donau die – politisch bedingte – Planungs- und Bauunterbrechung sowie die Umplanung (statt der beiden Standorte Eltheim und Wörthhof die gemeinsame Variante Wörthhof-groß) geführt hat?</w:t>
            </w:r>
          </w:p>
        </w:tc>
      </w:tr>
    </w:tbl>
    <w:p w14:paraId="4117AD4D" w14:textId="77777777" w:rsidR="009B7130" w:rsidRDefault="009B7130" w:rsidP="009B7130">
      <w:pPr>
        <w:pStyle w:val="LTUeberschrAntwortRessort"/>
      </w:pPr>
      <w:r>
        <w:t>Antwort des Staatsministeriums für Umwelt und Verbraucherschutz</w:t>
      </w:r>
    </w:p>
    <w:p w14:paraId="44603552" w14:textId="77777777" w:rsidR="009B7130" w:rsidRDefault="009B7130" w:rsidP="009B7130">
      <w:pPr>
        <w:pStyle w:val="LTAntwortRessortText"/>
      </w:pPr>
      <w:r>
        <w:t>Der Ministerrat hat das Staatsministerium für Umwelt und Verbraucherschutz mit Beschluss vom 27.07.2021 beauftragt, das Flutpolderprogramm an der Donau mit den neun Standorten Leipheim, Helmeringen, Neugeschüttwörth, Bertoldsheim, Riedensheim, Großmehring, Katzau, Wörthhofgroß und Öberauer Schleife fortzuführen. Bei der Umsetzung des Flutpolderprogramms sind die Flutpolder Wörthhof (Baubeginn frühestens ab dem Jahr 2031) und Bertoldsheim (Baubeginn frühestens ab dem Jahr 2032) zeitlich als letztes zu realisieren. Bereits technisch betriebsbereit ist der Flutpolder Riedensheim. Von den übrigen Standorten ist der niederbayerische Flutpolder Öberauer Schleife in den Planungen am weitesten fortgeschritten. Hier soll im Sommer 2022 das Planfeststellungsverfahren beantragt werden. Ein konkreter Zeitpunkt der Fertigstellung und Einsatzbereitschaft aller Flutpolder kann insbesondere wegen der durchzuführenden Rechtsverfahren derzeit nicht benannt werden.</w:t>
      </w:r>
      <w:r w:rsidR="002A6584">
        <w:t xml:space="preserve"> </w:t>
      </w:r>
      <w:r>
        <w:t xml:space="preserve">Flutpolder kommen im Überlastfall zum Einsatz und vermindern als ein Baustein eines integralen Hochwasserschutzes insbesondere die Gefahr des Überströmens oder unkontrollierten Versagens von Hochwasserschutzanlagen. Die sonstigen Handlungsfelder des Hochwasserschutzes wie die Vermeidung von Hochwasserschäden durch das Freihalten von Überschwemmungsgebieten, der Grundschutz durch technische Hochwasserschutzanlagen oder die Hochwasservorsorge werden bayernweit mit Nachdruck vorangetrieben und sind jeweils für sich wirksam. Die angesprochene </w:t>
      </w:r>
      <w:r w:rsidR="006F49A4">
        <w:t>„</w:t>
      </w:r>
      <w:r>
        <w:t>Planungsunterbrechung</w:t>
      </w:r>
      <w:r w:rsidR="006F49A4">
        <w:t>“</w:t>
      </w:r>
      <w:r>
        <w:t xml:space="preserve"> betraf nur die Standorte Bertoldsheim, Elthei</w:t>
      </w:r>
      <w:r w:rsidR="00A54082">
        <w:t>m und Wörthhof und betrug rund drei</w:t>
      </w:r>
      <w:r>
        <w:t xml:space="preserve"> Jahre. Bei den Flutpolderstandorten östlich von Regensburg war die Variante Wörthhofgroß stets Bestandteil der Planungen und wird nun aufgrund einer Vielzahl an</w:t>
      </w:r>
      <w:r w:rsidR="00AA2D75">
        <w:t xml:space="preserve"> </w:t>
      </w:r>
      <w:r>
        <w:t>Vorteilen als einzige Variante in den Planungen weiterverfolgt. Des Weiteren konnten in den vergangenen Jahren umfangreiche, für die Planung und den Bau notwendige Voruntersuchungen an den Standorten durchgeführt werden, die nun in die weiteren Planungen einfließen. Die Festlegung auf diese Variante führt daher nicht zu einer Verzögerung.</w:t>
      </w:r>
    </w:p>
    <w:p w14:paraId="39EA562B" w14:textId="77777777" w:rsidR="009B7130" w:rsidRDefault="009B7130">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9B7130" w14:paraId="1689839D" w14:textId="77777777" w:rsidTr="007B0B33">
        <w:tc>
          <w:tcPr>
            <w:tcW w:w="2050" w:type="dxa"/>
          </w:tcPr>
          <w:p w14:paraId="6DF87F1E" w14:textId="77777777" w:rsidR="009B7130" w:rsidRDefault="009B7130" w:rsidP="009B7130">
            <w:pPr>
              <w:pStyle w:val="LTAnfrageInitiator"/>
            </w:pPr>
            <w:r>
              <w:lastRenderedPageBreak/>
              <w:t>Abgeordnete</w:t>
            </w:r>
            <w:r>
              <w:rPr>
                <w:b/>
              </w:rPr>
              <w:br/>
              <w:t>Kerstin</w:t>
            </w:r>
            <w:r>
              <w:rPr>
                <w:b/>
              </w:rPr>
              <w:br/>
              <w:t>Celina</w:t>
            </w:r>
            <w:r>
              <w:rPr>
                <w:b/>
              </w:rPr>
              <w:br/>
            </w:r>
            <w:r>
              <w:t>(BÜNDNIS 90/DIE GRÜNEN)</w:t>
            </w:r>
            <w:bookmarkStart w:id="99" w:name="Frage_Nr_49"/>
            <w:bookmarkEnd w:id="99"/>
          </w:p>
        </w:tc>
        <w:tc>
          <w:tcPr>
            <w:tcW w:w="7200" w:type="dxa"/>
          </w:tcPr>
          <w:p w14:paraId="71319762" w14:textId="77777777" w:rsidR="009B7130" w:rsidRDefault="00E70B7A" w:rsidP="009B7130">
            <w:pPr>
              <w:pStyle w:val="LTAnfrageText"/>
            </w:pPr>
            <w:r w:rsidRPr="00E70B7A">
              <w:rPr>
                <w:szCs w:val="24"/>
              </w:rPr>
              <w:t>Nachdem die staatlichen Auflagen zum Rückbau der nicht zu nutzenden Tiefbrunnen des Zweckverbandes Fernwasserversorgung Mittelmain (FWM) in der Gemarkung Hofstetten (Stadt Gemünden, Landkreis Main-Spessart) durch den Zweckverband FWM (vgl. Berichterstattung in der Main Post vom 11.01.2022 und vom 06.02.2022) nicht umgesetzt wurden, frage ich die Staatsregierung, welche konkreten Auflagen beinhaltet der inzwischen übermittelte verpflichtende Bescheid des Landratsamtes Main-Spessart gegenüber dem Zweckverband FWM, welche inhaltlichen Gründe für eine Klage dagegen führt der Zweckverband FWM an und wann ist mit einer Umsetzung der Auflagen aus dem verpflichtenden Bescheid zu rechnen?</w:t>
            </w:r>
          </w:p>
        </w:tc>
      </w:tr>
    </w:tbl>
    <w:p w14:paraId="348ADF00" w14:textId="77777777" w:rsidR="009B7130" w:rsidRDefault="009B7130" w:rsidP="009B7130">
      <w:pPr>
        <w:pStyle w:val="LTUeberschrAntwortRessort"/>
      </w:pPr>
      <w:r>
        <w:t>Antwort des Staatsministeriums für Umwelt und Verbraucherschutz</w:t>
      </w:r>
    </w:p>
    <w:p w14:paraId="4E99C8FC" w14:textId="77777777" w:rsidR="009B7130" w:rsidRDefault="009B7130" w:rsidP="009B7130">
      <w:pPr>
        <w:pStyle w:val="LTAntwortRessortText"/>
      </w:pPr>
      <w:r>
        <w:t xml:space="preserve">Die Tiefbrunnen der Brunnengalerie Hofstetten-West können nicht für die öffentliche Wasserversorgung genutzt werden, da sie nicht schutzfähig sind. Ein wasserrechtlicher Antrag zur Wasserentnahme wurde daher 2012 abgelehnt, das Wasserschutzgebiet wurde 2013 aufgehoben. Andere naheliegende Nutzungsmöglichkeiten sind nicht ersichtlich, da kein Bedarf besteht. Dies ist seit vielen Jahren geklärt. Ein fachgerechter Rückbau der Tiefbrunnen und zugehörigen Messstellen ist daher wasserwirtschaftlich zum Schutz des Grundwassers erforderlich und auf Grundlage der Wassergesetze geboten. Da die getroffenen Vereinbarungen zum Rückbau seitens des Zweckverbands </w:t>
      </w:r>
      <w:r w:rsidR="00A42E48">
        <w:t>Freie Wassersportverein München e. V. (</w:t>
      </w:r>
      <w:r>
        <w:t>FWM</w:t>
      </w:r>
      <w:r w:rsidR="00A42E48">
        <w:t>)</w:t>
      </w:r>
      <w:r>
        <w:t xml:space="preserve"> nicht eingehalten wurden, hat das Landratsamt Main-Spessart mit Bescheid vom 26.07.2021 den Zweckverband FWM zum Rückbau bis 31.08.2022 verpflichtet. Das Rückbaukonzept und ein entsprechender Wasserrechtsantrag sind bis spätestens 28.02.2022 vorzulegen. Die einschlägigen Regeln der Technik sind dabei zu beachten. Die sofortige Vollziehung des Bescheids wurde angeordnet.</w:t>
      </w:r>
    </w:p>
    <w:p w14:paraId="7CC0380C" w14:textId="77777777" w:rsidR="009B7130" w:rsidRDefault="009B7130" w:rsidP="009B7130">
      <w:pPr>
        <w:pStyle w:val="LTAntwortRessortText"/>
      </w:pPr>
      <w:r>
        <w:t>Der Zweckverband FWM hat gegen den Bescheid Klage erhoben. Er ist der Auffassung, dass eine Gefährdung des Grundwassers nicht zu befürchten sei, da eine regelmäßige Wartung der Brunnen und Grundwassermessstellen erfolge. Außerdem sei keine ausreichende Prüfung über mögliche Nutzungsalternativen erfolgt und die Ausführungsfrist zu kurz bemessen. Vor kurzem wurde bekannt, dass nun auch ein Antrag auf Eilrechtsschutz gestellt wurde gegen die sofortige Vollziehung des Bescheids, der den Behörden noch nicht vorliegt. Vom Ausgang des Eilverfahrens hängt es ab, ob zeitnah mit der Umsetzung der Auflagen aus dem verpflichtenden Bescheid zu rechnen ist oder nicht.</w:t>
      </w:r>
    </w:p>
    <w:p w14:paraId="75330FA7" w14:textId="77777777" w:rsidR="009B7130" w:rsidRDefault="009B7130">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9B7130" w14:paraId="5F44E9B6" w14:textId="77777777" w:rsidTr="007B0B33">
        <w:tc>
          <w:tcPr>
            <w:tcW w:w="2050" w:type="dxa"/>
          </w:tcPr>
          <w:p w14:paraId="42EC7E11" w14:textId="77777777" w:rsidR="009B7130" w:rsidRDefault="009B7130" w:rsidP="009B7130">
            <w:pPr>
              <w:pStyle w:val="LTAnfrageInitiator"/>
            </w:pPr>
            <w:r>
              <w:lastRenderedPageBreak/>
              <w:t>Abgeordneter</w:t>
            </w:r>
            <w:r>
              <w:rPr>
                <w:b/>
              </w:rPr>
              <w:br/>
              <w:t>Patrick</w:t>
            </w:r>
            <w:r>
              <w:rPr>
                <w:b/>
              </w:rPr>
              <w:br/>
              <w:t>Friedl</w:t>
            </w:r>
            <w:r>
              <w:rPr>
                <w:b/>
              </w:rPr>
              <w:br/>
            </w:r>
            <w:r>
              <w:t>(BÜNDNIS 90/DIE GRÜNEN)</w:t>
            </w:r>
            <w:bookmarkStart w:id="101" w:name="Frage_Nr_50"/>
            <w:bookmarkEnd w:id="101"/>
          </w:p>
        </w:tc>
        <w:tc>
          <w:tcPr>
            <w:tcW w:w="7200" w:type="dxa"/>
          </w:tcPr>
          <w:p w14:paraId="05AD2A85" w14:textId="77777777" w:rsidR="009B7130" w:rsidRDefault="00E70B7A" w:rsidP="009B7130">
            <w:pPr>
              <w:pStyle w:val="LTAnfrageText"/>
            </w:pPr>
            <w:r w:rsidRPr="00E70B7A">
              <w:rPr>
                <w:szCs w:val="24"/>
              </w:rPr>
              <w:t>Nachdem in der örtlichen Presse zur am 15. Februar 2022 havarierten Biogasanlage in Fuchsstadt bei Würzburg berichtet wurde, dass eine nachträgliche Errichtung einer kompletten Umwallung auf dem Betriebsgrundstück aufgrund der Anordnung der Anlagenteile und der Topographie nicht möglich gewesen sei ( Mainpost vom 18. Februar 2022), frage ich die Staatsregierung, wurde tatsächlich bislang auf die Umsetzung einer Umwallung verzichtet (bitte unter Angabe der dokumentierten Gründe), wie wird sichergestellt, dass die vorgeschriebene Umwallung (gemäß § 37 Abs. 3 der Verordnung über Anlagen zum Umgang mit wassergefährdenden Stoffen – AwSV) bis spätestens zum 1. August 2022 (nach § 68 Abs. 10 Satz 1 AwSV) trotz der in der Berichterstattung genannten Schwierigkeiten errichtet werden kann (bitte den entsprechenden Bescheid beifügen bzw. zitieren), und wurden alternative Sicherungsmöglichkeiten (Leckageerkennungssysteme mit Alarm nach § 37 Abs. 2 AwSV, Rückhaltebecken o. Ä.) angeordnet (falls nicht, bitte die hierzu vorliegende bzw. inzwischen gegebene Begründung vollständig mit angeben)?</w:t>
            </w:r>
          </w:p>
        </w:tc>
      </w:tr>
    </w:tbl>
    <w:p w14:paraId="71C6CA33" w14:textId="77777777" w:rsidR="009B7130" w:rsidRDefault="009B7130" w:rsidP="009B7130">
      <w:pPr>
        <w:pStyle w:val="LTUeberschrAntwortRessort"/>
      </w:pPr>
      <w:r>
        <w:t>Antwort des Staatsministeriums für Umwelt und Verbraucherschutz</w:t>
      </w:r>
    </w:p>
    <w:p w14:paraId="7247F39F" w14:textId="77777777" w:rsidR="009B7130" w:rsidRDefault="009B7130" w:rsidP="009B7130">
      <w:pPr>
        <w:pStyle w:val="LTAntwortRessortText"/>
      </w:pPr>
      <w:r>
        <w:t>Seit Inkrafttreten der Verordnung über Anlagen zum Umgang mit wassergefährdenden Stoffen (AwSV) am 01.08.2017 ist die Umwa</w:t>
      </w:r>
      <w:r w:rsidR="005B4374">
        <w:t>llung gem. § </w:t>
      </w:r>
      <w:r>
        <w:t xml:space="preserve">37 Abs. 3 </w:t>
      </w:r>
      <w:r w:rsidR="005B4374">
        <w:t>der Verordnung über Anlagen zum Umgang mit wassergefährdenden Stoffen (</w:t>
      </w:r>
      <w:r>
        <w:t>AwSV</w:t>
      </w:r>
      <w:r w:rsidR="005B4374">
        <w:t>)</w:t>
      </w:r>
      <w:r>
        <w:t xml:space="preserve"> bei der Neuerrichtung von Biogasanlagen grundsätzlich vorgeschrieben. Für Bestandsanlagen gilt eine Übergangsfrist bis 01.08.2022. Im vorliegenden Fall handelt es sich um eine Bestandsanlage. Der Betreiber der Anlage hat Anfang 2020 erstmals Planunterlagen für eine Umwallung vorgelegt. Die Planung konnte bislang aus verschiedenen Gründen noch nicht realisiert werden. Die Errichtung einer Umwallung erscheint trotz schwieriger Randbedingungen durchaus möglich und wird vom Betreiber weiter vorangetrieben. Der Betreiber konnte inzwischen die notwendigen Grundstücke sichern. Er steht regelmäßig im Austausch mit der unteren Wasserrechtsbehörde.</w:t>
      </w:r>
    </w:p>
    <w:p w14:paraId="4D5A0695" w14:textId="77777777" w:rsidR="009B7130" w:rsidRDefault="009B7130" w:rsidP="009B7130">
      <w:pPr>
        <w:pStyle w:val="LTAntwortRessortText"/>
      </w:pPr>
      <w:r>
        <w:t>Die Prüfung alternativer Sicherungsmöglichkeiten war und ist gegenwärtig nicht erforderlich, da die in der AwSV vorgesehene und somit vom Verordnungsgeber favorisierte Sicherung durch eine Umwallung umge</w:t>
      </w:r>
      <w:r w:rsidR="00242AF5">
        <w:t>setzt werden soll. Ein Leckageer</w:t>
      </w:r>
      <w:r>
        <w:t xml:space="preserve">kennungssystem bezieht sich bei </w:t>
      </w:r>
      <w:r w:rsidR="00242AF5">
        <w:t>Justizgesetzsammlung</w:t>
      </w:r>
      <w:r w:rsidR="002F5C91">
        <w:t>sa</w:t>
      </w:r>
      <w:r>
        <w:t>nlagen auf den unterirdischen Teil der Behälter. Die Entnahmesysteme des Gärrestelagers liegen oberirdisch, sie sind bereits mit einer doppelten Schiebersicherung ordnungsgemäß gesichert. Ein Leckageerkennungssystem ist daher in oberirdischen Gärrestelagern nicht vorgesehen. Der Rückhalt durch eine Umwallung für den oberirdischen Teil der Lagebehälter stellt in der Betrachtung des Gesamtsystems die wirksamste Möglichkeit für den Gewässerschutz dar.</w:t>
      </w:r>
    </w:p>
    <w:p w14:paraId="11BB6AA8" w14:textId="77777777" w:rsidR="009B7130" w:rsidRDefault="009B7130">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9B7130" w14:paraId="02852F31" w14:textId="77777777" w:rsidTr="007B0B33">
        <w:tc>
          <w:tcPr>
            <w:tcW w:w="2050" w:type="dxa"/>
          </w:tcPr>
          <w:p w14:paraId="5DF7716B" w14:textId="77777777" w:rsidR="009B7130" w:rsidRDefault="009B7130" w:rsidP="009B7130">
            <w:pPr>
              <w:pStyle w:val="LTAnfrageInitiator"/>
            </w:pPr>
            <w:r>
              <w:lastRenderedPageBreak/>
              <w:t>Abgeordneter</w:t>
            </w:r>
            <w:r>
              <w:rPr>
                <w:b/>
              </w:rPr>
              <w:br/>
              <w:t>Volkmar</w:t>
            </w:r>
            <w:r>
              <w:rPr>
                <w:b/>
              </w:rPr>
              <w:br/>
              <w:t>Halbleib</w:t>
            </w:r>
            <w:r>
              <w:rPr>
                <w:b/>
              </w:rPr>
              <w:br/>
            </w:r>
            <w:r>
              <w:t>(SPD)</w:t>
            </w:r>
            <w:bookmarkStart w:id="103" w:name="Frage_Nr_51"/>
            <w:bookmarkEnd w:id="103"/>
          </w:p>
        </w:tc>
        <w:tc>
          <w:tcPr>
            <w:tcW w:w="7200" w:type="dxa"/>
          </w:tcPr>
          <w:p w14:paraId="78C6ED29" w14:textId="77777777" w:rsidR="009B7130" w:rsidRDefault="00E70B7A" w:rsidP="009B7130">
            <w:pPr>
              <w:pStyle w:val="LTAnfrageText"/>
            </w:pPr>
            <w:r w:rsidRPr="00E70B7A">
              <w:rPr>
                <w:szCs w:val="24"/>
              </w:rPr>
              <w:t>Ich frage die Staatsregierung, in Hinblick auf das Auslaufen von geschätzt 1 000 000 Liter Gülle bzw. Gärflüssigkeit aus einer Biogasanlage in Fuchsstadt, Markt Reichenberg, Landkreis Würzburg, und dem starken Schlamm- und Ammonium-Eintrag in den Fuchsstadter Bach in Richtung Würzburg-Heidingsfeld, verursacht nach derzeitigem Stand der Ermittlungen durch eine vorsätzliche Öffnung der Entnahmeluken (vgl. Mainpost Online-Ausgabe von 15.02.2022), welche Schlüsse und Konsequenzen sie aus dem Vorfall für den stärkeren Schutz von Trink- und Fließwasser vor dem Eintrag von Schadstoffen aus Biogasanlagen zieht, wie sie aufgrund von Vorfällen in den vergangenen Jahren das Gefährdungspotenzial konkret beurteilt, das von Biogasanlagen für Umweltschutzgüter ausgeht und was sie konkret unternehmen wird, um Umweltschäden durch Leckagen oder vorsätzliche Manipulationen künftig soweit als möglich auszuschließen?</w:t>
            </w:r>
          </w:p>
        </w:tc>
      </w:tr>
    </w:tbl>
    <w:p w14:paraId="4A70107D" w14:textId="77777777" w:rsidR="009B7130" w:rsidRDefault="009B7130" w:rsidP="009B7130">
      <w:pPr>
        <w:pStyle w:val="LTUeberschrAntwortRessort"/>
      </w:pPr>
      <w:r>
        <w:t>Antwort des Staatsministeriums für Umwelt und Verbraucherschutz</w:t>
      </w:r>
    </w:p>
    <w:p w14:paraId="48357343" w14:textId="77777777" w:rsidR="009B7130" w:rsidRDefault="009B7130" w:rsidP="009B7130">
      <w:pPr>
        <w:pStyle w:val="LTAntwortRessortText"/>
      </w:pPr>
      <w:r>
        <w:t>Der Schutz der Gewässer hat für die Staatsregierung höchste Priorität. Deshalb müssen Biogasanlagen sicher betrieben werden. Der Vorfall verdeutlicht, wie wichtig die Rückhaltung durch eine Umwallung für den sicheren Betrieb ist. Seit Inkrafttreten der Verordnung über Anlagen zum Umgang mit wassergefährdenden Stoffen (AwSV) 2017 dürfen Biogasanlagen nur noch mit einer Umwallung errichtet werden. Bis 01.08.2022 endet die Übergangsfrist, in der alle bestehenden Biogasanlagen mit einer Umwallung nachzurüsten sind. Ende 2017 hat das Staatsministerium für Umwelt und Verbraucherschutz (StMUV) durch ein Ministerialschreiben zum Vollzug der AwSV dringend empfohlen, eine Umwallung möglichst frühzeitig zu errichten, um im Hinblick auf mögliche Schäden und Haftungsrisiken umfassend Vorsorge zu treffen.</w:t>
      </w:r>
    </w:p>
    <w:p w14:paraId="4593B8BE" w14:textId="77777777" w:rsidR="009B7130" w:rsidRDefault="009B7130" w:rsidP="009B7130">
      <w:pPr>
        <w:pStyle w:val="LTAntwortRessortText"/>
      </w:pPr>
      <w:r>
        <w:t>Biogasanlagen bergen ein hohes Gefährdungspotential für Boden und Gewässer. Gärreste haben einen extrem hohen Gehalt an sauerstoffzehrenden Stoffen. In ihrer potentiell schädlichen Wirkung auf Boden und Gewässer sind sie mit Gülle vergleichbar. Durch den Abbau der sauerstoffzehrenden Stoffe im Gewässer kommt es zu Sauerstoffmangel und damit unmittelbar zu Fischsterben. Nur eine den Regeln der Technik entsprechende und betriebene Anlage kann den Anforderungen gerecht werden, die aus Sicht des Gewässerschutzes gestellt werden müssen.</w:t>
      </w:r>
    </w:p>
    <w:p w14:paraId="4F231DF9" w14:textId="77777777" w:rsidR="009B7130" w:rsidRDefault="009B7130" w:rsidP="009B7130">
      <w:pPr>
        <w:pStyle w:val="LTAntwortRessortText"/>
      </w:pPr>
      <w:r>
        <w:t>Daher kommt den Betreibern eine besondere, gesetzlich verankerte Verantwortung für den sicheren Betrieb ihrer Anlage zu.</w:t>
      </w:r>
    </w:p>
    <w:p w14:paraId="1141C834" w14:textId="77777777" w:rsidR="009B7130" w:rsidRDefault="009B7130" w:rsidP="009B7130">
      <w:pPr>
        <w:pStyle w:val="LTAntwortRessortText"/>
      </w:pPr>
      <w:r>
        <w:t>Das StMUV hat das Landesamt für Umwelt (LfU) bereits im Jahr 2004 damit beauftragt, in Zusammenarbeit mit den betroffenen Fachbehörden und in Abstimmung mit dem Fachverband Biogas ein Biogashandbuch für Bayern zu erstellen. Darin sind formelle und materielle Anforderungen, die aus verschiedenen Regelungsbereichen gestellt werden, übersichtlich zusammengefasst. Das Biogashandbuch wird laufend aktualisiert und im Internet zur Verfügung gestellt. Die Anlagen werden vor Inbetri</w:t>
      </w:r>
      <w:r w:rsidR="00B56F0D">
        <w:t>ebnahme geprüft. Große Anlagen – wie im vorliegenden Fall – werden wiederkehrend alle fünf</w:t>
      </w:r>
      <w:r>
        <w:t xml:space="preserve"> Jahre geprüft. Außerdem findet eine Prüfung bei Stilllegung der Anlage statt. Zusätzlich können im Einzelfall weitere Prüfungen angeordnet werden </w:t>
      </w:r>
      <w:r w:rsidR="00B56F0D">
        <w:lastRenderedPageBreak/>
        <w:t>z. B.</w:t>
      </w:r>
      <w:r>
        <w:t xml:space="preserve"> bei Anlagen, die bereits Gewässerverunreinigungen verursacht haben, bei Anlagen mit aus wasserwirtschaftlicher Sicht besond</w:t>
      </w:r>
      <w:r w:rsidR="00B56F0D">
        <w:t>ers problematischen Standorten –</w:t>
      </w:r>
      <w:r>
        <w:t xml:space="preserve"> zum Beispiel in Wasserschutz- oder Überschwemmungsgebieten, neben Oberflächengewässern ode</w:t>
      </w:r>
      <w:r w:rsidR="00B56F0D">
        <w:t>r bei hohen Grundwasserständen –</w:t>
      </w:r>
      <w:r>
        <w:t xml:space="preserve"> oder bei Anlagen, bei denen im Rahmen der technischen Gewässeraufsicht Zweifel an einem ordnungsgemäßen Zustand oder Betrieb aufgetreten sind.</w:t>
      </w:r>
    </w:p>
    <w:p w14:paraId="23AA3834" w14:textId="77777777" w:rsidR="009B7130" w:rsidRDefault="009B7130">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9B7130" w14:paraId="0EE5FBB3" w14:textId="77777777" w:rsidTr="007B0B33">
        <w:tc>
          <w:tcPr>
            <w:tcW w:w="2050" w:type="dxa"/>
          </w:tcPr>
          <w:p w14:paraId="543AD70A" w14:textId="77777777" w:rsidR="009B7130" w:rsidRDefault="009B7130" w:rsidP="009B7130">
            <w:pPr>
              <w:pStyle w:val="LTAnfrageInitiator"/>
            </w:pPr>
            <w:r>
              <w:lastRenderedPageBreak/>
              <w:t>Abgeordneter</w:t>
            </w:r>
            <w:r>
              <w:rPr>
                <w:b/>
              </w:rPr>
              <w:br/>
              <w:t>Christoph</w:t>
            </w:r>
            <w:r>
              <w:rPr>
                <w:b/>
              </w:rPr>
              <w:br/>
              <w:t>Skutella</w:t>
            </w:r>
            <w:r>
              <w:rPr>
                <w:b/>
              </w:rPr>
              <w:br/>
            </w:r>
            <w:r>
              <w:t>(FDP)</w:t>
            </w:r>
            <w:bookmarkStart w:id="105" w:name="Frage_Nr_52"/>
            <w:bookmarkEnd w:id="105"/>
          </w:p>
        </w:tc>
        <w:tc>
          <w:tcPr>
            <w:tcW w:w="7200" w:type="dxa"/>
          </w:tcPr>
          <w:p w14:paraId="705884A7" w14:textId="77777777" w:rsidR="009B7130" w:rsidRDefault="00E70B7A" w:rsidP="009B7130">
            <w:pPr>
              <w:pStyle w:val="LTAnfrageText"/>
            </w:pPr>
            <w:r w:rsidRPr="00E70B7A">
              <w:rPr>
                <w:szCs w:val="24"/>
              </w:rPr>
              <w:t>Vor dem Hintergrund der Festlegung des Landkreises Wunsiedel i. Fichtelgebirge am 11. Februar 2021 als Radon-Vorsorgegebiet frage ich die Staatsregierung, auf welchem Weg die Veröffentlichung der Messergebnisse durch die entstandene Verpflichtung aller Arbeitgeberinnen und Arbeitgeber zur Messung der Radonkonzentration im Erd- und Kellergeschoss geplant ist, wie genau die Ergebnisse im weiteren Verlauf genutzt werden sollen und ob sie Erkenntnisse aus anderen laufenden Untersuchungen in Bayern hat, dass weitere Gebiete im Freistaat zum Radon-Vorsorgegebiet erklärt werden können?</w:t>
            </w:r>
          </w:p>
        </w:tc>
      </w:tr>
    </w:tbl>
    <w:p w14:paraId="27F5AD6A" w14:textId="77777777" w:rsidR="009B7130" w:rsidRDefault="009B7130" w:rsidP="009B7130">
      <w:pPr>
        <w:pStyle w:val="LTUeberschrAntwortRessort"/>
      </w:pPr>
      <w:r>
        <w:t>Antwort des Staatsministeriums für Umwelt und Verbraucherschutz</w:t>
      </w:r>
    </w:p>
    <w:p w14:paraId="170A7581" w14:textId="77777777" w:rsidR="009B7130" w:rsidRDefault="009B7130" w:rsidP="009B7130">
      <w:pPr>
        <w:pStyle w:val="LTAntwortRessortText"/>
      </w:pPr>
      <w:r>
        <w:t>Grundsätzlich müssen die Messergebnisse der verpflichtenden Radonmessungen in Radon-Vorsorgegebieten nicht an die zuständige Aufsichtsbehörde, das Landesamt für Umwelt (LfU) übermittelt werden. Mit der Festlegu</w:t>
      </w:r>
      <w:r w:rsidR="00602914">
        <w:t>ng des Landkreises Wunsiedel i. </w:t>
      </w:r>
      <w:r>
        <w:t>Fichtelgebirge als solches wurde jedoch durch das LfU ein Pilotprojekt initiiert, um die Ergebnisse der Messungen an den Arbeitsplätzen und zusätzlicher Daten zu den Messorten zu sammeln. Die Messwerte und sonstige Eigenschaften der Arbeitsplätze werden im Rahmen eines Forschungsprojekts vom LfU ausgewertet. Es wird ein Bericht erstellt, der veröffentlicht wird.</w:t>
      </w:r>
      <w:r w:rsidR="00A5212E">
        <w:t xml:space="preserve"> </w:t>
      </w:r>
      <w:r>
        <w:t>Inzwischen wurde die Strahlenschutzverordnung dahingehend geändert, dass die Arbeitgeberinnen und Arbeitgeber verpflichtet sind, bestimmte Daten über den Arbeitsplatz an die Messstelle zu berichten, die diese Daten mit dem Radonmesswert des Arbeitsplatzes an das Bundesamt für Strahlenschutz (BfS) übermittelt. Dort werden diese Daten weiter wissenschaftlich genutzt.</w:t>
      </w:r>
    </w:p>
    <w:p w14:paraId="074A9FF9" w14:textId="461E9D57" w:rsidR="009B7130" w:rsidRDefault="009B7130" w:rsidP="00A5212E">
      <w:pPr>
        <w:pStyle w:val="LTAntwortRessortText"/>
      </w:pPr>
      <w:r>
        <w:t>Entscheidend für die Festlegung von Radon-Vorsorgegebieten ist die Prognose von Radonpoten</w:t>
      </w:r>
      <w:r w:rsidR="000C7379">
        <w:t>z</w:t>
      </w:r>
      <w:r>
        <w:t>ialen. Grundlage hierfür sind nicht Innenraummessungen, sondern Messungen der Radonkonzentration in der Bodenluft. Auf Grundlage solcher Messungen erstellt das BfS Prognosekarten. Die erste Festlegung von Radon-Vorsorgegebieten in Bayern beruhte fachlich auf zwei Prognosekarten des BfS von 2017 und 2020. Die Auswertung dieser beiden Karten zeigte unterschiedliche Ergebnisse hinsichtlich des Radonpoten</w:t>
      </w:r>
      <w:r w:rsidR="000C7379">
        <w:t>z</w:t>
      </w:r>
      <w:r>
        <w:t>ials in einzelnen Gebieten in Bayern, was für mehrere Orte zu unterschiedlichen Bewertungen hinsichtlich der Erfüllung des Kriteriums für ein Vorsorgegebiet führte. Lediglich</w:t>
      </w:r>
      <w:r w:rsidR="00602914">
        <w:t xml:space="preserve"> für den Landkreis Wunsiedel i. </w:t>
      </w:r>
      <w:r>
        <w:t>Fichtelgebirge kamen beide Prognosekarten zu einem übereinstimmenden Ergebni</w:t>
      </w:r>
      <w:r w:rsidR="00A5212E">
        <w:t>s. Für die Landkreise Bad Tölz-</w:t>
      </w:r>
      <w:r>
        <w:t>Wolfratshausen, Garmisch-Partenkirchen, Miesbach, München und Traunstein, sowie für die kreisfreie Stadt Bayreuth zeigte die Auswertung der beiden Karten unterschiedliche Ergebnisse. In den besagten Gebieten wurden bzw. werden, durch das LfU beauftragt, zusätzliche Bodenluftmessungen der Radonkonzentration durchgeführt, um die Datenlage zu verbessern. Alle Ergebnisse der Messungen werden bzw. wurden bereits an das BfS übermittelt und gehen in die Erstellung einer neuen Prognosekarte ein. Anhand dieser soll eine erneute Bewertung der Radonsituation in den besagten Gebieten stattfinden und eine Entscheidung über die Festlegung als Radon-Vorsorgegebiet erfolgen.</w:t>
      </w:r>
    </w:p>
    <w:p w14:paraId="54E7B938" w14:textId="77777777" w:rsidR="009B7130" w:rsidRDefault="009B7130">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B7130" w14:paraId="618E8129" w14:textId="77777777" w:rsidTr="007B0B33">
        <w:tc>
          <w:tcPr>
            <w:tcW w:w="2050" w:type="dxa"/>
          </w:tcPr>
          <w:p w14:paraId="58B98829" w14:textId="77777777" w:rsidR="009B7130" w:rsidRDefault="009B7130" w:rsidP="009B7130">
            <w:pPr>
              <w:pStyle w:val="LTAnfrageInitiator"/>
            </w:pPr>
            <w:r>
              <w:lastRenderedPageBreak/>
              <w:t>Abgeordneter</w:t>
            </w:r>
            <w:r>
              <w:rPr>
                <w:b/>
              </w:rPr>
              <w:br/>
              <w:t>Hans</w:t>
            </w:r>
            <w:r>
              <w:rPr>
                <w:b/>
              </w:rPr>
              <w:br/>
              <w:t>Urban</w:t>
            </w:r>
            <w:r>
              <w:rPr>
                <w:b/>
              </w:rPr>
              <w:br/>
            </w:r>
            <w:r>
              <w:t>(BÜNDNIS 90/DIE GRÜNEN)</w:t>
            </w:r>
            <w:bookmarkStart w:id="107" w:name="Frage_Nr_53"/>
            <w:bookmarkEnd w:id="107"/>
          </w:p>
        </w:tc>
        <w:tc>
          <w:tcPr>
            <w:tcW w:w="7200" w:type="dxa"/>
          </w:tcPr>
          <w:p w14:paraId="60A97F88" w14:textId="1F86EF12" w:rsidR="009B7130" w:rsidRDefault="00E70B7A" w:rsidP="009B7130">
            <w:pPr>
              <w:pStyle w:val="LTAnfrageText"/>
            </w:pPr>
            <w:r w:rsidRPr="00E70B7A">
              <w:rPr>
                <w:szCs w:val="24"/>
              </w:rPr>
              <w:t>Vor dem Hintergrund der der Pressemitteilung Nr. 14/22 des Staatsministeriums für Umwelt und Verbraucherschutz „Zukunft des Walchensee-Systems wird rechtlich neu geordnet“ vom 17.02.2022 heißt es unter anderem, dass „[a]m Walchenseekraftwerk mit der Überleitung der Isar am Krüner Wehr [...] kein Heimfallanspruch zugunsten des Freistaates Bayern [besteht]“; frage ich die Staatsregierung, welcher Vertragsvereinbarung (bitte um Nennung des Inhalts in Zitatform, der Unterzeichnerinnen bzw. Unterzeichnern und des Datums) ist dies geschuldet, welche Verhandlungen gingen dieser Vereinbarung voraus (bitte um Nennung der Verhandlungspartnerinnen bzw. Verhandlungspartnern, des Inhalts und Zeitraums sowie der Originalquellen zur Information der Öffentlichkeit über die Vereinbarung zum damaligen Zeitpunkt) und wer wirkt von Seiten der Staatsregierung aktuell an der Entscheidungsfindung in Sachen Zukunft des Walchenseekraftwerks mit (bitte um Nennung der Ministerien unter Angabe von Referat und Abteilung)?</w:t>
            </w:r>
          </w:p>
        </w:tc>
      </w:tr>
    </w:tbl>
    <w:p w14:paraId="32FDEC4B" w14:textId="77777777" w:rsidR="009B7130" w:rsidRDefault="009B7130" w:rsidP="009B7130">
      <w:pPr>
        <w:pStyle w:val="LTUeberschrAntwortRessort"/>
      </w:pPr>
      <w:r>
        <w:t>Antwort des Staatsministeriums für Umwelt und Verbraucherschutz</w:t>
      </w:r>
    </w:p>
    <w:p w14:paraId="525ED063" w14:textId="77777777" w:rsidR="009B7130" w:rsidRDefault="009B7130" w:rsidP="00B528D8">
      <w:pPr>
        <w:pStyle w:val="LTAntwortRessortText"/>
      </w:pPr>
      <w:r>
        <w:t>Heimfallansprüche werden nicht in privatrechtlichen Vereinbarungen, sondern in wasserrechtlichen Bewilligungsbescheiden begründet. Die Klärung des Umfangs der Heimfallansprüche des Freistaates Bayern an den Anlagen des Walchenseesystems basiert daher auf der rechtlichen Prüfung der zugehörigen rechtskräftigen Wasserrechtsbescheide. Im Falle des Walchenseekraftwerkes und der Isarüberleitung am Krüner Wehr ist dies der Beschluss des Bezirksamtes Tölz vom 17.05.1919 in der Fassung des Widerspruchsbescheides der Regierung von Oberbayern vom 01.10.1925 und der Entscheidung des Bayerischen Verwaltungsgerichtshofes vom 02.03.1928. Diese Rechtstitel beinhalten weder eine Befristung der Wasserkraftnutzung noch einen Heimfallanspruch bei Ablauf der Bewilligungsfrist. Ziffer 23 des Widerspruchsbescheides der Regierung von Oberbayern vom 01.10.1925 begründet jedoch ein optionales Antragsrecht des Freistaates Bayern zur Aufnahme ergänzender Bedingungen und Auflagen bei Veräußerungen des Walchenseekraftwerkes an Dritte.</w:t>
      </w:r>
      <w:r w:rsidR="00B528D8">
        <w:t xml:space="preserve"> </w:t>
      </w:r>
      <w:r>
        <w:t>Da in den 1950er Jahren mit dem Bescheid zum Kraftwerk Niedernach in das Regulierungsregime des Walchensees und damit in die Normsetzung des Beschlusses des Bezirksamtes Tölz vom 17.05.1919 eingegriffen wurde, hat das seinerzeit zuständige S</w:t>
      </w:r>
      <w:r w:rsidR="00BA5F89">
        <w:t>taatsministerium des Innern, für Sport und Integration (StMI)</w:t>
      </w:r>
      <w:r>
        <w:t>/OBB mit Schreiben vom 15.09.1960 vom Betreiber die Anerkennung der für das Kraftwerk Niedernach bestehenden Befristung zum 30.09.2030 auch für das Walchenseekraftwerk gef</w:t>
      </w:r>
      <w:r w:rsidR="00B528D8">
        <w:t xml:space="preserve">ordert. Dies hat die Bayernwerk </w:t>
      </w:r>
      <w:r>
        <w:t>AG mit Schreiben vom 18.10.1960 unter Ausschluss weitergehender Forderungen freiwillig anerkannt. Regelungen zum Heimfall bei Ablauf der Bewilligungsfrist wurden seitens des StMI/OBB nicht gefordert. Bei der 1994 erfolgten Privatisierung der Bayernwerk AG und der Übernahme des Walchenseesystems durch die VIAG (später E.ON Wasserkraft GmbH bzw. UNIPER Kraftwerke GmbH) wurde von der Inanspruchnahme des Ergänzungs- und Änderungsvorbehaltes nach Ziffer 23 des Widerspruchsbescheides der Regierung von Oberbayern vom 01.10.1925 abgesehen.</w:t>
      </w:r>
    </w:p>
    <w:p w14:paraId="1A6D4953" w14:textId="77777777" w:rsidR="009B7130" w:rsidRDefault="009B7130" w:rsidP="009B7130">
      <w:pPr>
        <w:pStyle w:val="LTAntwortRessortText"/>
      </w:pPr>
      <w:r>
        <w:t>Von Seiten der Staatsregierung sind insbesondere folgende Stellen in die Entscheidungsfindung über die Zukunft des Walchenseekraftwerkes eingebunden:</w:t>
      </w:r>
    </w:p>
    <w:p w14:paraId="6DA2A315" w14:textId="77777777" w:rsidR="009B7130" w:rsidRDefault="009B7130" w:rsidP="00B528D8">
      <w:pPr>
        <w:pStyle w:val="LTAntwortRessortText"/>
        <w:numPr>
          <w:ilvl w:val="0"/>
          <w:numId w:val="25"/>
        </w:numPr>
        <w:spacing w:before="120"/>
        <w:ind w:left="1020" w:hanging="340"/>
      </w:pPr>
      <w:r>
        <w:lastRenderedPageBreak/>
        <w:t>Staatsministerium für Umwelt und Verbrauc</w:t>
      </w:r>
      <w:r w:rsidR="003D35DC">
        <w:t>herschutz, Abteilung 5, Referat </w:t>
      </w:r>
      <w:r>
        <w:t>52 Wasserrecht, Referat 53 Nationales und internationales Flussgebietsmanagement, Referat 510 Talsperren, Flusstaustufen, Polder- und Speichermanagement und Abteilung 6, Referat 63 Schutzgebietssysteme und Natura 2</w:t>
      </w:r>
      <w:r w:rsidR="003D35DC">
        <w:t> </w:t>
      </w:r>
      <w:r>
        <w:t>000, Landschaftsplanung</w:t>
      </w:r>
    </w:p>
    <w:p w14:paraId="135743BC" w14:textId="77777777" w:rsidR="009B7130" w:rsidRDefault="009B7130" w:rsidP="00B528D8">
      <w:pPr>
        <w:pStyle w:val="LTAntwortRessortText"/>
        <w:numPr>
          <w:ilvl w:val="0"/>
          <w:numId w:val="25"/>
        </w:numPr>
        <w:spacing w:before="120"/>
        <w:ind w:left="1020" w:hanging="340"/>
      </w:pPr>
      <w:r>
        <w:t>Staatsministerium für Wirtschaft, Landesentwicklung und Energie, Abteilun</w:t>
      </w:r>
      <w:r w:rsidR="003D35DC">
        <w:t>g </w:t>
      </w:r>
      <w:r>
        <w:t>9, Referat 94 Wasserkraft</w:t>
      </w:r>
    </w:p>
    <w:p w14:paraId="15CE3461" w14:textId="77777777" w:rsidR="009B7130" w:rsidRDefault="009B7130" w:rsidP="00B528D8">
      <w:pPr>
        <w:pStyle w:val="LTAntwortRessortText"/>
        <w:numPr>
          <w:ilvl w:val="0"/>
          <w:numId w:val="25"/>
        </w:numPr>
        <w:spacing w:before="120"/>
        <w:ind w:left="1020" w:hanging="340"/>
      </w:pPr>
      <w:r>
        <w:t>Staatsministerium der Finanzen und für Heimat, Abteilung 4, Referat 46 Grundstock</w:t>
      </w:r>
    </w:p>
    <w:p w14:paraId="22BC1FBE" w14:textId="77777777" w:rsidR="009B7130" w:rsidRDefault="009B7130">
      <w:bookmarkStart w:id="108" w:name="Frage_Nr_53_Ende"/>
      <w:bookmarkEnd w:id="108"/>
      <w:r>
        <w:br w:type="page"/>
      </w:r>
    </w:p>
    <w:p w14:paraId="261A7FD6" w14:textId="77777777" w:rsidR="009B7130" w:rsidRDefault="009B7130" w:rsidP="009B7130">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9B7130" w14:paraId="7149B54D" w14:textId="77777777" w:rsidTr="007B0B33">
        <w:tc>
          <w:tcPr>
            <w:tcW w:w="2050" w:type="dxa"/>
          </w:tcPr>
          <w:p w14:paraId="61A6F6FA" w14:textId="77777777" w:rsidR="009B7130" w:rsidRDefault="009B7130" w:rsidP="009B7130">
            <w:pPr>
              <w:pStyle w:val="LTAnfrageInitiator"/>
            </w:pPr>
            <w:r>
              <w:t>Abgeordnete</w:t>
            </w:r>
            <w:r>
              <w:rPr>
                <w:b/>
              </w:rPr>
              <w:br/>
              <w:t>Ruth</w:t>
            </w:r>
            <w:r>
              <w:rPr>
                <w:b/>
              </w:rPr>
              <w:br/>
              <w:t>Müller</w:t>
            </w:r>
            <w:r>
              <w:rPr>
                <w:b/>
              </w:rPr>
              <w:br/>
            </w:r>
            <w:r>
              <w:t>(SPD)</w:t>
            </w:r>
            <w:bookmarkStart w:id="109" w:name="Frage_Nr_54"/>
            <w:bookmarkEnd w:id="109"/>
          </w:p>
        </w:tc>
        <w:tc>
          <w:tcPr>
            <w:tcW w:w="7200" w:type="dxa"/>
          </w:tcPr>
          <w:p w14:paraId="5D5DC489" w14:textId="77777777" w:rsidR="009B7130" w:rsidRDefault="00E70B7A" w:rsidP="009B7130">
            <w:pPr>
              <w:pStyle w:val="LTAnfrageText"/>
            </w:pPr>
            <w:r w:rsidRPr="00E70B7A">
              <w:rPr>
                <w:szCs w:val="24"/>
              </w:rPr>
              <w:t>Ich frage die Staatsregierung, gemäß welcher Kriterien und Förderrichtlinien wird die Vergabe der im Haushaltsentwurf vorgesehenen Mittel zur Umsetzung des mit der Regierungserklärung „Klimaland Bayern“ vom 21. Juli 2021 verkündeten Projekts „Agri-PV-Solarparks“ sowie die Vergabe der Mittel der in der sogenannten Fraktionsreserve aufgeführten Initiative „Agri-Photovoltaik: Versuchsfläche zur Kombination PV und landwirtschaftlicher Nutzung“ erfolgen und wurde bereits eine Entscheidung getroffen, wo sich die Versuchsfläche befinden wird?</w:t>
            </w:r>
          </w:p>
        </w:tc>
      </w:tr>
    </w:tbl>
    <w:p w14:paraId="33BD3CA4" w14:textId="77777777" w:rsidR="009B7130" w:rsidRDefault="009B7130" w:rsidP="009B7130">
      <w:pPr>
        <w:pStyle w:val="LTUeberschrAntwortRessort"/>
      </w:pPr>
      <w:r>
        <w:t>Antwort des Staatsministeriums für Ernährung, Landwirtschaft und Forsten</w:t>
      </w:r>
    </w:p>
    <w:p w14:paraId="7DCC282E" w14:textId="77777777" w:rsidR="009B7130" w:rsidRDefault="009B7130" w:rsidP="009B7130">
      <w:pPr>
        <w:pStyle w:val="LTAntwortRessortText"/>
      </w:pPr>
      <w:r>
        <w:t xml:space="preserve">Das in der Regierungserklärung </w:t>
      </w:r>
      <w:r w:rsidR="006F49A4">
        <w:t>„</w:t>
      </w:r>
      <w:r>
        <w:t>Klimaland Bayern</w:t>
      </w:r>
      <w:r w:rsidR="006F49A4">
        <w:t>“</w:t>
      </w:r>
      <w:r w:rsidR="00C60D5D">
        <w:t xml:space="preserve"> vom 21. Juli 2021 er</w:t>
      </w:r>
      <w:r>
        <w:t xml:space="preserve">wähnte Projekt </w:t>
      </w:r>
      <w:r w:rsidR="006F49A4">
        <w:t>„</w:t>
      </w:r>
      <w:r>
        <w:t>Agri-PV-Solarpark</w:t>
      </w:r>
      <w:r w:rsidR="006F49A4">
        <w:t>“</w:t>
      </w:r>
      <w:r>
        <w:t xml:space="preserve"> wird von staatlichen Stellen auf s</w:t>
      </w:r>
      <w:r w:rsidR="00C60D5D">
        <w:t>taatli</w:t>
      </w:r>
      <w:r>
        <w:t>chen Flächen errichtet und soll vorrangig der Forschung und Präsentation der Möglichkeiten für Agri-PV dienen. Eine Förde</w:t>
      </w:r>
      <w:r w:rsidR="00C60D5D">
        <w:t>rrichtlinie ist hierzu nicht er</w:t>
      </w:r>
      <w:r>
        <w:t>forderlich. Wesentliches Kriterium ist die Eignung der landwirtschaftlichen Fläche für Agri-Photovoltaik. Derzeit laufen Planungen. Die Agri-PV-Anlage wird nach jetzigem Stand bei den Staatsgütern am Standort Grub errichtet.</w:t>
      </w:r>
    </w:p>
    <w:p w14:paraId="1C2E6D4A" w14:textId="77777777" w:rsidR="009B7130" w:rsidRDefault="009B7130" w:rsidP="009B7130">
      <w:pPr>
        <w:pStyle w:val="LTAntwortRessortText"/>
      </w:pPr>
      <w:r>
        <w:t>Hinsichtlich der so genannten Fraktionsreserve liegt der Staatsregierung noch kein Antrag auf Förderung vom Milchwirtschaftlichen Verein Bayern e.</w:t>
      </w:r>
      <w:r w:rsidR="00C60D5D">
        <w:t> </w:t>
      </w:r>
      <w:r>
        <w:t>V. vor. Insofern ist keine Information zur Versuchsfläche verfügbar.</w:t>
      </w:r>
    </w:p>
    <w:p w14:paraId="3C237E09" w14:textId="77777777" w:rsidR="009B7130" w:rsidRDefault="009B7130">
      <w:bookmarkStart w:id="110" w:name="Frage_Nr_54_Ende"/>
      <w:bookmarkEnd w:id="110"/>
      <w:r>
        <w:br w:type="page"/>
      </w:r>
    </w:p>
    <w:p w14:paraId="38A6E40E" w14:textId="772FA06F" w:rsidR="009B7130" w:rsidRDefault="009B7130" w:rsidP="009B7130">
      <w:pPr>
        <w:pStyle w:val="LTUeberschrRessort"/>
      </w:pPr>
      <w:r>
        <w:lastRenderedPageBreak/>
        <w:t xml:space="preserve">Geschäftsbereich des Staatsministeriums für Familie, Arbeit und </w:t>
      </w:r>
      <w:r w:rsidR="00854468">
        <w:br/>
      </w:r>
      <w:r>
        <w:t>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B7130" w14:paraId="675DF02B" w14:textId="77777777" w:rsidTr="007B0B33">
        <w:tc>
          <w:tcPr>
            <w:tcW w:w="2050" w:type="dxa"/>
          </w:tcPr>
          <w:p w14:paraId="7587BD2E" w14:textId="77777777" w:rsidR="009B7130" w:rsidRDefault="009B7130" w:rsidP="009B7130">
            <w:pPr>
              <w:pStyle w:val="LTAnfrageInitiator"/>
            </w:pPr>
            <w:r>
              <w:t>Abgeordnete</w:t>
            </w:r>
            <w:r>
              <w:rPr>
                <w:b/>
              </w:rPr>
              <w:br/>
              <w:t>Eva</w:t>
            </w:r>
            <w:r>
              <w:rPr>
                <w:b/>
              </w:rPr>
              <w:br/>
              <w:t>Lettenbauer</w:t>
            </w:r>
            <w:r>
              <w:rPr>
                <w:b/>
              </w:rPr>
              <w:br/>
            </w:r>
            <w:r>
              <w:t>(BÜNDNIS 90/DIE GRÜNEN)</w:t>
            </w:r>
            <w:bookmarkStart w:id="111" w:name="Frage_Nr_55"/>
            <w:bookmarkEnd w:id="111"/>
          </w:p>
        </w:tc>
        <w:tc>
          <w:tcPr>
            <w:tcW w:w="7200" w:type="dxa"/>
          </w:tcPr>
          <w:p w14:paraId="73719494" w14:textId="77777777" w:rsidR="009B7130" w:rsidRDefault="00E70B7A" w:rsidP="009B7130">
            <w:pPr>
              <w:pStyle w:val="LTAnfrageText"/>
            </w:pPr>
            <w:r w:rsidRPr="00E70B7A">
              <w:rPr>
                <w:szCs w:val="24"/>
              </w:rPr>
              <w:t>Ich frage die Staatsregierung, wie viel Prozent der alleinerziehenden Eltern in Bayern sind einkommensarm, wie viele armutsgefährdet und wie viel Prozent der alleinerziehenden Eltern in Bayern sind Frauen?</w:t>
            </w:r>
          </w:p>
        </w:tc>
      </w:tr>
    </w:tbl>
    <w:p w14:paraId="19D38BF2" w14:textId="77777777" w:rsidR="009B7130" w:rsidRDefault="009B7130" w:rsidP="009B7130">
      <w:pPr>
        <w:pStyle w:val="LTUeberschrAntwortRessort"/>
      </w:pPr>
      <w:r>
        <w:t>Antwort des Staatsministeriums für Familie, Arbeit und Soziales</w:t>
      </w:r>
    </w:p>
    <w:p w14:paraId="63AC9316" w14:textId="05DAA7B0" w:rsidR="009B7130" w:rsidRDefault="009B7130" w:rsidP="009B7130">
      <w:pPr>
        <w:pStyle w:val="LTAntwortRessortText"/>
      </w:pPr>
      <w:r>
        <w:t>Die sog. (Einkommens-)Armutsgefährdungsquote, die aufgrund ihrer</w:t>
      </w:r>
      <w:r w:rsidR="00416473">
        <w:t xml:space="preserve"> </w:t>
      </w:r>
      <w:r>
        <w:t>Berechnung eigentlich vielmehr eine Niedrigeinkommensquote darstellt,</w:t>
      </w:r>
      <w:r w:rsidR="00416473">
        <w:t xml:space="preserve"> </w:t>
      </w:r>
      <w:r w:rsidR="00122EE6">
        <w:t>lag in Bayern im Jahr </w:t>
      </w:r>
      <w:r>
        <w:t>2019 für alle Personen in Ein-Kind-Familien</w:t>
      </w:r>
      <w:r w:rsidR="00416473">
        <w:t xml:space="preserve"> </w:t>
      </w:r>
      <w:r>
        <w:t xml:space="preserve">bzw. </w:t>
      </w:r>
      <w:r w:rsidR="00122EE6">
        <w:t>Alleinerziehenden haushalten</w:t>
      </w:r>
      <w:r>
        <w:t xml:space="preserve"> (also inklusive der Kinder) bei</w:t>
      </w:r>
      <w:r w:rsidR="00416473">
        <w:t xml:space="preserve"> </w:t>
      </w:r>
      <w:r>
        <w:t>36,1</w:t>
      </w:r>
      <w:r w:rsidR="00B97042">
        <w:t> </w:t>
      </w:r>
      <w:r>
        <w:t>Prozent und damit deutlich geringer als im Bundesdurchschnitt mit</w:t>
      </w:r>
      <w:r w:rsidR="00416473">
        <w:t xml:space="preserve"> </w:t>
      </w:r>
      <w:r>
        <w:t>42,7</w:t>
      </w:r>
      <w:r w:rsidR="00B97042">
        <w:t> </w:t>
      </w:r>
      <w:r>
        <w:t>Prozent. Auf Basis des Mikrozensus 2020, dessen Ergebnisse</w:t>
      </w:r>
      <w:r w:rsidR="00416473">
        <w:t xml:space="preserve"> </w:t>
      </w:r>
      <w:r>
        <w:t>aufgrund einer Verfahrensumstellung und einer deutlich geringeren</w:t>
      </w:r>
      <w:r w:rsidR="00416473">
        <w:t xml:space="preserve"> </w:t>
      </w:r>
      <w:r>
        <w:t>Rücklaufquote aufgrund der pandemiebedingten Einschränkungen insbesondere</w:t>
      </w:r>
      <w:r w:rsidR="00416473">
        <w:t xml:space="preserve"> </w:t>
      </w:r>
      <w:r>
        <w:t>für kleinere Bevölkerungsgruppen weniger verlässlich und</w:t>
      </w:r>
      <w:r w:rsidR="00416473">
        <w:t xml:space="preserve"> </w:t>
      </w:r>
      <w:r>
        <w:t>nicht mit den Vorjahren vergleichbar sind, lebten 27,7</w:t>
      </w:r>
      <w:r w:rsidR="00B97042">
        <w:t> </w:t>
      </w:r>
      <w:r>
        <w:t>Prozent der Personen</w:t>
      </w:r>
      <w:r w:rsidR="00416473">
        <w:t xml:space="preserve"> </w:t>
      </w:r>
      <w:r>
        <w:t>in Ein-Kind-Familien mit einem vergleichsweise geringen registrierten</w:t>
      </w:r>
      <w:r w:rsidR="00416473">
        <w:t xml:space="preserve"> </w:t>
      </w:r>
      <w:r>
        <w:t>Einkommensniveau (Deutschland: 40,5</w:t>
      </w:r>
      <w:r w:rsidR="00B97042">
        <w:t> </w:t>
      </w:r>
      <w:r>
        <w:t>Prozent).</w:t>
      </w:r>
    </w:p>
    <w:p w14:paraId="6E939A77" w14:textId="77777777" w:rsidR="009B7130" w:rsidRDefault="009B7130" w:rsidP="009B7130">
      <w:pPr>
        <w:pStyle w:val="LTAntwortRessortText"/>
      </w:pPr>
      <w:r>
        <w:t>Die sog. (Einkommens-)Armutsgefährdungsquote wird standardmäßig</w:t>
      </w:r>
      <w:r w:rsidR="00416473">
        <w:t xml:space="preserve"> </w:t>
      </w:r>
      <w:r>
        <w:t>personengewichtet ermittelt. Auf Haushaltsebene, was gleichzeitig dem</w:t>
      </w:r>
      <w:r w:rsidR="00416473">
        <w:t xml:space="preserve"> </w:t>
      </w:r>
      <w:r>
        <w:t>Anteil der alleinerziehenden Eltern entsprechen würde, liegen keine</w:t>
      </w:r>
      <w:r w:rsidR="00416473">
        <w:t xml:space="preserve"> </w:t>
      </w:r>
      <w:r>
        <w:t>Angaben zur sog. Armutsgefährdungsquote bzw. Niedrigeinkommensquote</w:t>
      </w:r>
      <w:r w:rsidR="00416473">
        <w:t xml:space="preserve"> </w:t>
      </w:r>
      <w:r>
        <w:t>vor. Diese dürfte allerdings geringer ausfallen, da größere Haus</w:t>
      </w:r>
      <w:r w:rsidR="00416473">
        <w:t xml:space="preserve"> </w:t>
      </w:r>
      <w:r>
        <w:t>halte mit mehr Kindern verstärkt im unteren Einkommensbereich vorzufinden</w:t>
      </w:r>
      <w:r w:rsidR="00416473">
        <w:t xml:space="preserve"> </w:t>
      </w:r>
      <w:r>
        <w:t>sind und demnach bei der Personengewichtung ein größeres</w:t>
      </w:r>
      <w:r w:rsidR="00416473">
        <w:t xml:space="preserve"> </w:t>
      </w:r>
      <w:r>
        <w:t>Gewicht erhalten.</w:t>
      </w:r>
    </w:p>
    <w:p w14:paraId="2F99C184" w14:textId="305FB845" w:rsidR="009B7130" w:rsidRDefault="009B7130" w:rsidP="009B7130">
      <w:pPr>
        <w:pStyle w:val="LTAntwortRessortText"/>
      </w:pPr>
      <w:r>
        <w:t>Alleinerziehende mit minderjährigen Kindern waren in fast neun von</w:t>
      </w:r>
      <w:r w:rsidR="00416473">
        <w:t xml:space="preserve"> </w:t>
      </w:r>
      <w:r>
        <w:t>zehn Fällen Mütter (Bayern 2019: 87,2</w:t>
      </w:r>
      <w:r w:rsidR="00B97042">
        <w:t> </w:t>
      </w:r>
      <w:r>
        <w:t>Prozent).</w:t>
      </w:r>
    </w:p>
    <w:p w14:paraId="38A1A937" w14:textId="77777777" w:rsidR="009B7130" w:rsidRDefault="009B7130">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B7130" w14:paraId="5DDB532B" w14:textId="77777777" w:rsidTr="007B0B33">
        <w:tc>
          <w:tcPr>
            <w:tcW w:w="2050" w:type="dxa"/>
          </w:tcPr>
          <w:p w14:paraId="2CE568AA" w14:textId="77777777" w:rsidR="009B7130" w:rsidRDefault="009B7130" w:rsidP="009B7130">
            <w:pPr>
              <w:pStyle w:val="LTAnfrageInitiator"/>
            </w:pPr>
            <w:r>
              <w:lastRenderedPageBreak/>
              <w:t>Abgeordneter</w:t>
            </w:r>
            <w:r>
              <w:rPr>
                <w:b/>
              </w:rPr>
              <w:br/>
              <w:t>Hep</w:t>
            </w:r>
            <w:r>
              <w:rPr>
                <w:b/>
              </w:rPr>
              <w:br/>
              <w:t>Monatzeder</w:t>
            </w:r>
            <w:r>
              <w:rPr>
                <w:b/>
              </w:rPr>
              <w:br/>
            </w:r>
            <w:r>
              <w:t>(BÜNDNIS 90/DIE GRÜNEN)</w:t>
            </w:r>
            <w:bookmarkStart w:id="113" w:name="Frage_Nr_56"/>
            <w:bookmarkEnd w:id="113"/>
          </w:p>
        </w:tc>
        <w:tc>
          <w:tcPr>
            <w:tcW w:w="7200" w:type="dxa"/>
          </w:tcPr>
          <w:p w14:paraId="77ED18BF" w14:textId="77777777" w:rsidR="009B7130" w:rsidRDefault="00E70B7A" w:rsidP="009B7130">
            <w:pPr>
              <w:pStyle w:val="LTAnfrageText"/>
            </w:pPr>
            <w:r w:rsidRPr="00E70B7A">
              <w:rPr>
                <w:szCs w:val="24"/>
              </w:rPr>
              <w:t>Ich frage die Staatsregierung, wie wird die Finanzierung von Gebärdensprachdolmetscherinnen bzw. Gebärdensprachdolmetschern für gehörlose Kinder und Jugendliche abgesichert, die Angebote der Kinder- und Jugendhilfe wahrnehmen möchten, sind der Staatsregierung Fälle bekannt, bei denen diese Finanzierung in der Praxis nicht sichergestellt ist bzw. die Refinanzierung der Träger für diese Kosten nicht gelingt, und welche Anpassungen sind aus Sicht der Staatsregierung hier erforderlich, um die gleichberechtigte Teilhabe von gehörlosen Kindern und Jugendlichen an Angeboten der Kinder- und Jugendhilfe zu verbessern?</w:t>
            </w:r>
          </w:p>
        </w:tc>
      </w:tr>
    </w:tbl>
    <w:p w14:paraId="42127528" w14:textId="77777777" w:rsidR="009B7130" w:rsidRDefault="009B7130" w:rsidP="009B7130">
      <w:pPr>
        <w:pStyle w:val="LTUeberschrAntwortRessort"/>
      </w:pPr>
      <w:r>
        <w:t>Antwort des Staatsministeriums für Familie, Arbeit und Soziales</w:t>
      </w:r>
    </w:p>
    <w:p w14:paraId="592565E2" w14:textId="77777777" w:rsidR="009B7130" w:rsidRDefault="009B7130" w:rsidP="009B7130">
      <w:pPr>
        <w:pStyle w:val="LTAntwortRessortText"/>
      </w:pPr>
      <w:r>
        <w:t>Die Landkreise und kreisfreien Städte nehmen die Aufgaben der Kinder-und Jugendhilfe als Pflichtaufgabe im eigenen Wirkungskreis</w:t>
      </w:r>
      <w:r w:rsidR="00C242B6">
        <w:t xml:space="preserve"> </w:t>
      </w:r>
      <w:r>
        <w:t>wahr. Das Jugendamt als Träger der öffentlichen Jugendhilfe trägt dabei</w:t>
      </w:r>
      <w:r w:rsidR="00C242B6">
        <w:t xml:space="preserve"> </w:t>
      </w:r>
      <w:r>
        <w:t>gemäß §</w:t>
      </w:r>
      <w:r w:rsidR="00BF6064">
        <w:t> </w:t>
      </w:r>
      <w:r>
        <w:t>79 Achtes Buch Sozialgesetzbuch (SGB VIII) die Gesamtverantwortung</w:t>
      </w:r>
      <w:r w:rsidR="00C242B6">
        <w:t xml:space="preserve"> </w:t>
      </w:r>
      <w:r>
        <w:t>einschließlich der Planungs- und Finanzierungsverantwortung</w:t>
      </w:r>
      <w:r w:rsidR="00C242B6">
        <w:t xml:space="preserve"> </w:t>
      </w:r>
      <w:r>
        <w:t>für die Erfüllung der Aufgaben der Kinder- und Jugendhilfe</w:t>
      </w:r>
      <w:r w:rsidR="00C242B6">
        <w:t xml:space="preserve"> </w:t>
      </w:r>
      <w:r>
        <w:t>nach dem SGB VIII. In diesem Zusammenhang haben die Träger der</w:t>
      </w:r>
      <w:r w:rsidR="00C242B6">
        <w:t xml:space="preserve"> </w:t>
      </w:r>
      <w:r>
        <w:t>öffentlichen Jugendhilfe in Zusammenarbeit mit den Trägern der freien</w:t>
      </w:r>
      <w:r w:rsidR="00C242B6">
        <w:t xml:space="preserve"> </w:t>
      </w:r>
      <w:r>
        <w:t>Jugendhilfe bedarfsgerechte Jugendhilfeangebote vor Ort sicherzustellen</w:t>
      </w:r>
      <w:r w:rsidR="00C242B6">
        <w:t xml:space="preserve"> </w:t>
      </w:r>
      <w:r>
        <w:t>und zu finanzieren. Hierzu gehört auch die bedarfsgerechte Versorgung</w:t>
      </w:r>
      <w:r w:rsidR="00C242B6">
        <w:t xml:space="preserve"> </w:t>
      </w:r>
      <w:r>
        <w:t>mit Gebärdensprachdolmetscherinnen und Gebärdensprachdolmetschern.</w:t>
      </w:r>
    </w:p>
    <w:p w14:paraId="0AC26D97" w14:textId="77777777" w:rsidR="009B7130" w:rsidRDefault="009B7130">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B7130" w14:paraId="0513FCE2" w14:textId="77777777" w:rsidTr="007B0B33">
        <w:tc>
          <w:tcPr>
            <w:tcW w:w="2050" w:type="dxa"/>
          </w:tcPr>
          <w:p w14:paraId="5FF2EF34" w14:textId="77777777" w:rsidR="009B7130" w:rsidRDefault="009B7130" w:rsidP="009B7130">
            <w:pPr>
              <w:pStyle w:val="LTAnfrageInitiator"/>
            </w:pPr>
            <w:r>
              <w:lastRenderedPageBreak/>
              <w:t>Abgeordnete</w:t>
            </w:r>
            <w:r>
              <w:rPr>
                <w:b/>
              </w:rPr>
              <w:br/>
              <w:t>Doris</w:t>
            </w:r>
            <w:r>
              <w:rPr>
                <w:b/>
              </w:rPr>
              <w:br/>
              <w:t>Rauscher</w:t>
            </w:r>
            <w:r>
              <w:rPr>
                <w:b/>
              </w:rPr>
              <w:br/>
            </w:r>
            <w:r>
              <w:t>(SPD)</w:t>
            </w:r>
            <w:bookmarkStart w:id="115" w:name="Frage_Nr_57"/>
            <w:bookmarkEnd w:id="115"/>
          </w:p>
        </w:tc>
        <w:tc>
          <w:tcPr>
            <w:tcW w:w="7200" w:type="dxa"/>
          </w:tcPr>
          <w:p w14:paraId="05CF8452" w14:textId="632D04C8" w:rsidR="009B7130" w:rsidRDefault="00E70B7A" w:rsidP="009B7130">
            <w:pPr>
              <w:pStyle w:val="LTAnfrageText"/>
            </w:pPr>
            <w:r w:rsidRPr="00E70B7A">
              <w:rPr>
                <w:szCs w:val="24"/>
              </w:rPr>
              <w:t xml:space="preserve">Ich frage die Staatsregierung, inwieweit konnten die in den Kitas eingesetzten </w:t>
            </w:r>
            <w:r w:rsidR="00CD0D14">
              <w:rPr>
                <w:szCs w:val="24"/>
              </w:rPr>
              <w:t>P</w:t>
            </w:r>
            <w:r w:rsidRPr="00E70B7A">
              <w:rPr>
                <w:szCs w:val="24"/>
              </w:rPr>
              <w:t>ädagogischen Qualitätsbegleiterinnen bzw. Qualitätsbegleiter (PBQ), ihre aufsuchende Arbeit seit Ausbruch der Coronapandemie ausüben (bitte auch unter Nennung der aufgetretenen Hürden und Probleme), wie viele Kitas konnten von den Angeboten der PQBs seit März 2020 profitieren (bitte im Vergleich zu Zeiträumen vor Corona angeben) und wie hat sich die Zahl der eingesetzten PQBs seit Beginn der Pandemie entwickelt?</w:t>
            </w:r>
          </w:p>
        </w:tc>
      </w:tr>
    </w:tbl>
    <w:p w14:paraId="6AD91B54" w14:textId="77777777" w:rsidR="009B7130" w:rsidRDefault="009B7130" w:rsidP="009B7130">
      <w:pPr>
        <w:pStyle w:val="LTUeberschrAntwortRessort"/>
      </w:pPr>
      <w:r>
        <w:t>Antwort des Staatsministeriums für Familie, Arbeit und Soziales</w:t>
      </w:r>
    </w:p>
    <w:p w14:paraId="25FA4C52" w14:textId="6FBB130B" w:rsidR="009B7130" w:rsidRDefault="009B7130" w:rsidP="009B7130">
      <w:pPr>
        <w:pStyle w:val="LTAntwortRessortText"/>
      </w:pPr>
      <w:r>
        <w:t>Aus den vom Staatsinstitut für Frühpädagogik und Medienkompetenz</w:t>
      </w:r>
      <w:r w:rsidR="00180619">
        <w:t xml:space="preserve"> </w:t>
      </w:r>
      <w:r>
        <w:t>(IFP) im Rahmen eines kurzen Zwischenberichts vom 4. Februar 2022</w:t>
      </w:r>
      <w:r w:rsidR="00180619">
        <w:t xml:space="preserve"> </w:t>
      </w:r>
      <w:r>
        <w:t>erfassten Daten geht hervor, dass seit Januar 2021 insgesamt 444</w:t>
      </w:r>
      <w:r w:rsidR="00180619">
        <w:t xml:space="preserve"> </w:t>
      </w:r>
      <w:r w:rsidR="0017763F">
        <w:t>Pädagogische Qualitätsbegleitung (</w:t>
      </w:r>
      <w:r>
        <w:t>PQB</w:t>
      </w:r>
      <w:r w:rsidR="0017763F">
        <w:t>)</w:t>
      </w:r>
      <w:r>
        <w:t>-Beratungs-Prozesse neu begonnen worden sind (noch nicht abgeschlossene</w:t>
      </w:r>
      <w:r w:rsidR="00180619">
        <w:t xml:space="preserve"> </w:t>
      </w:r>
      <w:r>
        <w:t>Prozesse aus dem Jahr 2020, welche in 2021 fortgeführt wurden, sind in diesen</w:t>
      </w:r>
      <w:r w:rsidR="00180619">
        <w:t xml:space="preserve"> </w:t>
      </w:r>
      <w:r>
        <w:t>Daten nicht erfasst). Innerhalb der 444 erfassten PQB-Prozesse wurden</w:t>
      </w:r>
      <w:r w:rsidR="00180619">
        <w:t xml:space="preserve"> </w:t>
      </w:r>
      <w:r>
        <w:t>zwischen Januar 2021 und Januar 2022 insgesamt 2</w:t>
      </w:r>
      <w:r w:rsidR="00CD0D14">
        <w:t> </w:t>
      </w:r>
      <w:r>
        <w:t>442 PQB</w:t>
      </w:r>
      <w:r w:rsidR="0017763F">
        <w:t>-</w:t>
      </w:r>
      <w:r>
        <w:t>Termine</w:t>
      </w:r>
      <w:r w:rsidR="00180619">
        <w:t xml:space="preserve"> </w:t>
      </w:r>
      <w:r>
        <w:t>durchgeführt. Neben den Beratungen und Unterstützungen</w:t>
      </w:r>
      <w:r w:rsidR="00180619">
        <w:t xml:space="preserve"> </w:t>
      </w:r>
      <w:r>
        <w:t>der Kindertageseinrichtungen vor Ort standen die PQB den Kindertageseinrichtungen</w:t>
      </w:r>
      <w:r w:rsidR="00180619">
        <w:t xml:space="preserve"> </w:t>
      </w:r>
      <w:r>
        <w:t>sowohl telefonisch als auch online zum Beispiel mittels</w:t>
      </w:r>
      <w:r w:rsidR="00180619">
        <w:t xml:space="preserve"> </w:t>
      </w:r>
      <w:r>
        <w:t>Videokonferenzen zur Seite. Ersten Daten zufolge wurde dieses</w:t>
      </w:r>
      <w:r w:rsidR="00180619">
        <w:t xml:space="preserve"> </w:t>
      </w:r>
      <w:r>
        <w:t>Angebot sowohl seitens der Kindertageseinrichtungen als auch seitens</w:t>
      </w:r>
      <w:r w:rsidR="00180619">
        <w:t xml:space="preserve"> </w:t>
      </w:r>
      <w:r>
        <w:t>der PQB gut angenommen, so dass sich in den letzten Monaten eine</w:t>
      </w:r>
      <w:r w:rsidR="00180619">
        <w:t xml:space="preserve"> </w:t>
      </w:r>
      <w:r>
        <w:t>deutliche Zunahme der Anzahl an Online-Beratungsterminen gezeigt</w:t>
      </w:r>
      <w:r w:rsidR="00180619">
        <w:t xml:space="preserve"> </w:t>
      </w:r>
      <w:r>
        <w:t>hat.</w:t>
      </w:r>
    </w:p>
    <w:p w14:paraId="0E4EA15C" w14:textId="77777777" w:rsidR="009B7130" w:rsidRDefault="009B7130" w:rsidP="009B7130">
      <w:pPr>
        <w:pStyle w:val="LTAntwortRessortText"/>
      </w:pPr>
      <w:r>
        <w:t xml:space="preserve">Hinsichtlich der </w:t>
      </w:r>
      <w:r w:rsidR="009140FA">
        <w:t>Auswirkungen der Coronap</w:t>
      </w:r>
      <w:r>
        <w:t>andemie berichteten die</w:t>
      </w:r>
      <w:r w:rsidR="00180619">
        <w:t xml:space="preserve"> </w:t>
      </w:r>
      <w:r>
        <w:t>PQB auf dem Landesnetzwerktreffen im Oktober 2021 vor allem von</w:t>
      </w:r>
      <w:r w:rsidR="00180619">
        <w:t xml:space="preserve"> </w:t>
      </w:r>
      <w:r>
        <w:t>starken Belastungen seitens der Einrichtungsleitungen und den Kita-Teams infolge der Pandemie sowie von eigenen terminlich-organisatorischen</w:t>
      </w:r>
      <w:r w:rsidR="00180619">
        <w:t xml:space="preserve"> </w:t>
      </w:r>
      <w:r>
        <w:t xml:space="preserve">Herausforderungen, </w:t>
      </w:r>
      <w:r w:rsidR="006F49A4">
        <w:t>u. a.</w:t>
      </w:r>
      <w:r>
        <w:t xml:space="preserve"> da pandemiebedingt zeitweise Präsenztermine</w:t>
      </w:r>
      <w:r w:rsidR="00180619">
        <w:t xml:space="preserve"> </w:t>
      </w:r>
      <w:r>
        <w:t>nicht stattfinden konnten und im Sommer in wenigen Wochen</w:t>
      </w:r>
      <w:r w:rsidR="00180619">
        <w:t xml:space="preserve"> </w:t>
      </w:r>
      <w:r>
        <w:t>teilweise nicht alle Termine nachgeholt werden konnten.</w:t>
      </w:r>
    </w:p>
    <w:p w14:paraId="79910968" w14:textId="77777777" w:rsidR="009B7130" w:rsidRDefault="009B7130" w:rsidP="009B7130">
      <w:pPr>
        <w:pStyle w:val="LTAntwortRessortText"/>
      </w:pPr>
      <w:r>
        <w:t>Die Anzahl der im Rahmen von PQB beratenen Kindertageseinrichtungen</w:t>
      </w:r>
      <w:r w:rsidR="00180619">
        <w:t xml:space="preserve"> </w:t>
      </w:r>
      <w:r>
        <w:t>wird seit Einführung des PQB-Online-Antragsbogens am 17. Oktober</w:t>
      </w:r>
      <w:r w:rsidR="00180619">
        <w:t xml:space="preserve"> </w:t>
      </w:r>
      <w:r>
        <w:t>2020 erfasst. Bis einschließlich 1. Februar 2022 wurden über das</w:t>
      </w:r>
      <w:r w:rsidR="00180619">
        <w:t xml:space="preserve"> </w:t>
      </w:r>
      <w:r>
        <w:t>PQB</w:t>
      </w:r>
      <w:r w:rsidR="009140FA">
        <w:t>-Antragsverfahren insgesamt 733 </w:t>
      </w:r>
      <w:r>
        <w:t>PQB-Anträge von Kindertageseinrichtungen</w:t>
      </w:r>
      <w:r w:rsidR="00180619">
        <w:t xml:space="preserve"> </w:t>
      </w:r>
      <w:r>
        <w:t>in Bayern gestellt. Ein Vergleich zu Zeiträumen vor Beginn</w:t>
      </w:r>
      <w:r w:rsidR="00180619">
        <w:t xml:space="preserve"> </w:t>
      </w:r>
      <w:r w:rsidR="009140FA">
        <w:t>der Coronap</w:t>
      </w:r>
      <w:r>
        <w:t>andemie kann anhand der ermittelten Daten nicht erfolgen,</w:t>
      </w:r>
      <w:r w:rsidR="00180619">
        <w:t xml:space="preserve"> </w:t>
      </w:r>
      <w:r>
        <w:t>da das Antragsverfahren erst im Oktober 2020 eingeführt</w:t>
      </w:r>
      <w:r w:rsidR="00180619">
        <w:t xml:space="preserve"> </w:t>
      </w:r>
      <w:r>
        <w:t>wurde.</w:t>
      </w:r>
    </w:p>
    <w:p w14:paraId="4C22C375" w14:textId="1B1FA6E3" w:rsidR="009B7130" w:rsidRDefault="009B7130" w:rsidP="009B7130">
      <w:pPr>
        <w:pStyle w:val="LTAntwortRessortText"/>
      </w:pPr>
      <w:r>
        <w:t>Mit Stand 1. Februar 2022 sind insgesamt 47 PQB tätig. Seit April 2021</w:t>
      </w:r>
      <w:r w:rsidR="00180619">
        <w:t xml:space="preserve"> </w:t>
      </w:r>
      <w:r>
        <w:t xml:space="preserve">wurden insgesamt </w:t>
      </w:r>
      <w:r w:rsidR="00CD0D14">
        <w:t>sechs</w:t>
      </w:r>
      <w:r>
        <w:t xml:space="preserve"> neue PQB eingestellt und </w:t>
      </w:r>
      <w:r w:rsidR="00CD0D14">
        <w:t>acht</w:t>
      </w:r>
      <w:r>
        <w:t xml:space="preserve"> PQB haben ihre Tätigkeit</w:t>
      </w:r>
      <w:r w:rsidR="00180619">
        <w:t xml:space="preserve"> </w:t>
      </w:r>
      <w:r>
        <w:t>beendet. Im Hinblick auf die in Verbindung mit der Mittelanforderung</w:t>
      </w:r>
      <w:r w:rsidR="00180619">
        <w:t xml:space="preserve"> </w:t>
      </w:r>
      <w:r>
        <w:t>gemeldeten Stellen lässt sich festhalten, dass die geförderten</w:t>
      </w:r>
      <w:r w:rsidR="00180619">
        <w:t xml:space="preserve"> </w:t>
      </w:r>
      <w:r>
        <w:t>Ste</w:t>
      </w:r>
      <w:r w:rsidR="009140FA">
        <w:t>llenanteile während der Coronap</w:t>
      </w:r>
      <w:r>
        <w:t>andemie im Vergleich zu jenen</w:t>
      </w:r>
      <w:r w:rsidR="00180619">
        <w:t xml:space="preserve"> </w:t>
      </w:r>
      <w:r w:rsidR="009140FA">
        <w:t>der vor Beginn der Coronap</w:t>
      </w:r>
      <w:r>
        <w:t>andemie nahezu gleichgeblieben sind.</w:t>
      </w:r>
    </w:p>
    <w:p w14:paraId="6CB12FE6" w14:textId="77777777" w:rsidR="009B7130" w:rsidRDefault="009B7130">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9B7130" w14:paraId="2E68A0C6" w14:textId="77777777" w:rsidTr="007B0B33">
        <w:tc>
          <w:tcPr>
            <w:tcW w:w="2050" w:type="dxa"/>
          </w:tcPr>
          <w:p w14:paraId="648786EF" w14:textId="77777777" w:rsidR="009B7130" w:rsidRDefault="009B7130" w:rsidP="009B7130">
            <w:pPr>
              <w:pStyle w:val="LTAnfrageInitiator"/>
            </w:pPr>
            <w:r>
              <w:lastRenderedPageBreak/>
              <w:t>Abgeordneter</w:t>
            </w:r>
            <w:r>
              <w:rPr>
                <w:b/>
              </w:rPr>
              <w:br/>
              <w:t>Ulrich</w:t>
            </w:r>
            <w:r>
              <w:rPr>
                <w:b/>
              </w:rPr>
              <w:br/>
              <w:t>Singer</w:t>
            </w:r>
            <w:r>
              <w:rPr>
                <w:b/>
              </w:rPr>
              <w:br/>
            </w:r>
            <w:r>
              <w:t>(AfD)</w:t>
            </w:r>
            <w:bookmarkStart w:id="117" w:name="Frage_Nr_58"/>
            <w:bookmarkEnd w:id="117"/>
          </w:p>
        </w:tc>
        <w:tc>
          <w:tcPr>
            <w:tcW w:w="7200" w:type="dxa"/>
          </w:tcPr>
          <w:p w14:paraId="3E506CBF" w14:textId="77777777" w:rsidR="009B7130" w:rsidRDefault="00E70B7A" w:rsidP="009B7130">
            <w:pPr>
              <w:pStyle w:val="LTAnfrageText"/>
            </w:pPr>
            <w:r w:rsidRPr="00E70B7A">
              <w:rPr>
                <w:szCs w:val="24"/>
              </w:rPr>
              <w:t>Ich frage die Staatsregierung, ob zwischen hochgradig hörbehinderten Personen und Gehörlosen differenziert wird (falls ja, bitte die konkreten Kriterien mitteilen), wie viele Gehörlose als dauerhaft wohnhafte Personen in Bayern gemeldet sind und wie viele hochgradig Hörbehinderte als dauerhaft wohnhafte Personen in Bayern gemeldet sind?</w:t>
            </w:r>
          </w:p>
        </w:tc>
      </w:tr>
    </w:tbl>
    <w:p w14:paraId="7EEC870B" w14:textId="77777777" w:rsidR="009B7130" w:rsidRDefault="009B7130" w:rsidP="009B7130">
      <w:pPr>
        <w:pStyle w:val="LTUeberschrAntwortRessort"/>
      </w:pPr>
      <w:r>
        <w:t>Antwort des Staatsministeriums für Familie, Arbeit und Soziales</w:t>
      </w:r>
    </w:p>
    <w:p w14:paraId="5305BD43" w14:textId="77777777" w:rsidR="009B7130" w:rsidRDefault="009B7130" w:rsidP="009B7130">
      <w:pPr>
        <w:pStyle w:val="LTAntwortRessortText"/>
      </w:pPr>
      <w:r>
        <w:t>Die Bewertung des Grads der Behinderung (GdB) von Hörverlusten</w:t>
      </w:r>
      <w:r w:rsidR="004D62D4">
        <w:t xml:space="preserve"> </w:t>
      </w:r>
      <w:r>
        <w:t>richtet sich im Schwerbehindertenrecht nach der GdB-Tabelle in Teil B</w:t>
      </w:r>
      <w:r w:rsidR="004D62D4">
        <w:t xml:space="preserve"> </w:t>
      </w:r>
      <w:r>
        <w:t>Ziffer 5.2.4 der Versorgungsmedizin-Verordnung (Verordnung zur</w:t>
      </w:r>
      <w:r w:rsidR="004D62D4">
        <w:t xml:space="preserve"> </w:t>
      </w:r>
      <w:r w:rsidR="006B5C38">
        <w:t>Durchführung des § 1 Abs. 1 und 3, des § </w:t>
      </w:r>
      <w:r w:rsidR="008F593A">
        <w:t>30 Abs. 1 und des § </w:t>
      </w:r>
      <w:r>
        <w:t>35 Abs.</w:t>
      </w:r>
      <w:r w:rsidR="004D62D4">
        <w:t xml:space="preserve"> </w:t>
      </w:r>
      <w:r>
        <w:t>1</w:t>
      </w:r>
      <w:r w:rsidR="008F593A">
        <w:t xml:space="preserve"> des Bundesversorgungsgesetzes –</w:t>
      </w:r>
      <w:r>
        <w:t xml:space="preserve"> VersMedV). Danach besteht eine</w:t>
      </w:r>
      <w:r w:rsidR="004D62D4">
        <w:t xml:space="preserve"> </w:t>
      </w:r>
      <w:r w:rsidR="006F49A4">
        <w:t>„</w:t>
      </w:r>
      <w:r>
        <w:t>beidseits hochgradige Schwerhörigkeit</w:t>
      </w:r>
      <w:r w:rsidR="006F49A4">
        <w:t>“</w:t>
      </w:r>
      <w:r>
        <w:t>, wenn auf beiden Ohren ein</w:t>
      </w:r>
      <w:r w:rsidR="004D62D4">
        <w:t xml:space="preserve"> </w:t>
      </w:r>
      <w:r w:rsidR="008F593A">
        <w:t xml:space="preserve">Hörverlust von 60 bis </w:t>
      </w:r>
      <w:r>
        <w:t xml:space="preserve">80 </w:t>
      </w:r>
      <w:r w:rsidR="006F49A4">
        <w:t>Prozent</w:t>
      </w:r>
      <w:r>
        <w:t xml:space="preserve"> vorliegt.</w:t>
      </w:r>
    </w:p>
    <w:p w14:paraId="1E3A8E61" w14:textId="77777777" w:rsidR="009B7130" w:rsidRDefault="009B7130" w:rsidP="009B7130">
      <w:pPr>
        <w:pStyle w:val="LTAntwortRessortText"/>
      </w:pPr>
      <w:r>
        <w:t>Gehörlosigkeit im Sinne des Schwerbehindertenrechts ist in den</w:t>
      </w:r>
      <w:r w:rsidR="004D62D4">
        <w:t xml:space="preserve"> </w:t>
      </w:r>
      <w:r>
        <w:t>VersMedV (Teil D Ziffer 4) wiederum wie folgt definiert:</w:t>
      </w:r>
      <w:r w:rsidR="004D62D4">
        <w:t xml:space="preserve"> </w:t>
      </w:r>
      <w:r w:rsidR="006F49A4">
        <w:t>„</w:t>
      </w:r>
      <w:r>
        <w:t>4. Gehörlosigkeit (Merkzeichen Gl)</w:t>
      </w:r>
      <w:r w:rsidR="004D62D4">
        <w:t xml:space="preserve"> </w:t>
      </w:r>
      <w:r>
        <w:t>Gehörlos sind nicht nur Hörbehinderte, bei denen Taubheit beiderseits</w:t>
      </w:r>
      <w:r w:rsidR="004D62D4">
        <w:t xml:space="preserve"> </w:t>
      </w:r>
      <w:r>
        <w:t>vorliegt, sondern auch Hörbehinderte mit einer an Taubheit grenzenden</w:t>
      </w:r>
      <w:r w:rsidR="004D62D4">
        <w:t xml:space="preserve"> </w:t>
      </w:r>
      <w:r>
        <w:t>Schwerhörigkeit beiderseits, wenn daneben schwere Sprachstörungen</w:t>
      </w:r>
      <w:r w:rsidR="004D62D4">
        <w:t xml:space="preserve"> </w:t>
      </w:r>
      <w:r>
        <w:t>(schwer verständliche Lautsprache, geringer Sprachschatz)</w:t>
      </w:r>
      <w:r w:rsidR="004D62D4">
        <w:t xml:space="preserve"> </w:t>
      </w:r>
      <w:r>
        <w:t>vorliegen. Das sind in der Regel Hörbehinderte, bei denen die an</w:t>
      </w:r>
      <w:r w:rsidR="004D62D4">
        <w:t xml:space="preserve"> </w:t>
      </w:r>
      <w:r>
        <w:t>Taubheit grenzende Schwerhörigkeit angeboren oder in der Kindheit</w:t>
      </w:r>
      <w:r w:rsidR="004D62D4">
        <w:t xml:space="preserve"> </w:t>
      </w:r>
      <w:r>
        <w:t>erworben worden ist.</w:t>
      </w:r>
      <w:r w:rsidR="006F49A4">
        <w:t>“</w:t>
      </w:r>
    </w:p>
    <w:p w14:paraId="4774ED50" w14:textId="77777777" w:rsidR="009B7130" w:rsidRDefault="009B7130" w:rsidP="009B7130">
      <w:pPr>
        <w:pStyle w:val="LTAntwortRessortText"/>
      </w:pPr>
      <w:r>
        <w:t>Somit kann das Merkzeichen Gl nur zuerkannt werden, wenn beidseits</w:t>
      </w:r>
      <w:r w:rsidR="004D62D4">
        <w:t xml:space="preserve"> </w:t>
      </w:r>
      <w:r>
        <w:t xml:space="preserve">ein Hörverlust von 100 </w:t>
      </w:r>
      <w:r w:rsidR="006F49A4">
        <w:t>Prozent</w:t>
      </w:r>
      <w:r>
        <w:t xml:space="preserve"> (= Taubheit) vorliegt oder wenn bei einem</w:t>
      </w:r>
      <w:r w:rsidR="004D62D4">
        <w:t xml:space="preserve"> </w:t>
      </w:r>
      <w:r w:rsidR="008F593A">
        <w:t xml:space="preserve">Hörverlust von 80 bis </w:t>
      </w:r>
      <w:r>
        <w:t xml:space="preserve">95 </w:t>
      </w:r>
      <w:r w:rsidR="006F49A4">
        <w:t>Prozent</w:t>
      </w:r>
      <w:r>
        <w:t xml:space="preserve"> (= an Taubheit grenzende Schwerhörigkeit)</w:t>
      </w:r>
      <w:r w:rsidR="004D62D4">
        <w:t xml:space="preserve"> </w:t>
      </w:r>
      <w:r>
        <w:t>zusätzlich schwere Sprachstörungen bestehen.</w:t>
      </w:r>
    </w:p>
    <w:p w14:paraId="6BC0FA3D" w14:textId="77777777" w:rsidR="009B7130" w:rsidRDefault="009B7130" w:rsidP="009B7130">
      <w:pPr>
        <w:pStyle w:val="LTAntwortRessortText"/>
      </w:pPr>
      <w:r>
        <w:t>Die Anzahl der in Bayern wohnhaften gehörlosen Menschen belief sich</w:t>
      </w:r>
      <w:r w:rsidR="004D62D4">
        <w:t xml:space="preserve"> </w:t>
      </w:r>
      <w:r w:rsidR="008F593A">
        <w:t>Ende November 2021 auf 9 </w:t>
      </w:r>
      <w:r>
        <w:t>683.</w:t>
      </w:r>
    </w:p>
    <w:p w14:paraId="654CF0BE" w14:textId="77777777" w:rsidR="009B7130" w:rsidRDefault="009B7130" w:rsidP="009B7130">
      <w:pPr>
        <w:pStyle w:val="LTAntwortRessortText"/>
      </w:pPr>
      <w:r>
        <w:t>Eine Auswertung des im Zentrum Bayern Familie und Soziales geführten</w:t>
      </w:r>
      <w:r w:rsidR="004D62D4">
        <w:t xml:space="preserve"> </w:t>
      </w:r>
      <w:r>
        <w:t>Datenbestands nach schwerbehinderten Menschen mit hochgradiger</w:t>
      </w:r>
      <w:r w:rsidR="004D62D4">
        <w:t xml:space="preserve"> </w:t>
      </w:r>
      <w:r>
        <w:t>Schwerhörigkeit hingegen ist nicht möglich, da die Vorgaben des</w:t>
      </w:r>
      <w:r w:rsidR="004D62D4">
        <w:t xml:space="preserve"> </w:t>
      </w:r>
      <w:r>
        <w:t>Statistischen Bundesamtes keinen eigenen Behinderungsart-Schlüssel</w:t>
      </w:r>
      <w:r w:rsidR="004D62D4">
        <w:t xml:space="preserve"> </w:t>
      </w:r>
      <w:r>
        <w:t xml:space="preserve">für eine </w:t>
      </w:r>
      <w:r w:rsidR="006F49A4">
        <w:t>„</w:t>
      </w:r>
      <w:r>
        <w:t>hochgradige Schwerhörigkeit</w:t>
      </w:r>
      <w:r w:rsidR="006F49A4">
        <w:t>“</w:t>
      </w:r>
      <w:r>
        <w:t xml:space="preserve"> vorsehen.</w:t>
      </w:r>
    </w:p>
    <w:p w14:paraId="53BC8928" w14:textId="77777777" w:rsidR="009B7130" w:rsidRDefault="009B7130">
      <w:bookmarkStart w:id="118" w:name="Frage_Nr_58_Ende"/>
      <w:bookmarkEnd w:id="118"/>
      <w:r>
        <w:br w:type="page"/>
      </w:r>
    </w:p>
    <w:p w14:paraId="02E69F19" w14:textId="77777777" w:rsidR="009B7130" w:rsidRDefault="009B7130" w:rsidP="009B7130">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tblGrid>
      <w:tr w:rsidR="009B7130" w14:paraId="04C8D220" w14:textId="77777777" w:rsidTr="007B0B33">
        <w:tc>
          <w:tcPr>
            <w:tcW w:w="2050" w:type="dxa"/>
          </w:tcPr>
          <w:p w14:paraId="64723435" w14:textId="77777777" w:rsidR="009B7130" w:rsidRDefault="009B7130" w:rsidP="009B7130">
            <w:pPr>
              <w:pStyle w:val="LTAnfrageInitiator"/>
            </w:pPr>
            <w:r>
              <w:t>Abgeordneter</w:t>
            </w:r>
            <w:r>
              <w:rPr>
                <w:b/>
              </w:rPr>
              <w:br/>
              <w:t>Franz</w:t>
            </w:r>
            <w:r>
              <w:rPr>
                <w:b/>
              </w:rPr>
              <w:br/>
              <w:t>Bergmüller</w:t>
            </w:r>
            <w:r>
              <w:rPr>
                <w:b/>
              </w:rPr>
              <w:br/>
            </w:r>
            <w:r>
              <w:t>(AfD)</w:t>
            </w:r>
            <w:bookmarkStart w:id="119" w:name="Frage_Nr_59"/>
            <w:bookmarkEnd w:id="119"/>
          </w:p>
        </w:tc>
        <w:tc>
          <w:tcPr>
            <w:tcW w:w="7200" w:type="dxa"/>
          </w:tcPr>
          <w:p w14:paraId="0C49C2F4" w14:textId="77777777" w:rsidR="009B7130" w:rsidRDefault="00E70B7A" w:rsidP="009B7130">
            <w:pPr>
              <w:pStyle w:val="LTAnfrageText"/>
            </w:pPr>
            <w:r w:rsidRPr="00E70B7A">
              <w:rPr>
                <w:szCs w:val="24"/>
              </w:rPr>
              <w:t xml:space="preserve">Vor dem Hintergrund der empirischen REACT-Studie aus Großbritannien </w:t>
            </w:r>
            <w:r w:rsidRPr="00E70B7A">
              <w:rPr>
                <w:rStyle w:val="Funotenzeichen"/>
                <w:szCs w:val="24"/>
              </w:rPr>
              <w:footnoteReference w:id="2"/>
            </w:r>
            <w:r w:rsidRPr="00E70B7A">
              <w:rPr>
                <w:szCs w:val="24"/>
              </w:rPr>
              <w:t xml:space="preserve"> </w:t>
            </w:r>
            <w:r w:rsidRPr="00E70B7A">
              <w:rPr>
                <w:rStyle w:val="Funotenzeichen"/>
                <w:szCs w:val="24"/>
              </w:rPr>
              <w:footnoteReference w:id="3"/>
            </w:r>
            <w:r w:rsidRPr="00E70B7A">
              <w:rPr>
                <w:szCs w:val="24"/>
              </w:rPr>
              <w:t xml:space="preserve"> wonach eine dritte Impfung die Virenlast bei Omikron-Variante gerade nicht reduziert sowie aus der CDC-Studie auf Basis aller Covid-Fälle aus New York und Kalifornien „COVID-19 Cases and Hospitalizations by COVID-19 Vaccination Status and Previous COVID-19 Diagnosis – California and New York, May–November 2021“ </w:t>
            </w:r>
            <w:r w:rsidRPr="00E70B7A">
              <w:rPr>
                <w:rStyle w:val="Funotenzeichen"/>
                <w:szCs w:val="24"/>
              </w:rPr>
              <w:footnoteReference w:id="4"/>
            </w:r>
            <w:r w:rsidRPr="00E70B7A">
              <w:rPr>
                <w:szCs w:val="24"/>
              </w:rPr>
              <w:t xml:space="preserve"> </w:t>
            </w:r>
            <w:r w:rsidRPr="00E70B7A">
              <w:rPr>
                <w:rStyle w:val="Funotenzeichen"/>
                <w:szCs w:val="24"/>
              </w:rPr>
              <w:footnoteReference w:id="5"/>
            </w:r>
            <w:r w:rsidRPr="00E70B7A">
              <w:rPr>
                <w:szCs w:val="24"/>
              </w:rPr>
              <w:t>, die nach unserer Lesart nachweist, dass eine natürlich erworbene Immunisierung gegen das Covid-Virus praktisch immer eine wirkungsvollere Abwehr bereitstellt, als eine auf künstlichem Weg durch mRNA-Wirkstoffe erworbene Immunisierung, frage ich die Staatsregierung, aus welchen Gründen sie dem Beschlusspapier der „Videoschaltkonferenz des Bundeskanzlers mit den Regierungschefs der Länder am 16. Februar 2022“ zustimmte und damit auch der in der Einleitung enthaltenen Aussage „Auch aus der Sicht des Expertenrats ist die zumindest dreifache Impfung das effektivste Instrument, um die Krankheitslast durch COVID-19 zu minimieren und das Ende der Pandemie schrittweise zu erreichen“ eine Art politische Absolution erteilte, wenn doch in der empirischen Studie „COVID-19 Cases and Hospitalizations by COVID-19 Vaccination Status and Previous COVID-19 Diagnosis – California and New York, May–November 2021 „die US-Gesundheitsbehörde CDC auf der empirischen Basis aller Covid-Fälle der Staaten Kalifornien und New York ausweislich der darin abgebildeten „Figure“ und der „suplementary Figure“ zu dem Ergebnis kam, dass nicht etwa Impfungen, sondern eine natürliche Immunisierung das effektivste Instrument ist, um die Krankheitslast durch COVID-19 zu minimieren, welche wissenschaftlichen Argumente sind ihr bekannt, aus denen heraus sie angesichts der Behauptung, dass eine natürliche Immunisierung einen besseren Abwehrschutz bietet und da zweitens sowohl das Auftreten von weiteren Covid-Varianten im Herbst, als auch deren potenzielle Letalität derzeit vollkommen unbekannt sind, der Passage “Bestehende Immunitätslücken sollen geschlossen und einer erneuten Infektionswelle im Herbst/Winter vorgebeugt werden.“ im selben Beschlusspapier zustimmte und welche Eigenschaften zeichnet die gegenwärtig dominante Variante des Covid-Virus im Vergleich zu anderen Ansteckungskrankheiten, darunter z.B. Infuenza-Viren oder multiresistente Krankenhauskeime aus, dass die Staatsregierung ausschließlich einen „Basisschutz“ gegen das Coronavirus im Sommer etablieren möchte, nicht aber gegen andere Ansteckungsquellen (bitte das angestrebte Ziel dieses „Basisschutzes“ bei praktisch im Sommer 2021 und daher wohl auch im Sommer 2022 nicht existierenden Covidviren voll umfänglich offenlegen)?</w:t>
            </w:r>
          </w:p>
        </w:tc>
      </w:tr>
    </w:tbl>
    <w:p w14:paraId="2731D40B" w14:textId="77777777" w:rsidR="009B7130" w:rsidRDefault="009B7130" w:rsidP="009B7130">
      <w:pPr>
        <w:pStyle w:val="LTUeberschrAntwortRessort"/>
      </w:pPr>
      <w:r>
        <w:lastRenderedPageBreak/>
        <w:t>Antwort des Staatsministeriums für Gesundheit und Pflege</w:t>
      </w:r>
    </w:p>
    <w:p w14:paraId="3DA0693C" w14:textId="77777777" w:rsidR="009B7130" w:rsidRDefault="009B7130" w:rsidP="009B7130">
      <w:pPr>
        <w:pStyle w:val="LTAntwortRessortText"/>
      </w:pPr>
      <w:r>
        <w:t>Aus den zitierten Studien werden unzutreffende Schlüsse gezogen. Kernaussage der Studie von</w:t>
      </w:r>
      <w:r w:rsidR="00371C42">
        <w:t xml:space="preserve"> </w:t>
      </w:r>
      <w:r>
        <w:t>TM Leon et al. (</w:t>
      </w:r>
      <w:r w:rsidR="00857C0D">
        <w:t xml:space="preserve">Morbidity and Mortality Weekly Report – </w:t>
      </w:r>
      <w:r>
        <w:t>MMWR, 28.01.2022) ist, dass die Impfung die sicherste Strategie ist, um vor</w:t>
      </w:r>
      <w:r w:rsidR="00371C42">
        <w:t xml:space="preserve"> </w:t>
      </w:r>
      <w:r>
        <w:t>SARS-CoV-2-Infektionen und Folgeschäden zu schützen, da sie die mit einer SARS-CoV-2-Infektion einhergehenden Risiken vermeidet. Diese Kernaussage entspricht dem Stand der</w:t>
      </w:r>
      <w:r w:rsidR="00371C42">
        <w:t xml:space="preserve"> </w:t>
      </w:r>
      <w:r>
        <w:t>Wissenschaft.</w:t>
      </w:r>
      <w:r w:rsidR="00371C42">
        <w:t xml:space="preserve"> </w:t>
      </w:r>
      <w:r>
        <w:t>Eine Immunisierung durch eine Infektion kann mit einem schweren Verlauf, einer Hospitalisierung</w:t>
      </w:r>
      <w:r w:rsidR="00371C42">
        <w:t xml:space="preserve"> </w:t>
      </w:r>
      <w:r>
        <w:t>sowie Long- und Post-COVID-Syndromen einhergehen. Die Impfung hingegen schützt gemäß dem</w:t>
      </w:r>
      <w:r w:rsidR="00371C42">
        <w:t xml:space="preserve"> </w:t>
      </w:r>
      <w:r>
        <w:t>wissenschaftlichen Erkenntnisstand im Hinblick auf alle bisher aufgetretenen Virusvarianten am</w:t>
      </w:r>
      <w:r w:rsidR="00371C42">
        <w:t xml:space="preserve"> </w:t>
      </w:r>
      <w:r>
        <w:t>besten vor schweren Verläufen von COVID-19, Hospitalisierung und Tod. Die Immunisierung</w:t>
      </w:r>
      <w:r w:rsidR="00371C42">
        <w:t xml:space="preserve"> </w:t>
      </w:r>
      <w:r>
        <w:t>durch eine Impfung ist daher der Immunisierung durch eine Infektion vorzuziehen. Ziel ist es,</w:t>
      </w:r>
      <w:r w:rsidR="00371C42">
        <w:t xml:space="preserve"> </w:t>
      </w:r>
      <w:r>
        <w:t>bestehende Immunitätslücken weiter zu schließen, um weiteren Infektionswellen im Herbst und im</w:t>
      </w:r>
      <w:r w:rsidR="00371C42">
        <w:t xml:space="preserve"> </w:t>
      </w:r>
      <w:r>
        <w:t>Winter vorzubeugen. Vor diesem Hintergrund wurde entsprechend dem aktuellen Stand der</w:t>
      </w:r>
      <w:r w:rsidR="00371C42">
        <w:t xml:space="preserve"> </w:t>
      </w:r>
      <w:r>
        <w:t>Wissenschaft das entsprechende weitere Vorgehen in der Videoschaltkonferenz des</w:t>
      </w:r>
      <w:r w:rsidR="00371C42">
        <w:t xml:space="preserve"> </w:t>
      </w:r>
      <w:r>
        <w:t>Bundeskanzlers mit den Regierungschefs der Länder am 16.02.2022 beschlossen.</w:t>
      </w:r>
    </w:p>
    <w:p w14:paraId="4DF20853" w14:textId="77777777" w:rsidR="009B7130" w:rsidRDefault="009B7130" w:rsidP="009B7130">
      <w:pPr>
        <w:pStyle w:val="LTAntwortRessortText"/>
      </w:pPr>
      <w:r>
        <w:t>SARS-CoV-2- und Influenza-Viren verbreiten sich gleichsam durch Aerosole. Anders als bei</w:t>
      </w:r>
      <w:r w:rsidR="007B46DF">
        <w:t xml:space="preserve"> </w:t>
      </w:r>
      <w:r>
        <w:t>anderen endemisch zirkulierenden Erregern von Atemwegserkrankungen handelt es sich bei</w:t>
      </w:r>
      <w:r w:rsidR="007B46DF">
        <w:t xml:space="preserve"> </w:t>
      </w:r>
      <w:r>
        <w:t>SARS-CoV-2 um ein nach wie vor vergleichsweise neues Virus, das sehr ansteckend ist. Die</w:t>
      </w:r>
      <w:r w:rsidR="007B46DF">
        <w:t xml:space="preserve"> </w:t>
      </w:r>
      <w:r>
        <w:t>virologische und klinisch-epidemiologische Charakterisierung der Virusvariante Omikron ist</w:t>
      </w:r>
      <w:r w:rsidR="007B46DF">
        <w:t xml:space="preserve"> </w:t>
      </w:r>
      <w:r>
        <w:t>Gegenstand von Untersuchungen, die zur fortlaufenden Erweiterung des Kenntnisstandes</w:t>
      </w:r>
      <w:r w:rsidR="007B46DF">
        <w:t xml:space="preserve"> </w:t>
      </w:r>
      <w:r>
        <w:t>hinsichtlich der Infektionsdosis, des Infektionsverlaufes, der Ausscheidungskinetik und der Virulenz</w:t>
      </w:r>
      <w:r w:rsidR="007B46DF">
        <w:t xml:space="preserve"> </w:t>
      </w:r>
      <w:r>
        <w:t>beitragen. Aufgrund der hohen Übertragbarkeit und der Tatsache, dass ein relevanter Teil der</w:t>
      </w:r>
      <w:r w:rsidR="007B46DF">
        <w:t xml:space="preserve"> </w:t>
      </w:r>
      <w:r>
        <w:t>Bevölkerung immer noch keinen ausreichenden Immunschutz gegen das Virus hat, kann es rasch</w:t>
      </w:r>
      <w:r w:rsidR="007B46DF">
        <w:t xml:space="preserve"> </w:t>
      </w:r>
      <w:r>
        <w:t>zu hohen Fallzahlen mit schweren Erkrankungen, Todesfällen und einer Belastung des</w:t>
      </w:r>
      <w:r w:rsidR="007B46DF">
        <w:t xml:space="preserve"> </w:t>
      </w:r>
      <w:r>
        <w:t>Gesundheitswesens kommen. Darüber hinaus können neue Virusvarianten entstehen. Dies</w:t>
      </w:r>
      <w:r w:rsidR="007B46DF">
        <w:t xml:space="preserve"> </w:t>
      </w:r>
      <w:r>
        <w:t>erfordert, dass Infektionsschutzmaßnahmen auch als Basisschutz (im jeweils notwendigen</w:t>
      </w:r>
      <w:r w:rsidR="007B46DF">
        <w:t xml:space="preserve"> </w:t>
      </w:r>
      <w:r>
        <w:t>Umfang) weitergeführt werden, um insbesondere die Fallzahlen so niedrig wie möglich zu halten</w:t>
      </w:r>
      <w:r w:rsidR="007B46DF">
        <w:t xml:space="preserve"> </w:t>
      </w:r>
      <w:r>
        <w:t>und vulnerable Gruppen zu schützen. Neue Virusvarianten treten zwar auch bei der Influenza auf,</w:t>
      </w:r>
      <w:r w:rsidR="007B46DF">
        <w:t xml:space="preserve"> </w:t>
      </w:r>
      <w:r>
        <w:t>jedoch treffen sie das menschliche Immunsystem aufgrund der bereits lange bestehenden</w:t>
      </w:r>
      <w:r w:rsidR="007B46DF">
        <w:t xml:space="preserve"> </w:t>
      </w:r>
      <w:r>
        <w:t>Zirkulation von Influenza-Viren meist nicht völlig unvorbereitet. Auch sind seit langem wirksame</w:t>
      </w:r>
      <w:r w:rsidR="007B46DF">
        <w:t xml:space="preserve"> </w:t>
      </w:r>
      <w:r>
        <w:t>Impfstoffe etabliert, die regelmäßig an die wichtigsten zirkulierenden Influenza-Virustypen</w:t>
      </w:r>
      <w:r w:rsidR="007B46DF">
        <w:t xml:space="preserve"> </w:t>
      </w:r>
      <w:r>
        <w:t>angepasst werden. Die Ständige Impfkommission (STIKO) empfiehlt seit langem die Influenza-Impfung für vulnerable Gruppen. Während der COVID-19-Pandemie sind diese Empfehlungen</w:t>
      </w:r>
      <w:r w:rsidR="007B46DF">
        <w:t xml:space="preserve"> </w:t>
      </w:r>
      <w:r>
        <w:t>weiterhin gültig (EpidBull 34/2021).</w:t>
      </w:r>
    </w:p>
    <w:p w14:paraId="593636B6" w14:textId="77777777" w:rsidR="009B7130" w:rsidRDefault="009B7130" w:rsidP="009B7130">
      <w:pPr>
        <w:pStyle w:val="LTAntwortRessortText"/>
      </w:pPr>
      <w:r>
        <w:t>Der Kampf gegen multiresistente Krankenhauskeime, die sich über Kontaktinfektionen verbreiten,</w:t>
      </w:r>
      <w:r w:rsidR="007B46DF">
        <w:t xml:space="preserve"> </w:t>
      </w:r>
      <w:r>
        <w:t>erfordert speziell im klinischen Bereich ein konsequentes und systematisches</w:t>
      </w:r>
      <w:r w:rsidR="007B46DF">
        <w:t xml:space="preserve"> </w:t>
      </w:r>
      <w:r>
        <w:t>Hygienemanagement. Am häufigsten werden die Erreger durch direkten Kontakt von Mensch zu</w:t>
      </w:r>
      <w:r w:rsidR="007B46DF">
        <w:t xml:space="preserve"> </w:t>
      </w:r>
      <w:r>
        <w:t>Mensch (Hände schütteln) und durch die Berührung von verunreinigten Gegenständen (Türklinken,</w:t>
      </w:r>
      <w:r w:rsidR="007B46DF">
        <w:t xml:space="preserve"> </w:t>
      </w:r>
      <w:r>
        <w:t>Handläufe, Griffe) übertragen. Einen in der Europäischen Union zugelassen Impfstoff gegen</w:t>
      </w:r>
      <w:r w:rsidR="007B46DF">
        <w:t xml:space="preserve"> </w:t>
      </w:r>
      <w:r>
        <w:t>multiresistente Krankenhauskeime selbst</w:t>
      </w:r>
      <w:r w:rsidR="00215833">
        <w:t xml:space="preserve"> gibt es hingegen bislang nicht</w:t>
      </w:r>
      <w:r w:rsidR="00215833">
        <w:rPr>
          <w:rStyle w:val="Funotenzeichen"/>
        </w:rPr>
        <w:footnoteReference w:id="6"/>
      </w:r>
      <w:r>
        <w:t>.</w:t>
      </w:r>
    </w:p>
    <w:p w14:paraId="0FDDC6CD" w14:textId="77777777" w:rsidR="009B7130" w:rsidRDefault="009B7130">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9B7130" w14:paraId="7405514F" w14:textId="77777777" w:rsidTr="007B0B33">
        <w:tc>
          <w:tcPr>
            <w:tcW w:w="2050" w:type="dxa"/>
          </w:tcPr>
          <w:p w14:paraId="4A20626A" w14:textId="77777777" w:rsidR="009B7130" w:rsidRDefault="009B7130" w:rsidP="009B7130">
            <w:pPr>
              <w:pStyle w:val="LTAnfrageInitiator"/>
            </w:pPr>
            <w:r>
              <w:lastRenderedPageBreak/>
              <w:t>Abgeordnete</w:t>
            </w:r>
            <w:r>
              <w:rPr>
                <w:b/>
              </w:rPr>
              <w:br/>
              <w:t>Dr. Anne</w:t>
            </w:r>
            <w:r>
              <w:rPr>
                <w:b/>
              </w:rPr>
              <w:br/>
              <w:t>Cyron</w:t>
            </w:r>
            <w:r>
              <w:rPr>
                <w:b/>
              </w:rPr>
              <w:br/>
            </w:r>
            <w:r>
              <w:t>(AfD)</w:t>
            </w:r>
            <w:bookmarkStart w:id="121" w:name="Frage_Nr_60"/>
            <w:bookmarkEnd w:id="121"/>
          </w:p>
        </w:tc>
        <w:tc>
          <w:tcPr>
            <w:tcW w:w="7200" w:type="dxa"/>
          </w:tcPr>
          <w:p w14:paraId="576C6256" w14:textId="77777777" w:rsidR="009B7130" w:rsidRDefault="004955C6" w:rsidP="009B7130">
            <w:pPr>
              <w:pStyle w:val="LTAnfrageText"/>
            </w:pPr>
            <w:r w:rsidRPr="004955C6">
              <w:rPr>
                <w:szCs w:val="24"/>
              </w:rPr>
              <w:t>Nachdem der Ministerpräsident Dr. Markus Söder in einem Tweet vom 20. Februar 2022 schrieb, dass es eine gesetzliche Grundlage brauche, die das Tragen von Masken und Testen vor allem in Schulen weiterhin möglich mache, frage ich die Staatsregierung, wie soll nach Auffassung der Staatsregierung eine gesetzliche Grundlage aussehen, die das Tragen von Masken und Testen an Schulen nach dem Auslaufen der epidemischen Lage von nationaler Tragweite weiterhin möglich macht, muss das Tragen von Masken und das Testen in Schulen beendet werden, wenn die epidemische Lage von nationaler Tragweite am 19. März 2022 ausläuft und plant sie nach Auslaufen der epidemischen Lage von nationaler Tragweite eine eigene Verordnung in Bayern zu schaffen, die das Tragen von Masken und das Testen an Schulen weiterhin verpflichtend erforderlich macht (bitte Basis der gesetzlichen Grundlage erläutern, auf der dies möglich ist)?</w:t>
            </w:r>
          </w:p>
        </w:tc>
      </w:tr>
    </w:tbl>
    <w:p w14:paraId="0B0D3C43" w14:textId="77777777" w:rsidR="009B7130" w:rsidRDefault="009B7130" w:rsidP="009B7130">
      <w:pPr>
        <w:pStyle w:val="LTUeberschrAntwortRessort"/>
      </w:pPr>
      <w:r>
        <w:t>Antwort des Staatsministeriums für Gesundheit und Pflege</w:t>
      </w:r>
    </w:p>
    <w:p w14:paraId="15CD93DC" w14:textId="285213E1" w:rsidR="009B7130" w:rsidRDefault="009B7130" w:rsidP="009B7130">
      <w:pPr>
        <w:pStyle w:val="LTAntwortRessortText"/>
      </w:pPr>
      <w:r>
        <w:t>Die bundesrechtlichen Bestimmungen sehen aktuell vor, dass die Befugnisse der Länder, zur</w:t>
      </w:r>
      <w:r w:rsidR="00134951">
        <w:t xml:space="preserve"> </w:t>
      </w:r>
      <w:r>
        <w:t>Verhinderung der Verbreitung von SARS-CoV-2 allgemeine Beschränkungsmaßnahmen</w:t>
      </w:r>
      <w:r w:rsidR="00134951">
        <w:t xml:space="preserve"> </w:t>
      </w:r>
      <w:r>
        <w:t>anzuordnen, mit Ablauf des 19.</w:t>
      </w:r>
      <w:r w:rsidR="00FF1768">
        <w:t xml:space="preserve"> März </w:t>
      </w:r>
      <w:r>
        <w:t>2022 enden. Ob und in welchem Umfang der Bund die</w:t>
      </w:r>
      <w:r w:rsidR="00134951">
        <w:t xml:space="preserve"> </w:t>
      </w:r>
      <w:r>
        <w:t>Rechtsgrundlage schaffen wird, um niedrigschwellige Schutzmaßnahmen wie etwa die Anordnung</w:t>
      </w:r>
      <w:r w:rsidR="00134951">
        <w:t xml:space="preserve"> </w:t>
      </w:r>
      <w:r>
        <w:t>der Maskenpflicht in bestimmten Bereichen weiter zu ermöglichen oder ob der Bund selbst solche</w:t>
      </w:r>
      <w:r w:rsidR="00134951">
        <w:t xml:space="preserve"> </w:t>
      </w:r>
      <w:r>
        <w:t>Basismaßnahmen anordnen wird, kann seitens der Staatsregierung nicht beantwortet werden. Diese</w:t>
      </w:r>
      <w:r w:rsidR="00134951">
        <w:t xml:space="preserve"> </w:t>
      </w:r>
      <w:r>
        <w:t>Fragen sind an den Bund zu adressieren.</w:t>
      </w:r>
    </w:p>
    <w:p w14:paraId="0AAE1746" w14:textId="77777777" w:rsidR="009B7130" w:rsidRDefault="009B7130" w:rsidP="009B7130">
      <w:pPr>
        <w:pStyle w:val="LTAntwortRessortText"/>
      </w:pPr>
      <w:r>
        <w:t>Solange und soweit diese Fragen nicht geklärt sind, kann die Staatsregierung auch keine Aussage</w:t>
      </w:r>
      <w:r w:rsidR="00134951">
        <w:t xml:space="preserve"> </w:t>
      </w:r>
      <w:r>
        <w:t>darüber treffen, ob die angesprochenen Basisschutzmaßnahmen im Rahmen einer Verordnung</w:t>
      </w:r>
      <w:r w:rsidR="00134951">
        <w:t xml:space="preserve"> </w:t>
      </w:r>
      <w:r>
        <w:t>angeordnet werden (können).</w:t>
      </w:r>
    </w:p>
    <w:p w14:paraId="53BF7C52" w14:textId="77777777" w:rsidR="009B7130" w:rsidRDefault="009B7130" w:rsidP="009B7130">
      <w:pPr>
        <w:pStyle w:val="LTAntwortRessortText"/>
      </w:pPr>
      <w:r>
        <w:t>Grundsätzlich hält es die Staatsregierung für sinnvoll, dass den Bundesländern die erforderlichen</w:t>
      </w:r>
      <w:r w:rsidR="00134951">
        <w:t xml:space="preserve"> </w:t>
      </w:r>
      <w:r>
        <w:t>Befugnisse im erforderlichen Umfang zur Verfügung stehen bzw. zur Verfügung gestellt werden. Nur</w:t>
      </w:r>
      <w:r w:rsidR="00134951">
        <w:t xml:space="preserve"> </w:t>
      </w:r>
      <w:r>
        <w:t>so kann angemessen auf die Infektionslage reagiert werden.</w:t>
      </w:r>
    </w:p>
    <w:p w14:paraId="74112FDA" w14:textId="77777777" w:rsidR="009B7130" w:rsidRDefault="009B7130">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9"/>
        <w:gridCol w:w="5777"/>
      </w:tblGrid>
      <w:tr w:rsidR="009B7130" w14:paraId="5F53C239" w14:textId="77777777" w:rsidTr="007B0B33">
        <w:tc>
          <w:tcPr>
            <w:tcW w:w="2050" w:type="dxa"/>
          </w:tcPr>
          <w:p w14:paraId="5265A4C5" w14:textId="77777777" w:rsidR="009B7130" w:rsidRDefault="009B7130" w:rsidP="009B7130">
            <w:pPr>
              <w:pStyle w:val="LTAnfrageInitiator"/>
            </w:pPr>
            <w:r>
              <w:lastRenderedPageBreak/>
              <w:t>Abgeordneter</w:t>
            </w:r>
            <w:r>
              <w:rPr>
                <w:b/>
              </w:rPr>
              <w:br/>
              <w:t>Christian</w:t>
            </w:r>
            <w:r>
              <w:rPr>
                <w:b/>
              </w:rPr>
              <w:br/>
              <w:t>Klingen</w:t>
            </w:r>
            <w:r>
              <w:rPr>
                <w:b/>
              </w:rPr>
              <w:br/>
            </w:r>
            <w:r>
              <w:t>(AfD)</w:t>
            </w:r>
            <w:bookmarkStart w:id="123" w:name="Frage_Nr_61"/>
            <w:bookmarkEnd w:id="123"/>
          </w:p>
        </w:tc>
        <w:tc>
          <w:tcPr>
            <w:tcW w:w="7200" w:type="dxa"/>
          </w:tcPr>
          <w:p w14:paraId="206F0D08" w14:textId="77777777" w:rsidR="009B7130" w:rsidRDefault="004955C6" w:rsidP="009B7130">
            <w:pPr>
              <w:pStyle w:val="LTAnfrageText"/>
            </w:pPr>
            <w:r w:rsidRPr="004955C6">
              <w:rPr>
                <w:szCs w:val="24"/>
              </w:rPr>
              <w:t>Vor dem Hintergrund, dass in den Medien über eine neue Variante von HIV-1 in den Niederlanden berichtet wird, frage ich die Staatsregierung, ob diese neue HIV Variante (VB-Variante) nach ihrer Kenntnis auch in Bayern vorkommt, ob Personen, die durch Therapie oder Prävention (PreP) vor einer Ansteckung geschützt sind, auch vor der neuen Variante geschützt sind und ob der Staatsregierung aktuelle Daten zum Forschungsstand zur Bekämpfung von HIV vorliegen?</w:t>
            </w:r>
          </w:p>
        </w:tc>
      </w:tr>
    </w:tbl>
    <w:p w14:paraId="2B4EE823" w14:textId="77777777" w:rsidR="009B7130" w:rsidRDefault="009B7130" w:rsidP="009B7130">
      <w:pPr>
        <w:pStyle w:val="LTUeberschrAntwortRessort"/>
      </w:pPr>
      <w:r>
        <w:t>Antwort des Staatsministeriums für Gesundheit und Pflege</w:t>
      </w:r>
    </w:p>
    <w:p w14:paraId="0D2C61FB" w14:textId="77777777" w:rsidR="009B7130" w:rsidRDefault="009B7130" w:rsidP="009B7130">
      <w:pPr>
        <w:pStyle w:val="LTAntwortRessortText"/>
      </w:pPr>
      <w:r>
        <w:t>Bei der sogenannte VB-Variante handelt es sich um eine in den Niederlanden zirkulierende</w:t>
      </w:r>
      <w:r w:rsidR="00A90835">
        <w:t xml:space="preserve"> </w:t>
      </w:r>
      <w:r>
        <w:t>hochvirulente Variante des Subtyps B von HIV-1, die bereits 1990 entstanden ist und im Rahmen</w:t>
      </w:r>
      <w:r w:rsidR="00A90835">
        <w:t xml:space="preserve"> </w:t>
      </w:r>
      <w:r>
        <w:t>einer umfassenden Untersuchung entdeckt wurde. Die hohe Virulenz wird davon abgeleitet, dass</w:t>
      </w:r>
      <w:r w:rsidR="00A90835">
        <w:t xml:space="preserve"> </w:t>
      </w:r>
      <w:r>
        <w:t>Infektionen mit der VB-Variante bei Personen einen etwa 3,5- bis 5,5-fachen Anstieg der Viruslast</w:t>
      </w:r>
      <w:r w:rsidR="00A90835">
        <w:t xml:space="preserve"> </w:t>
      </w:r>
      <w:r>
        <w:t>im Vergleich zu Personen mit anderen Subtyp-B-Stämmen verursachen sowie ein doppelt so</w:t>
      </w:r>
      <w:r w:rsidR="00A90835">
        <w:t xml:space="preserve"> </w:t>
      </w:r>
      <w:r>
        <w:t>schneller Rückgang bestimmter immunkompetenter Zellen</w:t>
      </w:r>
      <w:r w:rsidR="00445B62">
        <w:t xml:space="preserve"> (CD4-Zellen) im Blut auftritt </w:t>
      </w:r>
      <w:r w:rsidR="00445B62">
        <w:rPr>
          <w:rStyle w:val="Funotenzeichen"/>
        </w:rPr>
        <w:footnoteReference w:id="7"/>
      </w:r>
      <w:r>
        <w:t>. Entscheidend ist aber,</w:t>
      </w:r>
      <w:r w:rsidR="00A90835">
        <w:t xml:space="preserve"> </w:t>
      </w:r>
      <w:r>
        <w:t>dass diese höhere Virulenz nur dann zur Ausprägung kommen kann, wenn die HIV-Infektion nicht</w:t>
      </w:r>
      <w:r w:rsidR="00A90835">
        <w:t xml:space="preserve"> </w:t>
      </w:r>
      <w:r>
        <w:t>frühzeitig erkannt und konsequent behandelt wird. Auch nach Einschätzung der Autoren der</w:t>
      </w:r>
      <w:r w:rsidR="00A90835">
        <w:t xml:space="preserve"> </w:t>
      </w:r>
      <w:r>
        <w:t>vorgenannten Studie ist die etablierte antiretrovirale HIV-Therapie bei dieser VB-Variante wirksam.</w:t>
      </w:r>
    </w:p>
    <w:p w14:paraId="7AB796CC" w14:textId="77777777" w:rsidR="009B7130" w:rsidRDefault="009B7130" w:rsidP="009B7130">
      <w:pPr>
        <w:pStyle w:val="LTAntwortRessortText"/>
      </w:pPr>
      <w:r>
        <w:t>Die Entdeckung einer virulenteren Virusvariante unterstreicht, wie wichtig der Zugang zu häufigen</w:t>
      </w:r>
      <w:r w:rsidR="00A90835">
        <w:t xml:space="preserve"> </w:t>
      </w:r>
      <w:r>
        <w:t>Tests für Risikogruppen und die Einhaltung der Empfehlungen für einen sofortigen</w:t>
      </w:r>
      <w:r w:rsidR="00A90835">
        <w:t xml:space="preserve"> </w:t>
      </w:r>
      <w:r>
        <w:t>Behandlungsbeginn für alle HIV-Infizierten ist. Nach Auskunft des Nationalen Referenzzentrum</w:t>
      </w:r>
      <w:r w:rsidR="00A90835">
        <w:t xml:space="preserve"> </w:t>
      </w:r>
      <w:r>
        <w:t>(NRZ) für Retroviren am Max von Pettenkofer I</w:t>
      </w:r>
      <w:r w:rsidR="00445B62">
        <w:t>nstitut der Ludwig-Maximilians-</w:t>
      </w:r>
      <w:r>
        <w:t>Universität</w:t>
      </w:r>
      <w:r w:rsidR="00A90835">
        <w:t xml:space="preserve"> </w:t>
      </w:r>
      <w:r>
        <w:t>München liegen keine Informationen zum Vorkommen der VB-Variante in Bayern vor. Derartige</w:t>
      </w:r>
      <w:r w:rsidR="00A90835">
        <w:t xml:space="preserve"> </w:t>
      </w:r>
      <w:r>
        <w:t>Daten wären nur mit einem sehr großen Aufwand zu beschaffen. Aufgrund der guten</w:t>
      </w:r>
      <w:r w:rsidR="00A90835">
        <w:t xml:space="preserve"> </w:t>
      </w:r>
      <w:r>
        <w:t>Behandelbarkeit auch dieser Variante wird er vom NRZ als unverhältnismäßig eingeschätzt.</w:t>
      </w:r>
    </w:p>
    <w:p w14:paraId="70210E49" w14:textId="77777777" w:rsidR="009B7130" w:rsidRDefault="009B7130" w:rsidP="009B7130">
      <w:pPr>
        <w:pStyle w:val="LTAntwortRessortText"/>
      </w:pPr>
      <w:r>
        <w:t>Kernziel der bayerischen AIDS-Politik bleibt die Erhöhung der Testbereitschaft mit einer</w:t>
      </w:r>
      <w:r w:rsidR="00A90835">
        <w:t xml:space="preserve"> </w:t>
      </w:r>
      <w:r>
        <w:t>nachhaltigen Steigerung der HIV-Frühtestung nach Risikokontakten und in Konsequenz die</w:t>
      </w:r>
      <w:r w:rsidR="00A90835">
        <w:t xml:space="preserve"> </w:t>
      </w:r>
      <w:r>
        <w:t>Früherkennung und frühzeitige antiretrovirale Behandlung, um mögliche Infektionsketten zu</w:t>
      </w:r>
      <w:r w:rsidR="00A90835">
        <w:t xml:space="preserve"> </w:t>
      </w:r>
      <w:r>
        <w:t>unterbrechen und manifeste Erkrankungen zu verhindern.</w:t>
      </w:r>
    </w:p>
    <w:p w14:paraId="3F2E023A" w14:textId="77777777" w:rsidR="009B7130" w:rsidRDefault="009B7130">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9B7130" w14:paraId="663282F0" w14:textId="77777777" w:rsidTr="007B0B33">
        <w:tc>
          <w:tcPr>
            <w:tcW w:w="2050" w:type="dxa"/>
          </w:tcPr>
          <w:p w14:paraId="631840B6" w14:textId="77777777" w:rsidR="009B7130" w:rsidRDefault="009B7130" w:rsidP="009B7130">
            <w:pPr>
              <w:pStyle w:val="LTAnfrageInitiator"/>
            </w:pPr>
            <w:r>
              <w:lastRenderedPageBreak/>
              <w:t>Abgeordneter</w:t>
            </w:r>
            <w:r>
              <w:rPr>
                <w:b/>
              </w:rPr>
              <w:br/>
              <w:t>Christoph</w:t>
            </w:r>
            <w:r>
              <w:rPr>
                <w:b/>
              </w:rPr>
              <w:br/>
              <w:t>Maier</w:t>
            </w:r>
            <w:r>
              <w:rPr>
                <w:b/>
              </w:rPr>
              <w:br/>
            </w:r>
            <w:r>
              <w:t>(AfD)</w:t>
            </w:r>
            <w:bookmarkStart w:id="125" w:name="Frage_Nr_62"/>
            <w:bookmarkEnd w:id="125"/>
          </w:p>
        </w:tc>
        <w:tc>
          <w:tcPr>
            <w:tcW w:w="7200" w:type="dxa"/>
          </w:tcPr>
          <w:p w14:paraId="3477778F" w14:textId="77777777" w:rsidR="009B7130" w:rsidRDefault="004955C6" w:rsidP="009B7130">
            <w:pPr>
              <w:pStyle w:val="LTAnfrageText"/>
            </w:pPr>
            <w:r w:rsidRPr="004955C6">
              <w:rPr>
                <w:szCs w:val="24"/>
              </w:rPr>
              <w:t>Ich frage die Staatsregierung, wie sich die Anzahl der Intensivbettenkapazitäten in den Kreiskrankenhäusern Wertingen und Dillingen a. d. Donau jeweils in den Jahren 2012 bis 2022 entwickelt hat, welches Defizit die beiden Krankenhäuser jeweils in den Jahren 2012 bis 2022 zu verbuchen hatten und welche Maßnahmen seit Beginn der Coronasituation ergriffen wurden, um die Intensivbettenkapazitäten in den genannten Kliniken zu erweitern?</w:t>
            </w:r>
          </w:p>
        </w:tc>
      </w:tr>
    </w:tbl>
    <w:p w14:paraId="3AD610CC" w14:textId="77777777" w:rsidR="009B7130" w:rsidRDefault="009B7130" w:rsidP="009B7130">
      <w:pPr>
        <w:pStyle w:val="LTUeberschrAntwortRessort"/>
      </w:pPr>
      <w:r>
        <w:t>Antwort des Staatsministeriums für Gesundheit und Pflege</w:t>
      </w:r>
    </w:p>
    <w:p w14:paraId="414F3342" w14:textId="6FD1682A" w:rsidR="009B7130" w:rsidRDefault="009B7130" w:rsidP="009B7130">
      <w:pPr>
        <w:pStyle w:val="LTAntwortRessortText"/>
      </w:pPr>
      <w:r>
        <w:t>Die Anzahl der Intensivbetten als solche ist nicht Gegenstand der Krankenhausplanung. Es obliegt</w:t>
      </w:r>
      <w:r w:rsidR="00E34580">
        <w:t xml:space="preserve"> </w:t>
      </w:r>
      <w:r>
        <w:t>vielmehr dem Krankenhausträger selbst, im Rahmen der insgesamt zugewiesenen Betten</w:t>
      </w:r>
      <w:r w:rsidR="00E34580">
        <w:t xml:space="preserve"> </w:t>
      </w:r>
      <w:r>
        <w:t>ausreichende intensivmedizinische Kapazitäten bereitzuhalten. Nach den Daten des Landesamts für Statistik (LfStat) wurden für die Jahre 2012 bis 2019 am Standort Dillingen acht und</w:t>
      </w:r>
      <w:r w:rsidR="00E34580">
        <w:t xml:space="preserve"> </w:t>
      </w:r>
      <w:r>
        <w:t>am Standort Wertingen sechs Intensivbetten gemeldet. Neuere Daten des LfStat liegen noch nicht</w:t>
      </w:r>
      <w:r w:rsidR="00E34580">
        <w:t xml:space="preserve"> </w:t>
      </w:r>
      <w:r>
        <w:t>vor. Seit Beginn der Erfassung der Bettenkapazitäten über das Meldesystem IVENA im April 2020</w:t>
      </w:r>
      <w:r w:rsidR="00E34580">
        <w:t xml:space="preserve"> </w:t>
      </w:r>
      <w:r>
        <w:t>kann in beiden Kliniken ein Zuwachs an betreibbaren Intensivbetten mit der Möglichkeit zur invasiven</w:t>
      </w:r>
      <w:r w:rsidR="00E34580">
        <w:t xml:space="preserve"> </w:t>
      </w:r>
      <w:r>
        <w:t>Beatmung (ICU-Betten) verzeichnet werden. In der Kreisklinik Dillingen konnte mit Stand zum</w:t>
      </w:r>
      <w:r w:rsidR="00E34580">
        <w:t xml:space="preserve"> </w:t>
      </w:r>
      <w:r>
        <w:t xml:space="preserve">21.02.2022 die Anzahl der ICU-Betten seit dem 01.04.2020 um 60 </w:t>
      </w:r>
      <w:r w:rsidR="006F49A4">
        <w:t>Prozent</w:t>
      </w:r>
      <w:r>
        <w:t xml:space="preserve"> gesteigert werden, in der</w:t>
      </w:r>
      <w:r w:rsidR="00E34580">
        <w:t xml:space="preserve"> </w:t>
      </w:r>
      <w:r>
        <w:t xml:space="preserve">Kreisklinik Dillingen seit dem 01.04.2020 um 50 </w:t>
      </w:r>
      <w:r w:rsidR="006F49A4">
        <w:t>Prozent</w:t>
      </w:r>
      <w:r>
        <w:t>. Über einen Zeitraum von etwa sechs Monaten</w:t>
      </w:r>
      <w:r w:rsidR="00E34580">
        <w:t xml:space="preserve"> </w:t>
      </w:r>
      <w:r>
        <w:t>steigerte die Kreisklinik Dillingen die Intensivbettenanzahl sogar um 200</w:t>
      </w:r>
      <w:r w:rsidR="003E6F27">
        <w:t> </w:t>
      </w:r>
      <w:r w:rsidR="006F49A4">
        <w:t>Prozent</w:t>
      </w:r>
      <w:r w:rsidR="00445B62">
        <w:t xml:space="preserve"> (Quelle: </w:t>
      </w:r>
      <w:r>
        <w:t>Meldungen der</w:t>
      </w:r>
      <w:r w:rsidR="00E34580">
        <w:t xml:space="preserve"> </w:t>
      </w:r>
      <w:r>
        <w:t>Krankenhäuser in IVENA).</w:t>
      </w:r>
    </w:p>
    <w:p w14:paraId="166E39F4" w14:textId="77777777" w:rsidR="009B7130" w:rsidRDefault="009B7130" w:rsidP="009B7130">
      <w:pPr>
        <w:pStyle w:val="LTAntwortRessortText"/>
      </w:pPr>
      <w:r>
        <w:t>Klarzustellen ist in diesem Zusammenhang, dass während der vergangenen pandemischen Wellen</w:t>
      </w:r>
      <w:r w:rsidR="00E34580">
        <w:t xml:space="preserve"> </w:t>
      </w:r>
      <w:r>
        <w:t>auftretende Engpässe nicht etwa einem Mangel an räumlich-technischen Kapazitäten, sondern</w:t>
      </w:r>
      <w:r w:rsidR="00E34580">
        <w:t xml:space="preserve"> </w:t>
      </w:r>
      <w:r>
        <w:t>vielmehr der eingeschränkten Verfügbarkeit des notwendigen Fachpersonals geschuldet war.</w:t>
      </w:r>
    </w:p>
    <w:p w14:paraId="1DB20A5A" w14:textId="77777777" w:rsidR="009B7130" w:rsidRDefault="009B7130" w:rsidP="009B7130">
      <w:pPr>
        <w:pStyle w:val="LTAntwortRessortText"/>
      </w:pPr>
      <w:r>
        <w:t xml:space="preserve">Informationen über die Betriebsergebnisse der Krankenhäuser liegen dem </w:t>
      </w:r>
      <w:r w:rsidR="00445B62">
        <w:t>Staatsministerium für Gesundheit und Pflege (</w:t>
      </w:r>
      <w:r>
        <w:t>StMGP</w:t>
      </w:r>
      <w:r w:rsidR="00445B62">
        <w:t>)</w:t>
      </w:r>
      <w:r>
        <w:t xml:space="preserve"> nicht vor.</w:t>
      </w:r>
    </w:p>
    <w:p w14:paraId="5243E7D3" w14:textId="77777777" w:rsidR="009B7130" w:rsidRDefault="009B7130" w:rsidP="00F52506">
      <w:pPr>
        <w:pStyle w:val="LTAntwortRessortText"/>
      </w:pPr>
      <w:r>
        <w:t>Mit der Allgemeinverfügung zur Bewältigung erheblicher Patientenzahlen in Krankenhäusern wurde</w:t>
      </w:r>
      <w:r w:rsidR="00E34580">
        <w:t xml:space="preserve"> </w:t>
      </w:r>
      <w:r>
        <w:t>eine leistungsfähige Organisationsstruktur mit weitreichenden Anordnungsbefugnissen zur</w:t>
      </w:r>
      <w:r w:rsidR="00E34580">
        <w:t xml:space="preserve"> </w:t>
      </w:r>
      <w:r>
        <w:t>Schaffung weiterer und zur bestmöglichen Nutzung der vorhandenen Krankenhauskapazitäten</w:t>
      </w:r>
      <w:r w:rsidR="00E34580">
        <w:t xml:space="preserve"> </w:t>
      </w:r>
      <w:r>
        <w:t>eingesetzt. Von rein organisatorischen Maßnahmen bis hin zum vollständigen Verbot aufschiebbarer</w:t>
      </w:r>
      <w:r w:rsidR="00E34580">
        <w:t xml:space="preserve"> </w:t>
      </w:r>
      <w:r>
        <w:t>Behandlungen wurden den Ärztlichen Leitern Krankenhauskoordinierung auf örtlicher und den</w:t>
      </w:r>
      <w:r w:rsidR="00E34580">
        <w:t xml:space="preserve"> </w:t>
      </w:r>
      <w:r>
        <w:t>Regierungen auf überörtlicher Ebene alle notwendigen Anordnungsbefugnisse erteilt.</w:t>
      </w:r>
      <w:r w:rsidR="00E34580">
        <w:t xml:space="preserve"> </w:t>
      </w:r>
      <w:r>
        <w:t>Bis Ende Januar 2022 wurden in diesen Organisationsstrukturen eine Vielzahl entsprechender</w:t>
      </w:r>
      <w:r w:rsidR="00E34580">
        <w:t xml:space="preserve"> </w:t>
      </w:r>
      <w:r>
        <w:t>Anordnungen erlassen und insbesondere a</w:t>
      </w:r>
      <w:r w:rsidR="00445B62">
        <w:t>uch aufschiebbare Behandlungen –</w:t>
      </w:r>
      <w:r>
        <w:t xml:space="preserve"> je nach regionaler</w:t>
      </w:r>
      <w:r w:rsidR="00E34580">
        <w:t xml:space="preserve"> </w:t>
      </w:r>
      <w:r>
        <w:t>Gegebenheit teil</w:t>
      </w:r>
      <w:r w:rsidR="00445B62">
        <w:t>weise oder auch vollumfänglich –</w:t>
      </w:r>
      <w:r>
        <w:t xml:space="preserve"> zurückgestellt. Insgesamt konnte durch die bereits</w:t>
      </w:r>
      <w:r w:rsidR="00E34580">
        <w:t xml:space="preserve"> </w:t>
      </w:r>
      <w:r>
        <w:t>in früheren Infektionswellen bewährten Organisationsstrukturen und das beherzte Mitwirken der</w:t>
      </w:r>
      <w:r w:rsidR="00E34580">
        <w:t xml:space="preserve"> </w:t>
      </w:r>
      <w:r>
        <w:t>Kliniken die stationäre Versorgung in Bayern zu jeder Zeit gewährleistet werden. Dem</w:t>
      </w:r>
      <w:r w:rsidR="00E34580">
        <w:t xml:space="preserve"> </w:t>
      </w:r>
      <w:r>
        <w:t>korrespondierend stehen sowohl seitens des Freistaats Bayern als auch bundesseitig umfassende</w:t>
      </w:r>
      <w:r w:rsidR="00E34580">
        <w:t xml:space="preserve"> </w:t>
      </w:r>
      <w:r>
        <w:t>Anreiz- und Entschädigungsleistungen für Krankenhäuser zur Verfügung. Die an die jeweiligen</w:t>
      </w:r>
      <w:r w:rsidR="00E34580">
        <w:t xml:space="preserve"> </w:t>
      </w:r>
      <w:r>
        <w:t>Kliniken konkret ausgereichten Zahlungen stellen Betriebs- bzw. Geschäftsgeheimnisse dar, die als</w:t>
      </w:r>
      <w:r w:rsidR="00E34580">
        <w:t xml:space="preserve"> </w:t>
      </w:r>
      <w:r>
        <w:t>solche der Verschwiegenheitspflicht unterliegen und daher vom StMGP nicht veröffentlicht werden</w:t>
      </w:r>
      <w:r w:rsidR="00E34580">
        <w:t xml:space="preserve"> </w:t>
      </w:r>
      <w:r>
        <w:t>dürfen.</w:t>
      </w:r>
    </w:p>
    <w:p w14:paraId="12216E49" w14:textId="4F9613C2" w:rsidR="009B7130" w:rsidRDefault="009B7130">
      <w:bookmarkStart w:id="126" w:name="Frage_Nr_62_Ende"/>
      <w:bookmarkEnd w:id="126"/>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B7130" w14:paraId="0A55BA43" w14:textId="77777777" w:rsidTr="007B0B33">
        <w:tc>
          <w:tcPr>
            <w:tcW w:w="2050" w:type="dxa"/>
          </w:tcPr>
          <w:p w14:paraId="279097D3" w14:textId="77777777" w:rsidR="009B7130" w:rsidRDefault="009B7130" w:rsidP="009B7130">
            <w:pPr>
              <w:pStyle w:val="LTAnfrageInitiator"/>
            </w:pPr>
            <w:r>
              <w:t>Abgeordnete</w:t>
            </w:r>
            <w:r>
              <w:rPr>
                <w:b/>
              </w:rPr>
              <w:br/>
              <w:t>Stephanie</w:t>
            </w:r>
            <w:r>
              <w:rPr>
                <w:b/>
              </w:rPr>
              <w:br/>
              <w:t>Schuhknecht</w:t>
            </w:r>
            <w:r>
              <w:rPr>
                <w:b/>
              </w:rPr>
              <w:br/>
            </w:r>
            <w:r>
              <w:t>(BÜNDNIS 90/DIE GRÜNEN)</w:t>
            </w:r>
            <w:bookmarkStart w:id="127" w:name="Frage_Nr_63"/>
            <w:bookmarkEnd w:id="127"/>
          </w:p>
        </w:tc>
        <w:tc>
          <w:tcPr>
            <w:tcW w:w="7200" w:type="dxa"/>
          </w:tcPr>
          <w:p w14:paraId="711D410E" w14:textId="77777777" w:rsidR="009B7130" w:rsidRDefault="004955C6" w:rsidP="009B7130">
            <w:pPr>
              <w:pStyle w:val="LTAnfrageText"/>
            </w:pPr>
            <w:r w:rsidRPr="004955C6">
              <w:rPr>
                <w:szCs w:val="24"/>
              </w:rPr>
              <w:t>Ich frage die Staatsregierung, ob sie inzwischen Kenntnis darüber hat, welche der in den Schulen eingesetzten Antigen-Schnelltests entsprechend der Einschätzung des Paul-Ehrlich-Instituts (Siemens, Roche, Flowflex, Abbott, Acon Biotech, Premier Medical Corporation, CTK Biotech) geeignet sind, die Omikron-Variante zuverlässig zu erkennen, falls die bisherigen Tests nicht für Omikron geeignet sind, werden neue, qualitativ bessere Tests für die Schulen angeschafft und von welchen Firmen werden aktuell Schnelltests an Schulen verwendet?</w:t>
            </w:r>
          </w:p>
        </w:tc>
      </w:tr>
    </w:tbl>
    <w:p w14:paraId="15D75FB4" w14:textId="77777777" w:rsidR="009B7130" w:rsidRDefault="009B7130" w:rsidP="009B7130">
      <w:pPr>
        <w:pStyle w:val="LTUeberschrAntwortRessort"/>
      </w:pPr>
      <w:r>
        <w:t>Antwort des Staatsministeriums für Gesundheit und Pflege</w:t>
      </w:r>
    </w:p>
    <w:p w14:paraId="027F3B2F" w14:textId="77777777" w:rsidR="009B7130" w:rsidRDefault="009B7130" w:rsidP="009B7130">
      <w:pPr>
        <w:pStyle w:val="LTAntwortRessortText"/>
      </w:pPr>
      <w:r>
        <w:t xml:space="preserve">Dem </w:t>
      </w:r>
      <w:r w:rsidR="008527B8">
        <w:t>Staatsministerium für Gesundheit und Pflege (</w:t>
      </w:r>
      <w:r>
        <w:t>StMGP</w:t>
      </w:r>
      <w:r w:rsidR="008527B8">
        <w:t>)</w:t>
      </w:r>
      <w:r>
        <w:t xml:space="preserve"> liegen zum Inhalt der vom Bundesgesundheitsminister für Februar 2022</w:t>
      </w:r>
      <w:r w:rsidR="00FA43B0">
        <w:t xml:space="preserve"> </w:t>
      </w:r>
      <w:r>
        <w:t>angekündigten Liste des Paul-Ehrlich-Instituts (PEI), mittels derer ausgewählte Antigen-Schnelltests hinsichtlich ihrer Fähigkeit, die Omikron-Variante zu detektieren, bewertet werden</w:t>
      </w:r>
      <w:r w:rsidR="00FA43B0">
        <w:t xml:space="preserve"> </w:t>
      </w:r>
      <w:r>
        <w:t>sollen, noch keine Kenntnisse vor.</w:t>
      </w:r>
    </w:p>
    <w:p w14:paraId="660E35CA" w14:textId="77777777" w:rsidR="009B7130" w:rsidRDefault="009B7130" w:rsidP="009B7130">
      <w:pPr>
        <w:pStyle w:val="LTAntwortRessortText"/>
      </w:pPr>
      <w:r>
        <w:t xml:space="preserve">Gemäß der </w:t>
      </w:r>
      <w:r w:rsidR="006F49A4">
        <w:t>„</w:t>
      </w:r>
      <w:r>
        <w:t>Vergleichenden Evaluierung der Sensitivität von SARS-CoV-2 Antigenschnelltests</w:t>
      </w:r>
      <w:r w:rsidR="006F49A4">
        <w:t>“</w:t>
      </w:r>
      <w:r w:rsidR="00FA43B0">
        <w:t xml:space="preserve"> </w:t>
      </w:r>
      <w:r>
        <w:t>(Stand: 12.01.2022), die das PEI gemeinsam mit weiteren Laboren durchgeführt hat und deren Ziel</w:t>
      </w:r>
      <w:r w:rsidR="00FA43B0">
        <w:t xml:space="preserve"> </w:t>
      </w:r>
      <w:r>
        <w:t>es ist, zu ermitteln, welche beim Bundesinstitut für Arzneimittel und Medizinprodukte (BfArM)</w:t>
      </w:r>
      <w:r w:rsidR="00FA43B0">
        <w:t xml:space="preserve"> </w:t>
      </w:r>
      <w:r>
        <w:t>gelisteten Antigenschnelltests dem derzeitigen Stand der Technik entsprechen, indem sie eine</w:t>
      </w:r>
      <w:r w:rsidR="00FA43B0">
        <w:t xml:space="preserve"> </w:t>
      </w:r>
      <w:r w:rsidR="008527B8">
        <w:t>Mindestsensitivität von 75 </w:t>
      </w:r>
      <w:r w:rsidR="006F49A4">
        <w:t>Prozent</w:t>
      </w:r>
      <w:r>
        <w:t xml:space="preserve"> für Pools mit einem Ct =25 aufweisen, sind sämtliche der an den</w:t>
      </w:r>
      <w:r w:rsidR="00FA43B0">
        <w:t xml:space="preserve"> </w:t>
      </w:r>
      <w:r>
        <w:t>Schulen eingesetzten und im Rahmen der Studie überprüften Selbsttests als auf dem Stand der</w:t>
      </w:r>
      <w:r w:rsidR="00FA43B0">
        <w:t xml:space="preserve"> </w:t>
      </w:r>
      <w:r>
        <w:t>Technik zu werten.</w:t>
      </w:r>
    </w:p>
    <w:p w14:paraId="4A327DAC" w14:textId="125B7B67" w:rsidR="009B7130" w:rsidRDefault="009B7130" w:rsidP="009B7130">
      <w:pPr>
        <w:pStyle w:val="LTAntwortRessortText"/>
      </w:pPr>
      <w:r>
        <w:t>Derzeit bestehen Abrufverträge mit folgenden Herstellern (Stand 21.02.2022):</w:t>
      </w:r>
    </w:p>
    <w:p w14:paraId="0E0C008F" w14:textId="77777777" w:rsidR="009B7130" w:rsidRDefault="009B7130" w:rsidP="009B7130">
      <w:pPr>
        <w:pStyle w:val="LTAntwortRessortText"/>
      </w:pP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2552"/>
        <w:gridCol w:w="3968"/>
      </w:tblGrid>
      <w:tr w:rsidR="00FA43B0" w:rsidRPr="002971AA" w14:paraId="0445E25E" w14:textId="77777777" w:rsidTr="002A5AD0">
        <w:trPr>
          <w:trHeight w:val="289"/>
        </w:trPr>
        <w:tc>
          <w:tcPr>
            <w:tcW w:w="425" w:type="dxa"/>
            <w:tcBorders>
              <w:bottom w:val="single" w:sz="4" w:space="0" w:color="000000"/>
              <w:right w:val="single" w:sz="4" w:space="0" w:color="000000"/>
            </w:tcBorders>
            <w:shd w:val="clear" w:color="auto" w:fill="ACB9CA"/>
            <w:vAlign w:val="center"/>
          </w:tcPr>
          <w:p w14:paraId="7D7E35F4" w14:textId="6F3B63D5" w:rsidR="00FA43B0" w:rsidRPr="002971AA" w:rsidRDefault="00FA43B0" w:rsidP="008527B8">
            <w:pPr>
              <w:pStyle w:val="TableParagraph"/>
              <w:spacing w:before="37"/>
              <w:ind w:left="60" w:right="45"/>
              <w:jc w:val="center"/>
              <w:rPr>
                <w:rFonts w:ascii="Arial" w:hAnsi="Arial" w:cs="Arial"/>
                <w:b/>
                <w:sz w:val="18"/>
                <w:szCs w:val="18"/>
              </w:rPr>
            </w:pPr>
            <w:r w:rsidRPr="002971AA">
              <w:rPr>
                <w:rFonts w:ascii="Arial" w:hAnsi="Arial" w:cs="Arial"/>
                <w:b/>
                <w:sz w:val="18"/>
                <w:szCs w:val="18"/>
              </w:rPr>
              <w:t>Nr</w:t>
            </w:r>
          </w:p>
        </w:tc>
        <w:tc>
          <w:tcPr>
            <w:tcW w:w="2552" w:type="dxa"/>
            <w:tcBorders>
              <w:left w:val="single" w:sz="4" w:space="0" w:color="000000"/>
              <w:bottom w:val="single" w:sz="4" w:space="0" w:color="000000"/>
              <w:right w:val="single" w:sz="4" w:space="0" w:color="000000"/>
            </w:tcBorders>
            <w:shd w:val="clear" w:color="auto" w:fill="ACB9CA"/>
            <w:vAlign w:val="center"/>
          </w:tcPr>
          <w:p w14:paraId="6DE8C0D5" w14:textId="77777777" w:rsidR="00FA43B0" w:rsidRPr="002971AA" w:rsidRDefault="00FA43B0" w:rsidP="008527B8">
            <w:pPr>
              <w:pStyle w:val="TableParagraph"/>
              <w:spacing w:before="37"/>
              <w:ind w:left="103" w:right="81"/>
              <w:jc w:val="center"/>
              <w:rPr>
                <w:rFonts w:ascii="Arial" w:hAnsi="Arial" w:cs="Arial"/>
                <w:b/>
                <w:sz w:val="18"/>
                <w:szCs w:val="18"/>
              </w:rPr>
            </w:pPr>
            <w:r w:rsidRPr="002971AA">
              <w:rPr>
                <w:rFonts w:ascii="Arial" w:hAnsi="Arial" w:cs="Arial"/>
                <w:b/>
                <w:sz w:val="18"/>
                <w:szCs w:val="18"/>
              </w:rPr>
              <w:t>Hersteller</w:t>
            </w:r>
          </w:p>
        </w:tc>
        <w:tc>
          <w:tcPr>
            <w:tcW w:w="3968" w:type="dxa"/>
            <w:tcBorders>
              <w:left w:val="single" w:sz="4" w:space="0" w:color="000000"/>
              <w:bottom w:val="single" w:sz="4" w:space="0" w:color="000000"/>
              <w:right w:val="single" w:sz="4" w:space="0" w:color="000000"/>
            </w:tcBorders>
            <w:shd w:val="clear" w:color="auto" w:fill="ACB9CA"/>
            <w:vAlign w:val="center"/>
          </w:tcPr>
          <w:p w14:paraId="153A9A80" w14:textId="77777777" w:rsidR="00FA43B0" w:rsidRPr="002971AA" w:rsidRDefault="00FA43B0" w:rsidP="008527B8">
            <w:pPr>
              <w:pStyle w:val="TableParagraph"/>
              <w:spacing w:before="37"/>
              <w:ind w:left="103" w:right="82"/>
              <w:jc w:val="center"/>
              <w:rPr>
                <w:rFonts w:ascii="Arial" w:hAnsi="Arial" w:cs="Arial"/>
                <w:b/>
                <w:sz w:val="18"/>
                <w:szCs w:val="18"/>
              </w:rPr>
            </w:pPr>
            <w:r w:rsidRPr="002971AA">
              <w:rPr>
                <w:rFonts w:ascii="Arial" w:hAnsi="Arial" w:cs="Arial"/>
                <w:b/>
                <w:sz w:val="18"/>
                <w:szCs w:val="18"/>
              </w:rPr>
              <w:t>Testname</w:t>
            </w:r>
          </w:p>
        </w:tc>
      </w:tr>
      <w:tr w:rsidR="00FA43B0" w:rsidRPr="002971AA" w14:paraId="1A817AA6" w14:textId="77777777" w:rsidTr="002A5AD0">
        <w:trPr>
          <w:trHeight w:val="590"/>
        </w:trPr>
        <w:tc>
          <w:tcPr>
            <w:tcW w:w="425" w:type="dxa"/>
            <w:tcBorders>
              <w:top w:val="single" w:sz="4" w:space="0" w:color="000000"/>
              <w:bottom w:val="single" w:sz="4" w:space="0" w:color="000000"/>
              <w:right w:val="single" w:sz="4" w:space="0" w:color="000000"/>
            </w:tcBorders>
            <w:shd w:val="clear" w:color="auto" w:fill="ACB9CA"/>
            <w:vAlign w:val="center"/>
          </w:tcPr>
          <w:p w14:paraId="0809D6AA" w14:textId="77777777" w:rsidR="00FA43B0" w:rsidRPr="002971AA" w:rsidRDefault="00FA43B0" w:rsidP="008527B8">
            <w:pPr>
              <w:pStyle w:val="TableParagraph"/>
              <w:ind w:left="11"/>
              <w:jc w:val="center"/>
              <w:rPr>
                <w:rFonts w:ascii="Arial" w:hAnsi="Arial" w:cs="Arial"/>
                <w:b/>
                <w:sz w:val="18"/>
                <w:szCs w:val="18"/>
              </w:rPr>
            </w:pPr>
            <w:r w:rsidRPr="002971AA">
              <w:rPr>
                <w:rFonts w:ascii="Arial" w:hAnsi="Arial" w:cs="Arial"/>
                <w:b/>
                <w:w w:val="99"/>
                <w:sz w:val="18"/>
                <w:szCs w:val="18"/>
              </w:rPr>
              <w:t>1</w:t>
            </w:r>
          </w:p>
        </w:tc>
        <w:tc>
          <w:tcPr>
            <w:tcW w:w="2552" w:type="dxa"/>
            <w:tcBorders>
              <w:top w:val="single" w:sz="4" w:space="0" w:color="000000"/>
              <w:left w:val="single" w:sz="4" w:space="0" w:color="000000"/>
              <w:bottom w:val="single" w:sz="4" w:space="0" w:color="000000"/>
              <w:right w:val="single" w:sz="4" w:space="0" w:color="000000"/>
            </w:tcBorders>
            <w:vAlign w:val="center"/>
          </w:tcPr>
          <w:p w14:paraId="7C7CF92B" w14:textId="77777777" w:rsidR="00FA43B0" w:rsidRPr="002971AA" w:rsidRDefault="00FA43B0" w:rsidP="008527B8">
            <w:pPr>
              <w:pStyle w:val="TableParagraph"/>
              <w:ind w:left="100" w:right="86"/>
              <w:jc w:val="center"/>
              <w:rPr>
                <w:rFonts w:ascii="Arial" w:hAnsi="Arial" w:cs="Arial"/>
                <w:b/>
                <w:sz w:val="18"/>
                <w:szCs w:val="18"/>
              </w:rPr>
            </w:pPr>
            <w:r w:rsidRPr="002971AA">
              <w:rPr>
                <w:rFonts w:ascii="Arial" w:hAnsi="Arial" w:cs="Arial"/>
                <w:b/>
                <w:sz w:val="18"/>
                <w:szCs w:val="18"/>
              </w:rPr>
              <w:t>SD BIOSENSOR, INC.</w:t>
            </w:r>
          </w:p>
        </w:tc>
        <w:tc>
          <w:tcPr>
            <w:tcW w:w="3968" w:type="dxa"/>
            <w:tcBorders>
              <w:top w:val="single" w:sz="4" w:space="0" w:color="000000"/>
              <w:left w:val="single" w:sz="4" w:space="0" w:color="000000"/>
              <w:bottom w:val="single" w:sz="4" w:space="0" w:color="000000"/>
              <w:right w:val="single" w:sz="4" w:space="0" w:color="000000"/>
            </w:tcBorders>
            <w:vAlign w:val="center"/>
          </w:tcPr>
          <w:p w14:paraId="616FD66A" w14:textId="77777777" w:rsidR="00FA43B0" w:rsidRPr="002971AA" w:rsidRDefault="008527B8" w:rsidP="008527B8">
            <w:pPr>
              <w:pStyle w:val="TableParagraph"/>
              <w:spacing w:before="85"/>
              <w:ind w:left="1209" w:right="196" w:hanging="977"/>
              <w:jc w:val="center"/>
              <w:rPr>
                <w:rFonts w:ascii="Arial" w:hAnsi="Arial" w:cs="Arial"/>
                <w:sz w:val="18"/>
                <w:szCs w:val="18"/>
              </w:rPr>
            </w:pPr>
            <w:r w:rsidRPr="002971AA">
              <w:rPr>
                <w:rFonts w:ascii="Arial" w:hAnsi="Arial" w:cs="Arial"/>
                <w:sz w:val="18"/>
                <w:szCs w:val="18"/>
              </w:rPr>
              <w:t>SARS-CoV-2 Rapid Antigen-</w:t>
            </w:r>
            <w:r w:rsidR="00FA43B0" w:rsidRPr="002971AA">
              <w:rPr>
                <w:rFonts w:ascii="Arial" w:hAnsi="Arial" w:cs="Arial"/>
                <w:sz w:val="18"/>
                <w:szCs w:val="18"/>
              </w:rPr>
              <w:t>Test</w:t>
            </w:r>
          </w:p>
        </w:tc>
      </w:tr>
      <w:tr w:rsidR="00FA43B0" w:rsidRPr="002971AA" w14:paraId="46693DC8" w14:textId="77777777" w:rsidTr="002A5AD0">
        <w:trPr>
          <w:trHeight w:val="801"/>
        </w:trPr>
        <w:tc>
          <w:tcPr>
            <w:tcW w:w="425"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744AF97C" w14:textId="77777777" w:rsidR="00FA43B0" w:rsidRPr="002971AA" w:rsidRDefault="00FA43B0" w:rsidP="008527B8">
            <w:pPr>
              <w:pStyle w:val="TableParagraph"/>
              <w:ind w:left="16"/>
              <w:jc w:val="center"/>
              <w:rPr>
                <w:rFonts w:ascii="Arial" w:hAnsi="Arial" w:cs="Arial"/>
                <w:b/>
                <w:sz w:val="18"/>
                <w:szCs w:val="18"/>
              </w:rPr>
            </w:pPr>
            <w:r w:rsidRPr="002971AA">
              <w:rPr>
                <w:rFonts w:ascii="Arial" w:hAnsi="Arial" w:cs="Arial"/>
                <w:b/>
                <w:w w:val="99"/>
                <w:sz w:val="18"/>
                <w:szCs w:val="18"/>
              </w:rPr>
              <w:t>2</w:t>
            </w:r>
          </w:p>
        </w:tc>
        <w:tc>
          <w:tcPr>
            <w:tcW w:w="2552" w:type="dxa"/>
            <w:tcBorders>
              <w:top w:val="single" w:sz="4" w:space="0" w:color="000000"/>
              <w:left w:val="single" w:sz="4" w:space="0" w:color="000000"/>
              <w:bottom w:val="single" w:sz="4" w:space="0" w:color="000000"/>
              <w:right w:val="single" w:sz="4" w:space="0" w:color="000000"/>
            </w:tcBorders>
            <w:vAlign w:val="center"/>
          </w:tcPr>
          <w:p w14:paraId="7B51F950" w14:textId="77777777" w:rsidR="00FA43B0" w:rsidRPr="002971AA" w:rsidRDefault="00FA43B0" w:rsidP="008527B8">
            <w:pPr>
              <w:pStyle w:val="TableParagraph"/>
              <w:ind w:left="103" w:right="83"/>
              <w:jc w:val="center"/>
              <w:rPr>
                <w:rFonts w:ascii="Arial" w:hAnsi="Arial" w:cs="Arial"/>
                <w:b/>
                <w:sz w:val="18"/>
                <w:szCs w:val="18"/>
              </w:rPr>
            </w:pPr>
            <w:r w:rsidRPr="002971AA">
              <w:rPr>
                <w:rFonts w:ascii="Arial" w:hAnsi="Arial" w:cs="Arial"/>
                <w:b/>
                <w:sz w:val="18"/>
                <w:szCs w:val="18"/>
              </w:rPr>
              <w:t>Healgen Scientific LLC</w:t>
            </w:r>
          </w:p>
        </w:tc>
        <w:tc>
          <w:tcPr>
            <w:tcW w:w="3968" w:type="dxa"/>
            <w:tcBorders>
              <w:top w:val="single" w:sz="4" w:space="0" w:color="000000"/>
              <w:left w:val="single" w:sz="4" w:space="0" w:color="000000"/>
              <w:bottom w:val="single" w:sz="4" w:space="0" w:color="000000"/>
              <w:right w:val="single" w:sz="4" w:space="0" w:color="000000"/>
            </w:tcBorders>
            <w:vAlign w:val="center"/>
          </w:tcPr>
          <w:p w14:paraId="12D6683A" w14:textId="77777777" w:rsidR="00FA43B0" w:rsidRPr="002971AA" w:rsidRDefault="00FA43B0" w:rsidP="008527B8">
            <w:pPr>
              <w:pStyle w:val="TableParagraph"/>
              <w:spacing w:before="1"/>
              <w:ind w:left="878" w:right="241" w:hanging="600"/>
              <w:jc w:val="center"/>
              <w:rPr>
                <w:rFonts w:ascii="Arial" w:hAnsi="Arial" w:cs="Arial"/>
                <w:sz w:val="18"/>
                <w:szCs w:val="18"/>
              </w:rPr>
            </w:pPr>
            <w:r w:rsidRPr="002971AA">
              <w:rPr>
                <w:rFonts w:ascii="Arial" w:hAnsi="Arial" w:cs="Arial"/>
                <w:sz w:val="18"/>
                <w:szCs w:val="18"/>
              </w:rPr>
              <w:t>CLINITEST Rapid Covid-19 Antigen Test</w:t>
            </w:r>
          </w:p>
        </w:tc>
      </w:tr>
      <w:tr w:rsidR="00FA43B0" w:rsidRPr="002971AA" w14:paraId="591F7FDD" w14:textId="77777777" w:rsidTr="002A5AD0">
        <w:trPr>
          <w:trHeight w:val="849"/>
        </w:trPr>
        <w:tc>
          <w:tcPr>
            <w:tcW w:w="425"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4E73EAC9" w14:textId="77777777" w:rsidR="00FA43B0" w:rsidRPr="002971AA" w:rsidRDefault="00FA43B0" w:rsidP="008527B8">
            <w:pPr>
              <w:pStyle w:val="TableParagraph"/>
              <w:ind w:left="16"/>
              <w:jc w:val="center"/>
              <w:rPr>
                <w:rFonts w:ascii="Arial" w:hAnsi="Arial" w:cs="Arial"/>
                <w:b/>
                <w:sz w:val="18"/>
                <w:szCs w:val="18"/>
              </w:rPr>
            </w:pPr>
            <w:r w:rsidRPr="002971AA">
              <w:rPr>
                <w:rFonts w:ascii="Arial" w:hAnsi="Arial" w:cs="Arial"/>
                <w:b/>
                <w:w w:val="99"/>
                <w:sz w:val="18"/>
                <w:szCs w:val="18"/>
              </w:rPr>
              <w:t>3</w:t>
            </w:r>
          </w:p>
        </w:tc>
        <w:tc>
          <w:tcPr>
            <w:tcW w:w="2552" w:type="dxa"/>
            <w:tcBorders>
              <w:top w:val="single" w:sz="4" w:space="0" w:color="000000"/>
              <w:left w:val="single" w:sz="4" w:space="0" w:color="000000"/>
              <w:bottom w:val="single" w:sz="4" w:space="0" w:color="000000"/>
              <w:right w:val="single" w:sz="4" w:space="0" w:color="000000"/>
            </w:tcBorders>
            <w:vAlign w:val="center"/>
          </w:tcPr>
          <w:p w14:paraId="500305A6" w14:textId="77777777" w:rsidR="00FA43B0" w:rsidRPr="002971AA" w:rsidRDefault="00FA43B0" w:rsidP="008527B8">
            <w:pPr>
              <w:pStyle w:val="TableParagraph"/>
              <w:ind w:left="1123" w:right="51" w:hanging="1035"/>
              <w:jc w:val="center"/>
              <w:rPr>
                <w:rFonts w:ascii="Arial" w:hAnsi="Arial" w:cs="Arial"/>
                <w:b/>
                <w:sz w:val="18"/>
                <w:szCs w:val="18"/>
              </w:rPr>
            </w:pPr>
            <w:r w:rsidRPr="002971AA">
              <w:rPr>
                <w:rFonts w:ascii="Arial" w:hAnsi="Arial" w:cs="Arial"/>
                <w:b/>
                <w:sz w:val="18"/>
                <w:szCs w:val="18"/>
              </w:rPr>
              <w:t>Xiamen Boson Biotech Co., Ltd</w:t>
            </w:r>
          </w:p>
        </w:tc>
        <w:tc>
          <w:tcPr>
            <w:tcW w:w="3968" w:type="dxa"/>
            <w:tcBorders>
              <w:top w:val="single" w:sz="4" w:space="0" w:color="000000"/>
              <w:left w:val="single" w:sz="4" w:space="0" w:color="000000"/>
              <w:bottom w:val="single" w:sz="4" w:space="0" w:color="000000"/>
              <w:right w:val="single" w:sz="4" w:space="0" w:color="000000"/>
            </w:tcBorders>
            <w:vAlign w:val="center"/>
          </w:tcPr>
          <w:p w14:paraId="1EFC88F9" w14:textId="77777777" w:rsidR="00FA43B0" w:rsidRPr="002971AA" w:rsidRDefault="00FA43B0" w:rsidP="008527B8">
            <w:pPr>
              <w:pStyle w:val="TableParagraph"/>
              <w:spacing w:before="1"/>
              <w:ind w:left="873" w:right="72" w:hanging="766"/>
              <w:jc w:val="center"/>
              <w:rPr>
                <w:rFonts w:ascii="Arial" w:hAnsi="Arial" w:cs="Arial"/>
                <w:sz w:val="18"/>
                <w:szCs w:val="18"/>
              </w:rPr>
            </w:pPr>
            <w:r w:rsidRPr="002971AA">
              <w:rPr>
                <w:rFonts w:ascii="Arial" w:hAnsi="Arial" w:cs="Arial"/>
                <w:sz w:val="18"/>
                <w:szCs w:val="18"/>
              </w:rPr>
              <w:t>RAPID SARS-COV-2 ANTIGEN TEST CARD</w:t>
            </w:r>
          </w:p>
        </w:tc>
      </w:tr>
      <w:tr w:rsidR="008527B8" w:rsidRPr="002971AA" w14:paraId="47E85DF9" w14:textId="77777777" w:rsidTr="002A5AD0">
        <w:trPr>
          <w:trHeight w:val="1099"/>
        </w:trPr>
        <w:tc>
          <w:tcPr>
            <w:tcW w:w="425" w:type="dxa"/>
            <w:tcBorders>
              <w:top w:val="single" w:sz="4" w:space="0" w:color="000000"/>
              <w:left w:val="single" w:sz="4" w:space="0" w:color="000000"/>
              <w:right w:val="single" w:sz="4" w:space="0" w:color="000000"/>
            </w:tcBorders>
            <w:shd w:val="clear" w:color="auto" w:fill="ACB9CA"/>
            <w:vAlign w:val="center"/>
          </w:tcPr>
          <w:p w14:paraId="28791F19" w14:textId="77777777" w:rsidR="008527B8" w:rsidRPr="002971AA" w:rsidRDefault="008527B8" w:rsidP="008527B8">
            <w:pPr>
              <w:pStyle w:val="TableParagraph"/>
              <w:spacing w:before="35"/>
              <w:ind w:left="16"/>
              <w:jc w:val="center"/>
              <w:rPr>
                <w:rFonts w:ascii="Arial" w:hAnsi="Arial" w:cs="Arial"/>
                <w:b/>
                <w:sz w:val="18"/>
                <w:szCs w:val="18"/>
              </w:rPr>
            </w:pPr>
            <w:r w:rsidRPr="002971AA">
              <w:rPr>
                <w:rFonts w:ascii="Arial" w:hAnsi="Arial" w:cs="Arial"/>
                <w:b/>
                <w:w w:val="99"/>
                <w:sz w:val="18"/>
                <w:szCs w:val="18"/>
              </w:rPr>
              <w:t>4</w:t>
            </w:r>
          </w:p>
        </w:tc>
        <w:tc>
          <w:tcPr>
            <w:tcW w:w="2552" w:type="dxa"/>
            <w:tcBorders>
              <w:top w:val="single" w:sz="4" w:space="0" w:color="000000"/>
              <w:left w:val="single" w:sz="4" w:space="0" w:color="000000"/>
              <w:right w:val="single" w:sz="4" w:space="0" w:color="000000"/>
            </w:tcBorders>
            <w:vAlign w:val="center"/>
          </w:tcPr>
          <w:p w14:paraId="49AAC571" w14:textId="77777777" w:rsidR="008527B8" w:rsidRPr="002971AA" w:rsidRDefault="008527B8" w:rsidP="00950EBB">
            <w:pPr>
              <w:pStyle w:val="TableParagraph"/>
              <w:spacing w:before="35"/>
              <w:ind w:left="103" w:right="86"/>
              <w:jc w:val="center"/>
              <w:rPr>
                <w:rFonts w:ascii="Arial" w:hAnsi="Arial" w:cs="Arial"/>
                <w:b/>
                <w:sz w:val="18"/>
                <w:szCs w:val="18"/>
              </w:rPr>
            </w:pPr>
            <w:r w:rsidRPr="002971AA">
              <w:rPr>
                <w:rFonts w:ascii="Arial" w:hAnsi="Arial" w:cs="Arial"/>
                <w:b/>
                <w:sz w:val="18"/>
                <w:szCs w:val="18"/>
              </w:rPr>
              <w:t>ACON Biotech (Hangzhou)</w:t>
            </w:r>
            <w:r w:rsidR="00950EBB" w:rsidRPr="002971AA">
              <w:rPr>
                <w:rFonts w:ascii="Arial" w:hAnsi="Arial" w:cs="Arial"/>
                <w:b/>
                <w:sz w:val="18"/>
                <w:szCs w:val="18"/>
              </w:rPr>
              <w:t xml:space="preserve"> </w:t>
            </w:r>
            <w:r w:rsidRPr="002971AA">
              <w:rPr>
                <w:rFonts w:ascii="Arial" w:hAnsi="Arial" w:cs="Arial"/>
                <w:b/>
                <w:sz w:val="18"/>
                <w:szCs w:val="18"/>
              </w:rPr>
              <w:t>Co., Ltd.</w:t>
            </w:r>
          </w:p>
        </w:tc>
        <w:tc>
          <w:tcPr>
            <w:tcW w:w="3968" w:type="dxa"/>
            <w:tcBorders>
              <w:top w:val="single" w:sz="4" w:space="0" w:color="000000"/>
              <w:left w:val="single" w:sz="4" w:space="0" w:color="000000"/>
              <w:right w:val="single" w:sz="4" w:space="0" w:color="000000"/>
            </w:tcBorders>
            <w:vAlign w:val="center"/>
          </w:tcPr>
          <w:p w14:paraId="37656534" w14:textId="77777777" w:rsidR="008527B8" w:rsidRPr="002971AA" w:rsidRDefault="008527B8" w:rsidP="00950EBB">
            <w:pPr>
              <w:pStyle w:val="TableParagraph"/>
              <w:spacing w:before="37"/>
              <w:ind w:left="103" w:right="84"/>
              <w:jc w:val="center"/>
              <w:rPr>
                <w:rFonts w:ascii="Arial" w:hAnsi="Arial" w:cs="Arial"/>
                <w:sz w:val="18"/>
                <w:szCs w:val="18"/>
              </w:rPr>
            </w:pPr>
            <w:r w:rsidRPr="002971AA">
              <w:rPr>
                <w:rFonts w:ascii="Arial" w:hAnsi="Arial" w:cs="Arial"/>
                <w:sz w:val="18"/>
                <w:szCs w:val="18"/>
              </w:rPr>
              <w:t>Flowflex SARS-CoV-2-Antigen-Schnelltest (Selbsttest)</w:t>
            </w:r>
          </w:p>
        </w:tc>
      </w:tr>
      <w:tr w:rsidR="00FA43B0" w:rsidRPr="002971AA" w14:paraId="457D13F5" w14:textId="77777777" w:rsidTr="002A5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0"/>
        </w:trPr>
        <w:tc>
          <w:tcPr>
            <w:tcW w:w="425" w:type="dxa"/>
            <w:shd w:val="clear" w:color="auto" w:fill="ACB9CA"/>
            <w:vAlign w:val="center"/>
          </w:tcPr>
          <w:p w14:paraId="3869EA61" w14:textId="77777777" w:rsidR="00FA43B0" w:rsidRPr="002971AA" w:rsidRDefault="00FA43B0" w:rsidP="008527B8">
            <w:pPr>
              <w:pStyle w:val="TableParagraph"/>
              <w:ind w:left="6"/>
              <w:jc w:val="center"/>
              <w:rPr>
                <w:rFonts w:ascii="Arial" w:hAnsi="Arial" w:cs="Arial"/>
                <w:b/>
                <w:sz w:val="18"/>
                <w:szCs w:val="18"/>
              </w:rPr>
            </w:pPr>
            <w:r w:rsidRPr="002971AA">
              <w:rPr>
                <w:rFonts w:ascii="Arial" w:hAnsi="Arial" w:cs="Arial"/>
                <w:b/>
                <w:w w:val="99"/>
                <w:sz w:val="18"/>
                <w:szCs w:val="18"/>
              </w:rPr>
              <w:t>5</w:t>
            </w:r>
          </w:p>
        </w:tc>
        <w:tc>
          <w:tcPr>
            <w:tcW w:w="2552" w:type="dxa"/>
            <w:vAlign w:val="center"/>
          </w:tcPr>
          <w:p w14:paraId="52516BAC" w14:textId="77777777" w:rsidR="00FA43B0" w:rsidRPr="002971AA" w:rsidRDefault="00FA43B0" w:rsidP="008527B8">
            <w:pPr>
              <w:pStyle w:val="TableParagraph"/>
              <w:spacing w:before="83"/>
              <w:ind w:left="379" w:right="351" w:firstLine="148"/>
              <w:jc w:val="center"/>
              <w:rPr>
                <w:rFonts w:ascii="Arial" w:hAnsi="Arial" w:cs="Arial"/>
                <w:b/>
                <w:sz w:val="18"/>
                <w:szCs w:val="18"/>
              </w:rPr>
            </w:pPr>
            <w:r w:rsidRPr="002971AA">
              <w:rPr>
                <w:rFonts w:ascii="Arial" w:hAnsi="Arial" w:cs="Arial"/>
                <w:b/>
                <w:sz w:val="18"/>
                <w:szCs w:val="18"/>
              </w:rPr>
              <w:t>Safecare Biotech (Hangzhou) Co., Ltd.</w:t>
            </w:r>
          </w:p>
        </w:tc>
        <w:tc>
          <w:tcPr>
            <w:tcW w:w="3968" w:type="dxa"/>
            <w:vAlign w:val="center"/>
          </w:tcPr>
          <w:p w14:paraId="189C768F" w14:textId="77777777" w:rsidR="00FA43B0" w:rsidRPr="002971AA" w:rsidRDefault="00FA43B0" w:rsidP="008527B8">
            <w:pPr>
              <w:pStyle w:val="TableParagraph"/>
              <w:spacing w:before="85" w:line="207" w:lineRule="exact"/>
              <w:ind w:left="102" w:right="95"/>
              <w:jc w:val="center"/>
              <w:rPr>
                <w:rFonts w:ascii="Arial" w:hAnsi="Arial" w:cs="Arial"/>
                <w:sz w:val="18"/>
                <w:szCs w:val="18"/>
              </w:rPr>
            </w:pPr>
            <w:r w:rsidRPr="002971AA">
              <w:rPr>
                <w:rFonts w:ascii="Arial" w:hAnsi="Arial" w:cs="Arial"/>
                <w:sz w:val="18"/>
                <w:szCs w:val="18"/>
              </w:rPr>
              <w:t>SAFECARE COVID-19 Antigen</w:t>
            </w:r>
            <w:r w:rsidR="008527B8" w:rsidRPr="002971AA">
              <w:rPr>
                <w:rFonts w:ascii="Arial" w:hAnsi="Arial" w:cs="Arial"/>
                <w:sz w:val="18"/>
                <w:szCs w:val="18"/>
              </w:rPr>
              <w:t xml:space="preserve"> </w:t>
            </w:r>
            <w:r w:rsidRPr="002971AA">
              <w:rPr>
                <w:rFonts w:ascii="Arial" w:hAnsi="Arial" w:cs="Arial"/>
                <w:sz w:val="18"/>
                <w:szCs w:val="18"/>
              </w:rPr>
              <w:t>Rapid Test Kit (Swab)</w:t>
            </w:r>
          </w:p>
        </w:tc>
      </w:tr>
      <w:tr w:rsidR="00FA43B0" w:rsidRPr="002971AA" w14:paraId="1A6C34CB" w14:textId="77777777" w:rsidTr="002A5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0"/>
        </w:trPr>
        <w:tc>
          <w:tcPr>
            <w:tcW w:w="425" w:type="dxa"/>
            <w:shd w:val="clear" w:color="auto" w:fill="ACB9CA"/>
            <w:vAlign w:val="center"/>
          </w:tcPr>
          <w:p w14:paraId="6A7366D5" w14:textId="77777777" w:rsidR="00FA43B0" w:rsidRPr="002971AA" w:rsidRDefault="00FA43B0" w:rsidP="008527B8">
            <w:pPr>
              <w:pStyle w:val="TableParagraph"/>
              <w:ind w:left="6"/>
              <w:jc w:val="center"/>
              <w:rPr>
                <w:rFonts w:ascii="Arial" w:hAnsi="Arial" w:cs="Arial"/>
                <w:b/>
                <w:sz w:val="18"/>
                <w:szCs w:val="18"/>
              </w:rPr>
            </w:pPr>
            <w:r w:rsidRPr="002971AA">
              <w:rPr>
                <w:rFonts w:ascii="Arial" w:hAnsi="Arial" w:cs="Arial"/>
                <w:b/>
                <w:w w:val="99"/>
                <w:sz w:val="18"/>
                <w:szCs w:val="18"/>
              </w:rPr>
              <w:lastRenderedPageBreak/>
              <w:t>6</w:t>
            </w:r>
          </w:p>
        </w:tc>
        <w:tc>
          <w:tcPr>
            <w:tcW w:w="2552" w:type="dxa"/>
            <w:vAlign w:val="center"/>
          </w:tcPr>
          <w:p w14:paraId="683CE87F" w14:textId="77777777" w:rsidR="00FA43B0" w:rsidRPr="002971AA" w:rsidRDefault="00FA43B0" w:rsidP="008527B8">
            <w:pPr>
              <w:pStyle w:val="TableParagraph"/>
              <w:ind w:left="99" w:right="86"/>
              <w:jc w:val="center"/>
              <w:rPr>
                <w:rFonts w:ascii="Arial" w:hAnsi="Arial" w:cs="Arial"/>
                <w:b/>
                <w:sz w:val="18"/>
                <w:szCs w:val="18"/>
              </w:rPr>
            </w:pPr>
            <w:r w:rsidRPr="002971AA">
              <w:rPr>
                <w:rFonts w:ascii="Arial" w:hAnsi="Arial" w:cs="Arial"/>
                <w:b/>
                <w:sz w:val="18"/>
                <w:szCs w:val="18"/>
              </w:rPr>
              <w:t>Nal von Minden GmbH</w:t>
            </w:r>
          </w:p>
        </w:tc>
        <w:tc>
          <w:tcPr>
            <w:tcW w:w="3968" w:type="dxa"/>
            <w:vAlign w:val="center"/>
          </w:tcPr>
          <w:p w14:paraId="03B0384B" w14:textId="77777777" w:rsidR="00FA43B0" w:rsidRPr="002971AA" w:rsidRDefault="00FA43B0" w:rsidP="008527B8">
            <w:pPr>
              <w:pStyle w:val="TableParagraph"/>
              <w:ind w:left="103" w:right="91"/>
              <w:jc w:val="center"/>
              <w:rPr>
                <w:rFonts w:ascii="Arial" w:hAnsi="Arial" w:cs="Arial"/>
                <w:sz w:val="18"/>
                <w:szCs w:val="18"/>
              </w:rPr>
            </w:pPr>
            <w:r w:rsidRPr="002971AA">
              <w:rPr>
                <w:rFonts w:ascii="Arial" w:hAnsi="Arial" w:cs="Arial"/>
                <w:sz w:val="18"/>
                <w:szCs w:val="18"/>
              </w:rPr>
              <w:t>NADAL Covid-19 Ag Test</w:t>
            </w:r>
          </w:p>
        </w:tc>
      </w:tr>
      <w:tr w:rsidR="00FA43B0" w:rsidRPr="002971AA" w14:paraId="2C7E5495" w14:textId="77777777" w:rsidTr="002A5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0"/>
        </w:trPr>
        <w:tc>
          <w:tcPr>
            <w:tcW w:w="425" w:type="dxa"/>
            <w:shd w:val="clear" w:color="auto" w:fill="ACB9CA"/>
            <w:vAlign w:val="center"/>
          </w:tcPr>
          <w:p w14:paraId="44321548" w14:textId="77777777" w:rsidR="00FA43B0" w:rsidRPr="002971AA" w:rsidRDefault="00FA43B0" w:rsidP="008527B8">
            <w:pPr>
              <w:pStyle w:val="TableParagraph"/>
              <w:ind w:left="6"/>
              <w:jc w:val="center"/>
              <w:rPr>
                <w:rFonts w:ascii="Arial" w:hAnsi="Arial" w:cs="Arial"/>
                <w:b/>
                <w:sz w:val="18"/>
                <w:szCs w:val="18"/>
              </w:rPr>
            </w:pPr>
            <w:r w:rsidRPr="002971AA">
              <w:rPr>
                <w:rFonts w:ascii="Arial" w:hAnsi="Arial" w:cs="Arial"/>
                <w:b/>
                <w:w w:val="99"/>
                <w:sz w:val="18"/>
                <w:szCs w:val="18"/>
              </w:rPr>
              <w:t>7</w:t>
            </w:r>
          </w:p>
        </w:tc>
        <w:tc>
          <w:tcPr>
            <w:tcW w:w="2552" w:type="dxa"/>
            <w:vAlign w:val="center"/>
          </w:tcPr>
          <w:p w14:paraId="50673436" w14:textId="77777777" w:rsidR="00FA43B0" w:rsidRPr="002971AA" w:rsidRDefault="00FA43B0" w:rsidP="008527B8">
            <w:pPr>
              <w:pStyle w:val="TableParagraph"/>
              <w:spacing w:before="83"/>
              <w:ind w:left="508" w:right="378" w:hanging="106"/>
              <w:jc w:val="center"/>
              <w:rPr>
                <w:rFonts w:ascii="Arial" w:hAnsi="Arial" w:cs="Arial"/>
                <w:b/>
                <w:sz w:val="18"/>
                <w:szCs w:val="18"/>
              </w:rPr>
            </w:pPr>
            <w:r w:rsidRPr="002971AA">
              <w:rPr>
                <w:rFonts w:ascii="Arial" w:hAnsi="Arial" w:cs="Arial"/>
                <w:b/>
                <w:sz w:val="18"/>
                <w:szCs w:val="18"/>
              </w:rPr>
              <w:t>Guangzhou Wondfo Biotech Co., LTD.</w:t>
            </w:r>
          </w:p>
        </w:tc>
        <w:tc>
          <w:tcPr>
            <w:tcW w:w="3968" w:type="dxa"/>
            <w:vAlign w:val="center"/>
          </w:tcPr>
          <w:p w14:paraId="224AD948" w14:textId="77777777" w:rsidR="00FA43B0" w:rsidRPr="002971AA" w:rsidRDefault="00FA43B0" w:rsidP="008527B8">
            <w:pPr>
              <w:pStyle w:val="TableParagraph"/>
              <w:spacing w:before="85"/>
              <w:ind w:left="304" w:right="232" w:hanging="48"/>
              <w:jc w:val="center"/>
              <w:rPr>
                <w:rFonts w:ascii="Arial" w:hAnsi="Arial" w:cs="Arial"/>
                <w:sz w:val="18"/>
                <w:szCs w:val="18"/>
              </w:rPr>
            </w:pPr>
            <w:r w:rsidRPr="002971AA">
              <w:rPr>
                <w:rFonts w:ascii="Arial" w:hAnsi="Arial" w:cs="Arial"/>
                <w:sz w:val="18"/>
                <w:szCs w:val="18"/>
              </w:rPr>
              <w:t>Wondfo 2019-nCoV Antigen Test (Lateral Flow Method)</w:t>
            </w:r>
          </w:p>
        </w:tc>
      </w:tr>
      <w:tr w:rsidR="00FA43B0" w:rsidRPr="002971AA" w14:paraId="484AD28D" w14:textId="77777777" w:rsidTr="002A5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0"/>
        </w:trPr>
        <w:tc>
          <w:tcPr>
            <w:tcW w:w="425" w:type="dxa"/>
            <w:shd w:val="clear" w:color="auto" w:fill="ACB9CA"/>
            <w:vAlign w:val="center"/>
          </w:tcPr>
          <w:p w14:paraId="057F9F2A" w14:textId="77777777" w:rsidR="00FA43B0" w:rsidRPr="002971AA" w:rsidRDefault="00FA43B0" w:rsidP="008527B8">
            <w:pPr>
              <w:pStyle w:val="TableParagraph"/>
              <w:ind w:left="6"/>
              <w:jc w:val="center"/>
              <w:rPr>
                <w:rFonts w:ascii="Arial" w:hAnsi="Arial" w:cs="Arial"/>
                <w:b/>
                <w:sz w:val="18"/>
                <w:szCs w:val="18"/>
              </w:rPr>
            </w:pPr>
            <w:r w:rsidRPr="002971AA">
              <w:rPr>
                <w:rFonts w:ascii="Arial" w:hAnsi="Arial" w:cs="Arial"/>
                <w:b/>
                <w:w w:val="99"/>
                <w:sz w:val="18"/>
                <w:szCs w:val="18"/>
              </w:rPr>
              <w:t>8</w:t>
            </w:r>
          </w:p>
        </w:tc>
        <w:tc>
          <w:tcPr>
            <w:tcW w:w="2552" w:type="dxa"/>
            <w:vAlign w:val="center"/>
          </w:tcPr>
          <w:p w14:paraId="0C09C93B" w14:textId="77777777" w:rsidR="00FA43B0" w:rsidRPr="002971AA" w:rsidRDefault="00FA43B0" w:rsidP="008527B8">
            <w:pPr>
              <w:pStyle w:val="TableParagraph"/>
              <w:spacing w:before="83"/>
              <w:ind w:left="988" w:right="176" w:hanging="785"/>
              <w:jc w:val="center"/>
              <w:rPr>
                <w:rFonts w:ascii="Arial" w:hAnsi="Arial" w:cs="Arial"/>
                <w:b/>
                <w:sz w:val="18"/>
                <w:szCs w:val="18"/>
              </w:rPr>
            </w:pPr>
            <w:r w:rsidRPr="002971AA">
              <w:rPr>
                <w:rFonts w:ascii="Arial" w:hAnsi="Arial" w:cs="Arial"/>
                <w:b/>
                <w:sz w:val="18"/>
                <w:szCs w:val="18"/>
              </w:rPr>
              <w:t>AMEDA Labordiagnostik GmbH</w:t>
            </w:r>
          </w:p>
        </w:tc>
        <w:tc>
          <w:tcPr>
            <w:tcW w:w="3968" w:type="dxa"/>
            <w:vAlign w:val="center"/>
          </w:tcPr>
          <w:p w14:paraId="6E798E09" w14:textId="77777777" w:rsidR="00FA43B0" w:rsidRPr="002971AA" w:rsidRDefault="00FA43B0" w:rsidP="008527B8">
            <w:pPr>
              <w:pStyle w:val="TableParagraph"/>
              <w:spacing w:before="85"/>
              <w:ind w:left="1269" w:right="142" w:hanging="1102"/>
              <w:jc w:val="center"/>
              <w:rPr>
                <w:rFonts w:ascii="Arial" w:hAnsi="Arial" w:cs="Arial"/>
                <w:sz w:val="18"/>
                <w:szCs w:val="18"/>
              </w:rPr>
            </w:pPr>
            <w:r w:rsidRPr="002971AA">
              <w:rPr>
                <w:rFonts w:ascii="Arial" w:hAnsi="Arial" w:cs="Arial"/>
                <w:sz w:val="18"/>
                <w:szCs w:val="18"/>
              </w:rPr>
              <w:t>AMP Rapid Test SARS-CoV-2 Ag</w:t>
            </w:r>
          </w:p>
        </w:tc>
      </w:tr>
      <w:tr w:rsidR="00FA43B0" w:rsidRPr="002971AA" w14:paraId="54431341" w14:textId="77777777" w:rsidTr="002A5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0"/>
        </w:trPr>
        <w:tc>
          <w:tcPr>
            <w:tcW w:w="425" w:type="dxa"/>
            <w:shd w:val="clear" w:color="auto" w:fill="ACB9CA"/>
            <w:vAlign w:val="center"/>
          </w:tcPr>
          <w:p w14:paraId="797C389F" w14:textId="77777777" w:rsidR="00FA43B0" w:rsidRPr="002971AA" w:rsidRDefault="00FA43B0" w:rsidP="008527B8">
            <w:pPr>
              <w:pStyle w:val="TableParagraph"/>
              <w:ind w:left="6"/>
              <w:jc w:val="center"/>
              <w:rPr>
                <w:rFonts w:ascii="Arial" w:hAnsi="Arial" w:cs="Arial"/>
                <w:b/>
                <w:sz w:val="18"/>
                <w:szCs w:val="18"/>
              </w:rPr>
            </w:pPr>
            <w:r w:rsidRPr="002971AA">
              <w:rPr>
                <w:rFonts w:ascii="Arial" w:hAnsi="Arial" w:cs="Arial"/>
                <w:b/>
                <w:w w:val="99"/>
                <w:sz w:val="18"/>
                <w:szCs w:val="18"/>
              </w:rPr>
              <w:t>9</w:t>
            </w:r>
          </w:p>
        </w:tc>
        <w:tc>
          <w:tcPr>
            <w:tcW w:w="2552" w:type="dxa"/>
            <w:vAlign w:val="center"/>
          </w:tcPr>
          <w:p w14:paraId="2D951DF4" w14:textId="77777777" w:rsidR="00FA43B0" w:rsidRPr="002971AA" w:rsidRDefault="00FA43B0" w:rsidP="008527B8">
            <w:pPr>
              <w:pStyle w:val="TableParagraph"/>
              <w:ind w:left="93" w:right="86"/>
              <w:jc w:val="center"/>
              <w:rPr>
                <w:rFonts w:ascii="Arial" w:hAnsi="Arial" w:cs="Arial"/>
                <w:b/>
                <w:sz w:val="18"/>
                <w:szCs w:val="18"/>
              </w:rPr>
            </w:pPr>
            <w:r w:rsidRPr="002971AA">
              <w:rPr>
                <w:rFonts w:ascii="Arial" w:hAnsi="Arial" w:cs="Arial"/>
                <w:b/>
                <w:sz w:val="18"/>
                <w:szCs w:val="18"/>
              </w:rPr>
              <w:t>Beijing Lepu Medical</w:t>
            </w:r>
          </w:p>
        </w:tc>
        <w:tc>
          <w:tcPr>
            <w:tcW w:w="3968" w:type="dxa"/>
            <w:vAlign w:val="center"/>
          </w:tcPr>
          <w:p w14:paraId="4CAAEC96" w14:textId="77777777" w:rsidR="00FA43B0" w:rsidRPr="002971AA" w:rsidRDefault="008527B8" w:rsidP="008527B8">
            <w:pPr>
              <w:pStyle w:val="TableParagraph"/>
              <w:spacing w:before="85"/>
              <w:ind w:left="528" w:right="76" w:hanging="425"/>
              <w:jc w:val="center"/>
              <w:rPr>
                <w:rFonts w:ascii="Arial" w:hAnsi="Arial" w:cs="Arial"/>
                <w:sz w:val="18"/>
                <w:szCs w:val="18"/>
              </w:rPr>
            </w:pPr>
            <w:r w:rsidRPr="002971AA">
              <w:rPr>
                <w:rFonts w:ascii="Arial" w:hAnsi="Arial" w:cs="Arial"/>
                <w:sz w:val="18"/>
                <w:szCs w:val="18"/>
              </w:rPr>
              <w:t>Nasocheck comfort SARS-CoV-</w:t>
            </w:r>
            <w:r w:rsidR="00FA43B0" w:rsidRPr="002971AA">
              <w:rPr>
                <w:rFonts w:ascii="Arial" w:hAnsi="Arial" w:cs="Arial"/>
                <w:sz w:val="18"/>
                <w:szCs w:val="18"/>
              </w:rPr>
              <w:t>2 Antigen-Schnelltest</w:t>
            </w:r>
          </w:p>
        </w:tc>
      </w:tr>
      <w:tr w:rsidR="00FA43B0" w:rsidRPr="002971AA" w14:paraId="1647A67C" w14:textId="77777777" w:rsidTr="002A5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0"/>
        </w:trPr>
        <w:tc>
          <w:tcPr>
            <w:tcW w:w="425" w:type="dxa"/>
            <w:shd w:val="clear" w:color="auto" w:fill="ACB9CA"/>
            <w:vAlign w:val="center"/>
          </w:tcPr>
          <w:p w14:paraId="2C467982" w14:textId="77777777" w:rsidR="00FA43B0" w:rsidRPr="002971AA" w:rsidRDefault="00FA43B0" w:rsidP="008527B8">
            <w:pPr>
              <w:pStyle w:val="TableParagraph"/>
              <w:ind w:left="61" w:right="50"/>
              <w:jc w:val="center"/>
              <w:rPr>
                <w:rFonts w:ascii="Arial" w:hAnsi="Arial" w:cs="Arial"/>
                <w:b/>
                <w:sz w:val="18"/>
                <w:szCs w:val="18"/>
              </w:rPr>
            </w:pPr>
            <w:r w:rsidRPr="002971AA">
              <w:rPr>
                <w:rFonts w:ascii="Arial" w:hAnsi="Arial" w:cs="Arial"/>
                <w:b/>
                <w:sz w:val="18"/>
                <w:szCs w:val="18"/>
              </w:rPr>
              <w:t>10</w:t>
            </w:r>
          </w:p>
        </w:tc>
        <w:tc>
          <w:tcPr>
            <w:tcW w:w="2552" w:type="dxa"/>
            <w:vAlign w:val="center"/>
          </w:tcPr>
          <w:p w14:paraId="26B0425A" w14:textId="77777777" w:rsidR="00FA43B0" w:rsidRPr="002971AA" w:rsidRDefault="00FA43B0" w:rsidP="008527B8">
            <w:pPr>
              <w:pStyle w:val="TableParagraph"/>
              <w:ind w:left="93" w:right="86"/>
              <w:jc w:val="center"/>
              <w:rPr>
                <w:rFonts w:ascii="Arial" w:hAnsi="Arial" w:cs="Arial"/>
                <w:b/>
                <w:sz w:val="18"/>
                <w:szCs w:val="18"/>
              </w:rPr>
            </w:pPr>
            <w:r w:rsidRPr="002971AA">
              <w:rPr>
                <w:rFonts w:ascii="Arial" w:hAnsi="Arial" w:cs="Arial"/>
                <w:b/>
                <w:sz w:val="18"/>
                <w:szCs w:val="18"/>
              </w:rPr>
              <w:t>Getein Biotech, Inc.</w:t>
            </w:r>
          </w:p>
        </w:tc>
        <w:tc>
          <w:tcPr>
            <w:tcW w:w="3968" w:type="dxa"/>
            <w:vAlign w:val="center"/>
          </w:tcPr>
          <w:p w14:paraId="52EE2D2B" w14:textId="77777777" w:rsidR="00FA43B0" w:rsidRPr="002971AA" w:rsidRDefault="008527B8" w:rsidP="008527B8">
            <w:pPr>
              <w:pStyle w:val="TableParagraph"/>
              <w:spacing w:before="85"/>
              <w:ind w:left="518" w:right="266" w:hanging="240"/>
              <w:jc w:val="center"/>
              <w:rPr>
                <w:rFonts w:ascii="Arial" w:hAnsi="Arial" w:cs="Arial"/>
                <w:sz w:val="18"/>
                <w:szCs w:val="18"/>
              </w:rPr>
            </w:pPr>
            <w:r w:rsidRPr="002971AA">
              <w:rPr>
                <w:rFonts w:ascii="Arial" w:hAnsi="Arial" w:cs="Arial"/>
                <w:sz w:val="18"/>
                <w:szCs w:val="18"/>
              </w:rPr>
              <w:t>Getein –</w:t>
            </w:r>
            <w:r w:rsidR="00FA43B0" w:rsidRPr="002971AA">
              <w:rPr>
                <w:rFonts w:ascii="Arial" w:hAnsi="Arial" w:cs="Arial"/>
                <w:sz w:val="18"/>
                <w:szCs w:val="18"/>
              </w:rPr>
              <w:t xml:space="preserve"> Einstufiger Test für SARS-CoV-2 Antigen</w:t>
            </w:r>
          </w:p>
        </w:tc>
      </w:tr>
      <w:tr w:rsidR="00FA43B0" w:rsidRPr="002971AA" w14:paraId="30B3C3FF" w14:textId="77777777" w:rsidTr="002A5A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0"/>
        </w:trPr>
        <w:tc>
          <w:tcPr>
            <w:tcW w:w="425" w:type="dxa"/>
            <w:shd w:val="clear" w:color="auto" w:fill="ACB9CA"/>
            <w:vAlign w:val="center"/>
          </w:tcPr>
          <w:p w14:paraId="55CAB10C" w14:textId="77777777" w:rsidR="00FA43B0" w:rsidRPr="002971AA" w:rsidRDefault="00FA43B0" w:rsidP="008527B8">
            <w:pPr>
              <w:pStyle w:val="TableParagraph"/>
              <w:ind w:left="61" w:right="50"/>
              <w:jc w:val="center"/>
              <w:rPr>
                <w:rFonts w:ascii="Arial" w:hAnsi="Arial" w:cs="Arial"/>
                <w:b/>
                <w:sz w:val="18"/>
                <w:szCs w:val="18"/>
              </w:rPr>
            </w:pPr>
            <w:r w:rsidRPr="002971AA">
              <w:rPr>
                <w:rFonts w:ascii="Arial" w:hAnsi="Arial" w:cs="Arial"/>
                <w:b/>
                <w:sz w:val="18"/>
                <w:szCs w:val="18"/>
              </w:rPr>
              <w:t>11</w:t>
            </w:r>
          </w:p>
        </w:tc>
        <w:tc>
          <w:tcPr>
            <w:tcW w:w="2552" w:type="dxa"/>
            <w:vAlign w:val="center"/>
          </w:tcPr>
          <w:p w14:paraId="5BF6F692" w14:textId="77777777" w:rsidR="00FA43B0" w:rsidRPr="002971AA" w:rsidRDefault="00FA43B0" w:rsidP="008527B8">
            <w:pPr>
              <w:pStyle w:val="TableParagraph"/>
              <w:spacing w:before="153"/>
              <w:ind w:left="218" w:right="192" w:firstLine="84"/>
              <w:jc w:val="center"/>
              <w:rPr>
                <w:rFonts w:ascii="Arial" w:hAnsi="Arial" w:cs="Arial"/>
                <w:b/>
                <w:sz w:val="18"/>
                <w:szCs w:val="18"/>
              </w:rPr>
            </w:pPr>
            <w:r w:rsidRPr="002971AA">
              <w:rPr>
                <w:rFonts w:ascii="Arial" w:hAnsi="Arial" w:cs="Arial"/>
                <w:b/>
                <w:sz w:val="18"/>
                <w:szCs w:val="18"/>
              </w:rPr>
              <w:t>New Gene (Hangzhou) Bioengineering Co., Ltd.</w:t>
            </w:r>
          </w:p>
        </w:tc>
        <w:tc>
          <w:tcPr>
            <w:tcW w:w="3968" w:type="dxa"/>
            <w:vAlign w:val="center"/>
          </w:tcPr>
          <w:p w14:paraId="2C5E1762" w14:textId="77777777" w:rsidR="00FA43B0" w:rsidRPr="002971AA" w:rsidRDefault="00FA43B0" w:rsidP="008527B8">
            <w:pPr>
              <w:pStyle w:val="TableParagraph"/>
              <w:spacing w:before="155"/>
              <w:ind w:left="309" w:right="202" w:hanging="82"/>
              <w:jc w:val="center"/>
              <w:rPr>
                <w:rFonts w:ascii="Arial" w:hAnsi="Arial" w:cs="Arial"/>
                <w:sz w:val="18"/>
                <w:szCs w:val="18"/>
              </w:rPr>
            </w:pPr>
            <w:r w:rsidRPr="002971AA">
              <w:rPr>
                <w:rFonts w:ascii="Arial" w:hAnsi="Arial" w:cs="Arial"/>
                <w:sz w:val="18"/>
                <w:szCs w:val="18"/>
              </w:rPr>
              <w:t>NEWGENE</w:t>
            </w:r>
            <w:r w:rsidR="00950EBB" w:rsidRPr="002971AA">
              <w:rPr>
                <w:rFonts w:ascii="Arial" w:hAnsi="Arial" w:cs="Arial"/>
                <w:sz w:val="18"/>
                <w:szCs w:val="18"/>
              </w:rPr>
              <w:t xml:space="preserve"> Covid19 Antigen Detection Kit –</w:t>
            </w:r>
            <w:r w:rsidRPr="002971AA">
              <w:rPr>
                <w:rFonts w:ascii="Arial" w:hAnsi="Arial" w:cs="Arial"/>
                <w:sz w:val="18"/>
                <w:szCs w:val="18"/>
              </w:rPr>
              <w:t xml:space="preserve"> Nasal Swab</w:t>
            </w:r>
          </w:p>
        </w:tc>
      </w:tr>
    </w:tbl>
    <w:p w14:paraId="7B72ECB8" w14:textId="77777777" w:rsidR="009B7130" w:rsidRDefault="009B7130" w:rsidP="009B7130">
      <w:pPr>
        <w:pStyle w:val="LTAntwortRessortText"/>
      </w:pPr>
    </w:p>
    <w:p w14:paraId="02F03BF2" w14:textId="77777777" w:rsidR="009B7130" w:rsidRDefault="009B7130">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9B7130" w14:paraId="10805A23" w14:textId="77777777" w:rsidTr="007B0B33">
        <w:tc>
          <w:tcPr>
            <w:tcW w:w="2050" w:type="dxa"/>
          </w:tcPr>
          <w:p w14:paraId="55385202" w14:textId="77777777" w:rsidR="009B7130" w:rsidRDefault="009B7130" w:rsidP="009B7130">
            <w:pPr>
              <w:pStyle w:val="LTAnfrageInitiator"/>
            </w:pPr>
            <w:r>
              <w:lastRenderedPageBreak/>
              <w:t>Abgeordneter</w:t>
            </w:r>
            <w:r>
              <w:rPr>
                <w:b/>
              </w:rPr>
              <w:br/>
              <w:t>Andreas</w:t>
            </w:r>
            <w:r>
              <w:rPr>
                <w:b/>
              </w:rPr>
              <w:br/>
              <w:t>Winhart</w:t>
            </w:r>
            <w:r>
              <w:rPr>
                <w:b/>
              </w:rPr>
              <w:br/>
            </w:r>
            <w:r>
              <w:t>(AfD)</w:t>
            </w:r>
            <w:bookmarkStart w:id="129" w:name="Frage_Nr_64"/>
            <w:bookmarkEnd w:id="129"/>
          </w:p>
        </w:tc>
        <w:tc>
          <w:tcPr>
            <w:tcW w:w="7200" w:type="dxa"/>
          </w:tcPr>
          <w:p w14:paraId="6CAEFF2D" w14:textId="77777777" w:rsidR="009B7130" w:rsidRDefault="004955C6" w:rsidP="009B7130">
            <w:pPr>
              <w:pStyle w:val="LTAnfrageText"/>
            </w:pPr>
            <w:r w:rsidRPr="004955C6">
              <w:rPr>
                <w:szCs w:val="24"/>
              </w:rPr>
              <w:t>Ich frage die Staatsregierung, wie viele Dosen des Novavax-Impfstoffes Nuvaxovid stehen zum Start der Vergabe in Bayern zu Verfügung, wie verteilt sich die Dosen auf die Impfzentren (bitte Menge an Dosen nach Impfzentrum auflisten) und wie viele Dosen stehen in Kliniken der Arztpraxen zu Verfügung (bitte nach Dosen in Arztpraxen nach Regierungsbezirk auflisten, sowie nach Kliniken/ Klinikverbund auflisten und bei den Kliniken bitte angeben und jeweils sofern möglich Verfügbarkeit der Dosen in Praxen und Kliniken für Patienten oder Angestellte angeben)?</w:t>
            </w:r>
          </w:p>
        </w:tc>
      </w:tr>
    </w:tbl>
    <w:p w14:paraId="270E9CB3" w14:textId="77777777" w:rsidR="009B7130" w:rsidRDefault="009B7130" w:rsidP="009B7130">
      <w:pPr>
        <w:pStyle w:val="LTUeberschrAntwortRessort"/>
      </w:pPr>
      <w:r>
        <w:t>Antwort des Staatsministeriums für Gesundheit und Pflege</w:t>
      </w:r>
    </w:p>
    <w:p w14:paraId="769E4A67" w14:textId="77777777" w:rsidR="009B7130" w:rsidRDefault="009B7130" w:rsidP="009B7130">
      <w:pPr>
        <w:pStyle w:val="LTAntwortRessortText"/>
      </w:pPr>
      <w:r>
        <w:t>Nach den Informationen des Bundesgesundheitsministeriums wird der Bund mit dem Impfstoff</w:t>
      </w:r>
      <w:r w:rsidR="00E5708E">
        <w:t xml:space="preserve"> </w:t>
      </w:r>
      <w:r>
        <w:t xml:space="preserve">Nuvaxovid® von Novavax voraussichtlich noch in </w:t>
      </w:r>
      <w:r w:rsidR="005344C0">
        <w:t>Kalenderwoche</w:t>
      </w:r>
      <w:r>
        <w:t xml:space="preserve"> 8 beliefert. Den Ländern wird der Impfstoff</w:t>
      </w:r>
      <w:r w:rsidR="00E5708E">
        <w:t xml:space="preserve"> </w:t>
      </w:r>
      <w:r>
        <w:t>voraussichtlich nach dem Bevölkerungsschlüssel zu</w:t>
      </w:r>
      <w:r w:rsidR="005344C0">
        <w:t>geteilt. Bayern rechnet mit 225 </w:t>
      </w:r>
      <w:r>
        <w:t>000 Impfdosen,</w:t>
      </w:r>
      <w:r w:rsidR="00E5708E">
        <w:t xml:space="preserve"> </w:t>
      </w:r>
      <w:r>
        <w:t>die nach Abholung beim Bund an die Impfzentren verteilt werden können.</w:t>
      </w:r>
      <w:r w:rsidR="00E5708E">
        <w:t xml:space="preserve"> </w:t>
      </w:r>
      <w:r>
        <w:t>Die Verimpfung soll grundsätzlich durch die Impfzentren erfolgen, ggf. auch durch Krankenhäuser</w:t>
      </w:r>
      <w:r w:rsidR="00E5708E">
        <w:t xml:space="preserve"> </w:t>
      </w:r>
      <w:r>
        <w:t>und Arztpraxen und Betriebsärztinnen und -ärzte, die insoweit mit Impfzentren zusammenarbeiten</w:t>
      </w:r>
      <w:r w:rsidR="00E5708E">
        <w:t xml:space="preserve"> </w:t>
      </w:r>
      <w:r>
        <w:t>und durch diese mit Impfstoff versorgt werden.</w:t>
      </w:r>
    </w:p>
    <w:p w14:paraId="31994748" w14:textId="77777777" w:rsidR="009B7130" w:rsidRDefault="009B7130" w:rsidP="009B7130">
      <w:pPr>
        <w:pStyle w:val="LTAntwortRessortText"/>
      </w:pPr>
      <w:r>
        <w:t>Die konkrete Mengenverteilung an die Regierungsbezirke orientiert sich am</w:t>
      </w:r>
      <w:r w:rsidR="00E5708E">
        <w:t xml:space="preserve"> </w:t>
      </w:r>
      <w:r>
        <w:t>Bevölkerungsschlüssel und am gemeldeten Bedarf der Impfzentren, welcher die abzudeckenden</w:t>
      </w:r>
      <w:r w:rsidR="00E5708E">
        <w:t xml:space="preserve"> </w:t>
      </w:r>
      <w:r>
        <w:t>Impfungen von Klinikangestellten und Angestellten aus niedergelassenen Praxen</w:t>
      </w:r>
      <w:r w:rsidR="00E5708E">
        <w:t xml:space="preserve"> </w:t>
      </w:r>
      <w:r>
        <w:t>mitberücksichtigt, und steht daher noch nicht abschließend fest.</w:t>
      </w:r>
    </w:p>
    <w:p w14:paraId="6050645B" w14:textId="77777777" w:rsidR="009B7130" w:rsidRDefault="009B7130" w:rsidP="009B7130">
      <w:pPr>
        <w:pStyle w:val="LTAntwortRessortText"/>
      </w:pPr>
      <w:bookmarkStart w:id="130" w:name="Frage_Nr_64_Ende"/>
      <w:bookmarkEnd w:id="130"/>
    </w:p>
    <w:sectPr w:rsidR="009B7130" w:rsidSect="00F00864">
      <w:headerReference w:type="even" r:id="rId16"/>
      <w:headerReference w:type="default" r:id="rId17"/>
      <w:footerReference w:type="default" r:id="rId18"/>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1EC9B" w14:textId="77777777" w:rsidR="00A82127" w:rsidRDefault="00A82127">
      <w:r>
        <w:separator/>
      </w:r>
    </w:p>
  </w:endnote>
  <w:endnote w:type="continuationSeparator" w:id="0">
    <w:p w14:paraId="353D462C" w14:textId="77777777" w:rsidR="00A82127" w:rsidRDefault="00A8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6F6E" w14:textId="77777777" w:rsidR="00A82127" w:rsidRDefault="00A82127"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D768" w14:textId="77777777" w:rsidR="00A82127" w:rsidRPr="009C32BE" w:rsidRDefault="00A82127"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EF23" w14:textId="77777777" w:rsidR="00A82127" w:rsidRPr="00311533" w:rsidRDefault="00A82127"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E9A13" w14:textId="77777777" w:rsidR="00A82127" w:rsidRDefault="00A82127">
      <w:r>
        <w:separator/>
      </w:r>
    </w:p>
  </w:footnote>
  <w:footnote w:type="continuationSeparator" w:id="0">
    <w:p w14:paraId="74B92E87" w14:textId="77777777" w:rsidR="00A82127" w:rsidRDefault="00A82127">
      <w:r>
        <w:continuationSeparator/>
      </w:r>
    </w:p>
  </w:footnote>
  <w:footnote w:id="1">
    <w:p w14:paraId="21A40B34" w14:textId="43B2E38E" w:rsidR="00A82127" w:rsidRDefault="00A82127" w:rsidP="009D404B">
      <w:pPr>
        <w:pStyle w:val="Funotentext"/>
        <w:ind w:left="340" w:hanging="340"/>
      </w:pPr>
      <w:r w:rsidRPr="00CE1C88">
        <w:rPr>
          <w:rStyle w:val="Funotenzeichen"/>
          <w:rFonts w:cs="Arial"/>
          <w:sz w:val="16"/>
          <w:szCs w:val="16"/>
        </w:rPr>
        <w:footnoteRef/>
      </w:r>
      <w:r w:rsidRPr="00CE1C88">
        <w:rPr>
          <w:rFonts w:cs="Arial"/>
          <w:sz w:val="16"/>
          <w:szCs w:val="16"/>
        </w:rPr>
        <w:tab/>
        <w:t xml:space="preserve">vgl. </w:t>
      </w:r>
      <w:hyperlink r:id="rId1" w:history="1">
        <w:r w:rsidRPr="003059C0">
          <w:rPr>
            <w:rStyle w:val="LTHyperlinkZchn"/>
            <w:b w:val="0"/>
            <w:sz w:val="16"/>
          </w:rPr>
          <w:t>https://beg.bahnland-bayern.de/de/regio-s-bahn</w:t>
        </w:r>
      </w:hyperlink>
      <w:r w:rsidRPr="003059C0">
        <w:rPr>
          <w:rStyle w:val="LTHyperlinkZchn"/>
          <w:b w:val="0"/>
          <w:sz w:val="16"/>
        </w:rPr>
        <w:t xml:space="preserve"> und </w:t>
      </w:r>
      <w:hyperlink r:id="rId2" w:history="1">
        <w:r w:rsidRPr="003059C0">
          <w:rPr>
            <w:rStyle w:val="LTHyperlinkZchn"/>
            <w:b w:val="0"/>
            <w:sz w:val="16"/>
          </w:rPr>
          <w:t>https://www.regensburg.de/leben/verkehr-u-mobilitaet/bus-und-bahn/spnv-entwicklungskonzept-raum-regensburg</w:t>
        </w:r>
      </w:hyperlink>
    </w:p>
  </w:footnote>
  <w:footnote w:id="2">
    <w:p w14:paraId="2D4E8ADB" w14:textId="40D0968D" w:rsidR="00A82127" w:rsidRDefault="00A82127" w:rsidP="00E70B7A">
      <w:pPr>
        <w:adjustRightInd w:val="0"/>
        <w:ind w:left="340" w:hanging="340"/>
      </w:pPr>
      <w:r w:rsidRPr="00616DD1">
        <w:rPr>
          <w:rStyle w:val="Funotenzeichen"/>
          <w:rFonts w:cs="Arial"/>
          <w:sz w:val="16"/>
          <w:szCs w:val="16"/>
        </w:rPr>
        <w:footnoteRef/>
      </w:r>
      <w:r w:rsidRPr="00616DD1">
        <w:rPr>
          <w:rFonts w:cs="Arial"/>
          <w:sz w:val="16"/>
          <w:szCs w:val="16"/>
        </w:rPr>
        <w:tab/>
        <w:t xml:space="preserve">vgl. </w:t>
      </w:r>
      <w:hyperlink r:id="rId3" w:history="1">
        <w:r w:rsidRPr="00E70B7A">
          <w:rPr>
            <w:rStyle w:val="LTHyperlinkZchn"/>
            <w:b w:val="0"/>
            <w:sz w:val="16"/>
          </w:rPr>
          <w:t>https://www.imperial.ac.uk/media/imperial-college/institute-of-global-health-innovation/R17_final.pdf</w:t>
        </w:r>
      </w:hyperlink>
    </w:p>
  </w:footnote>
  <w:footnote w:id="3">
    <w:p w14:paraId="3931B98B" w14:textId="1D2C8281" w:rsidR="00A82127" w:rsidRDefault="00A82127" w:rsidP="00E70B7A">
      <w:pPr>
        <w:pStyle w:val="Funotentext"/>
        <w:ind w:left="340" w:hanging="340"/>
      </w:pPr>
      <w:r w:rsidRPr="00616DD1">
        <w:rPr>
          <w:rStyle w:val="Funotenzeichen"/>
          <w:rFonts w:cs="Arial"/>
          <w:sz w:val="16"/>
          <w:szCs w:val="16"/>
        </w:rPr>
        <w:footnoteRef/>
      </w:r>
      <w:r w:rsidRPr="00616DD1">
        <w:rPr>
          <w:rFonts w:cs="Arial"/>
          <w:sz w:val="16"/>
          <w:szCs w:val="16"/>
        </w:rPr>
        <w:tab/>
        <w:t xml:space="preserve">vgl. </w:t>
      </w:r>
      <w:hyperlink r:id="rId4" w:history="1">
        <w:r w:rsidRPr="00E70B7A">
          <w:rPr>
            <w:rStyle w:val="LTHyperlinkZchn"/>
            <w:b w:val="0"/>
            <w:sz w:val="16"/>
          </w:rPr>
          <w:t>https://www.youtube.com/watch?v=c32vDjyNE-M&amp;t=336s - Min. 11:25</w:t>
        </w:r>
      </w:hyperlink>
    </w:p>
  </w:footnote>
  <w:footnote w:id="4">
    <w:p w14:paraId="43A7D5FF" w14:textId="4F975C30" w:rsidR="00A82127" w:rsidRDefault="00A82127" w:rsidP="00E70B7A">
      <w:pPr>
        <w:pStyle w:val="Funotentext"/>
        <w:ind w:left="340" w:hanging="340"/>
      </w:pPr>
      <w:r w:rsidRPr="00616DD1">
        <w:rPr>
          <w:rStyle w:val="Funotenzeichen"/>
          <w:rFonts w:cs="Arial"/>
          <w:sz w:val="16"/>
          <w:szCs w:val="16"/>
        </w:rPr>
        <w:footnoteRef/>
      </w:r>
      <w:r w:rsidRPr="00616DD1">
        <w:rPr>
          <w:rFonts w:cs="Arial"/>
          <w:sz w:val="16"/>
          <w:szCs w:val="16"/>
        </w:rPr>
        <w:tab/>
        <w:t xml:space="preserve">vgl. </w:t>
      </w:r>
      <w:hyperlink r:id="rId5" w:history="1">
        <w:r w:rsidRPr="00E70B7A">
          <w:rPr>
            <w:rStyle w:val="LTHyperlinkZchn"/>
            <w:b w:val="0"/>
            <w:sz w:val="16"/>
          </w:rPr>
          <w:t>https://stacks.cdc.gov/view/cdc/113253</w:t>
        </w:r>
      </w:hyperlink>
    </w:p>
  </w:footnote>
  <w:footnote w:id="5">
    <w:p w14:paraId="18C982F0" w14:textId="7CB888A8" w:rsidR="00A82127" w:rsidRDefault="00A82127" w:rsidP="00E70B7A">
      <w:pPr>
        <w:pStyle w:val="Funotentext"/>
        <w:ind w:left="340" w:hanging="340"/>
      </w:pPr>
      <w:r w:rsidRPr="00616DD1">
        <w:rPr>
          <w:rStyle w:val="Funotenzeichen"/>
          <w:rFonts w:cs="Arial"/>
          <w:sz w:val="16"/>
          <w:szCs w:val="16"/>
        </w:rPr>
        <w:footnoteRef/>
      </w:r>
      <w:r w:rsidRPr="00616DD1">
        <w:rPr>
          <w:rFonts w:cs="Arial"/>
          <w:sz w:val="16"/>
          <w:szCs w:val="16"/>
        </w:rPr>
        <w:tab/>
        <w:t xml:space="preserve">vgl. </w:t>
      </w:r>
      <w:hyperlink r:id="rId6" w:history="1">
        <w:r w:rsidRPr="00E70B7A">
          <w:rPr>
            <w:rStyle w:val="LTHyperlinkZchn"/>
            <w:b w:val="0"/>
            <w:sz w:val="16"/>
          </w:rPr>
          <w:t>https://www.cdc.gov/mmwr/volumes/71/wr/pdfs/mm7104e1-H.pdf</w:t>
        </w:r>
      </w:hyperlink>
    </w:p>
  </w:footnote>
  <w:footnote w:id="6">
    <w:p w14:paraId="05B0E8DD" w14:textId="4E5F9276" w:rsidR="00A82127" w:rsidRDefault="00A82127" w:rsidP="00215833">
      <w:pPr>
        <w:pStyle w:val="Funotentext"/>
        <w:ind w:left="340" w:hanging="340"/>
      </w:pPr>
      <w:r w:rsidRPr="00215833">
        <w:rPr>
          <w:rStyle w:val="Funotenzeichen"/>
          <w:sz w:val="16"/>
        </w:rPr>
        <w:footnoteRef/>
      </w:r>
      <w:r w:rsidRPr="00215833">
        <w:rPr>
          <w:sz w:val="16"/>
        </w:rPr>
        <w:tab/>
      </w:r>
      <w:hyperlink r:id="rId7" w:history="1">
        <w:r w:rsidRPr="00215833">
          <w:rPr>
            <w:rStyle w:val="LTHyperlinkZchn"/>
            <w:b w:val="0"/>
            <w:sz w:val="16"/>
          </w:rPr>
          <w:t>https://www.bundestag.de/resource/blob/853838/7d57cadb91551b3f2c00e7094f8bf875/WD-9-045-21-pdf-data.pdf</w:t>
        </w:r>
      </w:hyperlink>
    </w:p>
  </w:footnote>
  <w:footnote w:id="7">
    <w:p w14:paraId="6EE2182F" w14:textId="43829567" w:rsidR="00A82127" w:rsidRDefault="00A82127" w:rsidP="00445B62">
      <w:pPr>
        <w:pStyle w:val="Funotentext"/>
        <w:ind w:left="340" w:hanging="340"/>
      </w:pPr>
      <w:r w:rsidRPr="00445B62">
        <w:rPr>
          <w:rStyle w:val="Funotenzeichen"/>
          <w:sz w:val="16"/>
        </w:rPr>
        <w:footnoteRef/>
      </w:r>
      <w:r w:rsidRPr="00445B62">
        <w:rPr>
          <w:sz w:val="16"/>
        </w:rPr>
        <w:tab/>
        <w:t xml:space="preserve">Wymant et al. 2022; Online: </w:t>
      </w:r>
      <w:hyperlink r:id="rId8" w:history="1">
        <w:r w:rsidRPr="00445B62">
          <w:rPr>
            <w:rStyle w:val="LTHyperlinkZchn"/>
            <w:b w:val="0"/>
            <w:sz w:val="16"/>
          </w:rPr>
          <w:t>https://www.science.org/doi/10.1126/science.abk1688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1EC9A" w14:textId="23744B33" w:rsidR="00A82127" w:rsidRDefault="00A82127"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2C34C7">
        <w:t>18</w:t>
      </w:r>
    </w:fldSimple>
    <w:r w:rsidRPr="00CA6785">
      <w:t>/</w:t>
    </w:r>
    <w:r>
      <w:rPr>
        <w:b/>
      </w:rPr>
      <w:fldChar w:fldCharType="begin"/>
    </w:r>
    <w:r>
      <w:rPr>
        <w:b/>
      </w:rPr>
      <w:instrText xml:space="preserve"> DOCVARIABLE  "Drsnr" \* MERGEFORMAT </w:instrText>
    </w:r>
    <w:r>
      <w:rPr>
        <w:b/>
      </w:rPr>
      <w:fldChar w:fldCharType="separate"/>
    </w:r>
    <w:r w:rsidR="002C34C7">
      <w:rPr>
        <w:b/>
      </w:rPr>
      <w:t>21505</w:t>
    </w:r>
    <w:r>
      <w:rPr>
        <w:b/>
      </w:rPr>
      <w:fldChar w:fldCharType="end"/>
    </w:r>
    <w:r>
      <w:tab/>
    </w:r>
    <w:r>
      <w:tab/>
    </w:r>
    <w:r w:rsidRPr="009A2D8C">
      <w:t>Bayerischer Landtag</w:t>
    </w:r>
    <w:r>
      <w:t xml:space="preserve"> -</w:t>
    </w:r>
    <w:fldSimple w:instr=" DOCVARIABLE  &quot;Wp&quot; \* MERGEFORMAT ">
      <w:r w:rsidR="002C34C7">
        <w:t>18</w:t>
      </w:r>
    </w:fldSimple>
    <w:r>
      <w:t>. Wahlperiode</w:t>
    </w:r>
  </w:p>
  <w:p w14:paraId="7FBE92DA" w14:textId="77777777" w:rsidR="00A82127" w:rsidRDefault="00A82127"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AE26" w14:textId="41CD128D" w:rsidR="00A82127" w:rsidRDefault="00A82127"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2C34C7">
        <w:t>18</w:t>
      </w:r>
    </w:fldSimple>
    <w:r>
      <w:t>. Wahlperiode</w:t>
    </w:r>
    <w:r>
      <w:tab/>
    </w:r>
    <w:r>
      <w:tab/>
    </w:r>
    <w:r w:rsidRPr="009A2D8C">
      <w:rPr>
        <w:b/>
      </w:rPr>
      <w:t>Drucksache</w:t>
    </w:r>
    <w:r>
      <w:rPr>
        <w:b/>
      </w:rPr>
      <w:t xml:space="preserve"> </w:t>
    </w:r>
    <w:fldSimple w:instr=" DOCVARIABLE  &quot;Wp&quot; \* MERGEFORMAT ">
      <w:r w:rsidR="002C34C7">
        <w:t>18</w:t>
      </w:r>
    </w:fldSimple>
    <w:r w:rsidRPr="00CA6785">
      <w:t>/</w:t>
    </w:r>
    <w:r>
      <w:rPr>
        <w:b/>
      </w:rPr>
      <w:fldChar w:fldCharType="begin"/>
    </w:r>
    <w:r>
      <w:rPr>
        <w:b/>
      </w:rPr>
      <w:instrText xml:space="preserve"> DOCVARIABLE  "Drsnr" \* MERGEFORMAT </w:instrText>
    </w:r>
    <w:r>
      <w:rPr>
        <w:b/>
      </w:rPr>
      <w:fldChar w:fldCharType="separate"/>
    </w:r>
    <w:r w:rsidR="002C34C7">
      <w:rPr>
        <w:b/>
      </w:rPr>
      <w:t>21505</w:t>
    </w:r>
    <w:r>
      <w:rPr>
        <w:b/>
      </w:rPr>
      <w:fldChar w:fldCharType="end"/>
    </w:r>
  </w:p>
  <w:p w14:paraId="34FEB67B" w14:textId="77777777" w:rsidR="00A82127" w:rsidRPr="00C127DA" w:rsidRDefault="00A82127"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2A58" w14:textId="72FAB93E" w:rsidR="00A82127" w:rsidRDefault="00A82127"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23BE119" wp14:editId="7E377443">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30743C08" wp14:editId="762FC4F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B403A2" w:rsidRPr="00B403A2">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B403A2">
      <w:rPr>
        <w:sz w:val="22"/>
        <w:szCs w:val="22"/>
      </w:rPr>
      <w:t>21.02.2022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B403A2" w:rsidRPr="00B403A2">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B403A2" w:rsidRPr="00B403A2">
      <w:rPr>
        <w:b/>
        <w:bCs/>
        <w:sz w:val="42"/>
        <w:szCs w:val="42"/>
      </w:rPr>
      <w:t>21505</w:t>
    </w:r>
    <w:r w:rsidRPr="00853926">
      <w:rPr>
        <w:b/>
        <w:sz w:val="42"/>
        <w:szCs w:val="42"/>
      </w:rPr>
      <w:fldChar w:fldCharType="end"/>
    </w:r>
  </w:p>
  <w:p w14:paraId="5FF85566" w14:textId="65FB6F92" w:rsidR="00A82127" w:rsidRPr="004453BF" w:rsidRDefault="00A82127"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2AEC" w14:textId="54801B86" w:rsidR="00A82127" w:rsidRPr="00A44F63" w:rsidRDefault="00A82127"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C34C7">
      <w:rPr>
        <w:rStyle w:val="Seitenzahl"/>
        <w:noProof/>
        <w:szCs w:val="20"/>
      </w:rPr>
      <w:t>84</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C34C7">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C34C7">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C34C7">
      <w:rPr>
        <w:b/>
        <w:szCs w:val="20"/>
      </w:rPr>
      <w:t>21505</w:t>
    </w:r>
    <w:r w:rsidRPr="00A44F63">
      <w:rPr>
        <w:b/>
        <w:szCs w:val="20"/>
      </w:rPr>
      <w:fldChar w:fldCharType="end"/>
    </w:r>
  </w:p>
  <w:p w14:paraId="56B99BAA" w14:textId="77777777" w:rsidR="00A82127" w:rsidRPr="00861320" w:rsidRDefault="00A82127"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7C48" w14:textId="43C64BC7" w:rsidR="00A82127" w:rsidRPr="00DE5B17" w:rsidRDefault="00A82127"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C34C7">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C34C7">
      <w:rPr>
        <w:b/>
        <w:szCs w:val="20"/>
      </w:rPr>
      <w:t>21505</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C34C7">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C34C7">
      <w:rPr>
        <w:rStyle w:val="Seitenzahl"/>
        <w:noProof/>
        <w:szCs w:val="20"/>
      </w:rPr>
      <w:t>84</w:t>
    </w:r>
    <w:r w:rsidRPr="00DE5B17">
      <w:rPr>
        <w:rStyle w:val="Seitenzahl"/>
        <w:szCs w:val="20"/>
      </w:rPr>
      <w:fldChar w:fldCharType="end"/>
    </w:r>
  </w:p>
  <w:p w14:paraId="401FD383" w14:textId="77777777" w:rsidR="00A82127" w:rsidRPr="00601929" w:rsidRDefault="00A82127"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B5F31"/>
    <w:multiLevelType w:val="hybridMultilevel"/>
    <w:tmpl w:val="4F0CF37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004FB6"/>
    <w:multiLevelType w:val="hybridMultilevel"/>
    <w:tmpl w:val="9EC8EF3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1A2457"/>
    <w:multiLevelType w:val="hybridMultilevel"/>
    <w:tmpl w:val="D0B8AEA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3C5531E"/>
    <w:multiLevelType w:val="hybridMultilevel"/>
    <w:tmpl w:val="BF4C6B02"/>
    <w:lvl w:ilvl="0" w:tplc="04070001">
      <w:start w:val="1"/>
      <w:numFmt w:val="bullet"/>
      <w:lvlText w:val=""/>
      <w:lvlJc w:val="left"/>
      <w:pPr>
        <w:ind w:left="1060" w:hanging="360"/>
      </w:pPr>
      <w:rPr>
        <w:rFonts w:ascii="Symbol" w:hAnsi="Symbol" w:hint="default"/>
      </w:rPr>
    </w:lvl>
    <w:lvl w:ilvl="1" w:tplc="900A337C">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16B786E"/>
    <w:multiLevelType w:val="hybridMultilevel"/>
    <w:tmpl w:val="DBF84BF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20"/>
  </w:num>
  <w:num w:numId="4">
    <w:abstractNumId w:val="23"/>
  </w:num>
  <w:num w:numId="5">
    <w:abstractNumId w:val="22"/>
  </w:num>
  <w:num w:numId="6">
    <w:abstractNumId w:val="18"/>
  </w:num>
  <w:num w:numId="7">
    <w:abstractNumId w:val="11"/>
  </w:num>
  <w:num w:numId="8">
    <w:abstractNumId w:val="12"/>
  </w:num>
  <w:num w:numId="9">
    <w:abstractNumId w:val="24"/>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1"/>
  </w:num>
  <w:num w:numId="26">
    <w:abstractNumId w:val="19"/>
  </w:num>
  <w:num w:numId="27">
    <w:abstractNumId w:val="10"/>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xf4wCSUg6xctaPJzrKjCOuoaHJWAQmzcKLqYAm109/DqTOSeFc7zkQIr8csDGtrmWMTv+bJYoinzot3YbHx8wQ==" w:salt="9PhgciGAm/nizi9qUscX/Q=="/>
  <w:defaultTabStop w:val="709"/>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3.02.2022"/>
    <w:docVar w:name="Drsnr" w:val="21505"/>
    <w:docVar w:name="Eingangsdatum" w:val="21.02.2022"/>
    <w:docVar w:name="Wochendatum" w:val="21. Februar 2022"/>
    <w:docVar w:name="Wp" w:val="18"/>
  </w:docVars>
  <w:rsids>
    <w:rsidRoot w:val="009B7130"/>
    <w:rsid w:val="00002517"/>
    <w:rsid w:val="00006292"/>
    <w:rsid w:val="00007684"/>
    <w:rsid w:val="000103B9"/>
    <w:rsid w:val="00017FCF"/>
    <w:rsid w:val="00030867"/>
    <w:rsid w:val="00036977"/>
    <w:rsid w:val="000371B5"/>
    <w:rsid w:val="000430D7"/>
    <w:rsid w:val="00043B70"/>
    <w:rsid w:val="0005426E"/>
    <w:rsid w:val="00057427"/>
    <w:rsid w:val="000614E0"/>
    <w:rsid w:val="00061EB3"/>
    <w:rsid w:val="00064D0C"/>
    <w:rsid w:val="000779F7"/>
    <w:rsid w:val="00083D54"/>
    <w:rsid w:val="0008617E"/>
    <w:rsid w:val="0009203A"/>
    <w:rsid w:val="000955E5"/>
    <w:rsid w:val="00097682"/>
    <w:rsid w:val="000B2A68"/>
    <w:rsid w:val="000B2DBF"/>
    <w:rsid w:val="000B764D"/>
    <w:rsid w:val="000C480A"/>
    <w:rsid w:val="000C71A5"/>
    <w:rsid w:val="000C72A9"/>
    <w:rsid w:val="000C7379"/>
    <w:rsid w:val="000C7D5A"/>
    <w:rsid w:val="000E21D9"/>
    <w:rsid w:val="000E3BC3"/>
    <w:rsid w:val="000E73CC"/>
    <w:rsid w:val="000F109F"/>
    <w:rsid w:val="000F3417"/>
    <w:rsid w:val="000F6ADF"/>
    <w:rsid w:val="001035CA"/>
    <w:rsid w:val="00114B66"/>
    <w:rsid w:val="00115D08"/>
    <w:rsid w:val="00122EE6"/>
    <w:rsid w:val="00130EAD"/>
    <w:rsid w:val="00134951"/>
    <w:rsid w:val="001356F0"/>
    <w:rsid w:val="00135D97"/>
    <w:rsid w:val="00136D38"/>
    <w:rsid w:val="001376A1"/>
    <w:rsid w:val="00141B9C"/>
    <w:rsid w:val="00141C03"/>
    <w:rsid w:val="00145AB0"/>
    <w:rsid w:val="00154F5F"/>
    <w:rsid w:val="00155E28"/>
    <w:rsid w:val="001576CA"/>
    <w:rsid w:val="001579D6"/>
    <w:rsid w:val="00163927"/>
    <w:rsid w:val="00165D18"/>
    <w:rsid w:val="001676F2"/>
    <w:rsid w:val="00171CDA"/>
    <w:rsid w:val="0017273C"/>
    <w:rsid w:val="001766B8"/>
    <w:rsid w:val="0017763F"/>
    <w:rsid w:val="00180619"/>
    <w:rsid w:val="00180DAE"/>
    <w:rsid w:val="0019076C"/>
    <w:rsid w:val="00193AB7"/>
    <w:rsid w:val="001A14F7"/>
    <w:rsid w:val="001C6140"/>
    <w:rsid w:val="001D073A"/>
    <w:rsid w:val="001E298D"/>
    <w:rsid w:val="001E3461"/>
    <w:rsid w:val="001E41D1"/>
    <w:rsid w:val="001F240A"/>
    <w:rsid w:val="001F3CDA"/>
    <w:rsid w:val="00215833"/>
    <w:rsid w:val="00215CAA"/>
    <w:rsid w:val="00223D8E"/>
    <w:rsid w:val="00226E30"/>
    <w:rsid w:val="00227E77"/>
    <w:rsid w:val="002302DA"/>
    <w:rsid w:val="00231278"/>
    <w:rsid w:val="0023365B"/>
    <w:rsid w:val="00235533"/>
    <w:rsid w:val="00235942"/>
    <w:rsid w:val="002375B2"/>
    <w:rsid w:val="00242AF5"/>
    <w:rsid w:val="00244F19"/>
    <w:rsid w:val="00246DE7"/>
    <w:rsid w:val="0026549A"/>
    <w:rsid w:val="00271FC8"/>
    <w:rsid w:val="00277DD9"/>
    <w:rsid w:val="002822CD"/>
    <w:rsid w:val="00283D88"/>
    <w:rsid w:val="0028470E"/>
    <w:rsid w:val="00284AA1"/>
    <w:rsid w:val="00286866"/>
    <w:rsid w:val="00292CB3"/>
    <w:rsid w:val="00293F06"/>
    <w:rsid w:val="002971AA"/>
    <w:rsid w:val="002A5AD0"/>
    <w:rsid w:val="002A6584"/>
    <w:rsid w:val="002A7061"/>
    <w:rsid w:val="002B2533"/>
    <w:rsid w:val="002B27E5"/>
    <w:rsid w:val="002B7987"/>
    <w:rsid w:val="002C1A59"/>
    <w:rsid w:val="002C34C7"/>
    <w:rsid w:val="002D2A91"/>
    <w:rsid w:val="002D53C0"/>
    <w:rsid w:val="002D5E77"/>
    <w:rsid w:val="002F5C91"/>
    <w:rsid w:val="00300090"/>
    <w:rsid w:val="00301DF8"/>
    <w:rsid w:val="003059C0"/>
    <w:rsid w:val="003069F0"/>
    <w:rsid w:val="003078E2"/>
    <w:rsid w:val="00310A7B"/>
    <w:rsid w:val="00311533"/>
    <w:rsid w:val="0031185F"/>
    <w:rsid w:val="00315B5B"/>
    <w:rsid w:val="003220C1"/>
    <w:rsid w:val="003303F8"/>
    <w:rsid w:val="00330AC4"/>
    <w:rsid w:val="003317ED"/>
    <w:rsid w:val="003343E3"/>
    <w:rsid w:val="00346680"/>
    <w:rsid w:val="00351A5B"/>
    <w:rsid w:val="00354E4E"/>
    <w:rsid w:val="003571B7"/>
    <w:rsid w:val="0036081C"/>
    <w:rsid w:val="00371C42"/>
    <w:rsid w:val="00384BCC"/>
    <w:rsid w:val="003865DE"/>
    <w:rsid w:val="00390643"/>
    <w:rsid w:val="00390B65"/>
    <w:rsid w:val="003A0B46"/>
    <w:rsid w:val="003A6DDF"/>
    <w:rsid w:val="003B09EA"/>
    <w:rsid w:val="003B10EA"/>
    <w:rsid w:val="003B21D3"/>
    <w:rsid w:val="003B4646"/>
    <w:rsid w:val="003B7D59"/>
    <w:rsid w:val="003C3519"/>
    <w:rsid w:val="003C4151"/>
    <w:rsid w:val="003D35DC"/>
    <w:rsid w:val="003E107C"/>
    <w:rsid w:val="003E2DEE"/>
    <w:rsid w:val="003E3665"/>
    <w:rsid w:val="003E36C6"/>
    <w:rsid w:val="003E4991"/>
    <w:rsid w:val="003E6F27"/>
    <w:rsid w:val="003E7E4B"/>
    <w:rsid w:val="003F21E8"/>
    <w:rsid w:val="003F467B"/>
    <w:rsid w:val="004104B6"/>
    <w:rsid w:val="004148C6"/>
    <w:rsid w:val="00416473"/>
    <w:rsid w:val="00431F16"/>
    <w:rsid w:val="00440E96"/>
    <w:rsid w:val="004453BF"/>
    <w:rsid w:val="00445B62"/>
    <w:rsid w:val="0045402F"/>
    <w:rsid w:val="00454CA9"/>
    <w:rsid w:val="00464F5C"/>
    <w:rsid w:val="00465F83"/>
    <w:rsid w:val="004746D9"/>
    <w:rsid w:val="00476B56"/>
    <w:rsid w:val="00485907"/>
    <w:rsid w:val="00492535"/>
    <w:rsid w:val="004955C6"/>
    <w:rsid w:val="00496299"/>
    <w:rsid w:val="004A0B31"/>
    <w:rsid w:val="004A71B8"/>
    <w:rsid w:val="004B184E"/>
    <w:rsid w:val="004B458D"/>
    <w:rsid w:val="004B5A87"/>
    <w:rsid w:val="004C1BA3"/>
    <w:rsid w:val="004C3433"/>
    <w:rsid w:val="004D4829"/>
    <w:rsid w:val="004D62D4"/>
    <w:rsid w:val="004D7B2E"/>
    <w:rsid w:val="004E1031"/>
    <w:rsid w:val="004E4CB6"/>
    <w:rsid w:val="004F1513"/>
    <w:rsid w:val="004F2494"/>
    <w:rsid w:val="00502FBE"/>
    <w:rsid w:val="005035D4"/>
    <w:rsid w:val="00503F3C"/>
    <w:rsid w:val="005040C2"/>
    <w:rsid w:val="005122C2"/>
    <w:rsid w:val="005321C0"/>
    <w:rsid w:val="0053309B"/>
    <w:rsid w:val="005344C0"/>
    <w:rsid w:val="00534594"/>
    <w:rsid w:val="00544156"/>
    <w:rsid w:val="00546EA2"/>
    <w:rsid w:val="005517B2"/>
    <w:rsid w:val="00557567"/>
    <w:rsid w:val="00560D52"/>
    <w:rsid w:val="00567084"/>
    <w:rsid w:val="0057046C"/>
    <w:rsid w:val="0057191B"/>
    <w:rsid w:val="00572482"/>
    <w:rsid w:val="005833DD"/>
    <w:rsid w:val="005834A1"/>
    <w:rsid w:val="005878CA"/>
    <w:rsid w:val="0059088B"/>
    <w:rsid w:val="00593818"/>
    <w:rsid w:val="005A0EEC"/>
    <w:rsid w:val="005A0FC6"/>
    <w:rsid w:val="005A5C97"/>
    <w:rsid w:val="005A79EC"/>
    <w:rsid w:val="005B4374"/>
    <w:rsid w:val="005B6943"/>
    <w:rsid w:val="005C55DD"/>
    <w:rsid w:val="005C5701"/>
    <w:rsid w:val="005D0F29"/>
    <w:rsid w:val="005D3C42"/>
    <w:rsid w:val="005D4EC0"/>
    <w:rsid w:val="005D7BAC"/>
    <w:rsid w:val="005F08EE"/>
    <w:rsid w:val="005F371F"/>
    <w:rsid w:val="00601929"/>
    <w:rsid w:val="00602914"/>
    <w:rsid w:val="006056D9"/>
    <w:rsid w:val="00606488"/>
    <w:rsid w:val="006076A5"/>
    <w:rsid w:val="00610EFD"/>
    <w:rsid w:val="00611FE7"/>
    <w:rsid w:val="0062036D"/>
    <w:rsid w:val="00620B1D"/>
    <w:rsid w:val="00634909"/>
    <w:rsid w:val="0065191B"/>
    <w:rsid w:val="00651968"/>
    <w:rsid w:val="00653E6D"/>
    <w:rsid w:val="00661F4C"/>
    <w:rsid w:val="00674EDF"/>
    <w:rsid w:val="00675157"/>
    <w:rsid w:val="00675AED"/>
    <w:rsid w:val="0068306E"/>
    <w:rsid w:val="00697763"/>
    <w:rsid w:val="006B0212"/>
    <w:rsid w:val="006B1709"/>
    <w:rsid w:val="006B5C38"/>
    <w:rsid w:val="006C0384"/>
    <w:rsid w:val="006C4DB6"/>
    <w:rsid w:val="006C5C31"/>
    <w:rsid w:val="006D0FD8"/>
    <w:rsid w:val="006D2E83"/>
    <w:rsid w:val="006E0274"/>
    <w:rsid w:val="006E5B9D"/>
    <w:rsid w:val="006F0AB3"/>
    <w:rsid w:val="006F2714"/>
    <w:rsid w:val="006F49A4"/>
    <w:rsid w:val="00703390"/>
    <w:rsid w:val="007055B4"/>
    <w:rsid w:val="007061D4"/>
    <w:rsid w:val="00714C18"/>
    <w:rsid w:val="00717184"/>
    <w:rsid w:val="00741C28"/>
    <w:rsid w:val="0075012C"/>
    <w:rsid w:val="00750492"/>
    <w:rsid w:val="00752893"/>
    <w:rsid w:val="0075769E"/>
    <w:rsid w:val="00760A53"/>
    <w:rsid w:val="00761779"/>
    <w:rsid w:val="007649D6"/>
    <w:rsid w:val="00764C64"/>
    <w:rsid w:val="0077709E"/>
    <w:rsid w:val="00777232"/>
    <w:rsid w:val="00781527"/>
    <w:rsid w:val="00781FB1"/>
    <w:rsid w:val="00785425"/>
    <w:rsid w:val="007868AE"/>
    <w:rsid w:val="00787923"/>
    <w:rsid w:val="00797183"/>
    <w:rsid w:val="007A064D"/>
    <w:rsid w:val="007B0B33"/>
    <w:rsid w:val="007B0C4D"/>
    <w:rsid w:val="007B46DF"/>
    <w:rsid w:val="007C457A"/>
    <w:rsid w:val="007D4321"/>
    <w:rsid w:val="007F47AD"/>
    <w:rsid w:val="00805E8A"/>
    <w:rsid w:val="008062A0"/>
    <w:rsid w:val="008154A9"/>
    <w:rsid w:val="00816C6F"/>
    <w:rsid w:val="008204DD"/>
    <w:rsid w:val="00825C50"/>
    <w:rsid w:val="00832D3E"/>
    <w:rsid w:val="0083706D"/>
    <w:rsid w:val="00837C1F"/>
    <w:rsid w:val="00844005"/>
    <w:rsid w:val="00846D02"/>
    <w:rsid w:val="0085170F"/>
    <w:rsid w:val="008527B8"/>
    <w:rsid w:val="008540E3"/>
    <w:rsid w:val="00854468"/>
    <w:rsid w:val="00857C0D"/>
    <w:rsid w:val="008606C1"/>
    <w:rsid w:val="00863A28"/>
    <w:rsid w:val="00863D7F"/>
    <w:rsid w:val="00880170"/>
    <w:rsid w:val="008803A9"/>
    <w:rsid w:val="00881163"/>
    <w:rsid w:val="008930C0"/>
    <w:rsid w:val="00897172"/>
    <w:rsid w:val="008A671A"/>
    <w:rsid w:val="008C3EAF"/>
    <w:rsid w:val="008C6176"/>
    <w:rsid w:val="008C6B45"/>
    <w:rsid w:val="008D2301"/>
    <w:rsid w:val="008E2258"/>
    <w:rsid w:val="008E3C99"/>
    <w:rsid w:val="008E41C5"/>
    <w:rsid w:val="008E7B3B"/>
    <w:rsid w:val="008F2F46"/>
    <w:rsid w:val="008F593A"/>
    <w:rsid w:val="008F735B"/>
    <w:rsid w:val="00903597"/>
    <w:rsid w:val="00904223"/>
    <w:rsid w:val="0091136E"/>
    <w:rsid w:val="00911F24"/>
    <w:rsid w:val="009140FA"/>
    <w:rsid w:val="009149D4"/>
    <w:rsid w:val="00917FB7"/>
    <w:rsid w:val="009229F8"/>
    <w:rsid w:val="009234BF"/>
    <w:rsid w:val="0092602C"/>
    <w:rsid w:val="00926BF9"/>
    <w:rsid w:val="009310B8"/>
    <w:rsid w:val="00932D27"/>
    <w:rsid w:val="00941B1A"/>
    <w:rsid w:val="00945207"/>
    <w:rsid w:val="00950EBB"/>
    <w:rsid w:val="0095379B"/>
    <w:rsid w:val="009562DA"/>
    <w:rsid w:val="00962732"/>
    <w:rsid w:val="00964560"/>
    <w:rsid w:val="00966E35"/>
    <w:rsid w:val="00977682"/>
    <w:rsid w:val="00981BEF"/>
    <w:rsid w:val="00983181"/>
    <w:rsid w:val="009837B0"/>
    <w:rsid w:val="009853FB"/>
    <w:rsid w:val="009857B1"/>
    <w:rsid w:val="009924CE"/>
    <w:rsid w:val="00995D8F"/>
    <w:rsid w:val="009A2D8C"/>
    <w:rsid w:val="009A49B7"/>
    <w:rsid w:val="009A5A06"/>
    <w:rsid w:val="009B3DA8"/>
    <w:rsid w:val="009B6B5E"/>
    <w:rsid w:val="009B7130"/>
    <w:rsid w:val="009B7205"/>
    <w:rsid w:val="009C1AC7"/>
    <w:rsid w:val="009C32BE"/>
    <w:rsid w:val="009C5E1D"/>
    <w:rsid w:val="009D404B"/>
    <w:rsid w:val="009D5962"/>
    <w:rsid w:val="009D5B6C"/>
    <w:rsid w:val="009E25A3"/>
    <w:rsid w:val="009E41B6"/>
    <w:rsid w:val="009E6DDB"/>
    <w:rsid w:val="009F6B94"/>
    <w:rsid w:val="00A12E9E"/>
    <w:rsid w:val="00A17038"/>
    <w:rsid w:val="00A2276D"/>
    <w:rsid w:val="00A25D7C"/>
    <w:rsid w:val="00A265DC"/>
    <w:rsid w:val="00A27016"/>
    <w:rsid w:val="00A3195E"/>
    <w:rsid w:val="00A3336A"/>
    <w:rsid w:val="00A360CE"/>
    <w:rsid w:val="00A42E48"/>
    <w:rsid w:val="00A42EAA"/>
    <w:rsid w:val="00A44F63"/>
    <w:rsid w:val="00A47020"/>
    <w:rsid w:val="00A5212E"/>
    <w:rsid w:val="00A54082"/>
    <w:rsid w:val="00A5482B"/>
    <w:rsid w:val="00A55FA2"/>
    <w:rsid w:val="00A60251"/>
    <w:rsid w:val="00A603C5"/>
    <w:rsid w:val="00A66444"/>
    <w:rsid w:val="00A76D72"/>
    <w:rsid w:val="00A76E3D"/>
    <w:rsid w:val="00A82127"/>
    <w:rsid w:val="00A84172"/>
    <w:rsid w:val="00A85AF4"/>
    <w:rsid w:val="00A90835"/>
    <w:rsid w:val="00A96B48"/>
    <w:rsid w:val="00AA2D75"/>
    <w:rsid w:val="00AA3478"/>
    <w:rsid w:val="00AA7233"/>
    <w:rsid w:val="00AC2A21"/>
    <w:rsid w:val="00AC4F5E"/>
    <w:rsid w:val="00AC4FC6"/>
    <w:rsid w:val="00AD7E0F"/>
    <w:rsid w:val="00AE1029"/>
    <w:rsid w:val="00AF7DFB"/>
    <w:rsid w:val="00B00327"/>
    <w:rsid w:val="00B01476"/>
    <w:rsid w:val="00B06BA8"/>
    <w:rsid w:val="00B11A5E"/>
    <w:rsid w:val="00B17793"/>
    <w:rsid w:val="00B17B65"/>
    <w:rsid w:val="00B246BA"/>
    <w:rsid w:val="00B34098"/>
    <w:rsid w:val="00B3698E"/>
    <w:rsid w:val="00B403A2"/>
    <w:rsid w:val="00B45132"/>
    <w:rsid w:val="00B528D8"/>
    <w:rsid w:val="00B56F0D"/>
    <w:rsid w:val="00B57DE6"/>
    <w:rsid w:val="00B65C5C"/>
    <w:rsid w:val="00B753A4"/>
    <w:rsid w:val="00B8046D"/>
    <w:rsid w:val="00B82BE0"/>
    <w:rsid w:val="00B85638"/>
    <w:rsid w:val="00B902FE"/>
    <w:rsid w:val="00B91015"/>
    <w:rsid w:val="00B9456C"/>
    <w:rsid w:val="00B97042"/>
    <w:rsid w:val="00BA5F89"/>
    <w:rsid w:val="00BA7AAC"/>
    <w:rsid w:val="00BB117A"/>
    <w:rsid w:val="00BB3E7A"/>
    <w:rsid w:val="00BB6019"/>
    <w:rsid w:val="00BC1C8F"/>
    <w:rsid w:val="00BC2555"/>
    <w:rsid w:val="00BC4D4B"/>
    <w:rsid w:val="00BC5B04"/>
    <w:rsid w:val="00BD6FB5"/>
    <w:rsid w:val="00BD7DB0"/>
    <w:rsid w:val="00BE0A75"/>
    <w:rsid w:val="00BF6064"/>
    <w:rsid w:val="00C034C9"/>
    <w:rsid w:val="00C03C28"/>
    <w:rsid w:val="00C1111F"/>
    <w:rsid w:val="00C11892"/>
    <w:rsid w:val="00C127DA"/>
    <w:rsid w:val="00C20D25"/>
    <w:rsid w:val="00C242B6"/>
    <w:rsid w:val="00C31000"/>
    <w:rsid w:val="00C45221"/>
    <w:rsid w:val="00C4558C"/>
    <w:rsid w:val="00C5112F"/>
    <w:rsid w:val="00C54C38"/>
    <w:rsid w:val="00C60D5D"/>
    <w:rsid w:val="00C64946"/>
    <w:rsid w:val="00C67283"/>
    <w:rsid w:val="00C743BB"/>
    <w:rsid w:val="00C75084"/>
    <w:rsid w:val="00C7753F"/>
    <w:rsid w:val="00C83A7D"/>
    <w:rsid w:val="00C841E1"/>
    <w:rsid w:val="00C84F6F"/>
    <w:rsid w:val="00C95F05"/>
    <w:rsid w:val="00CA1689"/>
    <w:rsid w:val="00CA2F68"/>
    <w:rsid w:val="00CA46E4"/>
    <w:rsid w:val="00CA7195"/>
    <w:rsid w:val="00CB1499"/>
    <w:rsid w:val="00CB3417"/>
    <w:rsid w:val="00CC20C5"/>
    <w:rsid w:val="00CC43A0"/>
    <w:rsid w:val="00CC6B36"/>
    <w:rsid w:val="00CC77D8"/>
    <w:rsid w:val="00CC7D0D"/>
    <w:rsid w:val="00CD0D14"/>
    <w:rsid w:val="00CD631D"/>
    <w:rsid w:val="00CD6B4E"/>
    <w:rsid w:val="00CE08D6"/>
    <w:rsid w:val="00CE2154"/>
    <w:rsid w:val="00CE5E4F"/>
    <w:rsid w:val="00CE6891"/>
    <w:rsid w:val="00CF201A"/>
    <w:rsid w:val="00CF5AA4"/>
    <w:rsid w:val="00CF77F6"/>
    <w:rsid w:val="00D04907"/>
    <w:rsid w:val="00D0623A"/>
    <w:rsid w:val="00D07F06"/>
    <w:rsid w:val="00D11603"/>
    <w:rsid w:val="00D2325C"/>
    <w:rsid w:val="00D30539"/>
    <w:rsid w:val="00D32A7D"/>
    <w:rsid w:val="00D33D48"/>
    <w:rsid w:val="00D33EFB"/>
    <w:rsid w:val="00D3404D"/>
    <w:rsid w:val="00D42F93"/>
    <w:rsid w:val="00D45EB8"/>
    <w:rsid w:val="00D46E54"/>
    <w:rsid w:val="00D47CB5"/>
    <w:rsid w:val="00D5247F"/>
    <w:rsid w:val="00D6160D"/>
    <w:rsid w:val="00D61F45"/>
    <w:rsid w:val="00D67352"/>
    <w:rsid w:val="00D82366"/>
    <w:rsid w:val="00D83DC5"/>
    <w:rsid w:val="00D85FAE"/>
    <w:rsid w:val="00D9304D"/>
    <w:rsid w:val="00DA1063"/>
    <w:rsid w:val="00DA2424"/>
    <w:rsid w:val="00DA74F1"/>
    <w:rsid w:val="00DB29C5"/>
    <w:rsid w:val="00DC6F57"/>
    <w:rsid w:val="00DD48D5"/>
    <w:rsid w:val="00DE2ECB"/>
    <w:rsid w:val="00DE5B17"/>
    <w:rsid w:val="00DF7A33"/>
    <w:rsid w:val="00E06311"/>
    <w:rsid w:val="00E175A9"/>
    <w:rsid w:val="00E20E44"/>
    <w:rsid w:val="00E2431C"/>
    <w:rsid w:val="00E3270E"/>
    <w:rsid w:val="00E34580"/>
    <w:rsid w:val="00E34CDA"/>
    <w:rsid w:val="00E5708E"/>
    <w:rsid w:val="00E6572C"/>
    <w:rsid w:val="00E70B7A"/>
    <w:rsid w:val="00E72D19"/>
    <w:rsid w:val="00E7333F"/>
    <w:rsid w:val="00E73E5A"/>
    <w:rsid w:val="00E7475C"/>
    <w:rsid w:val="00E774D3"/>
    <w:rsid w:val="00E77AC9"/>
    <w:rsid w:val="00E82D15"/>
    <w:rsid w:val="00E960B7"/>
    <w:rsid w:val="00EB6C16"/>
    <w:rsid w:val="00EC2C1B"/>
    <w:rsid w:val="00EC5DB8"/>
    <w:rsid w:val="00EC75D6"/>
    <w:rsid w:val="00ED4839"/>
    <w:rsid w:val="00ED7023"/>
    <w:rsid w:val="00ED7CEB"/>
    <w:rsid w:val="00EF116E"/>
    <w:rsid w:val="00EF398E"/>
    <w:rsid w:val="00EF67A7"/>
    <w:rsid w:val="00F0047B"/>
    <w:rsid w:val="00F00864"/>
    <w:rsid w:val="00F20157"/>
    <w:rsid w:val="00F23429"/>
    <w:rsid w:val="00F27513"/>
    <w:rsid w:val="00F43A8F"/>
    <w:rsid w:val="00F44D16"/>
    <w:rsid w:val="00F44E8C"/>
    <w:rsid w:val="00F47B56"/>
    <w:rsid w:val="00F5021C"/>
    <w:rsid w:val="00F52506"/>
    <w:rsid w:val="00F5259B"/>
    <w:rsid w:val="00F5349F"/>
    <w:rsid w:val="00F614DD"/>
    <w:rsid w:val="00F73B72"/>
    <w:rsid w:val="00F74938"/>
    <w:rsid w:val="00F74FCC"/>
    <w:rsid w:val="00F769C0"/>
    <w:rsid w:val="00F76B51"/>
    <w:rsid w:val="00F811E4"/>
    <w:rsid w:val="00F827A4"/>
    <w:rsid w:val="00F9374C"/>
    <w:rsid w:val="00F953D9"/>
    <w:rsid w:val="00FA43B0"/>
    <w:rsid w:val="00FA64C1"/>
    <w:rsid w:val="00FB269D"/>
    <w:rsid w:val="00FB3943"/>
    <w:rsid w:val="00FB64A8"/>
    <w:rsid w:val="00FE0BE9"/>
    <w:rsid w:val="00FE1416"/>
    <w:rsid w:val="00FE1A91"/>
    <w:rsid w:val="00FF1768"/>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316019"/>
  <w15:docId w15:val="{F4338CCB-447C-4719-98EB-9FCB06B6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D673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67352"/>
    <w:pPr>
      <w:widowControl w:val="0"/>
      <w:autoSpaceDE w:val="0"/>
      <w:autoSpaceDN w:val="0"/>
      <w:ind w:left="71"/>
    </w:pPr>
    <w:rPr>
      <w:rFonts w:ascii="Times New Roman" w:hAnsi="Times New Roman"/>
      <w:sz w:val="22"/>
      <w:szCs w:val="22"/>
      <w:lang w:bidi="de-DE"/>
    </w:rPr>
  </w:style>
  <w:style w:type="character" w:customStyle="1" w:styleId="hgkelc">
    <w:name w:val="hgkelc"/>
    <w:basedOn w:val="Absatz-Standardschriftart"/>
    <w:rsid w:val="00E82D15"/>
  </w:style>
  <w:style w:type="paragraph" w:styleId="Funotentext">
    <w:name w:val="footnote text"/>
    <w:basedOn w:val="Standard"/>
    <w:link w:val="FunotentextZchn"/>
    <w:uiPriority w:val="99"/>
    <w:semiHidden/>
    <w:unhideWhenUsed/>
    <w:rsid w:val="00215833"/>
    <w:rPr>
      <w:szCs w:val="20"/>
    </w:rPr>
  </w:style>
  <w:style w:type="character" w:customStyle="1" w:styleId="FunotentextZchn">
    <w:name w:val="Fußnotentext Zchn"/>
    <w:basedOn w:val="Absatz-Standardschriftart"/>
    <w:link w:val="Funotentext"/>
    <w:uiPriority w:val="99"/>
    <w:semiHidden/>
    <w:rsid w:val="00215833"/>
    <w:rPr>
      <w:rFonts w:ascii="Arial" w:hAnsi="Arial"/>
    </w:rPr>
  </w:style>
  <w:style w:type="character" w:styleId="Funotenzeichen">
    <w:name w:val="footnote reference"/>
    <w:basedOn w:val="Absatz-Standardschriftart"/>
    <w:uiPriority w:val="99"/>
    <w:semiHidden/>
    <w:unhideWhenUsed/>
    <w:rsid w:val="00215833"/>
    <w:rPr>
      <w:vertAlign w:val="superscript"/>
    </w:rPr>
  </w:style>
  <w:style w:type="paragraph" w:styleId="StandardWeb">
    <w:name w:val="Normal (Web)"/>
    <w:basedOn w:val="Standard"/>
    <w:uiPriority w:val="99"/>
    <w:semiHidden/>
    <w:unhideWhenUsed/>
    <w:rsid w:val="00D42F93"/>
    <w:pPr>
      <w:spacing w:before="100" w:beforeAutospacing="1" w:after="100" w:afterAutospacing="1"/>
    </w:pPr>
    <w:rPr>
      <w:rFonts w:cs="Arial"/>
      <w:szCs w:val="20"/>
    </w:rPr>
  </w:style>
  <w:style w:type="character" w:styleId="Kommentarzeichen">
    <w:name w:val="annotation reference"/>
    <w:basedOn w:val="Absatz-Standardschriftart"/>
    <w:semiHidden/>
    <w:unhideWhenUsed/>
    <w:rsid w:val="005A5C97"/>
    <w:rPr>
      <w:sz w:val="16"/>
      <w:szCs w:val="16"/>
    </w:rPr>
  </w:style>
  <w:style w:type="paragraph" w:styleId="Kommentartext">
    <w:name w:val="annotation text"/>
    <w:basedOn w:val="Standard"/>
    <w:link w:val="KommentartextZchn"/>
    <w:semiHidden/>
    <w:unhideWhenUsed/>
    <w:rsid w:val="005A5C97"/>
    <w:rPr>
      <w:szCs w:val="20"/>
    </w:rPr>
  </w:style>
  <w:style w:type="character" w:customStyle="1" w:styleId="KommentartextZchn">
    <w:name w:val="Kommentartext Zchn"/>
    <w:basedOn w:val="Absatz-Standardschriftart"/>
    <w:link w:val="Kommentartext"/>
    <w:semiHidden/>
    <w:rsid w:val="005A5C97"/>
    <w:rPr>
      <w:rFonts w:ascii="Arial" w:hAnsi="Arial"/>
    </w:rPr>
  </w:style>
  <w:style w:type="paragraph" w:styleId="Kommentarthema">
    <w:name w:val="annotation subject"/>
    <w:basedOn w:val="Kommentartext"/>
    <w:next w:val="Kommentartext"/>
    <w:link w:val="KommentarthemaZchn"/>
    <w:semiHidden/>
    <w:unhideWhenUsed/>
    <w:rsid w:val="005A5C97"/>
    <w:rPr>
      <w:b/>
      <w:bCs/>
    </w:rPr>
  </w:style>
  <w:style w:type="character" w:customStyle="1" w:styleId="KommentarthemaZchn">
    <w:name w:val="Kommentarthema Zchn"/>
    <w:basedOn w:val="KommentartextZchn"/>
    <w:link w:val="Kommentarthema"/>
    <w:semiHidden/>
    <w:rsid w:val="005A5C9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413">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3500/0000013538_Gehring_ANL.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3500/0000013538_Wild_ANL.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3500/0000013538_Flisek_AN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cience.org/doi/10.1126/science.abk1688" TargetMode="External"/><Relationship Id="rId3" Type="http://schemas.openxmlformats.org/officeDocument/2006/relationships/hyperlink" Target="https://www.imperial.ac.uk/media/imperial-college/institute-of-global-health-innovation/R17_final.pdf" TargetMode="External"/><Relationship Id="rId7" Type="http://schemas.openxmlformats.org/officeDocument/2006/relationships/hyperlink" Target="https://www.bundestag.de/resource/blob/853838/7d57cadb91551b3f2c00e7094f8bf875/WD-9-045-21-pdf-data.pdf" TargetMode="External"/><Relationship Id="rId2" Type="http://schemas.openxmlformats.org/officeDocument/2006/relationships/hyperlink" Target="https://www.regensburg.de/leben/verkehr-u-mobilitaet/bus-und-bahn/spnv-entwicklungskonzept-raum-regensburg" TargetMode="External"/><Relationship Id="rId1" Type="http://schemas.openxmlformats.org/officeDocument/2006/relationships/hyperlink" Target="https://beg.bahnland-bayern.de/de/regio-s-bahn" TargetMode="External"/><Relationship Id="rId6" Type="http://schemas.openxmlformats.org/officeDocument/2006/relationships/hyperlink" Target="https://www.cdc.gov/mmwr/volumes/71/wr/pdfs/mm7104e1-H.pdf" TargetMode="External"/><Relationship Id="rId5" Type="http://schemas.openxmlformats.org/officeDocument/2006/relationships/hyperlink" Target="https://stacks.cdc.gov/view/cdc/113253" TargetMode="External"/><Relationship Id="rId4" Type="http://schemas.openxmlformats.org/officeDocument/2006/relationships/hyperlink" Target="https://www.youtube.com/watch?v=c32vDjyNE-M&amp;t=336s%20-%20Min.%2011:2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04C6-6269-475E-9908-D0A0238A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22011</Words>
  <Characters>150879</Characters>
  <Application>Microsoft Office Word</Application>
  <DocSecurity>8</DocSecurity>
  <Lines>3375</Lines>
  <Paragraphs>984</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171996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18/21505</dc:title>
  <dc:creator>Schneider, Devin (Bay. Landtag)</dc:creator>
  <cp:lastModifiedBy>Schneider, Devin (Bay. Landtag)</cp:lastModifiedBy>
  <cp:revision>4</cp:revision>
  <cp:lastPrinted>2006-11-23T10:15:00Z</cp:lastPrinted>
  <dcterms:created xsi:type="dcterms:W3CDTF">2022-03-03T11:06:00Z</dcterms:created>
  <dcterms:modified xsi:type="dcterms:W3CDTF">2022-03-03T11:06:00Z</dcterms:modified>
</cp:coreProperties>
</file>