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8A746A">
        <w:rPr>
          <w:b/>
        </w:rPr>
        <w:t>zu den Plenarsitzungen am 07./08./09.12.2021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25EDE" w:rsidP="00925EDE">
            <w:pPr>
              <w:pStyle w:val="LTVerzDerFragenden"/>
            </w:pPr>
            <w:bookmarkStart w:id="0" w:name="VerzeichnisDerFragenden"/>
            <w:bookmarkEnd w:id="0"/>
            <w:r>
              <w:t>Adjei, Benjamin (BÜNDNIS 90/DIE GRÜNEN)</w:t>
            </w:r>
          </w:p>
        </w:tc>
      </w:tr>
      <w:tr w:rsidR="00925EDE" w:rsidRPr="005833DD" w:rsidTr="001F3CDA">
        <w:tc>
          <w:tcPr>
            <w:tcW w:w="5000" w:type="pct"/>
          </w:tcPr>
          <w:p w:rsidR="00925EDE" w:rsidRDefault="007D5D9A" w:rsidP="00925EDE">
            <w:pPr>
              <w:pStyle w:val="LTVerzDerFragendenFrage"/>
            </w:pPr>
            <w:hyperlink w:anchor="Frage_Nr_71" w:tooltip="Frage Nr 71" w:history="1">
              <w:r w:rsidR="00925EDE">
                <w:rPr>
                  <w:rStyle w:val="Hyperlink"/>
                  <w:szCs w:val="24"/>
                </w:rPr>
                <w:t xml:space="preserve">Bund-Länder-Konzept </w:t>
              </w:r>
              <w:r w:rsidR="003439F1">
                <w:rPr>
                  <w:rStyle w:val="Hyperlink"/>
                  <w:szCs w:val="24"/>
                </w:rPr>
                <w:t>„</w:t>
              </w:r>
              <w:r w:rsidR="00925EDE">
                <w:rPr>
                  <w:rStyle w:val="Hyperlink"/>
                  <w:szCs w:val="24"/>
                </w:rPr>
                <w:t>Souveräner Arbeitsplatz</w:t>
              </w:r>
              <w:r w:rsidR="003439F1">
                <w:rPr>
                  <w:rStyle w:val="Hyperlink"/>
                  <w:szCs w:val="24"/>
                </w:rPr>
                <w:t>“</w:t>
              </w:r>
              <w:r w:rsidR="00925EDE">
                <w:rPr>
                  <w:rStyle w:val="Hyperlink"/>
                  <w:szCs w:val="24"/>
                </w:rPr>
                <w:t>: Beteiligung Bayerns an Open-Source-Software für Behörden</w:t>
              </w:r>
              <w:r w:rsidR="00925EDE">
                <w:rPr>
                  <w:rStyle w:val="Hyperlink"/>
                  <w:szCs w:val="24"/>
                </w:rPr>
                <w:tab/>
                <w:t>71</w:t>
              </w:r>
            </w:hyperlink>
          </w:p>
        </w:tc>
      </w:tr>
      <w:tr w:rsidR="00925EDE" w:rsidRPr="005833DD" w:rsidTr="001F3CDA">
        <w:tc>
          <w:tcPr>
            <w:tcW w:w="5000" w:type="pct"/>
          </w:tcPr>
          <w:p w:rsidR="00925EDE" w:rsidRDefault="00925EDE" w:rsidP="00925EDE">
            <w:pPr>
              <w:pStyle w:val="LTVerzDerFragenden"/>
            </w:pPr>
            <w:r>
              <w:t>Arnold, Horst (SPD)</w:t>
            </w:r>
          </w:p>
        </w:tc>
      </w:tr>
      <w:tr w:rsidR="00925EDE" w:rsidRPr="005833DD" w:rsidTr="001F3CDA">
        <w:tc>
          <w:tcPr>
            <w:tcW w:w="5000" w:type="pct"/>
          </w:tcPr>
          <w:p w:rsidR="00925EDE" w:rsidRDefault="007D5D9A" w:rsidP="00925EDE">
            <w:pPr>
              <w:pStyle w:val="LTVerzDerFragendenFrage"/>
            </w:pPr>
            <w:hyperlink w:anchor="Frage_Nr_47" w:tooltip="Frage Nr 47" w:history="1">
              <w:r w:rsidR="00925EDE">
                <w:rPr>
                  <w:rStyle w:val="Hyperlink"/>
                  <w:szCs w:val="24"/>
                </w:rPr>
                <w:t>Impfquoten unter Verschluss</w:t>
              </w:r>
              <w:r w:rsidR="00925EDE">
                <w:rPr>
                  <w:rStyle w:val="Hyperlink"/>
                  <w:szCs w:val="24"/>
                </w:rPr>
                <w:tab/>
                <w:t>47</w:t>
              </w:r>
            </w:hyperlink>
          </w:p>
        </w:tc>
      </w:tr>
      <w:tr w:rsidR="00925EDE" w:rsidRPr="005833DD" w:rsidTr="001F3CDA">
        <w:tc>
          <w:tcPr>
            <w:tcW w:w="5000" w:type="pct"/>
          </w:tcPr>
          <w:p w:rsidR="00925EDE" w:rsidRDefault="00925EDE" w:rsidP="00925EDE">
            <w:pPr>
              <w:pStyle w:val="LTVerzDerFragenden"/>
            </w:pPr>
            <w:r>
              <w:t>Becher, Johannes (BÜNDNIS 90/DIE GRÜNEN)</w:t>
            </w:r>
          </w:p>
        </w:tc>
      </w:tr>
      <w:tr w:rsidR="00925EDE" w:rsidRPr="005833DD" w:rsidTr="001F3CDA">
        <w:tc>
          <w:tcPr>
            <w:tcW w:w="5000" w:type="pct"/>
          </w:tcPr>
          <w:p w:rsidR="00925EDE" w:rsidRDefault="007D5D9A" w:rsidP="00925EDE">
            <w:pPr>
              <w:pStyle w:val="LTVerzDerFragendenFrage"/>
            </w:pPr>
            <w:hyperlink w:anchor="Frage_Nr_48" w:tooltip="Frage Nr 48" w:history="1">
              <w:r w:rsidR="00925EDE">
                <w:rPr>
                  <w:rStyle w:val="Hyperlink"/>
                  <w:szCs w:val="24"/>
                </w:rPr>
                <w:t>Impfung von Kindern und Jugendlichen ab 12 Jahren</w:t>
              </w:r>
              <w:r w:rsidR="00925EDE">
                <w:rPr>
                  <w:rStyle w:val="Hyperlink"/>
                  <w:szCs w:val="24"/>
                </w:rPr>
                <w:tab/>
                <w:t>48</w:t>
              </w:r>
            </w:hyperlink>
          </w:p>
        </w:tc>
      </w:tr>
      <w:tr w:rsidR="00925EDE" w:rsidRPr="005833DD" w:rsidTr="001F3CDA">
        <w:tc>
          <w:tcPr>
            <w:tcW w:w="5000" w:type="pct"/>
          </w:tcPr>
          <w:p w:rsidR="00925EDE" w:rsidRDefault="00925EDE" w:rsidP="00925EDE">
            <w:pPr>
              <w:pStyle w:val="LTVerzDerFragenden"/>
            </w:pPr>
            <w:r>
              <w:t>Bergmüller, Franz (AfD)</w:t>
            </w:r>
          </w:p>
        </w:tc>
      </w:tr>
      <w:tr w:rsidR="00925EDE" w:rsidRPr="005833DD" w:rsidTr="001F3CDA">
        <w:tc>
          <w:tcPr>
            <w:tcW w:w="5000" w:type="pct"/>
          </w:tcPr>
          <w:p w:rsidR="00925EDE" w:rsidRDefault="007D5D9A" w:rsidP="00925EDE">
            <w:pPr>
              <w:pStyle w:val="LTVerzDerFragendenFrage"/>
            </w:pPr>
            <w:hyperlink w:anchor="Frage_Nr_49" w:tooltip="Frage Nr 49" w:history="1">
              <w:r w:rsidR="00925EDE">
                <w:rPr>
                  <w:rStyle w:val="Hyperlink"/>
                  <w:szCs w:val="24"/>
                </w:rPr>
                <w:t xml:space="preserve">Fallgruppen und Fallzahlen unter jeder der Kategorien </w:t>
              </w:r>
              <w:r w:rsidR="003439F1">
                <w:rPr>
                  <w:rStyle w:val="Hyperlink"/>
                  <w:szCs w:val="24"/>
                </w:rPr>
                <w:t>„</w:t>
              </w:r>
              <w:r w:rsidR="00925EDE">
                <w:rPr>
                  <w:rStyle w:val="Hyperlink"/>
                  <w:szCs w:val="24"/>
                </w:rPr>
                <w:t>Impfschutz vollständig</w:t>
              </w:r>
              <w:r w:rsidR="003439F1">
                <w:rPr>
                  <w:rStyle w:val="Hyperlink"/>
                  <w:szCs w:val="24"/>
                </w:rPr>
                <w:t>“</w:t>
              </w:r>
              <w:r w:rsidR="00177BC6">
                <w:rPr>
                  <w:rStyle w:val="Hyperlink"/>
                  <w:szCs w:val="24"/>
                </w:rPr>
                <w:t>,</w:t>
              </w:r>
              <w:r w:rsidR="00925EDE">
                <w:rPr>
                  <w:rStyle w:val="Hyperlink"/>
                  <w:szCs w:val="24"/>
                </w:rPr>
                <w:t xml:space="preserve"> </w:t>
              </w:r>
              <w:r w:rsidR="003439F1">
                <w:rPr>
                  <w:rStyle w:val="Hyperlink"/>
                  <w:szCs w:val="24"/>
                </w:rPr>
                <w:t>„</w:t>
              </w:r>
              <w:r w:rsidR="00925EDE">
                <w:rPr>
                  <w:rStyle w:val="Hyperlink"/>
                  <w:szCs w:val="24"/>
                </w:rPr>
                <w:t>Impfschutz unbekannt</w:t>
              </w:r>
              <w:r w:rsidR="003439F1">
                <w:rPr>
                  <w:rStyle w:val="Hyperlink"/>
                  <w:szCs w:val="24"/>
                </w:rPr>
                <w:t>“</w:t>
              </w:r>
              <w:r w:rsidR="00177BC6">
                <w:rPr>
                  <w:rStyle w:val="Hyperlink"/>
                  <w:szCs w:val="24"/>
                </w:rPr>
                <w:t xml:space="preserve"> und</w:t>
              </w:r>
              <w:r w:rsidR="00925EDE">
                <w:rPr>
                  <w:rStyle w:val="Hyperlink"/>
                  <w:szCs w:val="24"/>
                </w:rPr>
                <w:t xml:space="preserve"> </w:t>
              </w:r>
              <w:r w:rsidR="003439F1">
                <w:rPr>
                  <w:rStyle w:val="Hyperlink"/>
                  <w:szCs w:val="24"/>
                </w:rPr>
                <w:t>„</w:t>
              </w:r>
              <w:r w:rsidR="00925EDE">
                <w:rPr>
                  <w:rStyle w:val="Hyperlink"/>
                  <w:szCs w:val="24"/>
                </w:rPr>
                <w:t>keinen Impfschutz</w:t>
              </w:r>
              <w:r w:rsidR="003439F1">
                <w:rPr>
                  <w:rStyle w:val="Hyperlink"/>
                  <w:szCs w:val="24"/>
                </w:rPr>
                <w:t>“</w:t>
              </w:r>
              <w:r w:rsidR="00925EDE">
                <w:rPr>
                  <w:rStyle w:val="Hyperlink"/>
                  <w:szCs w:val="24"/>
                </w:rPr>
                <w:t xml:space="preserve"> am 24.11.</w:t>
              </w:r>
              <w:r w:rsidR="00177BC6">
                <w:rPr>
                  <w:rStyle w:val="Hyperlink"/>
                  <w:szCs w:val="24"/>
                </w:rPr>
                <w:t>2021</w:t>
              </w:r>
              <w:r w:rsidR="00925EDE">
                <w:rPr>
                  <w:rStyle w:val="Hyperlink"/>
                  <w:szCs w:val="24"/>
                </w:rPr>
                <w:t xml:space="preserve"> für die Zeitung DIE WELT</w:t>
              </w:r>
              <w:r w:rsidR="00925EDE">
                <w:rPr>
                  <w:rStyle w:val="Hyperlink"/>
                  <w:szCs w:val="24"/>
                </w:rPr>
                <w:tab/>
                <w:t>49</w:t>
              </w:r>
            </w:hyperlink>
          </w:p>
        </w:tc>
      </w:tr>
      <w:tr w:rsidR="00925EDE" w:rsidRPr="005833DD" w:rsidTr="001F3CDA">
        <w:tc>
          <w:tcPr>
            <w:tcW w:w="5000" w:type="pct"/>
          </w:tcPr>
          <w:p w:rsidR="00925EDE" w:rsidRDefault="00351E06" w:rsidP="00925EDE">
            <w:pPr>
              <w:pStyle w:val="LTVerzDerFragenden"/>
            </w:pPr>
            <w:r>
              <w:t>Bozo</w:t>
            </w:r>
            <w:r>
              <w:rPr>
                <w:rFonts w:cs="Arial"/>
              </w:rPr>
              <w:t>ǧ</w:t>
            </w:r>
            <w:r w:rsidR="00925EDE">
              <w:t>lu, Cemal (BÜNDNIS 90/DIE GRÜNEN)</w:t>
            </w:r>
          </w:p>
        </w:tc>
      </w:tr>
      <w:tr w:rsidR="00925EDE" w:rsidRPr="005833DD" w:rsidTr="001F3CDA">
        <w:tc>
          <w:tcPr>
            <w:tcW w:w="5000" w:type="pct"/>
          </w:tcPr>
          <w:p w:rsidR="00925EDE" w:rsidRDefault="007D5D9A" w:rsidP="00925EDE">
            <w:pPr>
              <w:pStyle w:val="LTVerzDerFragendenFrage"/>
            </w:pPr>
            <w:hyperlink w:anchor="Frage_Nr_1" w:tooltip="Frage Nr 1" w:history="1">
              <w:r w:rsidR="008A746A">
                <w:rPr>
                  <w:rStyle w:val="Hyperlink"/>
                  <w:szCs w:val="24"/>
                </w:rPr>
                <w:t>Postwurfs</w:t>
              </w:r>
              <w:r w:rsidR="00925EDE">
                <w:rPr>
                  <w:rStyle w:val="Hyperlink"/>
                  <w:szCs w:val="24"/>
                </w:rPr>
                <w:t>endungen mit Co</w:t>
              </w:r>
              <w:r w:rsidR="00B022F3">
                <w:rPr>
                  <w:rStyle w:val="Hyperlink"/>
                  <w:szCs w:val="24"/>
                </w:rPr>
                <w:t>rona-Desinformation in Bayern</w:t>
              </w:r>
              <w:r w:rsidR="00925EDE">
                <w:rPr>
                  <w:rStyle w:val="Hyperlink"/>
                  <w:szCs w:val="24"/>
                </w:rPr>
                <w:tab/>
                <w:t>1</w:t>
              </w:r>
            </w:hyperlink>
          </w:p>
        </w:tc>
      </w:tr>
      <w:tr w:rsidR="00925EDE" w:rsidRPr="005833DD" w:rsidTr="001F3CDA">
        <w:tc>
          <w:tcPr>
            <w:tcW w:w="5000" w:type="pct"/>
          </w:tcPr>
          <w:p w:rsidR="00925EDE" w:rsidRDefault="00351E06" w:rsidP="00925EDE">
            <w:pPr>
              <w:pStyle w:val="LTVerzDerFragenden"/>
            </w:pPr>
            <w:r>
              <w:t xml:space="preserve">von </w:t>
            </w:r>
            <w:r w:rsidR="00925EDE">
              <w:t>Brunn, Florian (SPD)</w:t>
            </w:r>
          </w:p>
        </w:tc>
      </w:tr>
      <w:tr w:rsidR="00925EDE" w:rsidRPr="005833DD" w:rsidTr="001F3CDA">
        <w:tc>
          <w:tcPr>
            <w:tcW w:w="5000" w:type="pct"/>
          </w:tcPr>
          <w:p w:rsidR="00925EDE" w:rsidRDefault="007D5D9A" w:rsidP="00925EDE">
            <w:pPr>
              <w:pStyle w:val="LTVerzDerFragendenFrage"/>
            </w:pPr>
            <w:hyperlink w:anchor="Frage_Nr_50" w:tooltip="Frage Nr 50" w:history="1">
              <w:r w:rsidR="00177BC6">
                <w:rPr>
                  <w:rStyle w:val="Hyperlink"/>
                  <w:szCs w:val="24"/>
                </w:rPr>
                <w:t>Falsche Inzidenz-Zahlen des</w:t>
              </w:r>
              <w:r w:rsidR="00925EDE">
                <w:rPr>
                  <w:rStyle w:val="Hyperlink"/>
                  <w:szCs w:val="24"/>
                </w:rPr>
                <w:t xml:space="preserve"> LGL: Wurde die Öffentlichkeit </w:t>
              </w:r>
              <w:r w:rsidR="00510F61">
                <w:rPr>
                  <w:rStyle w:val="Hyperlink"/>
                  <w:szCs w:val="24"/>
                </w:rPr>
                <w:br/>
              </w:r>
              <w:r w:rsidR="00925EDE">
                <w:rPr>
                  <w:rStyle w:val="Hyperlink"/>
                  <w:szCs w:val="24"/>
                </w:rPr>
                <w:t>gezielt irregeführt?</w:t>
              </w:r>
              <w:r w:rsidR="00925EDE">
                <w:rPr>
                  <w:rStyle w:val="Hyperlink"/>
                  <w:szCs w:val="24"/>
                </w:rPr>
                <w:tab/>
                <w:t>50</w:t>
              </w:r>
            </w:hyperlink>
          </w:p>
        </w:tc>
      </w:tr>
      <w:tr w:rsidR="00925EDE" w:rsidRPr="005833DD" w:rsidTr="001F3CDA">
        <w:tc>
          <w:tcPr>
            <w:tcW w:w="5000" w:type="pct"/>
          </w:tcPr>
          <w:p w:rsidR="00925EDE" w:rsidRDefault="00925EDE" w:rsidP="00925EDE">
            <w:pPr>
              <w:pStyle w:val="LTVerzDerFragenden"/>
            </w:pPr>
            <w:r>
              <w:t>Dr. Büchler, Markus (BÜNDNIS 90/DIE GRÜNEN)</w:t>
            </w:r>
          </w:p>
        </w:tc>
      </w:tr>
      <w:tr w:rsidR="00925EDE" w:rsidRPr="005833DD" w:rsidTr="001F3CDA">
        <w:tc>
          <w:tcPr>
            <w:tcW w:w="5000" w:type="pct"/>
          </w:tcPr>
          <w:p w:rsidR="00925EDE" w:rsidRDefault="007D5D9A" w:rsidP="00925EDE">
            <w:pPr>
              <w:pStyle w:val="LTVerzDerFragendenFrage"/>
            </w:pPr>
            <w:hyperlink w:anchor="Frage_Nr_7" w:tooltip="Frage Nr 7" w:history="1">
              <w:r w:rsidR="00925EDE">
                <w:rPr>
                  <w:rStyle w:val="Hyperlink"/>
                  <w:szCs w:val="24"/>
                </w:rPr>
                <w:t>Staatsstraßen durch Fauna-Flora-Habitat-Gebiete</w:t>
              </w:r>
              <w:r w:rsidR="00925EDE">
                <w:rPr>
                  <w:rStyle w:val="Hyperlink"/>
                  <w:szCs w:val="24"/>
                </w:rPr>
                <w:tab/>
                <w:t>7</w:t>
              </w:r>
            </w:hyperlink>
          </w:p>
        </w:tc>
      </w:tr>
      <w:tr w:rsidR="00925EDE" w:rsidRPr="005833DD" w:rsidTr="001F3CDA">
        <w:tc>
          <w:tcPr>
            <w:tcW w:w="5000" w:type="pct"/>
          </w:tcPr>
          <w:p w:rsidR="00925EDE" w:rsidRDefault="00925EDE" w:rsidP="00925EDE">
            <w:pPr>
              <w:pStyle w:val="LTVerzDerFragenden"/>
            </w:pPr>
            <w:r>
              <w:t>Celina, Kerstin (BÜNDNIS 90/DIE GRÜNEN)</w:t>
            </w:r>
          </w:p>
        </w:tc>
      </w:tr>
      <w:tr w:rsidR="00925EDE" w:rsidRPr="005833DD" w:rsidTr="001F3CDA">
        <w:tc>
          <w:tcPr>
            <w:tcW w:w="5000" w:type="pct"/>
          </w:tcPr>
          <w:p w:rsidR="00925EDE" w:rsidRDefault="007D5D9A" w:rsidP="00925EDE">
            <w:pPr>
              <w:pStyle w:val="LTVerzDerFragendenFrage"/>
            </w:pPr>
            <w:hyperlink w:anchor="Frage_Nr_43" w:tooltip="Frage Nr 43" w:history="1">
              <w:r w:rsidR="00925EDE">
                <w:rPr>
                  <w:rStyle w:val="Hyperlink"/>
                  <w:szCs w:val="24"/>
                </w:rPr>
                <w:t>Schuldnerberatung, Überschuldung u</w:t>
              </w:r>
              <w:r w:rsidR="00B022F3">
                <w:rPr>
                  <w:rStyle w:val="Hyperlink"/>
                  <w:szCs w:val="24"/>
                </w:rPr>
                <w:t>nd Privatinsolvenzen in Bayern –</w:t>
              </w:r>
              <w:r w:rsidR="00925EDE">
                <w:rPr>
                  <w:rStyle w:val="Hyperlink"/>
                  <w:szCs w:val="24"/>
                </w:rPr>
                <w:t xml:space="preserve"> Datenlage</w:t>
              </w:r>
              <w:r w:rsidR="00925EDE">
                <w:rPr>
                  <w:rStyle w:val="Hyperlink"/>
                  <w:szCs w:val="24"/>
                </w:rPr>
                <w:tab/>
                <w:t>43</w:t>
              </w:r>
            </w:hyperlink>
          </w:p>
        </w:tc>
      </w:tr>
      <w:tr w:rsidR="00925EDE" w:rsidRPr="005833DD" w:rsidTr="001F3CDA">
        <w:tc>
          <w:tcPr>
            <w:tcW w:w="5000" w:type="pct"/>
          </w:tcPr>
          <w:p w:rsidR="00925EDE" w:rsidRDefault="00925EDE" w:rsidP="00925EDE">
            <w:pPr>
              <w:pStyle w:val="LTVerzDerFragenden"/>
            </w:pPr>
            <w:r>
              <w:t>Deisenhofer, Maximilian (BÜNDNIS 90/DIE GRÜNEN)</w:t>
            </w:r>
          </w:p>
        </w:tc>
      </w:tr>
      <w:tr w:rsidR="00925EDE" w:rsidRPr="005833DD" w:rsidTr="001F3CDA">
        <w:tc>
          <w:tcPr>
            <w:tcW w:w="5000" w:type="pct"/>
          </w:tcPr>
          <w:p w:rsidR="00925EDE" w:rsidRDefault="007D5D9A" w:rsidP="00925EDE">
            <w:pPr>
              <w:pStyle w:val="LTVerzDerFragendenFrage"/>
            </w:pPr>
            <w:hyperlink w:anchor="Frage_Nr_18" w:tooltip="Frage Nr 18" w:history="1">
              <w:r w:rsidR="00925EDE">
                <w:rPr>
                  <w:rStyle w:val="Hyperlink"/>
                  <w:szCs w:val="24"/>
                </w:rPr>
                <w:t>Impfaktionen Schwaben</w:t>
              </w:r>
              <w:r w:rsidR="00925EDE">
                <w:rPr>
                  <w:rStyle w:val="Hyperlink"/>
                  <w:szCs w:val="24"/>
                </w:rPr>
                <w:tab/>
                <w:t>18</w:t>
              </w:r>
            </w:hyperlink>
          </w:p>
        </w:tc>
      </w:tr>
      <w:tr w:rsidR="00925EDE" w:rsidRPr="005833DD" w:rsidTr="001F3CDA">
        <w:tc>
          <w:tcPr>
            <w:tcW w:w="5000" w:type="pct"/>
          </w:tcPr>
          <w:p w:rsidR="00925EDE" w:rsidRDefault="00925EDE" w:rsidP="00925EDE">
            <w:pPr>
              <w:pStyle w:val="LTVerzDerFragenden"/>
            </w:pPr>
            <w:r>
              <w:t>Demirel, Gülseren (BÜNDNIS 90/DIE GRÜNEN)</w:t>
            </w:r>
          </w:p>
        </w:tc>
      </w:tr>
      <w:tr w:rsidR="00925EDE" w:rsidRPr="005833DD" w:rsidTr="001F3CDA">
        <w:tc>
          <w:tcPr>
            <w:tcW w:w="5000" w:type="pct"/>
          </w:tcPr>
          <w:p w:rsidR="00925EDE" w:rsidRDefault="007D5D9A" w:rsidP="00925EDE">
            <w:pPr>
              <w:pStyle w:val="LTVerzDerFragendenFrage"/>
            </w:pPr>
            <w:hyperlink w:anchor="Frage_Nr_2" w:tooltip="Frage Nr 2" w:history="1">
              <w:r w:rsidR="00925EDE">
                <w:rPr>
                  <w:rStyle w:val="Hyperlink"/>
                  <w:szCs w:val="24"/>
                </w:rPr>
                <w:t>Integrationsbericht</w:t>
              </w:r>
              <w:r w:rsidR="00925EDE">
                <w:rPr>
                  <w:rStyle w:val="Hyperlink"/>
                  <w:szCs w:val="24"/>
                </w:rPr>
                <w:tab/>
                <w:t>2</w:t>
              </w:r>
            </w:hyperlink>
          </w:p>
        </w:tc>
      </w:tr>
      <w:tr w:rsidR="00925EDE" w:rsidRPr="005833DD" w:rsidTr="001F3CDA">
        <w:tc>
          <w:tcPr>
            <w:tcW w:w="5000" w:type="pct"/>
          </w:tcPr>
          <w:p w:rsidR="00925EDE" w:rsidRDefault="00925EDE" w:rsidP="00925EDE">
            <w:pPr>
              <w:pStyle w:val="LTVerzDerFragenden"/>
            </w:pPr>
            <w:r>
              <w:t>Duin, Albert (FDP)</w:t>
            </w:r>
          </w:p>
        </w:tc>
      </w:tr>
      <w:tr w:rsidR="00925EDE" w:rsidRPr="005833DD" w:rsidTr="001F3CDA">
        <w:tc>
          <w:tcPr>
            <w:tcW w:w="5000" w:type="pct"/>
          </w:tcPr>
          <w:p w:rsidR="00925EDE" w:rsidRDefault="007D5D9A" w:rsidP="00925EDE">
            <w:pPr>
              <w:pStyle w:val="LTVerzDerFragendenFrage"/>
            </w:pPr>
            <w:hyperlink w:anchor="Frage_Nr_29" w:tooltip="Frage Nr 29" w:history="1">
              <w:r w:rsidR="00925EDE">
                <w:rPr>
                  <w:rStyle w:val="Hyperlink"/>
                  <w:szCs w:val="24"/>
                </w:rPr>
                <w:t>Unternehmerlohn für Schausteller</w:t>
              </w:r>
              <w:r w:rsidR="003439F1">
                <w:rPr>
                  <w:rStyle w:val="Hyperlink"/>
                  <w:szCs w:val="24"/>
                </w:rPr>
                <w:t xml:space="preserve"> </w:t>
              </w:r>
              <w:r w:rsidR="00925EDE">
                <w:rPr>
                  <w:rStyle w:val="Hyperlink"/>
                  <w:szCs w:val="24"/>
                </w:rPr>
                <w:tab/>
                <w:t>29</w:t>
              </w:r>
            </w:hyperlink>
          </w:p>
        </w:tc>
      </w:tr>
      <w:tr w:rsidR="00925EDE" w:rsidRPr="005833DD" w:rsidTr="001F3CDA">
        <w:tc>
          <w:tcPr>
            <w:tcW w:w="5000" w:type="pct"/>
          </w:tcPr>
          <w:p w:rsidR="00925EDE" w:rsidRDefault="00925EDE" w:rsidP="00925EDE">
            <w:pPr>
              <w:pStyle w:val="LTVerzDerFragenden"/>
            </w:pPr>
            <w:r>
              <w:t>Ebner-Steiner, Katrin (AfD)</w:t>
            </w:r>
          </w:p>
        </w:tc>
      </w:tr>
      <w:tr w:rsidR="00925EDE" w:rsidRPr="005833DD" w:rsidTr="001F3CDA">
        <w:tc>
          <w:tcPr>
            <w:tcW w:w="5000" w:type="pct"/>
          </w:tcPr>
          <w:p w:rsidR="00925EDE" w:rsidRDefault="007D5D9A" w:rsidP="00925EDE">
            <w:pPr>
              <w:pStyle w:val="LTVerzDerFragendenFrage"/>
            </w:pPr>
            <w:hyperlink w:anchor="Frage_Nr_51" w:tooltip="Frage Nr 51" w:history="1">
              <w:r w:rsidR="00925EDE">
                <w:rPr>
                  <w:rStyle w:val="Hyperlink"/>
                  <w:szCs w:val="24"/>
                </w:rPr>
                <w:t>Meldung Ung</w:t>
              </w:r>
              <w:r w:rsidR="00510F61">
                <w:rPr>
                  <w:rStyle w:val="Hyperlink"/>
                  <w:szCs w:val="24"/>
                </w:rPr>
                <w:t>e</w:t>
              </w:r>
              <w:r w:rsidR="00925EDE">
                <w:rPr>
                  <w:rStyle w:val="Hyperlink"/>
                  <w:szCs w:val="24"/>
                </w:rPr>
                <w:t>impfter an Behörden</w:t>
              </w:r>
              <w:r w:rsidR="00925EDE">
                <w:rPr>
                  <w:rStyle w:val="Hyperlink"/>
                  <w:szCs w:val="24"/>
                </w:rPr>
                <w:tab/>
                <w:t>51</w:t>
              </w:r>
            </w:hyperlink>
          </w:p>
        </w:tc>
      </w:tr>
      <w:tr w:rsidR="00925EDE" w:rsidRPr="005833DD" w:rsidTr="001F3CDA">
        <w:tc>
          <w:tcPr>
            <w:tcW w:w="5000" w:type="pct"/>
          </w:tcPr>
          <w:p w:rsidR="00925EDE" w:rsidRDefault="00925EDE" w:rsidP="00925EDE">
            <w:pPr>
              <w:pStyle w:val="LTVerzDerFragenden"/>
            </w:pPr>
            <w:r>
              <w:t>Fehlner, Martina (SPD)</w:t>
            </w:r>
          </w:p>
        </w:tc>
      </w:tr>
      <w:tr w:rsidR="00925EDE" w:rsidRPr="005833DD" w:rsidTr="001F3CDA">
        <w:tc>
          <w:tcPr>
            <w:tcW w:w="5000" w:type="pct"/>
          </w:tcPr>
          <w:p w:rsidR="00925EDE" w:rsidRDefault="007D5D9A" w:rsidP="00925EDE">
            <w:pPr>
              <w:pStyle w:val="LTVerzDerFragendenFrage"/>
            </w:pPr>
            <w:hyperlink w:anchor="Frage_Nr_38" w:tooltip="Frage Nr 38" w:history="1">
              <w:r w:rsidR="00925EDE">
                <w:rPr>
                  <w:rStyle w:val="Hyperlink"/>
                  <w:szCs w:val="24"/>
                </w:rPr>
                <w:t>Ausnahmegenehmigungen für Anbindehaltung</w:t>
              </w:r>
              <w:r w:rsidR="00925EDE">
                <w:rPr>
                  <w:rStyle w:val="Hyperlink"/>
                  <w:szCs w:val="24"/>
                </w:rPr>
                <w:tab/>
                <w:t>38</w:t>
              </w:r>
            </w:hyperlink>
          </w:p>
        </w:tc>
      </w:tr>
      <w:tr w:rsidR="00925EDE" w:rsidRPr="005833DD" w:rsidTr="001F3CDA">
        <w:tc>
          <w:tcPr>
            <w:tcW w:w="5000" w:type="pct"/>
          </w:tcPr>
          <w:p w:rsidR="00925EDE" w:rsidRDefault="00925EDE" w:rsidP="00925EDE">
            <w:pPr>
              <w:pStyle w:val="LTVerzDerFragenden"/>
            </w:pPr>
            <w:r>
              <w:t>Fischbach, Matthias (FDP)</w:t>
            </w:r>
          </w:p>
        </w:tc>
      </w:tr>
      <w:tr w:rsidR="00925EDE" w:rsidRPr="005833DD" w:rsidTr="001F3CDA">
        <w:tc>
          <w:tcPr>
            <w:tcW w:w="5000" w:type="pct"/>
          </w:tcPr>
          <w:p w:rsidR="00925EDE" w:rsidRDefault="007D5D9A" w:rsidP="00925EDE">
            <w:pPr>
              <w:pStyle w:val="LTVerzDerFragendenFrage"/>
            </w:pPr>
            <w:hyperlink w:anchor="Frage_Nr_52" w:tooltip="Frage Nr 52" w:history="1">
              <w:r w:rsidR="00510F61">
                <w:rPr>
                  <w:rStyle w:val="Hyperlink"/>
                  <w:szCs w:val="24"/>
                </w:rPr>
                <w:t>LGL-Inzidenz V:</w:t>
              </w:r>
              <w:r w:rsidR="003439F1">
                <w:rPr>
                  <w:rStyle w:val="Hyperlink"/>
                  <w:szCs w:val="24"/>
                </w:rPr>
                <w:t xml:space="preserve"> </w:t>
              </w:r>
              <w:r w:rsidR="00925EDE">
                <w:rPr>
                  <w:rStyle w:val="Hyperlink"/>
                  <w:szCs w:val="24"/>
                </w:rPr>
                <w:t xml:space="preserve">Umgang des Ministerpräsidenten und des </w:t>
              </w:r>
              <w:r w:rsidR="00B022F3">
                <w:rPr>
                  <w:rStyle w:val="Hyperlink"/>
                  <w:szCs w:val="24"/>
                </w:rPr>
                <w:br/>
              </w:r>
              <w:r w:rsidR="00925EDE">
                <w:rPr>
                  <w:rStyle w:val="Hyperlink"/>
                  <w:szCs w:val="24"/>
                </w:rPr>
                <w:t>Gesundheitsministers mit verzerrten Inzidenzzahlen</w:t>
              </w:r>
              <w:r w:rsidR="00925EDE">
                <w:rPr>
                  <w:rStyle w:val="Hyperlink"/>
                  <w:szCs w:val="24"/>
                </w:rPr>
                <w:tab/>
                <w:t>52</w:t>
              </w:r>
            </w:hyperlink>
          </w:p>
        </w:tc>
      </w:tr>
      <w:tr w:rsidR="00925EDE" w:rsidRPr="005833DD" w:rsidTr="001F3CDA">
        <w:tc>
          <w:tcPr>
            <w:tcW w:w="5000" w:type="pct"/>
          </w:tcPr>
          <w:p w:rsidR="00925EDE" w:rsidRDefault="00925EDE" w:rsidP="00925EDE">
            <w:pPr>
              <w:pStyle w:val="LTVerzDerFragenden"/>
            </w:pPr>
            <w:r>
              <w:t>Franke, Anne (BÜNDNIS 90/DIE GRÜNEN)</w:t>
            </w:r>
          </w:p>
        </w:tc>
      </w:tr>
      <w:tr w:rsidR="00925EDE" w:rsidRPr="005833DD" w:rsidTr="001F3CDA">
        <w:tc>
          <w:tcPr>
            <w:tcW w:w="5000" w:type="pct"/>
          </w:tcPr>
          <w:p w:rsidR="00925EDE" w:rsidRDefault="007D5D9A" w:rsidP="00925EDE">
            <w:pPr>
              <w:pStyle w:val="LTVerzDerFragendenFrage"/>
            </w:pPr>
            <w:hyperlink w:anchor="Frage_Nr_53" w:tooltip="Frage Nr 53" w:history="1">
              <w:r w:rsidR="00925EDE">
                <w:rPr>
                  <w:rStyle w:val="Hyperlink"/>
                  <w:szCs w:val="24"/>
                </w:rPr>
                <w:t xml:space="preserve">Abfrage des Impfstatus, Kontaktnachverfolgung und personelle </w:t>
              </w:r>
              <w:r w:rsidR="00B022F3">
                <w:rPr>
                  <w:rStyle w:val="Hyperlink"/>
                  <w:szCs w:val="24"/>
                </w:rPr>
                <w:br/>
              </w:r>
              <w:r w:rsidR="00925EDE">
                <w:rPr>
                  <w:rStyle w:val="Hyperlink"/>
                  <w:szCs w:val="24"/>
                </w:rPr>
                <w:t>Ausstattung des Starnberger Gesundheitsamtes</w:t>
              </w:r>
              <w:r w:rsidR="00925EDE">
                <w:rPr>
                  <w:rStyle w:val="Hyperlink"/>
                  <w:szCs w:val="24"/>
                </w:rPr>
                <w:tab/>
                <w:t>53</w:t>
              </w:r>
            </w:hyperlink>
          </w:p>
        </w:tc>
      </w:tr>
      <w:tr w:rsidR="00925EDE" w:rsidRPr="005833DD" w:rsidTr="001F3CDA">
        <w:tc>
          <w:tcPr>
            <w:tcW w:w="5000" w:type="pct"/>
          </w:tcPr>
          <w:p w:rsidR="00925EDE" w:rsidRDefault="00925EDE" w:rsidP="00925EDE">
            <w:pPr>
              <w:pStyle w:val="LTVerzDerFragenden"/>
            </w:pPr>
            <w:r>
              <w:t>Friedl, Patrick (BÜNDNIS 90/DIE GRÜNEN)</w:t>
            </w:r>
          </w:p>
        </w:tc>
      </w:tr>
      <w:tr w:rsidR="00925EDE" w:rsidRPr="005833DD" w:rsidTr="001F3CDA">
        <w:tc>
          <w:tcPr>
            <w:tcW w:w="5000" w:type="pct"/>
          </w:tcPr>
          <w:p w:rsidR="00925EDE" w:rsidRDefault="007D5D9A" w:rsidP="00925EDE">
            <w:pPr>
              <w:pStyle w:val="LTVerzDerFragendenFrage"/>
            </w:pPr>
            <w:hyperlink w:anchor="Frage_Nr_39" w:tooltip="Frage Nr 39" w:history="1">
              <w:r w:rsidR="00925EDE">
                <w:rPr>
                  <w:rStyle w:val="Hyperlink"/>
                  <w:szCs w:val="24"/>
                </w:rPr>
                <w:t>Halbie</w:t>
              </w:r>
              <w:r w:rsidR="00510F61">
                <w:rPr>
                  <w:rStyle w:val="Hyperlink"/>
                  <w:szCs w:val="24"/>
                </w:rPr>
                <w:t>rung bei Pflanzenschutz-Chemie –</w:t>
              </w:r>
              <w:r w:rsidR="00925EDE">
                <w:rPr>
                  <w:rStyle w:val="Hyperlink"/>
                  <w:szCs w:val="24"/>
                </w:rPr>
                <w:t xml:space="preserve"> Umsetzung Volksbegehren zur </w:t>
              </w:r>
              <w:r w:rsidR="00B022F3">
                <w:rPr>
                  <w:rStyle w:val="Hyperlink"/>
                  <w:szCs w:val="24"/>
                </w:rPr>
                <w:br/>
              </w:r>
              <w:r w:rsidR="00925EDE">
                <w:rPr>
                  <w:rStyle w:val="Hyperlink"/>
                  <w:szCs w:val="24"/>
                </w:rPr>
                <w:t>Artenvielfalt</w:t>
              </w:r>
              <w:r w:rsidR="00925EDE">
                <w:rPr>
                  <w:rStyle w:val="Hyperlink"/>
                  <w:szCs w:val="24"/>
                </w:rPr>
                <w:tab/>
                <w:t>39</w:t>
              </w:r>
            </w:hyperlink>
          </w:p>
        </w:tc>
      </w:tr>
      <w:tr w:rsidR="00925EDE" w:rsidRPr="005833DD" w:rsidTr="001F3CDA">
        <w:tc>
          <w:tcPr>
            <w:tcW w:w="5000" w:type="pct"/>
          </w:tcPr>
          <w:p w:rsidR="00925EDE" w:rsidRDefault="00925EDE" w:rsidP="00925EDE">
            <w:pPr>
              <w:pStyle w:val="LTVerzDerFragenden"/>
            </w:pPr>
            <w:r>
              <w:t>Fuchs, Barbara (BÜNDNIS 90/DIE GRÜNEN)</w:t>
            </w:r>
          </w:p>
        </w:tc>
      </w:tr>
      <w:tr w:rsidR="00925EDE" w:rsidRPr="005833DD" w:rsidTr="001F3CDA">
        <w:tc>
          <w:tcPr>
            <w:tcW w:w="5000" w:type="pct"/>
          </w:tcPr>
          <w:p w:rsidR="00925EDE" w:rsidRDefault="007D5D9A" w:rsidP="00925EDE">
            <w:pPr>
              <w:pStyle w:val="LTVerzDerFragendenFrage"/>
            </w:pPr>
            <w:hyperlink w:anchor="Frage_Nr_8" w:tooltip="Frage Nr 8" w:history="1">
              <w:r w:rsidR="00925EDE">
                <w:rPr>
                  <w:rStyle w:val="Hyperlink"/>
                  <w:szCs w:val="24"/>
                </w:rPr>
                <w:t>Bayerisches Städtebauförderungsprogramm</w:t>
              </w:r>
              <w:r w:rsidR="00925EDE">
                <w:rPr>
                  <w:rStyle w:val="Hyperlink"/>
                  <w:szCs w:val="24"/>
                </w:rPr>
                <w:tab/>
                <w:t>8</w:t>
              </w:r>
            </w:hyperlink>
          </w:p>
        </w:tc>
      </w:tr>
      <w:tr w:rsidR="00925EDE" w:rsidRPr="005833DD" w:rsidTr="001F3CDA">
        <w:tc>
          <w:tcPr>
            <w:tcW w:w="5000" w:type="pct"/>
          </w:tcPr>
          <w:p w:rsidR="00925EDE" w:rsidRDefault="00925EDE" w:rsidP="00925EDE">
            <w:pPr>
              <w:pStyle w:val="LTVerzDerFragenden"/>
            </w:pPr>
            <w:r>
              <w:t>Gehring, Thomas (BÜNDNIS 90/DIE GRÜNEN)</w:t>
            </w:r>
          </w:p>
        </w:tc>
      </w:tr>
      <w:tr w:rsidR="00925EDE" w:rsidRPr="005833DD" w:rsidTr="001F3CDA">
        <w:tc>
          <w:tcPr>
            <w:tcW w:w="5000" w:type="pct"/>
          </w:tcPr>
          <w:p w:rsidR="00925EDE" w:rsidRDefault="007D5D9A" w:rsidP="00925EDE">
            <w:pPr>
              <w:pStyle w:val="LTVerzDerFragendenFrage"/>
            </w:pPr>
            <w:hyperlink w:anchor="Frage_Nr_19" w:tooltip="Frage Nr 19" w:history="1">
              <w:r w:rsidR="00925EDE">
                <w:rPr>
                  <w:rStyle w:val="Hyperlink"/>
                  <w:szCs w:val="24"/>
                </w:rPr>
                <w:t>Durchsetzung der Schulpflicht bei Testverweigerung</w:t>
              </w:r>
              <w:r w:rsidR="00925EDE">
                <w:rPr>
                  <w:rStyle w:val="Hyperlink"/>
                  <w:szCs w:val="24"/>
                </w:rPr>
                <w:tab/>
                <w:t>19</w:t>
              </w:r>
            </w:hyperlink>
          </w:p>
        </w:tc>
      </w:tr>
      <w:tr w:rsidR="00925EDE" w:rsidRPr="005833DD" w:rsidTr="001F3CDA">
        <w:tc>
          <w:tcPr>
            <w:tcW w:w="5000" w:type="pct"/>
          </w:tcPr>
          <w:p w:rsidR="00925EDE" w:rsidRDefault="00925EDE" w:rsidP="00925EDE">
            <w:pPr>
              <w:pStyle w:val="LTVerzDerFragenden"/>
            </w:pPr>
            <w:r>
              <w:t>Hagen, Martin (FDP)</w:t>
            </w:r>
          </w:p>
        </w:tc>
      </w:tr>
      <w:tr w:rsidR="00925EDE" w:rsidRPr="005833DD" w:rsidTr="001F3CDA">
        <w:tc>
          <w:tcPr>
            <w:tcW w:w="5000" w:type="pct"/>
          </w:tcPr>
          <w:p w:rsidR="00925EDE" w:rsidRDefault="007D5D9A" w:rsidP="00925EDE">
            <w:pPr>
              <w:pStyle w:val="LTVerzDerFragendenFrage"/>
            </w:pPr>
            <w:hyperlink w:anchor="Frage_Nr_54" w:tooltip="Frage Nr 54" w:history="1">
              <w:r w:rsidR="00925EDE">
                <w:rPr>
                  <w:rStyle w:val="Hyperlink"/>
                  <w:szCs w:val="24"/>
                </w:rPr>
                <w:t>LGL-Inzidenz II: Entwicklung der Zahlen</w:t>
              </w:r>
              <w:r w:rsidR="00925EDE">
                <w:rPr>
                  <w:rStyle w:val="Hyperlink"/>
                  <w:szCs w:val="24"/>
                </w:rPr>
                <w:tab/>
                <w:t>54</w:t>
              </w:r>
            </w:hyperlink>
          </w:p>
        </w:tc>
      </w:tr>
      <w:tr w:rsidR="00925EDE" w:rsidRPr="005833DD" w:rsidTr="001F3CDA">
        <w:tc>
          <w:tcPr>
            <w:tcW w:w="5000" w:type="pct"/>
          </w:tcPr>
          <w:p w:rsidR="00925EDE" w:rsidRDefault="00925EDE" w:rsidP="00925EDE">
            <w:pPr>
              <w:pStyle w:val="LTVerzDerFragenden"/>
            </w:pPr>
            <w:r>
              <w:t>Prof. Dr. Hahn, Ingo (AfD)</w:t>
            </w:r>
          </w:p>
        </w:tc>
      </w:tr>
      <w:tr w:rsidR="00925EDE" w:rsidRPr="005833DD" w:rsidTr="001F3CDA">
        <w:tc>
          <w:tcPr>
            <w:tcW w:w="5000" w:type="pct"/>
          </w:tcPr>
          <w:p w:rsidR="00925EDE" w:rsidRDefault="007D5D9A" w:rsidP="00925EDE">
            <w:pPr>
              <w:pStyle w:val="LTVerzDerFragendenFrage"/>
            </w:pPr>
            <w:hyperlink w:anchor="Frage_Nr_55" w:tooltip="Frage Nr 55" w:history="1">
              <w:r w:rsidR="00925EDE">
                <w:rPr>
                  <w:rStyle w:val="Hyperlink"/>
                  <w:szCs w:val="24"/>
                </w:rPr>
                <w:t>Manipulation bei Inzidenzwerten in Bayern?</w:t>
              </w:r>
              <w:r w:rsidR="00925EDE">
                <w:rPr>
                  <w:rStyle w:val="Hyperlink"/>
                  <w:szCs w:val="24"/>
                </w:rPr>
                <w:tab/>
                <w:t>55</w:t>
              </w:r>
            </w:hyperlink>
          </w:p>
        </w:tc>
      </w:tr>
      <w:tr w:rsidR="00925EDE" w:rsidRPr="005833DD" w:rsidTr="001F3CDA">
        <w:tc>
          <w:tcPr>
            <w:tcW w:w="5000" w:type="pct"/>
          </w:tcPr>
          <w:p w:rsidR="00925EDE" w:rsidRDefault="00925EDE" w:rsidP="00925EDE">
            <w:pPr>
              <w:pStyle w:val="LTVerzDerFragenden"/>
            </w:pPr>
            <w:r>
              <w:t>Hartmann, Ludwig (BÜNDNIS 90/DIE GRÜNEN)</w:t>
            </w:r>
          </w:p>
        </w:tc>
      </w:tr>
      <w:tr w:rsidR="00925EDE" w:rsidRPr="005833DD" w:rsidTr="001F3CDA">
        <w:tc>
          <w:tcPr>
            <w:tcW w:w="5000" w:type="pct"/>
          </w:tcPr>
          <w:p w:rsidR="00925EDE" w:rsidRDefault="007D5D9A" w:rsidP="00925EDE">
            <w:pPr>
              <w:pStyle w:val="LTVerzDerFragendenFrage"/>
            </w:pPr>
            <w:hyperlink w:anchor="Frage_Nr_30" w:tooltip="Frage Nr 30" w:history="1">
              <w:r w:rsidR="00925EDE">
                <w:rPr>
                  <w:rStyle w:val="Hyperlink"/>
                  <w:szCs w:val="24"/>
                </w:rPr>
                <w:t>Mögliche Ansiedlung der Firma Intel in Penzing</w:t>
              </w:r>
              <w:r w:rsidR="00925EDE">
                <w:rPr>
                  <w:rStyle w:val="Hyperlink"/>
                  <w:szCs w:val="24"/>
                </w:rPr>
                <w:tab/>
                <w:t>30</w:t>
              </w:r>
            </w:hyperlink>
          </w:p>
        </w:tc>
      </w:tr>
      <w:tr w:rsidR="00925EDE" w:rsidRPr="005833DD" w:rsidTr="001F3CDA">
        <w:tc>
          <w:tcPr>
            <w:tcW w:w="5000" w:type="pct"/>
          </w:tcPr>
          <w:p w:rsidR="00925EDE" w:rsidRDefault="00925EDE" w:rsidP="00925EDE">
            <w:pPr>
              <w:pStyle w:val="LTVerzDerFragenden"/>
            </w:pPr>
            <w:r>
              <w:t>Haubrich, Christina (BÜNDNIS 90/DIE GRÜNEN)</w:t>
            </w:r>
          </w:p>
        </w:tc>
      </w:tr>
      <w:tr w:rsidR="00925EDE" w:rsidRPr="005833DD" w:rsidTr="001F3CDA">
        <w:tc>
          <w:tcPr>
            <w:tcW w:w="5000" w:type="pct"/>
          </w:tcPr>
          <w:p w:rsidR="00925EDE" w:rsidRDefault="007D5D9A" w:rsidP="00925EDE">
            <w:pPr>
              <w:pStyle w:val="LTVerzDerFragendenFrage"/>
            </w:pPr>
            <w:hyperlink w:anchor="Frage_Nr_20" w:tooltip="Frage Nr 20" w:history="1">
              <w:r w:rsidR="00925EDE">
                <w:rPr>
                  <w:rStyle w:val="Hyperlink"/>
                  <w:szCs w:val="24"/>
                </w:rPr>
                <w:t>Verweigerung der Corona-Testpflicht an Schulen</w:t>
              </w:r>
              <w:r w:rsidR="00925EDE">
                <w:rPr>
                  <w:rStyle w:val="Hyperlink"/>
                  <w:szCs w:val="24"/>
                </w:rPr>
                <w:tab/>
                <w:t>20</w:t>
              </w:r>
            </w:hyperlink>
          </w:p>
        </w:tc>
      </w:tr>
      <w:tr w:rsidR="00925EDE" w:rsidRPr="005833DD" w:rsidTr="001F3CDA">
        <w:tc>
          <w:tcPr>
            <w:tcW w:w="5000" w:type="pct"/>
          </w:tcPr>
          <w:p w:rsidR="00925EDE" w:rsidRDefault="00925EDE" w:rsidP="00925EDE">
            <w:pPr>
              <w:pStyle w:val="LTVerzDerFragenden"/>
            </w:pPr>
            <w:r>
              <w:t>Hayn, Elmar (BÜNDNIS 90/DIE GRÜNEN)</w:t>
            </w:r>
          </w:p>
        </w:tc>
      </w:tr>
      <w:tr w:rsidR="00925EDE" w:rsidRPr="005833DD" w:rsidTr="001F3CDA">
        <w:tc>
          <w:tcPr>
            <w:tcW w:w="5000" w:type="pct"/>
          </w:tcPr>
          <w:p w:rsidR="00925EDE" w:rsidRDefault="007D5D9A" w:rsidP="00925EDE">
            <w:pPr>
              <w:pStyle w:val="LTVerzDerFragendenFrage"/>
            </w:pPr>
            <w:hyperlink w:anchor="Frage_Nr_56" w:tooltip="Frage Nr 56" w:history="1">
              <w:r w:rsidR="00925EDE">
                <w:rPr>
                  <w:rStyle w:val="Hyperlink"/>
                  <w:szCs w:val="24"/>
                </w:rPr>
                <w:t xml:space="preserve">Lokale Versorgung mit Impfstoff gegen </w:t>
              </w:r>
              <w:r w:rsidR="003439F1">
                <w:rPr>
                  <w:rStyle w:val="Hyperlink"/>
                  <w:szCs w:val="24"/>
                </w:rPr>
                <w:t>COVID</w:t>
              </w:r>
              <w:r w:rsidR="00925EDE">
                <w:rPr>
                  <w:rStyle w:val="Hyperlink"/>
                  <w:szCs w:val="24"/>
                </w:rPr>
                <w:t>-19</w:t>
              </w:r>
              <w:r w:rsidR="00925EDE">
                <w:rPr>
                  <w:rStyle w:val="Hyperlink"/>
                  <w:szCs w:val="24"/>
                </w:rPr>
                <w:tab/>
                <w:t>56</w:t>
              </w:r>
            </w:hyperlink>
          </w:p>
        </w:tc>
      </w:tr>
      <w:tr w:rsidR="00925EDE" w:rsidRPr="005833DD" w:rsidTr="001F3CDA">
        <w:tc>
          <w:tcPr>
            <w:tcW w:w="5000" w:type="pct"/>
          </w:tcPr>
          <w:p w:rsidR="00925EDE" w:rsidRDefault="00925EDE" w:rsidP="00925EDE">
            <w:pPr>
              <w:pStyle w:val="LTVerzDerFragenden"/>
            </w:pPr>
            <w:r>
              <w:t>Dr. Heubisch, Wolfgang (FDP)</w:t>
            </w:r>
          </w:p>
        </w:tc>
      </w:tr>
      <w:tr w:rsidR="00925EDE" w:rsidRPr="005833DD" w:rsidTr="001F3CDA">
        <w:tc>
          <w:tcPr>
            <w:tcW w:w="5000" w:type="pct"/>
          </w:tcPr>
          <w:p w:rsidR="00925EDE" w:rsidRDefault="007D5D9A" w:rsidP="00925EDE">
            <w:pPr>
              <w:pStyle w:val="LTVerzDerFragendenFrage"/>
            </w:pPr>
            <w:hyperlink w:anchor="Frage_Nr_57" w:tooltip="Frage Nr 57" w:history="1">
              <w:r w:rsidR="00925EDE">
                <w:rPr>
                  <w:rStyle w:val="Hyperlink"/>
                  <w:szCs w:val="24"/>
                </w:rPr>
                <w:t>LGL-Inzidenz III: Verantwortlichkeiten</w:t>
              </w:r>
              <w:r w:rsidR="00925EDE">
                <w:rPr>
                  <w:rStyle w:val="Hyperlink"/>
                  <w:szCs w:val="24"/>
                </w:rPr>
                <w:tab/>
                <w:t>57</w:t>
              </w:r>
            </w:hyperlink>
          </w:p>
        </w:tc>
      </w:tr>
      <w:tr w:rsidR="00925EDE" w:rsidRPr="005833DD" w:rsidTr="001F3CDA">
        <w:tc>
          <w:tcPr>
            <w:tcW w:w="5000" w:type="pct"/>
          </w:tcPr>
          <w:p w:rsidR="00925EDE" w:rsidRDefault="00925EDE" w:rsidP="00925EDE">
            <w:pPr>
              <w:pStyle w:val="LTVerzDerFragenden"/>
            </w:pPr>
            <w:r>
              <w:t>Hierneis, Christian (BÜNDNIS 90/DIE GRÜNEN)</w:t>
            </w:r>
          </w:p>
        </w:tc>
      </w:tr>
      <w:tr w:rsidR="00925EDE" w:rsidRPr="005833DD" w:rsidTr="001F3CDA">
        <w:tc>
          <w:tcPr>
            <w:tcW w:w="5000" w:type="pct"/>
          </w:tcPr>
          <w:p w:rsidR="00925EDE" w:rsidRDefault="007D5D9A" w:rsidP="00925EDE">
            <w:pPr>
              <w:pStyle w:val="LTVerzDerFragendenFrage"/>
            </w:pPr>
            <w:hyperlink w:anchor="Frage_Nr_34" w:tooltip="Frage Nr 34" w:history="1">
              <w:r w:rsidR="00925EDE">
                <w:rPr>
                  <w:rStyle w:val="Hyperlink"/>
                  <w:szCs w:val="24"/>
                </w:rPr>
                <w:t>Biodiversitätsberater, Art. 5d BayNatSchG</w:t>
              </w:r>
              <w:r w:rsidR="00925EDE">
                <w:rPr>
                  <w:rStyle w:val="Hyperlink"/>
                  <w:szCs w:val="24"/>
                </w:rPr>
                <w:tab/>
                <w:t>34</w:t>
              </w:r>
            </w:hyperlink>
          </w:p>
        </w:tc>
      </w:tr>
      <w:tr w:rsidR="00925EDE" w:rsidRPr="005833DD" w:rsidTr="001F3CDA">
        <w:tc>
          <w:tcPr>
            <w:tcW w:w="5000" w:type="pct"/>
          </w:tcPr>
          <w:p w:rsidR="00925EDE" w:rsidRDefault="00925EDE" w:rsidP="00925EDE">
            <w:pPr>
              <w:pStyle w:val="LTVerzDerFragenden"/>
            </w:pPr>
            <w:r>
              <w:t>Hiersemann, Alexandra (SPD)</w:t>
            </w:r>
          </w:p>
        </w:tc>
      </w:tr>
      <w:tr w:rsidR="00925EDE" w:rsidRPr="005833DD" w:rsidTr="001F3CDA">
        <w:tc>
          <w:tcPr>
            <w:tcW w:w="5000" w:type="pct"/>
          </w:tcPr>
          <w:p w:rsidR="00925EDE" w:rsidRDefault="007D5D9A" w:rsidP="00925EDE">
            <w:pPr>
              <w:pStyle w:val="LTVerzDerFragendenFrage"/>
            </w:pPr>
            <w:hyperlink w:anchor="Frage_Nr_58" w:tooltip="Frage Nr 58" w:history="1">
              <w:r w:rsidR="00925EDE">
                <w:rPr>
                  <w:rStyle w:val="Hyperlink"/>
                  <w:szCs w:val="24"/>
                </w:rPr>
                <w:t>Pflegestützpunkte in Bayern</w:t>
              </w:r>
              <w:r w:rsidR="00925EDE">
                <w:rPr>
                  <w:rStyle w:val="Hyperlink"/>
                  <w:szCs w:val="24"/>
                </w:rPr>
                <w:tab/>
                <w:t>58</w:t>
              </w:r>
            </w:hyperlink>
          </w:p>
        </w:tc>
      </w:tr>
      <w:tr w:rsidR="00925EDE" w:rsidRPr="005833DD" w:rsidTr="001F3CDA">
        <w:tc>
          <w:tcPr>
            <w:tcW w:w="5000" w:type="pct"/>
          </w:tcPr>
          <w:p w:rsidR="00925EDE" w:rsidRDefault="00925EDE" w:rsidP="00925EDE">
            <w:pPr>
              <w:pStyle w:val="LTVerzDerFragenden"/>
            </w:pPr>
            <w:r>
              <w:t>Dr. Kaltenhauser, Helmut (FDP)</w:t>
            </w:r>
          </w:p>
        </w:tc>
      </w:tr>
      <w:tr w:rsidR="00925EDE" w:rsidRPr="005833DD" w:rsidTr="001F3CDA">
        <w:tc>
          <w:tcPr>
            <w:tcW w:w="5000" w:type="pct"/>
          </w:tcPr>
          <w:p w:rsidR="00925EDE" w:rsidRDefault="007D5D9A" w:rsidP="00925EDE">
            <w:pPr>
              <w:pStyle w:val="LTVerzDerFragendenFrage"/>
            </w:pPr>
            <w:hyperlink w:anchor="Frage_Nr_31" w:tooltip="Frage Nr 31" w:history="1">
              <w:r w:rsidR="00925EDE">
                <w:rPr>
                  <w:rStyle w:val="Hyperlink"/>
                  <w:szCs w:val="24"/>
                </w:rPr>
                <w:t xml:space="preserve">Zusätzlicher Mittelbedarf für die Abwicklung der Corona-Wirtschaftshilfen </w:t>
              </w:r>
              <w:r w:rsidR="00B022F3">
                <w:rPr>
                  <w:rStyle w:val="Hyperlink"/>
                  <w:szCs w:val="24"/>
                </w:rPr>
                <w:br/>
              </w:r>
              <w:r w:rsidR="00925EDE">
                <w:rPr>
                  <w:rStyle w:val="Hyperlink"/>
                  <w:szCs w:val="24"/>
                </w:rPr>
                <w:t>durch die IHK für München und Oberbayern</w:t>
              </w:r>
              <w:r w:rsidR="00925EDE">
                <w:rPr>
                  <w:rStyle w:val="Hyperlink"/>
                  <w:szCs w:val="24"/>
                </w:rPr>
                <w:tab/>
                <w:t>31</w:t>
              </w:r>
            </w:hyperlink>
          </w:p>
        </w:tc>
      </w:tr>
      <w:tr w:rsidR="00925EDE" w:rsidRPr="005833DD" w:rsidTr="001F3CDA">
        <w:tc>
          <w:tcPr>
            <w:tcW w:w="5000" w:type="pct"/>
          </w:tcPr>
          <w:p w:rsidR="00925EDE" w:rsidRDefault="00925EDE" w:rsidP="00925EDE">
            <w:pPr>
              <w:pStyle w:val="LTVerzDerFragenden"/>
            </w:pPr>
            <w:r>
              <w:t>Klingen, Christian (AfD)</w:t>
            </w:r>
          </w:p>
        </w:tc>
      </w:tr>
      <w:tr w:rsidR="00925EDE" w:rsidRPr="005833DD" w:rsidTr="001F3CDA">
        <w:tc>
          <w:tcPr>
            <w:tcW w:w="5000" w:type="pct"/>
          </w:tcPr>
          <w:p w:rsidR="00925EDE" w:rsidRDefault="007D5D9A" w:rsidP="00925EDE">
            <w:pPr>
              <w:pStyle w:val="LTVerzDerFragendenFrage"/>
            </w:pPr>
            <w:hyperlink w:anchor="Frage_Nr_32" w:tooltip="Frage Nr 32" w:history="1">
              <w:r w:rsidR="00925EDE">
                <w:rPr>
                  <w:rStyle w:val="Hyperlink"/>
                  <w:szCs w:val="24"/>
                </w:rPr>
                <w:t>Folgenabschätzung bei Abschaffung der 10H-Regel</w:t>
              </w:r>
              <w:r w:rsidR="00925EDE">
                <w:rPr>
                  <w:rStyle w:val="Hyperlink"/>
                  <w:szCs w:val="24"/>
                </w:rPr>
                <w:tab/>
                <w:t>32</w:t>
              </w:r>
            </w:hyperlink>
          </w:p>
        </w:tc>
      </w:tr>
      <w:tr w:rsidR="00925EDE" w:rsidRPr="005833DD" w:rsidTr="001F3CDA">
        <w:tc>
          <w:tcPr>
            <w:tcW w:w="5000" w:type="pct"/>
          </w:tcPr>
          <w:p w:rsidR="00925EDE" w:rsidRDefault="00925EDE" w:rsidP="00925EDE">
            <w:pPr>
              <w:pStyle w:val="LTVerzDerFragenden"/>
            </w:pPr>
            <w:r>
              <w:t>Knoblach, Paul (BÜNDNIS 90/DIE GRÜNEN)</w:t>
            </w:r>
          </w:p>
        </w:tc>
      </w:tr>
      <w:tr w:rsidR="00925EDE" w:rsidRPr="005833DD" w:rsidTr="001F3CDA">
        <w:tc>
          <w:tcPr>
            <w:tcW w:w="5000" w:type="pct"/>
          </w:tcPr>
          <w:p w:rsidR="00925EDE" w:rsidRDefault="007D5D9A" w:rsidP="00925EDE">
            <w:pPr>
              <w:pStyle w:val="LTVerzDerFragendenFrage"/>
            </w:pPr>
            <w:hyperlink w:anchor="Frage_Nr_40" w:tooltip="Frage Nr 40" w:history="1">
              <w:r w:rsidR="00925EDE">
                <w:rPr>
                  <w:rStyle w:val="Hyperlink"/>
                  <w:szCs w:val="24"/>
                </w:rPr>
                <w:t>Ausbringung von Erde mit Neonicotinoidbelastung</w:t>
              </w:r>
              <w:r w:rsidR="00925EDE">
                <w:rPr>
                  <w:rStyle w:val="Hyperlink"/>
                  <w:szCs w:val="24"/>
                </w:rPr>
                <w:tab/>
                <w:t>40</w:t>
              </w:r>
            </w:hyperlink>
          </w:p>
        </w:tc>
      </w:tr>
      <w:tr w:rsidR="00925EDE" w:rsidRPr="005833DD" w:rsidTr="001F3CDA">
        <w:tc>
          <w:tcPr>
            <w:tcW w:w="5000" w:type="pct"/>
          </w:tcPr>
          <w:p w:rsidR="00925EDE" w:rsidRDefault="00925EDE" w:rsidP="00925EDE">
            <w:pPr>
              <w:pStyle w:val="LTVerzDerFragenden"/>
            </w:pPr>
            <w:r>
              <w:t>Krahl, Andreas (BÜNDNIS 90/DIE GRÜNEN)</w:t>
            </w:r>
          </w:p>
        </w:tc>
      </w:tr>
      <w:tr w:rsidR="00925EDE" w:rsidRPr="005833DD" w:rsidTr="001F3CDA">
        <w:tc>
          <w:tcPr>
            <w:tcW w:w="5000" w:type="pct"/>
          </w:tcPr>
          <w:p w:rsidR="00925EDE" w:rsidRDefault="007D5D9A" w:rsidP="00925EDE">
            <w:pPr>
              <w:pStyle w:val="LTVerzDerFragendenFrage"/>
            </w:pPr>
            <w:hyperlink w:anchor="Frage_Nr_60" w:tooltip="Frage Nr 60" w:history="1">
              <w:r w:rsidR="00925EDE">
                <w:rPr>
                  <w:rStyle w:val="Hyperlink"/>
                  <w:szCs w:val="24"/>
                </w:rPr>
                <w:t xml:space="preserve">Booster-Impfungen in Einrichtungen der Langzeitpflege und </w:t>
              </w:r>
              <w:r w:rsidR="00510F61">
                <w:rPr>
                  <w:rStyle w:val="Hyperlink"/>
                  <w:szCs w:val="24"/>
                </w:rPr>
                <w:br/>
              </w:r>
              <w:r w:rsidR="00925EDE">
                <w:rPr>
                  <w:rStyle w:val="Hyperlink"/>
                  <w:szCs w:val="24"/>
                </w:rPr>
                <w:t>Wohngruppen für Menschen mit Behinderungen</w:t>
              </w:r>
              <w:r w:rsidR="00925EDE">
                <w:rPr>
                  <w:rStyle w:val="Hyperlink"/>
                  <w:szCs w:val="24"/>
                </w:rPr>
                <w:tab/>
                <w:t>60</w:t>
              </w:r>
            </w:hyperlink>
          </w:p>
        </w:tc>
      </w:tr>
      <w:tr w:rsidR="00925EDE" w:rsidRPr="005833DD" w:rsidTr="001F3CDA">
        <w:tc>
          <w:tcPr>
            <w:tcW w:w="5000" w:type="pct"/>
          </w:tcPr>
          <w:p w:rsidR="00925EDE" w:rsidRDefault="00925EDE" w:rsidP="00925EDE">
            <w:pPr>
              <w:pStyle w:val="LTVerzDerFragenden"/>
            </w:pPr>
            <w:r>
              <w:t>Kurz, Susanne (BÜNDNIS 90/DIE GRÜNEN)</w:t>
            </w:r>
          </w:p>
        </w:tc>
      </w:tr>
      <w:tr w:rsidR="00925EDE" w:rsidRPr="005833DD" w:rsidTr="001F3CDA">
        <w:tc>
          <w:tcPr>
            <w:tcW w:w="5000" w:type="pct"/>
          </w:tcPr>
          <w:p w:rsidR="00925EDE" w:rsidRDefault="007D5D9A" w:rsidP="00925EDE">
            <w:pPr>
              <w:pStyle w:val="LTVerzDerFragendenFrage"/>
            </w:pPr>
            <w:hyperlink w:anchor="Frage_Nr_26" w:tooltip="Frage Nr 26" w:history="1">
              <w:r w:rsidR="00177BC6">
                <w:rPr>
                  <w:rStyle w:val="Hyperlink"/>
                  <w:szCs w:val="24"/>
                </w:rPr>
                <w:t>VFX-</w:t>
              </w:r>
              <w:r w:rsidR="00925EDE">
                <w:rPr>
                  <w:rStyle w:val="Hyperlink"/>
                  <w:szCs w:val="24"/>
                </w:rPr>
                <w:t>Studiengang an der Hochschule für Fernsehen und Film München</w:t>
              </w:r>
              <w:r w:rsidR="00925EDE">
                <w:rPr>
                  <w:rStyle w:val="Hyperlink"/>
                  <w:szCs w:val="24"/>
                </w:rPr>
                <w:tab/>
                <w:t>26</w:t>
              </w:r>
            </w:hyperlink>
          </w:p>
        </w:tc>
      </w:tr>
      <w:tr w:rsidR="00925EDE" w:rsidRPr="005833DD" w:rsidTr="001F3CDA">
        <w:tc>
          <w:tcPr>
            <w:tcW w:w="5000" w:type="pct"/>
          </w:tcPr>
          <w:p w:rsidR="00925EDE" w:rsidRDefault="00925EDE" w:rsidP="00925EDE">
            <w:pPr>
              <w:pStyle w:val="LTVerzDerFragenden"/>
            </w:pPr>
            <w:r>
              <w:t>Köhler, Claudia (BÜNDNIS 90/DIE GRÜNEN)</w:t>
            </w:r>
          </w:p>
        </w:tc>
      </w:tr>
      <w:tr w:rsidR="00925EDE" w:rsidRPr="005833DD" w:rsidTr="001F3CDA">
        <w:tc>
          <w:tcPr>
            <w:tcW w:w="5000" w:type="pct"/>
          </w:tcPr>
          <w:p w:rsidR="00925EDE" w:rsidRDefault="007D5D9A" w:rsidP="00925EDE">
            <w:pPr>
              <w:pStyle w:val="LTVerzDerFragendenFrage"/>
            </w:pPr>
            <w:hyperlink w:anchor="Frage_Nr_9" w:tooltip="Frage Nr 9" w:history="1">
              <w:r w:rsidR="00925EDE">
                <w:rPr>
                  <w:rStyle w:val="Hyperlink"/>
                  <w:szCs w:val="24"/>
                </w:rPr>
                <w:t>Defektes Stellwerk zwischen München-Moosach und München-Feldmoching</w:t>
              </w:r>
              <w:r w:rsidR="00925EDE">
                <w:rPr>
                  <w:rStyle w:val="Hyperlink"/>
                  <w:szCs w:val="24"/>
                </w:rPr>
                <w:tab/>
                <w:t>9</w:t>
              </w:r>
            </w:hyperlink>
          </w:p>
        </w:tc>
      </w:tr>
      <w:tr w:rsidR="00925EDE" w:rsidRPr="005833DD" w:rsidTr="001F3CDA">
        <w:tc>
          <w:tcPr>
            <w:tcW w:w="5000" w:type="pct"/>
          </w:tcPr>
          <w:p w:rsidR="00925EDE" w:rsidRDefault="00925EDE" w:rsidP="00925EDE">
            <w:pPr>
              <w:pStyle w:val="LTVerzDerFragenden"/>
            </w:pPr>
            <w:r>
              <w:t>Körber, Sebastian (FDP)</w:t>
            </w:r>
          </w:p>
        </w:tc>
      </w:tr>
      <w:tr w:rsidR="00925EDE" w:rsidRPr="005833DD" w:rsidTr="001F3CDA">
        <w:tc>
          <w:tcPr>
            <w:tcW w:w="5000" w:type="pct"/>
          </w:tcPr>
          <w:p w:rsidR="00925EDE" w:rsidRDefault="007D5D9A" w:rsidP="00177BC6">
            <w:pPr>
              <w:pStyle w:val="LTVerzDerFragendenFrage"/>
            </w:pPr>
            <w:hyperlink w:anchor="Frage_Nr_59" w:tooltip="Frage Nr 59" w:history="1">
              <w:r w:rsidR="00925EDE">
                <w:rPr>
                  <w:rStyle w:val="Hyperlink"/>
                  <w:szCs w:val="24"/>
                </w:rPr>
                <w:t>LGL-Inzidenz VI</w:t>
              </w:r>
              <w:r w:rsidR="00925EDE">
                <w:rPr>
                  <w:rStyle w:val="Hyperlink"/>
                  <w:szCs w:val="24"/>
                </w:rPr>
                <w:tab/>
                <w:t>59</w:t>
              </w:r>
            </w:hyperlink>
          </w:p>
        </w:tc>
      </w:tr>
      <w:tr w:rsidR="00925EDE" w:rsidRPr="005833DD" w:rsidTr="001F3CDA">
        <w:tc>
          <w:tcPr>
            <w:tcW w:w="5000" w:type="pct"/>
          </w:tcPr>
          <w:p w:rsidR="00925EDE" w:rsidRDefault="00925EDE" w:rsidP="00925EDE">
            <w:pPr>
              <w:pStyle w:val="LTVerzDerFragenden"/>
            </w:pPr>
            <w:r>
              <w:t>Lettenbauer, Eva (BÜNDNIS 90/DIE GRÜNEN)</w:t>
            </w:r>
          </w:p>
        </w:tc>
      </w:tr>
      <w:tr w:rsidR="00925EDE" w:rsidRPr="005833DD" w:rsidTr="001F3CDA">
        <w:tc>
          <w:tcPr>
            <w:tcW w:w="5000" w:type="pct"/>
          </w:tcPr>
          <w:p w:rsidR="00925EDE" w:rsidRDefault="007D5D9A" w:rsidP="00925EDE">
            <w:pPr>
              <w:pStyle w:val="LTVerzDerFragendenFrage"/>
            </w:pPr>
            <w:hyperlink w:anchor="Frage_Nr_44" w:tooltip="Frage Nr 44" w:history="1">
              <w:r w:rsidR="00925EDE">
                <w:rPr>
                  <w:rStyle w:val="Hyperlink"/>
                  <w:szCs w:val="24"/>
                </w:rPr>
                <w:t>3G am Arbeitsplatz</w:t>
              </w:r>
              <w:r w:rsidR="00925EDE">
                <w:rPr>
                  <w:rStyle w:val="Hyperlink"/>
                  <w:szCs w:val="24"/>
                </w:rPr>
                <w:tab/>
                <w:t>44</w:t>
              </w:r>
            </w:hyperlink>
          </w:p>
        </w:tc>
      </w:tr>
      <w:tr w:rsidR="00925EDE" w:rsidRPr="005833DD" w:rsidTr="001F3CDA">
        <w:tc>
          <w:tcPr>
            <w:tcW w:w="5000" w:type="pct"/>
          </w:tcPr>
          <w:p w:rsidR="00925EDE" w:rsidRDefault="00925EDE" w:rsidP="00925EDE">
            <w:pPr>
              <w:pStyle w:val="LTVerzDerFragenden"/>
            </w:pPr>
            <w:r>
              <w:t>Löw, Stefan (AfD)</w:t>
            </w:r>
          </w:p>
        </w:tc>
      </w:tr>
      <w:tr w:rsidR="00925EDE" w:rsidRPr="005833DD" w:rsidTr="001F3CDA">
        <w:tc>
          <w:tcPr>
            <w:tcW w:w="5000" w:type="pct"/>
          </w:tcPr>
          <w:p w:rsidR="00925EDE" w:rsidRDefault="007D5D9A" w:rsidP="00925EDE">
            <w:pPr>
              <w:pStyle w:val="LTVerzDerFragendenFrage"/>
            </w:pPr>
            <w:hyperlink w:anchor="Frage_Nr_61" w:tooltip="Frage Nr 61" w:history="1">
              <w:r w:rsidR="00925EDE">
                <w:rPr>
                  <w:rStyle w:val="Hyperlink"/>
                  <w:szCs w:val="24"/>
                </w:rPr>
                <w:t xml:space="preserve">Haltung der Staatsregierung zur Resolution des Europarates zu </w:t>
              </w:r>
              <w:r w:rsidR="00510F61">
                <w:rPr>
                  <w:rStyle w:val="Hyperlink"/>
                  <w:szCs w:val="24"/>
                </w:rPr>
                <w:br/>
              </w:r>
              <w:r w:rsidR="00925EDE">
                <w:rPr>
                  <w:rStyle w:val="Hyperlink"/>
                  <w:szCs w:val="24"/>
                </w:rPr>
                <w:t xml:space="preserve">Impfstoffen gegen </w:t>
              </w:r>
              <w:r w:rsidR="003439F1">
                <w:rPr>
                  <w:rStyle w:val="Hyperlink"/>
                  <w:szCs w:val="24"/>
                </w:rPr>
                <w:t>COVID</w:t>
              </w:r>
              <w:r w:rsidR="00177BC6">
                <w:rPr>
                  <w:rStyle w:val="Hyperlink"/>
                  <w:szCs w:val="24"/>
                </w:rPr>
                <w:t>-</w:t>
              </w:r>
              <w:r w:rsidR="00925EDE">
                <w:rPr>
                  <w:rStyle w:val="Hyperlink"/>
                  <w:szCs w:val="24"/>
                </w:rPr>
                <w:t>19 vom 27. Januar 2021</w:t>
              </w:r>
              <w:r w:rsidR="00925EDE">
                <w:rPr>
                  <w:rStyle w:val="Hyperlink"/>
                  <w:szCs w:val="24"/>
                </w:rPr>
                <w:tab/>
                <w:t>61</w:t>
              </w:r>
            </w:hyperlink>
          </w:p>
        </w:tc>
      </w:tr>
      <w:tr w:rsidR="00925EDE" w:rsidRPr="005833DD" w:rsidTr="001F3CDA">
        <w:tc>
          <w:tcPr>
            <w:tcW w:w="5000" w:type="pct"/>
          </w:tcPr>
          <w:p w:rsidR="00925EDE" w:rsidRDefault="00925EDE" w:rsidP="00925EDE">
            <w:pPr>
              <w:pStyle w:val="LTVerzDerFragenden"/>
            </w:pPr>
            <w:r>
              <w:t>Magerl, Roland (AfD)</w:t>
            </w:r>
          </w:p>
        </w:tc>
      </w:tr>
      <w:tr w:rsidR="00925EDE" w:rsidRPr="005833DD" w:rsidTr="001F3CDA">
        <w:tc>
          <w:tcPr>
            <w:tcW w:w="5000" w:type="pct"/>
          </w:tcPr>
          <w:p w:rsidR="00925EDE" w:rsidRDefault="007D5D9A" w:rsidP="00925EDE">
            <w:pPr>
              <w:pStyle w:val="LTVerzDerFragendenFrage"/>
            </w:pPr>
            <w:hyperlink w:anchor="Frage_Nr_3" w:tooltip="Frage Nr 3" w:history="1">
              <w:r w:rsidR="00925EDE">
                <w:rPr>
                  <w:rStyle w:val="Hyperlink"/>
                  <w:szCs w:val="24"/>
                </w:rPr>
                <w:t>Novellierung des BayRDG</w:t>
              </w:r>
              <w:r w:rsidR="00925EDE">
                <w:rPr>
                  <w:rStyle w:val="Hyperlink"/>
                  <w:szCs w:val="24"/>
                </w:rPr>
                <w:tab/>
                <w:t>3</w:t>
              </w:r>
            </w:hyperlink>
          </w:p>
        </w:tc>
      </w:tr>
      <w:tr w:rsidR="00925EDE" w:rsidRPr="005833DD" w:rsidTr="001F3CDA">
        <w:tc>
          <w:tcPr>
            <w:tcW w:w="5000" w:type="pct"/>
          </w:tcPr>
          <w:p w:rsidR="00925EDE" w:rsidRDefault="00925EDE" w:rsidP="00925EDE">
            <w:pPr>
              <w:pStyle w:val="LTVerzDerFragenden"/>
            </w:pPr>
            <w:r>
              <w:t>Maier, Christoph (AfD)</w:t>
            </w:r>
          </w:p>
        </w:tc>
      </w:tr>
      <w:tr w:rsidR="00925EDE" w:rsidRPr="005833DD" w:rsidTr="001F3CDA">
        <w:tc>
          <w:tcPr>
            <w:tcW w:w="5000" w:type="pct"/>
          </w:tcPr>
          <w:p w:rsidR="00925EDE" w:rsidRDefault="007D5D9A" w:rsidP="00925EDE">
            <w:pPr>
              <w:pStyle w:val="LTVerzDerFragendenFrage"/>
            </w:pPr>
            <w:hyperlink w:anchor="Frage_Nr_62" w:tooltip="Frage Nr 62" w:history="1">
              <w:r w:rsidR="00925EDE">
                <w:rPr>
                  <w:rStyle w:val="Hyperlink"/>
                  <w:szCs w:val="24"/>
                </w:rPr>
                <w:t>Fälscht das Landesamt für Gesundheit und Lebensmi</w:t>
              </w:r>
              <w:r w:rsidR="00177BC6">
                <w:rPr>
                  <w:rStyle w:val="Hyperlink"/>
                  <w:szCs w:val="24"/>
                </w:rPr>
                <w:t>ttelsicherheit (LGL) Zahlen zul</w:t>
              </w:r>
              <w:r w:rsidR="00925EDE">
                <w:rPr>
                  <w:rStyle w:val="Hyperlink"/>
                  <w:szCs w:val="24"/>
                </w:rPr>
                <w:t>asten von Ungeimpften?</w:t>
              </w:r>
              <w:r w:rsidR="00925EDE">
                <w:rPr>
                  <w:rStyle w:val="Hyperlink"/>
                  <w:szCs w:val="24"/>
                </w:rPr>
                <w:tab/>
                <w:t>62</w:t>
              </w:r>
            </w:hyperlink>
          </w:p>
        </w:tc>
      </w:tr>
      <w:tr w:rsidR="00925EDE" w:rsidRPr="005833DD" w:rsidTr="001F3CDA">
        <w:tc>
          <w:tcPr>
            <w:tcW w:w="5000" w:type="pct"/>
          </w:tcPr>
          <w:p w:rsidR="00925EDE" w:rsidRDefault="00925EDE" w:rsidP="00925EDE">
            <w:pPr>
              <w:pStyle w:val="LTVerzDerFragenden"/>
            </w:pPr>
            <w:r>
              <w:t>Mang, Ferdinand (AfD)</w:t>
            </w:r>
          </w:p>
        </w:tc>
      </w:tr>
      <w:tr w:rsidR="00925EDE" w:rsidRPr="005833DD" w:rsidTr="001F3CDA">
        <w:tc>
          <w:tcPr>
            <w:tcW w:w="5000" w:type="pct"/>
          </w:tcPr>
          <w:p w:rsidR="00925EDE" w:rsidRDefault="007D5D9A" w:rsidP="00925EDE">
            <w:pPr>
              <w:pStyle w:val="LTVerzDerFragendenFrage"/>
            </w:pPr>
            <w:hyperlink w:anchor="Frage_Nr_10" w:tooltip="Frage Nr 10" w:history="1">
              <w:r w:rsidR="00925EDE">
                <w:rPr>
                  <w:rStyle w:val="Hyperlink"/>
                  <w:szCs w:val="24"/>
                </w:rPr>
                <w:t>Empfehlungen des ORH zu Überwertankäufen</w:t>
              </w:r>
              <w:r w:rsidR="00925EDE">
                <w:rPr>
                  <w:rStyle w:val="Hyperlink"/>
                  <w:szCs w:val="24"/>
                </w:rPr>
                <w:tab/>
                <w:t>10</w:t>
              </w:r>
            </w:hyperlink>
          </w:p>
        </w:tc>
      </w:tr>
      <w:tr w:rsidR="00925EDE" w:rsidRPr="005833DD" w:rsidTr="001F3CDA">
        <w:tc>
          <w:tcPr>
            <w:tcW w:w="5000" w:type="pct"/>
          </w:tcPr>
          <w:p w:rsidR="00925EDE" w:rsidRDefault="00925EDE" w:rsidP="00925EDE">
            <w:pPr>
              <w:pStyle w:val="LTVerzDerFragenden"/>
            </w:pPr>
            <w:r>
              <w:t>Mannes, Gerd (AfD)</w:t>
            </w:r>
          </w:p>
        </w:tc>
      </w:tr>
      <w:tr w:rsidR="00925EDE" w:rsidRPr="005833DD" w:rsidTr="001F3CDA">
        <w:tc>
          <w:tcPr>
            <w:tcW w:w="5000" w:type="pct"/>
          </w:tcPr>
          <w:p w:rsidR="00925EDE" w:rsidRDefault="007D5D9A" w:rsidP="00925EDE">
            <w:pPr>
              <w:pStyle w:val="LTVerzDerFragendenFrage"/>
            </w:pPr>
            <w:hyperlink w:anchor="Frage_Nr_21" w:tooltip="Frage Nr 21" w:history="1">
              <w:r w:rsidR="00925EDE">
                <w:rPr>
                  <w:rStyle w:val="Hyperlink"/>
                  <w:szCs w:val="24"/>
                </w:rPr>
                <w:t xml:space="preserve">Staatliche Einschränkung der Erinnerungskultur an die NS-Herrschaft über </w:t>
              </w:r>
              <w:r w:rsidR="00B022F3">
                <w:rPr>
                  <w:rStyle w:val="Hyperlink"/>
                  <w:szCs w:val="24"/>
                </w:rPr>
                <w:br/>
              </w:r>
              <w:r w:rsidR="00925EDE">
                <w:rPr>
                  <w:rStyle w:val="Hyperlink"/>
                  <w:szCs w:val="24"/>
                </w:rPr>
                <w:t>Diskriminierung von Ungeimpften</w:t>
              </w:r>
              <w:r w:rsidR="00925EDE">
                <w:rPr>
                  <w:rStyle w:val="Hyperlink"/>
                  <w:szCs w:val="24"/>
                </w:rPr>
                <w:tab/>
                <w:t>21</w:t>
              </w:r>
            </w:hyperlink>
          </w:p>
        </w:tc>
      </w:tr>
      <w:tr w:rsidR="00925EDE" w:rsidRPr="005833DD" w:rsidTr="001F3CDA">
        <w:tc>
          <w:tcPr>
            <w:tcW w:w="5000" w:type="pct"/>
          </w:tcPr>
          <w:p w:rsidR="00925EDE" w:rsidRDefault="00925EDE" w:rsidP="00925EDE">
            <w:pPr>
              <w:pStyle w:val="LTVerzDerFragenden"/>
            </w:pPr>
            <w:r>
              <w:t>Markwort, Helmut (FDP)</w:t>
            </w:r>
          </w:p>
        </w:tc>
      </w:tr>
      <w:tr w:rsidR="00925EDE" w:rsidRPr="005833DD" w:rsidTr="001F3CDA">
        <w:tc>
          <w:tcPr>
            <w:tcW w:w="5000" w:type="pct"/>
          </w:tcPr>
          <w:p w:rsidR="00925EDE" w:rsidRDefault="007D5D9A" w:rsidP="00925EDE">
            <w:pPr>
              <w:pStyle w:val="LTVerzDerFragendenFrage"/>
            </w:pPr>
            <w:hyperlink w:anchor="Frage_Nr_63" w:tooltip="Frage Nr 63" w:history="1">
              <w:r w:rsidR="00925EDE">
                <w:rPr>
                  <w:rStyle w:val="Hyperlink"/>
                  <w:szCs w:val="24"/>
                </w:rPr>
                <w:t>LGL-Inzidenz VII: korrekte Inzidenzen sowie Rolle des LGL-Präsidenten</w:t>
              </w:r>
              <w:r w:rsidR="00925EDE">
                <w:rPr>
                  <w:rStyle w:val="Hyperlink"/>
                  <w:szCs w:val="24"/>
                </w:rPr>
                <w:tab/>
                <w:t>63</w:t>
              </w:r>
            </w:hyperlink>
          </w:p>
        </w:tc>
      </w:tr>
      <w:tr w:rsidR="00925EDE" w:rsidRPr="005833DD" w:rsidTr="001F3CDA">
        <w:tc>
          <w:tcPr>
            <w:tcW w:w="5000" w:type="pct"/>
          </w:tcPr>
          <w:p w:rsidR="00925EDE" w:rsidRDefault="00925EDE" w:rsidP="00925EDE">
            <w:pPr>
              <w:pStyle w:val="LTVerzDerFragenden"/>
            </w:pPr>
            <w:r>
              <w:t>Mistol, Jürgen (BÜNDNIS 90/DIE GRÜNEN)</w:t>
            </w:r>
          </w:p>
        </w:tc>
      </w:tr>
      <w:tr w:rsidR="00925EDE" w:rsidRPr="005833DD" w:rsidTr="001F3CDA">
        <w:tc>
          <w:tcPr>
            <w:tcW w:w="5000" w:type="pct"/>
          </w:tcPr>
          <w:p w:rsidR="00925EDE" w:rsidRDefault="007D5D9A" w:rsidP="00925EDE">
            <w:pPr>
              <w:pStyle w:val="LTVerzDerFragendenFrage"/>
            </w:pPr>
            <w:hyperlink w:anchor="Frage_Nr_11" w:tooltip="Frage Nr 11" w:history="1">
              <w:r w:rsidR="00925EDE">
                <w:rPr>
                  <w:rStyle w:val="Hyperlink"/>
                  <w:szCs w:val="24"/>
                </w:rPr>
                <w:t>Bahnhalt Walhallastraße in Regensburg</w:t>
              </w:r>
              <w:r w:rsidR="00925EDE">
                <w:rPr>
                  <w:rStyle w:val="Hyperlink"/>
                  <w:szCs w:val="24"/>
                </w:rPr>
                <w:tab/>
                <w:t>11</w:t>
              </w:r>
            </w:hyperlink>
          </w:p>
        </w:tc>
      </w:tr>
      <w:tr w:rsidR="00925EDE" w:rsidRPr="005833DD" w:rsidTr="001F3CDA">
        <w:tc>
          <w:tcPr>
            <w:tcW w:w="5000" w:type="pct"/>
          </w:tcPr>
          <w:p w:rsidR="00925EDE" w:rsidRDefault="00925EDE" w:rsidP="00925EDE">
            <w:pPr>
              <w:pStyle w:val="LTVerzDerFragenden"/>
            </w:pPr>
            <w:r>
              <w:t>Muthmann, Alexander (FDP)</w:t>
            </w:r>
          </w:p>
        </w:tc>
      </w:tr>
      <w:tr w:rsidR="00925EDE" w:rsidRPr="005833DD" w:rsidTr="001F3CDA">
        <w:tc>
          <w:tcPr>
            <w:tcW w:w="5000" w:type="pct"/>
          </w:tcPr>
          <w:p w:rsidR="00925EDE" w:rsidRDefault="007D5D9A" w:rsidP="00925EDE">
            <w:pPr>
              <w:pStyle w:val="LTVerzDerFragendenFrage"/>
            </w:pPr>
            <w:hyperlink w:anchor="Frage_Nr_33" w:tooltip="Frage Nr 33" w:history="1">
              <w:r w:rsidR="00925EDE">
                <w:rPr>
                  <w:rStyle w:val="Hyperlink"/>
                  <w:szCs w:val="24"/>
                </w:rPr>
                <w:t>Hilfe in Hotspot-Regionen</w:t>
              </w:r>
              <w:r w:rsidR="00925EDE">
                <w:rPr>
                  <w:rStyle w:val="Hyperlink"/>
                  <w:szCs w:val="24"/>
                </w:rPr>
                <w:tab/>
                <w:t>33</w:t>
              </w:r>
            </w:hyperlink>
          </w:p>
        </w:tc>
      </w:tr>
      <w:tr w:rsidR="00925EDE" w:rsidRPr="005833DD" w:rsidTr="001F3CDA">
        <w:tc>
          <w:tcPr>
            <w:tcW w:w="5000" w:type="pct"/>
          </w:tcPr>
          <w:p w:rsidR="00925EDE" w:rsidRDefault="00925EDE" w:rsidP="00925EDE">
            <w:pPr>
              <w:pStyle w:val="LTVerzDerFragenden"/>
            </w:pPr>
            <w:r>
              <w:t>Müller, Ruth (SPD)</w:t>
            </w:r>
          </w:p>
        </w:tc>
      </w:tr>
      <w:tr w:rsidR="00925EDE" w:rsidRPr="005833DD" w:rsidTr="001F3CDA">
        <w:tc>
          <w:tcPr>
            <w:tcW w:w="5000" w:type="pct"/>
          </w:tcPr>
          <w:p w:rsidR="00925EDE" w:rsidRDefault="007D5D9A" w:rsidP="00925EDE">
            <w:pPr>
              <w:pStyle w:val="LTVerzDerFragendenFrage"/>
            </w:pPr>
            <w:hyperlink w:anchor="Frage_Nr_35" w:tooltip="Frage Nr 35" w:history="1">
              <w:r w:rsidR="00925EDE">
                <w:rPr>
                  <w:rStyle w:val="Hyperlink"/>
                  <w:szCs w:val="24"/>
                </w:rPr>
                <w:t xml:space="preserve">Fördermittel und Investitionsbedarf für bayerische Tierheime, </w:t>
              </w:r>
              <w:r w:rsidR="00051319">
                <w:rPr>
                  <w:rStyle w:val="Hyperlink"/>
                  <w:szCs w:val="24"/>
                </w:rPr>
                <w:br/>
              </w:r>
              <w:r w:rsidR="00925EDE">
                <w:rPr>
                  <w:rStyle w:val="Hyperlink"/>
                  <w:szCs w:val="24"/>
                </w:rPr>
                <w:t>Gnadenhöfe und Wildtierauffangstationen</w:t>
              </w:r>
              <w:r w:rsidR="00925EDE">
                <w:rPr>
                  <w:rStyle w:val="Hyperlink"/>
                  <w:szCs w:val="24"/>
                </w:rPr>
                <w:tab/>
                <w:t>35</w:t>
              </w:r>
            </w:hyperlink>
          </w:p>
        </w:tc>
      </w:tr>
      <w:tr w:rsidR="00925EDE" w:rsidRPr="005833DD" w:rsidTr="001F3CDA">
        <w:tc>
          <w:tcPr>
            <w:tcW w:w="5000" w:type="pct"/>
          </w:tcPr>
          <w:p w:rsidR="00925EDE" w:rsidRDefault="00925EDE" w:rsidP="00925EDE">
            <w:pPr>
              <w:pStyle w:val="LTVerzDerFragenden"/>
            </w:pPr>
            <w:r>
              <w:t>Osgyan, Verena (BÜNDNIS 90/DIE GRÜNEN)</w:t>
            </w:r>
          </w:p>
        </w:tc>
      </w:tr>
      <w:tr w:rsidR="00925EDE" w:rsidRPr="005833DD" w:rsidTr="001F3CDA">
        <w:tc>
          <w:tcPr>
            <w:tcW w:w="5000" w:type="pct"/>
          </w:tcPr>
          <w:p w:rsidR="00925EDE" w:rsidRDefault="007D5D9A" w:rsidP="00925EDE">
            <w:pPr>
              <w:pStyle w:val="LTVerzDerFragendenFrage"/>
            </w:pPr>
            <w:hyperlink w:anchor="Frage_Nr_22" w:tooltip="Frage Nr 22" w:history="1">
              <w:r w:rsidR="00925EDE">
                <w:rPr>
                  <w:rStyle w:val="Hyperlink"/>
                  <w:szCs w:val="24"/>
                </w:rPr>
                <w:t>Förderung IBOS-Projekt Nürnberger Mittelschulen</w:t>
              </w:r>
              <w:r w:rsidR="00925EDE">
                <w:rPr>
                  <w:rStyle w:val="Hyperlink"/>
                  <w:szCs w:val="24"/>
                </w:rPr>
                <w:tab/>
                <w:t>22</w:t>
              </w:r>
            </w:hyperlink>
          </w:p>
        </w:tc>
      </w:tr>
      <w:tr w:rsidR="00925EDE" w:rsidRPr="005833DD" w:rsidTr="001F3CDA">
        <w:tc>
          <w:tcPr>
            <w:tcW w:w="5000" w:type="pct"/>
          </w:tcPr>
          <w:p w:rsidR="00925EDE" w:rsidRDefault="00925EDE" w:rsidP="00925EDE">
            <w:pPr>
              <w:pStyle w:val="LTVerzDerFragenden"/>
            </w:pPr>
            <w:r>
              <w:t>Pargent, Tim (BÜNDNIS 90/DIE GRÜNEN)</w:t>
            </w:r>
          </w:p>
        </w:tc>
      </w:tr>
      <w:tr w:rsidR="00925EDE" w:rsidRPr="005833DD" w:rsidTr="001F3CDA">
        <w:tc>
          <w:tcPr>
            <w:tcW w:w="5000" w:type="pct"/>
          </w:tcPr>
          <w:p w:rsidR="00925EDE" w:rsidRDefault="007D5D9A" w:rsidP="00925EDE">
            <w:pPr>
              <w:pStyle w:val="LTVerzDerFragendenFrage"/>
            </w:pPr>
            <w:hyperlink w:anchor="Frage_Nr_64" w:tooltip="Frage Nr 64" w:history="1">
              <w:r w:rsidR="00925EDE">
                <w:rPr>
                  <w:rStyle w:val="Hyperlink"/>
                  <w:szCs w:val="24"/>
                </w:rPr>
                <w:t>Maskengeschäfte: Kontakte Tandler</w:t>
              </w:r>
              <w:r w:rsidR="00925EDE">
                <w:rPr>
                  <w:rStyle w:val="Hyperlink"/>
                  <w:szCs w:val="24"/>
                </w:rPr>
                <w:tab/>
                <w:t>64</w:t>
              </w:r>
            </w:hyperlink>
          </w:p>
        </w:tc>
      </w:tr>
      <w:tr w:rsidR="00925EDE" w:rsidRPr="005833DD" w:rsidTr="001F3CDA">
        <w:tc>
          <w:tcPr>
            <w:tcW w:w="5000" w:type="pct"/>
          </w:tcPr>
          <w:p w:rsidR="00925EDE" w:rsidRDefault="00925EDE" w:rsidP="00925EDE">
            <w:pPr>
              <w:pStyle w:val="LTVerzDerFragenden"/>
            </w:pPr>
            <w:r>
              <w:t>Rauscher, Doris (SPD)</w:t>
            </w:r>
          </w:p>
        </w:tc>
      </w:tr>
      <w:tr w:rsidR="00925EDE" w:rsidRPr="005833DD" w:rsidTr="001F3CDA">
        <w:tc>
          <w:tcPr>
            <w:tcW w:w="5000" w:type="pct"/>
          </w:tcPr>
          <w:p w:rsidR="00925EDE" w:rsidRDefault="007D5D9A" w:rsidP="00925EDE">
            <w:pPr>
              <w:pStyle w:val="LTVerzDerFragendenFrage"/>
            </w:pPr>
            <w:hyperlink w:anchor="Frage_Nr_12" w:tooltip="Frage Nr 12" w:history="1">
              <w:r w:rsidR="00925EDE">
                <w:rPr>
                  <w:rStyle w:val="Hyperlink"/>
                  <w:szCs w:val="24"/>
                </w:rPr>
                <w:t>Grobtrassenp</w:t>
              </w:r>
              <w:r w:rsidR="00B022F3">
                <w:rPr>
                  <w:rStyle w:val="Hyperlink"/>
                  <w:szCs w:val="24"/>
                </w:rPr>
                <w:t>lanung Brennerbasis-Nordzulauf –</w:t>
              </w:r>
              <w:r w:rsidR="00925EDE">
                <w:rPr>
                  <w:rStyle w:val="Hyperlink"/>
                  <w:szCs w:val="24"/>
                </w:rPr>
                <w:t xml:space="preserve"> Streckenabschnitt </w:t>
              </w:r>
              <w:r w:rsidR="00B022F3">
                <w:rPr>
                  <w:rStyle w:val="Hyperlink"/>
                  <w:szCs w:val="24"/>
                </w:rPr>
                <w:br/>
              </w:r>
              <w:r w:rsidR="00925EDE">
                <w:rPr>
                  <w:rStyle w:val="Hyperlink"/>
                  <w:szCs w:val="24"/>
                </w:rPr>
                <w:t>Grafing-Ostermünchen</w:t>
              </w:r>
              <w:r w:rsidR="00925EDE">
                <w:rPr>
                  <w:rStyle w:val="Hyperlink"/>
                  <w:szCs w:val="24"/>
                </w:rPr>
                <w:tab/>
                <w:t>12</w:t>
              </w:r>
            </w:hyperlink>
          </w:p>
        </w:tc>
      </w:tr>
      <w:tr w:rsidR="00925EDE" w:rsidRPr="005833DD" w:rsidTr="001F3CDA">
        <w:tc>
          <w:tcPr>
            <w:tcW w:w="5000" w:type="pct"/>
          </w:tcPr>
          <w:p w:rsidR="00925EDE" w:rsidRDefault="00925EDE" w:rsidP="00925EDE">
            <w:pPr>
              <w:pStyle w:val="LTVerzDerFragenden"/>
            </w:pPr>
            <w:r>
              <w:t>Rinderspacher, Markus (SPD)</w:t>
            </w:r>
          </w:p>
        </w:tc>
      </w:tr>
      <w:tr w:rsidR="00925EDE" w:rsidRPr="005833DD" w:rsidTr="001F3CDA">
        <w:tc>
          <w:tcPr>
            <w:tcW w:w="5000" w:type="pct"/>
          </w:tcPr>
          <w:p w:rsidR="00925EDE" w:rsidRDefault="007D5D9A" w:rsidP="00925EDE">
            <w:pPr>
              <w:pStyle w:val="LTVerzDerFragendenFrage"/>
            </w:pPr>
            <w:hyperlink w:anchor="Frage_Nr_13" w:tooltip="Frage Nr 13" w:history="1">
              <w:r w:rsidR="00925EDE">
                <w:rPr>
                  <w:rStyle w:val="Hyperlink"/>
                  <w:szCs w:val="24"/>
                </w:rPr>
                <w:t>Kfz-Verwahrstelle München-Trudering und Truderinger Kurve</w:t>
              </w:r>
              <w:r w:rsidR="00925EDE">
                <w:rPr>
                  <w:rStyle w:val="Hyperlink"/>
                  <w:szCs w:val="24"/>
                </w:rPr>
                <w:tab/>
                <w:t>13</w:t>
              </w:r>
            </w:hyperlink>
          </w:p>
        </w:tc>
      </w:tr>
      <w:tr w:rsidR="00925EDE" w:rsidRPr="005833DD" w:rsidTr="001F3CDA">
        <w:tc>
          <w:tcPr>
            <w:tcW w:w="5000" w:type="pct"/>
          </w:tcPr>
          <w:p w:rsidR="00925EDE" w:rsidRDefault="00925EDE" w:rsidP="00925EDE">
            <w:pPr>
              <w:pStyle w:val="LTVerzDerFragenden"/>
            </w:pPr>
            <w:r>
              <w:t>Ritter, Florian (SPD)</w:t>
            </w:r>
          </w:p>
        </w:tc>
      </w:tr>
      <w:tr w:rsidR="00925EDE" w:rsidRPr="005833DD" w:rsidTr="001F3CDA">
        <w:tc>
          <w:tcPr>
            <w:tcW w:w="5000" w:type="pct"/>
          </w:tcPr>
          <w:p w:rsidR="00925EDE" w:rsidRDefault="007D5D9A" w:rsidP="00925EDE">
            <w:pPr>
              <w:pStyle w:val="LTVerzDerFragendenFrage"/>
            </w:pPr>
            <w:hyperlink w:anchor="Frage_Nr_4" w:tooltip="Frage Nr 4" w:history="1">
              <w:r w:rsidR="00925EDE">
                <w:rPr>
                  <w:rStyle w:val="Hyperlink"/>
                  <w:szCs w:val="24"/>
                </w:rPr>
                <w:t>Abschiebepraxis und Familientrennung bei Kindern und Jugendlichen</w:t>
              </w:r>
              <w:r w:rsidR="00925EDE">
                <w:rPr>
                  <w:rStyle w:val="Hyperlink"/>
                  <w:szCs w:val="24"/>
                </w:rPr>
                <w:tab/>
                <w:t>4</w:t>
              </w:r>
            </w:hyperlink>
          </w:p>
        </w:tc>
      </w:tr>
      <w:tr w:rsidR="00925EDE" w:rsidRPr="005833DD" w:rsidTr="001F3CDA">
        <w:tc>
          <w:tcPr>
            <w:tcW w:w="5000" w:type="pct"/>
          </w:tcPr>
          <w:p w:rsidR="00925EDE" w:rsidRDefault="00925EDE" w:rsidP="00925EDE">
            <w:pPr>
              <w:pStyle w:val="LTVerzDerFragenden"/>
            </w:pPr>
            <w:r>
              <w:t>Sandt, Julika (FDP)</w:t>
            </w:r>
          </w:p>
        </w:tc>
      </w:tr>
      <w:tr w:rsidR="00925EDE" w:rsidRPr="005833DD" w:rsidTr="001F3CDA">
        <w:tc>
          <w:tcPr>
            <w:tcW w:w="5000" w:type="pct"/>
          </w:tcPr>
          <w:p w:rsidR="00925EDE" w:rsidRDefault="007D5D9A" w:rsidP="00925EDE">
            <w:pPr>
              <w:pStyle w:val="LTVerzDerFragendenFrage"/>
            </w:pPr>
            <w:hyperlink w:anchor="Frage_Nr_65" w:tooltip="Frage Nr 65" w:history="1">
              <w:r w:rsidR="00925EDE">
                <w:rPr>
                  <w:rStyle w:val="Hyperlink"/>
                  <w:szCs w:val="24"/>
                </w:rPr>
                <w:t>LGL-Inzidenz IV: Datengrundlagen</w:t>
              </w:r>
              <w:r w:rsidR="00925EDE">
                <w:rPr>
                  <w:rStyle w:val="Hyperlink"/>
                  <w:szCs w:val="24"/>
                </w:rPr>
                <w:tab/>
                <w:t>65</w:t>
              </w:r>
            </w:hyperlink>
          </w:p>
        </w:tc>
      </w:tr>
      <w:tr w:rsidR="00925EDE" w:rsidRPr="005833DD" w:rsidTr="001F3CDA">
        <w:tc>
          <w:tcPr>
            <w:tcW w:w="5000" w:type="pct"/>
          </w:tcPr>
          <w:p w:rsidR="00925EDE" w:rsidRDefault="00925EDE" w:rsidP="00925EDE">
            <w:pPr>
              <w:pStyle w:val="LTVerzDerFragenden"/>
            </w:pPr>
            <w:r>
              <w:t>Schiffers, Jan (AfD)</w:t>
            </w:r>
          </w:p>
        </w:tc>
      </w:tr>
      <w:tr w:rsidR="00925EDE" w:rsidRPr="005833DD" w:rsidTr="001F3CDA">
        <w:tc>
          <w:tcPr>
            <w:tcW w:w="5000" w:type="pct"/>
          </w:tcPr>
          <w:p w:rsidR="00925EDE" w:rsidRDefault="007D5D9A" w:rsidP="00925EDE">
            <w:pPr>
              <w:pStyle w:val="LTVerzDerFragendenFrage"/>
            </w:pPr>
            <w:hyperlink w:anchor="Frage_Nr_45" w:tooltip="Frage Nr 45" w:history="1">
              <w:r w:rsidR="00925EDE">
                <w:rPr>
                  <w:rStyle w:val="Hyperlink"/>
                  <w:szCs w:val="24"/>
                </w:rPr>
                <w:t>2G-Regel für Arbeitnehmerinnen und Arbeitnehmer</w:t>
              </w:r>
              <w:r w:rsidR="00925EDE">
                <w:rPr>
                  <w:rStyle w:val="Hyperlink"/>
                  <w:szCs w:val="24"/>
                </w:rPr>
                <w:tab/>
                <w:t>45</w:t>
              </w:r>
            </w:hyperlink>
          </w:p>
        </w:tc>
      </w:tr>
      <w:tr w:rsidR="00925EDE" w:rsidRPr="005833DD" w:rsidTr="001F3CDA">
        <w:tc>
          <w:tcPr>
            <w:tcW w:w="5000" w:type="pct"/>
          </w:tcPr>
          <w:p w:rsidR="00925EDE" w:rsidRDefault="00925EDE" w:rsidP="00925EDE">
            <w:pPr>
              <w:pStyle w:val="LTVerzDerFragenden"/>
            </w:pPr>
            <w:r>
              <w:t>Schuberl, Toni (BÜNDNIS 90/DIE GRÜNEN)</w:t>
            </w:r>
          </w:p>
        </w:tc>
      </w:tr>
      <w:tr w:rsidR="00925EDE" w:rsidRPr="005833DD" w:rsidTr="001F3CDA">
        <w:tc>
          <w:tcPr>
            <w:tcW w:w="5000" w:type="pct"/>
          </w:tcPr>
          <w:p w:rsidR="00925EDE" w:rsidRDefault="007D5D9A" w:rsidP="00925EDE">
            <w:pPr>
              <w:pStyle w:val="LTVerzDerFragendenFrage"/>
            </w:pPr>
            <w:hyperlink w:anchor="Frage_Nr_23" w:tooltip="Frage Nr 23" w:history="1">
              <w:r w:rsidR="00925EDE">
                <w:rPr>
                  <w:rStyle w:val="Hyperlink"/>
                  <w:szCs w:val="24"/>
                </w:rPr>
                <w:t>Gedenkort und Dokumentationszentrum KZ-Außenlager Kaufering VII</w:t>
              </w:r>
              <w:r w:rsidR="00925EDE">
                <w:rPr>
                  <w:rStyle w:val="Hyperlink"/>
                  <w:szCs w:val="24"/>
                </w:rPr>
                <w:tab/>
                <w:t>23</w:t>
              </w:r>
            </w:hyperlink>
          </w:p>
        </w:tc>
      </w:tr>
      <w:tr w:rsidR="00925EDE" w:rsidRPr="005833DD" w:rsidTr="001F3CDA">
        <w:tc>
          <w:tcPr>
            <w:tcW w:w="5000" w:type="pct"/>
          </w:tcPr>
          <w:p w:rsidR="00925EDE" w:rsidRDefault="00925EDE" w:rsidP="00925EDE">
            <w:pPr>
              <w:pStyle w:val="LTVerzDerFragenden"/>
            </w:pPr>
            <w:r>
              <w:t>Schuhknecht, Stephanie (BÜNDNIS 90/DIE GRÜNEN)</w:t>
            </w:r>
          </w:p>
        </w:tc>
      </w:tr>
      <w:tr w:rsidR="00925EDE" w:rsidRPr="005833DD" w:rsidTr="001F3CDA">
        <w:tc>
          <w:tcPr>
            <w:tcW w:w="5000" w:type="pct"/>
          </w:tcPr>
          <w:p w:rsidR="00925EDE" w:rsidRDefault="007D5D9A" w:rsidP="00925EDE">
            <w:pPr>
              <w:pStyle w:val="LTVerzDerFragendenFrage"/>
            </w:pPr>
            <w:hyperlink w:anchor="Frage_Nr_16" w:tooltip="Frage Nr 16" w:history="1">
              <w:r w:rsidR="00925EDE">
                <w:rPr>
                  <w:rStyle w:val="Hyperlink"/>
                  <w:szCs w:val="24"/>
                </w:rPr>
                <w:t xml:space="preserve">Bisherige und akute Coronainfektionen in bayerischen </w:t>
              </w:r>
              <w:r w:rsidR="00051319">
                <w:rPr>
                  <w:rStyle w:val="Hyperlink"/>
                  <w:szCs w:val="24"/>
                </w:rPr>
                <w:br/>
              </w:r>
              <w:r w:rsidR="00925EDE">
                <w:rPr>
                  <w:rStyle w:val="Hyperlink"/>
                  <w:szCs w:val="24"/>
                </w:rPr>
                <w:t>Justizvollzugsanstalten</w:t>
              </w:r>
              <w:r w:rsidR="00925EDE">
                <w:rPr>
                  <w:rStyle w:val="Hyperlink"/>
                  <w:szCs w:val="24"/>
                </w:rPr>
                <w:tab/>
                <w:t>16</w:t>
              </w:r>
            </w:hyperlink>
          </w:p>
        </w:tc>
      </w:tr>
      <w:tr w:rsidR="00925EDE" w:rsidRPr="005833DD" w:rsidTr="001F3CDA">
        <w:tc>
          <w:tcPr>
            <w:tcW w:w="5000" w:type="pct"/>
          </w:tcPr>
          <w:p w:rsidR="00925EDE" w:rsidRDefault="00925EDE" w:rsidP="00925EDE">
            <w:pPr>
              <w:pStyle w:val="LTVerzDerFragenden"/>
            </w:pPr>
            <w:r>
              <w:t>Schulze, Katharina (BÜNDNIS 90/DIE GRÜNEN)</w:t>
            </w:r>
          </w:p>
        </w:tc>
      </w:tr>
      <w:tr w:rsidR="00925EDE" w:rsidRPr="005833DD" w:rsidTr="001F3CDA">
        <w:tc>
          <w:tcPr>
            <w:tcW w:w="5000" w:type="pct"/>
          </w:tcPr>
          <w:p w:rsidR="00925EDE" w:rsidRDefault="007D5D9A" w:rsidP="00925EDE">
            <w:pPr>
              <w:pStyle w:val="LTVerzDerFragendenFrage"/>
            </w:pPr>
            <w:hyperlink w:anchor="Frage_Nr_66" w:tooltip="Frage Nr 66" w:history="1">
              <w:r w:rsidR="00177BC6">
                <w:rPr>
                  <w:rStyle w:val="Hyperlink"/>
                  <w:szCs w:val="24"/>
                </w:rPr>
                <w:t>Impfstoffbeschaff</w:t>
              </w:r>
              <w:r w:rsidR="00925EDE">
                <w:rPr>
                  <w:rStyle w:val="Hyperlink"/>
                  <w:szCs w:val="24"/>
                </w:rPr>
                <w:t>ung</w:t>
              </w:r>
              <w:r w:rsidR="00925EDE">
                <w:rPr>
                  <w:rStyle w:val="Hyperlink"/>
                  <w:szCs w:val="24"/>
                </w:rPr>
                <w:tab/>
                <w:t>66</w:t>
              </w:r>
            </w:hyperlink>
          </w:p>
        </w:tc>
      </w:tr>
      <w:tr w:rsidR="00925EDE" w:rsidRPr="005833DD" w:rsidTr="001F3CDA">
        <w:tc>
          <w:tcPr>
            <w:tcW w:w="5000" w:type="pct"/>
          </w:tcPr>
          <w:p w:rsidR="00925EDE" w:rsidRDefault="00925EDE" w:rsidP="00925EDE">
            <w:pPr>
              <w:pStyle w:val="LTVerzDerFragenden"/>
            </w:pPr>
            <w:r>
              <w:t>Schuster, Stefan (SPD)</w:t>
            </w:r>
          </w:p>
        </w:tc>
      </w:tr>
      <w:tr w:rsidR="00925EDE" w:rsidRPr="005833DD" w:rsidTr="001F3CDA">
        <w:tc>
          <w:tcPr>
            <w:tcW w:w="5000" w:type="pct"/>
          </w:tcPr>
          <w:p w:rsidR="00925EDE" w:rsidRDefault="007D5D9A" w:rsidP="00925EDE">
            <w:pPr>
              <w:pStyle w:val="LTVerzDerFragendenFrage"/>
            </w:pPr>
            <w:hyperlink w:anchor="Frage_Nr_67" w:tooltip="Frage Nr 67" w:history="1">
              <w:r w:rsidR="00925EDE">
                <w:rPr>
                  <w:rStyle w:val="Hyperlink"/>
                  <w:szCs w:val="24"/>
                </w:rPr>
                <w:t>Verstöße Infektionsschutzmaßnahmenverordnung</w:t>
              </w:r>
              <w:r w:rsidR="00925EDE">
                <w:rPr>
                  <w:rStyle w:val="Hyperlink"/>
                  <w:szCs w:val="24"/>
                </w:rPr>
                <w:tab/>
                <w:t>67</w:t>
              </w:r>
            </w:hyperlink>
          </w:p>
        </w:tc>
      </w:tr>
      <w:tr w:rsidR="00925EDE" w:rsidRPr="005833DD" w:rsidTr="001F3CDA">
        <w:tc>
          <w:tcPr>
            <w:tcW w:w="5000" w:type="pct"/>
          </w:tcPr>
          <w:p w:rsidR="00925EDE" w:rsidRDefault="00925EDE" w:rsidP="00925EDE">
            <w:pPr>
              <w:pStyle w:val="LTVerzDerFragenden"/>
            </w:pPr>
            <w:r>
              <w:t>Schwamberger, Anna (BÜNDNIS 90/DIE GRÜNEN)</w:t>
            </w:r>
          </w:p>
        </w:tc>
      </w:tr>
      <w:tr w:rsidR="00925EDE" w:rsidRPr="005833DD" w:rsidTr="001F3CDA">
        <w:tc>
          <w:tcPr>
            <w:tcW w:w="5000" w:type="pct"/>
          </w:tcPr>
          <w:p w:rsidR="00925EDE" w:rsidRDefault="007D5D9A" w:rsidP="00925EDE">
            <w:pPr>
              <w:pStyle w:val="LTVerzDerFragendenFrage"/>
            </w:pPr>
            <w:hyperlink w:anchor="Frage_Nr_24" w:tooltip="Frage Nr 24" w:history="1">
              <w:r w:rsidR="00925EDE">
                <w:rPr>
                  <w:rStyle w:val="Hyperlink"/>
                  <w:szCs w:val="24"/>
                </w:rPr>
                <w:t>Einführung von jahrgangsübergreifenden Lernangebote an bayerischen Mittelschulen</w:t>
              </w:r>
              <w:r w:rsidR="00925EDE">
                <w:rPr>
                  <w:rStyle w:val="Hyperlink"/>
                  <w:szCs w:val="24"/>
                </w:rPr>
                <w:tab/>
                <w:t>24</w:t>
              </w:r>
            </w:hyperlink>
          </w:p>
        </w:tc>
      </w:tr>
      <w:tr w:rsidR="00925EDE" w:rsidRPr="005833DD" w:rsidTr="001F3CDA">
        <w:tc>
          <w:tcPr>
            <w:tcW w:w="5000" w:type="pct"/>
          </w:tcPr>
          <w:p w:rsidR="00925EDE" w:rsidRDefault="00925EDE" w:rsidP="00925EDE">
            <w:pPr>
              <w:pStyle w:val="LTVerzDerFragenden"/>
            </w:pPr>
            <w:r>
              <w:t>Sengl, Gisela (BÜNDNIS 90/DIE GRÜNEN)</w:t>
            </w:r>
          </w:p>
        </w:tc>
      </w:tr>
      <w:tr w:rsidR="00925EDE" w:rsidRPr="005833DD" w:rsidTr="001F3CDA">
        <w:tc>
          <w:tcPr>
            <w:tcW w:w="5000" w:type="pct"/>
          </w:tcPr>
          <w:p w:rsidR="00925EDE" w:rsidRDefault="007D5D9A" w:rsidP="00925EDE">
            <w:pPr>
              <w:pStyle w:val="LTVerzDerFragendenFrage"/>
            </w:pPr>
            <w:hyperlink w:anchor="Frage_Nr_14" w:tooltip="Frage Nr 14" w:history="1">
              <w:r w:rsidR="00925EDE">
                <w:rPr>
                  <w:rStyle w:val="Hyperlink"/>
                  <w:szCs w:val="24"/>
                </w:rPr>
                <w:t>Verstärker-Schulbusse</w:t>
              </w:r>
              <w:r w:rsidR="00925EDE">
                <w:rPr>
                  <w:rStyle w:val="Hyperlink"/>
                  <w:szCs w:val="24"/>
                </w:rPr>
                <w:tab/>
                <w:t>14</w:t>
              </w:r>
            </w:hyperlink>
          </w:p>
        </w:tc>
      </w:tr>
      <w:tr w:rsidR="00925EDE" w:rsidRPr="005833DD" w:rsidTr="001F3CDA">
        <w:tc>
          <w:tcPr>
            <w:tcW w:w="5000" w:type="pct"/>
          </w:tcPr>
          <w:p w:rsidR="00925EDE" w:rsidRDefault="00925EDE" w:rsidP="00925EDE">
            <w:pPr>
              <w:pStyle w:val="LTVerzDerFragenden"/>
            </w:pPr>
            <w:r>
              <w:t>Siekmann, Florian (BÜNDNIS 90/DIE GRÜNEN)</w:t>
            </w:r>
          </w:p>
        </w:tc>
      </w:tr>
      <w:tr w:rsidR="00925EDE" w:rsidRPr="005833DD" w:rsidTr="001F3CDA">
        <w:tc>
          <w:tcPr>
            <w:tcW w:w="5000" w:type="pct"/>
          </w:tcPr>
          <w:p w:rsidR="00925EDE" w:rsidRDefault="007D5D9A" w:rsidP="00925EDE">
            <w:pPr>
              <w:pStyle w:val="LTVerzDerFragendenFrage"/>
            </w:pPr>
            <w:hyperlink w:anchor="Frage_Nr_17" w:tooltip="Frage Nr 17" w:history="1">
              <w:r w:rsidR="00925EDE">
                <w:rPr>
                  <w:rStyle w:val="Hyperlink"/>
                  <w:szCs w:val="24"/>
                </w:rPr>
                <w:t>Anfangsverdacht des Gewerbesteuerbetrugs</w:t>
              </w:r>
              <w:r w:rsidR="00925EDE">
                <w:rPr>
                  <w:rStyle w:val="Hyperlink"/>
                  <w:szCs w:val="24"/>
                </w:rPr>
                <w:tab/>
                <w:t>17</w:t>
              </w:r>
            </w:hyperlink>
          </w:p>
        </w:tc>
      </w:tr>
      <w:tr w:rsidR="00925EDE" w:rsidRPr="005833DD" w:rsidTr="001F3CDA">
        <w:tc>
          <w:tcPr>
            <w:tcW w:w="5000" w:type="pct"/>
          </w:tcPr>
          <w:p w:rsidR="00925EDE" w:rsidRDefault="00925EDE" w:rsidP="00925EDE">
            <w:pPr>
              <w:pStyle w:val="LTVerzDerFragenden"/>
            </w:pPr>
            <w:r>
              <w:t>Singer, Ulrich (AfD)</w:t>
            </w:r>
          </w:p>
        </w:tc>
      </w:tr>
      <w:tr w:rsidR="00925EDE" w:rsidRPr="005833DD" w:rsidTr="001F3CDA">
        <w:tc>
          <w:tcPr>
            <w:tcW w:w="5000" w:type="pct"/>
          </w:tcPr>
          <w:p w:rsidR="00925EDE" w:rsidRDefault="007D5D9A" w:rsidP="00925EDE">
            <w:pPr>
              <w:pStyle w:val="LTVerzDerFragendenFrage"/>
            </w:pPr>
            <w:hyperlink w:anchor="Frage_Nr_46" w:tooltip="Frage Nr 46" w:history="1">
              <w:r w:rsidR="00925EDE">
                <w:rPr>
                  <w:rStyle w:val="Hyperlink"/>
                  <w:szCs w:val="24"/>
                </w:rPr>
                <w:t>Beschädigtenversorgung nach dem Infektionsschutzgesetz</w:t>
              </w:r>
              <w:r w:rsidR="00925EDE">
                <w:rPr>
                  <w:rStyle w:val="Hyperlink"/>
                  <w:szCs w:val="24"/>
                </w:rPr>
                <w:tab/>
                <w:t>46</w:t>
              </w:r>
            </w:hyperlink>
          </w:p>
        </w:tc>
      </w:tr>
      <w:tr w:rsidR="00925EDE" w:rsidRPr="005833DD" w:rsidTr="001F3CDA">
        <w:tc>
          <w:tcPr>
            <w:tcW w:w="5000" w:type="pct"/>
          </w:tcPr>
          <w:p w:rsidR="00925EDE" w:rsidRDefault="00925EDE" w:rsidP="00925EDE">
            <w:pPr>
              <w:pStyle w:val="LTVerzDerFragenden"/>
            </w:pPr>
            <w:r>
              <w:t>Skutella, Christoph (FDP)</w:t>
            </w:r>
          </w:p>
        </w:tc>
      </w:tr>
      <w:tr w:rsidR="00925EDE" w:rsidRPr="005833DD" w:rsidTr="001F3CDA">
        <w:tc>
          <w:tcPr>
            <w:tcW w:w="5000" w:type="pct"/>
          </w:tcPr>
          <w:p w:rsidR="00925EDE" w:rsidRDefault="007D5D9A" w:rsidP="00925EDE">
            <w:pPr>
              <w:pStyle w:val="LTVerzDerFragendenFrage"/>
            </w:pPr>
            <w:hyperlink w:anchor="Frage_Nr_36" w:tooltip="Frage Nr 36" w:history="1">
              <w:r w:rsidR="00925EDE">
                <w:rPr>
                  <w:rStyle w:val="Hyperlink"/>
                  <w:szCs w:val="24"/>
                </w:rPr>
                <w:t>Maßnahmen zur Verbesserung des Nutzungkonfliktes zwischen Mountainbikern und Wanderern</w:t>
              </w:r>
              <w:r w:rsidR="00925EDE">
                <w:rPr>
                  <w:rStyle w:val="Hyperlink"/>
                  <w:szCs w:val="24"/>
                </w:rPr>
                <w:tab/>
                <w:t>36</w:t>
              </w:r>
            </w:hyperlink>
          </w:p>
        </w:tc>
      </w:tr>
      <w:tr w:rsidR="00925EDE" w:rsidRPr="005833DD" w:rsidTr="001F3CDA">
        <w:tc>
          <w:tcPr>
            <w:tcW w:w="5000" w:type="pct"/>
          </w:tcPr>
          <w:p w:rsidR="00925EDE" w:rsidRDefault="00925EDE" w:rsidP="00925EDE">
            <w:pPr>
              <w:pStyle w:val="LTVerzDerFragenden"/>
            </w:pPr>
            <w:r>
              <w:t>Sowa, Ursula (BÜNDNIS 90/DIE GRÜNEN)</w:t>
            </w:r>
          </w:p>
        </w:tc>
      </w:tr>
      <w:tr w:rsidR="00925EDE" w:rsidRPr="005833DD" w:rsidTr="001F3CDA">
        <w:tc>
          <w:tcPr>
            <w:tcW w:w="5000" w:type="pct"/>
          </w:tcPr>
          <w:p w:rsidR="00925EDE" w:rsidRDefault="007D5D9A" w:rsidP="00925EDE">
            <w:pPr>
              <w:pStyle w:val="LTVerzDerFragendenFrage"/>
            </w:pPr>
            <w:hyperlink w:anchor="Frage_Nr_15" w:tooltip="Frage Nr 15" w:history="1">
              <w:r w:rsidR="00925EDE">
                <w:rPr>
                  <w:rStyle w:val="Hyperlink"/>
                  <w:szCs w:val="24"/>
                </w:rPr>
                <w:t>Photovoltaik auf staatlichen Dächern</w:t>
              </w:r>
              <w:r w:rsidR="00925EDE">
                <w:rPr>
                  <w:rStyle w:val="Hyperlink"/>
                  <w:szCs w:val="24"/>
                </w:rPr>
                <w:tab/>
                <w:t>15</w:t>
              </w:r>
            </w:hyperlink>
          </w:p>
        </w:tc>
      </w:tr>
      <w:tr w:rsidR="00925EDE" w:rsidRPr="005833DD" w:rsidTr="001F3CDA">
        <w:tc>
          <w:tcPr>
            <w:tcW w:w="5000" w:type="pct"/>
          </w:tcPr>
          <w:p w:rsidR="00925EDE" w:rsidRDefault="00925EDE" w:rsidP="00925EDE">
            <w:pPr>
              <w:pStyle w:val="LTVerzDerFragenden"/>
            </w:pPr>
            <w:r>
              <w:t>Dr. Spitzer, Dominik (FDP)</w:t>
            </w:r>
          </w:p>
        </w:tc>
      </w:tr>
      <w:tr w:rsidR="00925EDE" w:rsidRPr="005833DD" w:rsidTr="001F3CDA">
        <w:tc>
          <w:tcPr>
            <w:tcW w:w="5000" w:type="pct"/>
          </w:tcPr>
          <w:p w:rsidR="00925EDE" w:rsidRDefault="007D5D9A" w:rsidP="00925EDE">
            <w:pPr>
              <w:pStyle w:val="LTVerzDerFragendenFrage"/>
            </w:pPr>
            <w:hyperlink w:anchor="Frage_Nr_68" w:tooltip="Frage Nr 68" w:history="1">
              <w:r w:rsidR="00925EDE">
                <w:rPr>
                  <w:rStyle w:val="Hyperlink"/>
                  <w:szCs w:val="24"/>
                </w:rPr>
                <w:t>LGL-Inzidenz I: Bekanntheit des Ausmaßes der Verzerrung</w:t>
              </w:r>
              <w:r w:rsidR="00925EDE">
                <w:rPr>
                  <w:rStyle w:val="Hyperlink"/>
                  <w:szCs w:val="24"/>
                </w:rPr>
                <w:tab/>
                <w:t>68</w:t>
              </w:r>
            </w:hyperlink>
          </w:p>
        </w:tc>
      </w:tr>
      <w:tr w:rsidR="00925EDE" w:rsidRPr="005833DD" w:rsidTr="001F3CDA">
        <w:tc>
          <w:tcPr>
            <w:tcW w:w="5000" w:type="pct"/>
          </w:tcPr>
          <w:p w:rsidR="00925EDE" w:rsidRDefault="00925EDE" w:rsidP="00925EDE">
            <w:pPr>
              <w:pStyle w:val="LTVerzDerFragenden"/>
            </w:pPr>
            <w:r>
              <w:t>Stadler, Ralf (AfD)</w:t>
            </w:r>
          </w:p>
        </w:tc>
      </w:tr>
      <w:tr w:rsidR="00925EDE" w:rsidRPr="005833DD" w:rsidTr="001F3CDA">
        <w:tc>
          <w:tcPr>
            <w:tcW w:w="5000" w:type="pct"/>
          </w:tcPr>
          <w:p w:rsidR="00925EDE" w:rsidRDefault="007D5D9A" w:rsidP="00925EDE">
            <w:pPr>
              <w:pStyle w:val="LTVerzDerFragendenFrage"/>
            </w:pPr>
            <w:hyperlink w:anchor="Frage_Nr_41" w:tooltip="Frage Nr 41" w:history="1">
              <w:r w:rsidR="00925EDE">
                <w:rPr>
                  <w:rStyle w:val="Hyperlink"/>
                  <w:szCs w:val="24"/>
                </w:rPr>
                <w:t xml:space="preserve">Überwachung bayerischer Landwirte durch Zentrales </w:t>
              </w:r>
              <w:r w:rsidR="00051319">
                <w:rPr>
                  <w:rStyle w:val="Hyperlink"/>
                  <w:szCs w:val="24"/>
                </w:rPr>
                <w:br/>
              </w:r>
              <w:r w:rsidR="00925EDE">
                <w:rPr>
                  <w:rStyle w:val="Hyperlink"/>
                  <w:szCs w:val="24"/>
                </w:rPr>
                <w:t>Kompetenzzentrum Flächenmonitoring (ZKF)</w:t>
              </w:r>
              <w:r w:rsidR="00925EDE">
                <w:rPr>
                  <w:rStyle w:val="Hyperlink"/>
                  <w:szCs w:val="24"/>
                </w:rPr>
                <w:tab/>
                <w:t>41</w:t>
              </w:r>
            </w:hyperlink>
          </w:p>
        </w:tc>
      </w:tr>
      <w:tr w:rsidR="00925EDE" w:rsidRPr="005833DD" w:rsidTr="001F3CDA">
        <w:tc>
          <w:tcPr>
            <w:tcW w:w="5000" w:type="pct"/>
          </w:tcPr>
          <w:p w:rsidR="00925EDE" w:rsidRDefault="00925EDE" w:rsidP="00925EDE">
            <w:pPr>
              <w:pStyle w:val="LTVerzDerFragenden"/>
            </w:pPr>
            <w:r>
              <w:t>Steinberger, Rosi (BÜNDNIS 90/DIE GRÜNEN)</w:t>
            </w:r>
          </w:p>
        </w:tc>
      </w:tr>
      <w:tr w:rsidR="00925EDE" w:rsidRPr="005833DD" w:rsidTr="001F3CDA">
        <w:tc>
          <w:tcPr>
            <w:tcW w:w="5000" w:type="pct"/>
          </w:tcPr>
          <w:p w:rsidR="00925EDE" w:rsidRDefault="007D5D9A" w:rsidP="00925EDE">
            <w:pPr>
              <w:pStyle w:val="LTVerzDerFragendenFrage"/>
            </w:pPr>
            <w:hyperlink w:anchor="Frage_Nr_42" w:tooltip="Frage Nr 42" w:history="1">
              <w:r w:rsidR="00925EDE">
                <w:rPr>
                  <w:rStyle w:val="Hyperlink"/>
                  <w:szCs w:val="24"/>
                </w:rPr>
                <w:t>Administrative Hürden bei der Errichtung von Agro-PV-Anlagen</w:t>
              </w:r>
              <w:r w:rsidR="00925EDE">
                <w:rPr>
                  <w:rStyle w:val="Hyperlink"/>
                  <w:szCs w:val="24"/>
                </w:rPr>
                <w:tab/>
                <w:t>42</w:t>
              </w:r>
            </w:hyperlink>
          </w:p>
        </w:tc>
      </w:tr>
      <w:tr w:rsidR="00925EDE" w:rsidRPr="005833DD" w:rsidTr="001F3CDA">
        <w:tc>
          <w:tcPr>
            <w:tcW w:w="5000" w:type="pct"/>
          </w:tcPr>
          <w:p w:rsidR="00925EDE" w:rsidRDefault="00925EDE" w:rsidP="00925EDE">
            <w:pPr>
              <w:pStyle w:val="LTVerzDerFragenden"/>
            </w:pPr>
            <w:r>
              <w:t>Dr. Strohmayr, Simone (SPD)</w:t>
            </w:r>
          </w:p>
        </w:tc>
      </w:tr>
      <w:tr w:rsidR="00925EDE" w:rsidRPr="005833DD" w:rsidTr="001F3CDA">
        <w:tc>
          <w:tcPr>
            <w:tcW w:w="5000" w:type="pct"/>
          </w:tcPr>
          <w:p w:rsidR="00925EDE" w:rsidRDefault="007D5D9A" w:rsidP="00925EDE">
            <w:pPr>
              <w:pStyle w:val="LTVerzDerFragendenFrage"/>
            </w:pPr>
            <w:hyperlink w:anchor="Frage_Nr_25" w:tooltip="Frage Nr 25" w:history="1">
              <w:r w:rsidR="00925EDE">
                <w:rPr>
                  <w:rStyle w:val="Hyperlink"/>
                  <w:szCs w:val="24"/>
                </w:rPr>
                <w:t>IT-Adminstratoren an Schulen</w:t>
              </w:r>
              <w:r w:rsidR="00925EDE">
                <w:rPr>
                  <w:rStyle w:val="Hyperlink"/>
                  <w:szCs w:val="24"/>
                </w:rPr>
                <w:tab/>
                <w:t>25</w:t>
              </w:r>
            </w:hyperlink>
          </w:p>
        </w:tc>
      </w:tr>
      <w:tr w:rsidR="00925EDE" w:rsidRPr="005833DD" w:rsidTr="001F3CDA">
        <w:tc>
          <w:tcPr>
            <w:tcW w:w="5000" w:type="pct"/>
          </w:tcPr>
          <w:p w:rsidR="00925EDE" w:rsidRDefault="00925EDE" w:rsidP="00925EDE">
            <w:pPr>
              <w:pStyle w:val="LTVerzDerFragenden"/>
            </w:pPr>
            <w:r>
              <w:t>Stümpfig, Martin (BÜNDNIS 90/DIE GRÜNEN)</w:t>
            </w:r>
          </w:p>
        </w:tc>
      </w:tr>
      <w:tr w:rsidR="00925EDE" w:rsidRPr="005833DD" w:rsidTr="001F3CDA">
        <w:tc>
          <w:tcPr>
            <w:tcW w:w="5000" w:type="pct"/>
          </w:tcPr>
          <w:p w:rsidR="00925EDE" w:rsidRDefault="007D5D9A" w:rsidP="00925EDE">
            <w:pPr>
              <w:pStyle w:val="LTVerzDerFragendenFrage"/>
            </w:pPr>
            <w:hyperlink w:anchor="Frage_Nr_37" w:tooltip="Frage Nr 37" w:history="1">
              <w:r w:rsidR="00925EDE">
                <w:rPr>
                  <w:rStyle w:val="Hyperlink"/>
                  <w:szCs w:val="24"/>
                </w:rPr>
                <w:t>Klimaschutz im Haushaltsentwurf 2022</w:t>
              </w:r>
              <w:r w:rsidR="00925EDE">
                <w:rPr>
                  <w:rStyle w:val="Hyperlink"/>
                  <w:szCs w:val="24"/>
                </w:rPr>
                <w:tab/>
                <w:t>37</w:t>
              </w:r>
            </w:hyperlink>
          </w:p>
        </w:tc>
      </w:tr>
      <w:tr w:rsidR="00925EDE" w:rsidRPr="005833DD" w:rsidTr="001F3CDA">
        <w:tc>
          <w:tcPr>
            <w:tcW w:w="5000" w:type="pct"/>
          </w:tcPr>
          <w:p w:rsidR="00925EDE" w:rsidRDefault="00351E06" w:rsidP="00925EDE">
            <w:pPr>
              <w:pStyle w:val="LTVerzDerFragenden"/>
            </w:pPr>
            <w:r>
              <w:t>Ta</w:t>
            </w:r>
            <w:r>
              <w:rPr>
                <w:rFonts w:cs="Arial"/>
              </w:rPr>
              <w:t>ş</w:t>
            </w:r>
            <w:r w:rsidR="00925EDE">
              <w:t>delen, Arif (SPD)</w:t>
            </w:r>
          </w:p>
        </w:tc>
      </w:tr>
      <w:tr w:rsidR="00925EDE" w:rsidRPr="005833DD" w:rsidTr="001F3CDA">
        <w:tc>
          <w:tcPr>
            <w:tcW w:w="5000" w:type="pct"/>
          </w:tcPr>
          <w:p w:rsidR="00925EDE" w:rsidRDefault="007D5D9A" w:rsidP="00925EDE">
            <w:pPr>
              <w:pStyle w:val="LTVerzDerFragendenFrage"/>
            </w:pPr>
            <w:hyperlink w:anchor="Frage_Nr_28" w:tooltip="Frage Nr 28" w:history="1">
              <w:r w:rsidR="00925EDE">
                <w:rPr>
                  <w:rStyle w:val="Hyperlink"/>
                  <w:szCs w:val="24"/>
                </w:rPr>
                <w:t>Betriebsprüfungen</w:t>
              </w:r>
              <w:r w:rsidR="00925EDE">
                <w:rPr>
                  <w:rStyle w:val="Hyperlink"/>
                  <w:szCs w:val="24"/>
                </w:rPr>
                <w:tab/>
                <w:t>28</w:t>
              </w:r>
            </w:hyperlink>
          </w:p>
        </w:tc>
      </w:tr>
      <w:tr w:rsidR="00925EDE" w:rsidRPr="005833DD" w:rsidTr="001F3CDA">
        <w:tc>
          <w:tcPr>
            <w:tcW w:w="5000" w:type="pct"/>
          </w:tcPr>
          <w:p w:rsidR="00925EDE" w:rsidRDefault="00925EDE" w:rsidP="00925EDE">
            <w:pPr>
              <w:pStyle w:val="LTVerzDerFragenden"/>
            </w:pPr>
            <w:r>
              <w:t>Triebel, Gabriele (BÜNDNIS 90/DIE GRÜNEN)</w:t>
            </w:r>
          </w:p>
        </w:tc>
      </w:tr>
      <w:tr w:rsidR="00925EDE" w:rsidRPr="005833DD" w:rsidTr="001F3CDA">
        <w:tc>
          <w:tcPr>
            <w:tcW w:w="5000" w:type="pct"/>
          </w:tcPr>
          <w:p w:rsidR="00925EDE" w:rsidRDefault="007D5D9A" w:rsidP="00925EDE">
            <w:pPr>
              <w:pStyle w:val="LTVerzDerFragendenFrage"/>
            </w:pPr>
            <w:hyperlink w:anchor="Frage_Nr_5" w:tooltip="Frage Nr 5" w:history="1">
              <w:r w:rsidR="00925EDE">
                <w:rPr>
                  <w:rStyle w:val="Hyperlink"/>
                  <w:szCs w:val="24"/>
                </w:rPr>
                <w:t>Zuwendung BLSV</w:t>
              </w:r>
              <w:r w:rsidR="00925EDE">
                <w:rPr>
                  <w:rStyle w:val="Hyperlink"/>
                  <w:szCs w:val="24"/>
                </w:rPr>
                <w:tab/>
                <w:t>5</w:t>
              </w:r>
            </w:hyperlink>
          </w:p>
        </w:tc>
      </w:tr>
      <w:tr w:rsidR="00925EDE" w:rsidRPr="005833DD" w:rsidTr="001F3CDA">
        <w:tc>
          <w:tcPr>
            <w:tcW w:w="5000" w:type="pct"/>
          </w:tcPr>
          <w:p w:rsidR="00925EDE" w:rsidRDefault="00925EDE" w:rsidP="00925EDE">
            <w:pPr>
              <w:pStyle w:val="LTVerzDerFragenden"/>
            </w:pPr>
            <w:r>
              <w:t>Waldmann, Ruth (SPD)</w:t>
            </w:r>
          </w:p>
        </w:tc>
      </w:tr>
      <w:tr w:rsidR="00925EDE" w:rsidRPr="005833DD" w:rsidTr="001F3CDA">
        <w:tc>
          <w:tcPr>
            <w:tcW w:w="5000" w:type="pct"/>
          </w:tcPr>
          <w:p w:rsidR="00925EDE" w:rsidRDefault="007D5D9A" w:rsidP="00925EDE">
            <w:pPr>
              <w:pStyle w:val="LTVerzDerFragendenFrage"/>
            </w:pPr>
            <w:hyperlink w:anchor="Frage_Nr_69" w:tooltip="Frage Nr 69" w:history="1">
              <w:r w:rsidR="00925EDE">
                <w:rPr>
                  <w:rStyle w:val="Hyperlink"/>
                  <w:szCs w:val="24"/>
                </w:rPr>
                <w:t>Lokale Impfkampagnen</w:t>
              </w:r>
              <w:r w:rsidR="00925EDE">
                <w:rPr>
                  <w:rStyle w:val="Hyperlink"/>
                  <w:szCs w:val="24"/>
                </w:rPr>
                <w:tab/>
                <w:t>69</w:t>
              </w:r>
            </w:hyperlink>
          </w:p>
        </w:tc>
      </w:tr>
      <w:tr w:rsidR="00925EDE" w:rsidRPr="005833DD" w:rsidTr="001F3CDA">
        <w:tc>
          <w:tcPr>
            <w:tcW w:w="5000" w:type="pct"/>
          </w:tcPr>
          <w:p w:rsidR="00925EDE" w:rsidRDefault="00925EDE" w:rsidP="00925EDE">
            <w:pPr>
              <w:pStyle w:val="LTVerzDerFragenden"/>
            </w:pPr>
            <w:r>
              <w:t>Dr. Weigand, Sabine (BÜNDNIS 90/DIE GRÜNEN)</w:t>
            </w:r>
          </w:p>
        </w:tc>
      </w:tr>
      <w:tr w:rsidR="00925EDE" w:rsidRPr="005833DD" w:rsidTr="001F3CDA">
        <w:tc>
          <w:tcPr>
            <w:tcW w:w="5000" w:type="pct"/>
          </w:tcPr>
          <w:p w:rsidR="00925EDE" w:rsidRDefault="007D5D9A" w:rsidP="00925EDE">
            <w:pPr>
              <w:pStyle w:val="LTVerzDerFragendenFrage"/>
            </w:pPr>
            <w:hyperlink w:anchor="Frage_Nr_70" w:tooltip="Frage Nr 70" w:history="1">
              <w:r w:rsidR="00925EDE">
                <w:rPr>
                  <w:rStyle w:val="Hyperlink"/>
                  <w:szCs w:val="24"/>
                </w:rPr>
                <w:t>Abwassermonitoring zur Früherkennung von SARS-CoV-2</w:t>
              </w:r>
              <w:r w:rsidR="00925EDE">
                <w:rPr>
                  <w:rStyle w:val="Hyperlink"/>
                  <w:szCs w:val="24"/>
                </w:rPr>
                <w:tab/>
                <w:t>70</w:t>
              </w:r>
            </w:hyperlink>
          </w:p>
        </w:tc>
      </w:tr>
      <w:tr w:rsidR="00925EDE" w:rsidRPr="005833DD" w:rsidTr="001F3CDA">
        <w:tc>
          <w:tcPr>
            <w:tcW w:w="5000" w:type="pct"/>
          </w:tcPr>
          <w:p w:rsidR="00925EDE" w:rsidRDefault="00925EDE" w:rsidP="00925EDE">
            <w:pPr>
              <w:pStyle w:val="LTVerzDerFragenden"/>
            </w:pPr>
            <w:r>
              <w:t>Winhart, Andreas (AfD)</w:t>
            </w:r>
          </w:p>
        </w:tc>
      </w:tr>
      <w:tr w:rsidR="00925EDE" w:rsidRPr="005833DD" w:rsidTr="001F3CDA">
        <w:tc>
          <w:tcPr>
            <w:tcW w:w="5000" w:type="pct"/>
          </w:tcPr>
          <w:p w:rsidR="00925EDE" w:rsidRDefault="007D5D9A" w:rsidP="00925EDE">
            <w:pPr>
              <w:pStyle w:val="LTVerzDerFragendenFrage"/>
            </w:pPr>
            <w:hyperlink w:anchor="Frage_Nr_6" w:tooltip="Frage Nr 6" w:history="1">
              <w:r w:rsidR="003439F1">
                <w:rPr>
                  <w:rStyle w:val="Hyperlink"/>
                  <w:szCs w:val="24"/>
                </w:rPr>
                <w:t>„</w:t>
              </w:r>
              <w:r w:rsidR="00925EDE">
                <w:rPr>
                  <w:rStyle w:val="Hyperlink"/>
                  <w:szCs w:val="24"/>
                </w:rPr>
                <w:t>Hybridsitzungen</w:t>
              </w:r>
              <w:r w:rsidR="003439F1">
                <w:rPr>
                  <w:rStyle w:val="Hyperlink"/>
                  <w:szCs w:val="24"/>
                </w:rPr>
                <w:t>“</w:t>
              </w:r>
              <w:r w:rsidR="00925EDE">
                <w:rPr>
                  <w:rStyle w:val="Hyperlink"/>
                  <w:szCs w:val="24"/>
                </w:rPr>
                <w:t xml:space="preserve"> in kommunalen Gremien wegen 2G-Regelung</w:t>
              </w:r>
              <w:r w:rsidR="00925EDE">
                <w:rPr>
                  <w:rStyle w:val="Hyperlink"/>
                  <w:szCs w:val="24"/>
                </w:rPr>
                <w:tab/>
                <w:t>6</w:t>
              </w:r>
            </w:hyperlink>
          </w:p>
        </w:tc>
      </w:tr>
      <w:tr w:rsidR="00925EDE" w:rsidRPr="005833DD" w:rsidTr="001F3CDA">
        <w:tc>
          <w:tcPr>
            <w:tcW w:w="5000" w:type="pct"/>
          </w:tcPr>
          <w:p w:rsidR="00925EDE" w:rsidRDefault="00925EDE" w:rsidP="00925EDE">
            <w:pPr>
              <w:pStyle w:val="LTVerzDerFragenden"/>
            </w:pPr>
            <w:r>
              <w:t>Zwanziger, Christian (BÜNDNIS 90/DIE GRÜNEN)</w:t>
            </w:r>
          </w:p>
        </w:tc>
      </w:tr>
      <w:tr w:rsidR="00925EDE" w:rsidRPr="005833DD" w:rsidTr="001F3CDA">
        <w:tc>
          <w:tcPr>
            <w:tcW w:w="5000" w:type="pct"/>
          </w:tcPr>
          <w:p w:rsidR="00925EDE" w:rsidRDefault="007D5D9A" w:rsidP="00925EDE">
            <w:pPr>
              <w:pStyle w:val="LTVerzDerFragendenFrage"/>
            </w:pPr>
            <w:hyperlink w:anchor="Frage_Nr_27" w:tooltip="Frage Nr 27" w:history="1">
              <w:r w:rsidR="00925EDE">
                <w:rPr>
                  <w:rStyle w:val="Hyperlink"/>
                  <w:szCs w:val="24"/>
                </w:rPr>
                <w:t xml:space="preserve">PCR-Testkapazitäten und Regelungen für die Prüfungsteilnahme </w:t>
              </w:r>
              <w:r w:rsidR="00051319">
                <w:rPr>
                  <w:rStyle w:val="Hyperlink"/>
                  <w:szCs w:val="24"/>
                </w:rPr>
                <w:br/>
              </w:r>
              <w:r w:rsidR="00925EDE">
                <w:rPr>
                  <w:rStyle w:val="Hyperlink"/>
                  <w:szCs w:val="24"/>
                </w:rPr>
                <w:t>u.</w:t>
              </w:r>
              <w:r w:rsidR="00051319">
                <w:rPr>
                  <w:rStyle w:val="Hyperlink"/>
                  <w:szCs w:val="24"/>
                </w:rPr>
                <w:t> </w:t>
              </w:r>
              <w:r w:rsidR="00925EDE">
                <w:rPr>
                  <w:rStyle w:val="Hyperlink"/>
                  <w:szCs w:val="24"/>
                </w:rPr>
                <w:t xml:space="preserve">a. an Hochschulen und Universitäten, speziell auch für Studierende, </w:t>
              </w:r>
              <w:r w:rsidR="00051319">
                <w:rPr>
                  <w:rStyle w:val="Hyperlink"/>
                  <w:szCs w:val="24"/>
                </w:rPr>
                <w:br/>
              </w:r>
              <w:r w:rsidR="00925EDE">
                <w:rPr>
                  <w:rStyle w:val="Hyperlink"/>
                  <w:szCs w:val="24"/>
                </w:rPr>
                <w:t>die mit Impfstoffen geimpft wurden, die nicht von der EMA zugelassen sind</w:t>
              </w:r>
              <w:r w:rsidR="00925EDE">
                <w:rPr>
                  <w:rStyle w:val="Hyperlink"/>
                  <w:szCs w:val="24"/>
                </w:rPr>
                <w:tab/>
                <w:t>27</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925EDE" w:rsidP="00925EDE">
      <w:pPr>
        <w:pStyle w:val="LTUeberschrRessort"/>
      </w:pPr>
      <w:bookmarkStart w:id="1" w:name="FragenNachGeschBereichen"/>
      <w:bookmarkEnd w:id="1"/>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925EDE" w:rsidTr="007B0B33">
        <w:tc>
          <w:tcPr>
            <w:tcW w:w="2050" w:type="dxa"/>
          </w:tcPr>
          <w:p w:rsidR="00925EDE" w:rsidRDefault="00925EDE" w:rsidP="00925EDE">
            <w:pPr>
              <w:pStyle w:val="LTAnfrageInitiator"/>
            </w:pPr>
            <w:r>
              <w:t>Abgeordneter</w:t>
            </w:r>
            <w:r w:rsidR="007B0523">
              <w:rPr>
                <w:b/>
              </w:rPr>
              <w:br/>
              <w:t>Cemal</w:t>
            </w:r>
            <w:r w:rsidR="007B0523">
              <w:rPr>
                <w:b/>
              </w:rPr>
              <w:br/>
              <w:t>Bozo</w:t>
            </w:r>
            <w:r w:rsidR="007B0523">
              <w:rPr>
                <w:rFonts w:cs="Arial"/>
                <w:b/>
              </w:rPr>
              <w:t>ǧ</w:t>
            </w:r>
            <w:r>
              <w:rPr>
                <w:b/>
              </w:rPr>
              <w:t>lu</w:t>
            </w:r>
            <w:r>
              <w:rPr>
                <w:b/>
              </w:rPr>
              <w:br/>
            </w:r>
            <w:r>
              <w:t>(BÜNDNIS 90/DIE GRÜNEN)</w:t>
            </w:r>
            <w:bookmarkStart w:id="2" w:name="Frage_Nr_1"/>
            <w:bookmarkEnd w:id="2"/>
          </w:p>
        </w:tc>
        <w:tc>
          <w:tcPr>
            <w:tcW w:w="7200" w:type="dxa"/>
          </w:tcPr>
          <w:p w:rsidR="007B0523" w:rsidRDefault="007B0523" w:rsidP="00925EDE">
            <w:pPr>
              <w:pStyle w:val="LTAnfrageText"/>
            </w:pPr>
            <w:r w:rsidRPr="007B0523">
              <w:t>Vor dem Hintergrund journalistischer Meldungen über Postsendungen der österreichischen Impfgegnerinnen bzw. Impfgegnern „auf1.tv“, die vor Kurzem eine Broschüre mit der Überschrift „Unbegründete Corona-Panik. Gefährliche Impfung. Jetzt sprechen die Ärzte! Mediziner und Medien klären auf!“ mit Desinformationen zur Coronapandemie und zu Corona-Schutzimpfungen an Haushalte in Dachau gesendet haben, frage ich die Staatsregierung, in welchem Ausmaß nach ihrer Kenntnis Postwurfsendungen mit Desinformationen zur Coronapandemie und/oder zu Corona-Schutzimpfungen in Bayern seit Jahresbeginn versendet wurden, in welchem Ausmaß nach ihrer Kenntnis dabei rechtsextreme Organisationen zu den Verfassern dieser Dokumente gehören und wie oft nach ihrer Kenntnis derartige Postwurfsendungen von Verfasserinnen bzw. Verfassern aus dem Ausland an bayerische Haushalte gesendet wurden?</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Desinformationen zu Corona sind in der Regel keine verfa</w:t>
      </w:r>
      <w:r w:rsidR="00A91C08">
        <w:t>ssungsfeindlichen Bestrebungen –</w:t>
      </w:r>
      <w:r>
        <w:t xml:space="preserve"> die Verfasser unterliegen daher nicht generell dem Beob</w:t>
      </w:r>
      <w:r w:rsidR="00334F0F">
        <w:t xml:space="preserve">achtungsauftrag des </w:t>
      </w:r>
      <w:r>
        <w:t>Landesamtes für Verfassungsschutz (BayLfV). Im BayLfV fin</w:t>
      </w:r>
      <w:r w:rsidR="008C0F37">
        <w:t>det keine systematische Datener</w:t>
      </w:r>
      <w:r>
        <w:t>hebung von nicht dem Beobachtungsauftrag unterliegenden Personen oder Gruppierungen statt.</w:t>
      </w:r>
      <w:r w:rsidR="00AD7F7B">
        <w:t xml:space="preserve"> </w:t>
      </w:r>
      <w:r w:rsidR="00334F0F">
        <w:t>Für das Jahr </w:t>
      </w:r>
      <w:r>
        <w:t>2021 liegen dem BayLfV Informationen zur Verteilung zu Postwurfsendungen im Zusammenhang mit Corona von folgenden extremistische Organisationen vor:</w:t>
      </w:r>
    </w:p>
    <w:p w:rsidR="00925EDE" w:rsidRDefault="00925EDE" w:rsidP="00925EDE">
      <w:pPr>
        <w:pStyle w:val="LTAntwortRessortText"/>
      </w:pPr>
      <w:r>
        <w:t>Aktivisten des Nürnberger NPD-Kreisverbandes verteilten am 16.01.20</w:t>
      </w:r>
      <w:r w:rsidR="00BF2711">
        <w:t>21 im Nürnberger Stadtteil Hasen</w:t>
      </w:r>
      <w:r>
        <w:t xml:space="preserve">buck in Hausbriefkästen NPD-Flugblätter gegen </w:t>
      </w:r>
      <w:r w:rsidR="003439F1">
        <w:t>„</w:t>
      </w:r>
      <w:r w:rsidR="00BF2711">
        <w:t>Zwangsimpfungen und Immu</w:t>
      </w:r>
      <w:r>
        <w:t>nitätsausweise</w:t>
      </w:r>
      <w:r w:rsidR="003439F1">
        <w:t>“</w:t>
      </w:r>
      <w:r>
        <w:t xml:space="preserve"> im Zusammenhang mit der </w:t>
      </w:r>
      <w:r w:rsidR="003439F1">
        <w:t>Coronapandemie</w:t>
      </w:r>
      <w:r>
        <w:t>.</w:t>
      </w:r>
    </w:p>
    <w:p w:rsidR="00925EDE" w:rsidRDefault="00925EDE" w:rsidP="00334F0F">
      <w:pPr>
        <w:pStyle w:val="LTAntwortRessortText"/>
      </w:pPr>
      <w:r>
        <w:t xml:space="preserve">Neben der Kritik an den staatlichen Maßnahmen zur Bekämpfung der </w:t>
      </w:r>
      <w:r w:rsidR="003439F1">
        <w:t>Coronapandemie</w:t>
      </w:r>
      <w:r>
        <w:t xml:space="preserve"> griff die rechtsextremistis</w:t>
      </w:r>
      <w:r w:rsidR="00334F0F">
        <w:t>che Partei Der Dritte Weg (III. </w:t>
      </w:r>
      <w:r>
        <w:t xml:space="preserve">Weg) auch verstärkt die Themen </w:t>
      </w:r>
      <w:r w:rsidR="003439F1">
        <w:t>„</w:t>
      </w:r>
      <w:r>
        <w:t>Impfen</w:t>
      </w:r>
      <w:r w:rsidR="003439F1">
        <w:t>“</w:t>
      </w:r>
      <w:r>
        <w:t xml:space="preserve"> und einen vermeintlichen </w:t>
      </w:r>
      <w:r w:rsidR="003439F1">
        <w:t>„</w:t>
      </w:r>
      <w:r>
        <w:t>Impfzwang</w:t>
      </w:r>
      <w:r w:rsidR="003439F1">
        <w:t>“</w:t>
      </w:r>
      <w:r>
        <w:t xml:space="preserve"> auf. Am 01.01.2021 verkündete die Partei den Start der</w:t>
      </w:r>
      <w:r w:rsidR="00AD7F7B">
        <w:t xml:space="preserve"> </w:t>
      </w:r>
      <w:r>
        <w:t xml:space="preserve">Kampagne </w:t>
      </w:r>
      <w:r w:rsidR="003439F1">
        <w:t>„</w:t>
      </w:r>
      <w:r>
        <w:t>Freiheit statt Corona-Impfzwang</w:t>
      </w:r>
      <w:r w:rsidR="003439F1">
        <w:t>“</w:t>
      </w:r>
      <w:r>
        <w:t>. In diesem Zusammenhang verteilten Aktivisten</w:t>
      </w:r>
      <w:r w:rsidR="00AD7F7B">
        <w:t xml:space="preserve"> </w:t>
      </w:r>
      <w:r w:rsidR="00334F0F">
        <w:t>des III. </w:t>
      </w:r>
      <w:r>
        <w:t>Weg nach eigenen Angaben Flugblätter in Bayern. Inwieweit die nachfolgend dargestellten</w:t>
      </w:r>
      <w:r w:rsidR="00334F0F">
        <w:t xml:space="preserve"> </w:t>
      </w:r>
      <w:r>
        <w:t>Verteilungen tatsächlich durchgeführt wurden, k</w:t>
      </w:r>
      <w:r w:rsidR="00334F0F">
        <w:t>ann nicht nachvollzogen werden:</w:t>
      </w:r>
    </w:p>
    <w:p w:rsidR="00AD7F7B" w:rsidRDefault="00AD7F7B" w:rsidP="00925EDE">
      <w:pPr>
        <w:pStyle w:val="LTAntwortRessortText"/>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976"/>
      </w:tblGrid>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Datum</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Ort</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26.01.2021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Nürnberg</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26.01.2021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Oberschleißheim</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lastRenderedPageBreak/>
              <w:t>28.01.2021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München</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29.01.2021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Zirndorf</w:t>
            </w:r>
          </w:p>
        </w:tc>
      </w:tr>
      <w:tr w:rsidR="00AD7F7B" w:rsidRPr="006E668B" w:rsidTr="006E668B">
        <w:trPr>
          <w:trHeight w:val="414"/>
        </w:trPr>
        <w:tc>
          <w:tcPr>
            <w:tcW w:w="3240" w:type="dxa"/>
          </w:tcPr>
          <w:p w:rsidR="00AD7F7B" w:rsidRPr="006E668B" w:rsidRDefault="00AD7F7B" w:rsidP="00AD7F7B">
            <w:pPr>
              <w:pStyle w:val="TableParagraph"/>
              <w:spacing w:line="273" w:lineRule="exact"/>
              <w:rPr>
                <w:rFonts w:ascii="Arial" w:hAnsi="Arial" w:cs="Arial"/>
                <w:sz w:val="18"/>
                <w:szCs w:val="18"/>
              </w:rPr>
            </w:pPr>
            <w:r w:rsidRPr="006E668B">
              <w:rPr>
                <w:rFonts w:ascii="Arial" w:hAnsi="Arial" w:cs="Arial"/>
                <w:sz w:val="18"/>
                <w:szCs w:val="18"/>
              </w:rPr>
              <w:t>31.01.2021</w:t>
            </w:r>
          </w:p>
        </w:tc>
        <w:tc>
          <w:tcPr>
            <w:tcW w:w="2976" w:type="dxa"/>
          </w:tcPr>
          <w:p w:rsidR="00AD7F7B" w:rsidRPr="006E668B" w:rsidRDefault="00AD7F7B" w:rsidP="00AD7F7B">
            <w:pPr>
              <w:pStyle w:val="TableParagraph"/>
              <w:spacing w:line="273" w:lineRule="exact"/>
              <w:ind w:left="108"/>
              <w:rPr>
                <w:rFonts w:ascii="Arial" w:hAnsi="Arial" w:cs="Arial"/>
                <w:sz w:val="18"/>
                <w:szCs w:val="18"/>
              </w:rPr>
            </w:pPr>
            <w:r w:rsidRPr="006E668B">
              <w:rPr>
                <w:rFonts w:ascii="Arial" w:hAnsi="Arial" w:cs="Arial"/>
                <w:sz w:val="18"/>
                <w:szCs w:val="18"/>
              </w:rPr>
              <w:t>Alling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31.01.2021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Bamberg</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02.02.2021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Taufkirchen</w:t>
            </w:r>
          </w:p>
        </w:tc>
      </w:tr>
      <w:tr w:rsidR="00AD7F7B" w:rsidRPr="006E668B" w:rsidTr="006E668B">
        <w:trPr>
          <w:trHeight w:val="415"/>
        </w:trPr>
        <w:tc>
          <w:tcPr>
            <w:tcW w:w="3240" w:type="dxa"/>
          </w:tcPr>
          <w:p w:rsidR="00AD7F7B" w:rsidRPr="006E668B" w:rsidRDefault="00AD7F7B" w:rsidP="00AD7F7B">
            <w:pPr>
              <w:pStyle w:val="TableParagraph"/>
              <w:spacing w:line="273" w:lineRule="exact"/>
              <w:rPr>
                <w:rFonts w:ascii="Arial" w:hAnsi="Arial" w:cs="Arial"/>
                <w:sz w:val="18"/>
                <w:szCs w:val="18"/>
              </w:rPr>
            </w:pPr>
            <w:r w:rsidRPr="006E668B">
              <w:rPr>
                <w:rFonts w:ascii="Arial" w:hAnsi="Arial" w:cs="Arial"/>
                <w:sz w:val="18"/>
                <w:szCs w:val="18"/>
              </w:rPr>
              <w:t>02.02.2021</w:t>
            </w:r>
          </w:p>
        </w:tc>
        <w:tc>
          <w:tcPr>
            <w:tcW w:w="2976" w:type="dxa"/>
          </w:tcPr>
          <w:p w:rsidR="00AD7F7B" w:rsidRPr="006E668B" w:rsidRDefault="00AD7F7B" w:rsidP="00AD7F7B">
            <w:pPr>
              <w:pStyle w:val="TableParagraph"/>
              <w:spacing w:line="273" w:lineRule="exact"/>
              <w:ind w:left="108"/>
              <w:rPr>
                <w:rFonts w:ascii="Arial" w:hAnsi="Arial" w:cs="Arial"/>
                <w:sz w:val="18"/>
                <w:szCs w:val="18"/>
              </w:rPr>
            </w:pPr>
            <w:r w:rsidRPr="006E668B">
              <w:rPr>
                <w:rFonts w:ascii="Arial" w:hAnsi="Arial" w:cs="Arial"/>
                <w:sz w:val="18"/>
                <w:szCs w:val="18"/>
              </w:rPr>
              <w:t>Manching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06.02.2021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Pfaffenhofen</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06.02.2021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Wolnzach</w:t>
            </w:r>
          </w:p>
        </w:tc>
      </w:tr>
      <w:tr w:rsidR="00AD7F7B" w:rsidRPr="006E668B" w:rsidTr="006E668B">
        <w:trPr>
          <w:trHeight w:val="414"/>
        </w:trPr>
        <w:tc>
          <w:tcPr>
            <w:tcW w:w="3240" w:type="dxa"/>
          </w:tcPr>
          <w:p w:rsidR="00AD7F7B" w:rsidRPr="006E668B" w:rsidRDefault="00AD7F7B" w:rsidP="00AD7F7B">
            <w:pPr>
              <w:pStyle w:val="TableParagraph"/>
              <w:spacing w:line="273" w:lineRule="exact"/>
              <w:rPr>
                <w:rFonts w:ascii="Arial" w:hAnsi="Arial" w:cs="Arial"/>
                <w:sz w:val="18"/>
                <w:szCs w:val="18"/>
              </w:rPr>
            </w:pPr>
            <w:r w:rsidRPr="006E668B">
              <w:rPr>
                <w:rFonts w:ascii="Arial" w:hAnsi="Arial" w:cs="Arial"/>
                <w:sz w:val="18"/>
                <w:szCs w:val="18"/>
              </w:rPr>
              <w:t>20.02.2021</w:t>
            </w:r>
          </w:p>
        </w:tc>
        <w:tc>
          <w:tcPr>
            <w:tcW w:w="2976" w:type="dxa"/>
          </w:tcPr>
          <w:p w:rsidR="00AD7F7B" w:rsidRPr="006E668B" w:rsidRDefault="00AD7F7B" w:rsidP="00AD7F7B">
            <w:pPr>
              <w:pStyle w:val="TableParagraph"/>
              <w:spacing w:line="273" w:lineRule="exact"/>
              <w:ind w:left="108"/>
              <w:rPr>
                <w:rFonts w:ascii="Arial" w:hAnsi="Arial" w:cs="Arial"/>
                <w:sz w:val="18"/>
                <w:szCs w:val="18"/>
              </w:rPr>
            </w:pPr>
            <w:r w:rsidRPr="006E668B">
              <w:rPr>
                <w:rFonts w:ascii="Arial" w:hAnsi="Arial" w:cs="Arial"/>
                <w:sz w:val="18"/>
                <w:szCs w:val="18"/>
              </w:rPr>
              <w:t>München</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23.02.2021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Nürnberg</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27.02.2021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Cham</w:t>
            </w:r>
          </w:p>
        </w:tc>
      </w:tr>
      <w:tr w:rsidR="00AD7F7B" w:rsidRPr="006E668B" w:rsidTr="006E668B">
        <w:trPr>
          <w:trHeight w:val="414"/>
        </w:trPr>
        <w:tc>
          <w:tcPr>
            <w:tcW w:w="3240" w:type="dxa"/>
          </w:tcPr>
          <w:p w:rsidR="00AD7F7B" w:rsidRPr="006E668B" w:rsidRDefault="00AD7F7B" w:rsidP="00AD7F7B">
            <w:pPr>
              <w:pStyle w:val="TableParagraph"/>
              <w:spacing w:line="273" w:lineRule="exact"/>
              <w:rPr>
                <w:rFonts w:ascii="Arial" w:hAnsi="Arial" w:cs="Arial"/>
                <w:sz w:val="18"/>
                <w:szCs w:val="18"/>
              </w:rPr>
            </w:pPr>
            <w:r w:rsidRPr="006E668B">
              <w:rPr>
                <w:rFonts w:ascii="Arial" w:hAnsi="Arial" w:cs="Arial"/>
                <w:sz w:val="18"/>
                <w:szCs w:val="18"/>
              </w:rPr>
              <w:t>10.03.2021</w:t>
            </w:r>
          </w:p>
        </w:tc>
        <w:tc>
          <w:tcPr>
            <w:tcW w:w="2976" w:type="dxa"/>
          </w:tcPr>
          <w:p w:rsidR="00AD7F7B" w:rsidRPr="006E668B" w:rsidRDefault="00AD7F7B" w:rsidP="00AD7F7B">
            <w:pPr>
              <w:pStyle w:val="TableParagraph"/>
              <w:spacing w:line="273" w:lineRule="exact"/>
              <w:ind w:left="108"/>
              <w:rPr>
                <w:rFonts w:ascii="Arial" w:hAnsi="Arial" w:cs="Arial"/>
                <w:sz w:val="18"/>
                <w:szCs w:val="18"/>
              </w:rPr>
            </w:pPr>
            <w:r w:rsidRPr="006E668B">
              <w:rPr>
                <w:rFonts w:ascii="Arial" w:hAnsi="Arial" w:cs="Arial"/>
                <w:sz w:val="18"/>
                <w:szCs w:val="18"/>
              </w:rPr>
              <w:t>Bamberg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13.03.2021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Nürnberg</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20.03.2021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Amerang, Eiselfing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21.03.2021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Fürth</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21.03.2021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Bad Kissingen</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23.03.2021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Bamberg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28.03.2021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Walsdorf</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05.04.2021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Bamberg</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10.04.2021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Nürnberg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16.04.2021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Zirndorf</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24.04.2021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Lindau</w:t>
            </w:r>
          </w:p>
        </w:tc>
      </w:tr>
      <w:tr w:rsidR="00AD7F7B" w:rsidRPr="006E668B" w:rsidTr="006E668B">
        <w:trPr>
          <w:trHeight w:val="413"/>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27.04.2021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Lindenberg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20.05.2021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Lindau</w:t>
            </w:r>
          </w:p>
        </w:tc>
      </w:tr>
      <w:tr w:rsidR="00AD7F7B" w:rsidRPr="006E668B" w:rsidTr="006E668B">
        <w:trPr>
          <w:trHeight w:val="412"/>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28.07.2021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Bamberg</w:t>
            </w:r>
          </w:p>
        </w:tc>
      </w:tr>
      <w:tr w:rsidR="00AD7F7B" w:rsidRPr="006E668B" w:rsidTr="006E668B">
        <w:trPr>
          <w:trHeight w:val="414"/>
        </w:trPr>
        <w:tc>
          <w:tcPr>
            <w:tcW w:w="3240" w:type="dxa"/>
          </w:tcPr>
          <w:p w:rsidR="00AD7F7B" w:rsidRPr="006E668B" w:rsidRDefault="00AD7F7B" w:rsidP="00AD7F7B">
            <w:pPr>
              <w:pStyle w:val="TableParagraph"/>
              <w:spacing w:line="273" w:lineRule="exact"/>
              <w:rPr>
                <w:rFonts w:ascii="Arial" w:hAnsi="Arial" w:cs="Arial"/>
                <w:sz w:val="18"/>
                <w:szCs w:val="18"/>
              </w:rPr>
            </w:pPr>
            <w:r w:rsidRPr="006E668B">
              <w:rPr>
                <w:rFonts w:ascii="Arial" w:hAnsi="Arial" w:cs="Arial"/>
                <w:sz w:val="18"/>
                <w:szCs w:val="18"/>
              </w:rPr>
              <w:t>09.11.2021</w:t>
            </w:r>
          </w:p>
        </w:tc>
        <w:tc>
          <w:tcPr>
            <w:tcW w:w="2976" w:type="dxa"/>
          </w:tcPr>
          <w:p w:rsidR="00AD7F7B" w:rsidRPr="006E668B" w:rsidRDefault="00AD7F7B" w:rsidP="00AD7F7B">
            <w:pPr>
              <w:pStyle w:val="TableParagraph"/>
              <w:spacing w:line="273" w:lineRule="exact"/>
              <w:ind w:left="108"/>
              <w:rPr>
                <w:rFonts w:ascii="Arial" w:hAnsi="Arial" w:cs="Arial"/>
                <w:sz w:val="18"/>
                <w:szCs w:val="18"/>
              </w:rPr>
            </w:pPr>
            <w:r w:rsidRPr="006E668B">
              <w:rPr>
                <w:rFonts w:ascii="Arial" w:hAnsi="Arial" w:cs="Arial"/>
                <w:sz w:val="18"/>
                <w:szCs w:val="18"/>
              </w:rPr>
              <w:t>Freyung</w:t>
            </w:r>
          </w:p>
        </w:tc>
      </w:tr>
      <w:tr w:rsidR="00AD7F7B" w:rsidRPr="006E668B" w:rsidTr="006E668B">
        <w:trPr>
          <w:trHeight w:val="414"/>
        </w:trPr>
        <w:tc>
          <w:tcPr>
            <w:tcW w:w="3240" w:type="dxa"/>
          </w:tcPr>
          <w:p w:rsidR="00AD7F7B" w:rsidRPr="006E668B" w:rsidRDefault="00AD7F7B" w:rsidP="00AD7F7B">
            <w:pPr>
              <w:pStyle w:val="TableParagraph"/>
              <w:rPr>
                <w:rFonts w:ascii="Arial" w:hAnsi="Arial" w:cs="Arial"/>
                <w:sz w:val="18"/>
                <w:szCs w:val="18"/>
              </w:rPr>
            </w:pPr>
            <w:r w:rsidRPr="006E668B">
              <w:rPr>
                <w:rFonts w:ascii="Arial" w:hAnsi="Arial" w:cs="Arial"/>
                <w:sz w:val="18"/>
                <w:szCs w:val="18"/>
              </w:rPr>
              <w:t>02.12.2021</w:t>
            </w:r>
          </w:p>
        </w:tc>
        <w:tc>
          <w:tcPr>
            <w:tcW w:w="2976" w:type="dxa"/>
          </w:tcPr>
          <w:p w:rsidR="00AD7F7B" w:rsidRPr="006E668B" w:rsidRDefault="00AD7F7B" w:rsidP="00AD7F7B">
            <w:pPr>
              <w:pStyle w:val="TableParagraph"/>
              <w:ind w:left="108"/>
              <w:rPr>
                <w:rFonts w:ascii="Arial" w:hAnsi="Arial" w:cs="Arial"/>
                <w:sz w:val="18"/>
                <w:szCs w:val="18"/>
              </w:rPr>
            </w:pPr>
            <w:r w:rsidRPr="006E668B">
              <w:rPr>
                <w:rFonts w:ascii="Arial" w:hAnsi="Arial" w:cs="Arial"/>
                <w:sz w:val="18"/>
                <w:szCs w:val="18"/>
              </w:rPr>
              <w:t>Lindenberg</w:t>
            </w:r>
          </w:p>
        </w:tc>
      </w:tr>
    </w:tbl>
    <w:p w:rsidR="00925EDE" w:rsidRDefault="00925EDE" w:rsidP="00925EDE">
      <w:pPr>
        <w:pStyle w:val="LTAntwortRessortText"/>
      </w:pPr>
      <w:r>
        <w:t>Postwurfsendungen aus dem Ausland, die von Extremisten verfasst wurden, sind bisher nicht bekannt geworden.</w:t>
      </w:r>
    </w:p>
    <w:p w:rsidR="00925EDE" w:rsidRDefault="00925EDE" w:rsidP="00925EDE">
      <w:pPr>
        <w:pStyle w:val="LTAntwortRessortText"/>
      </w:pPr>
      <w:r>
        <w:t>Darüb</w:t>
      </w:r>
      <w:r w:rsidR="00CC13A9">
        <w:t>er hinaus sind im Laufe der 48. </w:t>
      </w:r>
      <w:r>
        <w:t xml:space="preserve">Kalenderwoche in mehreren Kinderarztpraxen vierseitige Schreiben von den Gruppierungen </w:t>
      </w:r>
      <w:r w:rsidR="003439F1">
        <w:t>„</w:t>
      </w:r>
      <w:r>
        <w:t>Ärzte für Aufklärung</w:t>
      </w:r>
      <w:r w:rsidR="003439F1">
        <w:t>“</w:t>
      </w:r>
      <w:r w:rsidR="00CC13A9">
        <w:t> </w:t>
      </w:r>
      <w:r>
        <w:t xml:space="preserve">bzw. </w:t>
      </w:r>
      <w:r w:rsidR="003439F1">
        <w:t>„</w:t>
      </w:r>
      <w:r>
        <w:t xml:space="preserve">Doctors </w:t>
      </w:r>
      <w:r>
        <w:lastRenderedPageBreak/>
        <w:t xml:space="preserve">for </w:t>
      </w:r>
      <w:r w:rsidR="003439F1">
        <w:t>COVID</w:t>
      </w:r>
      <w:r>
        <w:t xml:space="preserve"> Ethics</w:t>
      </w:r>
      <w:r w:rsidR="003439F1">
        <w:t>“</w:t>
      </w:r>
      <w:r>
        <w:t xml:space="preserve"> bzw. </w:t>
      </w:r>
      <w:r w:rsidR="003439F1">
        <w:t>„</w:t>
      </w:r>
      <w:r>
        <w:t xml:space="preserve">Gesellschaft der Mediziner für Wissenschaftler für Gesundheit, Freiheit und Demokratie </w:t>
      </w:r>
      <w:r w:rsidR="003439F1">
        <w:t>e. V.</w:t>
      </w:r>
      <w:r w:rsidR="008C0F37">
        <w:t xml:space="preserve"> –</w:t>
      </w:r>
      <w:r>
        <w:t xml:space="preserve"> MW GFD</w:t>
      </w:r>
      <w:r w:rsidR="003439F1">
        <w:t>“</w:t>
      </w:r>
      <w:r>
        <w:t xml:space="preserve"> eingeworfen worden. Auch per Mail wurden Flugblätter an verschiedene Stellen versandt. Es scheint sich hierbei um Gegner der Corona-Politik bzw. der Impfung zu handeln. Der Vorsitzende des Vereins MW GFD ist nicht in Bayern wohnhaft. Es sind derzeit zahlreiche Aktivitäten des Vereins im Zusammenhang mit der </w:t>
      </w:r>
      <w:r w:rsidR="003439F1">
        <w:t>Coronapandemie</w:t>
      </w:r>
      <w:r>
        <w:t xml:space="preserve"> im gesamten Bundesgebiet und in Österreich zu verzeichnen.</w:t>
      </w:r>
    </w:p>
    <w:p w:rsidR="00925EDE" w:rsidRDefault="00925EDE" w:rsidP="00334F0F">
      <w:pPr>
        <w:pStyle w:val="LTAntwortRessortText"/>
      </w:pPr>
      <w:r>
        <w:t>Im Übrigen liegen der Bayer</w:t>
      </w:r>
      <w:r w:rsidR="008C0F37">
        <w:t>ischen</w:t>
      </w:r>
      <w:r>
        <w:t xml:space="preserve"> Polizei keine Erkenntnisse vor,</w:t>
      </w:r>
      <w:r w:rsidR="00BF2711">
        <w:t xml:space="preserve"> da eine statistische, automati</w:t>
      </w:r>
      <w:r>
        <w:t xml:space="preserve">sierte Erfassung im Sinne der Fragestellungen nicht erfolgt. </w:t>
      </w:r>
      <w:r w:rsidR="00177BC6">
        <w:t>Für die Abfassung eines Antwort</w:t>
      </w:r>
      <w:r>
        <w:t>beitrags zur der gegenständlichen Fragestellung müsste eine umfangreiche manuelle (Einzel-)Auswertung polizeilicher Akten und Datenbestände e</w:t>
      </w:r>
      <w:r w:rsidR="00BF2711">
        <w:t>rfolgen. Dies würde bei den ein</w:t>
      </w:r>
      <w:r>
        <w:t>zubindenden Polizeidienststellen zu einem erheblichen, in der vorliegenden konkreten Situation nicht vertretbaren zeitlichen und personellen Aufwand führen und die Aufrechterhaltung der effekti</w:t>
      </w:r>
      <w:r w:rsidR="00B31A63">
        <w:t>ven Aufgabenerfüllung der Bayerischen</w:t>
      </w:r>
      <w:r>
        <w:t xml:space="preserve"> Polizei und damit den ebenfalls verfassungsrechtlich garantierten Schutzauftrag des Staates gegenüber seinen Bürgerinnen und Bürgern gefährden. Auch unter Berücksichtigung </w:t>
      </w:r>
      <w:r w:rsidR="00772813">
        <w:t>der Bedeutung des sich aus Art. 13 Abs. 2, 16 a Abs. 1 und 2 </w:t>
      </w:r>
      <w:r>
        <w:t>S</w:t>
      </w:r>
      <w:r w:rsidR="008C0F37">
        <w:t>atz</w:t>
      </w:r>
      <w:r w:rsidR="00772813">
        <w:t> </w:t>
      </w:r>
      <w:r>
        <w:t xml:space="preserve">1 </w:t>
      </w:r>
      <w:r w:rsidR="00772813">
        <w:t>in der Bundesverfassung (</w:t>
      </w:r>
      <w:r>
        <w:t>BV</w:t>
      </w:r>
      <w:r w:rsidR="00772813">
        <w:t>)</w:t>
      </w:r>
      <w:r>
        <w:t xml:space="preserve"> ergebenden parlamentarischen Fragerechts der Abgeordneten des Bayerischen Landtags kann daher ein</w:t>
      </w:r>
      <w:r w:rsidR="008C0F37">
        <w:t>e Auswertung von Einzelakten u. </w:t>
      </w:r>
      <w:r>
        <w:t>ä. nicht erfolgen.</w:t>
      </w:r>
      <w:bookmarkStart w:id="3" w:name="Frage_Nr_1_Ende"/>
      <w:bookmarkEnd w:id="3"/>
      <w:r w:rsidR="00334F0F">
        <w:t xml:space="preserve"> </w:t>
      </w: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lastRenderedPageBreak/>
              <w:t>Abgeordnete</w:t>
            </w:r>
            <w:r>
              <w:rPr>
                <w:b/>
              </w:rPr>
              <w:br/>
              <w:t>Gülseren</w:t>
            </w:r>
            <w:r>
              <w:rPr>
                <w:b/>
              </w:rPr>
              <w:br/>
              <w:t>Demirel</w:t>
            </w:r>
            <w:r>
              <w:rPr>
                <w:b/>
              </w:rPr>
              <w:br/>
            </w:r>
            <w:r>
              <w:t>(BÜNDNIS 90/DIE GRÜNEN)</w:t>
            </w:r>
            <w:bookmarkStart w:id="4" w:name="Frage_Nr_2"/>
            <w:bookmarkEnd w:id="4"/>
          </w:p>
        </w:tc>
        <w:tc>
          <w:tcPr>
            <w:tcW w:w="7200" w:type="dxa"/>
          </w:tcPr>
          <w:p w:rsidR="00BD18A0" w:rsidRDefault="00BD18A0" w:rsidP="00925EDE">
            <w:pPr>
              <w:pStyle w:val="LTAnfrageText"/>
            </w:pPr>
            <w:r w:rsidRPr="00BD18A0">
              <w:t>Ich frage die Staatsregierung, ob sie eine Neuauflage des Integrationsberichts von 2017: „Die Bevölkerung mit Migrationshintergrund in Bayern. Stand der Integration und integrationspolitischen Strukturen“ beabsichtigt ist (bitte den genauen Erscheinungszeitpunkt benennen, bzw. bitte begründen, falls keine Neuauflage geplant ist), wie hoch die Zahl der Personen mit Migrationshintergrund im öffentlichen Dienst im Vergleich zu</w:t>
            </w:r>
            <w:r w:rsidR="006C2D2D">
              <w:t>r</w:t>
            </w:r>
            <w:r w:rsidRPr="00BD18A0">
              <w:t xml:space="preserve"> Gesamtzahl der Personen im öffentlichen Dienst in Bayern ist und wie viele Lehrkräfte im Vergleich zur Gesamtzahl der Lehrkräfte in Bayern einen Migrationshintergrund haben?</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Der Freistaat Bayern beteiligt sich am Integrationsmonitori</w:t>
      </w:r>
      <w:r w:rsidR="00BF2711">
        <w:t>ng der Länder. Diese länderüber</w:t>
      </w:r>
      <w:r>
        <w:t>greifende Auswertung zum Stand der Integration von Menschen mit Migrationshintergrund in den Bundesländern wird im Rahmen eines Berichts alle zwei Jahre fortgeschrie</w:t>
      </w:r>
      <w:r w:rsidR="00BF2711">
        <w:t>ben und aktuali</w:t>
      </w:r>
      <w:r>
        <w:t>siert. Die Kennzahlen und Indikatoren werden dabei so ausgewählt, dass sie eine möglichst hohe Aussagekraft für die jeweiligen Arbeitsfelder der Integrationspolitik haben.</w:t>
      </w:r>
    </w:p>
    <w:p w:rsidR="00925EDE" w:rsidRDefault="00925EDE" w:rsidP="00925EDE">
      <w:pPr>
        <w:pStyle w:val="LTAntwortRessortText"/>
      </w:pPr>
      <w:r>
        <w:t>Das Monitoring umfasst Indikatoren mit demografischen Grunddaten zur Zuwanderung und zur Zusammensetzung der Bevölkerung mit und ohne Migrationshintergrund sowie Indikatoren zu den Themenfeldern rechtliche Integration, Kindertagesbetr</w:t>
      </w:r>
      <w:r w:rsidR="00BF2711">
        <w:t>euung und Sprachkenntnisse, Bil</w:t>
      </w:r>
      <w:r>
        <w:t>dung, Arbeitsmarkt und Lebensunterhalt, Gesundheit, Wohnen</w:t>
      </w:r>
      <w:r w:rsidR="00BF2711">
        <w:t>, Kriminalität sowie Interkultu</w:t>
      </w:r>
      <w:r>
        <w:t>relle Öffnung. Seit 2017 umfasst es auch Daten zu Asyl un</w:t>
      </w:r>
      <w:r w:rsidR="00BF2711">
        <w:t>d Flucht. Mit dem nunmehr 6. Be</w:t>
      </w:r>
      <w:r>
        <w:t>richt werden erstmalig auch Ergebnisse auf der Grundlage subjektiver Indikatoren dargestellt. Die Indikatoren werden auf der Datengrundlage der amtlich</w:t>
      </w:r>
      <w:r w:rsidR="00BF2711">
        <w:t>en Statistik sowie des Bund-Län</w:t>
      </w:r>
      <w:r>
        <w:t>der-Integrationsbarometers des Sachverständigenrats deutscher Stiftungen für Integration und Migration (SVR) gebildet.</w:t>
      </w:r>
    </w:p>
    <w:p w:rsidR="00925EDE" w:rsidRDefault="00925EDE" w:rsidP="00925EDE">
      <w:pPr>
        <w:pStyle w:val="LTAntwortRessortText"/>
      </w:pPr>
      <w:r>
        <w:t xml:space="preserve">Aufgrund dieses differenzierten und umfassenden Ländermonitorings ist eine Neuauflage des Integrationsberichts </w:t>
      </w:r>
      <w:r w:rsidR="003439F1">
        <w:t>„</w:t>
      </w:r>
      <w:r>
        <w:t>Die Bevölkerung mit Migrationshintergru</w:t>
      </w:r>
      <w:r w:rsidR="00BF2711">
        <w:t>nd in Bayern. Stand der Integra</w:t>
      </w:r>
      <w:r>
        <w:t>tion und integrationspolitische Strukturen</w:t>
      </w:r>
      <w:r w:rsidR="003439F1">
        <w:t>“</w:t>
      </w:r>
      <w:r>
        <w:t xml:space="preserve"> von 2017 derzeit nicht geplant.</w:t>
      </w:r>
    </w:p>
    <w:p w:rsidR="00925EDE" w:rsidRDefault="00925EDE" w:rsidP="00925EDE">
      <w:pPr>
        <w:pStyle w:val="LTAntwortRessortText"/>
      </w:pPr>
      <w:r>
        <w:t>Aus datenschutzrechtlichen Gründen findet in Bayern eine systematische Offenlegung und</w:t>
      </w:r>
      <w:r w:rsidR="00BF2711">
        <w:t xml:space="preserve"> Er</w:t>
      </w:r>
      <w:r>
        <w:t>fassung eines Migrationshintergrundes bei Beschäftigen im öffe</w:t>
      </w:r>
      <w:r w:rsidR="00BF2711">
        <w:t>ntlichen Dienst nicht statt. Al</w:t>
      </w:r>
      <w:r>
        <w:t>ternativ kann hier als Datengrundlage näherungsweise jedoch die Auswertung des Mikrozensus herangezogen werden. So ist laut Mikrozensus 2019 der Anteil der Er</w:t>
      </w:r>
      <w:r w:rsidR="00BF2711">
        <w:t>werbstätigen in Privat</w:t>
      </w:r>
      <w:r>
        <w:t>haushalten mit Migrationshintergrund im öffentlichen Dienst an alle</w:t>
      </w:r>
      <w:r w:rsidR="00CD23A3">
        <w:t>n Erwerbstätigen in Bayern 15,3 </w:t>
      </w:r>
      <w:r w:rsidR="003439F1">
        <w:t>Prozent</w:t>
      </w:r>
      <w:r w:rsidR="00CD23A3">
        <w:t xml:space="preserve"> (vgl. 6. </w:t>
      </w:r>
      <w:r>
        <w:t>Bericht zum Integrationsmonitoring der Länder</w:t>
      </w:r>
      <w:r w:rsidR="00CD23A3">
        <w:t xml:space="preserve"> (Berichtsjahre 2017 –</w:t>
      </w:r>
      <w:r w:rsidR="00BF2711">
        <w:t xml:space="preserve"> 2019) be</w:t>
      </w:r>
      <w:r>
        <w:t xml:space="preserve">treffend </w:t>
      </w:r>
      <w:r w:rsidR="003439F1">
        <w:t>„</w:t>
      </w:r>
      <w:r>
        <w:t>Erwerbstätige im Öffentlichen Dienst</w:t>
      </w:r>
      <w:r w:rsidR="003439F1">
        <w:t>“</w:t>
      </w:r>
      <w:r>
        <w:t>).</w:t>
      </w:r>
    </w:p>
    <w:p w:rsidR="00925EDE" w:rsidRDefault="00925EDE">
      <w:bookmarkStart w:id="5" w:name="Frage_Nr_2_Ende"/>
      <w:bookmarkEnd w:id="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925EDE" w:rsidTr="007B0B33">
        <w:tc>
          <w:tcPr>
            <w:tcW w:w="2050" w:type="dxa"/>
          </w:tcPr>
          <w:p w:rsidR="00925EDE" w:rsidRDefault="00925EDE" w:rsidP="00925EDE">
            <w:pPr>
              <w:pStyle w:val="LTAnfrageInitiator"/>
            </w:pPr>
            <w:r>
              <w:lastRenderedPageBreak/>
              <w:t>Abgeordneter</w:t>
            </w:r>
            <w:r>
              <w:rPr>
                <w:b/>
              </w:rPr>
              <w:br/>
              <w:t>Roland</w:t>
            </w:r>
            <w:r>
              <w:rPr>
                <w:b/>
              </w:rPr>
              <w:br/>
              <w:t>Magerl</w:t>
            </w:r>
            <w:r>
              <w:rPr>
                <w:b/>
              </w:rPr>
              <w:br/>
            </w:r>
            <w:r>
              <w:t>(AfD)</w:t>
            </w:r>
            <w:bookmarkStart w:id="6" w:name="Frage_Nr_3"/>
            <w:bookmarkEnd w:id="6"/>
          </w:p>
        </w:tc>
        <w:tc>
          <w:tcPr>
            <w:tcW w:w="7200" w:type="dxa"/>
          </w:tcPr>
          <w:p w:rsidR="008D7D98" w:rsidRDefault="008D7D98" w:rsidP="00925EDE">
            <w:pPr>
              <w:pStyle w:val="LTAnfrageText"/>
            </w:pPr>
            <w:r w:rsidRPr="008D7D98">
              <w:t>Vor dem Hintergrund, dass das Pilotprojekt Telenotarzt bis 2018 lief und im Anschluss daran 2019 beschlossen wurde, den Telenotarzt bayernweit einzuführen und dann 2019 auch das Urteil zur Bereichsausnahme fiel, frage ich die Staatsregierung, wieso es zweieinhalb Jahre dauerte, bis die Rechtsgrundlagen im Bayerischen Rettungsdienstgesetz (BayRDG) nun angepasst werden, welche Einwände von den Verbänden gegen den Referentenentwurf des novellierten BayRDG vorgebracht wurden und wann mit einem innovativen BayRDG zu rechnen ist, das nicht nur äußere Zwänge umsetzt, sondern eine effektive Weiterentwicklung des Rettungsdienstes ermöglicht?</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 xml:space="preserve">Die Vorlage des Gesetzentwurfs der Staatsregierung zur Änderung des </w:t>
      </w:r>
      <w:r w:rsidR="00BF2711">
        <w:t>Bayerischen Rettungs</w:t>
      </w:r>
      <w:r>
        <w:t>dienstgesetzes (BayRDG) hat sowohl aufgrund außerge</w:t>
      </w:r>
      <w:r w:rsidR="00BF2711">
        <w:t>wöhnlicher Rahmenbedingungen be</w:t>
      </w:r>
      <w:r w:rsidR="00EC1D08">
        <w:t>dingt durch die seit März </w:t>
      </w:r>
      <w:r>
        <w:t xml:space="preserve">2020 andauernde </w:t>
      </w:r>
      <w:r w:rsidR="003439F1">
        <w:t>Coronapandemie</w:t>
      </w:r>
      <w:r w:rsidR="00BF2711">
        <w:t xml:space="preserve"> als auch erforderliche umfas</w:t>
      </w:r>
      <w:r>
        <w:t>sende Abstimmungen mit den am bayerischen Rettungsdienst</w:t>
      </w:r>
      <w:r w:rsidR="00BF2711">
        <w:t xml:space="preserve"> Beteiligten gewisse Zeit in An</w:t>
      </w:r>
      <w:r>
        <w:t>spruch genommen. Nach Durchführung der Verbandsanhörung</w:t>
      </w:r>
      <w:r w:rsidR="00BF2711">
        <w:t xml:space="preserve"> hat der Ministerrat den Gesetz</w:t>
      </w:r>
      <w:r w:rsidR="00EC1D08">
        <w:t>entwurf am 30. November </w:t>
      </w:r>
      <w:r>
        <w:t>2021 beschlossen und dem Landt</w:t>
      </w:r>
      <w:r w:rsidR="00BF2711">
        <w:t>ag zur weiteren verfassungsmäßi</w:t>
      </w:r>
      <w:r>
        <w:t>gen Behandlung zugeleitet.</w:t>
      </w:r>
    </w:p>
    <w:p w:rsidR="00925EDE" w:rsidRDefault="00925EDE" w:rsidP="00925EDE">
      <w:pPr>
        <w:pStyle w:val="LTAntwortRessortText"/>
      </w:pPr>
      <w:r>
        <w:t xml:space="preserve">Mit dem Gesetzentwurf der Staatsregierung zur Änderung des BayRDG sollen die sog. </w:t>
      </w:r>
      <w:r w:rsidR="003439F1">
        <w:t>„</w:t>
      </w:r>
      <w:r w:rsidR="00BF2711">
        <w:t>Be</w:t>
      </w:r>
      <w:r>
        <w:t>reichsausnahme Rettungsdienst</w:t>
      </w:r>
      <w:r w:rsidR="003439F1">
        <w:t>“</w:t>
      </w:r>
      <w:r>
        <w:t>, also die Vergabe von Rettungsdienstleistungen ausschließlich an gemeinnützige Organisationen oder Vereinigungen in einem verwaltungsrechtli</w:t>
      </w:r>
      <w:r w:rsidR="00EC1D08">
        <w:t>chen Aus</w:t>
      </w:r>
      <w:r>
        <w:t xml:space="preserve">wahlverfahren, umgesetzt sowie die Rechtsgrundlagen für die herausragenden und innovativen Digitalisierungsprojekte </w:t>
      </w:r>
      <w:r w:rsidR="003439F1">
        <w:t>„</w:t>
      </w:r>
      <w:r>
        <w:t>Telenotarzt</w:t>
      </w:r>
      <w:r w:rsidR="003439F1">
        <w:t>“</w:t>
      </w:r>
      <w:r>
        <w:t xml:space="preserve"> und </w:t>
      </w:r>
      <w:r w:rsidR="003439F1">
        <w:t>„</w:t>
      </w:r>
      <w:r>
        <w:t>Notfallregister</w:t>
      </w:r>
      <w:r w:rsidR="003439F1">
        <w:t>“</w:t>
      </w:r>
      <w:r>
        <w:t xml:space="preserve"> geschaffen werden. Hiermit kann das hohe Niveau des bayerischen Rettungsdienstes langfristig </w:t>
      </w:r>
      <w:r w:rsidR="00BF2711">
        <w:t>sichergestellt und der Rettungs</w:t>
      </w:r>
      <w:r>
        <w:t>dienst an die sich verändernden gesellschaftlichen, digitale</w:t>
      </w:r>
      <w:r w:rsidR="00BF2711">
        <w:t>n und wirtschaftlichen Rahmenbe</w:t>
      </w:r>
      <w:r>
        <w:t>dingungen angepasst werden.</w:t>
      </w:r>
    </w:p>
    <w:p w:rsidR="00925EDE" w:rsidRDefault="00925EDE" w:rsidP="002D69DA">
      <w:pPr>
        <w:pStyle w:val="LTAntwortRessortText"/>
      </w:pPr>
      <w:r>
        <w:t>Im Rahmen der durchgeführten Verbandsanhörung hat sich gezeigt, dass für den Gesetzentwurf</w:t>
      </w:r>
      <w:r w:rsidR="00635D70">
        <w:t xml:space="preserve"> </w:t>
      </w:r>
      <w:r>
        <w:t>zur Änderung des BayRDG mit seinen oben genannten Kernregelungen eine breite Unterstützung</w:t>
      </w:r>
      <w:r w:rsidR="00635D70">
        <w:t xml:space="preserve"> </w:t>
      </w:r>
      <w:r>
        <w:t>bei allen am Rettungsdienst Beteiligten besteht. Diskussionspunkte waren insbesondere</w:t>
      </w:r>
      <w:r w:rsidR="00635D70">
        <w:t xml:space="preserve"> </w:t>
      </w:r>
      <w:r>
        <w:t xml:space="preserve">die konkrete Umsetzung der </w:t>
      </w:r>
      <w:r w:rsidR="003439F1">
        <w:t>„</w:t>
      </w:r>
      <w:r>
        <w:t>Bereichsausnahme Rettungsdienst</w:t>
      </w:r>
      <w:r w:rsidR="003439F1">
        <w:t>“</w:t>
      </w:r>
      <w:r>
        <w:t xml:space="preserve"> sowie der Umgang mit dem</w:t>
      </w:r>
      <w:r w:rsidR="00635D70">
        <w:t xml:space="preserve"> </w:t>
      </w:r>
      <w:r>
        <w:t>sog. Interhospital-Transfer.</w:t>
      </w:r>
      <w:r w:rsidR="002D69DA">
        <w:t xml:space="preserve"> </w:t>
      </w:r>
      <w:bookmarkStart w:id="7" w:name="Frage_Nr_3_Ende"/>
      <w:bookmarkEnd w:id="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25EDE" w:rsidTr="007B0B33">
        <w:tc>
          <w:tcPr>
            <w:tcW w:w="2050" w:type="dxa"/>
          </w:tcPr>
          <w:p w:rsidR="00925EDE" w:rsidRDefault="00925EDE" w:rsidP="00925EDE">
            <w:pPr>
              <w:pStyle w:val="LTAnfrageInitiator"/>
            </w:pPr>
            <w:r>
              <w:lastRenderedPageBreak/>
              <w:t>Abgeordneter</w:t>
            </w:r>
            <w:r>
              <w:rPr>
                <w:b/>
              </w:rPr>
              <w:br/>
              <w:t>Florian</w:t>
            </w:r>
            <w:r>
              <w:rPr>
                <w:b/>
              </w:rPr>
              <w:br/>
              <w:t>Ritter</w:t>
            </w:r>
            <w:r>
              <w:rPr>
                <w:b/>
              </w:rPr>
              <w:br/>
            </w:r>
            <w:r>
              <w:t>(SPD)</w:t>
            </w:r>
            <w:bookmarkStart w:id="8" w:name="Frage_Nr_4"/>
            <w:bookmarkEnd w:id="8"/>
          </w:p>
        </w:tc>
        <w:tc>
          <w:tcPr>
            <w:tcW w:w="7200" w:type="dxa"/>
          </w:tcPr>
          <w:p w:rsidR="00925EDE" w:rsidRDefault="003A60A1" w:rsidP="00925EDE">
            <w:pPr>
              <w:pStyle w:val="LTAnfrageText"/>
            </w:pPr>
            <w:r w:rsidRPr="00DC70A7">
              <w:t>Ich frage sie Staatsregierung in Anbetracht der Tatsache, dass nach dem Koalitionsvertrag der künftigen Bundesregierung – bestehend aus SPD, Grünen und FDP – Kinder und Jugendliche grundsätzlich nicht mehr in Abschiebehaft kommen sollen und Familien aufgrund der Abschiebepraxis bayerischer Behörden hin und wieder während eines Abschiebevorganges getrennt werden, obwohl sie nach Art. 6 im Grundgesetz (GG) unter einem besonderen Schutz stehen, zu wie vielen Familientrennungen es jeweils in den Jahren 2020 und 2021 aufgrund eines (Teil-)Abschiebevorgangs aus bayerischer Zuständigkeit kam (auch unter Berücksichtigung von nichtehelichen Eltern-Kind-Beziehungen), wie viele Kinder, Jugendliche und junge Heranwachsende (bitte aufgeschlüsselt nach Altersgruppen 0 bis unter 16 Jahren, 16 bis unter 18 Jahren, 18 bis unter 25 Jahren angeben) sich jeweils in den Jahren 2020 und 2021 in Gewahrsam zur vorbereitenden Abschiebung befanden (bitte aufgeschlüsselt nach Abschiebehafteinrichtung und anderen Einrichtungen angeben) und wie viele versuchte und tatsächliche Abschiebungen von Kindern, Jugendlichen und jungen Heranwachsenden (bitte aufgeschlüsselt nach Altersgruppen 0 bis unter 16 Jahren, 16 bis unter 18 Jahren, 18 bis unter 25 Jahren angeben) es jeweils in den Jahren 2020 und 2021 gab (bitte aufgeschlüsselt nach Nationalität angeben)?</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Die im Bundes-Koa</w:t>
      </w:r>
      <w:r w:rsidR="00E86C09">
        <w:t>litionsvertrag von SPD, Bündnis </w:t>
      </w:r>
      <w:r>
        <w:t>90/Di</w:t>
      </w:r>
      <w:r w:rsidR="00E86C09">
        <w:t>e </w:t>
      </w:r>
      <w:r w:rsidR="00BF2711">
        <w:t>Grünen und FDP getroffene Aus</w:t>
      </w:r>
      <w:r w:rsidR="00E86C09">
        <w:t>sage (Z. </w:t>
      </w:r>
      <w:r>
        <w:t xml:space="preserve">4732) </w:t>
      </w:r>
      <w:r w:rsidR="003439F1">
        <w:t>„</w:t>
      </w:r>
      <w:r>
        <w:t>Wir werden unserer besonderen humanitäre</w:t>
      </w:r>
      <w:r w:rsidR="00BF2711">
        <w:t>n Verantwortung gerecht und Kin</w:t>
      </w:r>
      <w:r>
        <w:t>der und Jugendliche grundsätzlich nicht in Abschiebehaft nehmen.</w:t>
      </w:r>
      <w:r w:rsidR="003439F1">
        <w:t>“</w:t>
      </w:r>
      <w:r w:rsidR="00E86C09">
        <w:t xml:space="preserve"> –</w:t>
      </w:r>
      <w:r>
        <w:t xml:space="preserve"> auf die die Anfrage i</w:t>
      </w:r>
      <w:r w:rsidR="00E86C09">
        <w:t>n ihrer Einleitung Bezug nimmt –</w:t>
      </w:r>
      <w:r>
        <w:t xml:space="preserve"> wird in Bayern bereits gelebt</w:t>
      </w:r>
      <w:r w:rsidR="00BF2711">
        <w:t>, denn bayerische Behörden voll</w:t>
      </w:r>
      <w:r>
        <w:t>ziehen grundsätzlich keine Abschiebungshaft an Minderjähri</w:t>
      </w:r>
      <w:r w:rsidR="00BF2711">
        <w:t>gen. Folglich waren im angefrag</w:t>
      </w:r>
      <w:r>
        <w:t>ten Zeitraum auch keine Minderjährigen inhaftiert; auf die Antwort der Bundesregierung auf die Frage 8 der Großen Anfrage der Frakt</w:t>
      </w:r>
      <w:r w:rsidR="00E86C09">
        <w:t>ion DIE </w:t>
      </w:r>
      <w:r>
        <w:t xml:space="preserve">LINKE </w:t>
      </w:r>
      <w:r w:rsidR="003439F1">
        <w:t>„</w:t>
      </w:r>
      <w:r>
        <w:t>Praxis der Abschiebungshaft seit 2018</w:t>
      </w:r>
      <w:r w:rsidR="003439F1">
        <w:t>“</w:t>
      </w:r>
      <w:r w:rsidR="00E86C09">
        <w:t>, BT-Drs. </w:t>
      </w:r>
      <w:r>
        <w:t>19/31669 wird Bezug genommen.</w:t>
      </w:r>
    </w:p>
    <w:p w:rsidR="00925EDE" w:rsidRDefault="00364440" w:rsidP="00925EDE">
      <w:pPr>
        <w:pStyle w:val="LTAntwortRessortText"/>
      </w:pPr>
      <w:r>
        <w:t>Im Jahr 2020 waren 255 Personen und im Jahr 2021 (bis 30.11.2021) 323 </w:t>
      </w:r>
      <w:r w:rsidR="00925EDE">
        <w:t>Personen im Alter zwischen 18 und unter 25 Jahren in bayerischen Abschiebungshafteinrichtungen inhaftiert. Sonstige Einrichtungen in bayerischer Zuständigkeit, in denen Abschiebehaft vollzogen wird, bestehen nicht.</w:t>
      </w:r>
    </w:p>
    <w:p w:rsidR="00925EDE" w:rsidRDefault="00925EDE" w:rsidP="00925EDE">
      <w:pPr>
        <w:pStyle w:val="LTAntwortRessortText"/>
      </w:pPr>
      <w:r>
        <w:t xml:space="preserve">Grundsätzlich sind Familientrennungen im Rahmen einer Rückführungsmaßnahme gemäß der bestehenden bundesgesetzlichen Rechtslage möglich, werden </w:t>
      </w:r>
      <w:r w:rsidR="00BF2711">
        <w:t>in Bayern jedoch nur nach beson</w:t>
      </w:r>
      <w:r>
        <w:t>derer Prüfung des Einzelfalls in Ausnahmefällen durchgeführt. In jedem Fall werden betroffene Familien vor einer Abschiebung über die durch die Abschiebung mögliche Familientrennung beraten und belehrt. Auch wird stets auf die freiwillige Ausre</w:t>
      </w:r>
      <w:r w:rsidR="00BF2711">
        <w:t>ise im Familienverbund, über de</w:t>
      </w:r>
      <w:r>
        <w:t xml:space="preserve">ren mögliche organisatorische und finanzielle Förderung eine umfassende Beratung angeboten wird, hingewiesen. Zudem werden Betroffene, falls eine Ausreise </w:t>
      </w:r>
      <w:r w:rsidR="00BF2711">
        <w:t>im Familienverbund auf</w:t>
      </w:r>
      <w:r>
        <w:t xml:space="preserve">grund der Umstände nicht in Betracht kommt und das Visumverfahren erfolgsversprechend erscheint, auf dieses hingewiesen. Soweit die aufgezeigten Möglichkeiten konsequent abgelehnt werden, sind die Ausländerbehörden verpflichtet, die </w:t>
      </w:r>
      <w:r>
        <w:lastRenderedPageBreak/>
        <w:t>Ausreisep</w:t>
      </w:r>
      <w:r w:rsidR="00364440">
        <w:t>flicht bei vollziehbar ausreise</w:t>
      </w:r>
      <w:r>
        <w:t>pflichtigen Personen zu vollziehen. Dabei werden Familien grundsätzlich im Familienverbund rückgeführt. Von diesem Grundsatz kann im Einzelfall a</w:t>
      </w:r>
      <w:r w:rsidR="00BF2711">
        <w:t>bgewichen werden, wenn die Tren</w:t>
      </w:r>
      <w:r>
        <w:t>nung der Familie aufgrund des eigenmächtigen Verhaltens ei</w:t>
      </w:r>
      <w:r w:rsidR="00BF2711">
        <w:t>nes Familienmitglieds selbstver</w:t>
      </w:r>
      <w:r>
        <w:t>schuldet erfolgt, beispielshaft, wenn ein Familienmitglied untertaucht. Unabhängig von diesen Voraussetzungen hat die Aufenthaltsbeendigung von Straftätern, Gefährdern und Personen, die durch Gewalttaten oder Randale auffällig wurden, auch bei bestehendem Familienverbund höchste Priorität.</w:t>
      </w:r>
    </w:p>
    <w:p w:rsidR="00925EDE" w:rsidRDefault="00925EDE" w:rsidP="00925EDE">
      <w:pPr>
        <w:pStyle w:val="LTAntwortRessortText"/>
      </w:pPr>
      <w:r>
        <w:t xml:space="preserve">Zur Anzahl der versuchten und tatsächlichen Abschiebungen von minderjährigen Ausländern war es in der Kürze der Zeit lediglich möglich, die Zahlen der </w:t>
      </w:r>
      <w:r w:rsidR="00460BD5">
        <w:t>Luftabschiebungen in den Jahren </w:t>
      </w:r>
      <w:r>
        <w:t>2020 und 2021 nach den angefragten Kriterien auszuwerten. Abschiebungen auf dem Land- bzw. Seeweg sind somit nicht in den Zahlen enthalten. Weitergehende statistisch auswertbare Daten zu Familientrennungen aufgrund von Abschiebung aus bayerischer Zuständigkeit stehen nicht zur Verfügung und können weder in der Kürze der Ze</w:t>
      </w:r>
      <w:r w:rsidR="00BF2711">
        <w:t>it, die zur Beantwortung der An</w:t>
      </w:r>
      <w:r>
        <w:t>frage zur Verfügung steht, noch grundsätzlich aufgrund de</w:t>
      </w:r>
      <w:r w:rsidR="00460BD5">
        <w:t>s damit verbundenen Verwaltungs</w:t>
      </w:r>
      <w:r>
        <w:t>aufwands erhoben werden, da eine Abfrage aller 96 örtlichen</w:t>
      </w:r>
      <w:r w:rsidR="00BF2711">
        <w:t xml:space="preserve"> sowie der sieben Zentralen Aus</w:t>
      </w:r>
      <w:r>
        <w:t>länderbehörden und eine händische Auswertung der dort vorhandenen Akten notwendig wäre.</w:t>
      </w:r>
    </w:p>
    <w:p w:rsidR="00925EDE" w:rsidRDefault="00925EDE" w:rsidP="00925EDE">
      <w:pPr>
        <w:pStyle w:val="LTAntwortRessortText"/>
      </w:pPr>
      <w:r>
        <w:t>Die Zahlen können sich auf Grund von Nacherfassungen ggf. noch ändern</w:t>
      </w:r>
      <w:r w:rsidR="00460BD5">
        <w:t xml:space="preserve"> und sind für das erste Quartal </w:t>
      </w:r>
      <w:r>
        <w:t>2020 nicht vollständig, da in diesem Zeitra</w:t>
      </w:r>
      <w:r w:rsidR="00BF2711">
        <w:t>um übergangsweise neben dem Lan</w:t>
      </w:r>
      <w:r>
        <w:t>desamt für Asyl und Rückführungen auch die Besondere Aufbauorganisation Schubwesen an der Bearbeitung der Schubanträge geringfügig beteiligt war.</w:t>
      </w:r>
      <w:r w:rsidR="00BF2711">
        <w:t xml:space="preserve"> Die Daten zu den in die Zustän</w:t>
      </w:r>
      <w:r>
        <w:t xml:space="preserve">digkeit der </w:t>
      </w:r>
      <w:r w:rsidR="00460BD5">
        <w:t>Bundesabgabenordnung (</w:t>
      </w:r>
      <w:r>
        <w:t>BAO</w:t>
      </w:r>
      <w:r w:rsidR="00460BD5">
        <w:t>)</w:t>
      </w:r>
      <w:r>
        <w:t xml:space="preserve"> Schubwesen fallenden Rückführungsmaß</w:t>
      </w:r>
      <w:r w:rsidR="00BF2711">
        <w:t>nahmen sind in der folgenden Ta</w:t>
      </w:r>
      <w:r>
        <w:t>belle nicht enthalten.</w:t>
      </w:r>
    </w:p>
    <w:p w:rsidR="00925EDE" w:rsidRDefault="00925EDE" w:rsidP="00925EDE">
      <w:pPr>
        <w:pStyle w:val="LTAntwortRessortText"/>
      </w:pPr>
    </w:p>
    <w:tbl>
      <w:tblPr>
        <w:tblStyle w:val="TableNormal"/>
        <w:tblW w:w="737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419"/>
        <w:gridCol w:w="1274"/>
        <w:gridCol w:w="1418"/>
        <w:gridCol w:w="10"/>
        <w:gridCol w:w="1264"/>
        <w:gridCol w:w="12"/>
      </w:tblGrid>
      <w:tr w:rsidR="00635D70" w:rsidRPr="006E668B" w:rsidTr="006E668B">
        <w:trPr>
          <w:gridAfter w:val="1"/>
          <w:wAfter w:w="12" w:type="dxa"/>
          <w:trHeight w:val="414"/>
        </w:trPr>
        <w:tc>
          <w:tcPr>
            <w:tcW w:w="1979" w:type="dxa"/>
            <w:vMerge w:val="restart"/>
          </w:tcPr>
          <w:p w:rsidR="00635D70" w:rsidRPr="006E668B" w:rsidRDefault="00635D70" w:rsidP="00C162EC">
            <w:pPr>
              <w:pStyle w:val="TableParagraph"/>
              <w:spacing w:line="240" w:lineRule="auto"/>
              <w:ind w:left="0"/>
              <w:rPr>
                <w:rFonts w:ascii="Arial" w:hAnsi="Arial" w:cs="Arial"/>
                <w:sz w:val="18"/>
                <w:szCs w:val="18"/>
              </w:rPr>
            </w:pPr>
          </w:p>
          <w:p w:rsidR="00635D70" w:rsidRPr="006E668B" w:rsidRDefault="00635D70" w:rsidP="00C162EC">
            <w:pPr>
              <w:pStyle w:val="TableParagraph"/>
              <w:spacing w:before="8" w:line="240" w:lineRule="auto"/>
              <w:ind w:left="0"/>
              <w:rPr>
                <w:rFonts w:ascii="Arial" w:hAnsi="Arial" w:cs="Arial"/>
                <w:sz w:val="18"/>
                <w:szCs w:val="18"/>
              </w:rPr>
            </w:pPr>
          </w:p>
          <w:p w:rsidR="00635D70" w:rsidRPr="006E668B" w:rsidRDefault="00635D70" w:rsidP="00C162EC">
            <w:pPr>
              <w:pStyle w:val="TableParagraph"/>
              <w:spacing w:before="1" w:line="240" w:lineRule="auto"/>
              <w:ind w:left="69"/>
              <w:rPr>
                <w:rFonts w:ascii="Arial" w:hAnsi="Arial" w:cs="Arial"/>
                <w:b/>
                <w:sz w:val="18"/>
                <w:szCs w:val="18"/>
              </w:rPr>
            </w:pPr>
            <w:r w:rsidRPr="006E668B">
              <w:rPr>
                <w:rFonts w:ascii="Arial" w:hAnsi="Arial" w:cs="Arial"/>
                <w:b/>
                <w:sz w:val="18"/>
                <w:szCs w:val="18"/>
              </w:rPr>
              <w:t>0 -16 Jahre</w:t>
            </w:r>
          </w:p>
        </w:tc>
        <w:tc>
          <w:tcPr>
            <w:tcW w:w="2693" w:type="dxa"/>
            <w:gridSpan w:val="2"/>
          </w:tcPr>
          <w:p w:rsidR="00635D70" w:rsidRPr="006E668B" w:rsidRDefault="00635D70" w:rsidP="00C162EC">
            <w:pPr>
              <w:pStyle w:val="TableParagraph"/>
              <w:spacing w:line="275" w:lineRule="exact"/>
              <w:rPr>
                <w:rFonts w:ascii="Arial" w:hAnsi="Arial" w:cs="Arial"/>
                <w:b/>
                <w:sz w:val="18"/>
                <w:szCs w:val="18"/>
              </w:rPr>
            </w:pPr>
            <w:r w:rsidRPr="006E668B">
              <w:rPr>
                <w:rFonts w:ascii="Arial" w:hAnsi="Arial" w:cs="Arial"/>
                <w:b/>
                <w:sz w:val="18"/>
                <w:szCs w:val="18"/>
              </w:rPr>
              <w:t>2020</w:t>
            </w:r>
          </w:p>
        </w:tc>
        <w:tc>
          <w:tcPr>
            <w:tcW w:w="2692" w:type="dxa"/>
            <w:gridSpan w:val="3"/>
          </w:tcPr>
          <w:p w:rsidR="00635D70" w:rsidRPr="006E668B" w:rsidRDefault="00635D70" w:rsidP="00C162EC">
            <w:pPr>
              <w:pStyle w:val="TableParagraph"/>
              <w:spacing w:line="275" w:lineRule="exact"/>
              <w:rPr>
                <w:rFonts w:ascii="Arial" w:hAnsi="Arial" w:cs="Arial"/>
                <w:b/>
                <w:sz w:val="18"/>
                <w:szCs w:val="18"/>
              </w:rPr>
            </w:pPr>
            <w:r w:rsidRPr="006E668B">
              <w:rPr>
                <w:rFonts w:ascii="Arial" w:hAnsi="Arial" w:cs="Arial"/>
                <w:b/>
                <w:sz w:val="18"/>
                <w:szCs w:val="18"/>
              </w:rPr>
              <w:t>2021</w:t>
            </w:r>
          </w:p>
        </w:tc>
      </w:tr>
      <w:tr w:rsidR="00635D70" w:rsidRPr="006E668B" w:rsidTr="006E668B">
        <w:trPr>
          <w:gridAfter w:val="1"/>
          <w:wAfter w:w="12" w:type="dxa"/>
          <w:trHeight w:val="1242"/>
        </w:trPr>
        <w:tc>
          <w:tcPr>
            <w:tcW w:w="1979" w:type="dxa"/>
            <w:vMerge/>
          </w:tcPr>
          <w:p w:rsidR="00635D70" w:rsidRPr="006E668B" w:rsidRDefault="00635D70" w:rsidP="00C162EC">
            <w:pPr>
              <w:rPr>
                <w:rFonts w:cs="Arial"/>
                <w:sz w:val="18"/>
                <w:szCs w:val="18"/>
              </w:rPr>
            </w:pPr>
          </w:p>
        </w:tc>
        <w:tc>
          <w:tcPr>
            <w:tcW w:w="1419" w:type="dxa"/>
          </w:tcPr>
          <w:p w:rsidR="00635D70" w:rsidRPr="006E668B" w:rsidRDefault="006F4706" w:rsidP="006E668B">
            <w:pPr>
              <w:pStyle w:val="TableParagraph"/>
              <w:spacing w:line="275" w:lineRule="exact"/>
              <w:rPr>
                <w:rFonts w:ascii="Arial" w:hAnsi="Arial" w:cs="Arial"/>
                <w:b/>
                <w:sz w:val="18"/>
                <w:szCs w:val="18"/>
              </w:rPr>
            </w:pPr>
            <w:r>
              <w:rPr>
                <w:rFonts w:ascii="Arial" w:hAnsi="Arial" w:cs="Arial"/>
                <w:b/>
                <w:sz w:val="18"/>
                <w:szCs w:val="18"/>
              </w:rPr>
              <w:t>e</w:t>
            </w:r>
            <w:r w:rsidR="00635D70" w:rsidRPr="006E668B">
              <w:rPr>
                <w:rFonts w:ascii="Arial" w:hAnsi="Arial" w:cs="Arial"/>
                <w:b/>
                <w:sz w:val="18"/>
                <w:szCs w:val="18"/>
              </w:rPr>
              <w:t>rfolgreiche</w:t>
            </w:r>
            <w:r w:rsidR="006E668B">
              <w:rPr>
                <w:rFonts w:ascii="Arial" w:hAnsi="Arial" w:cs="Arial"/>
                <w:b/>
                <w:sz w:val="18"/>
                <w:szCs w:val="18"/>
              </w:rPr>
              <w:t xml:space="preserve"> Abschie-</w:t>
            </w:r>
            <w:r w:rsidR="00635D70" w:rsidRPr="006E668B">
              <w:rPr>
                <w:rFonts w:ascii="Arial" w:hAnsi="Arial" w:cs="Arial"/>
                <w:b/>
                <w:sz w:val="18"/>
                <w:szCs w:val="18"/>
              </w:rPr>
              <w:t>bungen</w:t>
            </w:r>
          </w:p>
        </w:tc>
        <w:tc>
          <w:tcPr>
            <w:tcW w:w="1274" w:type="dxa"/>
          </w:tcPr>
          <w:p w:rsidR="00635D70" w:rsidRPr="006E668B" w:rsidRDefault="006F4706" w:rsidP="006E668B">
            <w:pPr>
              <w:pStyle w:val="TableParagraph"/>
              <w:spacing w:line="275" w:lineRule="exact"/>
              <w:ind w:left="68"/>
              <w:rPr>
                <w:rFonts w:ascii="Arial" w:hAnsi="Arial" w:cs="Arial"/>
                <w:b/>
                <w:sz w:val="18"/>
                <w:szCs w:val="18"/>
              </w:rPr>
            </w:pPr>
            <w:r>
              <w:rPr>
                <w:rFonts w:ascii="Arial" w:hAnsi="Arial" w:cs="Arial"/>
                <w:b/>
                <w:sz w:val="18"/>
                <w:szCs w:val="18"/>
              </w:rPr>
              <w:t>v</w:t>
            </w:r>
            <w:r w:rsidR="00635D70" w:rsidRPr="006E668B">
              <w:rPr>
                <w:rFonts w:ascii="Arial" w:hAnsi="Arial" w:cs="Arial"/>
                <w:b/>
                <w:sz w:val="18"/>
                <w:szCs w:val="18"/>
              </w:rPr>
              <w:t>ersuchte</w:t>
            </w:r>
            <w:r w:rsidR="006E668B">
              <w:rPr>
                <w:rFonts w:ascii="Arial" w:hAnsi="Arial" w:cs="Arial"/>
                <w:b/>
                <w:sz w:val="18"/>
                <w:szCs w:val="18"/>
              </w:rPr>
              <w:t xml:space="preserve"> Abschie-</w:t>
            </w:r>
            <w:r w:rsidR="00635D70" w:rsidRPr="006E668B">
              <w:rPr>
                <w:rFonts w:ascii="Arial" w:hAnsi="Arial" w:cs="Arial"/>
                <w:b/>
                <w:sz w:val="18"/>
                <w:szCs w:val="18"/>
              </w:rPr>
              <w:t>bungen</w:t>
            </w:r>
          </w:p>
        </w:tc>
        <w:tc>
          <w:tcPr>
            <w:tcW w:w="1418" w:type="dxa"/>
          </w:tcPr>
          <w:p w:rsidR="00635D70" w:rsidRPr="006E668B" w:rsidRDefault="006F4706" w:rsidP="006E668B">
            <w:pPr>
              <w:pStyle w:val="TableParagraph"/>
              <w:spacing w:line="275" w:lineRule="exact"/>
              <w:rPr>
                <w:rFonts w:ascii="Arial" w:hAnsi="Arial" w:cs="Arial"/>
                <w:b/>
                <w:sz w:val="18"/>
                <w:szCs w:val="18"/>
              </w:rPr>
            </w:pPr>
            <w:r>
              <w:rPr>
                <w:rFonts w:ascii="Arial" w:hAnsi="Arial" w:cs="Arial"/>
                <w:b/>
                <w:sz w:val="18"/>
                <w:szCs w:val="18"/>
              </w:rPr>
              <w:t>e</w:t>
            </w:r>
            <w:r w:rsidR="00635D70" w:rsidRPr="006E668B">
              <w:rPr>
                <w:rFonts w:ascii="Arial" w:hAnsi="Arial" w:cs="Arial"/>
                <w:b/>
                <w:sz w:val="18"/>
                <w:szCs w:val="18"/>
              </w:rPr>
              <w:t>rfolgreiche</w:t>
            </w:r>
            <w:r w:rsidR="006E668B">
              <w:rPr>
                <w:rFonts w:ascii="Arial" w:hAnsi="Arial" w:cs="Arial"/>
                <w:b/>
                <w:sz w:val="18"/>
                <w:szCs w:val="18"/>
              </w:rPr>
              <w:t xml:space="preserve"> Abschie-</w:t>
            </w:r>
            <w:r w:rsidR="00635D70" w:rsidRPr="006E668B">
              <w:rPr>
                <w:rFonts w:ascii="Arial" w:hAnsi="Arial" w:cs="Arial"/>
                <w:b/>
                <w:sz w:val="18"/>
                <w:szCs w:val="18"/>
              </w:rPr>
              <w:t>bungen</w:t>
            </w:r>
          </w:p>
        </w:tc>
        <w:tc>
          <w:tcPr>
            <w:tcW w:w="1274" w:type="dxa"/>
            <w:gridSpan w:val="2"/>
          </w:tcPr>
          <w:p w:rsidR="00635D70" w:rsidRPr="006E668B" w:rsidRDefault="006F4706" w:rsidP="006E668B">
            <w:pPr>
              <w:pStyle w:val="TableParagraph"/>
              <w:spacing w:line="275" w:lineRule="exact"/>
              <w:ind w:left="70"/>
              <w:rPr>
                <w:rFonts w:ascii="Arial" w:hAnsi="Arial" w:cs="Arial"/>
                <w:b/>
                <w:sz w:val="18"/>
                <w:szCs w:val="18"/>
              </w:rPr>
            </w:pPr>
            <w:r>
              <w:rPr>
                <w:rFonts w:ascii="Arial" w:hAnsi="Arial" w:cs="Arial"/>
                <w:b/>
                <w:sz w:val="18"/>
                <w:szCs w:val="18"/>
              </w:rPr>
              <w:t>v</w:t>
            </w:r>
            <w:r w:rsidR="00635D70" w:rsidRPr="006E668B">
              <w:rPr>
                <w:rFonts w:ascii="Arial" w:hAnsi="Arial" w:cs="Arial"/>
                <w:b/>
                <w:sz w:val="18"/>
                <w:szCs w:val="18"/>
              </w:rPr>
              <w:t>ersuchte</w:t>
            </w:r>
            <w:r w:rsidR="006E668B">
              <w:rPr>
                <w:rFonts w:ascii="Arial" w:hAnsi="Arial" w:cs="Arial"/>
                <w:b/>
                <w:sz w:val="18"/>
                <w:szCs w:val="18"/>
              </w:rPr>
              <w:t xml:space="preserve"> Abschie-</w:t>
            </w:r>
            <w:r w:rsidR="00635D70" w:rsidRPr="006E668B">
              <w:rPr>
                <w:rFonts w:ascii="Arial" w:hAnsi="Arial" w:cs="Arial"/>
                <w:b/>
                <w:sz w:val="18"/>
                <w:szCs w:val="18"/>
              </w:rPr>
              <w:t>bungen</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spacing w:line="271" w:lineRule="exact"/>
              <w:ind w:left="69"/>
              <w:rPr>
                <w:rFonts w:ascii="Arial" w:hAnsi="Arial" w:cs="Arial"/>
                <w:sz w:val="18"/>
                <w:szCs w:val="18"/>
              </w:rPr>
            </w:pPr>
            <w:r w:rsidRPr="006E668B">
              <w:rPr>
                <w:rFonts w:ascii="Arial" w:hAnsi="Arial" w:cs="Arial"/>
                <w:sz w:val="18"/>
                <w:szCs w:val="18"/>
              </w:rPr>
              <w:t>afghanisch</w:t>
            </w:r>
          </w:p>
        </w:tc>
        <w:tc>
          <w:tcPr>
            <w:tcW w:w="1419" w:type="dxa"/>
          </w:tcPr>
          <w:p w:rsidR="00635D70" w:rsidRPr="006E668B" w:rsidRDefault="00635D70" w:rsidP="006E668B">
            <w:pPr>
              <w:pStyle w:val="TableParagraph"/>
              <w:spacing w:line="271"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spacing w:line="271" w:lineRule="exact"/>
              <w:ind w:left="6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1" w:lineRule="exact"/>
              <w:jc w:val="center"/>
              <w:rPr>
                <w:rFonts w:ascii="Arial" w:hAnsi="Arial" w:cs="Arial"/>
                <w:sz w:val="18"/>
                <w:szCs w:val="18"/>
              </w:rPr>
            </w:pPr>
            <w:r w:rsidRPr="006E668B">
              <w:rPr>
                <w:rFonts w:ascii="Arial" w:hAnsi="Arial" w:cs="Arial"/>
                <w:sz w:val="18"/>
                <w:szCs w:val="18"/>
              </w:rPr>
              <w:t>4</w:t>
            </w:r>
          </w:p>
        </w:tc>
        <w:tc>
          <w:tcPr>
            <w:tcW w:w="1274" w:type="dxa"/>
            <w:gridSpan w:val="2"/>
          </w:tcPr>
          <w:p w:rsidR="00635D70" w:rsidRPr="006E668B" w:rsidRDefault="00635D70" w:rsidP="006E668B">
            <w:pPr>
              <w:pStyle w:val="TableParagraph"/>
              <w:spacing w:line="271" w:lineRule="exact"/>
              <w:ind w:left="7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2"/>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albanisch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9</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3</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armenisch</w:t>
            </w:r>
          </w:p>
        </w:tc>
        <w:tc>
          <w:tcPr>
            <w:tcW w:w="1419"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tcPr>
          <w:p w:rsidR="00635D70" w:rsidRPr="006E668B" w:rsidRDefault="00635D70" w:rsidP="006E668B">
            <w:pPr>
              <w:pStyle w:val="TableParagraph"/>
              <w:spacing w:line="272" w:lineRule="exact"/>
              <w:ind w:left="6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20</w:t>
            </w:r>
          </w:p>
        </w:tc>
        <w:tc>
          <w:tcPr>
            <w:tcW w:w="1274" w:type="dxa"/>
            <w:gridSpan w:val="2"/>
          </w:tcPr>
          <w:p w:rsidR="00635D70" w:rsidRPr="006E668B" w:rsidRDefault="00635D70" w:rsidP="006E668B">
            <w:pPr>
              <w:pStyle w:val="TableParagraph"/>
              <w:spacing w:line="272" w:lineRule="exact"/>
              <w:ind w:left="7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aserbaidschanisch</w:t>
            </w:r>
          </w:p>
        </w:tc>
        <w:tc>
          <w:tcPr>
            <w:tcW w:w="1419"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13</w:t>
            </w:r>
          </w:p>
        </w:tc>
        <w:tc>
          <w:tcPr>
            <w:tcW w:w="1274" w:type="dxa"/>
          </w:tcPr>
          <w:p w:rsidR="00635D70" w:rsidRPr="006E668B" w:rsidRDefault="00635D70" w:rsidP="006E668B">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15</w:t>
            </w:r>
          </w:p>
        </w:tc>
        <w:tc>
          <w:tcPr>
            <w:tcW w:w="1274" w:type="dxa"/>
            <w:gridSpan w:val="2"/>
          </w:tcPr>
          <w:p w:rsidR="00635D70" w:rsidRPr="006E668B" w:rsidRDefault="00635D70"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äthiopisch</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2</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belarussisch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2</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827"/>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bosnisch-herzego-</w:t>
            </w:r>
          </w:p>
          <w:p w:rsidR="00635D70" w:rsidRPr="006E668B" w:rsidRDefault="00635D70" w:rsidP="00C162EC">
            <w:pPr>
              <w:pStyle w:val="TableParagraph"/>
              <w:spacing w:before="137" w:line="240" w:lineRule="auto"/>
              <w:ind w:left="69"/>
              <w:rPr>
                <w:rFonts w:ascii="Arial" w:hAnsi="Arial" w:cs="Arial"/>
                <w:sz w:val="18"/>
                <w:szCs w:val="18"/>
              </w:rPr>
            </w:pPr>
            <w:r w:rsidRPr="006E668B">
              <w:rPr>
                <w:rFonts w:ascii="Arial" w:hAnsi="Arial" w:cs="Arial"/>
                <w:sz w:val="18"/>
                <w:szCs w:val="18"/>
              </w:rPr>
              <w:t>winisch</w:t>
            </w:r>
          </w:p>
        </w:tc>
        <w:tc>
          <w:tcPr>
            <w:tcW w:w="1419" w:type="dxa"/>
          </w:tcPr>
          <w:p w:rsidR="00635D70" w:rsidRPr="006E668B" w:rsidRDefault="00635D70" w:rsidP="006E668B">
            <w:pPr>
              <w:pStyle w:val="TableParagraph"/>
              <w:spacing w:line="240" w:lineRule="auto"/>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spacing w:line="240" w:lineRule="auto"/>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40" w:lineRule="auto"/>
              <w:jc w:val="center"/>
              <w:rPr>
                <w:rFonts w:ascii="Arial" w:hAnsi="Arial" w:cs="Arial"/>
                <w:sz w:val="18"/>
                <w:szCs w:val="18"/>
              </w:rPr>
            </w:pPr>
            <w:r w:rsidRPr="006E668B">
              <w:rPr>
                <w:rFonts w:ascii="Arial" w:hAnsi="Arial" w:cs="Arial"/>
                <w:sz w:val="18"/>
                <w:szCs w:val="18"/>
              </w:rPr>
              <w:t>1</w:t>
            </w:r>
          </w:p>
        </w:tc>
        <w:tc>
          <w:tcPr>
            <w:tcW w:w="1274" w:type="dxa"/>
            <w:gridSpan w:val="2"/>
          </w:tcPr>
          <w:p w:rsidR="00635D70" w:rsidRPr="006E668B" w:rsidRDefault="00635D70" w:rsidP="006E668B">
            <w:pPr>
              <w:pStyle w:val="TableParagraph"/>
              <w:spacing w:line="240" w:lineRule="auto"/>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georgisch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17</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18</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irakisch</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3</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3</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1"/>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lastRenderedPageBreak/>
              <w:t>iranisch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3</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ivorisch</w:t>
            </w:r>
          </w:p>
        </w:tc>
        <w:tc>
          <w:tcPr>
            <w:tcW w:w="1419" w:type="dxa"/>
          </w:tcPr>
          <w:p w:rsidR="00635D70" w:rsidRPr="006E668B" w:rsidRDefault="00635D70" w:rsidP="006E668B">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spacing w:line="272" w:lineRule="exact"/>
              <w:ind w:left="68"/>
              <w:jc w:val="center"/>
              <w:rPr>
                <w:rFonts w:ascii="Arial" w:hAnsi="Arial" w:cs="Arial"/>
                <w:sz w:val="18"/>
                <w:szCs w:val="18"/>
              </w:rPr>
            </w:pPr>
            <w:r w:rsidRPr="006E668B">
              <w:rPr>
                <w:rFonts w:ascii="Arial" w:hAnsi="Arial" w:cs="Arial"/>
                <w:sz w:val="18"/>
                <w:szCs w:val="18"/>
              </w:rPr>
              <w:t>1</w:t>
            </w:r>
          </w:p>
        </w:tc>
        <w:tc>
          <w:tcPr>
            <w:tcW w:w="1418" w:type="dxa"/>
          </w:tcPr>
          <w:p w:rsidR="00635D70" w:rsidRPr="006E668B" w:rsidRDefault="00635D70" w:rsidP="006E668B">
            <w:pPr>
              <w:pStyle w:val="TableParagraph"/>
              <w:spacing w:line="272" w:lineRule="exact"/>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spacing w:line="272" w:lineRule="exact"/>
              <w:ind w:left="7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jordanisch</w:t>
            </w:r>
          </w:p>
        </w:tc>
        <w:tc>
          <w:tcPr>
            <w:tcW w:w="1419" w:type="dxa"/>
          </w:tcPr>
          <w:p w:rsidR="00635D70" w:rsidRPr="006E668B" w:rsidRDefault="00635D70" w:rsidP="006E668B">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35D70" w:rsidRPr="006E668B" w:rsidRDefault="00635D70"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kasachisch</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2</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moldawisch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11</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7</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nigerianisch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6</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13</w:t>
            </w:r>
          </w:p>
        </w:tc>
        <w:tc>
          <w:tcPr>
            <w:tcW w:w="1274" w:type="dxa"/>
            <w:gridSpan w:val="2"/>
          </w:tcPr>
          <w:p w:rsidR="00635D70" w:rsidRPr="006E668B" w:rsidRDefault="00635D70" w:rsidP="006E668B">
            <w:pPr>
              <w:pStyle w:val="TableParagraph"/>
              <w:ind w:left="70"/>
              <w:jc w:val="center"/>
              <w:rPr>
                <w:rFonts w:ascii="Arial" w:hAnsi="Arial" w:cs="Arial"/>
                <w:sz w:val="18"/>
                <w:szCs w:val="18"/>
              </w:rPr>
            </w:pPr>
            <w:r w:rsidRPr="006E668B">
              <w:rPr>
                <w:rFonts w:ascii="Arial" w:hAnsi="Arial" w:cs="Arial"/>
                <w:sz w:val="18"/>
                <w:szCs w:val="18"/>
              </w:rPr>
              <w:t>1</w:t>
            </w:r>
          </w:p>
        </w:tc>
      </w:tr>
      <w:tr w:rsidR="00635D70" w:rsidRPr="006E668B" w:rsidTr="006E668B">
        <w:trPr>
          <w:gridAfter w:val="1"/>
          <w:wAfter w:w="12" w:type="dxa"/>
          <w:trHeight w:val="411"/>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nordmazedonisch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4</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11</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5"/>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russisch föderativ</w:t>
            </w:r>
          </w:p>
        </w:tc>
        <w:tc>
          <w:tcPr>
            <w:tcW w:w="1419"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35D70" w:rsidRPr="006E668B" w:rsidRDefault="00635D70" w:rsidP="006E668B">
            <w:pPr>
              <w:pStyle w:val="TableParagraph"/>
              <w:spacing w:line="272" w:lineRule="exact"/>
              <w:ind w:left="68"/>
              <w:jc w:val="center"/>
              <w:rPr>
                <w:rFonts w:ascii="Arial" w:hAnsi="Arial" w:cs="Arial"/>
                <w:sz w:val="18"/>
                <w:szCs w:val="18"/>
              </w:rPr>
            </w:pPr>
            <w:r w:rsidRPr="006E668B">
              <w:rPr>
                <w:rFonts w:ascii="Arial" w:hAnsi="Arial" w:cs="Arial"/>
                <w:sz w:val="18"/>
                <w:szCs w:val="18"/>
              </w:rPr>
              <w:t>5</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11</w:t>
            </w:r>
          </w:p>
        </w:tc>
        <w:tc>
          <w:tcPr>
            <w:tcW w:w="1274" w:type="dxa"/>
            <w:gridSpan w:val="2"/>
          </w:tcPr>
          <w:p w:rsidR="00635D70" w:rsidRPr="006E668B" w:rsidRDefault="00635D70"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serbisch</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4</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somalisch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staatenlos</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rPr>
          <w:gridAfter w:val="1"/>
          <w:wAfter w:w="12" w:type="dxa"/>
          <w:trHeight w:val="411"/>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syrisch</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11</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15</w:t>
            </w:r>
          </w:p>
        </w:tc>
        <w:tc>
          <w:tcPr>
            <w:tcW w:w="1274" w:type="dxa"/>
            <w:gridSpan w:val="2"/>
          </w:tcPr>
          <w:p w:rsidR="00635D70" w:rsidRPr="006E668B" w:rsidRDefault="00635D70" w:rsidP="006E668B">
            <w:pPr>
              <w:pStyle w:val="TableParagraph"/>
              <w:ind w:left="70"/>
              <w:jc w:val="center"/>
              <w:rPr>
                <w:rFonts w:ascii="Arial" w:hAnsi="Arial" w:cs="Arial"/>
                <w:sz w:val="18"/>
                <w:szCs w:val="18"/>
              </w:rPr>
            </w:pPr>
            <w:r w:rsidRPr="006E668B">
              <w:rPr>
                <w:rFonts w:ascii="Arial" w:hAnsi="Arial" w:cs="Arial"/>
                <w:sz w:val="18"/>
                <w:szCs w:val="18"/>
              </w:rPr>
              <w:t>2</w:t>
            </w:r>
          </w:p>
        </w:tc>
      </w:tr>
      <w:tr w:rsidR="00635D70" w:rsidRPr="006E668B" w:rsidTr="006E668B">
        <w:trPr>
          <w:gridAfter w:val="1"/>
          <w:wAfter w:w="12" w:type="dxa"/>
          <w:trHeight w:val="416"/>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tunesisch</w:t>
            </w:r>
          </w:p>
        </w:tc>
        <w:tc>
          <w:tcPr>
            <w:tcW w:w="1419" w:type="dxa"/>
          </w:tcPr>
          <w:p w:rsidR="00635D70" w:rsidRPr="006E668B" w:rsidRDefault="00635D70" w:rsidP="006E668B">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35D70" w:rsidRPr="006E668B" w:rsidRDefault="00635D70"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35D70" w:rsidRPr="006E668B" w:rsidTr="006E668B">
        <w:tblPrEx>
          <w:tblLook w:val="04A0" w:firstRow="1" w:lastRow="0" w:firstColumn="1" w:lastColumn="0" w:noHBand="0" w:noVBand="1"/>
        </w:tblPrEx>
        <w:trPr>
          <w:gridAfter w:val="1"/>
          <w:wAfter w:w="12" w:type="dxa"/>
          <w:trHeight w:val="412"/>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türkisch</w:t>
            </w:r>
          </w:p>
        </w:tc>
        <w:tc>
          <w:tcPr>
            <w:tcW w:w="1419" w:type="dxa"/>
          </w:tcPr>
          <w:p w:rsidR="00635D70" w:rsidRPr="006E668B" w:rsidRDefault="00635D70"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35D70" w:rsidRPr="006E668B" w:rsidRDefault="00635D70" w:rsidP="006E668B">
            <w:pPr>
              <w:pStyle w:val="TableParagraph"/>
              <w:ind w:left="68"/>
              <w:jc w:val="center"/>
              <w:rPr>
                <w:rFonts w:ascii="Arial" w:hAnsi="Arial" w:cs="Arial"/>
                <w:sz w:val="18"/>
                <w:szCs w:val="18"/>
              </w:rPr>
            </w:pPr>
            <w:r w:rsidRPr="006E668B">
              <w:rPr>
                <w:rFonts w:ascii="Arial" w:hAnsi="Arial" w:cs="Arial"/>
                <w:sz w:val="18"/>
                <w:szCs w:val="18"/>
              </w:rPr>
              <w:t>4</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blPrEx>
          <w:tblLook w:val="04A0" w:firstRow="1" w:lastRow="0" w:firstColumn="1" w:lastColumn="0" w:noHBand="0" w:noVBand="1"/>
        </w:tblPrEx>
        <w:trPr>
          <w:gridAfter w:val="1"/>
          <w:wAfter w:w="12" w:type="dxa"/>
          <w:trHeight w:val="414"/>
        </w:trPr>
        <w:tc>
          <w:tcPr>
            <w:tcW w:w="1979" w:type="dxa"/>
          </w:tcPr>
          <w:p w:rsidR="00635D70" w:rsidRPr="006E668B" w:rsidRDefault="00635D70" w:rsidP="00C162EC">
            <w:pPr>
              <w:pStyle w:val="TableParagraph"/>
              <w:spacing w:line="272" w:lineRule="exact"/>
              <w:ind w:left="69"/>
              <w:rPr>
                <w:rFonts w:ascii="Arial" w:hAnsi="Arial" w:cs="Arial"/>
                <w:sz w:val="18"/>
                <w:szCs w:val="18"/>
              </w:rPr>
            </w:pPr>
            <w:r w:rsidRPr="006E668B">
              <w:rPr>
                <w:rFonts w:ascii="Arial" w:hAnsi="Arial" w:cs="Arial"/>
                <w:sz w:val="18"/>
                <w:szCs w:val="18"/>
              </w:rPr>
              <w:t>ukrainisch</w:t>
            </w:r>
          </w:p>
        </w:tc>
        <w:tc>
          <w:tcPr>
            <w:tcW w:w="1419"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42</w:t>
            </w:r>
          </w:p>
        </w:tc>
        <w:tc>
          <w:tcPr>
            <w:tcW w:w="1274" w:type="dxa"/>
          </w:tcPr>
          <w:p w:rsidR="00635D70" w:rsidRPr="006E668B" w:rsidRDefault="00635D70" w:rsidP="006E668B">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spacing w:line="272" w:lineRule="exact"/>
              <w:jc w:val="center"/>
              <w:rPr>
                <w:rFonts w:ascii="Arial" w:hAnsi="Arial" w:cs="Arial"/>
                <w:sz w:val="18"/>
                <w:szCs w:val="18"/>
              </w:rPr>
            </w:pPr>
            <w:r w:rsidRPr="006E668B">
              <w:rPr>
                <w:rFonts w:ascii="Arial" w:hAnsi="Arial" w:cs="Arial"/>
                <w:sz w:val="18"/>
                <w:szCs w:val="18"/>
              </w:rPr>
              <w:t>32</w:t>
            </w:r>
          </w:p>
        </w:tc>
        <w:tc>
          <w:tcPr>
            <w:tcW w:w="1274" w:type="dxa"/>
            <w:gridSpan w:val="2"/>
          </w:tcPr>
          <w:p w:rsidR="00635D70" w:rsidRPr="006E668B" w:rsidRDefault="00635D70"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35D70" w:rsidRPr="006E668B" w:rsidTr="006E668B">
        <w:tblPrEx>
          <w:tblLook w:val="04A0" w:firstRow="1" w:lastRow="0" w:firstColumn="1" w:lastColumn="0" w:noHBand="0" w:noVBand="1"/>
        </w:tblPrEx>
        <w:trPr>
          <w:gridAfter w:val="1"/>
          <w:wAfter w:w="12" w:type="dxa"/>
          <w:trHeight w:val="414"/>
        </w:trPr>
        <w:tc>
          <w:tcPr>
            <w:tcW w:w="1979" w:type="dxa"/>
          </w:tcPr>
          <w:p w:rsidR="00635D70" w:rsidRPr="006E668B" w:rsidRDefault="00635D70" w:rsidP="00C162EC">
            <w:pPr>
              <w:pStyle w:val="TableParagraph"/>
              <w:ind w:left="69"/>
              <w:rPr>
                <w:rFonts w:ascii="Arial" w:hAnsi="Arial" w:cs="Arial"/>
                <w:sz w:val="18"/>
                <w:szCs w:val="18"/>
              </w:rPr>
            </w:pPr>
            <w:r w:rsidRPr="006E668B">
              <w:rPr>
                <w:rFonts w:ascii="Arial" w:hAnsi="Arial" w:cs="Arial"/>
                <w:sz w:val="18"/>
                <w:szCs w:val="18"/>
              </w:rPr>
              <w:t>ungeklärt</w:t>
            </w:r>
          </w:p>
        </w:tc>
        <w:tc>
          <w:tcPr>
            <w:tcW w:w="1419" w:type="dxa"/>
          </w:tcPr>
          <w:p w:rsidR="00635D70" w:rsidRPr="006E668B" w:rsidRDefault="00635D70"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35D70" w:rsidRPr="006E668B" w:rsidRDefault="00635D70"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35D70" w:rsidRPr="006E668B" w:rsidRDefault="00635D70"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35D70" w:rsidRPr="006E668B" w:rsidRDefault="00635D70"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35D70" w:rsidRPr="006E668B" w:rsidTr="006E668B">
        <w:tblPrEx>
          <w:tblLook w:val="04A0" w:firstRow="1" w:lastRow="0" w:firstColumn="1" w:lastColumn="0" w:noHBand="0" w:noVBand="1"/>
        </w:tblPrEx>
        <w:trPr>
          <w:gridAfter w:val="1"/>
          <w:wAfter w:w="12" w:type="dxa"/>
          <w:trHeight w:val="414"/>
        </w:trPr>
        <w:tc>
          <w:tcPr>
            <w:tcW w:w="1979" w:type="dxa"/>
          </w:tcPr>
          <w:p w:rsidR="00635D70" w:rsidRPr="006E668B" w:rsidRDefault="00635D70" w:rsidP="00C162EC">
            <w:pPr>
              <w:pStyle w:val="TableParagraph"/>
              <w:spacing w:line="275" w:lineRule="exact"/>
              <w:ind w:left="69"/>
              <w:rPr>
                <w:rFonts w:ascii="Arial" w:hAnsi="Arial" w:cs="Arial"/>
                <w:b/>
                <w:sz w:val="18"/>
                <w:szCs w:val="18"/>
              </w:rPr>
            </w:pPr>
            <w:r w:rsidRPr="006E668B">
              <w:rPr>
                <w:rFonts w:ascii="Arial" w:hAnsi="Arial" w:cs="Arial"/>
                <w:b/>
                <w:sz w:val="18"/>
                <w:szCs w:val="18"/>
              </w:rPr>
              <w:t>Gesamtergebnis</w:t>
            </w:r>
          </w:p>
        </w:tc>
        <w:tc>
          <w:tcPr>
            <w:tcW w:w="1419" w:type="dxa"/>
          </w:tcPr>
          <w:p w:rsidR="00635D70" w:rsidRPr="006E668B" w:rsidRDefault="00635D70" w:rsidP="006E668B">
            <w:pPr>
              <w:pStyle w:val="TableParagraph"/>
              <w:spacing w:line="275" w:lineRule="exact"/>
              <w:jc w:val="center"/>
              <w:rPr>
                <w:rFonts w:ascii="Arial" w:hAnsi="Arial" w:cs="Arial"/>
                <w:b/>
                <w:sz w:val="18"/>
                <w:szCs w:val="18"/>
              </w:rPr>
            </w:pPr>
            <w:r w:rsidRPr="006E668B">
              <w:rPr>
                <w:rFonts w:ascii="Arial" w:hAnsi="Arial" w:cs="Arial"/>
                <w:b/>
                <w:sz w:val="18"/>
                <w:szCs w:val="18"/>
              </w:rPr>
              <w:t>117</w:t>
            </w:r>
          </w:p>
        </w:tc>
        <w:tc>
          <w:tcPr>
            <w:tcW w:w="1274" w:type="dxa"/>
          </w:tcPr>
          <w:p w:rsidR="00635D70" w:rsidRPr="006E668B" w:rsidRDefault="00635D70" w:rsidP="006E668B">
            <w:pPr>
              <w:pStyle w:val="TableParagraph"/>
              <w:spacing w:line="275" w:lineRule="exact"/>
              <w:ind w:left="68"/>
              <w:jc w:val="center"/>
              <w:rPr>
                <w:rFonts w:ascii="Arial" w:hAnsi="Arial" w:cs="Arial"/>
                <w:b/>
                <w:sz w:val="18"/>
                <w:szCs w:val="18"/>
              </w:rPr>
            </w:pPr>
            <w:r w:rsidRPr="006E668B">
              <w:rPr>
                <w:rFonts w:ascii="Arial" w:hAnsi="Arial" w:cs="Arial"/>
                <w:b/>
                <w:sz w:val="18"/>
                <w:szCs w:val="18"/>
              </w:rPr>
              <w:t>38</w:t>
            </w:r>
          </w:p>
        </w:tc>
        <w:tc>
          <w:tcPr>
            <w:tcW w:w="1418" w:type="dxa"/>
          </w:tcPr>
          <w:p w:rsidR="00635D70" w:rsidRPr="006E668B" w:rsidRDefault="00635D70" w:rsidP="006E668B">
            <w:pPr>
              <w:pStyle w:val="TableParagraph"/>
              <w:spacing w:line="275" w:lineRule="exact"/>
              <w:jc w:val="center"/>
              <w:rPr>
                <w:rFonts w:ascii="Arial" w:hAnsi="Arial" w:cs="Arial"/>
                <w:b/>
                <w:sz w:val="18"/>
                <w:szCs w:val="18"/>
              </w:rPr>
            </w:pPr>
            <w:r w:rsidRPr="006E668B">
              <w:rPr>
                <w:rFonts w:ascii="Arial" w:hAnsi="Arial" w:cs="Arial"/>
                <w:b/>
                <w:sz w:val="18"/>
                <w:szCs w:val="18"/>
              </w:rPr>
              <w:t>173</w:t>
            </w:r>
          </w:p>
        </w:tc>
        <w:tc>
          <w:tcPr>
            <w:tcW w:w="1274" w:type="dxa"/>
            <w:gridSpan w:val="2"/>
          </w:tcPr>
          <w:p w:rsidR="00635D70" w:rsidRPr="006E668B" w:rsidRDefault="00635D70" w:rsidP="006E668B">
            <w:pPr>
              <w:pStyle w:val="TableParagraph"/>
              <w:spacing w:line="275" w:lineRule="exact"/>
              <w:ind w:left="70"/>
              <w:jc w:val="center"/>
              <w:rPr>
                <w:rFonts w:ascii="Arial" w:hAnsi="Arial" w:cs="Arial"/>
                <w:b/>
                <w:sz w:val="18"/>
                <w:szCs w:val="18"/>
              </w:rPr>
            </w:pPr>
            <w:r w:rsidRPr="006E668B">
              <w:rPr>
                <w:rFonts w:ascii="Arial" w:hAnsi="Arial" w:cs="Arial"/>
                <w:b/>
                <w:sz w:val="18"/>
                <w:szCs w:val="18"/>
              </w:rPr>
              <w:t>3</w:t>
            </w:r>
          </w:p>
        </w:tc>
      </w:tr>
      <w:tr w:rsidR="006E668B" w:rsidRPr="006E668B" w:rsidTr="006E668B">
        <w:tblPrEx>
          <w:tblLook w:val="04A0" w:firstRow="1" w:lastRow="0" w:firstColumn="1" w:lastColumn="0" w:noHBand="0" w:noVBand="1"/>
        </w:tblPrEx>
        <w:trPr>
          <w:trHeight w:val="414"/>
        </w:trPr>
        <w:tc>
          <w:tcPr>
            <w:tcW w:w="1979" w:type="dxa"/>
            <w:vMerge w:val="restart"/>
          </w:tcPr>
          <w:p w:rsidR="006E668B" w:rsidRPr="006E668B" w:rsidRDefault="006E668B" w:rsidP="006E668B">
            <w:pPr>
              <w:pStyle w:val="TableParagraph"/>
              <w:spacing w:line="240" w:lineRule="auto"/>
              <w:ind w:left="0"/>
              <w:rPr>
                <w:rFonts w:ascii="Arial" w:hAnsi="Arial" w:cs="Arial"/>
                <w:sz w:val="18"/>
                <w:szCs w:val="18"/>
              </w:rPr>
            </w:pPr>
          </w:p>
          <w:p w:rsidR="006E668B" w:rsidRPr="006E668B" w:rsidRDefault="006E668B" w:rsidP="006E668B">
            <w:pPr>
              <w:pStyle w:val="TableParagraph"/>
              <w:spacing w:before="9" w:line="240" w:lineRule="auto"/>
              <w:ind w:left="0"/>
              <w:rPr>
                <w:rFonts w:ascii="Arial" w:hAnsi="Arial" w:cs="Arial"/>
                <w:sz w:val="18"/>
                <w:szCs w:val="18"/>
              </w:rPr>
            </w:pPr>
          </w:p>
          <w:p w:rsidR="006E668B" w:rsidRPr="006E668B" w:rsidRDefault="006E668B" w:rsidP="006E668B">
            <w:pPr>
              <w:pStyle w:val="TableParagraph"/>
              <w:spacing w:line="240" w:lineRule="auto"/>
              <w:ind w:left="69"/>
              <w:rPr>
                <w:rFonts w:ascii="Arial" w:hAnsi="Arial" w:cs="Arial"/>
                <w:b/>
                <w:sz w:val="18"/>
                <w:szCs w:val="18"/>
              </w:rPr>
            </w:pPr>
            <w:r w:rsidRPr="006E668B">
              <w:rPr>
                <w:rFonts w:ascii="Arial" w:hAnsi="Arial" w:cs="Arial"/>
                <w:b/>
                <w:sz w:val="18"/>
                <w:szCs w:val="18"/>
              </w:rPr>
              <w:t>16-18 Jahre</w:t>
            </w:r>
          </w:p>
        </w:tc>
        <w:tc>
          <w:tcPr>
            <w:tcW w:w="1419" w:type="dxa"/>
          </w:tcPr>
          <w:p w:rsidR="006E668B" w:rsidRPr="006E668B" w:rsidRDefault="006E668B" w:rsidP="006E668B">
            <w:pPr>
              <w:pStyle w:val="TableParagraph"/>
              <w:spacing w:line="275" w:lineRule="exact"/>
              <w:rPr>
                <w:rFonts w:ascii="Arial" w:hAnsi="Arial" w:cs="Arial"/>
                <w:b/>
                <w:sz w:val="18"/>
                <w:szCs w:val="18"/>
              </w:rPr>
            </w:pPr>
            <w:r w:rsidRPr="006E668B">
              <w:rPr>
                <w:rFonts w:ascii="Arial" w:hAnsi="Arial" w:cs="Arial"/>
                <w:b/>
                <w:sz w:val="18"/>
                <w:szCs w:val="18"/>
              </w:rPr>
              <w:t>2020</w:t>
            </w:r>
          </w:p>
        </w:tc>
        <w:tc>
          <w:tcPr>
            <w:tcW w:w="1274" w:type="dxa"/>
          </w:tcPr>
          <w:p w:rsidR="006E668B" w:rsidRPr="006E668B" w:rsidRDefault="006E668B" w:rsidP="006E668B">
            <w:pPr>
              <w:pStyle w:val="TableParagraph"/>
              <w:spacing w:line="275" w:lineRule="exact"/>
              <w:rPr>
                <w:rFonts w:ascii="Arial" w:hAnsi="Arial" w:cs="Arial"/>
                <w:b/>
                <w:sz w:val="18"/>
                <w:szCs w:val="18"/>
              </w:rPr>
            </w:pPr>
            <w:r w:rsidRPr="006E668B">
              <w:rPr>
                <w:rFonts w:ascii="Arial" w:hAnsi="Arial" w:cs="Arial"/>
                <w:b/>
                <w:sz w:val="18"/>
                <w:szCs w:val="18"/>
              </w:rPr>
              <w:t>2021</w:t>
            </w:r>
          </w:p>
        </w:tc>
        <w:tc>
          <w:tcPr>
            <w:tcW w:w="1428" w:type="dxa"/>
            <w:gridSpan w:val="2"/>
          </w:tcPr>
          <w:p w:rsidR="006E668B" w:rsidRPr="006E668B" w:rsidRDefault="006E668B" w:rsidP="006E668B">
            <w:pPr>
              <w:pStyle w:val="TableParagraph"/>
              <w:spacing w:line="275" w:lineRule="exact"/>
              <w:rPr>
                <w:rFonts w:ascii="Arial" w:hAnsi="Arial" w:cs="Arial"/>
                <w:b/>
                <w:sz w:val="18"/>
                <w:szCs w:val="18"/>
              </w:rPr>
            </w:pPr>
            <w:r w:rsidRPr="006E668B">
              <w:rPr>
                <w:rFonts w:ascii="Arial" w:hAnsi="Arial" w:cs="Arial"/>
                <w:b/>
                <w:sz w:val="18"/>
                <w:szCs w:val="18"/>
              </w:rPr>
              <w:t>2020</w:t>
            </w:r>
          </w:p>
        </w:tc>
        <w:tc>
          <w:tcPr>
            <w:tcW w:w="1276" w:type="dxa"/>
            <w:gridSpan w:val="2"/>
          </w:tcPr>
          <w:p w:rsidR="006E668B" w:rsidRPr="006E668B" w:rsidRDefault="006E668B" w:rsidP="006E668B">
            <w:pPr>
              <w:pStyle w:val="TableParagraph"/>
              <w:spacing w:line="275" w:lineRule="exact"/>
              <w:rPr>
                <w:rFonts w:ascii="Arial" w:hAnsi="Arial" w:cs="Arial"/>
                <w:b/>
                <w:sz w:val="18"/>
                <w:szCs w:val="18"/>
              </w:rPr>
            </w:pPr>
            <w:r w:rsidRPr="006E668B">
              <w:rPr>
                <w:rFonts w:ascii="Arial" w:hAnsi="Arial" w:cs="Arial"/>
                <w:b/>
                <w:sz w:val="18"/>
                <w:szCs w:val="18"/>
              </w:rPr>
              <w:t>2021</w:t>
            </w:r>
          </w:p>
        </w:tc>
      </w:tr>
      <w:tr w:rsidR="006E668B" w:rsidRPr="006E668B" w:rsidTr="006E668B">
        <w:tblPrEx>
          <w:tblLook w:val="04A0" w:firstRow="1" w:lastRow="0" w:firstColumn="1" w:lastColumn="0" w:noHBand="0" w:noVBand="1"/>
        </w:tblPrEx>
        <w:trPr>
          <w:gridAfter w:val="1"/>
          <w:wAfter w:w="12" w:type="dxa"/>
          <w:trHeight w:val="1240"/>
        </w:trPr>
        <w:tc>
          <w:tcPr>
            <w:tcW w:w="1979" w:type="dxa"/>
            <w:vMerge/>
          </w:tcPr>
          <w:p w:rsidR="006E668B" w:rsidRPr="006E668B" w:rsidRDefault="006E668B" w:rsidP="006E668B">
            <w:pPr>
              <w:rPr>
                <w:rFonts w:cs="Arial"/>
                <w:sz w:val="18"/>
                <w:szCs w:val="18"/>
              </w:rPr>
            </w:pPr>
          </w:p>
        </w:tc>
        <w:tc>
          <w:tcPr>
            <w:tcW w:w="1419" w:type="dxa"/>
          </w:tcPr>
          <w:p w:rsidR="006E668B" w:rsidRPr="006E668B" w:rsidRDefault="006E668B" w:rsidP="006E668B">
            <w:pPr>
              <w:pStyle w:val="TableParagraph"/>
              <w:spacing w:line="360" w:lineRule="auto"/>
              <w:ind w:right="101"/>
              <w:rPr>
                <w:rFonts w:ascii="Arial" w:hAnsi="Arial" w:cs="Arial"/>
                <w:b/>
                <w:sz w:val="18"/>
                <w:szCs w:val="18"/>
              </w:rPr>
            </w:pPr>
            <w:r w:rsidRPr="006E668B">
              <w:rPr>
                <w:rFonts w:ascii="Arial" w:hAnsi="Arial" w:cs="Arial"/>
                <w:b/>
                <w:sz w:val="18"/>
                <w:szCs w:val="18"/>
              </w:rPr>
              <w:t>erfolgreiche Abschie-</w:t>
            </w:r>
          </w:p>
          <w:p w:rsidR="006E668B" w:rsidRPr="006E668B" w:rsidRDefault="006E668B" w:rsidP="006E668B">
            <w:pPr>
              <w:pStyle w:val="TableParagraph"/>
              <w:spacing w:line="240" w:lineRule="auto"/>
              <w:rPr>
                <w:rFonts w:ascii="Arial" w:hAnsi="Arial" w:cs="Arial"/>
                <w:b/>
                <w:sz w:val="18"/>
                <w:szCs w:val="18"/>
              </w:rPr>
            </w:pPr>
            <w:r w:rsidRPr="006E668B">
              <w:rPr>
                <w:rFonts w:ascii="Arial" w:hAnsi="Arial" w:cs="Arial"/>
                <w:b/>
                <w:sz w:val="18"/>
                <w:szCs w:val="18"/>
              </w:rPr>
              <w:t>bungen</w:t>
            </w:r>
          </w:p>
        </w:tc>
        <w:tc>
          <w:tcPr>
            <w:tcW w:w="1274" w:type="dxa"/>
          </w:tcPr>
          <w:p w:rsidR="006E668B" w:rsidRPr="006E668B" w:rsidRDefault="006E668B" w:rsidP="006E668B">
            <w:pPr>
              <w:pStyle w:val="TableParagraph"/>
              <w:spacing w:line="360" w:lineRule="auto"/>
              <w:ind w:left="68" w:right="197"/>
              <w:rPr>
                <w:rFonts w:ascii="Arial" w:hAnsi="Arial" w:cs="Arial"/>
                <w:b/>
                <w:sz w:val="18"/>
                <w:szCs w:val="18"/>
              </w:rPr>
            </w:pPr>
            <w:r w:rsidRPr="006E668B">
              <w:rPr>
                <w:rFonts w:ascii="Arial" w:hAnsi="Arial" w:cs="Arial"/>
                <w:b/>
                <w:sz w:val="18"/>
                <w:szCs w:val="18"/>
              </w:rPr>
              <w:t>versuchte Abschie-</w:t>
            </w:r>
          </w:p>
          <w:p w:rsidR="006E668B" w:rsidRPr="006E668B" w:rsidRDefault="006E668B" w:rsidP="006E668B">
            <w:pPr>
              <w:pStyle w:val="TableParagraph"/>
              <w:spacing w:line="240" w:lineRule="auto"/>
              <w:ind w:left="68"/>
              <w:rPr>
                <w:rFonts w:ascii="Arial" w:hAnsi="Arial" w:cs="Arial"/>
                <w:b/>
                <w:sz w:val="18"/>
                <w:szCs w:val="18"/>
              </w:rPr>
            </w:pPr>
            <w:r w:rsidRPr="006E668B">
              <w:rPr>
                <w:rFonts w:ascii="Arial" w:hAnsi="Arial" w:cs="Arial"/>
                <w:b/>
                <w:sz w:val="18"/>
                <w:szCs w:val="18"/>
              </w:rPr>
              <w:t>bungen</w:t>
            </w:r>
          </w:p>
        </w:tc>
        <w:tc>
          <w:tcPr>
            <w:tcW w:w="1418" w:type="dxa"/>
          </w:tcPr>
          <w:p w:rsidR="006E668B" w:rsidRPr="006E668B" w:rsidRDefault="006E668B" w:rsidP="006E668B">
            <w:pPr>
              <w:pStyle w:val="TableParagraph"/>
              <w:spacing w:line="360" w:lineRule="auto"/>
              <w:ind w:right="99"/>
              <w:rPr>
                <w:rFonts w:ascii="Arial" w:hAnsi="Arial" w:cs="Arial"/>
                <w:b/>
                <w:sz w:val="18"/>
                <w:szCs w:val="18"/>
              </w:rPr>
            </w:pPr>
            <w:r w:rsidRPr="006E668B">
              <w:rPr>
                <w:rFonts w:ascii="Arial" w:hAnsi="Arial" w:cs="Arial"/>
                <w:b/>
                <w:sz w:val="18"/>
                <w:szCs w:val="18"/>
              </w:rPr>
              <w:t>erfolgreiche Abschie-</w:t>
            </w:r>
          </w:p>
          <w:p w:rsidR="006E668B" w:rsidRPr="006E668B" w:rsidRDefault="006E668B" w:rsidP="006E668B">
            <w:pPr>
              <w:pStyle w:val="TableParagraph"/>
              <w:spacing w:line="240" w:lineRule="auto"/>
              <w:rPr>
                <w:rFonts w:ascii="Arial" w:hAnsi="Arial" w:cs="Arial"/>
                <w:b/>
                <w:sz w:val="18"/>
                <w:szCs w:val="18"/>
              </w:rPr>
            </w:pPr>
            <w:r w:rsidRPr="006E668B">
              <w:rPr>
                <w:rFonts w:ascii="Arial" w:hAnsi="Arial" w:cs="Arial"/>
                <w:b/>
                <w:sz w:val="18"/>
                <w:szCs w:val="18"/>
              </w:rPr>
              <w:t>bungen</w:t>
            </w:r>
          </w:p>
        </w:tc>
        <w:tc>
          <w:tcPr>
            <w:tcW w:w="1274" w:type="dxa"/>
            <w:gridSpan w:val="2"/>
          </w:tcPr>
          <w:p w:rsidR="006E668B" w:rsidRPr="006E668B" w:rsidRDefault="006E668B" w:rsidP="006E668B">
            <w:pPr>
              <w:pStyle w:val="TableParagraph"/>
              <w:spacing w:line="360" w:lineRule="auto"/>
              <w:ind w:left="70" w:right="196"/>
              <w:rPr>
                <w:rFonts w:ascii="Arial" w:hAnsi="Arial" w:cs="Arial"/>
                <w:b/>
                <w:sz w:val="18"/>
                <w:szCs w:val="18"/>
              </w:rPr>
            </w:pPr>
            <w:r w:rsidRPr="006E668B">
              <w:rPr>
                <w:rFonts w:ascii="Arial" w:hAnsi="Arial" w:cs="Arial"/>
                <w:b/>
                <w:sz w:val="18"/>
                <w:szCs w:val="18"/>
              </w:rPr>
              <w:t>versuchte Abschie-</w:t>
            </w:r>
          </w:p>
          <w:p w:rsidR="006E668B" w:rsidRPr="006E668B" w:rsidRDefault="006E668B" w:rsidP="006E668B">
            <w:pPr>
              <w:pStyle w:val="TableParagraph"/>
              <w:spacing w:line="240" w:lineRule="auto"/>
              <w:ind w:left="70"/>
              <w:rPr>
                <w:rFonts w:ascii="Arial" w:hAnsi="Arial" w:cs="Arial"/>
                <w:b/>
                <w:sz w:val="18"/>
                <w:szCs w:val="18"/>
              </w:rPr>
            </w:pPr>
            <w:r w:rsidRPr="006E668B">
              <w:rPr>
                <w:rFonts w:ascii="Arial" w:hAnsi="Arial" w:cs="Arial"/>
                <w:b/>
                <w:sz w:val="18"/>
                <w:szCs w:val="18"/>
              </w:rPr>
              <w:t>bungen</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spacing w:line="272" w:lineRule="exact"/>
              <w:ind w:left="69"/>
              <w:rPr>
                <w:rFonts w:ascii="Arial" w:hAnsi="Arial" w:cs="Arial"/>
                <w:sz w:val="18"/>
                <w:szCs w:val="18"/>
              </w:rPr>
            </w:pPr>
            <w:r w:rsidRPr="006E668B">
              <w:rPr>
                <w:rFonts w:ascii="Arial" w:hAnsi="Arial" w:cs="Arial"/>
                <w:sz w:val="18"/>
                <w:szCs w:val="18"/>
              </w:rPr>
              <w:t>albanisch</w:t>
            </w:r>
          </w:p>
        </w:tc>
        <w:tc>
          <w:tcPr>
            <w:tcW w:w="1419" w:type="dxa"/>
          </w:tcPr>
          <w:p w:rsidR="006E668B" w:rsidRPr="006E668B" w:rsidRDefault="006E668B" w:rsidP="006E668B">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tcPr>
          <w:p w:rsidR="006E668B" w:rsidRPr="006E668B" w:rsidRDefault="006E668B" w:rsidP="006E668B">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spacing w:line="272" w:lineRule="exact"/>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E668B" w:rsidRPr="006E668B" w:rsidRDefault="006E668B"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aserbaidschanisch</w:t>
            </w:r>
          </w:p>
        </w:tc>
        <w:tc>
          <w:tcPr>
            <w:tcW w:w="1419"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E668B" w:rsidRPr="006E668B" w:rsidRDefault="006E668B" w:rsidP="006E668B">
            <w:pPr>
              <w:pStyle w:val="TableParagraph"/>
              <w:ind w:left="68"/>
              <w:jc w:val="center"/>
              <w:rPr>
                <w:rFonts w:ascii="Arial" w:hAnsi="Arial" w:cs="Arial"/>
                <w:sz w:val="18"/>
                <w:szCs w:val="18"/>
              </w:rPr>
            </w:pPr>
            <w:r w:rsidRPr="006E668B">
              <w:rPr>
                <w:rFonts w:ascii="Arial" w:hAnsi="Arial" w:cs="Arial"/>
                <w:sz w:val="18"/>
                <w:szCs w:val="18"/>
              </w:rPr>
              <w:t>5</w:t>
            </w:r>
          </w:p>
        </w:tc>
        <w:tc>
          <w:tcPr>
            <w:tcW w:w="1418"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georgisch</w:t>
            </w:r>
          </w:p>
        </w:tc>
        <w:tc>
          <w:tcPr>
            <w:tcW w:w="1419"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E668B" w:rsidRPr="006E668B" w:rsidRDefault="006E668B"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irakisch</w:t>
            </w:r>
          </w:p>
        </w:tc>
        <w:tc>
          <w:tcPr>
            <w:tcW w:w="1419" w:type="dxa"/>
          </w:tcPr>
          <w:p w:rsidR="006E668B" w:rsidRPr="006E668B" w:rsidRDefault="006E668B"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E668B" w:rsidRPr="006E668B" w:rsidRDefault="006E668B"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2"/>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kosovarisch</w:t>
            </w:r>
          </w:p>
        </w:tc>
        <w:tc>
          <w:tcPr>
            <w:tcW w:w="1419" w:type="dxa"/>
          </w:tcPr>
          <w:p w:rsidR="006E668B" w:rsidRPr="006E668B" w:rsidRDefault="006E668B"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E668B" w:rsidRPr="006E668B" w:rsidRDefault="006E668B"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spacing w:line="272" w:lineRule="exact"/>
              <w:ind w:left="69"/>
              <w:rPr>
                <w:rFonts w:ascii="Arial" w:hAnsi="Arial" w:cs="Arial"/>
                <w:sz w:val="18"/>
                <w:szCs w:val="18"/>
              </w:rPr>
            </w:pPr>
            <w:r w:rsidRPr="006E668B">
              <w:rPr>
                <w:rFonts w:ascii="Arial" w:hAnsi="Arial" w:cs="Arial"/>
                <w:sz w:val="18"/>
                <w:szCs w:val="18"/>
              </w:rPr>
              <w:t>moldawisch</w:t>
            </w:r>
          </w:p>
        </w:tc>
        <w:tc>
          <w:tcPr>
            <w:tcW w:w="1419" w:type="dxa"/>
          </w:tcPr>
          <w:p w:rsidR="006E668B" w:rsidRPr="006E668B" w:rsidRDefault="006E668B" w:rsidP="006E668B">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E668B" w:rsidRPr="006E668B" w:rsidRDefault="006E668B" w:rsidP="006E668B">
            <w:pPr>
              <w:pStyle w:val="TableParagraph"/>
              <w:spacing w:line="272" w:lineRule="exact"/>
              <w:ind w:left="68"/>
              <w:jc w:val="center"/>
              <w:rPr>
                <w:rFonts w:ascii="Arial" w:hAnsi="Arial" w:cs="Arial"/>
                <w:sz w:val="18"/>
                <w:szCs w:val="18"/>
              </w:rPr>
            </w:pPr>
            <w:r w:rsidRPr="006E668B">
              <w:rPr>
                <w:rFonts w:ascii="Arial" w:hAnsi="Arial" w:cs="Arial"/>
                <w:sz w:val="18"/>
                <w:szCs w:val="18"/>
              </w:rPr>
              <w:t>1</w:t>
            </w:r>
          </w:p>
        </w:tc>
        <w:tc>
          <w:tcPr>
            <w:tcW w:w="1418" w:type="dxa"/>
          </w:tcPr>
          <w:p w:rsidR="006E668B" w:rsidRPr="006E668B" w:rsidRDefault="006E668B" w:rsidP="006E668B">
            <w:pPr>
              <w:pStyle w:val="TableParagraph"/>
              <w:spacing w:line="272" w:lineRule="exact"/>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E668B" w:rsidRPr="006E668B" w:rsidRDefault="006E668B"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spacing w:line="272" w:lineRule="exact"/>
              <w:ind w:left="69"/>
              <w:rPr>
                <w:rFonts w:ascii="Arial" w:hAnsi="Arial" w:cs="Arial"/>
                <w:sz w:val="18"/>
                <w:szCs w:val="18"/>
              </w:rPr>
            </w:pPr>
            <w:r w:rsidRPr="006E668B">
              <w:rPr>
                <w:rFonts w:ascii="Arial" w:hAnsi="Arial" w:cs="Arial"/>
                <w:sz w:val="18"/>
                <w:szCs w:val="18"/>
              </w:rPr>
              <w:t>russisch föderativ</w:t>
            </w:r>
          </w:p>
        </w:tc>
        <w:tc>
          <w:tcPr>
            <w:tcW w:w="1419" w:type="dxa"/>
          </w:tcPr>
          <w:p w:rsidR="006E668B" w:rsidRPr="006E668B" w:rsidRDefault="006E668B" w:rsidP="006E668B">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E668B" w:rsidRPr="006E668B" w:rsidRDefault="006E668B" w:rsidP="006E668B">
            <w:pPr>
              <w:pStyle w:val="TableParagraph"/>
              <w:spacing w:line="272" w:lineRule="exact"/>
              <w:ind w:left="68"/>
              <w:jc w:val="center"/>
              <w:rPr>
                <w:rFonts w:ascii="Arial" w:hAnsi="Arial" w:cs="Arial"/>
                <w:sz w:val="18"/>
                <w:szCs w:val="18"/>
              </w:rPr>
            </w:pPr>
            <w:r w:rsidRPr="006E668B">
              <w:rPr>
                <w:rFonts w:ascii="Arial" w:hAnsi="Arial" w:cs="Arial"/>
                <w:sz w:val="18"/>
                <w:szCs w:val="18"/>
              </w:rPr>
              <w:t>1</w:t>
            </w:r>
          </w:p>
        </w:tc>
        <w:tc>
          <w:tcPr>
            <w:tcW w:w="1418" w:type="dxa"/>
          </w:tcPr>
          <w:p w:rsidR="006E668B" w:rsidRPr="006E668B" w:rsidRDefault="006E668B" w:rsidP="006E668B">
            <w:pPr>
              <w:pStyle w:val="TableParagraph"/>
              <w:spacing w:line="272" w:lineRule="exact"/>
              <w:jc w:val="center"/>
              <w:rPr>
                <w:rFonts w:ascii="Arial" w:hAnsi="Arial" w:cs="Arial"/>
                <w:sz w:val="18"/>
                <w:szCs w:val="18"/>
              </w:rPr>
            </w:pPr>
            <w:r w:rsidRPr="006E668B">
              <w:rPr>
                <w:rFonts w:ascii="Arial" w:hAnsi="Arial" w:cs="Arial"/>
                <w:sz w:val="18"/>
                <w:szCs w:val="18"/>
              </w:rPr>
              <w:t>3</w:t>
            </w:r>
          </w:p>
        </w:tc>
        <w:tc>
          <w:tcPr>
            <w:tcW w:w="1274" w:type="dxa"/>
            <w:gridSpan w:val="2"/>
          </w:tcPr>
          <w:p w:rsidR="006E668B" w:rsidRPr="006E668B" w:rsidRDefault="006E668B" w:rsidP="006E668B">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syrisch</w:t>
            </w:r>
          </w:p>
        </w:tc>
        <w:tc>
          <w:tcPr>
            <w:tcW w:w="1419" w:type="dxa"/>
          </w:tcPr>
          <w:p w:rsidR="006E668B" w:rsidRPr="006E668B" w:rsidRDefault="006E668B" w:rsidP="006E668B">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E668B" w:rsidRPr="006E668B" w:rsidRDefault="006E668B"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4"/>
        </w:trPr>
        <w:tc>
          <w:tcPr>
            <w:tcW w:w="1979" w:type="dxa"/>
          </w:tcPr>
          <w:p w:rsidR="006E668B" w:rsidRPr="006E668B" w:rsidRDefault="006E668B" w:rsidP="006E668B">
            <w:pPr>
              <w:pStyle w:val="TableParagraph"/>
              <w:ind w:left="69"/>
              <w:rPr>
                <w:rFonts w:ascii="Arial" w:hAnsi="Arial" w:cs="Arial"/>
                <w:sz w:val="18"/>
                <w:szCs w:val="18"/>
              </w:rPr>
            </w:pPr>
            <w:r w:rsidRPr="006E668B">
              <w:rPr>
                <w:rFonts w:ascii="Arial" w:hAnsi="Arial" w:cs="Arial"/>
                <w:sz w:val="18"/>
                <w:szCs w:val="18"/>
              </w:rPr>
              <w:t>ukrainisch</w:t>
            </w:r>
          </w:p>
        </w:tc>
        <w:tc>
          <w:tcPr>
            <w:tcW w:w="1419" w:type="dxa"/>
          </w:tcPr>
          <w:p w:rsidR="006E668B" w:rsidRPr="006E668B" w:rsidRDefault="006E668B" w:rsidP="006E668B">
            <w:pPr>
              <w:pStyle w:val="TableParagraph"/>
              <w:jc w:val="center"/>
              <w:rPr>
                <w:rFonts w:ascii="Arial" w:hAnsi="Arial" w:cs="Arial"/>
                <w:sz w:val="18"/>
                <w:szCs w:val="18"/>
              </w:rPr>
            </w:pPr>
            <w:r w:rsidRPr="006E668B">
              <w:rPr>
                <w:rFonts w:ascii="Arial" w:hAnsi="Arial" w:cs="Arial"/>
                <w:sz w:val="18"/>
                <w:szCs w:val="18"/>
              </w:rPr>
              <w:t>4</w:t>
            </w:r>
          </w:p>
        </w:tc>
        <w:tc>
          <w:tcPr>
            <w:tcW w:w="1274" w:type="dxa"/>
          </w:tcPr>
          <w:p w:rsidR="006E668B" w:rsidRPr="006E668B" w:rsidRDefault="006E668B" w:rsidP="006E668B">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E668B" w:rsidRPr="006E668B" w:rsidRDefault="006E668B" w:rsidP="006E668B">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E668B" w:rsidRPr="006E668B" w:rsidRDefault="006E668B" w:rsidP="006E668B">
            <w:pPr>
              <w:pStyle w:val="TableParagraph"/>
              <w:ind w:left="130"/>
              <w:jc w:val="center"/>
              <w:rPr>
                <w:rFonts w:ascii="Arial" w:hAnsi="Arial" w:cs="Arial"/>
                <w:sz w:val="18"/>
                <w:szCs w:val="18"/>
              </w:rPr>
            </w:pPr>
            <w:r w:rsidRPr="006E668B">
              <w:rPr>
                <w:rFonts w:ascii="Arial" w:hAnsi="Arial" w:cs="Arial"/>
                <w:sz w:val="18"/>
                <w:szCs w:val="18"/>
              </w:rPr>
              <w:t>0</w:t>
            </w:r>
          </w:p>
        </w:tc>
      </w:tr>
      <w:tr w:rsidR="006E668B" w:rsidRPr="006E668B" w:rsidTr="006E668B">
        <w:tblPrEx>
          <w:tblLook w:val="04A0" w:firstRow="1" w:lastRow="0" w:firstColumn="1" w:lastColumn="0" w:noHBand="0" w:noVBand="1"/>
        </w:tblPrEx>
        <w:trPr>
          <w:gridAfter w:val="1"/>
          <w:wAfter w:w="12" w:type="dxa"/>
          <w:trHeight w:val="412"/>
        </w:trPr>
        <w:tc>
          <w:tcPr>
            <w:tcW w:w="1979" w:type="dxa"/>
          </w:tcPr>
          <w:p w:rsidR="006E668B" w:rsidRPr="006E668B" w:rsidRDefault="006E668B" w:rsidP="006E668B">
            <w:pPr>
              <w:pStyle w:val="TableParagraph"/>
              <w:spacing w:line="275" w:lineRule="exact"/>
              <w:ind w:left="69"/>
              <w:rPr>
                <w:rFonts w:ascii="Arial" w:hAnsi="Arial" w:cs="Arial"/>
                <w:b/>
                <w:sz w:val="18"/>
                <w:szCs w:val="18"/>
              </w:rPr>
            </w:pPr>
            <w:r w:rsidRPr="006E668B">
              <w:rPr>
                <w:rFonts w:ascii="Arial" w:hAnsi="Arial" w:cs="Arial"/>
                <w:b/>
                <w:sz w:val="18"/>
                <w:szCs w:val="18"/>
              </w:rPr>
              <w:lastRenderedPageBreak/>
              <w:t>Gesamtergebnis</w:t>
            </w:r>
          </w:p>
        </w:tc>
        <w:tc>
          <w:tcPr>
            <w:tcW w:w="1419" w:type="dxa"/>
          </w:tcPr>
          <w:p w:rsidR="006E668B" w:rsidRPr="006E668B" w:rsidRDefault="006E668B" w:rsidP="006E668B">
            <w:pPr>
              <w:pStyle w:val="TableParagraph"/>
              <w:spacing w:line="275" w:lineRule="exact"/>
              <w:jc w:val="center"/>
              <w:rPr>
                <w:rFonts w:ascii="Arial" w:hAnsi="Arial" w:cs="Arial"/>
                <w:b/>
                <w:sz w:val="18"/>
                <w:szCs w:val="18"/>
              </w:rPr>
            </w:pPr>
            <w:r w:rsidRPr="006E668B">
              <w:rPr>
                <w:rFonts w:ascii="Arial" w:hAnsi="Arial" w:cs="Arial"/>
                <w:b/>
                <w:sz w:val="18"/>
                <w:szCs w:val="18"/>
              </w:rPr>
              <w:t>10</w:t>
            </w:r>
          </w:p>
        </w:tc>
        <w:tc>
          <w:tcPr>
            <w:tcW w:w="1274" w:type="dxa"/>
          </w:tcPr>
          <w:p w:rsidR="006E668B" w:rsidRPr="006E668B" w:rsidRDefault="006E668B" w:rsidP="006E668B">
            <w:pPr>
              <w:pStyle w:val="TableParagraph"/>
              <w:spacing w:line="275" w:lineRule="exact"/>
              <w:ind w:left="68"/>
              <w:jc w:val="center"/>
              <w:rPr>
                <w:rFonts w:ascii="Arial" w:hAnsi="Arial" w:cs="Arial"/>
                <w:b/>
                <w:sz w:val="18"/>
                <w:szCs w:val="18"/>
              </w:rPr>
            </w:pPr>
            <w:r w:rsidRPr="006E668B">
              <w:rPr>
                <w:rFonts w:ascii="Arial" w:hAnsi="Arial" w:cs="Arial"/>
                <w:b/>
                <w:sz w:val="18"/>
                <w:szCs w:val="18"/>
              </w:rPr>
              <w:t>7</w:t>
            </w:r>
          </w:p>
        </w:tc>
        <w:tc>
          <w:tcPr>
            <w:tcW w:w="1418" w:type="dxa"/>
          </w:tcPr>
          <w:p w:rsidR="006E668B" w:rsidRPr="006E668B" w:rsidRDefault="006E668B" w:rsidP="006E668B">
            <w:pPr>
              <w:pStyle w:val="TableParagraph"/>
              <w:spacing w:line="275" w:lineRule="exact"/>
              <w:jc w:val="center"/>
              <w:rPr>
                <w:rFonts w:ascii="Arial" w:hAnsi="Arial" w:cs="Arial"/>
                <w:b/>
                <w:sz w:val="18"/>
                <w:szCs w:val="18"/>
              </w:rPr>
            </w:pPr>
            <w:r w:rsidRPr="006E668B">
              <w:rPr>
                <w:rFonts w:ascii="Arial" w:hAnsi="Arial" w:cs="Arial"/>
                <w:b/>
                <w:sz w:val="18"/>
                <w:szCs w:val="18"/>
              </w:rPr>
              <w:t>10</w:t>
            </w:r>
          </w:p>
        </w:tc>
        <w:tc>
          <w:tcPr>
            <w:tcW w:w="1274" w:type="dxa"/>
            <w:gridSpan w:val="2"/>
          </w:tcPr>
          <w:p w:rsidR="006E668B" w:rsidRPr="006E668B" w:rsidRDefault="006E668B" w:rsidP="006E668B">
            <w:pPr>
              <w:pStyle w:val="TableParagraph"/>
              <w:spacing w:line="275" w:lineRule="exact"/>
              <w:ind w:left="70"/>
              <w:jc w:val="center"/>
              <w:rPr>
                <w:rFonts w:ascii="Arial" w:hAnsi="Arial" w:cs="Arial"/>
                <w:b/>
                <w:sz w:val="18"/>
                <w:szCs w:val="18"/>
              </w:rPr>
            </w:pPr>
            <w:r w:rsidRPr="006E668B">
              <w:rPr>
                <w:rFonts w:ascii="Arial" w:hAnsi="Arial" w:cs="Arial"/>
                <w:b/>
                <w:sz w:val="18"/>
                <w:szCs w:val="18"/>
              </w:rPr>
              <w:t>0</w:t>
            </w:r>
          </w:p>
        </w:tc>
      </w:tr>
      <w:tr w:rsidR="006F4706" w:rsidRPr="006E668B" w:rsidTr="006F4706">
        <w:tblPrEx>
          <w:tblLook w:val="04A0" w:firstRow="1" w:lastRow="0" w:firstColumn="1" w:lastColumn="0" w:noHBand="0" w:noVBand="1"/>
        </w:tblPrEx>
        <w:trPr>
          <w:trHeight w:val="414"/>
        </w:trPr>
        <w:tc>
          <w:tcPr>
            <w:tcW w:w="1979" w:type="dxa"/>
            <w:vMerge w:val="restart"/>
          </w:tcPr>
          <w:p w:rsidR="006F4706" w:rsidRPr="006E668B" w:rsidRDefault="006F4706" w:rsidP="006F4706">
            <w:pPr>
              <w:pStyle w:val="TableParagraph"/>
              <w:spacing w:line="240" w:lineRule="auto"/>
              <w:ind w:left="0"/>
              <w:rPr>
                <w:rFonts w:ascii="Arial" w:hAnsi="Arial" w:cs="Arial"/>
                <w:sz w:val="18"/>
                <w:szCs w:val="18"/>
              </w:rPr>
            </w:pPr>
          </w:p>
          <w:p w:rsidR="006F4706" w:rsidRPr="006E668B" w:rsidRDefault="006F4706" w:rsidP="006F4706">
            <w:pPr>
              <w:pStyle w:val="TableParagraph"/>
              <w:spacing w:line="240" w:lineRule="auto"/>
              <w:ind w:left="0"/>
              <w:rPr>
                <w:rFonts w:ascii="Arial" w:hAnsi="Arial" w:cs="Arial"/>
                <w:sz w:val="18"/>
                <w:szCs w:val="18"/>
              </w:rPr>
            </w:pPr>
          </w:p>
          <w:p w:rsidR="006F4706" w:rsidRPr="006E668B" w:rsidRDefault="006F4706" w:rsidP="006F4706">
            <w:pPr>
              <w:pStyle w:val="TableParagraph"/>
              <w:spacing w:line="240" w:lineRule="auto"/>
              <w:ind w:left="69"/>
              <w:rPr>
                <w:rFonts w:ascii="Arial" w:hAnsi="Arial" w:cs="Arial"/>
                <w:b/>
                <w:sz w:val="18"/>
                <w:szCs w:val="18"/>
              </w:rPr>
            </w:pPr>
            <w:r w:rsidRPr="006E668B">
              <w:rPr>
                <w:rFonts w:ascii="Arial" w:hAnsi="Arial" w:cs="Arial"/>
                <w:b/>
                <w:sz w:val="18"/>
                <w:szCs w:val="18"/>
              </w:rPr>
              <w:t>18-25</w:t>
            </w:r>
          </w:p>
        </w:tc>
        <w:tc>
          <w:tcPr>
            <w:tcW w:w="1419" w:type="dxa"/>
          </w:tcPr>
          <w:p w:rsidR="006F4706" w:rsidRPr="006E668B" w:rsidRDefault="006F4706" w:rsidP="006F4706">
            <w:pPr>
              <w:pStyle w:val="TableParagraph"/>
              <w:spacing w:before="1" w:line="240" w:lineRule="auto"/>
              <w:rPr>
                <w:rFonts w:ascii="Arial" w:hAnsi="Arial" w:cs="Arial"/>
                <w:b/>
                <w:sz w:val="18"/>
                <w:szCs w:val="18"/>
              </w:rPr>
            </w:pPr>
            <w:r w:rsidRPr="006E668B">
              <w:rPr>
                <w:rFonts w:ascii="Arial" w:hAnsi="Arial" w:cs="Arial"/>
                <w:b/>
                <w:sz w:val="18"/>
                <w:szCs w:val="18"/>
              </w:rPr>
              <w:t>2020</w:t>
            </w:r>
          </w:p>
        </w:tc>
        <w:tc>
          <w:tcPr>
            <w:tcW w:w="1274" w:type="dxa"/>
          </w:tcPr>
          <w:p w:rsidR="006F4706" w:rsidRPr="006E668B" w:rsidRDefault="006F4706" w:rsidP="006F4706">
            <w:pPr>
              <w:pStyle w:val="TableParagraph"/>
              <w:spacing w:before="1" w:line="240" w:lineRule="auto"/>
              <w:rPr>
                <w:rFonts w:ascii="Arial" w:hAnsi="Arial" w:cs="Arial"/>
                <w:b/>
                <w:sz w:val="18"/>
                <w:szCs w:val="18"/>
              </w:rPr>
            </w:pPr>
            <w:r w:rsidRPr="006E668B">
              <w:rPr>
                <w:rFonts w:ascii="Arial" w:hAnsi="Arial" w:cs="Arial"/>
                <w:b/>
                <w:sz w:val="18"/>
                <w:szCs w:val="18"/>
              </w:rPr>
              <w:t>2021</w:t>
            </w:r>
          </w:p>
        </w:tc>
        <w:tc>
          <w:tcPr>
            <w:tcW w:w="1428" w:type="dxa"/>
            <w:gridSpan w:val="2"/>
          </w:tcPr>
          <w:p w:rsidR="006F4706" w:rsidRPr="006E668B" w:rsidRDefault="006F4706" w:rsidP="006F4706">
            <w:pPr>
              <w:pStyle w:val="TableParagraph"/>
              <w:spacing w:before="1" w:line="240" w:lineRule="auto"/>
              <w:rPr>
                <w:rFonts w:ascii="Arial" w:hAnsi="Arial" w:cs="Arial"/>
                <w:b/>
                <w:sz w:val="18"/>
                <w:szCs w:val="18"/>
              </w:rPr>
            </w:pPr>
            <w:r w:rsidRPr="006E668B">
              <w:rPr>
                <w:rFonts w:ascii="Arial" w:hAnsi="Arial" w:cs="Arial"/>
                <w:b/>
                <w:sz w:val="18"/>
                <w:szCs w:val="18"/>
              </w:rPr>
              <w:t>2020</w:t>
            </w:r>
          </w:p>
        </w:tc>
        <w:tc>
          <w:tcPr>
            <w:tcW w:w="1276" w:type="dxa"/>
            <w:gridSpan w:val="2"/>
          </w:tcPr>
          <w:p w:rsidR="006F4706" w:rsidRPr="006E668B" w:rsidRDefault="006F4706" w:rsidP="006F4706">
            <w:pPr>
              <w:pStyle w:val="TableParagraph"/>
              <w:spacing w:before="1" w:line="240" w:lineRule="auto"/>
              <w:rPr>
                <w:rFonts w:ascii="Arial" w:hAnsi="Arial" w:cs="Arial"/>
                <w:b/>
                <w:sz w:val="18"/>
                <w:szCs w:val="18"/>
              </w:rPr>
            </w:pPr>
            <w:r w:rsidRPr="006E668B">
              <w:rPr>
                <w:rFonts w:ascii="Arial" w:hAnsi="Arial" w:cs="Arial"/>
                <w:b/>
                <w:sz w:val="18"/>
                <w:szCs w:val="18"/>
              </w:rPr>
              <w:t>2021</w:t>
            </w:r>
          </w:p>
        </w:tc>
      </w:tr>
      <w:tr w:rsidR="006F4706" w:rsidRPr="006E668B" w:rsidTr="006E668B">
        <w:tblPrEx>
          <w:tblLook w:val="04A0" w:firstRow="1" w:lastRow="0" w:firstColumn="1" w:lastColumn="0" w:noHBand="0" w:noVBand="1"/>
        </w:tblPrEx>
        <w:trPr>
          <w:gridAfter w:val="1"/>
          <w:wAfter w:w="12" w:type="dxa"/>
          <w:trHeight w:val="1242"/>
        </w:trPr>
        <w:tc>
          <w:tcPr>
            <w:tcW w:w="1979" w:type="dxa"/>
            <w:vMerge/>
          </w:tcPr>
          <w:p w:rsidR="006F4706" w:rsidRPr="006E668B" w:rsidRDefault="006F4706" w:rsidP="006F4706">
            <w:pPr>
              <w:rPr>
                <w:rFonts w:cs="Arial"/>
                <w:sz w:val="18"/>
                <w:szCs w:val="18"/>
              </w:rPr>
            </w:pPr>
          </w:p>
        </w:tc>
        <w:tc>
          <w:tcPr>
            <w:tcW w:w="1419" w:type="dxa"/>
          </w:tcPr>
          <w:p w:rsidR="006F4706" w:rsidRPr="006E668B" w:rsidRDefault="006F4706" w:rsidP="006F4706">
            <w:pPr>
              <w:pStyle w:val="TableParagraph"/>
              <w:spacing w:before="1" w:line="360" w:lineRule="auto"/>
              <w:ind w:right="101"/>
              <w:rPr>
                <w:rFonts w:ascii="Arial" w:hAnsi="Arial" w:cs="Arial"/>
                <w:b/>
                <w:sz w:val="18"/>
                <w:szCs w:val="18"/>
              </w:rPr>
            </w:pPr>
            <w:r w:rsidRPr="006E668B">
              <w:rPr>
                <w:rFonts w:ascii="Arial" w:hAnsi="Arial" w:cs="Arial"/>
                <w:b/>
                <w:sz w:val="18"/>
                <w:szCs w:val="18"/>
              </w:rPr>
              <w:t>erfolgreiche Abschie-bungen</w:t>
            </w:r>
          </w:p>
        </w:tc>
        <w:tc>
          <w:tcPr>
            <w:tcW w:w="1274" w:type="dxa"/>
          </w:tcPr>
          <w:p w:rsidR="006F4706" w:rsidRPr="006E668B" w:rsidRDefault="006F4706" w:rsidP="006F4706">
            <w:pPr>
              <w:pStyle w:val="TableParagraph"/>
              <w:spacing w:before="1" w:line="360" w:lineRule="auto"/>
              <w:ind w:left="68" w:right="197"/>
              <w:rPr>
                <w:rFonts w:ascii="Arial" w:hAnsi="Arial" w:cs="Arial"/>
                <w:b/>
                <w:sz w:val="18"/>
                <w:szCs w:val="18"/>
              </w:rPr>
            </w:pPr>
            <w:r w:rsidRPr="006E668B">
              <w:rPr>
                <w:rFonts w:ascii="Arial" w:hAnsi="Arial" w:cs="Arial"/>
                <w:b/>
                <w:sz w:val="18"/>
                <w:szCs w:val="18"/>
              </w:rPr>
              <w:t>versuchte Abschie-bungen</w:t>
            </w:r>
          </w:p>
        </w:tc>
        <w:tc>
          <w:tcPr>
            <w:tcW w:w="1418" w:type="dxa"/>
          </w:tcPr>
          <w:p w:rsidR="006F4706" w:rsidRPr="006E668B" w:rsidRDefault="006F4706" w:rsidP="006F4706">
            <w:pPr>
              <w:pStyle w:val="TableParagraph"/>
              <w:spacing w:before="1" w:line="360" w:lineRule="auto"/>
              <w:ind w:right="99"/>
              <w:rPr>
                <w:rFonts w:ascii="Arial" w:hAnsi="Arial" w:cs="Arial"/>
                <w:b/>
                <w:sz w:val="18"/>
                <w:szCs w:val="18"/>
              </w:rPr>
            </w:pPr>
            <w:r w:rsidRPr="006E668B">
              <w:rPr>
                <w:rFonts w:ascii="Arial" w:hAnsi="Arial" w:cs="Arial"/>
                <w:b/>
                <w:sz w:val="18"/>
                <w:szCs w:val="18"/>
              </w:rPr>
              <w:t>erfolgreiche Abschie-bungen</w:t>
            </w:r>
          </w:p>
        </w:tc>
        <w:tc>
          <w:tcPr>
            <w:tcW w:w="1274" w:type="dxa"/>
            <w:gridSpan w:val="2"/>
          </w:tcPr>
          <w:p w:rsidR="006F4706" w:rsidRPr="006E668B" w:rsidRDefault="006F4706" w:rsidP="006F4706">
            <w:pPr>
              <w:pStyle w:val="TableParagraph"/>
              <w:spacing w:before="1" w:line="360" w:lineRule="auto"/>
              <w:ind w:left="70" w:right="196"/>
              <w:rPr>
                <w:rFonts w:ascii="Arial" w:hAnsi="Arial" w:cs="Arial"/>
                <w:b/>
                <w:sz w:val="18"/>
                <w:szCs w:val="18"/>
              </w:rPr>
            </w:pPr>
            <w:r w:rsidRPr="006E668B">
              <w:rPr>
                <w:rFonts w:ascii="Arial" w:hAnsi="Arial" w:cs="Arial"/>
                <w:b/>
                <w:sz w:val="18"/>
                <w:szCs w:val="18"/>
              </w:rPr>
              <w:t>versuchte Abschie-bungen</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afghanisch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26</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42</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albanisch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12</w:t>
            </w:r>
          </w:p>
        </w:tc>
        <w:tc>
          <w:tcPr>
            <w:tcW w:w="1274" w:type="dxa"/>
            <w:gridSpan w:val="2"/>
          </w:tcPr>
          <w:p w:rsidR="006F4706" w:rsidRPr="006E668B" w:rsidRDefault="006F4706" w:rsidP="006F4706">
            <w:pPr>
              <w:pStyle w:val="TableParagraph"/>
              <w:ind w:left="70"/>
              <w:jc w:val="center"/>
              <w:rPr>
                <w:rFonts w:ascii="Arial" w:hAnsi="Arial" w:cs="Arial"/>
                <w:sz w:val="18"/>
                <w:szCs w:val="18"/>
              </w:rPr>
            </w:pPr>
            <w:r w:rsidRPr="006E668B">
              <w:rPr>
                <w:rFonts w:ascii="Arial" w:hAnsi="Arial" w:cs="Arial"/>
                <w:sz w:val="18"/>
                <w:szCs w:val="18"/>
              </w:rPr>
              <w:t>1</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algerisch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3</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armenisch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5</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aserbaidschanisch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spacing w:line="272" w:lineRule="exact"/>
              <w:ind w:left="68"/>
              <w:jc w:val="center"/>
              <w:rPr>
                <w:rFonts w:ascii="Arial" w:hAnsi="Arial" w:cs="Arial"/>
                <w:sz w:val="18"/>
                <w:szCs w:val="18"/>
              </w:rPr>
            </w:pPr>
            <w:r w:rsidRPr="006E668B">
              <w:rPr>
                <w:rFonts w:ascii="Arial" w:hAnsi="Arial" w:cs="Arial"/>
                <w:sz w:val="18"/>
                <w:szCs w:val="18"/>
              </w:rPr>
              <w:t>3</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4</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äthiopisch</w:t>
            </w:r>
          </w:p>
        </w:tc>
        <w:tc>
          <w:tcPr>
            <w:tcW w:w="1419" w:type="dxa"/>
          </w:tcPr>
          <w:p w:rsidR="006F4706" w:rsidRPr="006E668B" w:rsidRDefault="006F4706" w:rsidP="006F4706">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3</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1" w:lineRule="exact"/>
              <w:ind w:left="69"/>
              <w:rPr>
                <w:rFonts w:ascii="Arial" w:hAnsi="Arial" w:cs="Arial"/>
                <w:sz w:val="18"/>
                <w:szCs w:val="18"/>
              </w:rPr>
            </w:pPr>
            <w:r w:rsidRPr="006E668B">
              <w:rPr>
                <w:rFonts w:ascii="Arial" w:hAnsi="Arial" w:cs="Arial"/>
                <w:sz w:val="18"/>
                <w:szCs w:val="18"/>
              </w:rPr>
              <w:t>beninisch</w:t>
            </w:r>
          </w:p>
        </w:tc>
        <w:tc>
          <w:tcPr>
            <w:tcW w:w="1419" w:type="dxa"/>
          </w:tcPr>
          <w:p w:rsidR="006F4706" w:rsidRPr="006E668B" w:rsidRDefault="006F4706" w:rsidP="006F4706">
            <w:pPr>
              <w:pStyle w:val="TableParagraph"/>
              <w:spacing w:line="271"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71"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1"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spacing w:line="271"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827"/>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bosnisch-herzego-</w:t>
            </w:r>
          </w:p>
          <w:p w:rsidR="006F4706" w:rsidRPr="006E668B" w:rsidRDefault="006F4706" w:rsidP="006F4706">
            <w:pPr>
              <w:pStyle w:val="TableParagraph"/>
              <w:spacing w:before="139" w:line="240" w:lineRule="auto"/>
              <w:ind w:left="69"/>
              <w:rPr>
                <w:rFonts w:ascii="Arial" w:hAnsi="Arial" w:cs="Arial"/>
                <w:sz w:val="18"/>
                <w:szCs w:val="18"/>
              </w:rPr>
            </w:pPr>
            <w:r w:rsidRPr="006E668B">
              <w:rPr>
                <w:rFonts w:ascii="Arial" w:hAnsi="Arial" w:cs="Arial"/>
                <w:sz w:val="18"/>
                <w:szCs w:val="18"/>
              </w:rPr>
              <w:t>winisch</w:t>
            </w:r>
          </w:p>
        </w:tc>
        <w:tc>
          <w:tcPr>
            <w:tcW w:w="1419" w:type="dxa"/>
          </w:tcPr>
          <w:p w:rsidR="006F4706" w:rsidRPr="006E668B" w:rsidRDefault="006F4706" w:rsidP="006F4706">
            <w:pPr>
              <w:pStyle w:val="TableParagraph"/>
              <w:spacing w:line="240" w:lineRule="auto"/>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40" w:lineRule="auto"/>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40" w:lineRule="auto"/>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spacing w:line="240" w:lineRule="auto"/>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bulgarisch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3</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eritreisch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gambisch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4</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4</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georgisch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4</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ghanaisch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griechisch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irakisch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3</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5</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iranisch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ivorisch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jemenitisch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jordanisch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kasachisch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827"/>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kongolesisch, Dem.</w:t>
            </w:r>
          </w:p>
          <w:p w:rsidR="006F4706" w:rsidRPr="006E668B" w:rsidRDefault="006F4706" w:rsidP="006F4706">
            <w:pPr>
              <w:pStyle w:val="TableParagraph"/>
              <w:spacing w:before="139" w:line="240" w:lineRule="auto"/>
              <w:ind w:left="69"/>
              <w:rPr>
                <w:rFonts w:ascii="Arial" w:hAnsi="Arial" w:cs="Arial"/>
                <w:sz w:val="18"/>
                <w:szCs w:val="18"/>
              </w:rPr>
            </w:pPr>
            <w:r w:rsidRPr="006E668B">
              <w:rPr>
                <w:rFonts w:ascii="Arial" w:hAnsi="Arial" w:cs="Arial"/>
                <w:sz w:val="18"/>
                <w:szCs w:val="18"/>
              </w:rPr>
              <w:t>Rep.</w:t>
            </w:r>
          </w:p>
        </w:tc>
        <w:tc>
          <w:tcPr>
            <w:tcW w:w="1419" w:type="dxa"/>
          </w:tcPr>
          <w:p w:rsidR="006F4706" w:rsidRPr="006E668B" w:rsidRDefault="006F4706" w:rsidP="006F4706">
            <w:pPr>
              <w:pStyle w:val="TableParagraph"/>
              <w:spacing w:line="240" w:lineRule="auto"/>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40" w:lineRule="auto"/>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40" w:lineRule="auto"/>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spacing w:line="240" w:lineRule="auto"/>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kosovarisch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kroatisch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lastRenderedPageBreak/>
              <w:t>litauisch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1"/>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malisch</w:t>
            </w:r>
          </w:p>
        </w:tc>
        <w:tc>
          <w:tcPr>
            <w:tcW w:w="1419" w:type="dxa"/>
          </w:tcPr>
          <w:p w:rsidR="006F4706" w:rsidRPr="006E668B" w:rsidRDefault="006F4706" w:rsidP="006F4706">
            <w:pPr>
              <w:pStyle w:val="TableParagraph"/>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marokkanisch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moldawisch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4</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montenegrinisch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nigerianisch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6</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nordmazedonisch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4</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pakistanisch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rumänisch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4</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4</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russisch föderativ</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68"/>
              <w:jc w:val="center"/>
              <w:rPr>
                <w:rFonts w:ascii="Arial" w:hAnsi="Arial" w:cs="Arial"/>
                <w:sz w:val="18"/>
                <w:szCs w:val="18"/>
              </w:rPr>
            </w:pPr>
            <w:r w:rsidRPr="006E668B">
              <w:rPr>
                <w:rFonts w:ascii="Arial" w:hAnsi="Arial" w:cs="Arial"/>
                <w:sz w:val="18"/>
                <w:szCs w:val="18"/>
              </w:rPr>
              <w:t>1</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5</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senegalesisch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7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serbisch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3</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serbisch (alt)</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ind w:left="132"/>
              <w:jc w:val="center"/>
              <w:rPr>
                <w:rFonts w:ascii="Arial" w:hAnsi="Arial" w:cs="Arial"/>
                <w:sz w:val="18"/>
                <w:szCs w:val="18"/>
              </w:rPr>
            </w:pPr>
            <w:r w:rsidRPr="006E668B">
              <w:rPr>
                <w:rFonts w:ascii="Arial" w:hAnsi="Arial" w:cs="Arial"/>
                <w:sz w:val="18"/>
                <w:szCs w:val="18"/>
              </w:rPr>
              <w:t>0</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sierra leonisch</w:t>
            </w:r>
          </w:p>
        </w:tc>
        <w:tc>
          <w:tcPr>
            <w:tcW w:w="1419" w:type="dxa"/>
          </w:tcPr>
          <w:p w:rsidR="006F4706" w:rsidRPr="006E668B" w:rsidRDefault="006F4706" w:rsidP="006F4706">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slowakisch</w:t>
            </w:r>
          </w:p>
        </w:tc>
        <w:tc>
          <w:tcPr>
            <w:tcW w:w="1419" w:type="dxa"/>
          </w:tcPr>
          <w:p w:rsidR="006F4706" w:rsidRPr="006E668B" w:rsidRDefault="006F4706" w:rsidP="006F4706">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1" w:lineRule="exact"/>
              <w:ind w:left="69"/>
              <w:rPr>
                <w:rFonts w:ascii="Arial" w:hAnsi="Arial" w:cs="Arial"/>
                <w:sz w:val="18"/>
                <w:szCs w:val="18"/>
              </w:rPr>
            </w:pPr>
            <w:r w:rsidRPr="006E668B">
              <w:rPr>
                <w:rFonts w:ascii="Arial" w:hAnsi="Arial" w:cs="Arial"/>
                <w:sz w:val="18"/>
                <w:szCs w:val="18"/>
              </w:rPr>
              <w:t>somalisch</w:t>
            </w:r>
          </w:p>
        </w:tc>
        <w:tc>
          <w:tcPr>
            <w:tcW w:w="1419" w:type="dxa"/>
          </w:tcPr>
          <w:p w:rsidR="006F4706" w:rsidRPr="006E668B" w:rsidRDefault="006F4706" w:rsidP="006F4706">
            <w:pPr>
              <w:pStyle w:val="TableParagraph"/>
              <w:spacing w:line="271" w:lineRule="exact"/>
              <w:jc w:val="center"/>
              <w:rPr>
                <w:rFonts w:ascii="Arial" w:hAnsi="Arial" w:cs="Arial"/>
                <w:sz w:val="18"/>
                <w:szCs w:val="18"/>
              </w:rPr>
            </w:pPr>
            <w:r w:rsidRPr="006E668B">
              <w:rPr>
                <w:rFonts w:ascii="Arial" w:hAnsi="Arial" w:cs="Arial"/>
                <w:sz w:val="18"/>
                <w:szCs w:val="18"/>
              </w:rPr>
              <w:t>3</w:t>
            </w:r>
          </w:p>
        </w:tc>
        <w:tc>
          <w:tcPr>
            <w:tcW w:w="1274" w:type="dxa"/>
          </w:tcPr>
          <w:p w:rsidR="006F4706" w:rsidRPr="006E668B" w:rsidRDefault="006F4706" w:rsidP="006F4706">
            <w:pPr>
              <w:pStyle w:val="TableParagraph"/>
              <w:spacing w:line="271"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1" w:lineRule="exact"/>
              <w:jc w:val="center"/>
              <w:rPr>
                <w:rFonts w:ascii="Arial" w:hAnsi="Arial" w:cs="Arial"/>
                <w:sz w:val="18"/>
                <w:szCs w:val="18"/>
              </w:rPr>
            </w:pPr>
            <w:r w:rsidRPr="006E668B">
              <w:rPr>
                <w:rFonts w:ascii="Arial" w:hAnsi="Arial" w:cs="Arial"/>
                <w:sz w:val="18"/>
                <w:szCs w:val="18"/>
              </w:rPr>
              <w:t>9</w:t>
            </w:r>
          </w:p>
        </w:tc>
        <w:tc>
          <w:tcPr>
            <w:tcW w:w="1274" w:type="dxa"/>
            <w:gridSpan w:val="2"/>
          </w:tcPr>
          <w:p w:rsidR="006F4706" w:rsidRPr="006E668B" w:rsidRDefault="006F4706" w:rsidP="006F4706">
            <w:pPr>
              <w:pStyle w:val="TableParagraph"/>
              <w:spacing w:line="271"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syrisch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16</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1"/>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tadschikisch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2</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tunesisch</w:t>
            </w:r>
          </w:p>
        </w:tc>
        <w:tc>
          <w:tcPr>
            <w:tcW w:w="1419" w:type="dxa"/>
          </w:tcPr>
          <w:p w:rsidR="006F4706" w:rsidRPr="006E668B" w:rsidRDefault="006F4706" w:rsidP="006F4706">
            <w:pPr>
              <w:pStyle w:val="TableParagraph"/>
              <w:spacing w:line="272" w:lineRule="exact"/>
              <w:ind w:left="131"/>
              <w:jc w:val="center"/>
              <w:rPr>
                <w:rFonts w:ascii="Arial" w:hAnsi="Arial" w:cs="Arial"/>
                <w:sz w:val="18"/>
                <w:szCs w:val="18"/>
              </w:rPr>
            </w:pPr>
            <w:r w:rsidRPr="006E668B">
              <w:rPr>
                <w:rFonts w:ascii="Arial" w:hAnsi="Arial" w:cs="Arial"/>
                <w:sz w:val="18"/>
                <w:szCs w:val="18"/>
              </w:rPr>
              <w:t>0</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türkisch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7</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8</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2"/>
        </w:trPr>
        <w:tc>
          <w:tcPr>
            <w:tcW w:w="1979" w:type="dxa"/>
          </w:tcPr>
          <w:p w:rsidR="006F4706" w:rsidRPr="006E668B" w:rsidRDefault="006F4706" w:rsidP="006F4706">
            <w:pPr>
              <w:pStyle w:val="TableParagraph"/>
              <w:ind w:left="69"/>
              <w:rPr>
                <w:rFonts w:ascii="Arial" w:hAnsi="Arial" w:cs="Arial"/>
                <w:sz w:val="18"/>
                <w:szCs w:val="18"/>
              </w:rPr>
            </w:pPr>
            <w:r w:rsidRPr="006E668B">
              <w:rPr>
                <w:rFonts w:ascii="Arial" w:hAnsi="Arial" w:cs="Arial"/>
                <w:sz w:val="18"/>
                <w:szCs w:val="18"/>
              </w:rPr>
              <w:t>ukrainisch</w:t>
            </w:r>
          </w:p>
        </w:tc>
        <w:tc>
          <w:tcPr>
            <w:tcW w:w="1419"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5</w:t>
            </w:r>
          </w:p>
        </w:tc>
        <w:tc>
          <w:tcPr>
            <w:tcW w:w="1274" w:type="dxa"/>
          </w:tcPr>
          <w:p w:rsidR="006F4706" w:rsidRPr="006E668B" w:rsidRDefault="006F4706" w:rsidP="006F4706">
            <w:pPr>
              <w:pStyle w:val="TableParagraph"/>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jc w:val="center"/>
              <w:rPr>
                <w:rFonts w:ascii="Arial" w:hAnsi="Arial" w:cs="Arial"/>
                <w:sz w:val="18"/>
                <w:szCs w:val="18"/>
              </w:rPr>
            </w:pPr>
            <w:r w:rsidRPr="006E668B">
              <w:rPr>
                <w:rFonts w:ascii="Arial" w:hAnsi="Arial" w:cs="Arial"/>
                <w:sz w:val="18"/>
                <w:szCs w:val="18"/>
              </w:rPr>
              <w:t>3</w:t>
            </w:r>
          </w:p>
        </w:tc>
        <w:tc>
          <w:tcPr>
            <w:tcW w:w="1274" w:type="dxa"/>
            <w:gridSpan w:val="2"/>
          </w:tcPr>
          <w:p w:rsidR="006F4706" w:rsidRPr="006E668B" w:rsidRDefault="006F4706" w:rsidP="006F4706">
            <w:pPr>
              <w:pStyle w:val="TableParagraph"/>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2" w:lineRule="exact"/>
              <w:ind w:left="69"/>
              <w:rPr>
                <w:rFonts w:ascii="Arial" w:hAnsi="Arial" w:cs="Arial"/>
                <w:sz w:val="18"/>
                <w:szCs w:val="18"/>
              </w:rPr>
            </w:pPr>
            <w:r w:rsidRPr="006E668B">
              <w:rPr>
                <w:rFonts w:ascii="Arial" w:hAnsi="Arial" w:cs="Arial"/>
                <w:sz w:val="18"/>
                <w:szCs w:val="18"/>
              </w:rPr>
              <w:t>ungarisch</w:t>
            </w:r>
          </w:p>
        </w:tc>
        <w:tc>
          <w:tcPr>
            <w:tcW w:w="1419"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1</w:t>
            </w:r>
          </w:p>
        </w:tc>
        <w:tc>
          <w:tcPr>
            <w:tcW w:w="1274" w:type="dxa"/>
          </w:tcPr>
          <w:p w:rsidR="006F4706" w:rsidRPr="006E668B" w:rsidRDefault="006F4706" w:rsidP="006F4706">
            <w:pPr>
              <w:pStyle w:val="TableParagraph"/>
              <w:spacing w:line="272" w:lineRule="exact"/>
              <w:ind w:left="128"/>
              <w:jc w:val="center"/>
              <w:rPr>
                <w:rFonts w:ascii="Arial" w:hAnsi="Arial" w:cs="Arial"/>
                <w:sz w:val="18"/>
                <w:szCs w:val="18"/>
              </w:rPr>
            </w:pPr>
            <w:r w:rsidRPr="006E668B">
              <w:rPr>
                <w:rFonts w:ascii="Arial" w:hAnsi="Arial" w:cs="Arial"/>
                <w:sz w:val="18"/>
                <w:szCs w:val="18"/>
              </w:rPr>
              <w:t>0</w:t>
            </w:r>
          </w:p>
        </w:tc>
        <w:tc>
          <w:tcPr>
            <w:tcW w:w="1418" w:type="dxa"/>
          </w:tcPr>
          <w:p w:rsidR="006F4706" w:rsidRPr="006E668B" w:rsidRDefault="006F4706" w:rsidP="006F4706">
            <w:pPr>
              <w:pStyle w:val="TableParagraph"/>
              <w:spacing w:line="272" w:lineRule="exact"/>
              <w:jc w:val="center"/>
              <w:rPr>
                <w:rFonts w:ascii="Arial" w:hAnsi="Arial" w:cs="Arial"/>
                <w:sz w:val="18"/>
                <w:szCs w:val="18"/>
              </w:rPr>
            </w:pPr>
            <w:r w:rsidRPr="006E668B">
              <w:rPr>
                <w:rFonts w:ascii="Arial" w:hAnsi="Arial" w:cs="Arial"/>
                <w:sz w:val="18"/>
                <w:szCs w:val="18"/>
              </w:rPr>
              <w:t>2</w:t>
            </w:r>
          </w:p>
        </w:tc>
        <w:tc>
          <w:tcPr>
            <w:tcW w:w="1274" w:type="dxa"/>
            <w:gridSpan w:val="2"/>
          </w:tcPr>
          <w:p w:rsidR="006F4706" w:rsidRPr="006E668B" w:rsidRDefault="006F4706" w:rsidP="006F4706">
            <w:pPr>
              <w:pStyle w:val="TableParagraph"/>
              <w:spacing w:line="272" w:lineRule="exact"/>
              <w:ind w:left="130"/>
              <w:jc w:val="center"/>
              <w:rPr>
                <w:rFonts w:ascii="Arial" w:hAnsi="Arial" w:cs="Arial"/>
                <w:sz w:val="18"/>
                <w:szCs w:val="18"/>
              </w:rPr>
            </w:pPr>
            <w:r w:rsidRPr="006E668B">
              <w:rPr>
                <w:rFonts w:ascii="Arial" w:hAnsi="Arial" w:cs="Arial"/>
                <w:sz w:val="18"/>
                <w:szCs w:val="18"/>
              </w:rPr>
              <w:t>0</w:t>
            </w:r>
          </w:p>
        </w:tc>
      </w:tr>
      <w:tr w:rsidR="006F4706" w:rsidRPr="006E668B" w:rsidTr="006E668B">
        <w:tblPrEx>
          <w:tblLook w:val="04A0" w:firstRow="1" w:lastRow="0" w:firstColumn="1" w:lastColumn="0" w:noHBand="0" w:noVBand="1"/>
        </w:tblPrEx>
        <w:trPr>
          <w:gridAfter w:val="1"/>
          <w:wAfter w:w="12" w:type="dxa"/>
          <w:trHeight w:val="414"/>
        </w:trPr>
        <w:tc>
          <w:tcPr>
            <w:tcW w:w="1979" w:type="dxa"/>
          </w:tcPr>
          <w:p w:rsidR="006F4706" w:rsidRPr="006E668B" w:rsidRDefault="006F4706" w:rsidP="006F4706">
            <w:pPr>
              <w:pStyle w:val="TableParagraph"/>
              <w:spacing w:line="275" w:lineRule="exact"/>
              <w:ind w:left="69"/>
              <w:rPr>
                <w:rFonts w:ascii="Arial" w:hAnsi="Arial" w:cs="Arial"/>
                <w:b/>
                <w:sz w:val="18"/>
                <w:szCs w:val="18"/>
              </w:rPr>
            </w:pPr>
            <w:r w:rsidRPr="006E668B">
              <w:rPr>
                <w:rFonts w:ascii="Arial" w:hAnsi="Arial" w:cs="Arial"/>
                <w:b/>
                <w:sz w:val="18"/>
                <w:szCs w:val="18"/>
              </w:rPr>
              <w:t>Gesamtergebnis</w:t>
            </w:r>
          </w:p>
        </w:tc>
        <w:tc>
          <w:tcPr>
            <w:tcW w:w="1419" w:type="dxa"/>
          </w:tcPr>
          <w:p w:rsidR="006F4706" w:rsidRPr="006E668B" w:rsidRDefault="006F4706" w:rsidP="006F4706">
            <w:pPr>
              <w:pStyle w:val="TableParagraph"/>
              <w:spacing w:line="275" w:lineRule="exact"/>
              <w:jc w:val="center"/>
              <w:rPr>
                <w:rFonts w:ascii="Arial" w:hAnsi="Arial" w:cs="Arial"/>
                <w:b/>
                <w:sz w:val="18"/>
                <w:szCs w:val="18"/>
              </w:rPr>
            </w:pPr>
            <w:r w:rsidRPr="006E668B">
              <w:rPr>
                <w:rFonts w:ascii="Arial" w:hAnsi="Arial" w:cs="Arial"/>
                <w:b/>
                <w:sz w:val="18"/>
                <w:szCs w:val="18"/>
              </w:rPr>
              <w:t>96</w:t>
            </w:r>
          </w:p>
        </w:tc>
        <w:tc>
          <w:tcPr>
            <w:tcW w:w="1274" w:type="dxa"/>
          </w:tcPr>
          <w:p w:rsidR="006F4706" w:rsidRPr="006E668B" w:rsidRDefault="006F4706" w:rsidP="006F4706">
            <w:pPr>
              <w:pStyle w:val="TableParagraph"/>
              <w:spacing w:line="275" w:lineRule="exact"/>
              <w:ind w:left="68"/>
              <w:jc w:val="center"/>
              <w:rPr>
                <w:rFonts w:ascii="Arial" w:hAnsi="Arial" w:cs="Arial"/>
                <w:b/>
                <w:sz w:val="18"/>
                <w:szCs w:val="18"/>
              </w:rPr>
            </w:pPr>
            <w:r w:rsidRPr="006E668B">
              <w:rPr>
                <w:rFonts w:ascii="Arial" w:hAnsi="Arial" w:cs="Arial"/>
                <w:b/>
                <w:sz w:val="18"/>
                <w:szCs w:val="18"/>
              </w:rPr>
              <w:t>4</w:t>
            </w:r>
          </w:p>
        </w:tc>
        <w:tc>
          <w:tcPr>
            <w:tcW w:w="1418" w:type="dxa"/>
          </w:tcPr>
          <w:p w:rsidR="006F4706" w:rsidRPr="006E668B" w:rsidRDefault="006F4706" w:rsidP="006F4706">
            <w:pPr>
              <w:pStyle w:val="TableParagraph"/>
              <w:spacing w:line="275" w:lineRule="exact"/>
              <w:jc w:val="center"/>
              <w:rPr>
                <w:rFonts w:ascii="Arial" w:hAnsi="Arial" w:cs="Arial"/>
                <w:b/>
                <w:sz w:val="18"/>
                <w:szCs w:val="18"/>
              </w:rPr>
            </w:pPr>
            <w:r w:rsidRPr="006E668B">
              <w:rPr>
                <w:rFonts w:ascii="Arial" w:hAnsi="Arial" w:cs="Arial"/>
                <w:b/>
                <w:sz w:val="18"/>
                <w:szCs w:val="18"/>
              </w:rPr>
              <w:t>177</w:t>
            </w:r>
          </w:p>
        </w:tc>
        <w:tc>
          <w:tcPr>
            <w:tcW w:w="1274" w:type="dxa"/>
            <w:gridSpan w:val="2"/>
          </w:tcPr>
          <w:p w:rsidR="006F4706" w:rsidRPr="006E668B" w:rsidRDefault="006F4706" w:rsidP="006F4706">
            <w:pPr>
              <w:pStyle w:val="TableParagraph"/>
              <w:spacing w:line="275" w:lineRule="exact"/>
              <w:ind w:left="70"/>
              <w:jc w:val="center"/>
              <w:rPr>
                <w:rFonts w:ascii="Arial" w:hAnsi="Arial" w:cs="Arial"/>
                <w:b/>
                <w:sz w:val="18"/>
                <w:szCs w:val="18"/>
              </w:rPr>
            </w:pPr>
            <w:r w:rsidRPr="006E668B">
              <w:rPr>
                <w:rFonts w:ascii="Arial" w:hAnsi="Arial" w:cs="Arial"/>
                <w:b/>
                <w:sz w:val="18"/>
                <w:szCs w:val="18"/>
              </w:rPr>
              <w:t>1</w:t>
            </w:r>
          </w:p>
        </w:tc>
      </w:tr>
    </w:tbl>
    <w:p w:rsidR="00635D70" w:rsidRPr="00635D70" w:rsidRDefault="00635D70" w:rsidP="00635D70">
      <w:pPr>
        <w:pStyle w:val="Textkrper"/>
        <w:ind w:left="116"/>
        <w:rPr>
          <w:rFonts w:ascii="Arial" w:hAnsi="Arial" w:cs="Arial"/>
          <w:sz w:val="20"/>
          <w:szCs w:val="20"/>
        </w:rPr>
      </w:pPr>
      <w:r w:rsidRPr="00635D70">
        <w:rPr>
          <w:rFonts w:ascii="Arial" w:hAnsi="Arial" w:cs="Arial"/>
          <w:sz w:val="20"/>
          <w:szCs w:val="20"/>
        </w:rPr>
        <w:t>Quelle: BayAS Statistik Schubmodul (Stand: 31.10.2021)</w:t>
      </w:r>
    </w:p>
    <w:p w:rsidR="00925EDE" w:rsidRDefault="00925EDE" w:rsidP="00635D70">
      <w:pPr>
        <w:pStyle w:val="LTAntwortRessortText"/>
        <w:ind w:left="0"/>
      </w:pPr>
    </w:p>
    <w:p w:rsidR="00925EDE" w:rsidRDefault="00925EDE">
      <w:bookmarkStart w:id="9" w:name="Frage_Nr_4_Ende"/>
      <w:bookmarkEnd w:id="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925EDE" w:rsidTr="007B0B33">
        <w:tc>
          <w:tcPr>
            <w:tcW w:w="2050" w:type="dxa"/>
          </w:tcPr>
          <w:p w:rsidR="00925EDE" w:rsidRDefault="00925EDE" w:rsidP="00925EDE">
            <w:pPr>
              <w:pStyle w:val="LTAnfrageInitiator"/>
            </w:pPr>
            <w:r>
              <w:lastRenderedPageBreak/>
              <w:t>Abgeordnete</w:t>
            </w:r>
            <w:r>
              <w:rPr>
                <w:b/>
              </w:rPr>
              <w:br/>
              <w:t>Gabriele</w:t>
            </w:r>
            <w:r>
              <w:rPr>
                <w:b/>
              </w:rPr>
              <w:br/>
              <w:t>Triebel</w:t>
            </w:r>
            <w:r>
              <w:rPr>
                <w:b/>
              </w:rPr>
              <w:br/>
            </w:r>
            <w:r>
              <w:t>(BÜNDNIS 90/DIE GRÜNEN)</w:t>
            </w:r>
            <w:bookmarkStart w:id="10" w:name="Frage_Nr_5"/>
            <w:bookmarkEnd w:id="10"/>
          </w:p>
        </w:tc>
        <w:tc>
          <w:tcPr>
            <w:tcW w:w="7200" w:type="dxa"/>
          </w:tcPr>
          <w:p w:rsidR="00925EDE" w:rsidRDefault="003A60A1" w:rsidP="00925EDE">
            <w:pPr>
              <w:pStyle w:val="LTAnfrageText"/>
            </w:pPr>
            <w:r w:rsidRPr="00DC70A7">
              <w:t>Ich frage die Staatsregierung, inwiefern der Freistaat Bayern im Zuge der Zuwendung von 450.000 Euro an den Bayerischen Landessportverband (BLSV) zur Erstellung der Digital-Plattform  „BLSVdigital Basis“ die Einhaltung der Vergabevorschriften überprüft hat, wie sich die Verwendung der Fördermittel auf einzelne Komponenten wie zum Beispiel Hardware, Software und Dienstleistung verteilt und welcher Dienstleister die Erstellung der Digital-Plattform „BLSVdigital Basis“ vollzogen hat?</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Die vertiefte Prüfung des Verwendungsnachweises zu dem Pro</w:t>
      </w:r>
      <w:r w:rsidR="00BF2711">
        <w:t>jekt ist noch nicht abgeschlos</w:t>
      </w:r>
      <w:r>
        <w:t xml:space="preserve">sen. Eine Überprüfung der Einhaltung der Vergabevorschriften </w:t>
      </w:r>
      <w:r w:rsidR="00BF2711">
        <w:t>ist daher bislang noch nicht er</w:t>
      </w:r>
      <w:r>
        <w:t>folgt.</w:t>
      </w:r>
    </w:p>
    <w:p w:rsidR="00925EDE" w:rsidRDefault="00925EDE" w:rsidP="00925EDE">
      <w:pPr>
        <w:pStyle w:val="LTAntwortRessortText"/>
      </w:pPr>
      <w:r>
        <w:t>Die im Rahmen des Verwendungsnachweises bisher vorgelegten Rechnungen sind nicht nach Kategorien wie Hardware, Software und Dienstleistung gegliedert. Eine Aufgliederung der</w:t>
      </w:r>
      <w:r w:rsidR="00BF2711">
        <w:t xml:space="preserve"> ein</w:t>
      </w:r>
      <w:r>
        <w:t>gesetzten Fördermittel nach den vorgeschlagenen Bereichen ist der Staatsregierung anhand der vorliegenden Unterlagen daher derzeit noch nicht möglich.</w:t>
      </w:r>
    </w:p>
    <w:p w:rsidR="00925EDE" w:rsidRDefault="00925EDE" w:rsidP="00925EDE">
      <w:pPr>
        <w:pStyle w:val="LTAntwortRessortText"/>
      </w:pPr>
      <w:r>
        <w:t>Im Rahmen des Verwendungsnachweises hat der Bayerisch</w:t>
      </w:r>
      <w:r w:rsidR="00BF2711">
        <w:t>e Landessportverband ausschließ</w:t>
      </w:r>
      <w:r>
        <w:t>li</w:t>
      </w:r>
      <w:r w:rsidR="00C5104E">
        <w:t>ch Rechnungen der Firma athleta </w:t>
      </w:r>
      <w:r>
        <w:t>IT-Service GmbH vo</w:t>
      </w:r>
      <w:r w:rsidR="00761B2E">
        <w:t>rgelegt. Die von der athleta IT-</w:t>
      </w:r>
      <w:r w:rsidR="00C5104E">
        <w:t>Service </w:t>
      </w:r>
      <w:r>
        <w:t>GmbH abgerechneten Kostenpositionen sind teils als Fremdl</w:t>
      </w:r>
      <w:r w:rsidR="00BF2711">
        <w:t>eistung ausgewiesen. Welche Fir</w:t>
      </w:r>
      <w:r>
        <w:t>men zu welchen Konditionen diese Fremdleistung erbracht ha</w:t>
      </w:r>
      <w:r w:rsidR="00BF2711">
        <w:t>ben, wird im Rahmen der vertief</w:t>
      </w:r>
      <w:r>
        <w:t>ten Verwendungsnachweisprüfung betrachtet werden.</w:t>
      </w:r>
    </w:p>
    <w:p w:rsidR="00925EDE" w:rsidRDefault="00925EDE">
      <w:bookmarkStart w:id="11" w:name="Frage_Nr_5_Ende"/>
      <w:bookmarkEnd w:id="1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925EDE" w:rsidTr="007B0B33">
        <w:tc>
          <w:tcPr>
            <w:tcW w:w="2050" w:type="dxa"/>
          </w:tcPr>
          <w:p w:rsidR="00925EDE" w:rsidRDefault="00925EDE" w:rsidP="00925EDE">
            <w:pPr>
              <w:pStyle w:val="LTAnfrageInitiator"/>
            </w:pPr>
            <w:r>
              <w:lastRenderedPageBreak/>
              <w:t>Abgeordneter</w:t>
            </w:r>
            <w:r>
              <w:rPr>
                <w:b/>
              </w:rPr>
              <w:br/>
              <w:t>Andreas</w:t>
            </w:r>
            <w:r>
              <w:rPr>
                <w:b/>
              </w:rPr>
              <w:br/>
              <w:t>Winhart</w:t>
            </w:r>
            <w:r>
              <w:rPr>
                <w:b/>
              </w:rPr>
              <w:br/>
            </w:r>
            <w:r>
              <w:t>(AfD)</w:t>
            </w:r>
            <w:bookmarkStart w:id="12" w:name="Frage_Nr_6"/>
            <w:bookmarkEnd w:id="12"/>
          </w:p>
        </w:tc>
        <w:tc>
          <w:tcPr>
            <w:tcW w:w="7200" w:type="dxa"/>
          </w:tcPr>
          <w:p w:rsidR="00925EDE" w:rsidRDefault="0017089F" w:rsidP="00D01241">
            <w:pPr>
              <w:pStyle w:val="LTAnfrageText"/>
            </w:pPr>
            <w:r w:rsidRPr="00DC70A7">
              <w:t>Ich frage die Staatsregierung, ob Sitzungen kommunaler Gremien in Bayern aktuell der Bayerischen Infektionsschutzmaßnahmenverordnung (BayIfSMV) unterliegen (wenn ja, bitte genau erläutern), ob für Sitzungen k</w:t>
            </w:r>
            <w:r w:rsidR="00D01241">
              <w:t>ommunaler Gremien in Bayern 3G p</w:t>
            </w:r>
            <w:r w:rsidRPr="00DC70A7">
              <w:t>lus</w:t>
            </w:r>
            <w:r w:rsidR="00D01241">
              <w:t>-</w:t>
            </w:r>
            <w:r w:rsidRPr="00DC70A7">
              <w:t xml:space="preserve"> oder 2G-Regelungen eingeführt werden dürfen (bitte genau erläutern, warum dies möglich ist oder nicht) und in wie vielen Kommunen in Bayern bereits die Teilnahme an Sitzungen kommunaler Gremien mittels T</w:t>
            </w:r>
            <w:r w:rsidR="00D01241">
              <w:t>on-Bild-Übertragung nach Art. 47</w:t>
            </w:r>
            <w:r w:rsidRPr="00DC70A7">
              <w:t>a Abs. 1 G</w:t>
            </w:r>
            <w:r w:rsidR="00D01241">
              <w:t>emeindeordnung (GO)</w:t>
            </w:r>
            <w:r w:rsidRPr="00DC70A7">
              <w:t xml:space="preserve"> möglich ist (bitte die Gemeinden / kreisfr. Städte / Landkrei</w:t>
            </w:r>
            <w:r w:rsidR="00D01241">
              <w:t>se nennen, wo dies möglich ist)?</w:t>
            </w:r>
          </w:p>
        </w:tc>
      </w:tr>
    </w:tbl>
    <w:p w:rsidR="00925EDE" w:rsidRDefault="00925EDE" w:rsidP="00925EDE">
      <w:pPr>
        <w:pStyle w:val="LTUeberschrAntwortRessort"/>
      </w:pPr>
      <w:r>
        <w:t>Antwort des Staatsministeriums des Innern, für Sport und Integration</w:t>
      </w:r>
    </w:p>
    <w:p w:rsidR="00925EDE" w:rsidRDefault="00925EDE" w:rsidP="00925EDE">
      <w:pPr>
        <w:pStyle w:val="LTAntwortRessortText"/>
      </w:pPr>
      <w:r>
        <w:t>Die Sitzung</w:t>
      </w:r>
      <w:r w:rsidR="00233910">
        <w:t>en der kommunalen Gremien sind –</w:t>
      </w:r>
      <w:r>
        <w:t xml:space="preserve"> wie auch bere</w:t>
      </w:r>
      <w:r w:rsidR="00233910">
        <w:t>its bisher –</w:t>
      </w:r>
      <w:r w:rsidR="00BF2711">
        <w:t xml:space="preserve"> generell vom Anwen</w:t>
      </w:r>
      <w:r>
        <w:t>dungsbereich der Bayerischen Infektionsschutzmaßna</w:t>
      </w:r>
      <w:r w:rsidR="00BF2711">
        <w:t>hmenverordnung (BayIfSMV) ausge</w:t>
      </w:r>
      <w:r w:rsidR="00233910">
        <w:t>nommen –</w:t>
      </w:r>
      <w:r>
        <w:t xml:space="preserve"> und zwar auch dann, falls sich der Sitzungsraum n</w:t>
      </w:r>
      <w:r w:rsidR="00BF2711">
        <w:t>icht im Rathaus oder einer ande</w:t>
      </w:r>
      <w:r>
        <w:t>ren kommunalen Behörde befindet. Dementsprechend gelte</w:t>
      </w:r>
      <w:r w:rsidR="00BF2711">
        <w:t>n insbesondere auch die Regelun</w:t>
      </w:r>
      <w:r>
        <w:t>gen der BayIfSMV zu Kontakt- oder Zugangsbeschränkungen weder für Mitglieder noch für Besucher von Sitzungen kommunaler Gremien unmittelbar.</w:t>
      </w:r>
    </w:p>
    <w:p w:rsidR="00925EDE" w:rsidRDefault="00925EDE" w:rsidP="00925EDE">
      <w:pPr>
        <w:pStyle w:val="LTAntwortRessortText"/>
      </w:pPr>
      <w:r>
        <w:t xml:space="preserve">Allerdings kann der Vorsitzende für Gremienmitglieder im Rahmen der Sitzungsordnung und für Besucher auf der Grundlage des Hausrechts Anordnungen </w:t>
      </w:r>
      <w:r w:rsidR="00BF2711">
        <w:t>zum Schutz vor Infektionen tref</w:t>
      </w:r>
      <w:r>
        <w:t>fen. Denn in öffentlichen Gremiensitzungen kann es aus Gründen der öffentliche</w:t>
      </w:r>
      <w:r w:rsidR="00BF2711">
        <w:t>n Ordnung ge</w:t>
      </w:r>
      <w:r>
        <w:t>rechtfertigt sein, den aus der Anwesenheit von Gremienmitgl</w:t>
      </w:r>
      <w:r w:rsidR="00BF2711">
        <w:t>iedern und Zuhörern resultieren</w:t>
      </w:r>
      <w:r>
        <w:t>den Gesun</w:t>
      </w:r>
      <w:r w:rsidR="00233910">
        <w:t>dheitsrisiken für die (nach Art 48 Abs. 1 Satz 1 </w:t>
      </w:r>
      <w:r>
        <w:t xml:space="preserve">GO </w:t>
      </w:r>
      <w:r w:rsidR="00BF2711">
        <w:t>zur Sitzungsteilnahme verpflich</w:t>
      </w:r>
      <w:r>
        <w:t>teten) Gremienmitglieder durch geeignete Vorkehrungen entgegenzuwirken und dadurch eine auch von psychologischen Hemmnissen möglichst unbeeinträchtigte Atmosphäre zu schaffen. Zu den objektiv bestehenden Risiken, die sich durch Ma</w:t>
      </w:r>
      <w:r w:rsidR="00BF2711">
        <w:t>ßnahmen des Hausrechts bzw. Ord</w:t>
      </w:r>
      <w:r>
        <w:t>nungsmaßnahmen des Vorsitzenden minimieren lassen, gehört in der aktuellen Pandemielage die mögliche Ansteckung mit dem Coronavirus.</w:t>
      </w:r>
    </w:p>
    <w:p w:rsidR="00925EDE" w:rsidRDefault="00925EDE" w:rsidP="00925EDE">
      <w:pPr>
        <w:pStyle w:val="LTAntwortRessortText"/>
      </w:pPr>
      <w:r>
        <w:t>Dementsprechend sind unter bestimmten Voraussetzungen grundsätzlich auch 3G</w:t>
      </w:r>
      <w:r w:rsidR="002914E5">
        <w:t xml:space="preserve"> p</w:t>
      </w:r>
      <w:r>
        <w:t>lus-Regelungen</w:t>
      </w:r>
      <w:r w:rsidR="009E5C08">
        <w:t xml:space="preserve"> </w:t>
      </w:r>
      <w:r>
        <w:t>für Gremienmitglieder und Besucher sowie 2G-Regelungen für Besucher der Gremiensitzungen</w:t>
      </w:r>
      <w:r w:rsidR="009E5C08">
        <w:t xml:space="preserve"> </w:t>
      </w:r>
      <w:r>
        <w:t>möglich. Das Staatsministerium des Innern, für Sport und Integration (StMI) hat den</w:t>
      </w:r>
      <w:r w:rsidR="009E5C08">
        <w:t xml:space="preserve"> </w:t>
      </w:r>
      <w:r>
        <w:t>Kommunen diesbezüglich auch wiederholt Handlungsempfehlungen an die Hand gegeben, um</w:t>
      </w:r>
      <w:r w:rsidR="009E5C08">
        <w:t xml:space="preserve"> </w:t>
      </w:r>
      <w:r>
        <w:t>auf das regionale Pandemiegeschehen und die örtlichen Gegebenheiten angemessen reagieren</w:t>
      </w:r>
      <w:r w:rsidR="009E5C08">
        <w:t xml:space="preserve"> </w:t>
      </w:r>
      <w:r w:rsidR="00574E93">
        <w:t>zu können –</w:t>
      </w:r>
      <w:r>
        <w:t xml:space="preserve"> so zu</w:t>
      </w:r>
      <w:r w:rsidR="00574E93">
        <w:t>letzt mit Rundschreiben vom 29.11.</w:t>
      </w:r>
      <w:r>
        <w:t>2021. Das Rundschreiben ist auf</w:t>
      </w:r>
      <w:r w:rsidR="009E5C08">
        <w:t xml:space="preserve"> </w:t>
      </w:r>
      <w:r>
        <w:t xml:space="preserve">der Homepage des StMI unter </w:t>
      </w:r>
      <w:hyperlink r:id="rId13" w:history="1">
        <w:r w:rsidR="009E5C08" w:rsidRPr="003B0D79">
          <w:rPr>
            <w:rStyle w:val="LTHyperlinkZchn"/>
            <w:b w:val="0"/>
          </w:rPr>
          <w:t>https://www.innenministerium.bayern.de/kub/komselbstverwaltung/</w:t>
        </w:r>
      </w:hyperlink>
      <w:r w:rsidR="009E5C08" w:rsidRPr="003B0D79">
        <w:rPr>
          <w:rStyle w:val="LTHyperlinkZchn"/>
          <w:b w:val="0"/>
        </w:rPr>
        <w:t xml:space="preserve"> </w:t>
      </w:r>
      <w:r w:rsidRPr="003B0D79">
        <w:rPr>
          <w:rStyle w:val="LTHyperlinkZchn"/>
          <w:b w:val="0"/>
        </w:rPr>
        <w:t>index.php</w:t>
      </w:r>
      <w:r>
        <w:t xml:space="preserve"> abrufbar.</w:t>
      </w:r>
    </w:p>
    <w:p w:rsidR="00925EDE" w:rsidRDefault="002914E5" w:rsidP="00925EDE">
      <w:pPr>
        <w:pStyle w:val="LTAntwortRessortText"/>
      </w:pPr>
      <w:r>
        <w:t xml:space="preserve">Der </w:t>
      </w:r>
      <w:r w:rsidR="000A3335">
        <w:t>Landtag hat am 04.03.</w:t>
      </w:r>
      <w:r w:rsidR="00925EDE">
        <w:t>2021 das Gesetz zur Änderung der Gemeindeordnung,</w:t>
      </w:r>
      <w:r w:rsidR="009E5C08">
        <w:t xml:space="preserve"> </w:t>
      </w:r>
      <w:r w:rsidR="00925EDE">
        <w:t xml:space="preserve">Landkreisordnung, Bezirksordnung und weiterer Gesetze zur Bewältigung der </w:t>
      </w:r>
      <w:r w:rsidR="003439F1">
        <w:t>Coronapandemie</w:t>
      </w:r>
      <w:r w:rsidR="009E5C08">
        <w:t xml:space="preserve"> </w:t>
      </w:r>
      <w:r>
        <w:t>beschlossen (vgl. </w:t>
      </w:r>
      <w:r w:rsidR="000A3335">
        <w:t>Drs. 18/14322 vom 0</w:t>
      </w:r>
      <w:r w:rsidR="00925EDE">
        <w:t>4.</w:t>
      </w:r>
      <w:r w:rsidR="000A3335">
        <w:t>03.2021). Hierdurch wurden Art. 47a </w:t>
      </w:r>
      <w:r w:rsidR="00925EDE">
        <w:t>GO,</w:t>
      </w:r>
      <w:r w:rsidR="009E5C08">
        <w:t xml:space="preserve"> </w:t>
      </w:r>
      <w:r w:rsidR="000A3335">
        <w:t>Art. 38a Landkreisordnung (</w:t>
      </w:r>
      <w:r w:rsidR="00925EDE">
        <w:t>LKrO</w:t>
      </w:r>
      <w:r w:rsidR="000A3335">
        <w:t>), Art. 41a Bezirksordnung (</w:t>
      </w:r>
      <w:r w:rsidR="00925EDE">
        <w:t>BezO</w:t>
      </w:r>
      <w:r w:rsidR="000A3335">
        <w:t>) und Art. 34a Gesetz über die kommunale Zusammenarbeit (</w:t>
      </w:r>
      <w:r w:rsidR="00925EDE">
        <w:t>KommZG</w:t>
      </w:r>
      <w:r w:rsidR="000A3335">
        <w:t>)</w:t>
      </w:r>
      <w:r w:rsidR="00925EDE">
        <w:t xml:space="preserve"> in die Kommunalgesetze eingefügt, die</w:t>
      </w:r>
      <w:r w:rsidR="009E5C08">
        <w:t xml:space="preserve"> </w:t>
      </w:r>
      <w:r w:rsidR="00925EDE">
        <w:t>es den Kommunen nunmehr ermöglichen, ihren Gremienmitgliedern eine Sitzungsteilnahme</w:t>
      </w:r>
      <w:r w:rsidR="009E5C08">
        <w:t xml:space="preserve"> </w:t>
      </w:r>
      <w:r w:rsidR="00925EDE">
        <w:t xml:space="preserve">durch Ton-Bild-Übertragung, sog. </w:t>
      </w:r>
      <w:r w:rsidR="00925EDE">
        <w:lastRenderedPageBreak/>
        <w:t>Hybridsitzungen, eröffnen zu können. Die Kommunen entscheiden</w:t>
      </w:r>
      <w:r w:rsidR="009E5C08">
        <w:t xml:space="preserve"> </w:t>
      </w:r>
      <w:r w:rsidR="00925EDE">
        <w:t>im Rahmen ihres Selbstverwaltungsrechts in eigener Verantwortung, ob und ggf. unter</w:t>
      </w:r>
      <w:r w:rsidR="009E5C08">
        <w:t xml:space="preserve"> </w:t>
      </w:r>
      <w:r w:rsidR="00925EDE">
        <w:t>welchen Voraussetzungen eine Sitzungsteilnahme durch Ton-Bild-Übertragung möglich ist.</w:t>
      </w:r>
      <w:r w:rsidR="009E5C08">
        <w:t xml:space="preserve"> </w:t>
      </w:r>
      <w:r w:rsidR="00925EDE">
        <w:t>Der Staatsregierung liegen keine Erkenntnisse vor, wie viele Kommunen in Bayern hybride</w:t>
      </w:r>
      <w:r w:rsidR="009E5C08">
        <w:t xml:space="preserve"> </w:t>
      </w:r>
      <w:r w:rsidR="00925EDE">
        <w:t>Sitzungen ermöglichen. Eine umfangreiche Abfrage bei allen Gemeinden, Städten, Landkreisen</w:t>
      </w:r>
      <w:r w:rsidR="009E5C08">
        <w:t xml:space="preserve"> </w:t>
      </w:r>
      <w:r w:rsidR="00925EDE">
        <w:t>und Bezirken im Sinne der Anfrage war in der zur Beantwortung verfügbaren Zeit nicht möglich.</w:t>
      </w:r>
    </w:p>
    <w:p w:rsidR="00925EDE" w:rsidRDefault="00925EDE" w:rsidP="00925EDE">
      <w:pPr>
        <w:pStyle w:val="LTAntwortRessortText"/>
      </w:pPr>
      <w:r>
        <w:t>Im Übrigen ist die E</w:t>
      </w:r>
      <w:r w:rsidR="00E711D3">
        <w:t>rmächtigung zu Hybridsitzungen –</w:t>
      </w:r>
      <w:r>
        <w:t xml:space="preserve"> anders als die sonstigen pandemiebedingten</w:t>
      </w:r>
      <w:r w:rsidR="009E5C08">
        <w:t xml:space="preserve"> </w:t>
      </w:r>
      <w:r>
        <w:t>Ausnahmeregelungen durch das Gesetz zur Änderung der Gemeindeordnung, Landkreisordnung,</w:t>
      </w:r>
      <w:r w:rsidR="009E5C08">
        <w:t xml:space="preserve"> </w:t>
      </w:r>
      <w:r>
        <w:t xml:space="preserve">Bezirksordnung und weiterer Gesetze zur Bewältigung der </w:t>
      </w:r>
      <w:r w:rsidR="003439F1">
        <w:t>Coronapandemie</w:t>
      </w:r>
      <w:r w:rsidR="009E5C08">
        <w:t xml:space="preserve"> </w:t>
      </w:r>
      <w:r w:rsidR="001B419F">
        <w:t>vom 09.03.2021 –</w:t>
      </w:r>
      <w:r w:rsidR="00E711D3">
        <w:t xml:space="preserve"> nicht bis Ende des Jahres </w:t>
      </w:r>
      <w:r>
        <w:t>2021 befristet, sondern umfasst bis Ende des Jahres</w:t>
      </w:r>
      <w:r w:rsidR="00E711D3">
        <w:t> </w:t>
      </w:r>
      <w:r>
        <w:t>2022 einen Zeitraum, in dem Hybridsitzungen kommunaler Gremien unabhängig von einem</w:t>
      </w:r>
      <w:r w:rsidR="009E5C08">
        <w:t xml:space="preserve"> </w:t>
      </w:r>
      <w:r>
        <w:t>Pandemiegeschehen ausreichend erprobt werden können. Um über eine mögliche Entfristung</w:t>
      </w:r>
      <w:r w:rsidR="009E5C08">
        <w:t xml:space="preserve"> </w:t>
      </w:r>
      <w:r>
        <w:t xml:space="preserve">oder Anpassung entscheiden zu können, ist </w:t>
      </w:r>
      <w:r w:rsidR="00E711D3">
        <w:t>vorgesehen, im Laufe des Jahres </w:t>
      </w:r>
      <w:r>
        <w:t>2022 die angefragten</w:t>
      </w:r>
      <w:r w:rsidR="009E5C08">
        <w:t xml:space="preserve"> </w:t>
      </w:r>
      <w:r>
        <w:t>Daten bei den Kommunen zu erheben.</w:t>
      </w:r>
    </w:p>
    <w:p w:rsidR="00925EDE" w:rsidRDefault="00925EDE">
      <w:bookmarkStart w:id="13" w:name="Frage_Nr_6_Ende"/>
      <w:bookmarkEnd w:id="13"/>
      <w:r>
        <w:br w:type="page"/>
      </w:r>
    </w:p>
    <w:p w:rsidR="00925EDE" w:rsidRDefault="00925EDE" w:rsidP="00925EDE">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25EDE" w:rsidTr="007B0B33">
        <w:tc>
          <w:tcPr>
            <w:tcW w:w="2050" w:type="dxa"/>
          </w:tcPr>
          <w:p w:rsidR="00925EDE" w:rsidRDefault="00925EDE" w:rsidP="00925EDE">
            <w:pPr>
              <w:pStyle w:val="LTAnfrageInitiator"/>
            </w:pPr>
            <w:r>
              <w:t>Abgeordneter</w:t>
            </w:r>
            <w:r>
              <w:rPr>
                <w:b/>
              </w:rPr>
              <w:br/>
              <w:t>Dr. Markus</w:t>
            </w:r>
            <w:r>
              <w:rPr>
                <w:b/>
              </w:rPr>
              <w:br/>
              <w:t>Büchler</w:t>
            </w:r>
            <w:r>
              <w:rPr>
                <w:b/>
              </w:rPr>
              <w:br/>
            </w:r>
            <w:r>
              <w:t>(BÜNDNIS 90/DIE GRÜNEN)</w:t>
            </w:r>
            <w:bookmarkStart w:id="14" w:name="Frage_Nr_7"/>
            <w:bookmarkEnd w:id="14"/>
          </w:p>
        </w:tc>
        <w:tc>
          <w:tcPr>
            <w:tcW w:w="7200" w:type="dxa"/>
          </w:tcPr>
          <w:p w:rsidR="00925EDE" w:rsidRDefault="00F80BC9" w:rsidP="00925EDE">
            <w:pPr>
              <w:pStyle w:val="LTAnfrageText"/>
            </w:pPr>
            <w:r w:rsidRPr="00DC70A7">
              <w:t>Ich frage die Staatsregierung, wurden in der Vergangenheit beziehungsweise werden durch aktuell in Bau oder Planung befindliche P</w:t>
            </w:r>
            <w:r w:rsidR="00917E27">
              <w:t>rojekte Fauna-Flora-Habitat</w:t>
            </w:r>
            <w:r w:rsidRPr="00DC70A7">
              <w:t>-Gebiete mittels Neubautrassen von Staatsstraßen durchschnitten und wenn ja, welche?</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 xml:space="preserve">Nachfolgende Neubauprojekte, die derzeit in Planung </w:t>
      </w:r>
      <w:r w:rsidR="00CC5C25">
        <w:t>oder Bau sind, durchschneiden – zumindest in Teilbereichen –</w:t>
      </w:r>
      <w:r>
        <w:t xml:space="preserve"> Fauna-Flora-Habitat Gebiete:</w:t>
      </w:r>
    </w:p>
    <w:p w:rsidR="00925EDE" w:rsidRDefault="00925EDE" w:rsidP="00925EDE">
      <w:pPr>
        <w:pStyle w:val="LTAntwortRessortText"/>
      </w:pPr>
    </w:p>
    <w:tbl>
      <w:tblPr>
        <w:tblStyle w:val="TableNormal"/>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3127"/>
        <w:gridCol w:w="1879"/>
        <w:gridCol w:w="1843"/>
      </w:tblGrid>
      <w:tr w:rsidR="005E559C" w:rsidRPr="0012077A" w:rsidTr="00917E27">
        <w:trPr>
          <w:trHeight w:val="967"/>
        </w:trPr>
        <w:tc>
          <w:tcPr>
            <w:tcW w:w="1514" w:type="dxa"/>
          </w:tcPr>
          <w:p w:rsidR="005E559C" w:rsidRPr="0012077A" w:rsidRDefault="0012077A" w:rsidP="0012077A">
            <w:pPr>
              <w:pStyle w:val="TableParagraph"/>
              <w:spacing w:line="240" w:lineRule="auto"/>
              <w:rPr>
                <w:rFonts w:ascii="Arial" w:hAnsi="Arial" w:cs="Arial"/>
                <w:b/>
                <w:sz w:val="18"/>
                <w:szCs w:val="18"/>
              </w:rPr>
            </w:pPr>
            <w:r>
              <w:rPr>
                <w:rFonts w:ascii="Arial" w:hAnsi="Arial" w:cs="Arial"/>
                <w:b/>
                <w:sz w:val="18"/>
                <w:szCs w:val="18"/>
              </w:rPr>
              <w:t>Staatsstra</w:t>
            </w:r>
            <w:r w:rsidR="005E559C" w:rsidRPr="0012077A">
              <w:rPr>
                <w:rFonts w:ascii="Arial" w:hAnsi="Arial" w:cs="Arial"/>
                <w:b/>
                <w:sz w:val="18"/>
                <w:szCs w:val="18"/>
              </w:rPr>
              <w:t>ße</w:t>
            </w:r>
          </w:p>
        </w:tc>
        <w:tc>
          <w:tcPr>
            <w:tcW w:w="3127" w:type="dxa"/>
          </w:tcPr>
          <w:p w:rsidR="005E559C" w:rsidRPr="0012077A" w:rsidRDefault="005E559C" w:rsidP="00C162EC">
            <w:pPr>
              <w:pStyle w:val="TableParagraph"/>
              <w:spacing w:line="240" w:lineRule="auto"/>
              <w:rPr>
                <w:rFonts w:ascii="Arial" w:hAnsi="Arial" w:cs="Arial"/>
                <w:b/>
                <w:sz w:val="18"/>
                <w:szCs w:val="18"/>
              </w:rPr>
            </w:pPr>
            <w:r w:rsidRPr="0012077A">
              <w:rPr>
                <w:rFonts w:ascii="Arial" w:hAnsi="Arial" w:cs="Arial"/>
                <w:b/>
                <w:sz w:val="18"/>
                <w:szCs w:val="18"/>
              </w:rPr>
              <w:t>Bezeichnung des Neu-</w:t>
            </w:r>
          </w:p>
          <w:p w:rsidR="005E559C" w:rsidRPr="0012077A" w:rsidRDefault="005E559C" w:rsidP="00C162EC">
            <w:pPr>
              <w:pStyle w:val="TableParagraph"/>
              <w:spacing w:before="161" w:line="240" w:lineRule="auto"/>
              <w:rPr>
                <w:rFonts w:ascii="Arial" w:hAnsi="Arial" w:cs="Arial"/>
                <w:b/>
                <w:sz w:val="18"/>
                <w:szCs w:val="18"/>
              </w:rPr>
            </w:pPr>
            <w:r w:rsidRPr="0012077A">
              <w:rPr>
                <w:rFonts w:ascii="Arial" w:hAnsi="Arial" w:cs="Arial"/>
                <w:b/>
                <w:sz w:val="18"/>
                <w:szCs w:val="18"/>
              </w:rPr>
              <w:t>bauprojekts</w:t>
            </w:r>
          </w:p>
        </w:tc>
        <w:tc>
          <w:tcPr>
            <w:tcW w:w="1879" w:type="dxa"/>
          </w:tcPr>
          <w:p w:rsidR="005E559C" w:rsidRPr="0012077A" w:rsidRDefault="005E559C" w:rsidP="00C162EC">
            <w:pPr>
              <w:pStyle w:val="TableParagraph"/>
              <w:spacing w:line="240" w:lineRule="auto"/>
              <w:ind w:left="111"/>
              <w:rPr>
                <w:rFonts w:ascii="Arial" w:hAnsi="Arial" w:cs="Arial"/>
                <w:b/>
                <w:sz w:val="18"/>
                <w:szCs w:val="18"/>
              </w:rPr>
            </w:pPr>
            <w:r w:rsidRPr="0012077A">
              <w:rPr>
                <w:rFonts w:ascii="Arial" w:hAnsi="Arial" w:cs="Arial"/>
                <w:b/>
                <w:sz w:val="18"/>
                <w:szCs w:val="18"/>
              </w:rPr>
              <w:t>Regierungsbe-</w:t>
            </w:r>
          </w:p>
          <w:p w:rsidR="005E559C" w:rsidRPr="0012077A" w:rsidRDefault="005E559C" w:rsidP="00C162EC">
            <w:pPr>
              <w:pStyle w:val="TableParagraph"/>
              <w:spacing w:before="161" w:line="240" w:lineRule="auto"/>
              <w:ind w:left="111"/>
              <w:rPr>
                <w:rFonts w:ascii="Arial" w:hAnsi="Arial" w:cs="Arial"/>
                <w:b/>
                <w:sz w:val="18"/>
                <w:szCs w:val="18"/>
              </w:rPr>
            </w:pPr>
            <w:r w:rsidRPr="0012077A">
              <w:rPr>
                <w:rFonts w:ascii="Arial" w:hAnsi="Arial" w:cs="Arial"/>
                <w:b/>
                <w:sz w:val="18"/>
                <w:szCs w:val="18"/>
              </w:rPr>
              <w:t>zirk</w:t>
            </w:r>
          </w:p>
        </w:tc>
        <w:tc>
          <w:tcPr>
            <w:tcW w:w="1843" w:type="dxa"/>
          </w:tcPr>
          <w:p w:rsidR="005E559C" w:rsidRPr="0012077A" w:rsidRDefault="005E559C" w:rsidP="00C162EC">
            <w:pPr>
              <w:pStyle w:val="TableParagraph"/>
              <w:spacing w:line="240" w:lineRule="auto"/>
              <w:ind w:left="112"/>
              <w:rPr>
                <w:rFonts w:ascii="Arial" w:hAnsi="Arial" w:cs="Arial"/>
                <w:b/>
                <w:sz w:val="18"/>
                <w:szCs w:val="18"/>
              </w:rPr>
            </w:pPr>
            <w:r w:rsidRPr="0012077A">
              <w:rPr>
                <w:rFonts w:ascii="Arial" w:hAnsi="Arial" w:cs="Arial"/>
                <w:b/>
                <w:sz w:val="18"/>
                <w:szCs w:val="18"/>
              </w:rPr>
              <w:t>aktueller</w:t>
            </w:r>
          </w:p>
          <w:p w:rsidR="005E559C" w:rsidRPr="0012077A" w:rsidRDefault="005E559C" w:rsidP="00C162EC">
            <w:pPr>
              <w:pStyle w:val="TableParagraph"/>
              <w:spacing w:before="161" w:line="240" w:lineRule="auto"/>
              <w:ind w:left="112"/>
              <w:rPr>
                <w:rFonts w:ascii="Arial" w:hAnsi="Arial" w:cs="Arial"/>
                <w:b/>
                <w:sz w:val="18"/>
                <w:szCs w:val="18"/>
              </w:rPr>
            </w:pPr>
            <w:r w:rsidRPr="0012077A">
              <w:rPr>
                <w:rFonts w:ascii="Arial" w:hAnsi="Arial" w:cs="Arial"/>
                <w:b/>
                <w:sz w:val="18"/>
                <w:szCs w:val="18"/>
              </w:rPr>
              <w:t>Projektstand</w:t>
            </w:r>
          </w:p>
        </w:tc>
      </w:tr>
      <w:tr w:rsidR="005E559C" w:rsidRPr="0012077A" w:rsidTr="00917E27">
        <w:trPr>
          <w:trHeight w:val="835"/>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2205</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Verlegung nördlich</w:t>
            </w:r>
          </w:p>
          <w:p w:rsidR="005E559C" w:rsidRPr="0012077A" w:rsidRDefault="005E559C" w:rsidP="00C162EC">
            <w:pPr>
              <w:pStyle w:val="TableParagraph"/>
              <w:spacing w:before="163" w:line="240" w:lineRule="auto"/>
              <w:rPr>
                <w:rFonts w:ascii="Arial" w:hAnsi="Arial" w:cs="Arial"/>
                <w:sz w:val="18"/>
                <w:szCs w:val="18"/>
              </w:rPr>
            </w:pPr>
            <w:r w:rsidRPr="0012077A">
              <w:rPr>
                <w:rFonts w:ascii="Arial" w:hAnsi="Arial" w:cs="Arial"/>
                <w:sz w:val="18"/>
                <w:szCs w:val="18"/>
              </w:rPr>
              <w:t>Coburg</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OFr</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in Bau</w:t>
            </w:r>
          </w:p>
        </w:tc>
      </w:tr>
      <w:tr w:rsidR="005E559C" w:rsidRPr="0012077A" w:rsidTr="00917E27">
        <w:trPr>
          <w:trHeight w:val="482"/>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2303</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OU Schaippach</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UFr</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Planfeststellung</w:t>
            </w:r>
          </w:p>
        </w:tc>
      </w:tr>
      <w:tr w:rsidR="005E559C" w:rsidRPr="0012077A" w:rsidTr="00917E27">
        <w:trPr>
          <w:trHeight w:val="484"/>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2309</w:t>
            </w:r>
          </w:p>
        </w:tc>
        <w:tc>
          <w:tcPr>
            <w:tcW w:w="3127" w:type="dxa"/>
          </w:tcPr>
          <w:p w:rsidR="005E559C" w:rsidRPr="0012077A" w:rsidRDefault="0012077A" w:rsidP="00C162EC">
            <w:pPr>
              <w:pStyle w:val="TableParagraph"/>
              <w:rPr>
                <w:rFonts w:ascii="Arial" w:hAnsi="Arial" w:cs="Arial"/>
                <w:sz w:val="18"/>
                <w:szCs w:val="18"/>
              </w:rPr>
            </w:pPr>
            <w:r>
              <w:rPr>
                <w:rFonts w:ascii="Arial" w:hAnsi="Arial" w:cs="Arial"/>
                <w:sz w:val="18"/>
                <w:szCs w:val="18"/>
              </w:rPr>
              <w:t>OU Sulzbach a. </w:t>
            </w:r>
            <w:r w:rsidR="005E559C" w:rsidRPr="0012077A">
              <w:rPr>
                <w:rFonts w:ascii="Arial" w:hAnsi="Arial" w:cs="Arial"/>
                <w:sz w:val="18"/>
                <w:szCs w:val="18"/>
              </w:rPr>
              <w:t>Main</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UFr</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Vorentwurf</w:t>
            </w:r>
          </w:p>
        </w:tc>
      </w:tr>
      <w:tr w:rsidR="005E559C" w:rsidRPr="0012077A" w:rsidTr="00917E27">
        <w:trPr>
          <w:trHeight w:val="482"/>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2084</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OU Allershausen</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OB</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Voruntersuchung</w:t>
            </w:r>
          </w:p>
        </w:tc>
      </w:tr>
      <w:tr w:rsidR="005E559C" w:rsidRPr="0012077A" w:rsidTr="00917E27">
        <w:trPr>
          <w:trHeight w:val="784"/>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2046</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OU Mühlried-</w:t>
            </w:r>
          </w:p>
          <w:p w:rsidR="005E559C" w:rsidRPr="0012077A" w:rsidRDefault="005E559C" w:rsidP="00C162EC">
            <w:pPr>
              <w:pStyle w:val="TableParagraph"/>
              <w:spacing w:before="160" w:line="240" w:lineRule="auto"/>
              <w:rPr>
                <w:rFonts w:ascii="Arial" w:hAnsi="Arial" w:cs="Arial"/>
                <w:sz w:val="18"/>
                <w:szCs w:val="18"/>
              </w:rPr>
            </w:pPr>
            <w:r w:rsidRPr="0012077A">
              <w:rPr>
                <w:rFonts w:ascii="Arial" w:hAnsi="Arial" w:cs="Arial"/>
                <w:sz w:val="18"/>
                <w:szCs w:val="18"/>
              </w:rPr>
              <w:t>Königslachen</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OB</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Planfeststellung</w:t>
            </w:r>
          </w:p>
        </w:tc>
      </w:tr>
      <w:tr w:rsidR="005E559C" w:rsidRPr="0012077A" w:rsidTr="00917E27">
        <w:trPr>
          <w:trHeight w:val="515"/>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2035</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OU Neuburg a.d.Donau</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OB</w:t>
            </w:r>
          </w:p>
        </w:tc>
        <w:tc>
          <w:tcPr>
            <w:tcW w:w="1843" w:type="dxa"/>
          </w:tcPr>
          <w:p w:rsidR="005E559C" w:rsidRPr="0012077A" w:rsidRDefault="0012077A" w:rsidP="0012077A">
            <w:pPr>
              <w:pStyle w:val="TableParagraph"/>
              <w:ind w:left="112"/>
              <w:rPr>
                <w:rFonts w:ascii="Arial" w:hAnsi="Arial" w:cs="Arial"/>
                <w:sz w:val="18"/>
                <w:szCs w:val="18"/>
              </w:rPr>
            </w:pPr>
            <w:r>
              <w:rPr>
                <w:rFonts w:ascii="Arial" w:hAnsi="Arial" w:cs="Arial"/>
                <w:sz w:val="18"/>
                <w:szCs w:val="18"/>
              </w:rPr>
              <w:t>in Planung, Son</w:t>
            </w:r>
            <w:r w:rsidR="005E559C" w:rsidRPr="0012077A">
              <w:rPr>
                <w:rFonts w:ascii="Arial" w:hAnsi="Arial" w:cs="Arial"/>
                <w:sz w:val="18"/>
                <w:szCs w:val="18"/>
              </w:rPr>
              <w:t>derbaulast</w:t>
            </w:r>
          </w:p>
        </w:tc>
      </w:tr>
      <w:tr w:rsidR="005E559C" w:rsidRPr="0012077A" w:rsidTr="00917E27">
        <w:trPr>
          <w:trHeight w:val="847"/>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2095</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Entlastungsspange See-</w:t>
            </w:r>
          </w:p>
          <w:p w:rsidR="005E559C" w:rsidRPr="0012077A" w:rsidRDefault="005E559C" w:rsidP="00C162EC">
            <w:pPr>
              <w:pStyle w:val="TableParagraph"/>
              <w:spacing w:before="162" w:line="240" w:lineRule="auto"/>
              <w:rPr>
                <w:rFonts w:ascii="Arial" w:hAnsi="Arial" w:cs="Arial"/>
                <w:sz w:val="18"/>
                <w:szCs w:val="18"/>
              </w:rPr>
            </w:pPr>
            <w:r w:rsidRPr="0012077A">
              <w:rPr>
                <w:rFonts w:ascii="Arial" w:hAnsi="Arial" w:cs="Arial"/>
                <w:sz w:val="18"/>
                <w:szCs w:val="18"/>
              </w:rPr>
              <w:t>bruck</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OB</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Voruntersuchung</w:t>
            </w:r>
          </w:p>
        </w:tc>
      </w:tr>
      <w:tr w:rsidR="005E559C" w:rsidRPr="0012077A" w:rsidTr="00917E27">
        <w:trPr>
          <w:trHeight w:val="481"/>
        </w:trPr>
        <w:tc>
          <w:tcPr>
            <w:tcW w:w="1514"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St 2047</w:t>
            </w:r>
          </w:p>
        </w:tc>
        <w:tc>
          <w:tcPr>
            <w:tcW w:w="3127" w:type="dxa"/>
          </w:tcPr>
          <w:p w:rsidR="005E559C" w:rsidRPr="0012077A" w:rsidRDefault="005E559C" w:rsidP="00C162EC">
            <w:pPr>
              <w:pStyle w:val="TableParagraph"/>
              <w:rPr>
                <w:rFonts w:ascii="Arial" w:hAnsi="Arial" w:cs="Arial"/>
                <w:sz w:val="18"/>
                <w:szCs w:val="18"/>
              </w:rPr>
            </w:pPr>
            <w:r w:rsidRPr="0012077A">
              <w:rPr>
                <w:rFonts w:ascii="Arial" w:hAnsi="Arial" w:cs="Arial"/>
                <w:sz w:val="18"/>
                <w:szCs w:val="18"/>
              </w:rPr>
              <w:t>OU Aichach</w:t>
            </w:r>
          </w:p>
        </w:tc>
        <w:tc>
          <w:tcPr>
            <w:tcW w:w="1879" w:type="dxa"/>
          </w:tcPr>
          <w:p w:rsidR="005E559C" w:rsidRPr="0012077A" w:rsidRDefault="005E559C" w:rsidP="00C162EC">
            <w:pPr>
              <w:pStyle w:val="TableParagraph"/>
              <w:ind w:left="111"/>
              <w:rPr>
                <w:rFonts w:ascii="Arial" w:hAnsi="Arial" w:cs="Arial"/>
                <w:sz w:val="18"/>
                <w:szCs w:val="18"/>
              </w:rPr>
            </w:pPr>
            <w:r w:rsidRPr="0012077A">
              <w:rPr>
                <w:rFonts w:ascii="Arial" w:hAnsi="Arial" w:cs="Arial"/>
                <w:sz w:val="18"/>
                <w:szCs w:val="18"/>
              </w:rPr>
              <w:t>Schw</w:t>
            </w:r>
          </w:p>
        </w:tc>
        <w:tc>
          <w:tcPr>
            <w:tcW w:w="1843" w:type="dxa"/>
          </w:tcPr>
          <w:p w:rsidR="005E559C" w:rsidRPr="0012077A" w:rsidRDefault="005E559C" w:rsidP="00C162EC">
            <w:pPr>
              <w:pStyle w:val="TableParagraph"/>
              <w:ind w:left="112"/>
              <w:rPr>
                <w:rFonts w:ascii="Arial" w:hAnsi="Arial" w:cs="Arial"/>
                <w:sz w:val="18"/>
                <w:szCs w:val="18"/>
              </w:rPr>
            </w:pPr>
            <w:r w:rsidRPr="0012077A">
              <w:rPr>
                <w:rFonts w:ascii="Arial" w:hAnsi="Arial" w:cs="Arial"/>
                <w:sz w:val="18"/>
                <w:szCs w:val="18"/>
              </w:rPr>
              <w:t>Voruntersuchung</w:t>
            </w:r>
          </w:p>
        </w:tc>
      </w:tr>
    </w:tbl>
    <w:p w:rsidR="00925EDE" w:rsidRDefault="00925EDE" w:rsidP="00925EDE">
      <w:pPr>
        <w:pStyle w:val="LTAntwortRessortText"/>
      </w:pPr>
    </w:p>
    <w:p w:rsidR="00925EDE" w:rsidRDefault="00925EDE">
      <w:bookmarkStart w:id="15" w:name="Frage_Nr_7_Ende"/>
      <w:bookmarkEnd w:id="1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25EDE" w:rsidTr="007B0B33">
        <w:tc>
          <w:tcPr>
            <w:tcW w:w="2050" w:type="dxa"/>
          </w:tcPr>
          <w:p w:rsidR="00925EDE" w:rsidRDefault="00925EDE" w:rsidP="00925EDE">
            <w:pPr>
              <w:pStyle w:val="LTAnfrageInitiator"/>
            </w:pPr>
            <w:r>
              <w:lastRenderedPageBreak/>
              <w:t>Abgeordnete</w:t>
            </w:r>
            <w:r>
              <w:rPr>
                <w:b/>
              </w:rPr>
              <w:br/>
              <w:t>Barbara</w:t>
            </w:r>
            <w:r>
              <w:rPr>
                <w:b/>
              </w:rPr>
              <w:br/>
              <w:t>Fuchs</w:t>
            </w:r>
            <w:r>
              <w:rPr>
                <w:b/>
              </w:rPr>
              <w:br/>
            </w:r>
            <w:r>
              <w:t>(BÜNDNIS 90/DIE GRÜNEN)</w:t>
            </w:r>
            <w:bookmarkStart w:id="16" w:name="Frage_Nr_8"/>
            <w:bookmarkEnd w:id="16"/>
          </w:p>
        </w:tc>
        <w:tc>
          <w:tcPr>
            <w:tcW w:w="7200" w:type="dxa"/>
          </w:tcPr>
          <w:p w:rsidR="00925EDE" w:rsidRDefault="00F80BC9" w:rsidP="00925EDE">
            <w:pPr>
              <w:pStyle w:val="LTAnfrageText"/>
            </w:pPr>
            <w:r w:rsidRPr="00DC70A7">
              <w:t>Ich frage die Staatsregierung, weshalb die Mittel des Bayerischen Städtebauförderungsprogramms seit 2020 (210 Mio. Euro) trotz mittlerweile drei Förderschwerpunkten gekürzt wurden, wie sich die Mittel auf die jeweiligen Förderschwerpunkte verteilen und in welchem Umfang die Mittel für das Bayerische Städtebauförderungsprogramm in den letzten fünf Jahren abgerufen wurden?</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Die Städtebauförderung ist für die Staatsregieru</w:t>
      </w:r>
      <w:r w:rsidR="00BF2711">
        <w:t>ng ein äußerst wichtiges Instru</w:t>
      </w:r>
      <w:r>
        <w:t>ment zur Unterstützung der Gemeinden, ihre Ortskerne lebens- und liebenswert zu halten und weiterzuentwickeln. Die für das</w:t>
      </w:r>
      <w:r w:rsidR="00917E27">
        <w:t xml:space="preserve"> Bayerische Städtebauförderungs</w:t>
      </w:r>
      <w:r>
        <w:t>programm bereitgestellten Mittel des Freistaat</w:t>
      </w:r>
      <w:r w:rsidR="00917E27">
        <w:t>e</w:t>
      </w:r>
      <w:r>
        <w:t>s befinden sich seit 2018 konstant auf Rekordhöhe. Dies trifft, trotz des gegenstän</w:t>
      </w:r>
      <w:r w:rsidR="00E2670C">
        <w:t>dlichen Rückgangs der Fördermit</w:t>
      </w:r>
      <w:r>
        <w:t xml:space="preserve">tel, auch </w:t>
      </w:r>
      <w:r w:rsidR="003D6813">
        <w:t>für den Haushaltsansatz im Jahr </w:t>
      </w:r>
      <w:r>
        <w:t>2021</w:t>
      </w:r>
      <w:r w:rsidR="00E2670C">
        <w:t xml:space="preserve"> zu. Nach dem Auslaufen der För</w:t>
      </w:r>
      <w:r>
        <w:t>derinitiative Nordostbayern 2020 endete auch d</w:t>
      </w:r>
      <w:r w:rsidR="00E2670C">
        <w:t>eren Dotation. Mit den 2021 ver</w:t>
      </w:r>
      <w:r>
        <w:t>fügbaren Mitteln können gleichwohl die von den Gemeinden mitgeteilten Bedarfe in der Städtebauförderung auskömmlich gedeckt werden.</w:t>
      </w:r>
    </w:p>
    <w:p w:rsidR="00925EDE" w:rsidRDefault="00925EDE" w:rsidP="00925EDE">
      <w:pPr>
        <w:pStyle w:val="LTAntwortRessortText"/>
      </w:pPr>
      <w:r>
        <w:t>Die zur Verfügung stehenden Mittel werden</w:t>
      </w:r>
      <w:r w:rsidR="00E2670C">
        <w:t xml:space="preserve"> den Bedarfen der Gemeinden ent</w:t>
      </w:r>
      <w:r>
        <w:t>sprechend auf die einzelnen Schwerpunkte verte</w:t>
      </w:r>
      <w:r w:rsidR="00E2670C">
        <w:t>ilt. Daher gibt die Staatsregie</w:t>
      </w:r>
      <w:r>
        <w:t>rung keine festen Budgets für die jeweiligen Schwerpunkte vor. Nach Abzug der</w:t>
      </w:r>
      <w:r w:rsidR="003D6813">
        <w:t xml:space="preserve"> Haushaltssperre in Höhe von 10 Prozent entfallen im Jahr 2021 auf das Regel</w:t>
      </w:r>
      <w:r>
        <w:t xml:space="preserve">programm (inkl. Förderinitiative </w:t>
      </w:r>
      <w:r w:rsidR="003D6813">
        <w:t>Flächenentsiegelung) 19.198.000 </w:t>
      </w:r>
      <w:r>
        <w:t>Euro, auf den Schwer</w:t>
      </w:r>
      <w:r w:rsidR="003D6813">
        <w:t>punkt Flächenschonen 22.060.000 </w:t>
      </w:r>
      <w:r>
        <w:t xml:space="preserve">Euro </w:t>
      </w:r>
      <w:r w:rsidR="00E2670C">
        <w:t>und auf den Struktur- und Härte</w:t>
      </w:r>
      <w:r w:rsidR="003D6813">
        <w:t>fonds 2.125.000 Euro. Mit 100.000.000 </w:t>
      </w:r>
      <w:r>
        <w:t xml:space="preserve">Euro für den Sonderfonds </w:t>
      </w:r>
      <w:r w:rsidR="003439F1">
        <w:t>„</w:t>
      </w:r>
      <w:r>
        <w:t>Innenstädte</w:t>
      </w:r>
      <w:r w:rsidR="00C67333">
        <w:t xml:space="preserve"> </w:t>
      </w:r>
      <w:r>
        <w:t>beleben</w:t>
      </w:r>
      <w:r w:rsidR="003439F1">
        <w:t>“</w:t>
      </w:r>
      <w:r>
        <w:t xml:space="preserve"> des Bayerischen Städtebauförderungsprogramms 2021 unterstützt der</w:t>
      </w:r>
      <w:r w:rsidR="00C67333">
        <w:t xml:space="preserve"> </w:t>
      </w:r>
      <w:r>
        <w:t>Freistaat die Städte und Gemeinden, den Folgen der Pandemie in den Innenstädten</w:t>
      </w:r>
      <w:r w:rsidR="00C67333">
        <w:t xml:space="preserve"> </w:t>
      </w:r>
      <w:r>
        <w:t>und Ortkernen entgegen zu wirken.</w:t>
      </w:r>
    </w:p>
    <w:p w:rsidR="00925EDE" w:rsidRDefault="00925EDE" w:rsidP="00925EDE">
      <w:pPr>
        <w:pStyle w:val="LTAntwortRessortText"/>
      </w:pPr>
      <w:r>
        <w:t>Die Mittel des Bayerischen Städtebauförderungsprogramms wurden in den letzten</w:t>
      </w:r>
      <w:r w:rsidR="000A7D0D">
        <w:t xml:space="preserve"> </w:t>
      </w:r>
      <w:r>
        <w:t>fünf Jahren aufgrund der Bedarfsmitteilungen der Gemeinden vollumfänglich</w:t>
      </w:r>
      <w:r w:rsidR="000A7D0D">
        <w:t xml:space="preserve"> </w:t>
      </w:r>
      <w:r>
        <w:t>zugeteilt. Der Mittelabruf für die einzelnen Maßnahmen erfolgt durch die Gemeinden</w:t>
      </w:r>
      <w:r w:rsidR="000A7D0D">
        <w:t xml:space="preserve"> </w:t>
      </w:r>
      <w:r>
        <w:t>entsprechend dem Projektfortschritt. Verzögerungen bei der Projektumsetzung</w:t>
      </w:r>
      <w:r w:rsidR="000A7D0D">
        <w:t xml:space="preserve"> </w:t>
      </w:r>
      <w:r>
        <w:t>(Baukonjunktur, Lieferengpässe, Rohstoffknappheit, anderweitige</w:t>
      </w:r>
      <w:r w:rsidR="000A7D0D">
        <w:t xml:space="preserve"> </w:t>
      </w:r>
      <w:r>
        <w:t>Personal</w:t>
      </w:r>
      <w:r w:rsidR="00917E27">
        <w:t>bindung infolge der Coronakrise</w:t>
      </w:r>
      <w:r>
        <w:t xml:space="preserve"> etc.) haben dazu geführt, dass die Gemeinden</w:t>
      </w:r>
      <w:r w:rsidR="000A7D0D">
        <w:t xml:space="preserve"> </w:t>
      </w:r>
      <w:r>
        <w:t>die zur Verfügung stehenden Mittel der letzten fünf Jahre noch nicht</w:t>
      </w:r>
      <w:r w:rsidR="000A7D0D">
        <w:t xml:space="preserve"> </w:t>
      </w:r>
      <w:r>
        <w:t>vollumfänglich abrufen konnten.</w:t>
      </w:r>
    </w:p>
    <w:p w:rsidR="00925EDE" w:rsidRDefault="00925EDE" w:rsidP="00925EDE">
      <w:pPr>
        <w:pStyle w:val="LTAntwortRessortText"/>
      </w:pPr>
      <w:r>
        <w:t>Der Staatsregierung ist ein zügiger Mittelabruf ein wichtiges Anliegen. Die Gemeinden</w:t>
      </w:r>
      <w:r w:rsidR="000A7D0D">
        <w:t xml:space="preserve"> </w:t>
      </w:r>
      <w:r>
        <w:t>werden bei der Abwicklung der Fördermaßnahmen entsprechend unterstützt.</w:t>
      </w:r>
    </w:p>
    <w:p w:rsidR="00925EDE" w:rsidRDefault="00925EDE">
      <w:bookmarkStart w:id="17" w:name="Frage_Nr_8_Ende"/>
      <w:bookmarkEnd w:id="1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25EDE" w:rsidTr="007B0B33">
        <w:tc>
          <w:tcPr>
            <w:tcW w:w="2050" w:type="dxa"/>
          </w:tcPr>
          <w:p w:rsidR="00925EDE" w:rsidRDefault="00925EDE" w:rsidP="00925EDE">
            <w:pPr>
              <w:pStyle w:val="LTAnfrageInitiator"/>
            </w:pPr>
            <w:r>
              <w:lastRenderedPageBreak/>
              <w:t>Abgeordnete</w:t>
            </w:r>
            <w:r>
              <w:rPr>
                <w:b/>
              </w:rPr>
              <w:br/>
              <w:t>Claudia</w:t>
            </w:r>
            <w:r>
              <w:rPr>
                <w:b/>
              </w:rPr>
              <w:br/>
              <w:t>Köhler</w:t>
            </w:r>
            <w:r>
              <w:rPr>
                <w:b/>
              </w:rPr>
              <w:br/>
            </w:r>
            <w:r>
              <w:t>(BÜNDNIS 90/DIE GRÜNEN)</w:t>
            </w:r>
            <w:bookmarkStart w:id="18" w:name="Frage_Nr_9"/>
            <w:bookmarkEnd w:id="18"/>
          </w:p>
        </w:tc>
        <w:tc>
          <w:tcPr>
            <w:tcW w:w="7200" w:type="dxa"/>
          </w:tcPr>
          <w:p w:rsidR="00925EDE" w:rsidRDefault="00B6722B" w:rsidP="00925EDE">
            <w:pPr>
              <w:pStyle w:val="LTAnfrageText"/>
            </w:pPr>
            <w:r w:rsidRPr="00DC70A7">
              <w:t>Nachdem im DB-Navigator am Montag, den 06.12.2021, für die S</w:t>
            </w:r>
            <w:r w:rsidR="000A3169">
              <w:t> </w:t>
            </w:r>
            <w:r w:rsidRPr="00DC70A7">
              <w:t>1 Richtung Freising, Abfahrt 06.43 Uhr, ein „Defektes Stellwerk zwischen München</w:t>
            </w:r>
            <w:r w:rsidR="00917E27">
              <w:t xml:space="preserve"> </w:t>
            </w:r>
            <w:r w:rsidR="000A3169">
              <w:t>–</w:t>
            </w:r>
            <w:r w:rsidR="00917E27">
              <w:t xml:space="preserve"> </w:t>
            </w:r>
            <w:r w:rsidRPr="00DC70A7">
              <w:t>Moosach und München</w:t>
            </w:r>
            <w:r w:rsidR="00917E27">
              <w:t xml:space="preserve"> </w:t>
            </w:r>
            <w:r w:rsidR="000A3169">
              <w:t>–</w:t>
            </w:r>
            <w:r w:rsidR="00917E27">
              <w:t xml:space="preserve"> </w:t>
            </w:r>
            <w:r w:rsidRPr="00DC70A7">
              <w:t>Feldmoching“ angezeigt wurde, frage ich die Staatsregierung, worin genau der Defekt am Stellwerk bestand, ob die Störung des Betriebsablaufs etwas mit akutem Personalmangel zu tun hatte und ob sich die Vertragsstrafe für ein defektes Stellwerk von der Vertragsstrafe für ein unbesetztes bzw. unterbesetztes Stellwerk unterscheidet?</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Zuständig für die Eisenbahninfrastruktur und deren Betrieb, Erhalt und Ausbau ist der Bund. Er bedient sich zur Erfüllung die</w:t>
      </w:r>
      <w:r w:rsidR="00E2670C">
        <w:t>ser Aufgaben der Eisenbahninfra</w:t>
      </w:r>
      <w:r w:rsidR="00FF0A8D">
        <w:t>strukturunternehmen (EIU) DB Netz </w:t>
      </w:r>
      <w:r>
        <w:t>AG, DB</w:t>
      </w:r>
      <w:r w:rsidR="00FF0A8D">
        <w:t> Station &amp; Service AG und DB </w:t>
      </w:r>
      <w:r w:rsidR="00E2670C">
        <w:t>Ener</w:t>
      </w:r>
      <w:r w:rsidR="00FF0A8D">
        <w:t>gie </w:t>
      </w:r>
      <w:r>
        <w:t>GmbH. Zwischen der Bayerischen Eisenbah</w:t>
      </w:r>
      <w:r w:rsidR="00E2670C">
        <w:t>ngesellschaft (BEG), die im Auf</w:t>
      </w:r>
      <w:r>
        <w:t>trag des Freistaates den Schienenpersonennahve</w:t>
      </w:r>
      <w:r w:rsidR="00E2670C">
        <w:t>rkehr plant, finanziert und kon</w:t>
      </w:r>
      <w:r>
        <w:t>trolliert, und den EIU besteht kein direktes Vertragsverhältnis.</w:t>
      </w:r>
      <w:r w:rsidR="00C828E5">
        <w:t xml:space="preserve"> </w:t>
      </w:r>
      <w:r>
        <w:t>Nach Inf</w:t>
      </w:r>
      <w:r w:rsidR="00FF0A8D">
        <w:t>ormationen der BEG gab es am 6. Dezember </w:t>
      </w:r>
      <w:r>
        <w:t>2021 keinen technischen Defekt an einem Stellwerk zwischen Moosach und Feldmoching. Die Ursache für die ausgefallenen S-Bahnen war in einem Person</w:t>
      </w:r>
      <w:r w:rsidR="00E2670C">
        <w:t>almangel seitens des Infrastruk</w:t>
      </w:r>
      <w:r w:rsidR="00FF0A8D">
        <w:t>turbetreibers, der DB Netz </w:t>
      </w:r>
      <w:r>
        <w:t>AG, begründet.</w:t>
      </w:r>
    </w:p>
    <w:p w:rsidR="00925EDE" w:rsidRDefault="00925EDE" w:rsidP="00925EDE">
      <w:pPr>
        <w:pStyle w:val="LTAntwortRessortText"/>
      </w:pPr>
      <w:r>
        <w:t>Eine Vertragsstrafe ist unabhängig davon zu betr</w:t>
      </w:r>
      <w:r w:rsidR="00E2670C">
        <w:t>achten, ob es sich um ein defek</w:t>
      </w:r>
      <w:r>
        <w:t>tes oder ein un- bzw. unterbesetztes Stellwerk h</w:t>
      </w:r>
      <w:r w:rsidR="00E2670C">
        <w:t>andelt. Die BEG erhebt Vertrags</w:t>
      </w:r>
      <w:r>
        <w:t>strafen nicht vom Infrastrukturbetreiber (mit diesem h</w:t>
      </w:r>
      <w:r w:rsidR="00E2670C">
        <w:t>at sie gar kein Vertragsver</w:t>
      </w:r>
      <w:r>
        <w:t>hältnis), sondern vom Eisenba</w:t>
      </w:r>
      <w:r w:rsidR="00FF0A8D">
        <w:t>hnverkehrsunternehmen (hier: DB </w:t>
      </w:r>
      <w:r>
        <w:t>Regio/S-Bahn München) abhängig von den Auswirkungen auf den Betrieb.</w:t>
      </w:r>
    </w:p>
    <w:p w:rsidR="00925EDE" w:rsidRDefault="00925EDE">
      <w:bookmarkStart w:id="19" w:name="Frage_Nr_9_Ende"/>
      <w:bookmarkEnd w:id="1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25EDE" w:rsidTr="007B0B33">
        <w:tc>
          <w:tcPr>
            <w:tcW w:w="2050" w:type="dxa"/>
          </w:tcPr>
          <w:p w:rsidR="00925EDE" w:rsidRDefault="00925EDE" w:rsidP="00925EDE">
            <w:pPr>
              <w:pStyle w:val="LTAnfrageInitiator"/>
            </w:pPr>
            <w:r>
              <w:lastRenderedPageBreak/>
              <w:t>Abgeordneter</w:t>
            </w:r>
            <w:r>
              <w:rPr>
                <w:b/>
              </w:rPr>
              <w:br/>
              <w:t>Ferdinand</w:t>
            </w:r>
            <w:r>
              <w:rPr>
                <w:b/>
              </w:rPr>
              <w:br/>
              <w:t>Mang</w:t>
            </w:r>
            <w:r>
              <w:rPr>
                <w:b/>
              </w:rPr>
              <w:br/>
            </w:r>
            <w:r>
              <w:t>(AfD)</w:t>
            </w:r>
            <w:bookmarkStart w:id="20" w:name="Frage_Nr_10"/>
            <w:bookmarkEnd w:id="20"/>
          </w:p>
        </w:tc>
        <w:tc>
          <w:tcPr>
            <w:tcW w:w="7200" w:type="dxa"/>
          </w:tcPr>
          <w:p w:rsidR="00925EDE" w:rsidRDefault="002769C7" w:rsidP="00925EDE">
            <w:pPr>
              <w:pStyle w:val="LTAnfrageText"/>
            </w:pPr>
            <w:r w:rsidRPr="00DC70A7">
              <w:t>Ich frage die Staatsregierung, ob sie die Empfehlungen des Obersten Rechnungshofs (ORH) für Überwertankäufe bei ihren jüngsten Kaufentscheidungen bereits beachtet hat, ob sie den Empfehlungen des ORH für künftige Überwertankäufe zu folgen plant und wie viele Immobilien und Grundstücke der Freistaat im Zeitraum 2013 bis 2021 weit über dem gutachterlich festgestellten Verkehrswert angekauft hat?</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 xml:space="preserve">Die Grundstücksankäufe, die der </w:t>
      </w:r>
      <w:r w:rsidR="000A3169">
        <w:t>ORH</w:t>
      </w:r>
      <w:r>
        <w:t xml:space="preserve"> in s</w:t>
      </w:r>
      <w:r w:rsidR="00E2670C">
        <w:t>einen beratenden Äußerungen auf</w:t>
      </w:r>
      <w:r>
        <w:t xml:space="preserve">greift, stehen im Einklang mit dem geltenden </w:t>
      </w:r>
      <w:r w:rsidR="00E2670C">
        <w:t>Recht, insbesondere der Bayeri</w:t>
      </w:r>
      <w:r>
        <w:t>schen Verfassung, der Bayerischen Haushaltsordnung sowie weiteren Richtlinien und Bekanntmachungen der Staatsregierun</w:t>
      </w:r>
      <w:r w:rsidR="000A3169">
        <w:t xml:space="preserve">g. Der </w:t>
      </w:r>
      <w:r w:rsidR="00E2670C">
        <w:t>Landtag (Haus</w:t>
      </w:r>
      <w:r>
        <w:t>haltsausschuss) wurde stets über die Umständ</w:t>
      </w:r>
      <w:r w:rsidR="00E2670C">
        <w:t>e der Erwerbsfälle umfassend in</w:t>
      </w:r>
      <w:r>
        <w:t>formiert und hat allen Ankäufen zugestimmt.</w:t>
      </w:r>
    </w:p>
    <w:p w:rsidR="00925EDE" w:rsidRDefault="00925EDE" w:rsidP="00925EDE">
      <w:pPr>
        <w:pStyle w:val="LTAntwortRessortText"/>
      </w:pPr>
      <w:r>
        <w:t xml:space="preserve">Der ORH hat </w:t>
      </w:r>
      <w:r w:rsidR="00FF0A8D">
        <w:t>seine beratende Äußerung am 11. November </w:t>
      </w:r>
      <w:r>
        <w:t>2021 abgegeben. Die Staatsregierung wird die beratenden Äußerungen des ORH eingehend prüfen.</w:t>
      </w:r>
    </w:p>
    <w:p w:rsidR="00925EDE" w:rsidRDefault="00925EDE" w:rsidP="00925EDE">
      <w:pPr>
        <w:pStyle w:val="LTAntwortRessortText"/>
      </w:pPr>
      <w:r>
        <w:t>Bei 14 Ankäufen, die der Freistaat zwischen 2013 und 2021 getätigt hat, lag der Kaufpreis jeweils über einem nach standardis</w:t>
      </w:r>
      <w:r w:rsidR="00E2670C">
        <w:t>ierten Vorgaben ermittelten Ver</w:t>
      </w:r>
      <w:r>
        <w:t>kehrswert. Dies ist angesichts des hoch dyna</w:t>
      </w:r>
      <w:r w:rsidR="00E2670C">
        <w:t>mischen Grundstücks- und Immobi</w:t>
      </w:r>
      <w:r>
        <w:t>lienmarktes in Bayern nicht unüblich und kann</w:t>
      </w:r>
      <w:r w:rsidR="00E2670C">
        <w:t xml:space="preserve"> gerade zur Realisierung bedeut</w:t>
      </w:r>
      <w:r>
        <w:t>samer Investitionsprojekte wie Universitäts- und Klinikneubauten notwendig</w:t>
      </w:r>
      <w:r w:rsidR="00C933D2">
        <w:t xml:space="preserve"> </w:t>
      </w:r>
      <w:r>
        <w:t>werden und erfolgte insbesondere auf Grundlage von Leitentscheidungen des</w:t>
      </w:r>
      <w:r w:rsidR="00C933D2">
        <w:t xml:space="preserve"> </w:t>
      </w:r>
      <w:r>
        <w:t>Bayerischen Kabinetts, standortpolitische Impulse in verschiedenen Bereichen zu</w:t>
      </w:r>
      <w:r w:rsidR="00C933D2">
        <w:t xml:space="preserve"> </w:t>
      </w:r>
      <w:r>
        <w:t>setzen. Soweit vor dem Hintergrund dieser politischen Standortentscheidung sowie</w:t>
      </w:r>
      <w:r w:rsidR="00C933D2">
        <w:t xml:space="preserve"> </w:t>
      </w:r>
      <w:r w:rsidR="000A3169">
        <w:t>der Alternativlosigkeit der inf</w:t>
      </w:r>
      <w:r>
        <w:t>rage kommenden Grundstücke aufgrund ihrer</w:t>
      </w:r>
      <w:r w:rsidR="00C933D2">
        <w:t xml:space="preserve"> </w:t>
      </w:r>
      <w:r>
        <w:t>Lage bzw. örtlichen Angebundenheit überhaupt noch erforderlich, wurden die</w:t>
      </w:r>
      <w:r w:rsidR="00C933D2">
        <w:t xml:space="preserve"> </w:t>
      </w:r>
      <w:r>
        <w:t>vorbereitenden Prozesse zum Erwerb der Grundstücke eingehalten.</w:t>
      </w:r>
    </w:p>
    <w:p w:rsidR="00925EDE" w:rsidRDefault="00925EDE">
      <w:bookmarkStart w:id="21" w:name="Frage_Nr_10_Ende"/>
      <w:bookmarkEnd w:id="2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lastRenderedPageBreak/>
              <w:t>Abgeordneter</w:t>
            </w:r>
            <w:r>
              <w:rPr>
                <w:b/>
              </w:rPr>
              <w:br/>
              <w:t>Jürgen</w:t>
            </w:r>
            <w:r>
              <w:rPr>
                <w:b/>
              </w:rPr>
              <w:br/>
              <w:t>Mistol</w:t>
            </w:r>
            <w:r>
              <w:rPr>
                <w:b/>
              </w:rPr>
              <w:br/>
            </w:r>
            <w:r>
              <w:t>(BÜNDNIS 90/DIE GRÜNEN)</w:t>
            </w:r>
            <w:bookmarkStart w:id="22" w:name="Frage_Nr_11"/>
            <w:bookmarkEnd w:id="22"/>
          </w:p>
        </w:tc>
        <w:tc>
          <w:tcPr>
            <w:tcW w:w="7200" w:type="dxa"/>
          </w:tcPr>
          <w:p w:rsidR="00925EDE" w:rsidRDefault="004F3CE4" w:rsidP="00925EDE">
            <w:pPr>
              <w:pStyle w:val="LTAnfrageText"/>
            </w:pPr>
            <w:r w:rsidRPr="00DC70A7">
              <w:t>Ich frage die Staatsregierung, welche Kenntnis sie vom aktuellen Sachstand zum Realisierungsvertrag Bahnhalt Walhallastraße in Regensburg hat, wann sie mit einem Abschluss des Realisierungsvertrages rechnet und welche Maßnahmen zur Beschleunigung der Inbetriebnahme des Bahnhalts der Staatsregierung zur Verfügung stehen?</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Die Zuständigkeit für die Realisierung der Reaktivie</w:t>
      </w:r>
      <w:r w:rsidR="00C2387B">
        <w:t>rung des Bahnhalts Regens</w:t>
      </w:r>
      <w:r>
        <w:t>burg-Walhallastraße für den Schienenpersonennah</w:t>
      </w:r>
      <w:r w:rsidR="00C2387B">
        <w:t>verkehr (SPNV) liegt bei der DB </w:t>
      </w:r>
      <w:r>
        <w:t>Station</w:t>
      </w:r>
      <w:r w:rsidR="00E2670C">
        <w:t xml:space="preserve"> </w:t>
      </w:r>
      <w:r>
        <w:t>&amp;</w:t>
      </w:r>
      <w:r w:rsidR="00E2670C">
        <w:t xml:space="preserve"> </w:t>
      </w:r>
      <w:r w:rsidR="00C2387B">
        <w:t>Service </w:t>
      </w:r>
      <w:r>
        <w:t>AG, jene für die Finanzie</w:t>
      </w:r>
      <w:r w:rsidR="00E2670C">
        <w:t>rung beim Bund. Die Staatsregie</w:t>
      </w:r>
      <w:r>
        <w:t>rung hält es für sinnvoll, für diese zu reaktivierende Station SPNV-Halte in ihrer Zuständigkeit zu bestellen und treibt daher aktuell die Planung des Stationsbaus in Zusammenarbeit mit der DB und der Stadt Regensburg voran. Eine Zeichnung des dafür notwendigen Planungsvertrags durch alle Vertrag</w:t>
      </w:r>
      <w:r w:rsidR="00C2387B">
        <w:t>sparteien ist noch für Dezember </w:t>
      </w:r>
      <w:r>
        <w:t>2021 geplant.</w:t>
      </w:r>
    </w:p>
    <w:p w:rsidR="00925EDE" w:rsidRDefault="00925EDE" w:rsidP="00925EDE">
      <w:pPr>
        <w:pStyle w:val="LTAntwortRessortText"/>
      </w:pPr>
      <w:r>
        <w:t xml:space="preserve">Perspektivisch wird die Realisierung mit einer Förderung aus dem </w:t>
      </w:r>
      <w:r w:rsidR="0029350B">
        <w:t>Gemeindeverkehrsfinanzierungsgesetz (</w:t>
      </w:r>
      <w:r>
        <w:t>GVFG-Bundesprogramm</w:t>
      </w:r>
      <w:r w:rsidR="0029350B">
        <w:t>)</w:t>
      </w:r>
      <w:r>
        <w:t xml:space="preserve"> angestrebt. Ein Realisierungsvertrag wird grundsätzlich erst nach Ende der Planungsphase abgeschlossen, d</w:t>
      </w:r>
      <w:r w:rsidR="0029350B">
        <w:t>ie laut DB für das Jahr </w:t>
      </w:r>
      <w:r w:rsidR="00E2670C">
        <w:t>2025 er</w:t>
      </w:r>
      <w:r>
        <w:t>wartet wird. Der Planungs- und Genehmigungsprozess liegt in den Händen der DB und der Bundeseisenbahnverwaltung.</w:t>
      </w:r>
    </w:p>
    <w:p w:rsidR="00925EDE" w:rsidRDefault="00925EDE">
      <w:bookmarkStart w:id="23" w:name="Frage_Nr_11_Ende"/>
      <w:bookmarkEnd w:id="2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925EDE" w:rsidTr="007B0B33">
        <w:tc>
          <w:tcPr>
            <w:tcW w:w="2050" w:type="dxa"/>
          </w:tcPr>
          <w:p w:rsidR="00925EDE" w:rsidRDefault="00925EDE" w:rsidP="00925EDE">
            <w:pPr>
              <w:pStyle w:val="LTAnfrageInitiator"/>
            </w:pPr>
            <w:r>
              <w:lastRenderedPageBreak/>
              <w:t>Abgeordnete</w:t>
            </w:r>
            <w:r>
              <w:rPr>
                <w:b/>
              </w:rPr>
              <w:br/>
              <w:t>Doris</w:t>
            </w:r>
            <w:r>
              <w:rPr>
                <w:b/>
              </w:rPr>
              <w:br/>
              <w:t>Rauscher</w:t>
            </w:r>
            <w:r>
              <w:rPr>
                <w:b/>
              </w:rPr>
              <w:br/>
            </w:r>
            <w:r>
              <w:t>(SPD)</w:t>
            </w:r>
            <w:bookmarkStart w:id="24" w:name="Frage_Nr_12"/>
            <w:bookmarkEnd w:id="24"/>
          </w:p>
        </w:tc>
        <w:tc>
          <w:tcPr>
            <w:tcW w:w="7200" w:type="dxa"/>
          </w:tcPr>
          <w:p w:rsidR="00925EDE" w:rsidRDefault="00576D97" w:rsidP="00925EDE">
            <w:pPr>
              <w:pStyle w:val="LTAnfrageText"/>
            </w:pPr>
            <w:r w:rsidRPr="00DC70A7">
              <w:t>Ich frage die Staatsregierung, wie sie den Bedarf einer Neubaustrecke auf dem Streckenabschnitt Grafing – Ostermünchen als Teil des Nordzulaufs des Brennerbasistunnels einschätzt, wie nach Kenntnissen und Einschätzung der Staatsregierung der Stand bei den Themen Ostkorridor über Freilassing – Mühldorf – Markt Schwaben und einer vollständigen bzw. teilweisen Untertunnelung einer neuen Trasse zwischen Ostermünchen und Grafing (bitte unter Nennung des aktuellen Planungsstandes, der geplanten Zeitschiene und der Wahrscheinlichkeit der Realisierung) ist und wie sie die Chancen einschätzt, dass die vorgestellten Grobtrassen verworfen und stattdessen doch eine bestandsnahe Trasse genutzt wird (ggf. unter Berücksichtigung einer reduzierten Zuggeschwindigkeit und der Umsetzung eines Ostkorridors über Freilassing – Mühldorf – Markt Schwaben zur Entlastung der Strecke)?</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Nach dem Grundgesetz ist der Bund verantwor</w:t>
      </w:r>
      <w:r w:rsidR="00E2670C">
        <w:t>tlich für den Ausbau und die Fi</w:t>
      </w:r>
      <w:r>
        <w:t>nanzierung der bundeseigenen Schieneninfrastruktur. Mit der Planung und dem Bau des Brenner-Nordzulaufs hat der Bund die Deutsche Bahn (DB) beauftragt. Daher obliegt es auch Bund und DB, den verkeh</w:t>
      </w:r>
      <w:r w:rsidR="00E2670C">
        <w:t>rlichen Bedarf einer Neubaustre</w:t>
      </w:r>
      <w:r>
        <w:t>cke nachzuweisen. Die Staatsregierung hat dies auch stets gegenüber dem Bund gefordert.</w:t>
      </w:r>
    </w:p>
    <w:p w:rsidR="00925EDE" w:rsidRDefault="00315CE9" w:rsidP="00925EDE">
      <w:pPr>
        <w:pStyle w:val="LTAntwortRessortText"/>
      </w:pPr>
      <w:r>
        <w:t>Die Ausbaustrecken Hof – Marktredwitz –</w:t>
      </w:r>
      <w:r w:rsidR="00925EDE">
        <w:t xml:space="preserve"> Reg</w:t>
      </w:r>
      <w:r>
        <w:t>ensburg –</w:t>
      </w:r>
      <w:r w:rsidR="00E2670C">
        <w:t xml:space="preserve"> Obertraubling (Ostkor</w:t>
      </w:r>
      <w:r w:rsidR="00925EDE">
        <w:t>ridor Süd) und Mü</w:t>
      </w:r>
      <w:r>
        <w:t>nchen – Mühldorf –</w:t>
      </w:r>
      <w:r w:rsidR="00925EDE">
        <w:t xml:space="preserve"> Freilas</w:t>
      </w:r>
      <w:r>
        <w:t>sing/Burghausen (ABS </w:t>
      </w:r>
      <w:r w:rsidR="00E2670C">
        <w:t>38) und Re</w:t>
      </w:r>
      <w:r>
        <w:t>gensburg – Landshut –</w:t>
      </w:r>
      <w:r w:rsidR="00925EDE">
        <w:t xml:space="preserve"> Mühldorf sowie der Brenner-Nordzulauf befinden sich im</w:t>
      </w:r>
      <w:r w:rsidR="00D2620F">
        <w:t xml:space="preserve"> </w:t>
      </w:r>
      <w:r w:rsidR="00925EDE">
        <w:t>Vordringlichen Bedarf des Bundesverkehrswegeplan (BVWP) 2030. Beim Projekt</w:t>
      </w:r>
      <w:r w:rsidR="00D2620F">
        <w:t xml:space="preserve"> </w:t>
      </w:r>
      <w:r w:rsidR="00925EDE">
        <w:t>Ostkorridor überarbeitet die DB für den Abschni</w:t>
      </w:r>
      <w:r>
        <w:t>tt Hof –</w:t>
      </w:r>
      <w:r w:rsidR="00925EDE">
        <w:t xml:space="preserve"> Marktredwitz die</w:t>
      </w:r>
      <w:r w:rsidR="00D2620F">
        <w:t xml:space="preserve"> </w:t>
      </w:r>
      <w:r w:rsidR="00925EDE">
        <w:t xml:space="preserve">Entwurfs-/Genehmigungsplanung. Für die Abschnitte Marktredwitz </w:t>
      </w:r>
      <w:r w:rsidR="00D2620F">
        <w:t>–</w:t>
      </w:r>
      <w:r w:rsidR="00925EDE">
        <w:t xml:space="preserve"> Regensburg</w:t>
      </w:r>
      <w:r w:rsidR="00D2620F">
        <w:t xml:space="preserve"> </w:t>
      </w:r>
      <w:r>
        <w:t>und Regensburg –</w:t>
      </w:r>
      <w:r w:rsidR="00925EDE">
        <w:t xml:space="preserve"> Obertraubling führt die DB die Vorplanung durch.</w:t>
      </w:r>
    </w:p>
    <w:p w:rsidR="00925EDE" w:rsidRDefault="00315CE9" w:rsidP="00925EDE">
      <w:pPr>
        <w:pStyle w:val="LTAntwortRessortText"/>
      </w:pPr>
      <w:r>
        <w:t>Bei der ABS </w:t>
      </w:r>
      <w:r w:rsidR="00925EDE">
        <w:t>38 hat die zuständige DB von 16 Planfeststellungsabschnitten derzeit</w:t>
      </w:r>
      <w:r w:rsidR="00D2620F">
        <w:t xml:space="preserve"> </w:t>
      </w:r>
      <w:r w:rsidR="00925EDE">
        <w:t>für zwe</w:t>
      </w:r>
      <w:r>
        <w:t>i Abschnitte (Thann-Matzbach – Dorfen und Ottenhofen –</w:t>
      </w:r>
      <w:r w:rsidR="00925EDE">
        <w:t xml:space="preserve"> Wörth) die</w:t>
      </w:r>
      <w:r w:rsidR="00D2620F">
        <w:t xml:space="preserve"> </w:t>
      </w:r>
      <w:r w:rsidR="00925EDE">
        <w:t>Unterlagen beim Eisenbahn-Bundesamt eingereicht. Für die anderen Abschnitte</w:t>
      </w:r>
      <w:r w:rsidR="00D2620F">
        <w:t xml:space="preserve"> </w:t>
      </w:r>
      <w:r>
        <w:t>der ABS </w:t>
      </w:r>
      <w:r w:rsidR="00925EDE">
        <w:t>38 plant die DB die Unterlagen ebenfalls sukzessive einzureichen und</w:t>
      </w:r>
      <w:r w:rsidR="00D2620F">
        <w:t xml:space="preserve"> </w:t>
      </w:r>
      <w:r w:rsidR="00925EDE">
        <w:t>erwartet nach der Einreichung den Start der Anhörungsverfahren.</w:t>
      </w:r>
    </w:p>
    <w:p w:rsidR="00925EDE" w:rsidRDefault="00925EDE" w:rsidP="00925EDE">
      <w:pPr>
        <w:pStyle w:val="LTAntwortRessortText"/>
      </w:pPr>
      <w:r>
        <w:t>Der Bund hat die DB mit Planun</w:t>
      </w:r>
      <w:r w:rsidR="00315CE9">
        <w:t>gen für die Strecke Regensburg – Landshut –</w:t>
      </w:r>
      <w:r w:rsidR="00D2620F">
        <w:t xml:space="preserve"> </w:t>
      </w:r>
      <w:r>
        <w:t>Mühldorf beauftragt. Die Staatsregierung hatte sich gegenüber dem Bund auch</w:t>
      </w:r>
      <w:r w:rsidR="00D2620F">
        <w:t xml:space="preserve"> </w:t>
      </w:r>
      <w:r>
        <w:t>für eine Elektrifizierung zwischen Mühldorf und Rosenheim eingesetzt. Eine solche</w:t>
      </w:r>
      <w:r w:rsidR="00D2620F">
        <w:t xml:space="preserve"> </w:t>
      </w:r>
      <w:r>
        <w:t xml:space="preserve">Maßnahme war </w:t>
      </w:r>
      <w:r w:rsidR="009504DF">
        <w:t>im Potenz</w:t>
      </w:r>
      <w:r w:rsidR="00315CE9">
        <w:t>iellen Bedarf des BVWP </w:t>
      </w:r>
      <w:r>
        <w:t>2030 zunächst vorgesehen,</w:t>
      </w:r>
      <w:r w:rsidR="00D2620F">
        <w:t xml:space="preserve"> </w:t>
      </w:r>
      <w:r>
        <w:t>wurde vom Bund aber zwischenzeitlich als nicht wirtschaftlich abgelehnt.</w:t>
      </w:r>
    </w:p>
    <w:p w:rsidR="00925EDE" w:rsidRDefault="00925EDE" w:rsidP="00925EDE">
      <w:pPr>
        <w:pStyle w:val="LTAntwortRessortText"/>
      </w:pPr>
      <w:r>
        <w:t>Beim Projekt Bren</w:t>
      </w:r>
      <w:r w:rsidR="00454562">
        <w:t>ner-Nordzulauf hat die DB am 2. Dezember </w:t>
      </w:r>
      <w:r>
        <w:t>2021 für den Abschnitt</w:t>
      </w:r>
      <w:r w:rsidR="00D2620F">
        <w:t xml:space="preserve"> </w:t>
      </w:r>
      <w:r w:rsidR="00454562">
        <w:t>Grafing –</w:t>
      </w:r>
      <w:r>
        <w:t xml:space="preserve"> Ostermünchen vier Grobtrassenentwürfe vorgestellt. Bei allen</w:t>
      </w:r>
      <w:r w:rsidR="00D2620F">
        <w:t xml:space="preserve"> </w:t>
      </w:r>
      <w:r>
        <w:t>vier Trassenvarianten hat die DB Tunnelanteile vorgesehen. Die genauen Tunnelanteile</w:t>
      </w:r>
      <w:r w:rsidR="00D2620F">
        <w:t xml:space="preserve"> </w:t>
      </w:r>
      <w:r>
        <w:t>werden sich nach Aussage der DB im Zuge der weiteren Planung ergeben.</w:t>
      </w:r>
      <w:r w:rsidR="00D2620F">
        <w:t xml:space="preserve"> </w:t>
      </w:r>
      <w:r>
        <w:t>Die DB plant die Trassenauswahl im nächsten Jahr abzuschließen und will</w:t>
      </w:r>
      <w:r w:rsidR="00D2620F">
        <w:t xml:space="preserve"> </w:t>
      </w:r>
      <w:r>
        <w:t>danach die Vorplanung starten. Wie im Koalitionsvertrag vereinbart, setzt sich</w:t>
      </w:r>
      <w:r w:rsidR="00D2620F">
        <w:t xml:space="preserve"> </w:t>
      </w:r>
      <w:r>
        <w:t>die Staatsregierung gegenüber dem zuständigen Bund und der DB für eine maximale</w:t>
      </w:r>
      <w:r w:rsidR="00D2620F">
        <w:t xml:space="preserve"> </w:t>
      </w:r>
      <w:r>
        <w:t>Anwohnerfreundlichkeit, vorrangig durch eine weitgehende unterirdische</w:t>
      </w:r>
      <w:r w:rsidR="00D2620F">
        <w:t xml:space="preserve"> </w:t>
      </w:r>
      <w:r>
        <w:t>Streckenführung ein.</w:t>
      </w:r>
    </w:p>
    <w:p w:rsidR="00925EDE" w:rsidRDefault="00925EDE" w:rsidP="00925EDE">
      <w:pPr>
        <w:pStyle w:val="LTAntwortRessortText"/>
      </w:pPr>
      <w:r>
        <w:lastRenderedPageBreak/>
        <w:t>Die verschiedenen Grobtrassenentwürfe der DB verlaufen unterschiedlich nah</w:t>
      </w:r>
      <w:r w:rsidR="00D2620F">
        <w:t xml:space="preserve"> </w:t>
      </w:r>
      <w:r>
        <w:t>entlang der Bestandsstrecke. Bei diesen Varianten handelt es sich um grobe Linien,</w:t>
      </w:r>
      <w:r w:rsidR="00D2620F">
        <w:t xml:space="preserve"> </w:t>
      </w:r>
      <w:r>
        <w:t>die die DB nun vertieft planen wird. Die DB</w:t>
      </w:r>
      <w:r w:rsidR="00E2670C">
        <w:t xml:space="preserve"> ist dabei zum einen an die Pla</w:t>
      </w:r>
      <w:r>
        <w:t>nungsvorgaben des zuständigen Bundes gebunden. Zum anderen muss sie im Rahmen der Planung die gegebenen Raumwiderstände, die sich zum Beispiel aus Wohnbebauung oder Naturschutzflächen ergeben, beachten. Die Staatsregierung ist überzeugt, dass sich durch die nun anstehend</w:t>
      </w:r>
      <w:r w:rsidR="00E2670C">
        <w:t>e Feinplanung vertiefte Erkennt</w:t>
      </w:r>
      <w:r>
        <w:t>nisse ergeben werden und diese den genauen Trassenverlauf beeinflussen werden</w:t>
      </w:r>
      <w:r w:rsidR="00454562">
        <w:t>.</w:t>
      </w:r>
    </w:p>
    <w:p w:rsidR="00925EDE" w:rsidRDefault="00925EDE">
      <w:bookmarkStart w:id="25" w:name="Frage_Nr_12_Ende"/>
      <w:bookmarkEnd w:id="2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925EDE" w:rsidTr="007B0B33">
        <w:tc>
          <w:tcPr>
            <w:tcW w:w="2050" w:type="dxa"/>
          </w:tcPr>
          <w:p w:rsidR="00925EDE" w:rsidRDefault="00925EDE" w:rsidP="00925EDE">
            <w:pPr>
              <w:pStyle w:val="LTAnfrageInitiator"/>
            </w:pPr>
            <w:r>
              <w:lastRenderedPageBreak/>
              <w:t>Abgeordneter</w:t>
            </w:r>
            <w:r>
              <w:rPr>
                <w:b/>
              </w:rPr>
              <w:br/>
              <w:t>Markus</w:t>
            </w:r>
            <w:r>
              <w:rPr>
                <w:b/>
              </w:rPr>
              <w:br/>
              <w:t>Rinderspacher</w:t>
            </w:r>
            <w:r>
              <w:rPr>
                <w:b/>
              </w:rPr>
              <w:br/>
            </w:r>
            <w:r>
              <w:t>(SPD)</w:t>
            </w:r>
            <w:bookmarkStart w:id="26" w:name="Frage_Nr_13"/>
            <w:bookmarkEnd w:id="26"/>
          </w:p>
        </w:tc>
        <w:tc>
          <w:tcPr>
            <w:tcW w:w="7200" w:type="dxa"/>
          </w:tcPr>
          <w:p w:rsidR="00925EDE" w:rsidRDefault="009504DF" w:rsidP="00925EDE">
            <w:pPr>
              <w:pStyle w:val="LTAnfrageText"/>
            </w:pPr>
            <w:r>
              <w:t xml:space="preserve">Ich frage die </w:t>
            </w:r>
            <w:r w:rsidR="00EA32A4" w:rsidRPr="00DC70A7">
              <w:t>Staatsregierung, welche behördlichen Maßnahmen sie seit Januar 2021 eingeleitet hat, die KfZ-Verwahrstelle in der Truderinger Thomas-Hauser-Straße an einen anderen Ort zu verlegen, wann die KfZ-Verwahrstelle verlegt wird (bitte mit Angabe des Ortes) und wie im Wortlaut die konkrete Antwort von Bundesverkehrsminister Scheuer auf das Schreiben von Staatsministerin für Wohnen, Bau und Verkehr Kerstin Schreyer vom 20.01.2021, in dem sie laut Antwort auf die Anfrage auf Drs. 18/14726 die Aufhebung des Variantenbescheids zugunsten der von der Bürgerschaft eingebrachten Variante B1 zur Truderinger Kurve gefordert hat, lautet?</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 xml:space="preserve">Die Maßnahmen Daglfinger und Truderinger Kurve sowie </w:t>
      </w:r>
      <w:r w:rsidR="002A31CA">
        <w:t>zweigleisiger Ausbau Trudering –</w:t>
      </w:r>
      <w:r>
        <w:t xml:space="preserve"> Daglfing sind als Teilmaßna</w:t>
      </w:r>
      <w:r w:rsidR="002A31CA">
        <w:t>hmen der Ausbaustrecke München – Mühldorf –</w:t>
      </w:r>
      <w:r>
        <w:t xml:space="preserve"> Frei</w:t>
      </w:r>
      <w:r w:rsidR="002A31CA">
        <w:t>lassing (ABS </w:t>
      </w:r>
      <w:r>
        <w:t>38) Bestandteil des Vordringlichen Bedarfs des Bundesverkehrswegeplan 2030 und werden derzeit von der Deutschen Bahn (DB) im Auftrag des Bundes geplant. Die geplante Variante der DB stößt bei Bürgern und der Landeshauptstadt München auf Ableh</w:t>
      </w:r>
      <w:r w:rsidR="00E2670C">
        <w:t>nung. Die von den Bürgern vorge</w:t>
      </w:r>
      <w:r w:rsidR="002A31CA">
        <w:t>schlagene Variante </w:t>
      </w:r>
      <w:r>
        <w:t>B1 wird auch vom Freistaat als vorzugswürdig gesehen. Fü</w:t>
      </w:r>
      <w:r w:rsidR="002A31CA">
        <w:t>r die Realisierung der Variante </w:t>
      </w:r>
      <w:r>
        <w:t>B1 ist die Verl</w:t>
      </w:r>
      <w:r w:rsidR="00E2670C">
        <w:t>egung der Kfz-Verwahrstelle not</w:t>
      </w:r>
      <w:r>
        <w:t>wendig.</w:t>
      </w:r>
    </w:p>
    <w:p w:rsidR="00925EDE" w:rsidRDefault="002A31CA" w:rsidP="00925EDE">
      <w:pPr>
        <w:pStyle w:val="LTAntwortRessortText"/>
      </w:pPr>
      <w:r>
        <w:t>Seit Anfang </w:t>
      </w:r>
      <w:r w:rsidR="00925EDE">
        <w:t>2021 eruieren die betroffenen Fachs</w:t>
      </w:r>
      <w:r w:rsidR="00E2670C">
        <w:t>tellen von Freistaat und Landes</w:t>
      </w:r>
      <w:r w:rsidR="00925EDE">
        <w:t>hauptstadt München, ob ein Ersatzgrundstück für die Kfz-Verwahrstelle gefunden werden kann. Hierzu haben bereits fünf Abstimmungstermine stattgef</w:t>
      </w:r>
      <w:r>
        <w:t>unden, eine Fortsetzung im Jahr </w:t>
      </w:r>
      <w:r w:rsidR="00925EDE">
        <w:t>2022 ist bereits terminiert.</w:t>
      </w:r>
    </w:p>
    <w:p w:rsidR="00925EDE" w:rsidRDefault="00925EDE" w:rsidP="00925EDE">
      <w:pPr>
        <w:pStyle w:val="LTAntwortRessortText"/>
      </w:pPr>
      <w:r>
        <w:t>Die zuständigen Fachstellen von Freistaat und</w:t>
      </w:r>
      <w:r w:rsidR="00E2670C">
        <w:t xml:space="preserve"> Landeshauptstadt München arbei</w:t>
      </w:r>
      <w:r>
        <w:t>ten intensiv und in regelmäßigen Besprechungs</w:t>
      </w:r>
      <w:r w:rsidR="002A31CA">
        <w:t>terminen daran, ein Ersatzgrund</w:t>
      </w:r>
      <w:r>
        <w:t>stück für die Kfz-Verwahrstelle zu finden. Der nä</w:t>
      </w:r>
      <w:r w:rsidR="002A31CA">
        <w:t>chste Abstimmungstermin im Jahr </w:t>
      </w:r>
      <w:r>
        <w:t>2022 steht bereits fest. Die Suche nach einem geeigneten Ersatzgrundstück gestaltet sich aufgrund der beschränkten Flächenverfügbarkeit im Stadtgebiet München allerdings schwierig. Daher können belastbare Angaben über Ort und Zeit einer möglichen Verlagerung der Kfz-Verwahrstelle derzeit nicht gemacht werden.</w:t>
      </w:r>
    </w:p>
    <w:p w:rsidR="00925EDE" w:rsidRDefault="00925EDE" w:rsidP="00925EDE">
      <w:pPr>
        <w:pStyle w:val="LTAntwortRessortText"/>
      </w:pPr>
      <w:r>
        <w:t>Eine Antwort des Bundesministeriums für Verkehr und digitale Infrastruktur auf das Schreiben von Frau St</w:t>
      </w:r>
      <w:r w:rsidR="002A31CA">
        <w:t>aatsministerin Schreyer vom 20. Januar </w:t>
      </w:r>
      <w:r>
        <w:t>2021 ist bisher nicht erfolgt.</w:t>
      </w:r>
    </w:p>
    <w:p w:rsidR="00925EDE" w:rsidRDefault="00925EDE">
      <w:bookmarkStart w:id="27" w:name="Frage_Nr_13_Ende"/>
      <w:bookmarkEnd w:id="2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25EDE" w:rsidTr="007B0B33">
        <w:tc>
          <w:tcPr>
            <w:tcW w:w="2050" w:type="dxa"/>
          </w:tcPr>
          <w:p w:rsidR="00925EDE" w:rsidRDefault="00925EDE" w:rsidP="00925EDE">
            <w:pPr>
              <w:pStyle w:val="LTAnfrageInitiator"/>
            </w:pPr>
            <w:r>
              <w:lastRenderedPageBreak/>
              <w:t>Abgeordnete</w:t>
            </w:r>
            <w:r>
              <w:rPr>
                <w:b/>
              </w:rPr>
              <w:br/>
              <w:t>Gisela</w:t>
            </w:r>
            <w:r>
              <w:rPr>
                <w:b/>
              </w:rPr>
              <w:br/>
              <w:t>Sengl</w:t>
            </w:r>
            <w:r>
              <w:rPr>
                <w:b/>
              </w:rPr>
              <w:br/>
            </w:r>
            <w:r>
              <w:t>(BÜNDNIS 90/DIE GRÜNEN)</w:t>
            </w:r>
            <w:bookmarkStart w:id="28" w:name="Frage_Nr_14"/>
            <w:bookmarkEnd w:id="28"/>
          </w:p>
        </w:tc>
        <w:tc>
          <w:tcPr>
            <w:tcW w:w="7200" w:type="dxa"/>
          </w:tcPr>
          <w:p w:rsidR="00925EDE" w:rsidRDefault="00973344" w:rsidP="00925EDE">
            <w:pPr>
              <w:pStyle w:val="LTAnfrageText"/>
            </w:pPr>
            <w:r w:rsidRPr="00DC70A7">
              <w:t>Ich frage die Staatsregierung, auf welchen Routen in den Landkreisen Traunstein, Berchtesgadener Land und Rosenheim derzeit zusätzlich Verstärker-Schulbusse eingesetzt werden, um die Ansteckungsgefahr durch Corona zu mi</w:t>
            </w:r>
            <w:r w:rsidR="00692310">
              <w:t>nimieren,</w:t>
            </w:r>
            <w:r w:rsidRPr="00DC70A7">
              <w:t xml:space="preserve"> welche Kosten für die Verstärker-Schulbusse aktuell monatlich auflaufen, bayernweit und für die Landkreise Traunstein, Berchtesgadener Land und Rosenheim (bitte in Bezug auf Anzahl der Verstärker-Schulbusse pro Landkreis), und wie die gleichmäßige Auslastung der Busse bzw. die gleichmäßige Verteilung der Schülerinnen und Schüler auf die Busse geregelt wird, wenn solche Verstärkerbusse zur Verfügung stehen?</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 xml:space="preserve">Die Schülerbeförderung in Bayern ist eine Pflichtaufgabe der Kommunen (wie Gemeinden, Landkreise und kreisfreie Städte) im eigenen Wirkungskreis. Ebenso ist der allgemeine öffentliche Personennahverkehr (allgemeiner ÖPNV), womit auch Schülerinnen und Schülern befördert werden, eine Aufgabe der Landkreise und kreisfreien Städte im eigenen Wirkungskreis. Die Staatsregierung unterstützt die Kommunen bei der Bestellung zusätzlicher pandemiebedingte </w:t>
      </w:r>
      <w:r w:rsidR="00E2670C">
        <w:t>Schulbusver</w:t>
      </w:r>
      <w:r>
        <w:t>stärker durch ein eigenes Förderprogramm. Ob und in welchem Umfang die Kommunen zusätzliche Leistungen bestellen</w:t>
      </w:r>
      <w:r w:rsidR="00E2670C">
        <w:t>, wird von den kommunalen Aufga</w:t>
      </w:r>
      <w:r>
        <w:t>benträgern vor Ort entschieden.</w:t>
      </w:r>
    </w:p>
    <w:p w:rsidR="00925EDE" w:rsidRDefault="00925EDE" w:rsidP="00925EDE">
      <w:pPr>
        <w:pStyle w:val="LTAntwortRessortText"/>
      </w:pPr>
      <w:r>
        <w:t>Für eine gleichmäßige Auslastung ist zum einen die Gestaltung der Fahrzeiten, die Auswahl der Haltestellen und die Routenf</w:t>
      </w:r>
      <w:r w:rsidR="00E2670C">
        <w:t>ührung maßgeblich. Zu einer Ent</w:t>
      </w:r>
      <w:r>
        <w:t>zerrung vor Ort können zudem die Information der Fahrgäste und die Steuerung</w:t>
      </w:r>
      <w:r w:rsidR="00563393">
        <w:t xml:space="preserve"> </w:t>
      </w:r>
      <w:r>
        <w:t>durch das Fahrpersonal oder durch Schulwegbegleitungen beitragen.</w:t>
      </w:r>
    </w:p>
    <w:p w:rsidR="00925EDE" w:rsidRDefault="00925EDE" w:rsidP="00925EDE">
      <w:pPr>
        <w:pStyle w:val="LTAntwortRessortText"/>
      </w:pPr>
      <w:r>
        <w:t>Zur Beantwortung de</w:t>
      </w:r>
      <w:r w:rsidR="00C94615">
        <w:t>r Anfrage werden die bis zum 1. Dezember </w:t>
      </w:r>
      <w:r>
        <w:t>2021 bei den</w:t>
      </w:r>
      <w:r w:rsidR="00563393">
        <w:t xml:space="preserve"> </w:t>
      </w:r>
      <w:r>
        <w:t>Regierungen gestellten Förderanträge herangezogen. Diese Anträge sind in Teilen</w:t>
      </w:r>
      <w:r w:rsidR="00563393">
        <w:t xml:space="preserve"> </w:t>
      </w:r>
      <w:r>
        <w:t>noch nicht geprüft und noch nicht verbeschieden. Durch Antragsrücknahmen und</w:t>
      </w:r>
      <w:r w:rsidR="00563393">
        <w:t xml:space="preserve"> </w:t>
      </w:r>
      <w:r>
        <w:t>Änderungen können sich Änderungen ergeben.</w:t>
      </w:r>
    </w:p>
    <w:p w:rsidR="00925EDE" w:rsidRDefault="00925EDE" w:rsidP="00925EDE">
      <w:pPr>
        <w:pStyle w:val="LTAntwortRessortText"/>
      </w:pPr>
      <w:r>
        <w:t>Die zusätzlichen Leistungen können sowohl durch zusätzlich eingesetzte Fahrzeuge,</w:t>
      </w:r>
      <w:r w:rsidR="00563393">
        <w:t xml:space="preserve"> </w:t>
      </w:r>
      <w:r>
        <w:t>als auch zusätzliche Fahrten mit vorhandenen Fahrzeugen erbracht werden.</w:t>
      </w:r>
      <w:r w:rsidR="00563393">
        <w:t xml:space="preserve"> </w:t>
      </w:r>
      <w:r>
        <w:t>Eine Angabe, wie viele Fahrzeuge zusätzlich eingesetzt werden, ist im Förderantrag</w:t>
      </w:r>
      <w:r w:rsidR="00563393">
        <w:t xml:space="preserve"> </w:t>
      </w:r>
      <w:r>
        <w:t>nicht vorgesehen.</w:t>
      </w:r>
    </w:p>
    <w:p w:rsidR="00925EDE" w:rsidRDefault="00925EDE" w:rsidP="00925EDE">
      <w:pPr>
        <w:pStyle w:val="LTAntwortRessortText"/>
      </w:pPr>
      <w:r>
        <w:t>Die aus den Antragsunterlagen ersichtlichen Routen sind, soweit im Antrag angegeben,</w:t>
      </w:r>
      <w:r w:rsidR="00563393">
        <w:t xml:space="preserve"> </w:t>
      </w:r>
      <w:r>
        <w:t>in der tabellarischen Aufstellung in der Anlage</w:t>
      </w:r>
      <w:r w:rsidR="00DD2B62" w:rsidRPr="00DD2B62">
        <w:rPr>
          <w:rStyle w:val="LTHyperlinkZchn"/>
          <w:b w:val="0"/>
        </w:rPr>
        <w:t>*)</w:t>
      </w:r>
      <w:r>
        <w:t xml:space="preserve"> nach den jeweiligen Antragsstellern</w:t>
      </w:r>
      <w:r w:rsidR="00563393">
        <w:t xml:space="preserve"> </w:t>
      </w:r>
      <w:r>
        <w:t>dargestellt. Der Nachweis für die Routen erfolgt erst mit dem Verwendungsnachweis.</w:t>
      </w:r>
    </w:p>
    <w:p w:rsidR="00925EDE" w:rsidRDefault="00925EDE" w:rsidP="00925EDE">
      <w:pPr>
        <w:pStyle w:val="LTAntwortRessortText"/>
      </w:pPr>
      <w:r>
        <w:t>Der aktuelle Antragszeitraum für die Förderung erstreckt sich auf den Zeitraum</w:t>
      </w:r>
      <w:r w:rsidR="00563393">
        <w:t xml:space="preserve"> </w:t>
      </w:r>
      <w:r w:rsidR="00C94615">
        <w:t>von Schuljahresbeginn </w:t>
      </w:r>
      <w:r>
        <w:t>2021</w:t>
      </w:r>
      <w:r w:rsidR="00C94615">
        <w:t>/</w:t>
      </w:r>
      <w:r w:rsidR="001B419F">
        <w:t>20</w:t>
      </w:r>
      <w:r w:rsidR="00C94615">
        <w:t>22 bis zu den Weihnachtsferien </w:t>
      </w:r>
      <w:r>
        <w:t>2021/</w:t>
      </w:r>
      <w:r w:rsidR="001B419F">
        <w:t>20</w:t>
      </w:r>
      <w:r>
        <w:t>22. Eine Aufstellung</w:t>
      </w:r>
      <w:r w:rsidR="00563393">
        <w:t xml:space="preserve"> </w:t>
      </w:r>
      <w:r>
        <w:t>der einzelnen Monate liegt nicht vor.</w:t>
      </w:r>
    </w:p>
    <w:p w:rsidR="00925EDE" w:rsidRDefault="00925EDE" w:rsidP="00925EDE">
      <w:pPr>
        <w:pStyle w:val="LTAntwortRessortText"/>
      </w:pPr>
      <w:r>
        <w:t>Für das Gebiet der benannten Landkreise wurden folgende Leistungen beantragt,</w:t>
      </w:r>
      <w:r w:rsidR="00563393">
        <w:t xml:space="preserve"> </w:t>
      </w:r>
      <w:r>
        <w:t>einschließlich der kreisangehörigen Aufgabenträger der Schülerbeförderung:</w:t>
      </w:r>
    </w:p>
    <w:p w:rsidR="00925EDE" w:rsidRDefault="00925EDE" w:rsidP="00925EDE">
      <w:pPr>
        <w:pStyle w:val="LTAntwortRessortText"/>
      </w:pPr>
    </w:p>
    <w:tbl>
      <w:tblPr>
        <w:tblStyle w:val="TableNormal"/>
        <w:tblW w:w="78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84"/>
        <w:gridCol w:w="2687"/>
      </w:tblGrid>
      <w:tr w:rsidR="00563393" w:rsidRPr="009E351A" w:rsidTr="00DB3676">
        <w:trPr>
          <w:trHeight w:val="661"/>
        </w:trPr>
        <w:tc>
          <w:tcPr>
            <w:tcW w:w="2518" w:type="dxa"/>
          </w:tcPr>
          <w:p w:rsidR="00563393" w:rsidRPr="009E351A" w:rsidRDefault="00563393" w:rsidP="00C162EC">
            <w:pPr>
              <w:pStyle w:val="TableParagraph"/>
              <w:spacing w:line="315" w:lineRule="exact"/>
              <w:rPr>
                <w:rFonts w:ascii="Arial" w:hAnsi="Arial" w:cs="Arial"/>
                <w:sz w:val="18"/>
                <w:szCs w:val="18"/>
              </w:rPr>
            </w:pPr>
            <w:r w:rsidRPr="009E351A">
              <w:rPr>
                <w:rFonts w:ascii="Arial" w:hAnsi="Arial" w:cs="Arial"/>
                <w:sz w:val="18"/>
                <w:szCs w:val="18"/>
              </w:rPr>
              <w:lastRenderedPageBreak/>
              <w:t>Landkreis</w:t>
            </w:r>
          </w:p>
        </w:tc>
        <w:tc>
          <w:tcPr>
            <w:tcW w:w="2684" w:type="dxa"/>
          </w:tcPr>
          <w:p w:rsidR="00563393" w:rsidRPr="009E351A" w:rsidRDefault="00563393" w:rsidP="00C162EC">
            <w:pPr>
              <w:pStyle w:val="TableParagraph"/>
              <w:spacing w:line="360" w:lineRule="auto"/>
              <w:ind w:right="136"/>
              <w:rPr>
                <w:rFonts w:ascii="Arial" w:hAnsi="Arial" w:cs="Arial"/>
                <w:sz w:val="18"/>
                <w:szCs w:val="18"/>
              </w:rPr>
            </w:pPr>
            <w:r w:rsidRPr="009E351A">
              <w:rPr>
                <w:rFonts w:ascii="Arial" w:hAnsi="Arial" w:cs="Arial"/>
                <w:sz w:val="18"/>
                <w:szCs w:val="18"/>
              </w:rPr>
              <w:t>Höhe der beantragten Förderung</w:t>
            </w:r>
            <w:r w:rsidR="009E351A">
              <w:rPr>
                <w:rFonts w:ascii="Arial" w:hAnsi="Arial" w:cs="Arial"/>
                <w:sz w:val="18"/>
                <w:szCs w:val="18"/>
              </w:rPr>
              <w:t xml:space="preserve"> in Euro</w:t>
            </w:r>
          </w:p>
        </w:tc>
        <w:tc>
          <w:tcPr>
            <w:tcW w:w="2687" w:type="dxa"/>
          </w:tcPr>
          <w:p w:rsidR="00563393" w:rsidRPr="009E351A" w:rsidRDefault="00DD2B62" w:rsidP="00DD2B62">
            <w:pPr>
              <w:pStyle w:val="TableParagraph"/>
              <w:spacing w:line="360" w:lineRule="auto"/>
              <w:ind w:left="110" w:right="245"/>
              <w:rPr>
                <w:rFonts w:ascii="Arial" w:hAnsi="Arial" w:cs="Arial"/>
                <w:sz w:val="18"/>
                <w:szCs w:val="18"/>
              </w:rPr>
            </w:pPr>
            <w:r w:rsidRPr="009E351A">
              <w:rPr>
                <w:rFonts w:ascii="Arial" w:hAnsi="Arial" w:cs="Arial"/>
                <w:sz w:val="18"/>
                <w:szCs w:val="18"/>
              </w:rPr>
              <w:t>Eingesetzte Verstär</w:t>
            </w:r>
            <w:r w:rsidR="00563393" w:rsidRPr="009E351A">
              <w:rPr>
                <w:rFonts w:ascii="Arial" w:hAnsi="Arial" w:cs="Arial"/>
                <w:sz w:val="18"/>
                <w:szCs w:val="18"/>
              </w:rPr>
              <w:t xml:space="preserve">kerbusse </w:t>
            </w:r>
            <w:r w:rsidRPr="009E351A">
              <w:rPr>
                <w:rFonts w:ascii="Arial" w:hAnsi="Arial" w:cs="Arial"/>
                <w:sz w:val="18"/>
                <w:szCs w:val="18"/>
              </w:rPr>
              <w:br/>
              <w:t>(soweit an</w:t>
            </w:r>
            <w:r w:rsidR="00563393" w:rsidRPr="009E351A">
              <w:rPr>
                <w:rFonts w:ascii="Arial" w:hAnsi="Arial" w:cs="Arial"/>
                <w:sz w:val="18"/>
                <w:szCs w:val="18"/>
              </w:rPr>
              <w:t>gegeben)</w:t>
            </w:r>
          </w:p>
        </w:tc>
      </w:tr>
      <w:tr w:rsidR="00563393" w:rsidRPr="009E351A" w:rsidTr="009E351A">
        <w:trPr>
          <w:trHeight w:val="484"/>
        </w:trPr>
        <w:tc>
          <w:tcPr>
            <w:tcW w:w="2518" w:type="dxa"/>
          </w:tcPr>
          <w:p w:rsidR="00563393" w:rsidRPr="009E351A" w:rsidRDefault="00563393" w:rsidP="00C162EC">
            <w:pPr>
              <w:pStyle w:val="TableParagraph"/>
              <w:spacing w:line="317" w:lineRule="exact"/>
              <w:rPr>
                <w:rFonts w:ascii="Arial" w:hAnsi="Arial" w:cs="Arial"/>
                <w:sz w:val="18"/>
                <w:szCs w:val="18"/>
              </w:rPr>
            </w:pPr>
            <w:r w:rsidRPr="009E351A">
              <w:rPr>
                <w:rFonts w:ascii="Arial" w:hAnsi="Arial" w:cs="Arial"/>
                <w:sz w:val="18"/>
                <w:szCs w:val="18"/>
              </w:rPr>
              <w:t>Rosenheim</w:t>
            </w:r>
          </w:p>
        </w:tc>
        <w:tc>
          <w:tcPr>
            <w:tcW w:w="2684" w:type="dxa"/>
          </w:tcPr>
          <w:p w:rsidR="00563393" w:rsidRPr="009E351A" w:rsidRDefault="009E351A" w:rsidP="009E351A">
            <w:pPr>
              <w:pStyle w:val="TableParagraph"/>
              <w:spacing w:line="317" w:lineRule="exact"/>
              <w:jc w:val="center"/>
              <w:rPr>
                <w:rFonts w:ascii="Arial" w:hAnsi="Arial" w:cs="Arial"/>
                <w:sz w:val="18"/>
                <w:szCs w:val="18"/>
              </w:rPr>
            </w:pPr>
            <w:r>
              <w:rPr>
                <w:rFonts w:ascii="Arial" w:hAnsi="Arial" w:cs="Arial"/>
                <w:sz w:val="18"/>
                <w:szCs w:val="18"/>
              </w:rPr>
              <w:t>275.739,79</w:t>
            </w:r>
          </w:p>
        </w:tc>
        <w:tc>
          <w:tcPr>
            <w:tcW w:w="2687" w:type="dxa"/>
          </w:tcPr>
          <w:p w:rsidR="00563393" w:rsidRPr="009E351A" w:rsidRDefault="00563393" w:rsidP="009E351A">
            <w:pPr>
              <w:pStyle w:val="TableParagraph"/>
              <w:spacing w:line="317" w:lineRule="exact"/>
              <w:ind w:left="110"/>
              <w:jc w:val="center"/>
              <w:rPr>
                <w:rFonts w:ascii="Arial" w:hAnsi="Arial" w:cs="Arial"/>
                <w:sz w:val="18"/>
                <w:szCs w:val="18"/>
              </w:rPr>
            </w:pPr>
            <w:r w:rsidRPr="009E351A">
              <w:rPr>
                <w:rFonts w:ascii="Arial" w:hAnsi="Arial" w:cs="Arial"/>
                <w:sz w:val="18"/>
                <w:szCs w:val="18"/>
              </w:rPr>
              <w:t>16</w:t>
            </w:r>
          </w:p>
        </w:tc>
      </w:tr>
      <w:tr w:rsidR="00563393" w:rsidRPr="009E351A" w:rsidTr="009E351A">
        <w:trPr>
          <w:trHeight w:val="481"/>
        </w:trPr>
        <w:tc>
          <w:tcPr>
            <w:tcW w:w="2518" w:type="dxa"/>
          </w:tcPr>
          <w:p w:rsidR="00563393" w:rsidRPr="009E351A" w:rsidRDefault="00563393" w:rsidP="00C162EC">
            <w:pPr>
              <w:pStyle w:val="TableParagraph"/>
              <w:spacing w:line="315" w:lineRule="exact"/>
              <w:rPr>
                <w:rFonts w:ascii="Arial" w:hAnsi="Arial" w:cs="Arial"/>
                <w:sz w:val="18"/>
                <w:szCs w:val="18"/>
              </w:rPr>
            </w:pPr>
            <w:r w:rsidRPr="009E351A">
              <w:rPr>
                <w:rFonts w:ascii="Arial" w:hAnsi="Arial" w:cs="Arial"/>
                <w:sz w:val="18"/>
                <w:szCs w:val="18"/>
              </w:rPr>
              <w:t>Berchtesgadener</w:t>
            </w:r>
            <w:r w:rsidR="00DD2B62" w:rsidRPr="009E351A">
              <w:rPr>
                <w:rFonts w:ascii="Arial" w:hAnsi="Arial" w:cs="Arial"/>
                <w:sz w:val="18"/>
                <w:szCs w:val="18"/>
              </w:rPr>
              <w:t xml:space="preserve"> Land</w:t>
            </w:r>
          </w:p>
        </w:tc>
        <w:tc>
          <w:tcPr>
            <w:tcW w:w="2684" w:type="dxa"/>
          </w:tcPr>
          <w:p w:rsidR="00563393" w:rsidRPr="009E351A" w:rsidRDefault="009E351A" w:rsidP="009E351A">
            <w:pPr>
              <w:pStyle w:val="TableParagraph"/>
              <w:spacing w:line="315" w:lineRule="exact"/>
              <w:jc w:val="center"/>
              <w:rPr>
                <w:rFonts w:ascii="Arial" w:hAnsi="Arial" w:cs="Arial"/>
                <w:sz w:val="18"/>
                <w:szCs w:val="18"/>
              </w:rPr>
            </w:pPr>
            <w:r>
              <w:rPr>
                <w:rFonts w:ascii="Arial" w:hAnsi="Arial" w:cs="Arial"/>
                <w:sz w:val="18"/>
                <w:szCs w:val="18"/>
              </w:rPr>
              <w:t>294.768,08</w:t>
            </w:r>
          </w:p>
        </w:tc>
        <w:tc>
          <w:tcPr>
            <w:tcW w:w="2687" w:type="dxa"/>
          </w:tcPr>
          <w:p w:rsidR="00563393" w:rsidRPr="009E351A" w:rsidRDefault="00563393" w:rsidP="009E351A">
            <w:pPr>
              <w:pStyle w:val="TableParagraph"/>
              <w:spacing w:line="315" w:lineRule="exact"/>
              <w:ind w:left="110"/>
              <w:jc w:val="center"/>
              <w:rPr>
                <w:rFonts w:ascii="Arial" w:hAnsi="Arial" w:cs="Arial"/>
                <w:sz w:val="18"/>
                <w:szCs w:val="18"/>
              </w:rPr>
            </w:pPr>
            <w:r w:rsidRPr="009E351A">
              <w:rPr>
                <w:rFonts w:ascii="Arial" w:hAnsi="Arial" w:cs="Arial"/>
                <w:sz w:val="18"/>
                <w:szCs w:val="18"/>
              </w:rPr>
              <w:t>16</w:t>
            </w:r>
          </w:p>
        </w:tc>
      </w:tr>
      <w:tr w:rsidR="00563393" w:rsidRPr="009E351A" w:rsidTr="009E351A">
        <w:tblPrEx>
          <w:tblLook w:val="04A0" w:firstRow="1" w:lastRow="0" w:firstColumn="1" w:lastColumn="0" w:noHBand="0" w:noVBand="1"/>
        </w:tblPrEx>
        <w:trPr>
          <w:trHeight w:val="484"/>
        </w:trPr>
        <w:tc>
          <w:tcPr>
            <w:tcW w:w="2518" w:type="dxa"/>
          </w:tcPr>
          <w:p w:rsidR="00563393" w:rsidRPr="009E351A" w:rsidRDefault="00563393" w:rsidP="00C162EC">
            <w:pPr>
              <w:pStyle w:val="TableParagraph"/>
              <w:ind w:left="105"/>
              <w:rPr>
                <w:rFonts w:ascii="Arial" w:hAnsi="Arial" w:cs="Arial"/>
                <w:sz w:val="18"/>
                <w:szCs w:val="18"/>
              </w:rPr>
            </w:pPr>
            <w:r w:rsidRPr="009E351A">
              <w:rPr>
                <w:rFonts w:ascii="Arial" w:hAnsi="Arial" w:cs="Arial"/>
                <w:sz w:val="18"/>
                <w:szCs w:val="18"/>
              </w:rPr>
              <w:t>Traunstein</w:t>
            </w:r>
          </w:p>
        </w:tc>
        <w:tc>
          <w:tcPr>
            <w:tcW w:w="2684" w:type="dxa"/>
          </w:tcPr>
          <w:p w:rsidR="00563393" w:rsidRPr="009E351A" w:rsidRDefault="00563393" w:rsidP="009E351A">
            <w:pPr>
              <w:pStyle w:val="TableParagraph"/>
              <w:jc w:val="center"/>
              <w:rPr>
                <w:rFonts w:ascii="Arial" w:hAnsi="Arial" w:cs="Arial"/>
                <w:sz w:val="18"/>
                <w:szCs w:val="18"/>
              </w:rPr>
            </w:pPr>
            <w:r w:rsidRPr="009E351A">
              <w:rPr>
                <w:rFonts w:ascii="Arial" w:hAnsi="Arial" w:cs="Arial"/>
                <w:sz w:val="18"/>
                <w:szCs w:val="18"/>
              </w:rPr>
              <w:t>345</w:t>
            </w:r>
            <w:r w:rsidR="009E351A">
              <w:rPr>
                <w:rFonts w:ascii="Arial" w:hAnsi="Arial" w:cs="Arial"/>
                <w:sz w:val="18"/>
                <w:szCs w:val="18"/>
              </w:rPr>
              <w:t>.683,35</w:t>
            </w:r>
          </w:p>
        </w:tc>
        <w:tc>
          <w:tcPr>
            <w:tcW w:w="2687" w:type="dxa"/>
          </w:tcPr>
          <w:p w:rsidR="00563393" w:rsidRPr="009E351A" w:rsidRDefault="00563393" w:rsidP="009E351A">
            <w:pPr>
              <w:pStyle w:val="TableParagraph"/>
              <w:ind w:left="111"/>
              <w:jc w:val="center"/>
              <w:rPr>
                <w:rFonts w:ascii="Arial" w:hAnsi="Arial" w:cs="Arial"/>
                <w:sz w:val="18"/>
                <w:szCs w:val="18"/>
              </w:rPr>
            </w:pPr>
            <w:r w:rsidRPr="009E351A">
              <w:rPr>
                <w:rFonts w:ascii="Arial" w:hAnsi="Arial" w:cs="Arial"/>
                <w:sz w:val="18"/>
                <w:szCs w:val="18"/>
              </w:rPr>
              <w:t>17</w:t>
            </w:r>
          </w:p>
        </w:tc>
      </w:tr>
    </w:tbl>
    <w:p w:rsidR="00925EDE" w:rsidRDefault="00925EDE" w:rsidP="00563393">
      <w:pPr>
        <w:pStyle w:val="LTAntwortRessortText"/>
        <w:ind w:left="0"/>
      </w:pPr>
    </w:p>
    <w:p w:rsidR="00925EDE" w:rsidRDefault="00C94615" w:rsidP="00925EDE">
      <w:pPr>
        <w:pStyle w:val="LTAntwortRessortText"/>
      </w:pPr>
      <w:r>
        <w:t>Bayernweit wurden zum Stand 1. Dezember 2021 für die Zeit vom 14. September bis 23. Dezember </w:t>
      </w:r>
      <w:r w:rsidR="00925EDE">
        <w:t>2021 Förder</w:t>
      </w:r>
      <w:r>
        <w:t>ungen in Höhe von 15.131.933,63 </w:t>
      </w:r>
      <w:r w:rsidR="00925EDE">
        <w:t>Euro beantragt.</w:t>
      </w:r>
    </w:p>
    <w:p w:rsidR="00DD2B62" w:rsidRDefault="00DD2B62" w:rsidP="00DD2B62">
      <w:pPr>
        <w:pStyle w:val="LTAntwortRessortText"/>
      </w:pPr>
      <w:r>
        <w:t xml:space="preserve">*) Von einem Abdruck wurde abgesehen. Die Anlage ist als pdf-Dokument </w:t>
      </w:r>
      <w:hyperlink r:id="rId14" w:history="1">
        <w:r w:rsidRPr="00DD2B62">
          <w:rPr>
            <w:rStyle w:val="LTHyperlinkZchn"/>
            <w:b w:val="0"/>
          </w:rPr>
          <w:t>hier</w:t>
        </w:r>
      </w:hyperlink>
      <w:r>
        <w:t xml:space="preserve"> einsehbar.</w:t>
      </w:r>
    </w:p>
    <w:p w:rsidR="00DD2B62" w:rsidRDefault="00DD2B62" w:rsidP="00925EDE">
      <w:pPr>
        <w:pStyle w:val="LTAntwortRessortText"/>
      </w:pPr>
    </w:p>
    <w:p w:rsidR="00DD2B62" w:rsidRDefault="00DD2B62" w:rsidP="00925EDE">
      <w:pPr>
        <w:pStyle w:val="LTAntwortRessortText"/>
      </w:pPr>
    </w:p>
    <w:p w:rsidR="00925EDE" w:rsidRDefault="00925EDE">
      <w:bookmarkStart w:id="29" w:name="Frage_Nr_14_Ende"/>
      <w:bookmarkEnd w:id="2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925EDE" w:rsidTr="007B0B33">
        <w:tc>
          <w:tcPr>
            <w:tcW w:w="2050" w:type="dxa"/>
          </w:tcPr>
          <w:p w:rsidR="00925EDE" w:rsidRDefault="00925EDE" w:rsidP="00925EDE">
            <w:pPr>
              <w:pStyle w:val="LTAnfrageInitiator"/>
            </w:pPr>
            <w:r>
              <w:lastRenderedPageBreak/>
              <w:t>Abgeordnete</w:t>
            </w:r>
            <w:r>
              <w:rPr>
                <w:b/>
              </w:rPr>
              <w:br/>
              <w:t>Ursula</w:t>
            </w:r>
            <w:r>
              <w:rPr>
                <w:b/>
              </w:rPr>
              <w:br/>
              <w:t>Sowa</w:t>
            </w:r>
            <w:r>
              <w:rPr>
                <w:b/>
              </w:rPr>
              <w:br/>
            </w:r>
            <w:r>
              <w:t>(BÜNDNIS 90/DIE GRÜNEN)</w:t>
            </w:r>
            <w:bookmarkStart w:id="30" w:name="Frage_Nr_15"/>
            <w:bookmarkEnd w:id="30"/>
          </w:p>
        </w:tc>
        <w:tc>
          <w:tcPr>
            <w:tcW w:w="7200" w:type="dxa"/>
          </w:tcPr>
          <w:p w:rsidR="00925EDE" w:rsidRDefault="003E7187" w:rsidP="00925EDE">
            <w:pPr>
              <w:pStyle w:val="LTAnfrageText"/>
            </w:pPr>
            <w:r w:rsidRPr="00DC70A7">
              <w:t>Vor dem Hintergrund, dass der Freistaat in 2021 über 30 Mio. Euro für Maßnahmen zur Klimaneutralität von staatseigenen Gebäuden bereitgestellt hat und davon 5 Mio. Euro ausschließlich für den Bau von Photovoltaikanlagen vorgesehen sind, frage ich die Staatsregierung, inwieweit die 5 Mio. Euro für den Bau von Photovoltaikanlagen auf staatlichen Dächern bereits ausgeschöpft wurden, wie viele Photovoltaikanlagen im laufenden Jahr auf staatlichen Dächern und Liegenschaften in Betrieb genommen werden konnten und welcher Prozentsatz der staatlichen Dächer und Liegenschaften – Stand heute – mit einer Photovoltaikanlage ausgestattet ist?</w:t>
            </w:r>
          </w:p>
        </w:tc>
      </w:tr>
    </w:tbl>
    <w:p w:rsidR="00925EDE" w:rsidRDefault="00925EDE" w:rsidP="00925EDE">
      <w:pPr>
        <w:pStyle w:val="LTUeberschrAntwortRessort"/>
      </w:pPr>
      <w:r>
        <w:t>Antwort des Staatsministeriums für Wohnen, Bau und Verkehr</w:t>
      </w:r>
    </w:p>
    <w:p w:rsidR="00925EDE" w:rsidRDefault="00925EDE" w:rsidP="00925EDE">
      <w:pPr>
        <w:pStyle w:val="LTAntwortRessortText"/>
      </w:pPr>
      <w:r>
        <w:t>Die für den Bau von Photov</w:t>
      </w:r>
      <w:r w:rsidR="001F2D72">
        <w:t xml:space="preserve">oltaikanlagen vorgesehenen </w:t>
      </w:r>
      <w:r w:rsidR="00692310">
        <w:t>5 Mio.</w:t>
      </w:r>
      <w:r w:rsidR="001F2D72">
        <w:t> </w:t>
      </w:r>
      <w:r>
        <w:t>Euro wurden anteilig den jeweiligen Ressorts zugewiesen, die die Haushaltsmittel an die zuständigen Staatlichen Bauämter weiterleiten bzw. weitergeleitet haben.</w:t>
      </w:r>
      <w:r w:rsidR="0050142C">
        <w:t xml:space="preserve"> </w:t>
      </w:r>
      <w:r>
        <w:t xml:space="preserve">Mit diesen Haushaltsmitteln wurde im </w:t>
      </w:r>
      <w:r w:rsidR="001F2D72">
        <w:t>Jahr </w:t>
      </w:r>
      <w:r>
        <w:t>202</w:t>
      </w:r>
      <w:r w:rsidR="00D8582E">
        <w:t>1 der Bau von 53 Photovoltaikan</w:t>
      </w:r>
      <w:r>
        <w:t>lagen beauftragt, von denen ein Teil bereits fertiggestellt wurde.</w:t>
      </w:r>
      <w:r w:rsidR="0050142C">
        <w:t xml:space="preserve"> </w:t>
      </w:r>
      <w:r>
        <w:t xml:space="preserve">Von den staatlichen Dächern und Liegenschaften, die für die Installation einer Photovoltaikanlage geeignet sind, wurde bisher </w:t>
      </w:r>
      <w:r w:rsidR="00D8582E">
        <w:t>auf rund einem Drittel eine Pho</w:t>
      </w:r>
      <w:r>
        <w:t>tovoltaikanlage errichtet.</w:t>
      </w:r>
    </w:p>
    <w:p w:rsidR="00925EDE" w:rsidRDefault="00925EDE">
      <w:bookmarkStart w:id="31" w:name="Frage_Nr_15_Ende"/>
      <w:bookmarkEnd w:id="31"/>
      <w:r>
        <w:br w:type="page"/>
      </w:r>
    </w:p>
    <w:p w:rsidR="00925EDE" w:rsidRDefault="00925EDE" w:rsidP="00925EDE">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25EDE" w:rsidTr="007B0B33">
        <w:tc>
          <w:tcPr>
            <w:tcW w:w="2050" w:type="dxa"/>
          </w:tcPr>
          <w:p w:rsidR="00925EDE" w:rsidRDefault="00925EDE" w:rsidP="00925EDE">
            <w:pPr>
              <w:pStyle w:val="LTAnfrageInitiator"/>
            </w:pPr>
            <w:r>
              <w:t>Abgeordnete</w:t>
            </w:r>
            <w:r>
              <w:rPr>
                <w:b/>
              </w:rPr>
              <w:br/>
              <w:t>Stephanie</w:t>
            </w:r>
            <w:r>
              <w:rPr>
                <w:b/>
              </w:rPr>
              <w:br/>
              <w:t>Schuhknecht</w:t>
            </w:r>
            <w:r>
              <w:rPr>
                <w:b/>
              </w:rPr>
              <w:br/>
            </w:r>
            <w:r>
              <w:t>(BÜNDNIS 90/DIE GRÜNEN)</w:t>
            </w:r>
            <w:bookmarkStart w:id="32" w:name="Frage_Nr_16"/>
            <w:bookmarkEnd w:id="32"/>
          </w:p>
        </w:tc>
        <w:tc>
          <w:tcPr>
            <w:tcW w:w="7200" w:type="dxa"/>
          </w:tcPr>
          <w:p w:rsidR="00925EDE" w:rsidRDefault="005937F5" w:rsidP="00925EDE">
            <w:pPr>
              <w:pStyle w:val="LTAnfrageText"/>
            </w:pPr>
            <w:r w:rsidRPr="00DC70A7">
              <w:t>Ich frage die Staatsregierung, wie hoch seit Beginn der Coronapandemie die Infektionsquote (alternativ absolute Fallzahl) in den bayerischen Justizvollzuganstalten ist (bitte aufschlüsseln nach JVA, Gefangene und Bedienstete), wie hoch zum jetzigen Zeitpunkt die akuten Infektionszahlen (aktuell Infizierte) in den bayerischen Justizvollzugsanstalten sind (in absoluten Zahlen bitte aufschlüsseln nach JVA, Gefangene und Bedienstete) und wie sich bei den akut Infizierten die Aufteilung in Geimpfte und Ungeimpfte verhält (bitte aufschlüsseln nach JVA, Gefangene und Bedienstete)?</w:t>
            </w:r>
          </w:p>
        </w:tc>
      </w:tr>
    </w:tbl>
    <w:p w:rsidR="00925EDE" w:rsidRDefault="00925EDE" w:rsidP="00925EDE">
      <w:pPr>
        <w:pStyle w:val="LTUeberschrAntwortRessort"/>
      </w:pPr>
      <w:r>
        <w:t>Antwort des Staatsministeriums der Justiz</w:t>
      </w:r>
    </w:p>
    <w:p w:rsidR="00925EDE" w:rsidRDefault="00925EDE" w:rsidP="00925EDE">
      <w:pPr>
        <w:pStyle w:val="LTAntwortRessortText"/>
      </w:pPr>
      <w:r>
        <w:t>Eine Infektionsquote kann aufgrund der sowohl</w:t>
      </w:r>
      <w:r w:rsidR="00D8582E">
        <w:t xml:space="preserve"> bei Gefangenen als auch bei Be</w:t>
      </w:r>
      <w:r>
        <w:t xml:space="preserve">diensteten gegebenen Fluktuation statistisch nicht verlässlich angegeben werden. In absoluten Zahlen waren nach den hier vorliegenden Daten von Beginn der </w:t>
      </w:r>
      <w:r w:rsidR="003439F1">
        <w:t>Coronapandemie</w:t>
      </w:r>
      <w:r>
        <w:t xml:space="preserve"> bis zum S</w:t>
      </w:r>
      <w:r w:rsidR="007D40DF">
        <w:t>tichtag am 6. </w:t>
      </w:r>
      <w:r>
        <w:t>Dezem</w:t>
      </w:r>
      <w:r w:rsidR="007D40DF">
        <w:t>ber 2021 insgesamt 594 </w:t>
      </w:r>
      <w:r w:rsidR="00D8582E">
        <w:t>Infektio</w:t>
      </w:r>
      <w:r>
        <w:t>nen unter Bediensteten der bayerischen Justizvollzugsanstalten zu verzeichnen. Im gleichen Zeitraum wurden nach den hier vo</w:t>
      </w:r>
      <w:r w:rsidR="00D8582E">
        <w:t>rliegenden Zahlen in den bayeri</w:t>
      </w:r>
      <w:r>
        <w:t>schen Justiz</w:t>
      </w:r>
      <w:r w:rsidR="007D40DF">
        <w:t>vollzugsanstalten insgesamt 551 </w:t>
      </w:r>
      <w:r>
        <w:t>Gef</w:t>
      </w:r>
      <w:r w:rsidR="00D8582E">
        <w:t>angene positiv auf das Coronavi</w:t>
      </w:r>
      <w:r>
        <w:t>rus getestet.</w:t>
      </w:r>
    </w:p>
    <w:p w:rsidR="00925EDE" w:rsidRDefault="00925EDE" w:rsidP="00925EDE">
      <w:pPr>
        <w:pStyle w:val="LTAntwortRessortText"/>
      </w:pPr>
      <w:r>
        <w:t>Auf die einzelnen Justizvollzugsanstalten verteilen sich diese Zahlen wie folgt:</w:t>
      </w:r>
    </w:p>
    <w:p w:rsidR="00925EDE" w:rsidRDefault="00925EDE" w:rsidP="00925EDE">
      <w:pPr>
        <w:pStyle w:val="LTAntwortRessortText"/>
      </w:pPr>
    </w:p>
    <w:tbl>
      <w:tblPr>
        <w:tblStyle w:val="TableNormal"/>
        <w:tblW w:w="78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9"/>
        <w:gridCol w:w="2672"/>
        <w:gridCol w:w="2674"/>
      </w:tblGrid>
      <w:tr w:rsidR="004A4DAA" w:rsidRPr="001F51CE" w:rsidTr="001F51CE">
        <w:trPr>
          <w:trHeight w:val="605"/>
        </w:trPr>
        <w:tc>
          <w:tcPr>
            <w:tcW w:w="2529" w:type="dxa"/>
            <w:tcBorders>
              <w:bottom w:val="single" w:sz="12" w:space="0" w:color="000000"/>
              <w:right w:val="single" w:sz="12" w:space="0" w:color="000000"/>
            </w:tcBorders>
          </w:tcPr>
          <w:p w:rsidR="004A4DAA" w:rsidRPr="001F51CE" w:rsidRDefault="004A4DAA" w:rsidP="00C162EC">
            <w:pPr>
              <w:pStyle w:val="TableParagraph"/>
              <w:spacing w:line="240" w:lineRule="auto"/>
              <w:rPr>
                <w:rFonts w:ascii="Arial" w:hAnsi="Arial" w:cs="Arial"/>
                <w:sz w:val="18"/>
                <w:szCs w:val="18"/>
              </w:rPr>
            </w:pPr>
            <w:r w:rsidRPr="001F51CE">
              <w:rPr>
                <w:rFonts w:ascii="Arial" w:hAnsi="Arial" w:cs="Arial"/>
                <w:sz w:val="18"/>
                <w:szCs w:val="18"/>
              </w:rPr>
              <w:t>Justizvollzugsanstalt</w:t>
            </w:r>
          </w:p>
        </w:tc>
        <w:tc>
          <w:tcPr>
            <w:tcW w:w="2672" w:type="dxa"/>
            <w:tcBorders>
              <w:left w:val="single" w:sz="12" w:space="0" w:color="000000"/>
              <w:bottom w:val="single" w:sz="12" w:space="0" w:color="000000"/>
            </w:tcBorders>
          </w:tcPr>
          <w:p w:rsidR="004A4DAA" w:rsidRPr="001F51CE" w:rsidRDefault="00692310" w:rsidP="001F51CE">
            <w:pPr>
              <w:pStyle w:val="TableParagraph"/>
              <w:spacing w:before="2" w:line="237" w:lineRule="auto"/>
              <w:ind w:left="143" w:right="143"/>
              <w:rPr>
                <w:rFonts w:ascii="Arial" w:hAnsi="Arial" w:cs="Arial"/>
                <w:b/>
                <w:sz w:val="18"/>
                <w:szCs w:val="18"/>
              </w:rPr>
            </w:pPr>
            <w:r>
              <w:rPr>
                <w:rFonts w:ascii="Arial" w:hAnsi="Arial" w:cs="Arial"/>
                <w:sz w:val="18"/>
                <w:szCs w:val="18"/>
              </w:rPr>
              <w:t>Seit Beginn der Coronap</w:t>
            </w:r>
            <w:r w:rsidR="004A4DAA" w:rsidRPr="001F51CE">
              <w:rPr>
                <w:rFonts w:ascii="Arial" w:hAnsi="Arial" w:cs="Arial"/>
                <w:sz w:val="18"/>
                <w:szCs w:val="18"/>
              </w:rPr>
              <w:t xml:space="preserve">andemie infizierte </w:t>
            </w:r>
            <w:r w:rsidR="001F51CE">
              <w:rPr>
                <w:rFonts w:ascii="Arial" w:hAnsi="Arial" w:cs="Arial"/>
                <w:b/>
                <w:sz w:val="18"/>
                <w:szCs w:val="18"/>
              </w:rPr>
              <w:t>Be</w:t>
            </w:r>
            <w:r w:rsidR="004A4DAA" w:rsidRPr="001F51CE">
              <w:rPr>
                <w:rFonts w:ascii="Arial" w:hAnsi="Arial" w:cs="Arial"/>
                <w:b/>
                <w:sz w:val="18"/>
                <w:szCs w:val="18"/>
              </w:rPr>
              <w:t>dienstete</w:t>
            </w:r>
          </w:p>
        </w:tc>
        <w:tc>
          <w:tcPr>
            <w:tcW w:w="2674" w:type="dxa"/>
            <w:tcBorders>
              <w:bottom w:val="single" w:sz="12" w:space="0" w:color="000000"/>
            </w:tcBorders>
          </w:tcPr>
          <w:p w:rsidR="004A4DAA" w:rsidRPr="001F51CE" w:rsidRDefault="00692310" w:rsidP="001F51CE">
            <w:pPr>
              <w:pStyle w:val="TableParagraph"/>
              <w:spacing w:before="2" w:line="237" w:lineRule="auto"/>
              <w:ind w:left="152" w:right="146"/>
              <w:rPr>
                <w:rFonts w:ascii="Arial" w:hAnsi="Arial" w:cs="Arial"/>
                <w:b/>
                <w:sz w:val="18"/>
                <w:szCs w:val="18"/>
              </w:rPr>
            </w:pPr>
            <w:r>
              <w:rPr>
                <w:rFonts w:ascii="Arial" w:hAnsi="Arial" w:cs="Arial"/>
                <w:sz w:val="18"/>
                <w:szCs w:val="18"/>
              </w:rPr>
              <w:t>Seit Beginn der Coronap</w:t>
            </w:r>
            <w:r w:rsidR="004A4DAA" w:rsidRPr="001F51CE">
              <w:rPr>
                <w:rFonts w:ascii="Arial" w:hAnsi="Arial" w:cs="Arial"/>
                <w:sz w:val="18"/>
                <w:szCs w:val="18"/>
              </w:rPr>
              <w:t xml:space="preserve">andemie infizierte </w:t>
            </w:r>
            <w:r w:rsidR="001F51CE">
              <w:rPr>
                <w:rFonts w:ascii="Arial" w:hAnsi="Arial" w:cs="Arial"/>
                <w:b/>
                <w:sz w:val="18"/>
                <w:szCs w:val="18"/>
              </w:rPr>
              <w:t>Ge</w:t>
            </w:r>
            <w:r w:rsidR="004A4DAA" w:rsidRPr="001F51CE">
              <w:rPr>
                <w:rFonts w:ascii="Arial" w:hAnsi="Arial" w:cs="Arial"/>
                <w:b/>
                <w:sz w:val="18"/>
                <w:szCs w:val="18"/>
              </w:rPr>
              <w:t>fangene</w:t>
            </w:r>
          </w:p>
        </w:tc>
      </w:tr>
      <w:tr w:rsidR="004A4DAA" w:rsidRPr="001F51CE" w:rsidTr="001F51CE">
        <w:trPr>
          <w:trHeight w:val="253"/>
        </w:trPr>
        <w:tc>
          <w:tcPr>
            <w:tcW w:w="2529" w:type="dxa"/>
            <w:tcBorders>
              <w:top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Aichach</w:t>
            </w:r>
          </w:p>
        </w:tc>
        <w:tc>
          <w:tcPr>
            <w:tcW w:w="2672" w:type="dxa"/>
            <w:tcBorders>
              <w:top w:val="single" w:sz="12" w:space="0" w:color="000000"/>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20</w:t>
            </w:r>
          </w:p>
        </w:tc>
        <w:tc>
          <w:tcPr>
            <w:tcW w:w="2674" w:type="dxa"/>
            <w:tcBorders>
              <w:top w:val="single" w:sz="12" w:space="0" w:color="000000"/>
            </w:tcBorders>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12</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Amberg</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21</w:t>
            </w:r>
          </w:p>
        </w:tc>
        <w:tc>
          <w:tcPr>
            <w:tcW w:w="2674" w:type="dxa"/>
          </w:tcPr>
          <w:p w:rsidR="004A4DAA" w:rsidRPr="001F51CE" w:rsidRDefault="004A4DAA" w:rsidP="001F51CE">
            <w:pPr>
              <w:pStyle w:val="TableParagraph"/>
              <w:spacing w:line="232" w:lineRule="exact"/>
              <w:ind w:left="147" w:right="146"/>
              <w:jc w:val="center"/>
              <w:rPr>
                <w:rFonts w:ascii="Arial" w:hAnsi="Arial" w:cs="Arial"/>
                <w:sz w:val="18"/>
                <w:szCs w:val="18"/>
              </w:rPr>
            </w:pPr>
            <w:r w:rsidRPr="001F51CE">
              <w:rPr>
                <w:rFonts w:ascii="Arial" w:hAnsi="Arial" w:cs="Arial"/>
                <w:sz w:val="18"/>
                <w:szCs w:val="18"/>
              </w:rPr>
              <w:t>15</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Ansbach</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1</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Aschaffenburg</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10</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5</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Augsburg-Gablingen</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13</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50</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Bad Reichenhall</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4</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Bamberg</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11</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 Georgen-Bayreuth</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32</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23</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Bernau</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62</w:t>
            </w:r>
          </w:p>
        </w:tc>
        <w:tc>
          <w:tcPr>
            <w:tcW w:w="2674" w:type="dxa"/>
          </w:tcPr>
          <w:p w:rsidR="004A4DAA" w:rsidRPr="001F51CE" w:rsidRDefault="004A4DAA" w:rsidP="001F51CE">
            <w:pPr>
              <w:pStyle w:val="TableParagraph"/>
              <w:spacing w:line="232" w:lineRule="exact"/>
              <w:ind w:left="150" w:right="146"/>
              <w:jc w:val="center"/>
              <w:rPr>
                <w:rFonts w:ascii="Arial" w:hAnsi="Arial" w:cs="Arial"/>
                <w:sz w:val="18"/>
                <w:szCs w:val="18"/>
              </w:rPr>
            </w:pPr>
            <w:r w:rsidRPr="001F51CE">
              <w:rPr>
                <w:rFonts w:ascii="Arial" w:hAnsi="Arial" w:cs="Arial"/>
                <w:sz w:val="18"/>
                <w:szCs w:val="18"/>
              </w:rPr>
              <w:t>134</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Ebrach</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11</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8</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Eichstätt</w:t>
            </w:r>
          </w:p>
        </w:tc>
        <w:tc>
          <w:tcPr>
            <w:tcW w:w="2672"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74" w:type="dxa"/>
          </w:tcPr>
          <w:p w:rsidR="004A4DAA" w:rsidRPr="001F51CE" w:rsidRDefault="004A4DAA" w:rsidP="001F51CE">
            <w:pPr>
              <w:pStyle w:val="TableParagraph"/>
              <w:spacing w:line="232" w:lineRule="exact"/>
              <w:ind w:left="147" w:right="146"/>
              <w:jc w:val="center"/>
              <w:rPr>
                <w:rFonts w:ascii="Arial" w:hAnsi="Arial" w:cs="Arial"/>
                <w:sz w:val="18"/>
                <w:szCs w:val="18"/>
              </w:rPr>
            </w:pPr>
            <w:r w:rsidRPr="001F51CE">
              <w:rPr>
                <w:rFonts w:ascii="Arial" w:hAnsi="Arial" w:cs="Arial"/>
                <w:sz w:val="18"/>
                <w:szCs w:val="18"/>
              </w:rPr>
              <w:t>15</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Erding</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4</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Erlangen</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6</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Garmisch-Partenkirchen</w:t>
            </w:r>
          </w:p>
        </w:tc>
        <w:tc>
          <w:tcPr>
            <w:tcW w:w="2672"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Hof</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21</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3</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Ingolstadt</w:t>
            </w:r>
          </w:p>
        </w:tc>
        <w:tc>
          <w:tcPr>
            <w:tcW w:w="2672"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Kaisheim</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29</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30</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Kempten</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19</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5</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Kronach</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7</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7</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lastRenderedPageBreak/>
              <w:t>Landsberg a. Lech</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52</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18</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Landshut</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11</w:t>
            </w:r>
          </w:p>
        </w:tc>
        <w:tc>
          <w:tcPr>
            <w:tcW w:w="2674" w:type="dxa"/>
          </w:tcPr>
          <w:p w:rsidR="004A4DAA" w:rsidRPr="001F51CE" w:rsidRDefault="004A4DAA" w:rsidP="001F51CE">
            <w:pPr>
              <w:pStyle w:val="TableParagraph"/>
              <w:spacing w:line="232" w:lineRule="exact"/>
              <w:ind w:left="147" w:right="146"/>
              <w:jc w:val="center"/>
              <w:rPr>
                <w:rFonts w:ascii="Arial" w:hAnsi="Arial" w:cs="Arial"/>
                <w:sz w:val="18"/>
                <w:szCs w:val="18"/>
              </w:rPr>
            </w:pPr>
            <w:r w:rsidRPr="001F51CE">
              <w:rPr>
                <w:rFonts w:ascii="Arial" w:hAnsi="Arial" w:cs="Arial"/>
                <w:sz w:val="18"/>
                <w:szCs w:val="18"/>
              </w:rPr>
              <w:t>11</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Laufen-Lebenau</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30</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7</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Memmingen</w:t>
            </w:r>
          </w:p>
        </w:tc>
        <w:tc>
          <w:tcPr>
            <w:tcW w:w="2672"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5</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6</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Mühldorf am Inn</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3</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München</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52</w:t>
            </w:r>
          </w:p>
        </w:tc>
        <w:tc>
          <w:tcPr>
            <w:tcW w:w="2674" w:type="dxa"/>
          </w:tcPr>
          <w:p w:rsidR="004A4DAA" w:rsidRPr="001F51CE" w:rsidRDefault="004A4DAA" w:rsidP="001F51CE">
            <w:pPr>
              <w:pStyle w:val="TableParagraph"/>
              <w:spacing w:line="232" w:lineRule="exact"/>
              <w:ind w:left="147" w:right="146"/>
              <w:jc w:val="center"/>
              <w:rPr>
                <w:rFonts w:ascii="Arial" w:hAnsi="Arial" w:cs="Arial"/>
                <w:sz w:val="18"/>
                <w:szCs w:val="18"/>
              </w:rPr>
            </w:pPr>
            <w:r w:rsidRPr="001F51CE">
              <w:rPr>
                <w:rFonts w:ascii="Arial" w:hAnsi="Arial" w:cs="Arial"/>
                <w:sz w:val="18"/>
                <w:szCs w:val="18"/>
              </w:rPr>
              <w:t>23</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 a. d. Donau</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Neuburg-Herrenwörth</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8</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5</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Niederschönenfeld</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11</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Nürnberg</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30</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33</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Passau</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14</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6</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Regensburg</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6</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3</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Schweinfurt</w:t>
            </w:r>
          </w:p>
        </w:tc>
        <w:tc>
          <w:tcPr>
            <w:tcW w:w="2672"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Straubing</w:t>
            </w:r>
          </w:p>
        </w:tc>
        <w:tc>
          <w:tcPr>
            <w:tcW w:w="2672" w:type="dxa"/>
            <w:tcBorders>
              <w:left w:val="single" w:sz="12" w:space="0" w:color="000000"/>
            </w:tcBorders>
          </w:tcPr>
          <w:p w:rsidR="004A4DAA" w:rsidRPr="001F51CE" w:rsidRDefault="004A4DAA" w:rsidP="001F51CE">
            <w:pPr>
              <w:pStyle w:val="TableParagraph"/>
              <w:ind w:left="141" w:right="143"/>
              <w:jc w:val="center"/>
              <w:rPr>
                <w:rFonts w:ascii="Arial" w:hAnsi="Arial" w:cs="Arial"/>
                <w:sz w:val="18"/>
                <w:szCs w:val="18"/>
              </w:rPr>
            </w:pPr>
            <w:r w:rsidRPr="001F51CE">
              <w:rPr>
                <w:rFonts w:ascii="Arial" w:hAnsi="Arial" w:cs="Arial"/>
                <w:sz w:val="18"/>
                <w:szCs w:val="18"/>
              </w:rPr>
              <w:t>68</w:t>
            </w:r>
          </w:p>
        </w:tc>
        <w:tc>
          <w:tcPr>
            <w:tcW w:w="2674" w:type="dxa"/>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57</w:t>
            </w:r>
          </w:p>
        </w:tc>
      </w:tr>
      <w:tr w:rsidR="004A4DAA" w:rsidRPr="001F51CE" w:rsidTr="001F51CE">
        <w:trPr>
          <w:trHeight w:val="253"/>
        </w:trPr>
        <w:tc>
          <w:tcPr>
            <w:tcW w:w="2529"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Traunstein</w:t>
            </w:r>
          </w:p>
        </w:tc>
        <w:tc>
          <w:tcPr>
            <w:tcW w:w="2672"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6</w:t>
            </w:r>
          </w:p>
        </w:tc>
        <w:tc>
          <w:tcPr>
            <w:tcW w:w="2674" w:type="dxa"/>
          </w:tcPr>
          <w:p w:rsidR="004A4DAA" w:rsidRPr="001F51CE" w:rsidRDefault="004A4DAA" w:rsidP="001F51CE">
            <w:pPr>
              <w:pStyle w:val="TableParagraph"/>
              <w:ind w:left="4"/>
              <w:jc w:val="center"/>
              <w:rPr>
                <w:rFonts w:ascii="Arial" w:hAnsi="Arial" w:cs="Arial"/>
                <w:sz w:val="18"/>
                <w:szCs w:val="18"/>
              </w:rPr>
            </w:pPr>
            <w:r w:rsidRPr="001F51CE">
              <w:rPr>
                <w:rFonts w:ascii="Arial" w:hAnsi="Arial" w:cs="Arial"/>
                <w:sz w:val="18"/>
                <w:szCs w:val="18"/>
              </w:rPr>
              <w:t>3</w:t>
            </w:r>
          </w:p>
        </w:tc>
      </w:tr>
      <w:tr w:rsidR="004A4DAA" w:rsidRPr="001F51CE" w:rsidTr="001F51CE">
        <w:trPr>
          <w:trHeight w:val="251"/>
        </w:trPr>
        <w:tc>
          <w:tcPr>
            <w:tcW w:w="2529"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Weiden i. d. OPf.</w:t>
            </w:r>
          </w:p>
        </w:tc>
        <w:tc>
          <w:tcPr>
            <w:tcW w:w="2672" w:type="dxa"/>
            <w:tcBorders>
              <w:left w:val="single" w:sz="12" w:space="0" w:color="000000"/>
            </w:tcBorders>
          </w:tcPr>
          <w:p w:rsidR="004A4DAA" w:rsidRPr="001F51CE" w:rsidRDefault="004A4DAA" w:rsidP="001F51CE">
            <w:pPr>
              <w:pStyle w:val="TableParagraph"/>
              <w:spacing w:line="232" w:lineRule="exact"/>
              <w:ind w:left="141" w:right="143"/>
              <w:jc w:val="center"/>
              <w:rPr>
                <w:rFonts w:ascii="Arial" w:hAnsi="Arial" w:cs="Arial"/>
                <w:sz w:val="18"/>
                <w:szCs w:val="18"/>
              </w:rPr>
            </w:pPr>
            <w:r w:rsidRPr="001F51CE">
              <w:rPr>
                <w:rFonts w:ascii="Arial" w:hAnsi="Arial" w:cs="Arial"/>
                <w:sz w:val="18"/>
                <w:szCs w:val="18"/>
              </w:rPr>
              <w:t>15</w:t>
            </w:r>
          </w:p>
        </w:tc>
        <w:tc>
          <w:tcPr>
            <w:tcW w:w="2674" w:type="dxa"/>
          </w:tcPr>
          <w:p w:rsidR="004A4DAA" w:rsidRPr="001F51CE" w:rsidRDefault="004A4DAA" w:rsidP="001F51CE">
            <w:pPr>
              <w:pStyle w:val="TableParagraph"/>
              <w:spacing w:line="232" w:lineRule="exact"/>
              <w:ind w:left="4"/>
              <w:jc w:val="center"/>
              <w:rPr>
                <w:rFonts w:ascii="Arial" w:hAnsi="Arial" w:cs="Arial"/>
                <w:sz w:val="18"/>
                <w:szCs w:val="18"/>
              </w:rPr>
            </w:pPr>
            <w:r w:rsidRPr="001F51CE">
              <w:rPr>
                <w:rFonts w:ascii="Arial" w:hAnsi="Arial" w:cs="Arial"/>
                <w:sz w:val="18"/>
                <w:szCs w:val="18"/>
              </w:rPr>
              <w:t>5</w:t>
            </w:r>
          </w:p>
        </w:tc>
      </w:tr>
      <w:tr w:rsidR="004A4DAA" w:rsidRPr="001F51CE" w:rsidTr="001F51CE">
        <w:trPr>
          <w:trHeight w:val="253"/>
        </w:trPr>
        <w:tc>
          <w:tcPr>
            <w:tcW w:w="2529" w:type="dxa"/>
            <w:tcBorders>
              <w:bottom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Würzburg</w:t>
            </w:r>
          </w:p>
        </w:tc>
        <w:tc>
          <w:tcPr>
            <w:tcW w:w="2672" w:type="dxa"/>
            <w:tcBorders>
              <w:left w:val="single" w:sz="12" w:space="0" w:color="000000"/>
              <w:bottom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9</w:t>
            </w:r>
          </w:p>
        </w:tc>
        <w:tc>
          <w:tcPr>
            <w:tcW w:w="2674" w:type="dxa"/>
            <w:tcBorders>
              <w:bottom w:val="single" w:sz="12" w:space="0" w:color="000000"/>
            </w:tcBorders>
          </w:tcPr>
          <w:p w:rsidR="004A4DAA" w:rsidRPr="001F51CE" w:rsidRDefault="004A4DAA" w:rsidP="001F51CE">
            <w:pPr>
              <w:pStyle w:val="TableParagraph"/>
              <w:ind w:left="147" w:right="146"/>
              <w:jc w:val="center"/>
              <w:rPr>
                <w:rFonts w:ascii="Arial" w:hAnsi="Arial" w:cs="Arial"/>
                <w:sz w:val="18"/>
                <w:szCs w:val="18"/>
              </w:rPr>
            </w:pPr>
            <w:r w:rsidRPr="001F51CE">
              <w:rPr>
                <w:rFonts w:ascii="Arial" w:hAnsi="Arial" w:cs="Arial"/>
                <w:sz w:val="18"/>
                <w:szCs w:val="18"/>
              </w:rPr>
              <w:t>59</w:t>
            </w:r>
          </w:p>
        </w:tc>
      </w:tr>
      <w:tr w:rsidR="004A4DAA" w:rsidRPr="001F51CE" w:rsidTr="001F51CE">
        <w:trPr>
          <w:trHeight w:val="253"/>
        </w:trPr>
        <w:tc>
          <w:tcPr>
            <w:tcW w:w="2529" w:type="dxa"/>
            <w:tcBorders>
              <w:top w:val="single" w:sz="12" w:space="0" w:color="000000"/>
              <w:right w:val="single" w:sz="12" w:space="0" w:color="000000"/>
            </w:tcBorders>
          </w:tcPr>
          <w:p w:rsidR="004A4DAA" w:rsidRPr="001F51CE" w:rsidRDefault="004A4DAA" w:rsidP="00C162EC">
            <w:pPr>
              <w:pStyle w:val="TableParagraph"/>
              <w:rPr>
                <w:rFonts w:ascii="Arial" w:hAnsi="Arial" w:cs="Arial"/>
                <w:b/>
                <w:sz w:val="18"/>
                <w:szCs w:val="18"/>
              </w:rPr>
            </w:pPr>
            <w:r w:rsidRPr="001F51CE">
              <w:rPr>
                <w:rFonts w:ascii="Arial" w:hAnsi="Arial" w:cs="Arial"/>
                <w:b/>
                <w:sz w:val="18"/>
                <w:szCs w:val="18"/>
              </w:rPr>
              <w:t>GESAMT</w:t>
            </w:r>
          </w:p>
        </w:tc>
        <w:tc>
          <w:tcPr>
            <w:tcW w:w="2672" w:type="dxa"/>
            <w:tcBorders>
              <w:top w:val="single" w:sz="12" w:space="0" w:color="000000"/>
              <w:left w:val="single" w:sz="12" w:space="0" w:color="000000"/>
            </w:tcBorders>
          </w:tcPr>
          <w:p w:rsidR="004A4DAA" w:rsidRPr="001F51CE" w:rsidRDefault="004A4DAA" w:rsidP="001F51CE">
            <w:pPr>
              <w:pStyle w:val="TableParagraph"/>
              <w:ind w:left="143" w:right="143"/>
              <w:jc w:val="center"/>
              <w:rPr>
                <w:rFonts w:ascii="Arial" w:hAnsi="Arial" w:cs="Arial"/>
                <w:b/>
                <w:sz w:val="18"/>
                <w:szCs w:val="18"/>
              </w:rPr>
            </w:pPr>
            <w:r w:rsidRPr="001F51CE">
              <w:rPr>
                <w:rFonts w:ascii="Arial" w:hAnsi="Arial" w:cs="Arial"/>
                <w:b/>
                <w:sz w:val="18"/>
                <w:szCs w:val="18"/>
              </w:rPr>
              <w:t>594</w:t>
            </w:r>
          </w:p>
        </w:tc>
        <w:tc>
          <w:tcPr>
            <w:tcW w:w="2674" w:type="dxa"/>
            <w:tcBorders>
              <w:top w:val="single" w:sz="12" w:space="0" w:color="000000"/>
            </w:tcBorders>
          </w:tcPr>
          <w:p w:rsidR="004A4DAA" w:rsidRPr="001F51CE" w:rsidRDefault="004A4DAA" w:rsidP="001F51CE">
            <w:pPr>
              <w:pStyle w:val="TableParagraph"/>
              <w:ind w:left="150" w:right="146"/>
              <w:jc w:val="center"/>
              <w:rPr>
                <w:rFonts w:ascii="Arial" w:hAnsi="Arial" w:cs="Arial"/>
                <w:b/>
                <w:sz w:val="18"/>
                <w:szCs w:val="18"/>
              </w:rPr>
            </w:pPr>
            <w:r w:rsidRPr="001F51CE">
              <w:rPr>
                <w:rFonts w:ascii="Arial" w:hAnsi="Arial" w:cs="Arial"/>
                <w:b/>
                <w:sz w:val="18"/>
                <w:szCs w:val="18"/>
              </w:rPr>
              <w:t>551</w:t>
            </w:r>
          </w:p>
        </w:tc>
      </w:tr>
    </w:tbl>
    <w:p w:rsidR="00925EDE" w:rsidRDefault="00925EDE" w:rsidP="004A4DAA">
      <w:pPr>
        <w:pStyle w:val="LTAntwortRessortText"/>
        <w:ind w:left="0"/>
      </w:pPr>
    </w:p>
    <w:p w:rsidR="00925EDE" w:rsidRDefault="007D40DF" w:rsidP="00925EDE">
      <w:pPr>
        <w:pStyle w:val="LTAntwortRessortText"/>
      </w:pPr>
      <w:r>
        <w:t>Zum Stichtag 6. Dezember </w:t>
      </w:r>
      <w:r w:rsidR="00925EDE">
        <w:t>2021 waren nach den</w:t>
      </w:r>
      <w:r w:rsidR="00D8582E">
        <w:t xml:space="preserve"> hier vorliegenden Zahlen insge</w:t>
      </w:r>
      <w:r w:rsidR="00925EDE">
        <w:t>samt 109 Bedienstete und 118 Gefangene aktuell mit dem Coronavirus infiziert. Auf die einzelnen Justizvollzugsanstalten verteilen sich diese Zahlen wie folgt:</w:t>
      </w:r>
    </w:p>
    <w:p w:rsidR="00925EDE" w:rsidRDefault="00925EDE" w:rsidP="00925EDE">
      <w:pPr>
        <w:pStyle w:val="LTAntwortRessortText"/>
      </w:pPr>
    </w:p>
    <w:tbl>
      <w:tblPr>
        <w:tblStyle w:val="TableNormal"/>
        <w:tblW w:w="78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6"/>
        <w:gridCol w:w="2669"/>
        <w:gridCol w:w="2669"/>
      </w:tblGrid>
      <w:tr w:rsidR="004A4DAA" w:rsidRPr="001F51CE" w:rsidTr="001F51CE">
        <w:trPr>
          <w:trHeight w:val="505"/>
        </w:trPr>
        <w:tc>
          <w:tcPr>
            <w:tcW w:w="2536" w:type="dxa"/>
            <w:tcBorders>
              <w:bottom w:val="single" w:sz="12" w:space="0" w:color="000000"/>
              <w:right w:val="single" w:sz="12" w:space="0" w:color="000000"/>
            </w:tcBorders>
          </w:tcPr>
          <w:p w:rsidR="004A4DAA" w:rsidRPr="001F51CE" w:rsidRDefault="004A4DAA" w:rsidP="00C162EC">
            <w:pPr>
              <w:pStyle w:val="TableParagraph"/>
              <w:spacing w:line="250" w:lineRule="exact"/>
              <w:rPr>
                <w:rFonts w:ascii="Arial" w:hAnsi="Arial" w:cs="Arial"/>
                <w:sz w:val="18"/>
                <w:szCs w:val="18"/>
              </w:rPr>
            </w:pPr>
            <w:r w:rsidRPr="001F51CE">
              <w:rPr>
                <w:rFonts w:ascii="Arial" w:hAnsi="Arial" w:cs="Arial"/>
                <w:sz w:val="18"/>
                <w:szCs w:val="18"/>
              </w:rPr>
              <w:t>Justizvollzugsanstalt</w:t>
            </w:r>
          </w:p>
        </w:tc>
        <w:tc>
          <w:tcPr>
            <w:tcW w:w="2669" w:type="dxa"/>
            <w:tcBorders>
              <w:left w:val="single" w:sz="12" w:space="0" w:color="000000"/>
              <w:bottom w:val="single" w:sz="12" w:space="0" w:color="000000"/>
            </w:tcBorders>
          </w:tcPr>
          <w:p w:rsidR="004A4DAA" w:rsidRPr="001F51CE" w:rsidRDefault="004A4DAA" w:rsidP="00C162EC">
            <w:pPr>
              <w:pStyle w:val="TableParagraph"/>
              <w:spacing w:before="4" w:line="250" w:lineRule="exact"/>
              <w:ind w:left="308" w:right="199" w:hanging="92"/>
              <w:rPr>
                <w:rFonts w:ascii="Arial" w:hAnsi="Arial" w:cs="Arial"/>
                <w:b/>
                <w:sz w:val="18"/>
                <w:szCs w:val="18"/>
              </w:rPr>
            </w:pPr>
            <w:r w:rsidRPr="001F51CE">
              <w:rPr>
                <w:rFonts w:ascii="Arial" w:hAnsi="Arial" w:cs="Arial"/>
                <w:sz w:val="18"/>
                <w:szCs w:val="18"/>
              </w:rPr>
              <w:t xml:space="preserve">Am Stichtag </w:t>
            </w:r>
            <w:r w:rsidRPr="001F51CE">
              <w:rPr>
                <w:rFonts w:ascii="Arial" w:hAnsi="Arial" w:cs="Arial"/>
                <w:sz w:val="18"/>
                <w:szCs w:val="18"/>
                <w:u w:val="single"/>
              </w:rPr>
              <w:t>aktuell</w:t>
            </w:r>
            <w:r w:rsidR="001F51CE" w:rsidRPr="001F51CE">
              <w:rPr>
                <w:rFonts w:ascii="Arial" w:hAnsi="Arial" w:cs="Arial"/>
                <w:sz w:val="18"/>
                <w:szCs w:val="18"/>
              </w:rPr>
              <w:t xml:space="preserve"> er-</w:t>
            </w:r>
            <w:r w:rsidRPr="001F51CE">
              <w:rPr>
                <w:rFonts w:ascii="Arial" w:hAnsi="Arial" w:cs="Arial"/>
                <w:sz w:val="18"/>
                <w:szCs w:val="18"/>
              </w:rPr>
              <w:t xml:space="preserve">krankte </w:t>
            </w:r>
            <w:r w:rsidRPr="001F51CE">
              <w:rPr>
                <w:rFonts w:ascii="Arial" w:hAnsi="Arial" w:cs="Arial"/>
                <w:b/>
                <w:sz w:val="18"/>
                <w:szCs w:val="18"/>
              </w:rPr>
              <w:t>Bedienstete</w:t>
            </w:r>
          </w:p>
        </w:tc>
        <w:tc>
          <w:tcPr>
            <w:tcW w:w="2669" w:type="dxa"/>
            <w:tcBorders>
              <w:bottom w:val="single" w:sz="12" w:space="0" w:color="000000"/>
            </w:tcBorders>
          </w:tcPr>
          <w:p w:rsidR="004A4DAA" w:rsidRPr="001F51CE" w:rsidRDefault="004A4DAA" w:rsidP="00C162EC">
            <w:pPr>
              <w:pStyle w:val="TableParagraph"/>
              <w:spacing w:before="4" w:line="250" w:lineRule="exact"/>
              <w:ind w:left="373" w:right="199" w:hanging="147"/>
              <w:rPr>
                <w:rFonts w:ascii="Arial" w:hAnsi="Arial" w:cs="Arial"/>
                <w:b/>
                <w:sz w:val="18"/>
                <w:szCs w:val="18"/>
              </w:rPr>
            </w:pPr>
            <w:r w:rsidRPr="001F51CE">
              <w:rPr>
                <w:rFonts w:ascii="Arial" w:hAnsi="Arial" w:cs="Arial"/>
                <w:sz w:val="18"/>
                <w:szCs w:val="18"/>
              </w:rPr>
              <w:t xml:space="preserve">Am Stichtag </w:t>
            </w:r>
            <w:r w:rsidRPr="001F51CE">
              <w:rPr>
                <w:rFonts w:ascii="Arial" w:hAnsi="Arial" w:cs="Arial"/>
                <w:sz w:val="18"/>
                <w:szCs w:val="18"/>
                <w:u w:val="single"/>
              </w:rPr>
              <w:t>aktuell</w:t>
            </w:r>
            <w:r w:rsidR="001F51CE" w:rsidRPr="001F51CE">
              <w:rPr>
                <w:rFonts w:ascii="Arial" w:hAnsi="Arial" w:cs="Arial"/>
                <w:sz w:val="18"/>
                <w:szCs w:val="18"/>
              </w:rPr>
              <w:t xml:space="preserve"> er-</w:t>
            </w:r>
            <w:r w:rsidRPr="001F51CE">
              <w:rPr>
                <w:rFonts w:ascii="Arial" w:hAnsi="Arial" w:cs="Arial"/>
                <w:sz w:val="18"/>
                <w:szCs w:val="18"/>
              </w:rPr>
              <w:t xml:space="preserve">krankte </w:t>
            </w:r>
            <w:r w:rsidRPr="001F51CE">
              <w:rPr>
                <w:rFonts w:ascii="Arial" w:hAnsi="Arial" w:cs="Arial"/>
                <w:b/>
                <w:sz w:val="18"/>
                <w:szCs w:val="18"/>
              </w:rPr>
              <w:t>Gefangene</w:t>
            </w:r>
          </w:p>
        </w:tc>
      </w:tr>
      <w:tr w:rsidR="004A4DAA" w:rsidRPr="001F51CE" w:rsidTr="001F51CE">
        <w:trPr>
          <w:trHeight w:val="253"/>
        </w:trPr>
        <w:tc>
          <w:tcPr>
            <w:tcW w:w="2536" w:type="dxa"/>
            <w:tcBorders>
              <w:top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Aichach</w:t>
            </w:r>
          </w:p>
        </w:tc>
        <w:tc>
          <w:tcPr>
            <w:tcW w:w="2669" w:type="dxa"/>
            <w:tcBorders>
              <w:top w:val="single" w:sz="12" w:space="0" w:color="000000"/>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4</w:t>
            </w:r>
          </w:p>
        </w:tc>
        <w:tc>
          <w:tcPr>
            <w:tcW w:w="2669" w:type="dxa"/>
            <w:tcBorders>
              <w:top w:val="single" w:sz="12" w:space="0" w:color="000000"/>
            </w:tcBorders>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Amberg</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4</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4</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Ansbach</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Aschaffenburg</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Augsburg-Gablingen</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1</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Bad Reichenhall</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Bamberg</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 Georgen-Bayreuth</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Bernau</w:t>
            </w:r>
          </w:p>
        </w:tc>
        <w:tc>
          <w:tcPr>
            <w:tcW w:w="2669" w:type="dxa"/>
            <w:tcBorders>
              <w:left w:val="single" w:sz="12" w:space="0" w:color="000000"/>
            </w:tcBorders>
          </w:tcPr>
          <w:p w:rsidR="004A4DAA" w:rsidRPr="001F51CE" w:rsidRDefault="004A4DAA" w:rsidP="001F51CE">
            <w:pPr>
              <w:pStyle w:val="TableParagraph"/>
              <w:spacing w:line="232" w:lineRule="exact"/>
              <w:ind w:right="1200"/>
              <w:jc w:val="right"/>
              <w:rPr>
                <w:rFonts w:ascii="Arial" w:hAnsi="Arial" w:cs="Arial"/>
                <w:sz w:val="18"/>
                <w:szCs w:val="18"/>
              </w:rPr>
            </w:pPr>
            <w:r w:rsidRPr="001F51CE">
              <w:rPr>
                <w:rFonts w:ascii="Arial" w:hAnsi="Arial" w:cs="Arial"/>
                <w:sz w:val="18"/>
                <w:szCs w:val="18"/>
              </w:rPr>
              <w:t>25</w:t>
            </w:r>
          </w:p>
        </w:tc>
        <w:tc>
          <w:tcPr>
            <w:tcW w:w="2669" w:type="dxa"/>
          </w:tcPr>
          <w:p w:rsidR="004A4DAA" w:rsidRPr="001F51CE" w:rsidRDefault="004A4DAA" w:rsidP="001F51CE">
            <w:pPr>
              <w:pStyle w:val="TableParagraph"/>
              <w:spacing w:line="232" w:lineRule="exact"/>
              <w:ind w:left="1128" w:right="1120"/>
              <w:jc w:val="center"/>
              <w:rPr>
                <w:rFonts w:ascii="Arial" w:hAnsi="Arial" w:cs="Arial"/>
                <w:sz w:val="18"/>
                <w:szCs w:val="18"/>
              </w:rPr>
            </w:pPr>
            <w:r w:rsidRPr="001F51CE">
              <w:rPr>
                <w:rFonts w:ascii="Arial" w:hAnsi="Arial" w:cs="Arial"/>
                <w:sz w:val="18"/>
                <w:szCs w:val="18"/>
              </w:rPr>
              <w:t>37</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Ebrach</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6</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Eichstätt</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Erding</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Erlangen</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Garmisch-Partenkirchen</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Hof</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Ingolstadt</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Kaisheim</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6</w:t>
            </w:r>
          </w:p>
        </w:tc>
        <w:tc>
          <w:tcPr>
            <w:tcW w:w="2669" w:type="dxa"/>
          </w:tcPr>
          <w:p w:rsidR="004A4DAA" w:rsidRPr="001F51CE" w:rsidRDefault="004A4DAA" w:rsidP="001F51CE">
            <w:pPr>
              <w:pStyle w:val="TableParagraph"/>
              <w:ind w:left="1128" w:right="1120"/>
              <w:jc w:val="center"/>
              <w:rPr>
                <w:rFonts w:ascii="Arial" w:hAnsi="Arial" w:cs="Arial"/>
                <w:sz w:val="18"/>
                <w:szCs w:val="18"/>
              </w:rPr>
            </w:pPr>
            <w:r w:rsidRPr="001F51CE">
              <w:rPr>
                <w:rFonts w:ascii="Arial" w:hAnsi="Arial" w:cs="Arial"/>
                <w:sz w:val="18"/>
                <w:szCs w:val="18"/>
              </w:rPr>
              <w:t>25</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Kempten</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5</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Kronach</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Landsberg a. Lech</w:t>
            </w:r>
          </w:p>
        </w:tc>
        <w:tc>
          <w:tcPr>
            <w:tcW w:w="2669" w:type="dxa"/>
            <w:tcBorders>
              <w:left w:val="single" w:sz="12" w:space="0" w:color="000000"/>
            </w:tcBorders>
          </w:tcPr>
          <w:p w:rsidR="004A4DAA" w:rsidRPr="001F51CE" w:rsidRDefault="004A4DAA" w:rsidP="001F51CE">
            <w:pPr>
              <w:pStyle w:val="TableParagraph"/>
              <w:spacing w:line="232" w:lineRule="exact"/>
              <w:ind w:right="1200"/>
              <w:jc w:val="right"/>
              <w:rPr>
                <w:rFonts w:ascii="Arial" w:hAnsi="Arial" w:cs="Arial"/>
                <w:sz w:val="18"/>
                <w:szCs w:val="18"/>
              </w:rPr>
            </w:pPr>
            <w:r w:rsidRPr="001F51CE">
              <w:rPr>
                <w:rFonts w:ascii="Arial" w:hAnsi="Arial" w:cs="Arial"/>
                <w:sz w:val="18"/>
                <w:szCs w:val="18"/>
              </w:rPr>
              <w:t>20</w:t>
            </w:r>
          </w:p>
        </w:tc>
        <w:tc>
          <w:tcPr>
            <w:tcW w:w="2669" w:type="dxa"/>
          </w:tcPr>
          <w:p w:rsidR="004A4DAA" w:rsidRPr="001F51CE" w:rsidRDefault="004A4DAA" w:rsidP="001F51CE">
            <w:pPr>
              <w:pStyle w:val="TableParagraph"/>
              <w:spacing w:line="232" w:lineRule="exact"/>
              <w:ind w:left="1128" w:right="1120"/>
              <w:jc w:val="center"/>
              <w:rPr>
                <w:rFonts w:ascii="Arial" w:hAnsi="Arial" w:cs="Arial"/>
                <w:sz w:val="18"/>
                <w:szCs w:val="18"/>
              </w:rPr>
            </w:pPr>
            <w:r w:rsidRPr="001F51CE">
              <w:rPr>
                <w:rFonts w:ascii="Arial" w:hAnsi="Arial" w:cs="Arial"/>
                <w:sz w:val="18"/>
                <w:szCs w:val="18"/>
              </w:rPr>
              <w:t>12</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lastRenderedPageBreak/>
              <w:t>Landshut</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4</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3</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Laufen-Lebenau</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4</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Memmingen</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Mühldorf am Inn</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München</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2</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6</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 a. d. Donau</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Neuburg-Herrenwörth</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Niederschönenfeld</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4</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Nürnberg</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3</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5</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Passau</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1</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Regensburg</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2</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Schweinfurt</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Straubing</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8</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36"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Traunstein</w:t>
            </w:r>
          </w:p>
        </w:tc>
        <w:tc>
          <w:tcPr>
            <w:tcW w:w="2669" w:type="dxa"/>
            <w:tcBorders>
              <w:left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1</w:t>
            </w:r>
          </w:p>
        </w:tc>
        <w:tc>
          <w:tcPr>
            <w:tcW w:w="2669" w:type="dxa"/>
          </w:tcPr>
          <w:p w:rsidR="004A4DAA" w:rsidRPr="001F51CE" w:rsidRDefault="004A4DAA" w:rsidP="001F51CE">
            <w:pPr>
              <w:pStyle w:val="TableParagraph"/>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36"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Weiden i. d. OPf.</w:t>
            </w:r>
          </w:p>
        </w:tc>
        <w:tc>
          <w:tcPr>
            <w:tcW w:w="2669" w:type="dxa"/>
            <w:tcBorders>
              <w:left w:val="single" w:sz="12" w:space="0" w:color="000000"/>
            </w:tcBorders>
          </w:tcPr>
          <w:p w:rsidR="004A4DAA" w:rsidRPr="001F51CE" w:rsidRDefault="004A4DAA" w:rsidP="001F51CE">
            <w:pPr>
              <w:pStyle w:val="TableParagraph"/>
              <w:spacing w:line="232" w:lineRule="exact"/>
              <w:ind w:right="1"/>
              <w:jc w:val="center"/>
              <w:rPr>
                <w:rFonts w:ascii="Arial" w:hAnsi="Arial" w:cs="Arial"/>
                <w:sz w:val="18"/>
                <w:szCs w:val="18"/>
              </w:rPr>
            </w:pPr>
            <w:r w:rsidRPr="001F51CE">
              <w:rPr>
                <w:rFonts w:ascii="Arial" w:hAnsi="Arial" w:cs="Arial"/>
                <w:sz w:val="18"/>
                <w:szCs w:val="18"/>
              </w:rPr>
              <w:t>0</w:t>
            </w:r>
          </w:p>
        </w:tc>
        <w:tc>
          <w:tcPr>
            <w:tcW w:w="2669" w:type="dxa"/>
          </w:tcPr>
          <w:p w:rsidR="004A4DAA" w:rsidRPr="001F51CE" w:rsidRDefault="004A4DAA" w:rsidP="001F51CE">
            <w:pPr>
              <w:pStyle w:val="TableParagraph"/>
              <w:spacing w:line="232" w:lineRule="exact"/>
              <w:ind w:left="6"/>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36" w:type="dxa"/>
            <w:tcBorders>
              <w:bottom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Würzburg</w:t>
            </w:r>
          </w:p>
        </w:tc>
        <w:tc>
          <w:tcPr>
            <w:tcW w:w="2669" w:type="dxa"/>
            <w:tcBorders>
              <w:left w:val="single" w:sz="12" w:space="0" w:color="000000"/>
              <w:bottom w:val="single" w:sz="12" w:space="0" w:color="000000"/>
            </w:tcBorders>
          </w:tcPr>
          <w:p w:rsidR="004A4DAA" w:rsidRPr="001F51CE" w:rsidRDefault="004A4DAA" w:rsidP="001F51CE">
            <w:pPr>
              <w:pStyle w:val="TableParagraph"/>
              <w:ind w:right="1"/>
              <w:jc w:val="center"/>
              <w:rPr>
                <w:rFonts w:ascii="Arial" w:hAnsi="Arial" w:cs="Arial"/>
                <w:sz w:val="18"/>
                <w:szCs w:val="18"/>
              </w:rPr>
            </w:pPr>
            <w:r w:rsidRPr="001F51CE">
              <w:rPr>
                <w:rFonts w:ascii="Arial" w:hAnsi="Arial" w:cs="Arial"/>
                <w:sz w:val="18"/>
                <w:szCs w:val="18"/>
              </w:rPr>
              <w:t>1</w:t>
            </w:r>
          </w:p>
        </w:tc>
        <w:tc>
          <w:tcPr>
            <w:tcW w:w="2669" w:type="dxa"/>
            <w:tcBorders>
              <w:bottom w:val="single" w:sz="12" w:space="0" w:color="000000"/>
            </w:tcBorders>
          </w:tcPr>
          <w:p w:rsidR="004A4DAA" w:rsidRPr="001F51CE" w:rsidRDefault="004A4DAA" w:rsidP="001F51CE">
            <w:pPr>
              <w:pStyle w:val="TableParagraph"/>
              <w:ind w:left="1128" w:right="1120"/>
              <w:jc w:val="center"/>
              <w:rPr>
                <w:rFonts w:ascii="Arial" w:hAnsi="Arial" w:cs="Arial"/>
                <w:sz w:val="18"/>
                <w:szCs w:val="18"/>
              </w:rPr>
            </w:pPr>
            <w:r w:rsidRPr="001F51CE">
              <w:rPr>
                <w:rFonts w:ascii="Arial" w:hAnsi="Arial" w:cs="Arial"/>
                <w:sz w:val="18"/>
                <w:szCs w:val="18"/>
              </w:rPr>
              <w:t>15</w:t>
            </w:r>
          </w:p>
        </w:tc>
      </w:tr>
      <w:tr w:rsidR="004A4DAA" w:rsidRPr="001F51CE" w:rsidTr="001F51CE">
        <w:trPr>
          <w:trHeight w:val="253"/>
        </w:trPr>
        <w:tc>
          <w:tcPr>
            <w:tcW w:w="2536" w:type="dxa"/>
            <w:tcBorders>
              <w:top w:val="single" w:sz="12" w:space="0" w:color="000000"/>
              <w:right w:val="single" w:sz="12" w:space="0" w:color="000000"/>
            </w:tcBorders>
          </w:tcPr>
          <w:p w:rsidR="004A4DAA" w:rsidRPr="001F51CE" w:rsidRDefault="004A4DAA" w:rsidP="00C162EC">
            <w:pPr>
              <w:pStyle w:val="TableParagraph"/>
              <w:rPr>
                <w:rFonts w:ascii="Arial" w:hAnsi="Arial" w:cs="Arial"/>
                <w:b/>
                <w:sz w:val="18"/>
                <w:szCs w:val="18"/>
              </w:rPr>
            </w:pPr>
            <w:r w:rsidRPr="001F51CE">
              <w:rPr>
                <w:rFonts w:ascii="Arial" w:hAnsi="Arial" w:cs="Arial"/>
                <w:b/>
                <w:sz w:val="18"/>
                <w:szCs w:val="18"/>
              </w:rPr>
              <w:t>GESAMT</w:t>
            </w:r>
          </w:p>
        </w:tc>
        <w:tc>
          <w:tcPr>
            <w:tcW w:w="2669" w:type="dxa"/>
            <w:tcBorders>
              <w:top w:val="single" w:sz="12" w:space="0" w:color="000000"/>
              <w:left w:val="single" w:sz="12" w:space="0" w:color="000000"/>
            </w:tcBorders>
          </w:tcPr>
          <w:p w:rsidR="004A4DAA" w:rsidRPr="001F51CE" w:rsidRDefault="004A4DAA" w:rsidP="001F51CE">
            <w:pPr>
              <w:pStyle w:val="TableParagraph"/>
              <w:ind w:right="1140"/>
              <w:jc w:val="right"/>
              <w:rPr>
                <w:rFonts w:ascii="Arial" w:hAnsi="Arial" w:cs="Arial"/>
                <w:b/>
                <w:sz w:val="18"/>
                <w:szCs w:val="18"/>
              </w:rPr>
            </w:pPr>
            <w:r w:rsidRPr="001F51CE">
              <w:rPr>
                <w:rFonts w:ascii="Arial" w:hAnsi="Arial" w:cs="Arial"/>
                <w:b/>
                <w:sz w:val="18"/>
                <w:szCs w:val="18"/>
              </w:rPr>
              <w:t>109</w:t>
            </w:r>
          </w:p>
        </w:tc>
        <w:tc>
          <w:tcPr>
            <w:tcW w:w="2669" w:type="dxa"/>
            <w:tcBorders>
              <w:top w:val="single" w:sz="12" w:space="0" w:color="000000"/>
            </w:tcBorders>
          </w:tcPr>
          <w:p w:rsidR="004A4DAA" w:rsidRPr="001F51CE" w:rsidRDefault="004A4DAA" w:rsidP="001F51CE">
            <w:pPr>
              <w:pStyle w:val="TableParagraph"/>
              <w:ind w:left="1128" w:right="1123"/>
              <w:jc w:val="center"/>
              <w:rPr>
                <w:rFonts w:ascii="Arial" w:hAnsi="Arial" w:cs="Arial"/>
                <w:b/>
                <w:sz w:val="18"/>
                <w:szCs w:val="18"/>
              </w:rPr>
            </w:pPr>
            <w:r w:rsidRPr="001F51CE">
              <w:rPr>
                <w:rFonts w:ascii="Arial" w:hAnsi="Arial" w:cs="Arial"/>
                <w:b/>
                <w:sz w:val="18"/>
                <w:szCs w:val="18"/>
              </w:rPr>
              <w:t>118</w:t>
            </w:r>
          </w:p>
        </w:tc>
      </w:tr>
    </w:tbl>
    <w:p w:rsidR="00925EDE" w:rsidRDefault="00925EDE" w:rsidP="004A4DAA">
      <w:pPr>
        <w:pStyle w:val="LTAntwortRessortText"/>
        <w:ind w:left="0"/>
      </w:pPr>
    </w:p>
    <w:p w:rsidR="00925EDE" w:rsidRDefault="00925EDE" w:rsidP="00925EDE">
      <w:pPr>
        <w:pStyle w:val="LTAntwortRessortText"/>
      </w:pPr>
      <w:r>
        <w:t>Von den zum genannten Stichtag 109 infizierten</w:t>
      </w:r>
      <w:r w:rsidR="00D8582E">
        <w:t xml:space="preserve"> Bediensteten waren 55 nachweis</w:t>
      </w:r>
      <w:r>
        <w:t>lich vollständig geimpft oder galten als genesen. Bei 54 Bediensteten war dies nicht der Fall. Auf die einzelnen Justizvollzugsanstalten verteilen sich diese Zahlen wie folgt:</w:t>
      </w:r>
    </w:p>
    <w:p w:rsidR="00925EDE" w:rsidRDefault="00925EDE" w:rsidP="00925EDE">
      <w:pPr>
        <w:pStyle w:val="LTAntwortRessortText"/>
      </w:pPr>
    </w:p>
    <w:tbl>
      <w:tblPr>
        <w:tblStyle w:val="TableNormal"/>
        <w:tblW w:w="78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4"/>
        <w:gridCol w:w="2674"/>
        <w:gridCol w:w="2676"/>
      </w:tblGrid>
      <w:tr w:rsidR="004A4DAA" w:rsidRPr="001F51CE" w:rsidTr="001F51CE">
        <w:trPr>
          <w:trHeight w:val="1395"/>
        </w:trPr>
        <w:tc>
          <w:tcPr>
            <w:tcW w:w="2524" w:type="dxa"/>
            <w:tcBorders>
              <w:bottom w:val="single" w:sz="12" w:space="0" w:color="000000"/>
              <w:right w:val="single" w:sz="12" w:space="0" w:color="000000"/>
            </w:tcBorders>
          </w:tcPr>
          <w:p w:rsidR="004A4DAA" w:rsidRPr="001F51CE" w:rsidRDefault="004A4DAA" w:rsidP="00C162EC">
            <w:pPr>
              <w:pStyle w:val="TableParagraph"/>
              <w:spacing w:line="250" w:lineRule="exact"/>
              <w:rPr>
                <w:rFonts w:ascii="Arial" w:hAnsi="Arial" w:cs="Arial"/>
                <w:sz w:val="18"/>
                <w:szCs w:val="18"/>
              </w:rPr>
            </w:pPr>
            <w:r w:rsidRPr="001F51CE">
              <w:rPr>
                <w:rFonts w:ascii="Arial" w:hAnsi="Arial" w:cs="Arial"/>
                <w:sz w:val="18"/>
                <w:szCs w:val="18"/>
              </w:rPr>
              <w:t>Justizvollzugsanstalt</w:t>
            </w:r>
          </w:p>
        </w:tc>
        <w:tc>
          <w:tcPr>
            <w:tcW w:w="2674" w:type="dxa"/>
            <w:tcBorders>
              <w:left w:val="single" w:sz="12" w:space="0" w:color="000000"/>
              <w:bottom w:val="single" w:sz="12" w:space="0" w:color="000000"/>
            </w:tcBorders>
          </w:tcPr>
          <w:p w:rsidR="004A4DAA" w:rsidRPr="001F51CE" w:rsidRDefault="004A4DAA" w:rsidP="00C162EC">
            <w:pPr>
              <w:pStyle w:val="TableParagraph"/>
              <w:spacing w:line="240" w:lineRule="auto"/>
              <w:ind w:left="121" w:right="119"/>
              <w:rPr>
                <w:rFonts w:ascii="Arial" w:hAnsi="Arial" w:cs="Arial"/>
                <w:sz w:val="18"/>
                <w:szCs w:val="18"/>
              </w:rPr>
            </w:pPr>
            <w:r w:rsidRPr="001F51CE">
              <w:rPr>
                <w:rFonts w:ascii="Arial" w:hAnsi="Arial" w:cs="Arial"/>
                <w:sz w:val="18"/>
                <w:szCs w:val="18"/>
              </w:rPr>
              <w:t>Von den am S</w:t>
            </w:r>
            <w:r w:rsidR="00692310">
              <w:rPr>
                <w:rFonts w:ascii="Arial" w:hAnsi="Arial" w:cs="Arial"/>
                <w:sz w:val="18"/>
                <w:szCs w:val="18"/>
              </w:rPr>
              <w:t>tichtag ak</w:t>
            </w:r>
            <w:r w:rsidRPr="001F51CE">
              <w:rPr>
                <w:rFonts w:ascii="Arial" w:hAnsi="Arial" w:cs="Arial"/>
                <w:sz w:val="18"/>
                <w:szCs w:val="18"/>
              </w:rPr>
              <w:t xml:space="preserve">tuell erkrankten </w:t>
            </w:r>
            <w:r w:rsidR="001F51CE">
              <w:rPr>
                <w:rFonts w:ascii="Arial" w:hAnsi="Arial" w:cs="Arial"/>
                <w:b/>
                <w:sz w:val="18"/>
                <w:szCs w:val="18"/>
              </w:rPr>
              <w:t>Be</w:t>
            </w:r>
            <w:r w:rsidRPr="001F51CE">
              <w:rPr>
                <w:rFonts w:ascii="Arial" w:hAnsi="Arial" w:cs="Arial"/>
                <w:b/>
                <w:sz w:val="18"/>
                <w:szCs w:val="18"/>
              </w:rPr>
              <w:t xml:space="preserve">diensteten </w:t>
            </w:r>
            <w:r w:rsidRPr="001F51CE">
              <w:rPr>
                <w:rFonts w:ascii="Arial" w:hAnsi="Arial" w:cs="Arial"/>
                <w:sz w:val="18"/>
                <w:szCs w:val="18"/>
                <w:u w:val="single"/>
              </w:rPr>
              <w:t>verfügen</w:t>
            </w:r>
            <w:r w:rsidRPr="001F51CE">
              <w:rPr>
                <w:rFonts w:ascii="Arial" w:hAnsi="Arial" w:cs="Arial"/>
                <w:sz w:val="18"/>
                <w:szCs w:val="18"/>
              </w:rPr>
              <w:t xml:space="preserve"> über einen Impf- oder Genesenennachweis</w:t>
            </w:r>
          </w:p>
        </w:tc>
        <w:tc>
          <w:tcPr>
            <w:tcW w:w="2676" w:type="dxa"/>
            <w:tcBorders>
              <w:bottom w:val="single" w:sz="12" w:space="0" w:color="000000"/>
            </w:tcBorders>
          </w:tcPr>
          <w:p w:rsidR="004A4DAA" w:rsidRPr="001F51CE" w:rsidRDefault="004A4DAA" w:rsidP="00C162EC">
            <w:pPr>
              <w:pStyle w:val="TableParagraph"/>
              <w:spacing w:line="240" w:lineRule="auto"/>
              <w:ind w:left="131" w:right="122"/>
              <w:rPr>
                <w:rFonts w:ascii="Arial" w:hAnsi="Arial" w:cs="Arial"/>
                <w:sz w:val="18"/>
                <w:szCs w:val="18"/>
              </w:rPr>
            </w:pPr>
            <w:r w:rsidRPr="001F51CE">
              <w:rPr>
                <w:rFonts w:ascii="Arial" w:hAnsi="Arial" w:cs="Arial"/>
                <w:sz w:val="18"/>
                <w:szCs w:val="18"/>
              </w:rPr>
              <w:t xml:space="preserve">Von den am Stichtag </w:t>
            </w:r>
            <w:r w:rsidR="00692310">
              <w:rPr>
                <w:rFonts w:ascii="Arial" w:hAnsi="Arial" w:cs="Arial"/>
                <w:spacing w:val="-5"/>
                <w:sz w:val="18"/>
                <w:szCs w:val="18"/>
              </w:rPr>
              <w:t>ak</w:t>
            </w:r>
            <w:r w:rsidRPr="001F51CE">
              <w:rPr>
                <w:rFonts w:ascii="Arial" w:hAnsi="Arial" w:cs="Arial"/>
                <w:sz w:val="18"/>
                <w:szCs w:val="18"/>
              </w:rPr>
              <w:t xml:space="preserve">tuell erkrankten </w:t>
            </w:r>
            <w:r w:rsidR="001F51CE">
              <w:rPr>
                <w:rFonts w:ascii="Arial" w:hAnsi="Arial" w:cs="Arial"/>
                <w:b/>
                <w:sz w:val="18"/>
                <w:szCs w:val="18"/>
              </w:rPr>
              <w:t>Be</w:t>
            </w:r>
            <w:r w:rsidRPr="001F51CE">
              <w:rPr>
                <w:rFonts w:ascii="Arial" w:hAnsi="Arial" w:cs="Arial"/>
                <w:b/>
                <w:sz w:val="18"/>
                <w:szCs w:val="18"/>
              </w:rPr>
              <w:t xml:space="preserve">diensteten </w:t>
            </w:r>
            <w:r w:rsidRPr="001F51CE">
              <w:rPr>
                <w:rFonts w:ascii="Arial" w:hAnsi="Arial" w:cs="Arial"/>
                <w:sz w:val="18"/>
                <w:szCs w:val="18"/>
                <w:u w:val="single"/>
              </w:rPr>
              <w:t>verfügen</w:t>
            </w:r>
            <w:r w:rsidRPr="001F51CE">
              <w:rPr>
                <w:rFonts w:ascii="Arial" w:hAnsi="Arial" w:cs="Arial"/>
                <w:sz w:val="18"/>
                <w:szCs w:val="18"/>
              </w:rPr>
              <w:t xml:space="preserve"> </w:t>
            </w:r>
            <w:r w:rsidRPr="001F51CE">
              <w:rPr>
                <w:rFonts w:ascii="Arial" w:hAnsi="Arial" w:cs="Arial"/>
                <w:sz w:val="18"/>
                <w:szCs w:val="18"/>
                <w:u w:val="single"/>
              </w:rPr>
              <w:t>nicht</w:t>
            </w:r>
            <w:r w:rsidR="001F51CE" w:rsidRPr="001F51CE">
              <w:rPr>
                <w:rFonts w:ascii="Arial" w:hAnsi="Arial" w:cs="Arial"/>
                <w:sz w:val="18"/>
                <w:szCs w:val="18"/>
              </w:rPr>
              <w:t xml:space="preserve"> (oder nicht nach-</w:t>
            </w:r>
            <w:r w:rsidRPr="001F51CE">
              <w:rPr>
                <w:rFonts w:ascii="Arial" w:hAnsi="Arial" w:cs="Arial"/>
                <w:sz w:val="18"/>
                <w:szCs w:val="18"/>
              </w:rPr>
              <w:t>weisbar/nicht bekannt) über einen Impf-</w:t>
            </w:r>
            <w:r w:rsidRPr="001F51CE">
              <w:rPr>
                <w:rFonts w:ascii="Arial" w:hAnsi="Arial" w:cs="Arial"/>
                <w:spacing w:val="-5"/>
                <w:sz w:val="18"/>
                <w:szCs w:val="18"/>
              </w:rPr>
              <w:t xml:space="preserve"> </w:t>
            </w:r>
            <w:r w:rsidRPr="001F51CE">
              <w:rPr>
                <w:rFonts w:ascii="Arial" w:hAnsi="Arial" w:cs="Arial"/>
                <w:sz w:val="18"/>
                <w:szCs w:val="18"/>
              </w:rPr>
              <w:t>oder</w:t>
            </w:r>
          </w:p>
          <w:p w:rsidR="004A4DAA" w:rsidRPr="001F51CE" w:rsidRDefault="004A4DAA" w:rsidP="00C162EC">
            <w:pPr>
              <w:pStyle w:val="TableParagraph"/>
              <w:spacing w:line="235" w:lineRule="exact"/>
              <w:ind w:left="127" w:right="122"/>
              <w:rPr>
                <w:rFonts w:ascii="Arial" w:hAnsi="Arial" w:cs="Arial"/>
                <w:sz w:val="18"/>
                <w:szCs w:val="18"/>
              </w:rPr>
            </w:pPr>
            <w:r w:rsidRPr="001F51CE">
              <w:rPr>
                <w:rFonts w:ascii="Arial" w:hAnsi="Arial" w:cs="Arial"/>
                <w:sz w:val="18"/>
                <w:szCs w:val="18"/>
              </w:rPr>
              <w:t>Genesenennachweis</w:t>
            </w:r>
          </w:p>
        </w:tc>
      </w:tr>
      <w:tr w:rsidR="004A4DAA" w:rsidRPr="001F51CE" w:rsidTr="001F51CE">
        <w:trPr>
          <w:trHeight w:val="253"/>
        </w:trPr>
        <w:tc>
          <w:tcPr>
            <w:tcW w:w="2524" w:type="dxa"/>
            <w:tcBorders>
              <w:top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Aichach</w:t>
            </w:r>
          </w:p>
        </w:tc>
        <w:tc>
          <w:tcPr>
            <w:tcW w:w="2674" w:type="dxa"/>
            <w:tcBorders>
              <w:top w:val="single" w:sz="12" w:space="0" w:color="000000"/>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Borders>
              <w:top w:val="single" w:sz="12" w:space="0" w:color="000000"/>
            </w:tcBorders>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3</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Amberg</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3</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Ansbach</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Aschaffenburg</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Augsburg-Gablingen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Bad Reichenhall</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Bamberg</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 Georgen-Bayreuth</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Bernau</w:t>
            </w:r>
          </w:p>
        </w:tc>
        <w:tc>
          <w:tcPr>
            <w:tcW w:w="2674" w:type="dxa"/>
            <w:tcBorders>
              <w:left w:val="single" w:sz="12" w:space="0" w:color="000000"/>
            </w:tcBorders>
          </w:tcPr>
          <w:p w:rsidR="004A4DAA" w:rsidRPr="001F51CE" w:rsidRDefault="004A4DAA" w:rsidP="001F51CE">
            <w:pPr>
              <w:pStyle w:val="TableParagraph"/>
              <w:spacing w:line="232" w:lineRule="exact"/>
              <w:ind w:right="1203"/>
              <w:jc w:val="right"/>
              <w:rPr>
                <w:rFonts w:ascii="Arial" w:hAnsi="Arial" w:cs="Arial"/>
                <w:sz w:val="18"/>
                <w:szCs w:val="18"/>
              </w:rPr>
            </w:pPr>
            <w:r w:rsidRPr="001F51CE">
              <w:rPr>
                <w:rFonts w:ascii="Arial" w:hAnsi="Arial" w:cs="Arial"/>
                <w:sz w:val="18"/>
                <w:szCs w:val="18"/>
              </w:rPr>
              <w:t>15</w:t>
            </w:r>
          </w:p>
        </w:tc>
        <w:tc>
          <w:tcPr>
            <w:tcW w:w="2676" w:type="dxa"/>
          </w:tcPr>
          <w:p w:rsidR="004A4DAA" w:rsidRPr="001F51CE" w:rsidRDefault="004A4DAA" w:rsidP="001F51CE">
            <w:pPr>
              <w:pStyle w:val="TableParagraph"/>
              <w:spacing w:line="232" w:lineRule="exact"/>
              <w:ind w:right="1205"/>
              <w:jc w:val="right"/>
              <w:rPr>
                <w:rFonts w:ascii="Arial" w:hAnsi="Arial" w:cs="Arial"/>
                <w:sz w:val="18"/>
                <w:szCs w:val="18"/>
              </w:rPr>
            </w:pPr>
            <w:r w:rsidRPr="001F51CE">
              <w:rPr>
                <w:rFonts w:ascii="Arial" w:hAnsi="Arial" w:cs="Arial"/>
                <w:sz w:val="18"/>
                <w:szCs w:val="18"/>
              </w:rPr>
              <w:t>10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Ebrach</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4</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Eichstätt</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Erding</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Erlangen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Garmisch-Partenkirchen</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Hof</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2</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Ingolstadt</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Kaisheim</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4</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2</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lastRenderedPageBreak/>
              <w:t>Kempten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4</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Kronach</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Landsberg a. Lech</w:t>
            </w:r>
          </w:p>
        </w:tc>
        <w:tc>
          <w:tcPr>
            <w:tcW w:w="2674" w:type="dxa"/>
            <w:tcBorders>
              <w:left w:val="single" w:sz="12" w:space="0" w:color="000000"/>
            </w:tcBorders>
          </w:tcPr>
          <w:p w:rsidR="004A4DAA" w:rsidRPr="001F51CE" w:rsidRDefault="004A4DAA" w:rsidP="001F51CE">
            <w:pPr>
              <w:pStyle w:val="TableParagraph"/>
              <w:ind w:right="1203"/>
              <w:jc w:val="right"/>
              <w:rPr>
                <w:rFonts w:ascii="Arial" w:hAnsi="Arial" w:cs="Arial"/>
                <w:sz w:val="18"/>
                <w:szCs w:val="18"/>
              </w:rPr>
            </w:pPr>
            <w:r w:rsidRPr="001F51CE">
              <w:rPr>
                <w:rFonts w:ascii="Arial" w:hAnsi="Arial" w:cs="Arial"/>
                <w:sz w:val="18"/>
                <w:szCs w:val="18"/>
              </w:rPr>
              <w:t>11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9</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Landshut</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4</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Laufen-Lebenau</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2</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Memmingen</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Mühldorf am Inn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München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Neuburg a. d. Donau</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Neuburg-Herrenwörth</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Niederschönenfeld</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3</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Nürnberg</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3</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Passau</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Regensburg</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Schweinfurt</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Straubing</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4</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4</w:t>
            </w:r>
          </w:p>
        </w:tc>
      </w:tr>
      <w:tr w:rsidR="004A4DAA" w:rsidRPr="001F51CE" w:rsidTr="001F51CE">
        <w:trPr>
          <w:trHeight w:val="254"/>
        </w:trPr>
        <w:tc>
          <w:tcPr>
            <w:tcW w:w="2524"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Traunstein</w:t>
            </w:r>
          </w:p>
        </w:tc>
        <w:tc>
          <w:tcPr>
            <w:tcW w:w="2674" w:type="dxa"/>
            <w:tcBorders>
              <w:left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4"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Weiden i. d. OPf.</w:t>
            </w:r>
          </w:p>
        </w:tc>
        <w:tc>
          <w:tcPr>
            <w:tcW w:w="2674" w:type="dxa"/>
            <w:tcBorders>
              <w:left w:val="single" w:sz="12" w:space="0" w:color="000000"/>
            </w:tcBorders>
          </w:tcPr>
          <w:p w:rsidR="004A4DAA" w:rsidRPr="001F51CE" w:rsidRDefault="004A4DAA" w:rsidP="001F51CE">
            <w:pPr>
              <w:pStyle w:val="TableParagraph"/>
              <w:spacing w:line="232" w:lineRule="exact"/>
              <w:ind w:right="1265"/>
              <w:jc w:val="right"/>
              <w:rPr>
                <w:rFonts w:ascii="Arial" w:hAnsi="Arial" w:cs="Arial"/>
                <w:sz w:val="18"/>
                <w:szCs w:val="18"/>
              </w:rPr>
            </w:pPr>
            <w:r w:rsidRPr="001F51CE">
              <w:rPr>
                <w:rFonts w:ascii="Arial" w:hAnsi="Arial" w:cs="Arial"/>
                <w:sz w:val="18"/>
                <w:szCs w:val="18"/>
              </w:rPr>
              <w:t>0</w:t>
            </w:r>
          </w:p>
        </w:tc>
        <w:tc>
          <w:tcPr>
            <w:tcW w:w="2676" w:type="dxa"/>
          </w:tcPr>
          <w:p w:rsidR="004A4DAA" w:rsidRPr="001F51CE" w:rsidRDefault="004A4DAA" w:rsidP="001F51CE">
            <w:pPr>
              <w:pStyle w:val="TableParagraph"/>
              <w:spacing w:line="232" w:lineRule="exact"/>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bottom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Würzburg</w:t>
            </w:r>
          </w:p>
        </w:tc>
        <w:tc>
          <w:tcPr>
            <w:tcW w:w="2674" w:type="dxa"/>
            <w:tcBorders>
              <w:left w:val="single" w:sz="12" w:space="0" w:color="000000"/>
              <w:bottom w:val="single" w:sz="12" w:space="0" w:color="000000"/>
            </w:tcBorders>
          </w:tcPr>
          <w:p w:rsidR="004A4DAA" w:rsidRPr="001F51CE" w:rsidRDefault="004A4DAA" w:rsidP="001F51CE">
            <w:pPr>
              <w:pStyle w:val="TableParagraph"/>
              <w:ind w:right="1265"/>
              <w:jc w:val="right"/>
              <w:rPr>
                <w:rFonts w:ascii="Arial" w:hAnsi="Arial" w:cs="Arial"/>
                <w:sz w:val="18"/>
                <w:szCs w:val="18"/>
              </w:rPr>
            </w:pPr>
            <w:r w:rsidRPr="001F51CE">
              <w:rPr>
                <w:rFonts w:ascii="Arial" w:hAnsi="Arial" w:cs="Arial"/>
                <w:sz w:val="18"/>
                <w:szCs w:val="18"/>
              </w:rPr>
              <w:t>1</w:t>
            </w:r>
          </w:p>
        </w:tc>
        <w:tc>
          <w:tcPr>
            <w:tcW w:w="2676" w:type="dxa"/>
            <w:tcBorders>
              <w:bottom w:val="single" w:sz="12" w:space="0" w:color="000000"/>
            </w:tcBorders>
          </w:tcPr>
          <w:p w:rsidR="004A4DAA" w:rsidRPr="001F51CE" w:rsidRDefault="004A4DAA" w:rsidP="001F51CE">
            <w:pPr>
              <w:pStyle w:val="TableParagraph"/>
              <w:ind w:right="1267"/>
              <w:jc w:val="right"/>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4" w:type="dxa"/>
            <w:tcBorders>
              <w:top w:val="single" w:sz="12" w:space="0" w:color="000000"/>
              <w:right w:val="single" w:sz="12" w:space="0" w:color="000000"/>
            </w:tcBorders>
          </w:tcPr>
          <w:p w:rsidR="004A4DAA" w:rsidRPr="001F51CE" w:rsidRDefault="004A4DAA" w:rsidP="00C162EC">
            <w:pPr>
              <w:pStyle w:val="TableParagraph"/>
              <w:rPr>
                <w:rFonts w:ascii="Arial" w:hAnsi="Arial" w:cs="Arial"/>
                <w:b/>
                <w:sz w:val="18"/>
                <w:szCs w:val="18"/>
              </w:rPr>
            </w:pPr>
            <w:r w:rsidRPr="001F51CE">
              <w:rPr>
                <w:rFonts w:ascii="Arial" w:hAnsi="Arial" w:cs="Arial"/>
                <w:b/>
                <w:sz w:val="18"/>
                <w:szCs w:val="18"/>
              </w:rPr>
              <w:t>GESAMT</w:t>
            </w:r>
          </w:p>
        </w:tc>
        <w:tc>
          <w:tcPr>
            <w:tcW w:w="2674" w:type="dxa"/>
            <w:tcBorders>
              <w:top w:val="single" w:sz="12" w:space="0" w:color="000000"/>
              <w:left w:val="single" w:sz="12" w:space="0" w:color="000000"/>
            </w:tcBorders>
          </w:tcPr>
          <w:p w:rsidR="004A4DAA" w:rsidRPr="001F51CE" w:rsidRDefault="004A4DAA" w:rsidP="001F51CE">
            <w:pPr>
              <w:pStyle w:val="TableParagraph"/>
              <w:ind w:right="1203"/>
              <w:jc w:val="right"/>
              <w:rPr>
                <w:rFonts w:ascii="Arial" w:hAnsi="Arial" w:cs="Arial"/>
                <w:b/>
                <w:sz w:val="18"/>
                <w:szCs w:val="18"/>
              </w:rPr>
            </w:pPr>
            <w:r w:rsidRPr="001F51CE">
              <w:rPr>
                <w:rFonts w:ascii="Arial" w:hAnsi="Arial" w:cs="Arial"/>
                <w:b/>
                <w:sz w:val="18"/>
                <w:szCs w:val="18"/>
              </w:rPr>
              <w:t>55</w:t>
            </w:r>
          </w:p>
        </w:tc>
        <w:tc>
          <w:tcPr>
            <w:tcW w:w="2676" w:type="dxa"/>
            <w:tcBorders>
              <w:top w:val="single" w:sz="12" w:space="0" w:color="000000"/>
            </w:tcBorders>
          </w:tcPr>
          <w:p w:rsidR="004A4DAA" w:rsidRPr="001F51CE" w:rsidRDefault="004A4DAA" w:rsidP="001F51CE">
            <w:pPr>
              <w:pStyle w:val="TableParagraph"/>
              <w:ind w:right="1205"/>
              <w:jc w:val="right"/>
              <w:rPr>
                <w:rFonts w:ascii="Arial" w:hAnsi="Arial" w:cs="Arial"/>
                <w:b/>
                <w:sz w:val="18"/>
                <w:szCs w:val="18"/>
              </w:rPr>
            </w:pPr>
            <w:r w:rsidRPr="001F51CE">
              <w:rPr>
                <w:rFonts w:ascii="Arial" w:hAnsi="Arial" w:cs="Arial"/>
                <w:b/>
                <w:sz w:val="18"/>
                <w:szCs w:val="18"/>
              </w:rPr>
              <w:t>54</w:t>
            </w:r>
          </w:p>
        </w:tc>
      </w:tr>
    </w:tbl>
    <w:p w:rsidR="00925EDE" w:rsidRDefault="00925EDE" w:rsidP="004A4DAA">
      <w:pPr>
        <w:pStyle w:val="LTAntwortRessortText"/>
        <w:ind w:left="0"/>
      </w:pPr>
    </w:p>
    <w:p w:rsidR="00925EDE" w:rsidRDefault="00925EDE" w:rsidP="00925EDE">
      <w:pPr>
        <w:pStyle w:val="LTAntwortRessortText"/>
      </w:pPr>
      <w:r>
        <w:t>Von den zum genannten Stichtag 118 infiziert</w:t>
      </w:r>
      <w:r w:rsidR="00D8582E">
        <w:t>en Gefangenen waren 48 nachweis</w:t>
      </w:r>
      <w:r>
        <w:t>lich vollständig geimpft oder galten als genesen. Bei 70 Gefangenen war dies nicht der Fall. Auf die einzelnen Justizvollzugsanstalten verteilen sich diese Zahlen wie folgt:</w:t>
      </w:r>
    </w:p>
    <w:p w:rsidR="00925EDE" w:rsidRDefault="00925EDE" w:rsidP="00925EDE">
      <w:pPr>
        <w:pStyle w:val="LTAntwortRessortText"/>
      </w:pPr>
    </w:p>
    <w:tbl>
      <w:tblPr>
        <w:tblStyle w:val="TableNormal"/>
        <w:tblW w:w="77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2692"/>
        <w:gridCol w:w="2550"/>
      </w:tblGrid>
      <w:tr w:rsidR="004A4DAA" w:rsidRPr="001F51CE" w:rsidTr="001F51CE">
        <w:trPr>
          <w:trHeight w:val="1591"/>
        </w:trPr>
        <w:tc>
          <w:tcPr>
            <w:tcW w:w="2521" w:type="dxa"/>
            <w:tcBorders>
              <w:bottom w:val="single" w:sz="12" w:space="0" w:color="000000"/>
              <w:right w:val="single" w:sz="12" w:space="0" w:color="000000"/>
            </w:tcBorders>
          </w:tcPr>
          <w:p w:rsidR="004A4DAA" w:rsidRPr="001F51CE" w:rsidRDefault="004A4DAA" w:rsidP="00C162EC">
            <w:pPr>
              <w:pStyle w:val="TableParagraph"/>
              <w:spacing w:line="250" w:lineRule="exact"/>
              <w:rPr>
                <w:rFonts w:ascii="Arial" w:hAnsi="Arial" w:cs="Arial"/>
                <w:sz w:val="18"/>
                <w:szCs w:val="18"/>
              </w:rPr>
            </w:pPr>
            <w:r w:rsidRPr="001F51CE">
              <w:rPr>
                <w:rFonts w:ascii="Arial" w:hAnsi="Arial" w:cs="Arial"/>
                <w:sz w:val="18"/>
                <w:szCs w:val="18"/>
              </w:rPr>
              <w:t>Justizvollzugsanstalt</w:t>
            </w:r>
          </w:p>
        </w:tc>
        <w:tc>
          <w:tcPr>
            <w:tcW w:w="2692" w:type="dxa"/>
            <w:tcBorders>
              <w:left w:val="single" w:sz="12" w:space="0" w:color="000000"/>
              <w:bottom w:val="single" w:sz="12" w:space="0" w:color="000000"/>
            </w:tcBorders>
          </w:tcPr>
          <w:p w:rsidR="004A4DAA" w:rsidRPr="001F51CE" w:rsidRDefault="001F51CE" w:rsidP="001F51CE">
            <w:pPr>
              <w:pStyle w:val="TableParagraph"/>
              <w:spacing w:line="240" w:lineRule="auto"/>
              <w:ind w:left="129" w:right="129"/>
              <w:rPr>
                <w:rFonts w:ascii="Arial" w:hAnsi="Arial" w:cs="Arial"/>
                <w:sz w:val="18"/>
                <w:szCs w:val="18"/>
              </w:rPr>
            </w:pPr>
            <w:r w:rsidRPr="001F51CE">
              <w:rPr>
                <w:rFonts w:ascii="Arial" w:hAnsi="Arial" w:cs="Arial"/>
                <w:sz w:val="18"/>
                <w:szCs w:val="18"/>
              </w:rPr>
              <w:t>Von den am Stichtag ak</w:t>
            </w:r>
            <w:r w:rsidR="004A4DAA" w:rsidRPr="001F51CE">
              <w:rPr>
                <w:rFonts w:ascii="Arial" w:hAnsi="Arial" w:cs="Arial"/>
                <w:sz w:val="18"/>
                <w:szCs w:val="18"/>
              </w:rPr>
              <w:t xml:space="preserve">tuell erkrankten </w:t>
            </w:r>
            <w:r w:rsidRPr="001F51CE">
              <w:rPr>
                <w:rFonts w:ascii="Arial" w:hAnsi="Arial" w:cs="Arial"/>
                <w:b/>
                <w:sz w:val="18"/>
                <w:szCs w:val="18"/>
              </w:rPr>
              <w:t>Gefan</w:t>
            </w:r>
            <w:r w:rsidR="004A4DAA" w:rsidRPr="001F51CE">
              <w:rPr>
                <w:rFonts w:ascii="Arial" w:hAnsi="Arial" w:cs="Arial"/>
                <w:b/>
                <w:sz w:val="18"/>
                <w:szCs w:val="18"/>
              </w:rPr>
              <w:t xml:space="preserve">genen </w:t>
            </w:r>
            <w:r w:rsidR="004A4DAA" w:rsidRPr="001F51CE">
              <w:rPr>
                <w:rFonts w:ascii="Arial" w:hAnsi="Arial" w:cs="Arial"/>
                <w:sz w:val="18"/>
                <w:szCs w:val="18"/>
                <w:u w:val="single"/>
              </w:rPr>
              <w:t>verfügen</w:t>
            </w:r>
            <w:r w:rsidRPr="001F51CE">
              <w:rPr>
                <w:rFonts w:ascii="Arial" w:hAnsi="Arial" w:cs="Arial"/>
                <w:sz w:val="18"/>
                <w:szCs w:val="18"/>
              </w:rPr>
              <w:t xml:space="preserve"> über einen Impf- oder Genese</w:t>
            </w:r>
            <w:r w:rsidR="004A4DAA" w:rsidRPr="001F51CE">
              <w:rPr>
                <w:rFonts w:ascii="Arial" w:hAnsi="Arial" w:cs="Arial"/>
                <w:sz w:val="18"/>
                <w:szCs w:val="18"/>
              </w:rPr>
              <w:t>nennachweis</w:t>
            </w:r>
          </w:p>
        </w:tc>
        <w:tc>
          <w:tcPr>
            <w:tcW w:w="2550" w:type="dxa"/>
            <w:tcBorders>
              <w:bottom w:val="single" w:sz="12" w:space="0" w:color="000000"/>
            </w:tcBorders>
          </w:tcPr>
          <w:p w:rsidR="004A4DAA" w:rsidRPr="001F51CE" w:rsidRDefault="004A4DAA" w:rsidP="001F51CE">
            <w:pPr>
              <w:pStyle w:val="TableParagraph"/>
              <w:spacing w:line="240" w:lineRule="auto"/>
              <w:ind w:left="173" w:right="162" w:hanging="1"/>
              <w:rPr>
                <w:rFonts w:ascii="Arial" w:hAnsi="Arial" w:cs="Arial"/>
                <w:sz w:val="18"/>
                <w:szCs w:val="18"/>
              </w:rPr>
            </w:pPr>
            <w:r w:rsidRPr="001F51CE">
              <w:rPr>
                <w:rFonts w:ascii="Arial" w:hAnsi="Arial" w:cs="Arial"/>
                <w:sz w:val="18"/>
                <w:szCs w:val="18"/>
              </w:rPr>
              <w:t xml:space="preserve">Von den am Stichtag aktuell erkrankten </w:t>
            </w:r>
            <w:r w:rsidR="001F51CE" w:rsidRPr="001F51CE">
              <w:rPr>
                <w:rFonts w:ascii="Arial" w:hAnsi="Arial" w:cs="Arial"/>
                <w:b/>
                <w:sz w:val="18"/>
                <w:szCs w:val="18"/>
              </w:rPr>
              <w:t>Ge-</w:t>
            </w:r>
            <w:r w:rsidRPr="001F51CE">
              <w:rPr>
                <w:rFonts w:ascii="Arial" w:hAnsi="Arial" w:cs="Arial"/>
                <w:b/>
                <w:sz w:val="18"/>
                <w:szCs w:val="18"/>
              </w:rPr>
              <w:t xml:space="preserve">fangenen </w:t>
            </w:r>
            <w:r w:rsidRPr="001F51CE">
              <w:rPr>
                <w:rFonts w:ascii="Arial" w:hAnsi="Arial" w:cs="Arial"/>
                <w:sz w:val="18"/>
                <w:szCs w:val="18"/>
                <w:u w:val="single"/>
              </w:rPr>
              <w:t>verfügen</w:t>
            </w:r>
            <w:r w:rsidRPr="001F51CE">
              <w:rPr>
                <w:rFonts w:ascii="Arial" w:hAnsi="Arial" w:cs="Arial"/>
                <w:sz w:val="18"/>
                <w:szCs w:val="18"/>
              </w:rPr>
              <w:t xml:space="preserve"> </w:t>
            </w:r>
            <w:r w:rsidRPr="001F51CE">
              <w:rPr>
                <w:rFonts w:ascii="Arial" w:hAnsi="Arial" w:cs="Arial"/>
                <w:sz w:val="18"/>
                <w:szCs w:val="18"/>
                <w:u w:val="single"/>
              </w:rPr>
              <w:t>nicht</w:t>
            </w:r>
            <w:r w:rsidR="001F51CE" w:rsidRPr="001F51CE">
              <w:rPr>
                <w:rFonts w:ascii="Arial" w:hAnsi="Arial" w:cs="Arial"/>
                <w:sz w:val="18"/>
                <w:szCs w:val="18"/>
              </w:rPr>
              <w:t xml:space="preserve"> (oder nicht nach-</w:t>
            </w:r>
            <w:r w:rsidRPr="001F51CE">
              <w:rPr>
                <w:rFonts w:ascii="Arial" w:hAnsi="Arial" w:cs="Arial"/>
                <w:sz w:val="18"/>
                <w:szCs w:val="18"/>
              </w:rPr>
              <w:t>weisbar/nicht</w:t>
            </w:r>
            <w:r w:rsidRPr="001F51CE">
              <w:rPr>
                <w:rFonts w:ascii="Arial" w:hAnsi="Arial" w:cs="Arial"/>
                <w:spacing w:val="-9"/>
                <w:sz w:val="18"/>
                <w:szCs w:val="18"/>
              </w:rPr>
              <w:t xml:space="preserve"> </w:t>
            </w:r>
            <w:r w:rsidRPr="001F51CE">
              <w:rPr>
                <w:rFonts w:ascii="Arial" w:hAnsi="Arial" w:cs="Arial"/>
                <w:sz w:val="18"/>
                <w:szCs w:val="18"/>
              </w:rPr>
              <w:t>bekannt) über einen Impf-</w:t>
            </w:r>
            <w:r w:rsidRPr="001F51CE">
              <w:rPr>
                <w:rFonts w:ascii="Arial" w:hAnsi="Arial" w:cs="Arial"/>
                <w:spacing w:val="-7"/>
                <w:sz w:val="18"/>
                <w:szCs w:val="18"/>
              </w:rPr>
              <w:t xml:space="preserve"> </w:t>
            </w:r>
            <w:r w:rsidRPr="001F51CE">
              <w:rPr>
                <w:rFonts w:ascii="Arial" w:hAnsi="Arial" w:cs="Arial"/>
                <w:sz w:val="18"/>
                <w:szCs w:val="18"/>
              </w:rPr>
              <w:t>oder</w:t>
            </w:r>
            <w:r w:rsidR="001F51CE" w:rsidRPr="001F51CE">
              <w:rPr>
                <w:rFonts w:ascii="Arial" w:hAnsi="Arial" w:cs="Arial"/>
                <w:sz w:val="18"/>
                <w:szCs w:val="18"/>
              </w:rPr>
              <w:t xml:space="preserve"> </w:t>
            </w:r>
            <w:r w:rsidRPr="001F51CE">
              <w:rPr>
                <w:rFonts w:ascii="Arial" w:hAnsi="Arial" w:cs="Arial"/>
                <w:sz w:val="18"/>
                <w:szCs w:val="18"/>
              </w:rPr>
              <w:t>Genesenennachweis</w:t>
            </w:r>
          </w:p>
        </w:tc>
      </w:tr>
      <w:tr w:rsidR="004A4DAA" w:rsidRPr="001F51CE" w:rsidTr="001F51CE">
        <w:trPr>
          <w:trHeight w:val="253"/>
        </w:trPr>
        <w:tc>
          <w:tcPr>
            <w:tcW w:w="2521" w:type="dxa"/>
            <w:tcBorders>
              <w:top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Aichach</w:t>
            </w:r>
          </w:p>
        </w:tc>
        <w:tc>
          <w:tcPr>
            <w:tcW w:w="2692" w:type="dxa"/>
            <w:tcBorders>
              <w:top w:val="single" w:sz="12" w:space="0" w:color="000000"/>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Borders>
              <w:top w:val="single" w:sz="12" w:space="0" w:color="000000"/>
            </w:tcBorders>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Amberg</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4</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Ansbach</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Aschaffenburg</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Augsburg-Gablingen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Bad Reichenhall</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Bamberg</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St. Georgen-Bayreuth</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Bernau</w:t>
            </w:r>
          </w:p>
        </w:tc>
        <w:tc>
          <w:tcPr>
            <w:tcW w:w="2692" w:type="dxa"/>
            <w:tcBorders>
              <w:left w:val="single" w:sz="12" w:space="0" w:color="000000"/>
            </w:tcBorders>
          </w:tcPr>
          <w:p w:rsidR="004A4DAA" w:rsidRPr="001F51CE" w:rsidRDefault="004A4DAA" w:rsidP="001F51CE">
            <w:pPr>
              <w:pStyle w:val="TableParagraph"/>
              <w:spacing w:line="232" w:lineRule="exact"/>
              <w:ind w:left="128" w:right="129"/>
              <w:jc w:val="center"/>
              <w:rPr>
                <w:rFonts w:ascii="Arial" w:hAnsi="Arial" w:cs="Arial"/>
                <w:sz w:val="18"/>
                <w:szCs w:val="18"/>
              </w:rPr>
            </w:pPr>
            <w:r w:rsidRPr="001F51CE">
              <w:rPr>
                <w:rFonts w:ascii="Arial" w:hAnsi="Arial" w:cs="Arial"/>
                <w:sz w:val="18"/>
                <w:szCs w:val="18"/>
              </w:rPr>
              <w:t>13</w:t>
            </w:r>
          </w:p>
        </w:tc>
        <w:tc>
          <w:tcPr>
            <w:tcW w:w="2550" w:type="dxa"/>
          </w:tcPr>
          <w:p w:rsidR="004A4DAA" w:rsidRPr="001F51CE" w:rsidRDefault="004A4DAA" w:rsidP="001F51CE">
            <w:pPr>
              <w:pStyle w:val="TableParagraph"/>
              <w:spacing w:line="232" w:lineRule="exact"/>
              <w:ind w:left="227" w:right="217"/>
              <w:jc w:val="center"/>
              <w:rPr>
                <w:rFonts w:ascii="Arial" w:hAnsi="Arial" w:cs="Arial"/>
                <w:sz w:val="18"/>
                <w:szCs w:val="18"/>
              </w:rPr>
            </w:pPr>
            <w:r w:rsidRPr="001F51CE">
              <w:rPr>
                <w:rFonts w:ascii="Arial" w:hAnsi="Arial" w:cs="Arial"/>
                <w:sz w:val="18"/>
                <w:szCs w:val="18"/>
              </w:rPr>
              <w:t>24</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Ebrach</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Eichstätt</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Erding</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Erlangen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Garmisch-Partenkirchen</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lastRenderedPageBreak/>
              <w:t>Hof</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Ingolstadt</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Kaisheim</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9</w:t>
            </w:r>
          </w:p>
        </w:tc>
        <w:tc>
          <w:tcPr>
            <w:tcW w:w="2550" w:type="dxa"/>
          </w:tcPr>
          <w:p w:rsidR="004A4DAA" w:rsidRPr="001F51CE" w:rsidRDefault="004A4DAA" w:rsidP="001F51CE">
            <w:pPr>
              <w:pStyle w:val="TableParagraph"/>
              <w:ind w:left="227" w:right="217"/>
              <w:jc w:val="center"/>
              <w:rPr>
                <w:rFonts w:ascii="Arial" w:hAnsi="Arial" w:cs="Arial"/>
                <w:sz w:val="18"/>
                <w:szCs w:val="18"/>
              </w:rPr>
            </w:pPr>
            <w:r w:rsidRPr="001F51CE">
              <w:rPr>
                <w:rFonts w:ascii="Arial" w:hAnsi="Arial" w:cs="Arial"/>
                <w:sz w:val="18"/>
                <w:szCs w:val="18"/>
              </w:rPr>
              <w:t>16</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Kempten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2</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Kronach</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Landsberg a. Lech</w:t>
            </w:r>
          </w:p>
        </w:tc>
        <w:tc>
          <w:tcPr>
            <w:tcW w:w="2692" w:type="dxa"/>
            <w:tcBorders>
              <w:left w:val="single" w:sz="12" w:space="0" w:color="000000"/>
            </w:tcBorders>
          </w:tcPr>
          <w:p w:rsidR="004A4DAA" w:rsidRPr="001F51CE" w:rsidRDefault="004A4DAA" w:rsidP="001F51CE">
            <w:pPr>
              <w:pStyle w:val="TableParagraph"/>
              <w:ind w:left="128" w:right="129"/>
              <w:jc w:val="center"/>
              <w:rPr>
                <w:rFonts w:ascii="Arial" w:hAnsi="Arial" w:cs="Arial"/>
                <w:sz w:val="18"/>
                <w:szCs w:val="18"/>
              </w:rPr>
            </w:pPr>
            <w:r w:rsidRPr="001F51CE">
              <w:rPr>
                <w:rFonts w:ascii="Arial" w:hAnsi="Arial" w:cs="Arial"/>
                <w:sz w:val="18"/>
                <w:szCs w:val="18"/>
              </w:rPr>
              <w:t>10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Landshut</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3</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Laufen-Lebenau</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Memmingen</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Mühldorf am Inn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München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2</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4</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Neuburg a. d. Donau</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Neuburg-Herrenwörth</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1</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1</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Niederschönenfeld</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Nürnberg</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3</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2</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Passau</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Regensburg</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Schweinfurt</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Straubing</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4"/>
        </w:trPr>
        <w:tc>
          <w:tcPr>
            <w:tcW w:w="2521" w:type="dxa"/>
            <w:tcBorders>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Traunstein</w:t>
            </w:r>
          </w:p>
        </w:tc>
        <w:tc>
          <w:tcPr>
            <w:tcW w:w="2692" w:type="dxa"/>
            <w:tcBorders>
              <w:left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1"/>
        </w:trPr>
        <w:tc>
          <w:tcPr>
            <w:tcW w:w="2521" w:type="dxa"/>
            <w:tcBorders>
              <w:right w:val="single" w:sz="12" w:space="0" w:color="000000"/>
            </w:tcBorders>
          </w:tcPr>
          <w:p w:rsidR="004A4DAA" w:rsidRPr="001F51CE" w:rsidRDefault="004A4DAA" w:rsidP="00C162EC">
            <w:pPr>
              <w:pStyle w:val="TableParagraph"/>
              <w:spacing w:line="232" w:lineRule="exact"/>
              <w:rPr>
                <w:rFonts w:ascii="Arial" w:hAnsi="Arial" w:cs="Arial"/>
                <w:sz w:val="18"/>
                <w:szCs w:val="18"/>
              </w:rPr>
            </w:pPr>
            <w:r w:rsidRPr="001F51CE">
              <w:rPr>
                <w:rFonts w:ascii="Arial" w:hAnsi="Arial" w:cs="Arial"/>
                <w:sz w:val="18"/>
                <w:szCs w:val="18"/>
              </w:rPr>
              <w:t>Weiden i. d. OPf.</w:t>
            </w:r>
          </w:p>
        </w:tc>
        <w:tc>
          <w:tcPr>
            <w:tcW w:w="2692" w:type="dxa"/>
            <w:tcBorders>
              <w:left w:val="single" w:sz="12" w:space="0" w:color="000000"/>
            </w:tcBorders>
          </w:tcPr>
          <w:p w:rsidR="004A4DAA" w:rsidRPr="001F51CE" w:rsidRDefault="004A4DAA" w:rsidP="001F51CE">
            <w:pPr>
              <w:pStyle w:val="TableParagraph"/>
              <w:spacing w:line="232" w:lineRule="exact"/>
              <w:jc w:val="center"/>
              <w:rPr>
                <w:rFonts w:ascii="Arial" w:hAnsi="Arial" w:cs="Arial"/>
                <w:sz w:val="18"/>
                <w:szCs w:val="18"/>
              </w:rPr>
            </w:pPr>
            <w:r w:rsidRPr="001F51CE">
              <w:rPr>
                <w:rFonts w:ascii="Arial" w:hAnsi="Arial" w:cs="Arial"/>
                <w:sz w:val="18"/>
                <w:szCs w:val="18"/>
              </w:rPr>
              <w:t>0</w:t>
            </w:r>
          </w:p>
        </w:tc>
        <w:tc>
          <w:tcPr>
            <w:tcW w:w="2550" w:type="dxa"/>
          </w:tcPr>
          <w:p w:rsidR="004A4DAA" w:rsidRPr="001F51CE" w:rsidRDefault="004A4DAA" w:rsidP="001F51CE">
            <w:pPr>
              <w:pStyle w:val="TableParagraph"/>
              <w:spacing w:line="232" w:lineRule="exact"/>
              <w:ind w:left="13"/>
              <w:jc w:val="center"/>
              <w:rPr>
                <w:rFonts w:ascii="Arial" w:hAnsi="Arial" w:cs="Arial"/>
                <w:sz w:val="18"/>
                <w:szCs w:val="18"/>
              </w:rPr>
            </w:pPr>
            <w:r w:rsidRPr="001F51CE">
              <w:rPr>
                <w:rFonts w:ascii="Arial" w:hAnsi="Arial" w:cs="Arial"/>
                <w:sz w:val="18"/>
                <w:szCs w:val="18"/>
              </w:rPr>
              <w:t>0</w:t>
            </w:r>
          </w:p>
        </w:tc>
      </w:tr>
      <w:tr w:rsidR="004A4DAA" w:rsidRPr="001F51CE" w:rsidTr="001F51CE">
        <w:trPr>
          <w:trHeight w:val="253"/>
        </w:trPr>
        <w:tc>
          <w:tcPr>
            <w:tcW w:w="2521" w:type="dxa"/>
            <w:tcBorders>
              <w:bottom w:val="single" w:sz="12" w:space="0" w:color="000000"/>
              <w:right w:val="single" w:sz="12" w:space="0" w:color="000000"/>
            </w:tcBorders>
          </w:tcPr>
          <w:p w:rsidR="004A4DAA" w:rsidRPr="001F51CE" w:rsidRDefault="004A4DAA" w:rsidP="00C162EC">
            <w:pPr>
              <w:pStyle w:val="TableParagraph"/>
              <w:rPr>
                <w:rFonts w:ascii="Arial" w:hAnsi="Arial" w:cs="Arial"/>
                <w:sz w:val="18"/>
                <w:szCs w:val="18"/>
              </w:rPr>
            </w:pPr>
            <w:r w:rsidRPr="001F51CE">
              <w:rPr>
                <w:rFonts w:ascii="Arial" w:hAnsi="Arial" w:cs="Arial"/>
                <w:sz w:val="18"/>
                <w:szCs w:val="18"/>
              </w:rPr>
              <w:t>Würzburg</w:t>
            </w:r>
          </w:p>
        </w:tc>
        <w:tc>
          <w:tcPr>
            <w:tcW w:w="2692" w:type="dxa"/>
            <w:tcBorders>
              <w:left w:val="single" w:sz="12" w:space="0" w:color="000000"/>
              <w:bottom w:val="single" w:sz="12" w:space="0" w:color="000000"/>
            </w:tcBorders>
          </w:tcPr>
          <w:p w:rsidR="004A4DAA" w:rsidRPr="001F51CE" w:rsidRDefault="004A4DAA" w:rsidP="001F51CE">
            <w:pPr>
              <w:pStyle w:val="TableParagraph"/>
              <w:jc w:val="center"/>
              <w:rPr>
                <w:rFonts w:ascii="Arial" w:hAnsi="Arial" w:cs="Arial"/>
                <w:sz w:val="18"/>
                <w:szCs w:val="18"/>
              </w:rPr>
            </w:pPr>
            <w:r w:rsidRPr="001F51CE">
              <w:rPr>
                <w:rFonts w:ascii="Arial" w:hAnsi="Arial" w:cs="Arial"/>
                <w:sz w:val="18"/>
                <w:szCs w:val="18"/>
              </w:rPr>
              <w:t>8</w:t>
            </w:r>
          </w:p>
        </w:tc>
        <w:tc>
          <w:tcPr>
            <w:tcW w:w="2550" w:type="dxa"/>
            <w:tcBorders>
              <w:bottom w:val="single" w:sz="12" w:space="0" w:color="000000"/>
            </w:tcBorders>
          </w:tcPr>
          <w:p w:rsidR="004A4DAA" w:rsidRPr="001F51CE" w:rsidRDefault="004A4DAA" w:rsidP="001F51CE">
            <w:pPr>
              <w:pStyle w:val="TableParagraph"/>
              <w:ind w:left="13"/>
              <w:jc w:val="center"/>
              <w:rPr>
                <w:rFonts w:ascii="Arial" w:hAnsi="Arial" w:cs="Arial"/>
                <w:sz w:val="18"/>
                <w:szCs w:val="18"/>
              </w:rPr>
            </w:pPr>
            <w:r w:rsidRPr="001F51CE">
              <w:rPr>
                <w:rFonts w:ascii="Arial" w:hAnsi="Arial" w:cs="Arial"/>
                <w:sz w:val="18"/>
                <w:szCs w:val="18"/>
              </w:rPr>
              <w:t>7</w:t>
            </w:r>
          </w:p>
        </w:tc>
      </w:tr>
      <w:tr w:rsidR="004A4DAA" w:rsidRPr="001F51CE" w:rsidTr="001F51CE">
        <w:trPr>
          <w:trHeight w:val="253"/>
        </w:trPr>
        <w:tc>
          <w:tcPr>
            <w:tcW w:w="2521" w:type="dxa"/>
            <w:tcBorders>
              <w:top w:val="single" w:sz="12" w:space="0" w:color="000000"/>
              <w:right w:val="single" w:sz="12" w:space="0" w:color="000000"/>
            </w:tcBorders>
          </w:tcPr>
          <w:p w:rsidR="004A4DAA" w:rsidRPr="001F51CE" w:rsidRDefault="004A4DAA" w:rsidP="00C162EC">
            <w:pPr>
              <w:pStyle w:val="TableParagraph"/>
              <w:rPr>
                <w:rFonts w:ascii="Arial" w:hAnsi="Arial" w:cs="Arial"/>
                <w:b/>
                <w:sz w:val="18"/>
                <w:szCs w:val="18"/>
              </w:rPr>
            </w:pPr>
            <w:r w:rsidRPr="001F51CE">
              <w:rPr>
                <w:rFonts w:ascii="Arial" w:hAnsi="Arial" w:cs="Arial"/>
                <w:b/>
                <w:sz w:val="18"/>
                <w:szCs w:val="18"/>
              </w:rPr>
              <w:t>GESAMT</w:t>
            </w:r>
          </w:p>
        </w:tc>
        <w:tc>
          <w:tcPr>
            <w:tcW w:w="2692" w:type="dxa"/>
            <w:tcBorders>
              <w:top w:val="single" w:sz="12" w:space="0" w:color="000000"/>
              <w:left w:val="single" w:sz="12" w:space="0" w:color="000000"/>
            </w:tcBorders>
          </w:tcPr>
          <w:p w:rsidR="004A4DAA" w:rsidRPr="001F51CE" w:rsidRDefault="004A4DAA" w:rsidP="001F51CE">
            <w:pPr>
              <w:pStyle w:val="TableParagraph"/>
              <w:ind w:left="128" w:right="129"/>
              <w:jc w:val="center"/>
              <w:rPr>
                <w:rFonts w:ascii="Arial" w:hAnsi="Arial" w:cs="Arial"/>
                <w:b/>
                <w:sz w:val="18"/>
                <w:szCs w:val="18"/>
              </w:rPr>
            </w:pPr>
            <w:r w:rsidRPr="001F51CE">
              <w:rPr>
                <w:rFonts w:ascii="Arial" w:hAnsi="Arial" w:cs="Arial"/>
                <w:b/>
                <w:sz w:val="18"/>
                <w:szCs w:val="18"/>
              </w:rPr>
              <w:t>48</w:t>
            </w:r>
          </w:p>
        </w:tc>
        <w:tc>
          <w:tcPr>
            <w:tcW w:w="2550" w:type="dxa"/>
            <w:tcBorders>
              <w:top w:val="single" w:sz="12" w:space="0" w:color="000000"/>
            </w:tcBorders>
          </w:tcPr>
          <w:p w:rsidR="004A4DAA" w:rsidRPr="001F51CE" w:rsidRDefault="004A4DAA" w:rsidP="001F51CE">
            <w:pPr>
              <w:pStyle w:val="TableParagraph"/>
              <w:ind w:left="227" w:right="217"/>
              <w:jc w:val="center"/>
              <w:rPr>
                <w:rFonts w:ascii="Arial" w:hAnsi="Arial" w:cs="Arial"/>
                <w:b/>
                <w:sz w:val="18"/>
                <w:szCs w:val="18"/>
              </w:rPr>
            </w:pPr>
            <w:r w:rsidRPr="001F51CE">
              <w:rPr>
                <w:rFonts w:ascii="Arial" w:hAnsi="Arial" w:cs="Arial"/>
                <w:b/>
                <w:sz w:val="18"/>
                <w:szCs w:val="18"/>
              </w:rPr>
              <w:t>70</w:t>
            </w:r>
          </w:p>
        </w:tc>
      </w:tr>
    </w:tbl>
    <w:p w:rsidR="00925EDE" w:rsidRDefault="00925EDE" w:rsidP="00925EDE">
      <w:pPr>
        <w:pStyle w:val="LTAntwortRessortText"/>
      </w:pPr>
    </w:p>
    <w:p w:rsidR="00925EDE" w:rsidRDefault="00925EDE">
      <w:bookmarkStart w:id="33" w:name="Frage_Nr_16_Ende"/>
      <w:bookmarkEnd w:id="3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925EDE" w:rsidTr="007B0B33">
        <w:tc>
          <w:tcPr>
            <w:tcW w:w="2050" w:type="dxa"/>
          </w:tcPr>
          <w:p w:rsidR="00925EDE" w:rsidRDefault="00925EDE" w:rsidP="00925EDE">
            <w:pPr>
              <w:pStyle w:val="LTAnfrageInitiator"/>
            </w:pPr>
            <w:r>
              <w:lastRenderedPageBreak/>
              <w:t>Abgeordneter</w:t>
            </w:r>
            <w:r>
              <w:rPr>
                <w:b/>
              </w:rPr>
              <w:br/>
              <w:t>Florian</w:t>
            </w:r>
            <w:r>
              <w:rPr>
                <w:b/>
              </w:rPr>
              <w:br/>
              <w:t>Siekmann</w:t>
            </w:r>
            <w:r>
              <w:rPr>
                <w:b/>
              </w:rPr>
              <w:br/>
            </w:r>
            <w:r>
              <w:t>(BÜNDNIS 90/DIE GRÜNEN)</w:t>
            </w:r>
            <w:bookmarkStart w:id="34" w:name="Frage_Nr_17"/>
            <w:bookmarkEnd w:id="34"/>
          </w:p>
        </w:tc>
        <w:tc>
          <w:tcPr>
            <w:tcW w:w="7200" w:type="dxa"/>
          </w:tcPr>
          <w:p w:rsidR="00925EDE" w:rsidRDefault="000C2504" w:rsidP="00925EDE">
            <w:pPr>
              <w:pStyle w:val="LTAnfrageText"/>
            </w:pPr>
            <w:r w:rsidRPr="00DC70A7">
              <w:t>Ich frage die Staatsregierung, ob sich im Rahmen der Vermittlung des EMIX-Maskengeschäfts im Frühjahr 2020 durch Andrea Tandler, vor dem Hintergrund der unterschiedlichen Sitze der Agentur Pfennigturm (Sitz München) und der Firma Little Penguin (Sitz in Grünwald), im Kontakt mit Ministerien Hinweise auf einen Gewerbesteuerbetrug ergeben haben und ob einem Anfangsverdacht des Gewerbesteuerbetrugs durch Andrea Tandler im Rahmen polizeilicher oder staatsanwaltlicher Ermittlungen nachgegangen wurde?</w:t>
            </w:r>
          </w:p>
        </w:tc>
      </w:tr>
    </w:tbl>
    <w:p w:rsidR="00925EDE" w:rsidRDefault="00925EDE" w:rsidP="00925EDE">
      <w:pPr>
        <w:pStyle w:val="LTUeberschrAntwortRessort"/>
      </w:pPr>
      <w:r>
        <w:t>Antwort des Staatsministeriums der Justiz</w:t>
      </w:r>
    </w:p>
    <w:p w:rsidR="00925EDE" w:rsidRDefault="00925EDE" w:rsidP="00925EDE">
      <w:pPr>
        <w:pStyle w:val="LTAntwortRessortText"/>
      </w:pPr>
      <w:r>
        <w:t>Nach Auskunft</w:t>
      </w:r>
      <w:r w:rsidR="00761FF5">
        <w:t xml:space="preserve"> der Staatsanwaltschaft München </w:t>
      </w:r>
      <w:r w:rsidR="00D8582E">
        <w:t>I ist der angesprochene Sachver</w:t>
      </w:r>
      <w:r>
        <w:t>halt dort Gegenstand strafrechtlicher Ermittlungen. Die Ermittlungen dauern an. Nähere A</w:t>
      </w:r>
      <w:r w:rsidR="00761FF5">
        <w:t>ngaben können aufgrund des in § 30 </w:t>
      </w:r>
      <w:r>
        <w:t>Abgabenordnung geschützten Steuergeheimnisses nicht gemacht werden.</w:t>
      </w:r>
    </w:p>
    <w:p w:rsidR="00925EDE" w:rsidRDefault="00925EDE">
      <w:bookmarkStart w:id="35" w:name="Frage_Nr_17_Ende"/>
      <w:bookmarkEnd w:id="35"/>
      <w:r>
        <w:br w:type="page"/>
      </w:r>
    </w:p>
    <w:p w:rsidR="00925EDE" w:rsidRDefault="00925EDE" w:rsidP="00925EDE">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925EDE" w:rsidTr="007B0B33">
        <w:tc>
          <w:tcPr>
            <w:tcW w:w="2050" w:type="dxa"/>
          </w:tcPr>
          <w:p w:rsidR="00925EDE" w:rsidRDefault="00925EDE" w:rsidP="00925EDE">
            <w:pPr>
              <w:pStyle w:val="LTAnfrageInitiator"/>
            </w:pPr>
            <w:r>
              <w:t>Abgeordneter</w:t>
            </w:r>
            <w:r>
              <w:rPr>
                <w:b/>
              </w:rPr>
              <w:br/>
              <w:t>Maximilian</w:t>
            </w:r>
            <w:r>
              <w:rPr>
                <w:b/>
              </w:rPr>
              <w:br/>
              <w:t>Deisenhofer</w:t>
            </w:r>
            <w:r>
              <w:rPr>
                <w:b/>
              </w:rPr>
              <w:br/>
            </w:r>
            <w:r>
              <w:t>(BÜNDNIS 90/DIE GRÜNEN)</w:t>
            </w:r>
            <w:bookmarkStart w:id="36" w:name="Frage_Nr_18"/>
            <w:bookmarkEnd w:id="36"/>
          </w:p>
        </w:tc>
        <w:tc>
          <w:tcPr>
            <w:tcW w:w="7200" w:type="dxa"/>
          </w:tcPr>
          <w:p w:rsidR="00925EDE" w:rsidRDefault="008F08A2" w:rsidP="00925EDE">
            <w:pPr>
              <w:pStyle w:val="LTAnfrageText"/>
            </w:pPr>
            <w:r w:rsidRPr="00DC70A7">
              <w:t>Ich frage die Staatsregierung angesichts der Empfehlungen der Ständigen Impfkommission (STIKO) für eine Impfung für alle Kinder und Jugendlichen zwischen 12 und 17 Jahren und der Aufforderung an die Schulen, impfwilligen Schülerinnen bzw. Schülern nach Unterrichtsbeginn im Schuljahr 2021/2022 durch den Einsatz mobiler Impfteams ein Impfangebot zu unterbreiten, wie viele Schulen in Schwaben bislang von mobilen Impfteams aufgesucht wurden (bitte nach Stadt/Landkreis und Schulart aufschlüsseln), wie viele darüber hinaus bereits einen festen Termin für den Besuch eines mobilen Impfteams vereinbart haben (bitte nach Stadt/Landkreis und Schulart aufschlüsseln) und wie viele Jugendliche in Schwaben (in absoluten und relativen Zahlen) bislang Impfschutz (teilweise und vollständig) erlangt haben?</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Das Bayerische Staatsministerium für Gesundheit und Pflege (StMGP) hat zu den</w:t>
      </w:r>
      <w:r w:rsidR="00680EE6">
        <w:t xml:space="preserve"> </w:t>
      </w:r>
      <w:r>
        <w:t>aufgeworfenen Fragen Folgendes mitgeteilt:</w:t>
      </w:r>
      <w:r w:rsidR="00680EE6">
        <w:t xml:space="preserve"> </w:t>
      </w:r>
      <w:r>
        <w:t>Im Hinblick auf die Kampagne von Impfaktionen in Zusammenarbeit mit Schulen</w:t>
      </w:r>
      <w:r w:rsidR="00680EE6">
        <w:t xml:space="preserve"> </w:t>
      </w:r>
      <w:r>
        <w:t>über Reihenimpfungen in den Schulen oder im Impfzentrum ab Unterrichtsbeginn</w:t>
      </w:r>
      <w:r w:rsidR="00680EE6">
        <w:t xml:space="preserve"> </w:t>
      </w:r>
      <w:r>
        <w:t>führt das StMGP Erhebungen bei den Impfzentren durch. Um den Gesamterfolg der</w:t>
      </w:r>
      <w:r w:rsidR="00680EE6">
        <w:t xml:space="preserve"> </w:t>
      </w:r>
      <w:r>
        <w:t>Kampagne zu evaluieren, werden hier unter anderem die Zahlen der durchgeführten</w:t>
      </w:r>
      <w:r w:rsidR="00680EE6">
        <w:t xml:space="preserve"> </w:t>
      </w:r>
      <w:r>
        <w:t>und geplanten Impfaktionen, für die jeweiligen Impfzentren, Regierungsbezirke und</w:t>
      </w:r>
      <w:r w:rsidR="00680EE6">
        <w:t xml:space="preserve"> </w:t>
      </w:r>
      <w:r>
        <w:t>bayernweit erhoben. Dagegen werden die einzelnen Schulen, die das Impfangebot</w:t>
      </w:r>
      <w:r w:rsidR="00680EE6">
        <w:t xml:space="preserve"> </w:t>
      </w:r>
      <w:r>
        <w:t>wahrgenommen haben, und deren Schulart, nicht erhoben; angesichts einer Reihe</w:t>
      </w:r>
      <w:r w:rsidR="00680EE6">
        <w:t xml:space="preserve"> </w:t>
      </w:r>
      <w:r>
        <w:t>durchgeführter Abfragen zu händisch zu erfassenden Daten erfolgt seitens des</w:t>
      </w:r>
      <w:r w:rsidR="00680EE6">
        <w:t xml:space="preserve"> </w:t>
      </w:r>
      <w:r>
        <w:t>StMGP eine Orientierung am Verhältnismäßigkeitsgrundsatz. Die Art der Durchführung</w:t>
      </w:r>
      <w:r w:rsidR="00680EE6">
        <w:t xml:space="preserve"> </w:t>
      </w:r>
      <w:r>
        <w:t>und die Terminierung wird zwischen Schulen und Impfzentren vor Ort abgestimmt.</w:t>
      </w:r>
    </w:p>
    <w:p w:rsidR="00925EDE" w:rsidRDefault="00925EDE" w:rsidP="00925EDE">
      <w:pPr>
        <w:pStyle w:val="LTAntwortRessortText"/>
      </w:pPr>
      <w:r>
        <w:t>Insoweit wurde au</w:t>
      </w:r>
      <w:r w:rsidR="00C757A4">
        <w:t>s Schwaben wie folgt berichtet –</w:t>
      </w:r>
      <w:r>
        <w:t xml:space="preserve"> häufig sind angesichts des Fortschritts</w:t>
      </w:r>
      <w:r w:rsidR="00330039">
        <w:t xml:space="preserve"> </w:t>
      </w:r>
      <w:r>
        <w:t>der Kampagne keine weiteren Aktionen mehr geplant (Aktueller Stand vom</w:t>
      </w:r>
      <w:r w:rsidR="00330039">
        <w:t xml:space="preserve"> </w:t>
      </w:r>
      <w:r>
        <w:t>02.12.2021):</w:t>
      </w:r>
    </w:p>
    <w:p w:rsidR="00925EDE" w:rsidRDefault="00925EDE" w:rsidP="00925EDE">
      <w:pPr>
        <w:pStyle w:val="LTAntwortRessortText"/>
      </w:pPr>
      <w:r>
        <w:t>Aichach-Friedberg: 2 Impfaktionen am Impfzentrum</w:t>
      </w:r>
      <w:r w:rsidR="00330039">
        <w:t xml:space="preserve"> </w:t>
      </w:r>
    </w:p>
    <w:p w:rsidR="00925EDE" w:rsidRDefault="00925EDE" w:rsidP="001B419F">
      <w:pPr>
        <w:pStyle w:val="LTAntwortRessortText"/>
        <w:spacing w:before="0"/>
      </w:pPr>
      <w:r>
        <w:t xml:space="preserve">Augsburg Stadt: Impfaktionen </w:t>
      </w:r>
      <w:r w:rsidR="00330039">
        <w:t>an 9 Schulen, 4 weitere geplant</w:t>
      </w:r>
    </w:p>
    <w:p w:rsidR="00925EDE" w:rsidRDefault="00925EDE" w:rsidP="001B419F">
      <w:pPr>
        <w:pStyle w:val="LTAntwortRessortText"/>
        <w:spacing w:before="0"/>
      </w:pPr>
      <w:r>
        <w:t>Augsburg Land: Eine Tour zu Schulen mit angemeldetem Bedarf</w:t>
      </w:r>
    </w:p>
    <w:p w:rsidR="00925EDE" w:rsidRDefault="00925EDE" w:rsidP="001B419F">
      <w:pPr>
        <w:pStyle w:val="LTAntwortRessortText"/>
        <w:spacing w:before="0"/>
      </w:pPr>
      <w:r>
        <w:t>Dillingen: Impfaktionen in 9 Schulen</w:t>
      </w:r>
    </w:p>
    <w:p w:rsidR="00925EDE" w:rsidRDefault="00925EDE" w:rsidP="001B419F">
      <w:pPr>
        <w:pStyle w:val="LTAntwortRessortText"/>
        <w:spacing w:before="0"/>
      </w:pPr>
      <w:r>
        <w:t>Donau-Ries: 8 Impfaktionen an den Berufsschulen und im Impfzentrum</w:t>
      </w:r>
    </w:p>
    <w:p w:rsidR="00925EDE" w:rsidRDefault="00925EDE" w:rsidP="001B419F">
      <w:pPr>
        <w:pStyle w:val="LTAntwortRessortText"/>
        <w:spacing w:before="0"/>
      </w:pPr>
      <w:r>
        <w:t>Günzburg: 6 Impfaktionen in Schulen</w:t>
      </w:r>
    </w:p>
    <w:p w:rsidR="00925EDE" w:rsidRDefault="00925EDE" w:rsidP="001B419F">
      <w:pPr>
        <w:pStyle w:val="LTAntwortRessortText"/>
        <w:spacing w:before="0"/>
      </w:pPr>
      <w:r>
        <w:t>Lindau: 4 Impfaktionen im Impfzentrum</w:t>
      </w:r>
    </w:p>
    <w:p w:rsidR="00925EDE" w:rsidRDefault="00925EDE" w:rsidP="001B419F">
      <w:pPr>
        <w:pStyle w:val="LTAntwortRessortText"/>
        <w:spacing w:before="0"/>
      </w:pPr>
      <w:r>
        <w:t>Memmingen: wöchentlich Impfaktionen im Impfzentrum (Schüler- bzw. Kinderimpfnachmittag)</w:t>
      </w:r>
    </w:p>
    <w:p w:rsidR="00925EDE" w:rsidRDefault="00925EDE" w:rsidP="001B419F">
      <w:pPr>
        <w:pStyle w:val="LTAntwortRessortText"/>
        <w:spacing w:before="0"/>
      </w:pPr>
      <w:r>
        <w:t>Neu-Ulm: 30 Aktionen an Schulen (Impfbuseinsatz), noch 22 Einsätze geplant</w:t>
      </w:r>
    </w:p>
    <w:p w:rsidR="00925EDE" w:rsidRDefault="00925EDE" w:rsidP="001B419F">
      <w:pPr>
        <w:pStyle w:val="LTAntwortRessortText"/>
        <w:spacing w:before="0"/>
      </w:pPr>
      <w:r>
        <w:t>Oberallgäu: 3 Impfaktionen</w:t>
      </w:r>
    </w:p>
    <w:p w:rsidR="00925EDE" w:rsidRDefault="00925EDE" w:rsidP="001B419F">
      <w:pPr>
        <w:pStyle w:val="LTAntwortRessortText"/>
        <w:spacing w:before="0"/>
      </w:pPr>
      <w:r>
        <w:t>Unterallgäu: mittwochs Kindersprechstunde</w:t>
      </w:r>
    </w:p>
    <w:p w:rsidR="00925EDE" w:rsidRDefault="00925EDE" w:rsidP="00925EDE">
      <w:pPr>
        <w:pStyle w:val="LTAntwortRessortText"/>
      </w:pPr>
      <w:r>
        <w:t>Laut Daten des Bayerischen Landesamts für Statistik gab es zum 31.12.2020</w:t>
      </w:r>
      <w:r w:rsidR="008B5612">
        <w:t> 105 </w:t>
      </w:r>
      <w:r w:rsidR="00C757A4">
        <w:t>342 </w:t>
      </w:r>
      <w:r>
        <w:t>Kinder und Jugendliche im Alter von 12 bis 17 Jahren in Schwaben. In</w:t>
      </w:r>
      <w:r w:rsidR="00330039">
        <w:t xml:space="preserve"> </w:t>
      </w:r>
      <w:r>
        <w:t>Schwaben wurden bisher laut den Daten de</w:t>
      </w:r>
      <w:r w:rsidR="008B5612">
        <w:t>s RKI (Stand 06.12.2021) 51 </w:t>
      </w:r>
      <w:r w:rsidR="00C757A4">
        <w:t>699 </w:t>
      </w:r>
      <w:r>
        <w:t>Kinder</w:t>
      </w:r>
      <w:r w:rsidR="00330039">
        <w:t xml:space="preserve"> </w:t>
      </w:r>
      <w:r>
        <w:t>und Jug</w:t>
      </w:r>
      <w:r w:rsidR="00C757A4">
        <w:t>endliche im Alter von 12 bis 17 </w:t>
      </w:r>
      <w:r>
        <w:t xml:space="preserve">Jahren und damit bezogen </w:t>
      </w:r>
      <w:r>
        <w:lastRenderedPageBreak/>
        <w:t>auf die Einwohner</w:t>
      </w:r>
      <w:r w:rsidR="00330039">
        <w:t xml:space="preserve"> </w:t>
      </w:r>
      <w:r>
        <w:t>in diesem Alter rd. 49,1</w:t>
      </w:r>
      <w:r w:rsidR="00C757A4">
        <w:t> </w:t>
      </w:r>
      <w:r w:rsidR="003439F1">
        <w:t>Prozent</w:t>
      </w:r>
      <w:r w:rsidR="008B5612">
        <w:t xml:space="preserve"> mindestens einmal und 42 </w:t>
      </w:r>
      <w:r>
        <w:t>301, d.</w:t>
      </w:r>
      <w:r w:rsidR="008B5612">
        <w:t> </w:t>
      </w:r>
      <w:r>
        <w:t>h. rd. 40,2</w:t>
      </w:r>
      <w:r w:rsidR="00C757A4">
        <w:t> </w:t>
      </w:r>
      <w:r w:rsidR="003439F1">
        <w:t>Prozent</w:t>
      </w:r>
      <w:r>
        <w:t>, vollständig</w:t>
      </w:r>
      <w:r w:rsidR="00330039">
        <w:t xml:space="preserve"> </w:t>
      </w:r>
      <w:r>
        <w:t>geimpft. (Anmerkung: Die Regionale Zuordnung von Impfungen erfolgt nach der PLZ</w:t>
      </w:r>
      <w:r w:rsidR="00330039">
        <w:t xml:space="preserve"> </w:t>
      </w:r>
      <w:r>
        <w:t>der impfenden Stelle und nicht nach dem Wohnort der Geimpften.)</w:t>
      </w:r>
    </w:p>
    <w:p w:rsidR="00925EDE" w:rsidRDefault="00925EDE" w:rsidP="00925EDE">
      <w:pPr>
        <w:pStyle w:val="LTAntwortRessortText"/>
      </w:pPr>
      <w:r>
        <w:t>Eine Abfrage an den Schulen bzw. Schulaufsichtsbehörden zu durchgeführten bzw.</w:t>
      </w:r>
      <w:r w:rsidR="00330039">
        <w:t xml:space="preserve"> </w:t>
      </w:r>
      <w:r>
        <w:t>geplanten Impfaktionen durch das Staatsministerium für Unterricht und Kultus erfolgte</w:t>
      </w:r>
      <w:r w:rsidR="00330039">
        <w:t xml:space="preserve"> </w:t>
      </w:r>
      <w:r>
        <w:t>aufgrund des damit für die Schulen und Schulaufsichtsbehörden verbundenen</w:t>
      </w:r>
      <w:r w:rsidR="00330039">
        <w:t xml:space="preserve"> </w:t>
      </w:r>
      <w:r>
        <w:t>erheblichen Verwaltungsaufwands nicht.</w:t>
      </w:r>
    </w:p>
    <w:p w:rsidR="00925EDE" w:rsidRDefault="00925EDE">
      <w:bookmarkStart w:id="37" w:name="Frage_Nr_18_Ende"/>
      <w:bookmarkEnd w:id="3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925EDE" w:rsidTr="007B0B33">
        <w:tc>
          <w:tcPr>
            <w:tcW w:w="2050" w:type="dxa"/>
          </w:tcPr>
          <w:p w:rsidR="00925EDE" w:rsidRDefault="00925EDE" w:rsidP="00925EDE">
            <w:pPr>
              <w:pStyle w:val="LTAnfrageInitiator"/>
            </w:pPr>
            <w:r>
              <w:lastRenderedPageBreak/>
              <w:t>Abgeordneter</w:t>
            </w:r>
            <w:r>
              <w:rPr>
                <w:b/>
              </w:rPr>
              <w:br/>
              <w:t>Thomas</w:t>
            </w:r>
            <w:r>
              <w:rPr>
                <w:b/>
              </w:rPr>
              <w:br/>
              <w:t>Gehring</w:t>
            </w:r>
            <w:r>
              <w:rPr>
                <w:b/>
              </w:rPr>
              <w:br/>
            </w:r>
            <w:r>
              <w:t>(BÜNDNIS 90/DIE GRÜNEN)</w:t>
            </w:r>
            <w:bookmarkStart w:id="38" w:name="Frage_Nr_19"/>
            <w:bookmarkEnd w:id="38"/>
          </w:p>
        </w:tc>
        <w:tc>
          <w:tcPr>
            <w:tcW w:w="7200" w:type="dxa"/>
          </w:tcPr>
          <w:p w:rsidR="00925EDE" w:rsidRDefault="00690A87" w:rsidP="00925EDE">
            <w:pPr>
              <w:pStyle w:val="LTAnfrageText"/>
            </w:pPr>
            <w:r w:rsidRPr="00DC70A7">
              <w:t>Ich frage die Staatsregierung, wie sie die Durchsetzung der Schulpflicht umsetzen kann, ohne selbst genaue Kenntnis der Anzahl aller Schülerinnen bzw. Schülern zu haben, die zum Teil seit Schuljahresbeginn aufgrund Testverweigerung nicht zum Unterricht erscheinen, wie sie ab sofort sicherstellen kann, evtl. durch entsprechende Unterstützung der Schulleitungen, dass Kinder keine gefälschten Testergebnisse und Atteste mehr in den Schulen vorlegen und wie die Staatsregierung ihrer Verantwortung nachkommt, für diese Schülerinnen und Schüler sicherzustellen, dass sie entsprechend dem Lehrplan lernen und in ihrer sozialen Entwicklung gefördert werden, sodass der in der Verfassung verankerte Erziehungs- und Bildungsauftrag der Schulen (Artikel 1 Bayerisches Gesetz über das Erziehungs- und Unterrichtswesen–BayEUG) verwirklicht wird?</w:t>
            </w:r>
            <w:r>
              <w:rPr>
                <w:sz w:val="24"/>
                <w:szCs w:val="24"/>
              </w:rPr>
              <w:t xml:space="preserve"> </w:t>
            </w:r>
          </w:p>
        </w:tc>
      </w:tr>
    </w:tbl>
    <w:p w:rsidR="00925EDE" w:rsidRDefault="00925EDE" w:rsidP="008B5612">
      <w:pPr>
        <w:pStyle w:val="LTUeberschrAntwortRessort"/>
        <w:spacing w:before="720"/>
      </w:pPr>
      <w:r>
        <w:t>Antwort des Staatsministeriums für Unterricht und Kultus</w:t>
      </w:r>
    </w:p>
    <w:p w:rsidR="00925EDE" w:rsidRDefault="00925EDE" w:rsidP="00925EDE">
      <w:pPr>
        <w:pStyle w:val="LTAntwortRessortText"/>
      </w:pPr>
      <w:r>
        <w:t>Die Schulleiterin oder der Schulleiter ist für einen geordneten Schulbetrieb</w:t>
      </w:r>
      <w:r w:rsidR="007E3CD6">
        <w:t xml:space="preserve"> </w:t>
      </w:r>
      <w:r>
        <w:t>und Unterricht, gemeinsam mit den Lehrkräften für die Bildung und</w:t>
      </w:r>
      <w:r w:rsidR="007E3CD6">
        <w:t xml:space="preserve"> </w:t>
      </w:r>
      <w:r>
        <w:t>Erziehung der Schülerinnen und Schüler sowie für die Überwachung der</w:t>
      </w:r>
      <w:r w:rsidR="007E3CD6">
        <w:t xml:space="preserve"> </w:t>
      </w:r>
      <w:r>
        <w:t>Schulpflicht verantwortl</w:t>
      </w:r>
      <w:r w:rsidR="009F1C1F">
        <w:t>ich (vgl. Art. 57 Abs. 2 Satz 1 Halbsatz </w:t>
      </w:r>
      <w:r>
        <w:t>1 des</w:t>
      </w:r>
      <w:r w:rsidR="007E3CD6">
        <w:t xml:space="preserve"> </w:t>
      </w:r>
      <w:r>
        <w:t>Bayerischen Gesetzes über das Er</w:t>
      </w:r>
      <w:r w:rsidR="009F1C1F">
        <w:t>ziehungs- und Unterrichtswesen –</w:t>
      </w:r>
      <w:r w:rsidR="007E3CD6">
        <w:t xml:space="preserve"> </w:t>
      </w:r>
      <w:r>
        <w:t>BayEUG). Die Schüleri</w:t>
      </w:r>
      <w:r w:rsidR="009F1C1F">
        <w:t>nnen und Schüler sind nach Art. 56 Abs. 4 Satz </w:t>
      </w:r>
      <w:r>
        <w:t>3</w:t>
      </w:r>
      <w:r w:rsidR="009F1C1F">
        <w:t> </w:t>
      </w:r>
      <w:r>
        <w:t>BayEUG verpflichtet, am Unterricht regelmäßig teilzunehmen und die</w:t>
      </w:r>
      <w:r w:rsidR="007E3CD6">
        <w:t xml:space="preserve"> </w:t>
      </w:r>
      <w:r>
        <w:t>sonstigen verbindlichen Schulveranstaltungen zu besuchen. Die Erziehungsberechtigten</w:t>
      </w:r>
      <w:r w:rsidR="007E3CD6">
        <w:t xml:space="preserve"> </w:t>
      </w:r>
      <w:r w:rsidR="009F1C1F">
        <w:t>haben gemäß Art. 76 Satz 2 </w:t>
      </w:r>
      <w:r>
        <w:t>BayEUG dafür zu sorgen, dass minderjährige Schulpflichtige</w:t>
      </w:r>
      <w:r w:rsidR="007E3CD6">
        <w:t xml:space="preserve"> </w:t>
      </w:r>
      <w:r>
        <w:t>am Unterricht regelmäßig teilnehmen und die sonstigen verbindlichen</w:t>
      </w:r>
      <w:r w:rsidR="007E3CD6">
        <w:t xml:space="preserve"> </w:t>
      </w:r>
      <w:r>
        <w:t>Schulveranstaltungen besuchen.</w:t>
      </w:r>
      <w:r w:rsidR="007E3CD6">
        <w:t xml:space="preserve"> </w:t>
      </w:r>
      <w:r w:rsidR="009F1C1F">
        <w:t>Nach Art. 90 Satz 3 </w:t>
      </w:r>
      <w:r>
        <w:t>BayEUG gelten die Bestimmungen über die Schulpflicht auch für</w:t>
      </w:r>
      <w:r w:rsidR="007E3CD6">
        <w:t xml:space="preserve"> </w:t>
      </w:r>
      <w:r>
        <w:t>Ersatzschulen und für Ergänzungsschulen, an denen die Schulpflicht erfüllt werden</w:t>
      </w:r>
      <w:r w:rsidR="007E3CD6">
        <w:t xml:space="preserve"> </w:t>
      </w:r>
      <w:r>
        <w:t>kann. I</w:t>
      </w:r>
      <w:r w:rsidR="009F1C1F">
        <w:t>nsbesondere finden demnach Art. 56 Abs. 4 </w:t>
      </w:r>
      <w:r>
        <w:t>S</w:t>
      </w:r>
      <w:r w:rsidR="009F1C1F">
        <w:t>atz 3 und Art. 76 Satz 2 </w:t>
      </w:r>
      <w:r>
        <w:t>BayEUG</w:t>
      </w:r>
      <w:r w:rsidR="007E3CD6">
        <w:t xml:space="preserve"> </w:t>
      </w:r>
      <w:r>
        <w:t>Anwendung. Auch Ersatzschulen und Ergänzungsschulen, an denen die Schulpflicht</w:t>
      </w:r>
      <w:r w:rsidR="007E3CD6">
        <w:t xml:space="preserve"> </w:t>
      </w:r>
      <w:r>
        <w:t>erfüllt werden kann, sind daher zur Überwachung der Schulpflicht und zur Ergreifung</w:t>
      </w:r>
      <w:r w:rsidR="007E3CD6">
        <w:t xml:space="preserve"> </w:t>
      </w:r>
      <w:r>
        <w:t>geeigneter Maßnahmen zur Durchsetzung der Schulpflicht verpflichtet.</w:t>
      </w:r>
      <w:r w:rsidR="007E3CD6">
        <w:t xml:space="preserve"> </w:t>
      </w:r>
      <w:r>
        <w:t>Da die Testobliegenheit als Voraussetzung des Schulbesuchs rechtmäßig und insbesondere</w:t>
      </w:r>
      <w:r w:rsidR="007E3CD6">
        <w:t xml:space="preserve"> </w:t>
      </w:r>
      <w:r>
        <w:t>verhältnismäßig ist, kann die Verweigerung, an Testungen teilzunehmen,</w:t>
      </w:r>
      <w:r w:rsidR="007E3CD6">
        <w:t xml:space="preserve"> </w:t>
      </w:r>
      <w:r>
        <w:t>die Verletzung der Schul(besuchs)pflicht weder rechtfertigen noch einen Entschuldigungsgrund</w:t>
      </w:r>
      <w:r w:rsidR="007E3CD6">
        <w:t xml:space="preserve"> </w:t>
      </w:r>
      <w:r>
        <w:t>darstellen.</w:t>
      </w:r>
      <w:r w:rsidR="007E3CD6">
        <w:t xml:space="preserve"> </w:t>
      </w:r>
      <w:r>
        <w:t>Verstöße gegen die Schulpfli</w:t>
      </w:r>
      <w:r w:rsidR="009F1C1F">
        <w:t>cht können gemäß Art. 119 </w:t>
      </w:r>
      <w:r>
        <w:t>BayEUG als Ordnungswidrigkeit</w:t>
      </w:r>
      <w:r w:rsidR="007E3CD6">
        <w:t xml:space="preserve"> </w:t>
      </w:r>
      <w:r>
        <w:t>geahndet werden.</w:t>
      </w:r>
      <w:r w:rsidR="007E3CD6">
        <w:t xml:space="preserve"> </w:t>
      </w:r>
      <w:r>
        <w:t>Vor diesem Hintergrund wird davon ausgegangen, dass die Schulpflicht umfassend</w:t>
      </w:r>
      <w:r w:rsidR="007E3CD6">
        <w:t xml:space="preserve"> </w:t>
      </w:r>
      <w:r>
        <w:t>überwacht und auf deren Einhaltung hingewirkt wird. Von einer Abfrage bei sämtlichen</w:t>
      </w:r>
      <w:r w:rsidR="007E3CD6">
        <w:t xml:space="preserve"> </w:t>
      </w:r>
      <w:r>
        <w:t>Schulen wurde zur Vermeidung des sonst entstehenden, erheblichen zusätzlichen</w:t>
      </w:r>
      <w:r w:rsidR="007E3CD6">
        <w:t xml:space="preserve"> </w:t>
      </w:r>
      <w:r>
        <w:t>Verwaltungsaufwands für die ohnehin stark belasteten Schulen abgesehen.</w:t>
      </w:r>
    </w:p>
    <w:p w:rsidR="00925EDE" w:rsidRDefault="00925EDE" w:rsidP="00925EDE">
      <w:pPr>
        <w:pStyle w:val="LTAntwortRessortText"/>
      </w:pPr>
      <w:r>
        <w:t>Die Staatsregierung kann nicht verhindern, dass in Schulen oder bei anderen Behörden</w:t>
      </w:r>
      <w:r w:rsidR="007E3CD6">
        <w:t xml:space="preserve"> </w:t>
      </w:r>
      <w:r>
        <w:t>gefälschte Testergebnisse und Atteste vorgelegt werden.</w:t>
      </w:r>
      <w:r w:rsidR="007E3CD6">
        <w:t xml:space="preserve"> </w:t>
      </w:r>
      <w:r>
        <w:t>Allerdings haben Schulleitungen die Möglichkeit, offenkundige Fälschungen als zum</w:t>
      </w:r>
      <w:r w:rsidR="007E3CD6">
        <w:t xml:space="preserve"> </w:t>
      </w:r>
      <w:r>
        <w:t>Nachweis des behaupteten Umstands ungeeignet zurückzuweisen. Sofern Zweifel</w:t>
      </w:r>
      <w:r w:rsidR="007E3CD6">
        <w:t xml:space="preserve"> </w:t>
      </w:r>
      <w:r>
        <w:t>an der Richtigkeit des behaupteten Umstands oder der Echtheit der vorgelegten Urkunde</w:t>
      </w:r>
      <w:r w:rsidR="007E3CD6">
        <w:t xml:space="preserve"> </w:t>
      </w:r>
      <w:r>
        <w:t xml:space="preserve">bestehen, kann diese von den Schulleitungen </w:t>
      </w:r>
      <w:r w:rsidR="003439F1">
        <w:t>z. B.</w:t>
      </w:r>
      <w:r>
        <w:t xml:space="preserve"> an die zuständige Kreisverwaltungsbehörde</w:t>
      </w:r>
      <w:r w:rsidR="007E3CD6">
        <w:t xml:space="preserve"> </w:t>
      </w:r>
      <w:r>
        <w:t>oder dem Ärztlichen Kreisverband zur Prüfung weitergeleitet werden,</w:t>
      </w:r>
      <w:r w:rsidR="007E3CD6">
        <w:t xml:space="preserve"> </w:t>
      </w:r>
      <w:r w:rsidR="009F1C1F">
        <w:lastRenderedPageBreak/>
        <w:t>vgl. </w:t>
      </w:r>
      <w:r w:rsidR="003439F1">
        <w:t>z. B.</w:t>
      </w:r>
      <w:r w:rsidR="009F1C1F">
        <w:t> § 20 Abs. </w:t>
      </w:r>
      <w:r>
        <w:t>2 Bayeri</w:t>
      </w:r>
      <w:r w:rsidR="009F1C1F">
        <w:t>sche Schulordnung und Abschnitt III Ziffer 6.1 </w:t>
      </w:r>
      <w:r>
        <w:t>Rahmenhygieneplan</w:t>
      </w:r>
      <w:r w:rsidR="007E3CD6">
        <w:t xml:space="preserve"> </w:t>
      </w:r>
      <w:r>
        <w:t>für Schulen, Stand 11.11.2021.</w:t>
      </w:r>
      <w:r w:rsidR="007E3CD6">
        <w:t xml:space="preserve"> </w:t>
      </w:r>
      <w:r>
        <w:t>Wie aufgezeigt, sind die Schulen über die Möglichkeiten der Zurückweisung sowie</w:t>
      </w:r>
      <w:r w:rsidR="007E3CD6">
        <w:t xml:space="preserve"> </w:t>
      </w:r>
      <w:r>
        <w:t>der Prüfung und die dafür zuständigen Stellen informiert.</w:t>
      </w:r>
      <w:r w:rsidR="007E3CD6">
        <w:t xml:space="preserve"> </w:t>
      </w:r>
      <w:r>
        <w:t>Der in der Verfassung verankerte Erziehungs- und Bildungsauftrag wird durch den</w:t>
      </w:r>
      <w:r w:rsidR="007E3CD6">
        <w:t xml:space="preserve"> </w:t>
      </w:r>
      <w:r>
        <w:t>Schulbesuch und die Teilnahme am Unterricht und den sonstigen verbindlichen</w:t>
      </w:r>
      <w:r w:rsidR="007E3CD6">
        <w:t xml:space="preserve"> </w:t>
      </w:r>
      <w:r>
        <w:t>Schulveranstaltungen erfüllt.</w:t>
      </w:r>
    </w:p>
    <w:p w:rsidR="00925EDE" w:rsidRDefault="00925EDE">
      <w:bookmarkStart w:id="39" w:name="Frage_Nr_19_Ende"/>
      <w:bookmarkEnd w:id="3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25EDE" w:rsidTr="007B0B33">
        <w:tc>
          <w:tcPr>
            <w:tcW w:w="2050" w:type="dxa"/>
          </w:tcPr>
          <w:p w:rsidR="00925EDE" w:rsidRDefault="00925EDE" w:rsidP="00925EDE">
            <w:pPr>
              <w:pStyle w:val="LTAnfrageInitiator"/>
            </w:pPr>
            <w:r>
              <w:lastRenderedPageBreak/>
              <w:t>Abgeordnete</w:t>
            </w:r>
            <w:r>
              <w:rPr>
                <w:b/>
              </w:rPr>
              <w:br/>
              <w:t>Christina</w:t>
            </w:r>
            <w:r>
              <w:rPr>
                <w:b/>
              </w:rPr>
              <w:br/>
              <w:t>Haubrich</w:t>
            </w:r>
            <w:r>
              <w:rPr>
                <w:b/>
              </w:rPr>
              <w:br/>
            </w:r>
            <w:r>
              <w:t>(BÜNDNIS 90/DIE GRÜNEN)</w:t>
            </w:r>
            <w:bookmarkStart w:id="40" w:name="Frage_Nr_20"/>
            <w:bookmarkEnd w:id="40"/>
          </w:p>
        </w:tc>
        <w:tc>
          <w:tcPr>
            <w:tcW w:w="7200" w:type="dxa"/>
          </w:tcPr>
          <w:p w:rsidR="00925EDE" w:rsidRDefault="00863A37" w:rsidP="00925EDE">
            <w:pPr>
              <w:pStyle w:val="LTAnfrageText"/>
            </w:pPr>
            <w:r w:rsidRPr="00DC70A7">
              <w:t>Ich frage die Staatsregierung, wie viele Schülerinnen und Schüler in Schwaben derzeit nicht am Unterricht teilnehmen, weil sie bzw. ihre Eltern die verpflichtenden Tests nicht durchführen wollen, wie viele Bußgelder in diesem Zusammenhang bislang von bayerischen Landratsämtern gegen Eltern verhängt wurden und wie viele Fälle von ungültigen ärztlichen Attesten über eine Genesung, eine Befreiung von der Masken- oder Testpflicht der Staatsregierung bekannt sind?</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Bezüglich der Frage, wie viele Schülerinnen und Schüler aktuell aufgrund von Testverweigerung</w:t>
      </w:r>
      <w:r w:rsidR="004859F1">
        <w:t xml:space="preserve"> </w:t>
      </w:r>
      <w:r>
        <w:t>nicht am Präsenzunterricht teilnehmen, wird Folgendes mitgeteilt:</w:t>
      </w:r>
      <w:r w:rsidR="004859F1">
        <w:t xml:space="preserve"> </w:t>
      </w:r>
      <w:r>
        <w:t>Die vom Staatsministerium für Unterricht und Kultus (StMUK) regelmäßig erhobenen</w:t>
      </w:r>
      <w:r w:rsidR="004859F1">
        <w:t xml:space="preserve"> </w:t>
      </w:r>
      <w:r>
        <w:t>unterrichtsorganisatorischen Daten weisen den Anteil der Schülerinnen und Schüler</w:t>
      </w:r>
      <w:r w:rsidR="004859F1">
        <w:t xml:space="preserve"> </w:t>
      </w:r>
      <w:r>
        <w:t>aus, die aus coronabedingten Gründen nicht am Präsenzunterricht teilnehmen. Dabei</w:t>
      </w:r>
      <w:r w:rsidR="004859F1">
        <w:t xml:space="preserve"> </w:t>
      </w:r>
      <w:r>
        <w:t>werden drei Kategorien von Abwesenheitsgründen erfasst:</w:t>
      </w:r>
    </w:p>
    <w:p w:rsidR="00925EDE" w:rsidRDefault="00925EDE" w:rsidP="004859F1">
      <w:pPr>
        <w:pStyle w:val="LTAntwortRessortText"/>
        <w:numPr>
          <w:ilvl w:val="0"/>
          <w:numId w:val="25"/>
        </w:numPr>
      </w:pPr>
      <w:r>
        <w:t xml:space="preserve">Abwesenheit aufgrund eines positiven </w:t>
      </w:r>
      <w:r w:rsidR="003439F1">
        <w:t>COVID</w:t>
      </w:r>
      <w:r>
        <w:t>-19-Tests;</w:t>
      </w:r>
    </w:p>
    <w:p w:rsidR="00925EDE" w:rsidRDefault="00925EDE" w:rsidP="000E46FE">
      <w:pPr>
        <w:pStyle w:val="LTAntwortRessortText"/>
        <w:numPr>
          <w:ilvl w:val="0"/>
          <w:numId w:val="25"/>
        </w:numPr>
        <w:spacing w:before="0"/>
        <w:ind w:left="1054" w:hanging="357"/>
      </w:pPr>
      <w:r>
        <w:t>Abwesenheit aufgrund einer Quarantäneanordnung des Gesundheitsamts;</w:t>
      </w:r>
      <w:r w:rsidR="004859F1">
        <w:t xml:space="preserve"> </w:t>
      </w:r>
    </w:p>
    <w:p w:rsidR="00925EDE" w:rsidRDefault="00925EDE" w:rsidP="000E46FE">
      <w:pPr>
        <w:pStyle w:val="LTAntwortRessortText"/>
        <w:numPr>
          <w:ilvl w:val="0"/>
          <w:numId w:val="25"/>
        </w:numPr>
        <w:spacing w:before="0"/>
        <w:ind w:left="1054" w:hanging="357"/>
      </w:pPr>
      <w:r>
        <w:t>Abwesenheit aufgrund</w:t>
      </w:r>
    </w:p>
    <w:p w:rsidR="00925EDE" w:rsidRDefault="00925EDE" w:rsidP="000E46FE">
      <w:pPr>
        <w:pStyle w:val="LTAntwortRessortText"/>
        <w:numPr>
          <w:ilvl w:val="0"/>
          <w:numId w:val="27"/>
        </w:numPr>
        <w:spacing w:before="0"/>
        <w:ind w:left="1378" w:hanging="357"/>
      </w:pPr>
      <w:r>
        <w:t>ärztlichen Attests (mit Corona-Bezug) oder</w:t>
      </w:r>
    </w:p>
    <w:p w:rsidR="00925EDE" w:rsidRDefault="0075176A" w:rsidP="000E46FE">
      <w:pPr>
        <w:pStyle w:val="LTAntwortRessortText"/>
        <w:numPr>
          <w:ilvl w:val="0"/>
          <w:numId w:val="27"/>
        </w:numPr>
        <w:spacing w:before="0"/>
        <w:ind w:left="1378" w:hanging="357"/>
      </w:pPr>
      <w:r>
        <w:t>Beurlaubung im Einzelfall gemäß § </w:t>
      </w:r>
      <w:r w:rsidR="00925EDE">
        <w:t>20 Bayerische Schulordnung</w:t>
      </w:r>
      <w:r>
        <w:t xml:space="preserve"> </w:t>
      </w:r>
      <w:r w:rsidR="00925EDE">
        <w:t>(BaySchO) oder</w:t>
      </w:r>
    </w:p>
    <w:p w:rsidR="00925EDE" w:rsidRDefault="00925EDE" w:rsidP="000E46FE">
      <w:pPr>
        <w:pStyle w:val="LTAntwortRessortText"/>
        <w:numPr>
          <w:ilvl w:val="0"/>
          <w:numId w:val="27"/>
        </w:numPr>
        <w:spacing w:before="0"/>
        <w:ind w:left="1378" w:hanging="357"/>
      </w:pPr>
      <w:r>
        <w:t>mangelnder Testbereitschaft.</w:t>
      </w:r>
    </w:p>
    <w:p w:rsidR="00925EDE" w:rsidRDefault="00925EDE" w:rsidP="00925EDE">
      <w:pPr>
        <w:pStyle w:val="LTAntwortRessortText"/>
      </w:pPr>
      <w:r>
        <w:t>Die Quote der Kategorie c) liegt gemäß Stand 06.12.2021 laut Meldung der Schulen</w:t>
      </w:r>
      <w:r w:rsidR="004859F1">
        <w:t xml:space="preserve"> </w:t>
      </w:r>
      <w:r>
        <w:t>für den Regierungsbezir</w:t>
      </w:r>
      <w:r w:rsidR="0075176A">
        <w:t>k Schwaben bei 0,17 </w:t>
      </w:r>
      <w:r w:rsidR="003439F1">
        <w:t>Prozent</w:t>
      </w:r>
      <w:r>
        <w:t xml:space="preserve"> der Schülerinnen und Schüler. Die</w:t>
      </w:r>
      <w:r w:rsidR="004859F1">
        <w:t xml:space="preserve"> </w:t>
      </w:r>
      <w:r>
        <w:t>angesprochene Gruppe der Schülerinnen und Schüler mit mangelnder Testbereitschaft</w:t>
      </w:r>
      <w:r w:rsidR="004859F1">
        <w:t xml:space="preserve"> </w:t>
      </w:r>
      <w:r>
        <w:t>ist eine Teilmenge der Kategorie c). Der Anteil der aufgrund mangelnder Testbereitschaft</w:t>
      </w:r>
      <w:r w:rsidR="004859F1">
        <w:t xml:space="preserve"> </w:t>
      </w:r>
      <w:r>
        <w:t>abwesender Schülerinnen und Schüler liegt somit unter den genannten</w:t>
      </w:r>
      <w:r w:rsidR="004859F1">
        <w:t xml:space="preserve"> </w:t>
      </w:r>
      <w:r w:rsidR="0075176A">
        <w:t>0,17 </w:t>
      </w:r>
      <w:r w:rsidR="003439F1">
        <w:t>Prozent</w:t>
      </w:r>
      <w:r>
        <w:t>. Generell ist der Anteil der Schülerinnen und Schüler in Kategorie c) im Vergleich</w:t>
      </w:r>
      <w:r w:rsidR="004859F1">
        <w:t xml:space="preserve"> </w:t>
      </w:r>
      <w:r>
        <w:t>zum letzten Schuljah</w:t>
      </w:r>
      <w:r w:rsidR="0075176A">
        <w:t>r deutlich gesunken; Mitte Juli </w:t>
      </w:r>
      <w:r>
        <w:t>2021 lag er in Schwaben</w:t>
      </w:r>
      <w:r w:rsidR="004859F1">
        <w:t xml:space="preserve"> </w:t>
      </w:r>
      <w:r w:rsidR="0075176A">
        <w:t>bei 1,19 </w:t>
      </w:r>
      <w:r w:rsidR="003439F1">
        <w:t>Prozent</w:t>
      </w:r>
      <w:r>
        <w:t>.</w:t>
      </w:r>
    </w:p>
    <w:p w:rsidR="00925EDE" w:rsidRDefault="00925EDE" w:rsidP="00925EDE">
      <w:pPr>
        <w:pStyle w:val="LTAntwortRessortText"/>
      </w:pPr>
      <w:r>
        <w:t>Der Staatsregierung liegt keine systematische Erfassung und Auswertung dahingehend</w:t>
      </w:r>
      <w:r w:rsidR="004859F1">
        <w:t xml:space="preserve"> </w:t>
      </w:r>
      <w:r>
        <w:t>vor, wie viele Bußgeldbescheide (in einer bestimmten Höhe) wegen Schulpflichtverletzung</w:t>
      </w:r>
      <w:r w:rsidR="004859F1">
        <w:t xml:space="preserve"> </w:t>
      </w:r>
      <w:r>
        <w:t>von den Kreisverwaltungsbehörden erlassen wurden. Eine systematische</w:t>
      </w:r>
      <w:r w:rsidR="004859F1">
        <w:t xml:space="preserve"> </w:t>
      </w:r>
      <w:r>
        <w:t>Erfassung der Anzahl ungültiger ärztlicher Atteste über eine Genesung, eine</w:t>
      </w:r>
      <w:r w:rsidR="004859F1">
        <w:t xml:space="preserve"> </w:t>
      </w:r>
      <w:r>
        <w:t>Befreiung von der Masken- oder Testpflicht erfolgt ebenfalls nicht.</w:t>
      </w:r>
      <w:r w:rsidR="004859F1">
        <w:t xml:space="preserve"> </w:t>
      </w:r>
      <w:r>
        <w:t>Auf eine Abfrage bei den einzelnen Schulen, Schulaufsichts- und Kreisverwaltungsbehörden</w:t>
      </w:r>
      <w:r w:rsidR="004859F1">
        <w:t xml:space="preserve"> </w:t>
      </w:r>
      <w:r>
        <w:t>wurde aufgrund des damit verbundenen hohen Verwaltungsaufwands für</w:t>
      </w:r>
      <w:r w:rsidR="004859F1">
        <w:t xml:space="preserve"> </w:t>
      </w:r>
      <w:r w:rsidR="0075176A">
        <w:t>diese –</w:t>
      </w:r>
      <w:r>
        <w:t xml:space="preserve"> gerade im Hinblick auf die erhebliche Be</w:t>
      </w:r>
      <w:r w:rsidR="0075176A">
        <w:t>anspruchung in dieser Pandemie –</w:t>
      </w:r>
      <w:r w:rsidR="004859F1">
        <w:t xml:space="preserve"> </w:t>
      </w:r>
      <w:r>
        <w:t>verzichtet.</w:t>
      </w:r>
    </w:p>
    <w:p w:rsidR="00925EDE" w:rsidRDefault="00925EDE">
      <w:bookmarkStart w:id="41" w:name="Frage_Nr_20_Ende"/>
      <w:bookmarkEnd w:id="4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925EDE" w:rsidTr="007B0B33">
        <w:tc>
          <w:tcPr>
            <w:tcW w:w="2050" w:type="dxa"/>
          </w:tcPr>
          <w:p w:rsidR="00925EDE" w:rsidRDefault="00925EDE" w:rsidP="00925EDE">
            <w:pPr>
              <w:pStyle w:val="LTAnfrageInitiator"/>
            </w:pPr>
            <w:r>
              <w:lastRenderedPageBreak/>
              <w:t>Abgeordneter</w:t>
            </w:r>
            <w:r>
              <w:rPr>
                <w:b/>
              </w:rPr>
              <w:br/>
              <w:t>Gerd</w:t>
            </w:r>
            <w:r>
              <w:rPr>
                <w:b/>
              </w:rPr>
              <w:br/>
              <w:t>Mannes</w:t>
            </w:r>
            <w:r>
              <w:rPr>
                <w:b/>
              </w:rPr>
              <w:br/>
            </w:r>
            <w:r>
              <w:t>(AfD)</w:t>
            </w:r>
            <w:bookmarkStart w:id="42" w:name="Frage_Nr_21"/>
            <w:bookmarkEnd w:id="42"/>
          </w:p>
        </w:tc>
        <w:tc>
          <w:tcPr>
            <w:tcW w:w="7200" w:type="dxa"/>
          </w:tcPr>
          <w:p w:rsidR="00925EDE" w:rsidRDefault="00A940AC" w:rsidP="00925EDE">
            <w:pPr>
              <w:pStyle w:val="LTAnfrageText"/>
            </w:pPr>
            <w:r w:rsidRPr="0067222C">
              <w:t>Ich frage die Staatsregierung, ob es stimmt, dass seit Ende November 2021 ungeimpfte, nicht genese Personen vom Besuch der KZ-Denkstätten Dachau und Flossenbürg ausgeschlossen sind, darunter ungeimpfte, nicht genese Schulkinder, für welche im Fachlehrplan der 9. Jahrgangsstufe des Gymnasiums eine verpflichtende Exkursion zu einer KZ-Gedenkstätte festgehalten ist, und ob die Staatsregierung darin eine Einschränkung der Erinnerungskultur an die Schrecken der NS-Herrschaft sieht?</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Die KZ-Gedenkstätten in Bayern orientieren sich strikt an den jeweils gültigen</w:t>
      </w:r>
      <w:r w:rsidR="00763EE4">
        <w:t xml:space="preserve"> </w:t>
      </w:r>
      <w:r>
        <w:t>Rechtsgrundlagen zur Bekämpfung des Coronavirus SARS-CoV-2 und stimmen sich</w:t>
      </w:r>
      <w:r w:rsidR="00763EE4">
        <w:t xml:space="preserve"> </w:t>
      </w:r>
      <w:r>
        <w:t>hierbei mit den jeweils regional zuständigen Gesundheitsämtern ab. Grundsätzlich</w:t>
      </w:r>
      <w:r w:rsidR="00763EE4">
        <w:t xml:space="preserve"> </w:t>
      </w:r>
      <w:r>
        <w:t>gilt, dass sich die Schulen bei Exkursionen an die einschlägigen Regelungen der Exkursionsziele</w:t>
      </w:r>
      <w:r w:rsidR="00763EE4">
        <w:t xml:space="preserve"> </w:t>
      </w:r>
      <w:r>
        <w:t>halten müssen.</w:t>
      </w:r>
      <w:r w:rsidR="00763EE4">
        <w:t xml:space="preserve"> </w:t>
      </w:r>
      <w:r>
        <w:t>Bere</w:t>
      </w:r>
      <w:r w:rsidR="006421ED">
        <w:t>its seit Oktober </w:t>
      </w:r>
      <w:r>
        <w:t>2020 wurden deshalb pandemiebedingt meist digitale Zusatzangebote</w:t>
      </w:r>
      <w:r w:rsidR="00763EE4">
        <w:t xml:space="preserve"> </w:t>
      </w:r>
      <w:r>
        <w:t>der Gedenkstättenpädagogik geschaffen, die von den Schulen gut angenommen</w:t>
      </w:r>
      <w:r w:rsidR="00763EE4">
        <w:t xml:space="preserve"> </w:t>
      </w:r>
      <w:r>
        <w:t>wurden. Dank dieser Online- bzw. Präsenz-Module konnten die pandemiebedingten</w:t>
      </w:r>
      <w:r w:rsidR="00763EE4">
        <w:t xml:space="preserve"> </w:t>
      </w:r>
      <w:r>
        <w:t>Schließungen der KZ-Gedenkstätten sinnvoll überbrückt werden. Sobald es</w:t>
      </w:r>
      <w:r w:rsidR="00763EE4">
        <w:t xml:space="preserve"> </w:t>
      </w:r>
      <w:r>
        <w:t>allerdings die pandemische Lage erlaubt hat, wurden wieder pädagogische Führungen</w:t>
      </w:r>
      <w:r w:rsidR="00763EE4">
        <w:t xml:space="preserve"> </w:t>
      </w:r>
      <w:r>
        <w:t>an den historischen Orten durchgeführt.</w:t>
      </w:r>
      <w:r w:rsidR="006421ED">
        <w:t xml:space="preserve"> Nach dem Inkrafttreten der 15. </w:t>
      </w:r>
      <w:r>
        <w:t>Bayerischen</w:t>
      </w:r>
      <w:r w:rsidR="00763EE4">
        <w:t xml:space="preserve"> </w:t>
      </w:r>
      <w:r>
        <w:t>Infektionsschutzmaßnahmenverordnung (BayIfSMV) vom 23.11.2021 wurden</w:t>
      </w:r>
      <w:r w:rsidR="00763EE4">
        <w:t xml:space="preserve"> </w:t>
      </w:r>
      <w:r>
        <w:t>die genannten pandemiebedingten Zusatzangebote reaktiviert, um so dem Auftrag</w:t>
      </w:r>
      <w:r w:rsidR="00763EE4">
        <w:t xml:space="preserve"> </w:t>
      </w:r>
      <w:r>
        <w:t>der erinnerungskulturellen Bildung gerecht zu werden. Bayerische Schulen können</w:t>
      </w:r>
      <w:r w:rsidR="00763EE4">
        <w:t xml:space="preserve"> </w:t>
      </w:r>
      <w:r w:rsidR="006421ED">
        <w:t>so –</w:t>
      </w:r>
      <w:r>
        <w:t xml:space="preserve"> abgesehen vom Besuch der Ge</w:t>
      </w:r>
      <w:r w:rsidR="006421ED">
        <w:t>de</w:t>
      </w:r>
      <w:r w:rsidR="008B5612">
        <w:t>nkstätten, der derzeit nach § 4</w:t>
      </w:r>
      <w:r w:rsidR="006421ED">
        <w:t> </w:t>
      </w:r>
      <w:r>
        <w:t>Ab</w:t>
      </w:r>
      <w:r w:rsidR="006421ED">
        <w:t>s. </w:t>
      </w:r>
      <w:r>
        <w:t>1 der 15.</w:t>
      </w:r>
      <w:r w:rsidR="006421ED">
        <w:t> </w:t>
      </w:r>
      <w:r>
        <w:t xml:space="preserve">BayIfSMV </w:t>
      </w:r>
      <w:r w:rsidR="006421ED">
        <w:t>Hygienebestimmungen unterliegt –</w:t>
      </w:r>
      <w:r>
        <w:t xml:space="preserve"> ein 90-minütiges </w:t>
      </w:r>
      <w:r w:rsidR="003439F1">
        <w:t>„</w:t>
      </w:r>
      <w:r>
        <w:t>Gedenkstättenpädagogisches</w:t>
      </w:r>
      <w:r w:rsidR="00763EE4">
        <w:t xml:space="preserve"> </w:t>
      </w:r>
      <w:r>
        <w:t>Online-Modul</w:t>
      </w:r>
      <w:r w:rsidR="003439F1">
        <w:t>“</w:t>
      </w:r>
      <w:r>
        <w:t xml:space="preserve"> oder das 90- bzw. 180-minütige </w:t>
      </w:r>
      <w:r w:rsidR="003439F1">
        <w:t>„</w:t>
      </w:r>
      <w:r w:rsidR="008B5612">
        <w:t>Gedenkstättenpäd</w:t>
      </w:r>
      <w:r>
        <w:t>agogische Modul in den Schulen</w:t>
      </w:r>
      <w:r w:rsidR="003439F1">
        <w:t>“</w:t>
      </w:r>
      <w:r>
        <w:t xml:space="preserve"> buchen, bei dem eine an eine Gedenkstätte abgeordnete</w:t>
      </w:r>
      <w:r w:rsidR="00763EE4">
        <w:t xml:space="preserve"> </w:t>
      </w:r>
      <w:r>
        <w:t>Lehrkraft Unterricht an der Schule hält, die eine Gedenkstätte besuchen</w:t>
      </w:r>
      <w:r w:rsidR="00763EE4">
        <w:t xml:space="preserve"> </w:t>
      </w:r>
      <w:r>
        <w:t>wollte.</w:t>
      </w:r>
    </w:p>
    <w:p w:rsidR="00925EDE" w:rsidRDefault="00925EDE">
      <w:bookmarkStart w:id="43" w:name="Frage_Nr_21_Ende"/>
      <w:bookmarkEnd w:id="4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lastRenderedPageBreak/>
              <w:t>Abgeordnete</w:t>
            </w:r>
            <w:r>
              <w:rPr>
                <w:b/>
              </w:rPr>
              <w:br/>
              <w:t>Verena</w:t>
            </w:r>
            <w:r>
              <w:rPr>
                <w:b/>
              </w:rPr>
              <w:br/>
              <w:t>Osgyan</w:t>
            </w:r>
            <w:r>
              <w:rPr>
                <w:b/>
              </w:rPr>
              <w:br/>
            </w:r>
            <w:r>
              <w:t>(BÜNDNIS 90/DIE GRÜNEN)</w:t>
            </w:r>
            <w:bookmarkStart w:id="44" w:name="Frage_Nr_22"/>
            <w:bookmarkEnd w:id="44"/>
          </w:p>
        </w:tc>
        <w:tc>
          <w:tcPr>
            <w:tcW w:w="7200" w:type="dxa"/>
          </w:tcPr>
          <w:p w:rsidR="00925EDE" w:rsidRDefault="00094721" w:rsidP="00925EDE">
            <w:pPr>
              <w:pStyle w:val="LTAnfrageText"/>
            </w:pPr>
            <w:r w:rsidRPr="0067222C">
              <w:t>Ich frage die St</w:t>
            </w:r>
            <w:r w:rsidR="008B5612">
              <w:t xml:space="preserve">aatsregierung, wie sie </w:t>
            </w:r>
            <w:r w:rsidRPr="0067222C">
              <w:t>das Berufsorientierungsprojekt IBOS an den Nürnberger Mittelschulen Hummelsteiner Weg und Scharrerstraße bewertet, welche finanzielle Förderung hier vonseiten der Staatsregierung besteht und wie eine entsprechende Projektfinanzierung nach Auslaufen der aktuellen Förderperiode weitergeführt ?</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Eine früh einsetzende und ausgeprägte Berufsorientierung ist das Alleinstellungsmerkmal</w:t>
      </w:r>
      <w:r w:rsidR="00C162EC">
        <w:t xml:space="preserve"> </w:t>
      </w:r>
      <w:r>
        <w:t>der Mitte</w:t>
      </w:r>
      <w:r w:rsidR="008B5612">
        <w:t xml:space="preserve">lschule, weshalb das </w:t>
      </w:r>
      <w:r>
        <w:t>Staatsministerium für Unterricht</w:t>
      </w:r>
      <w:r w:rsidR="00C162EC">
        <w:t xml:space="preserve"> </w:t>
      </w:r>
      <w:r>
        <w:t>und Kul</w:t>
      </w:r>
      <w:r w:rsidR="008D24C4">
        <w:t>tus (StMUK) mit jährlich rund 8 </w:t>
      </w:r>
      <w:r w:rsidR="008B5612">
        <w:t>Mio.</w:t>
      </w:r>
      <w:r>
        <w:t xml:space="preserve"> Euro Berufsorientierungsmaßnahmen</w:t>
      </w:r>
      <w:r w:rsidR="00C162EC">
        <w:t xml:space="preserve"> </w:t>
      </w:r>
      <w:r>
        <w:t xml:space="preserve">der </w:t>
      </w:r>
      <w:r w:rsidR="008D24C4">
        <w:t>Bundesagentur für Ar</w:t>
      </w:r>
      <w:r w:rsidR="008B5612">
        <w:t>beit nach § 48 Sozialgesetzbuch (SGB)</w:t>
      </w:r>
      <w:r w:rsidR="008D24C4">
        <w:t xml:space="preserve"> </w:t>
      </w:r>
      <w:r w:rsidR="008B5612">
        <w:t>Drittes Buch (</w:t>
      </w:r>
      <w:r>
        <w:t>III</w:t>
      </w:r>
      <w:r w:rsidR="008D24C4">
        <w:t>)</w:t>
      </w:r>
      <w:r>
        <w:t xml:space="preserve"> kofinanziert.</w:t>
      </w:r>
    </w:p>
    <w:p w:rsidR="00925EDE" w:rsidRDefault="00925EDE" w:rsidP="00925EDE">
      <w:pPr>
        <w:pStyle w:val="LTAntwortRessortText"/>
      </w:pPr>
      <w:r>
        <w:t>Nürnberger Schülerinnen und Schüler an Mittelschulen profitieren dabei anteilig von</w:t>
      </w:r>
      <w:r w:rsidR="00C162EC">
        <w:t xml:space="preserve"> </w:t>
      </w:r>
      <w:r>
        <w:t>einer Kofinanzierung im Um</w:t>
      </w:r>
      <w:r w:rsidR="009D3780">
        <w:t>fang von insgesamt rund 234.000 </w:t>
      </w:r>
      <w:r w:rsidR="003439F1">
        <w:t>Euro</w:t>
      </w:r>
      <w:r>
        <w:t>. Ob mit diesem Betrag</w:t>
      </w:r>
      <w:r w:rsidR="00C162EC">
        <w:t xml:space="preserve"> </w:t>
      </w:r>
      <w:r>
        <w:t>Berufsorientierungsmodule aus dem generellen Angebot der Arbeitsagentur bestellt</w:t>
      </w:r>
      <w:r w:rsidR="00C162EC">
        <w:t xml:space="preserve"> </w:t>
      </w:r>
      <w:r>
        <w:t>oder regionale Projekte entwickelt werden, bleibt der Entscheidung der Schulen</w:t>
      </w:r>
      <w:r w:rsidR="00C162EC">
        <w:t xml:space="preserve"> </w:t>
      </w:r>
      <w:r>
        <w:t>und des Sachaufwandsträgers vor Ort überlassen.</w:t>
      </w:r>
    </w:p>
    <w:p w:rsidR="00925EDE" w:rsidRDefault="00925EDE" w:rsidP="00925EDE">
      <w:pPr>
        <w:pStyle w:val="LTAntwortRessortText"/>
      </w:pPr>
      <w:r>
        <w:t>Besonders gewinnbringend und erfolgreich sind häufig sogenannte Leuchtturmprojekte,</w:t>
      </w:r>
      <w:r w:rsidR="00E70C34">
        <w:t xml:space="preserve"> </w:t>
      </w:r>
      <w:r>
        <w:t>bei denen sich neben der Arbeitsagentur und dem Staatsministerium noch</w:t>
      </w:r>
      <w:r w:rsidR="00E70C34">
        <w:t xml:space="preserve"> </w:t>
      </w:r>
      <w:r>
        <w:t>Dritte beteiligen und die passgenau auf die Bedarfe vor Ort zugeschnitten sind. Bei</w:t>
      </w:r>
      <w:r w:rsidR="00E70C34">
        <w:t xml:space="preserve"> </w:t>
      </w:r>
      <w:r>
        <w:t xml:space="preserve">dem Leuchtturmprojekt </w:t>
      </w:r>
      <w:r w:rsidR="003439F1">
        <w:t>„</w:t>
      </w:r>
      <w:r>
        <w:t>Intensivierte berufliche Orientierung an Schulen</w:t>
      </w:r>
      <w:r w:rsidR="003439F1">
        <w:t>“</w:t>
      </w:r>
      <w:r>
        <w:t xml:space="preserve"> (IBOS) in</w:t>
      </w:r>
      <w:r w:rsidR="00E70C34">
        <w:t xml:space="preserve"> </w:t>
      </w:r>
      <w:r>
        <w:t>Nürnberg werden bei einer kleinen Zielgruppe durch hohen Ressourceneinsatz an</w:t>
      </w:r>
      <w:r w:rsidR="00E70C34">
        <w:t xml:space="preserve"> </w:t>
      </w:r>
      <w:r>
        <w:t>zwei Schulen sehr erfreuliche Erfolgsquoten erzielt.</w:t>
      </w:r>
    </w:p>
    <w:p w:rsidR="00925EDE" w:rsidRDefault="00925EDE" w:rsidP="00E70C34">
      <w:pPr>
        <w:pStyle w:val="LTAntwortRessortText"/>
      </w:pPr>
      <w:r>
        <w:t>Mit Schreiben vom 01.02.2021 wandte sich das Referat für Schule und Sport der</w:t>
      </w:r>
      <w:r w:rsidR="00E70C34">
        <w:t xml:space="preserve"> </w:t>
      </w:r>
      <w:r>
        <w:t>Stadt Nürnberg an das StMUK mit der Bitte, zur Überbrückung den Fehlbetrag aus</w:t>
      </w:r>
      <w:r w:rsidR="00E70C34">
        <w:t xml:space="preserve"> </w:t>
      </w:r>
      <w:r>
        <w:t>den anteilmäßig zur Verfügung stehenden Mitteln für Maßnahmen der Berufsorientierung</w:t>
      </w:r>
      <w:r w:rsidR="00E70C34">
        <w:t xml:space="preserve"> </w:t>
      </w:r>
      <w:r w:rsidR="006E41BA">
        <w:t>nach § 48 SGB </w:t>
      </w:r>
      <w:r>
        <w:t>III und den tatsächlichen Kosten für IBOS zu decken, bis eine</w:t>
      </w:r>
      <w:r w:rsidR="00E70C34">
        <w:t xml:space="preserve"> </w:t>
      </w:r>
      <w:r>
        <w:t>Möglichkeit gefunden wird, weitere Gel</w:t>
      </w:r>
      <w:r w:rsidR="00E70C34">
        <w:t>der bereitzustellen.</w:t>
      </w:r>
    </w:p>
    <w:p w:rsidR="00925EDE" w:rsidRDefault="00925EDE" w:rsidP="00925EDE">
      <w:pPr>
        <w:pStyle w:val="LTAntwortRessortText"/>
      </w:pPr>
      <w:r>
        <w:t>Das StMUK hat aufgrund dieser Anfrage der Stadt Nürnberg für den Zeitraum 1.</w:t>
      </w:r>
      <w:r w:rsidR="006E41BA">
        <w:t> September 2021 bis 31. Dezember </w:t>
      </w:r>
      <w:r>
        <w:t>2021 eine Kofinanzierung in Höhe von bis zu</w:t>
      </w:r>
      <w:r w:rsidR="00E70C34">
        <w:t xml:space="preserve"> </w:t>
      </w:r>
      <w:r w:rsidR="006E41BA">
        <w:t>16.700 </w:t>
      </w:r>
      <w:r w:rsidR="003439F1">
        <w:t>Euro</w:t>
      </w:r>
      <w:r>
        <w:t xml:space="preserve"> bere</w:t>
      </w:r>
      <w:r w:rsidR="006E41BA">
        <w:t>itgestellt. Für den Zeitraum 1. Januar bis 31. August </w:t>
      </w:r>
      <w:r>
        <w:t xml:space="preserve">2022 wurde </w:t>
      </w:r>
      <w:r w:rsidR="00E70C34">
        <w:t>–</w:t>
      </w:r>
      <w:r>
        <w:t xml:space="preserve"> unter</w:t>
      </w:r>
      <w:r w:rsidR="00E70C34">
        <w:t xml:space="preserve"> </w:t>
      </w:r>
      <w:r w:rsidR="006E41BA">
        <w:t>Haushaltsvorbehalt –</w:t>
      </w:r>
      <w:r>
        <w:t xml:space="preserve"> eine Kofinanzierung in H</w:t>
      </w:r>
      <w:r w:rsidR="006E41BA">
        <w:t>öhe von bis zu insgesamt 33.300 </w:t>
      </w:r>
      <w:r w:rsidR="003439F1">
        <w:t>Euro</w:t>
      </w:r>
      <w:r w:rsidR="00E70C34">
        <w:t xml:space="preserve"> </w:t>
      </w:r>
      <w:r>
        <w:t>in Aussicht gestellt, um den Fo</w:t>
      </w:r>
      <w:r w:rsidR="006E41BA">
        <w:t>rtbestand von IBOS im Schuljahr </w:t>
      </w:r>
      <w:r>
        <w:t>2021/2022 zu ermöglichen.</w:t>
      </w:r>
    </w:p>
    <w:p w:rsidR="00925EDE" w:rsidRDefault="00925EDE" w:rsidP="00925EDE">
      <w:pPr>
        <w:pStyle w:val="LTAntwortRessortText"/>
      </w:pPr>
      <w:r>
        <w:t>Gleichzeitig wurde der Stadt Nürnberg kommuniziert, dass über die genannten Beträge</w:t>
      </w:r>
      <w:r w:rsidR="00E70C34">
        <w:t xml:space="preserve"> </w:t>
      </w:r>
      <w:r>
        <w:t>und Zeiträume hinaus keine weiteren Mittel in Aussicht gestellt werden können,</w:t>
      </w:r>
      <w:r w:rsidR="00E70C34">
        <w:t xml:space="preserve"> </w:t>
      </w:r>
      <w:r>
        <w:t>da dies mittelfristig zu Lasten anderer Schülerinne</w:t>
      </w:r>
      <w:r w:rsidR="006E41BA">
        <w:t>n und Schüler der Mittelschule –</w:t>
      </w:r>
      <w:r w:rsidR="00E70C34">
        <w:t xml:space="preserve"> </w:t>
      </w:r>
      <w:r w:rsidR="006E41BA">
        <w:t>auch in der Stadt Nürnberg –</w:t>
      </w:r>
      <w:r>
        <w:t xml:space="preserve"> gehen würde.</w:t>
      </w:r>
    </w:p>
    <w:p w:rsidR="00925EDE" w:rsidRDefault="00925EDE">
      <w:bookmarkStart w:id="45" w:name="Frage_Nr_22_Ende"/>
      <w:bookmarkEnd w:id="4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25EDE" w:rsidTr="007B0B33">
        <w:tc>
          <w:tcPr>
            <w:tcW w:w="2050" w:type="dxa"/>
          </w:tcPr>
          <w:p w:rsidR="00925EDE" w:rsidRDefault="00925EDE" w:rsidP="00925EDE">
            <w:pPr>
              <w:pStyle w:val="LTAnfrageInitiator"/>
            </w:pPr>
            <w:r>
              <w:lastRenderedPageBreak/>
              <w:t>Abgeordneter</w:t>
            </w:r>
            <w:r>
              <w:rPr>
                <w:b/>
              </w:rPr>
              <w:br/>
              <w:t>Toni</w:t>
            </w:r>
            <w:r>
              <w:rPr>
                <w:b/>
              </w:rPr>
              <w:br/>
              <w:t>Schuberl</w:t>
            </w:r>
            <w:r>
              <w:rPr>
                <w:b/>
              </w:rPr>
              <w:br/>
            </w:r>
            <w:r>
              <w:t>(BÜNDNIS 90/DIE GRÜNEN)</w:t>
            </w:r>
            <w:bookmarkStart w:id="46" w:name="Frage_Nr_23"/>
            <w:bookmarkEnd w:id="46"/>
          </w:p>
        </w:tc>
        <w:tc>
          <w:tcPr>
            <w:tcW w:w="7200" w:type="dxa"/>
          </w:tcPr>
          <w:p w:rsidR="00925EDE" w:rsidRDefault="00083131" w:rsidP="00925EDE">
            <w:pPr>
              <w:pStyle w:val="LTAnfrageText"/>
            </w:pPr>
            <w:r w:rsidRPr="0067222C">
              <w:t>Ich frage die Staatsregierung, in welcher Höhe im Entwurf für den Bayerischen Staatshaushalt 2022 finanzielle Mittel (inkl. Verpflichtungsermächtigungen) für eine Weiterentwicklung des ehemaligen KZ-Außenlagers Kaufering VII als Gedenkort und Dokumentationszentrum eingestellt wurden, unter welcher Titelgruppe diese erfasst sind und welche konkreten Maßnahmen realisiert werden sollen?</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 xml:space="preserve">Das Projekt </w:t>
      </w:r>
      <w:r w:rsidR="003439F1">
        <w:t>„</w:t>
      </w:r>
      <w:r>
        <w:t>Erarbeitung einer wissenschaftlichen Konzeption für die Errichtung eines</w:t>
      </w:r>
      <w:r w:rsidR="00865BD2">
        <w:t xml:space="preserve"> </w:t>
      </w:r>
      <w:r>
        <w:t>Dokumentationsortes für den KZ-Außenlagerkomplex Kaufering</w:t>
      </w:r>
      <w:r w:rsidR="003439F1">
        <w:t>“</w:t>
      </w:r>
      <w:r>
        <w:t xml:space="preserve"> der Europäischen</w:t>
      </w:r>
      <w:r w:rsidR="00865BD2">
        <w:t xml:space="preserve"> </w:t>
      </w:r>
      <w:r>
        <w:t>Hol</w:t>
      </w:r>
      <w:r w:rsidR="00A02381">
        <w:t>ocaust Gedenkstätte Stiftung e. </w:t>
      </w:r>
      <w:r>
        <w:t>V. wird derzeit mit einer Landeszuwendung</w:t>
      </w:r>
      <w:r w:rsidR="00865BD2">
        <w:t xml:space="preserve"> </w:t>
      </w:r>
      <w:r w:rsidR="00A02381">
        <w:t>i. H. von 71.800 </w:t>
      </w:r>
      <w:r>
        <w:t>Euro gefördert. Der Projektzeitraum erstreckt sich bis zum</w:t>
      </w:r>
      <w:r w:rsidR="00A02381">
        <w:t> </w:t>
      </w:r>
      <w:r>
        <w:t>31.05.2022.</w:t>
      </w:r>
    </w:p>
    <w:p w:rsidR="00925EDE" w:rsidRDefault="00925EDE">
      <w:bookmarkStart w:id="47" w:name="Frage_Nr_23_Ende"/>
      <w:bookmarkEnd w:id="4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5"/>
        <w:gridCol w:w="5721"/>
      </w:tblGrid>
      <w:tr w:rsidR="00925EDE" w:rsidTr="007B0B33">
        <w:tc>
          <w:tcPr>
            <w:tcW w:w="2050" w:type="dxa"/>
          </w:tcPr>
          <w:p w:rsidR="00925EDE" w:rsidRDefault="00925EDE" w:rsidP="00925EDE">
            <w:pPr>
              <w:pStyle w:val="LTAnfrageInitiator"/>
            </w:pPr>
            <w:r>
              <w:lastRenderedPageBreak/>
              <w:t>Abgeordnete</w:t>
            </w:r>
            <w:r>
              <w:rPr>
                <w:b/>
              </w:rPr>
              <w:br/>
              <w:t>Anna</w:t>
            </w:r>
            <w:r>
              <w:rPr>
                <w:b/>
              </w:rPr>
              <w:br/>
              <w:t>Schwamberger</w:t>
            </w:r>
            <w:r>
              <w:rPr>
                <w:b/>
              </w:rPr>
              <w:br/>
            </w:r>
            <w:r>
              <w:t>(BÜNDNIS 90/DIE GRÜNEN)</w:t>
            </w:r>
            <w:bookmarkStart w:id="48" w:name="Frage_Nr_24"/>
            <w:bookmarkEnd w:id="48"/>
          </w:p>
        </w:tc>
        <w:tc>
          <w:tcPr>
            <w:tcW w:w="7200" w:type="dxa"/>
          </w:tcPr>
          <w:p w:rsidR="00925EDE" w:rsidRDefault="00C832C7" w:rsidP="00925EDE">
            <w:pPr>
              <w:pStyle w:val="LTAnfrageText"/>
            </w:pPr>
            <w:r w:rsidRPr="0067222C">
              <w:t>Vor dem Hintergrund, dass die Freien Wähler planen, zum Schuljahr 2022/23 jahrgangsübergreifende Lernangebote an bayerischen Mittelschulen einzuführen, frage ich die Staatsregierung, wie viele Klassenstufen für das jahrgangsübergreifende Lernen jeweils zusammengefasst werden sollen, wie viele Lehrerstunden pro jahrgangsübergreifender Klasse geplant sind und welches pädagogische Konzept dem Projekt  „JAMI“ zugrunde liegt?</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 xml:space="preserve">Neben bereits bestehenden Initiativen, wie </w:t>
      </w:r>
      <w:r w:rsidR="003439F1">
        <w:t>z. B.</w:t>
      </w:r>
      <w:r>
        <w:t xml:space="preserve"> dem Modellversuch </w:t>
      </w:r>
      <w:r w:rsidR="003439F1">
        <w:t>„</w:t>
      </w:r>
      <w:r>
        <w:t>Starke Schulen</w:t>
      </w:r>
      <w:r w:rsidR="004D6C25">
        <w:t xml:space="preserve"> </w:t>
      </w:r>
      <w:r w:rsidR="00EE425B">
        <w:t>–</w:t>
      </w:r>
      <w:r>
        <w:t xml:space="preserve"> starker Verbund</w:t>
      </w:r>
      <w:r w:rsidR="003439F1">
        <w:t>“</w:t>
      </w:r>
      <w:r>
        <w:t xml:space="preserve"> (StarSv) der Stiftung Bildungspakt Bayern oder den im Schuljahr</w:t>
      </w:r>
      <w:r w:rsidR="00EE425B">
        <w:t> </w:t>
      </w:r>
      <w:r>
        <w:t xml:space="preserve">2020/2021 eingeführten M5/M6-Kursen, soll mit einem Pilotprojekt </w:t>
      </w:r>
      <w:r w:rsidR="003439F1">
        <w:t>„</w:t>
      </w:r>
      <w:r>
        <w:t xml:space="preserve">JAMI </w:t>
      </w:r>
      <w:r w:rsidR="004D6C25">
        <w:t>–</w:t>
      </w:r>
      <w:r>
        <w:t xml:space="preserve"> jahrgangsübergreifendes</w:t>
      </w:r>
      <w:r w:rsidR="004D6C25">
        <w:t xml:space="preserve"> </w:t>
      </w:r>
      <w:r>
        <w:t>Lernen an Mittelschulen</w:t>
      </w:r>
      <w:r w:rsidR="003439F1">
        <w:t>“</w:t>
      </w:r>
      <w:r>
        <w:t xml:space="preserve"> in allen sieben Regierungsbezirken</w:t>
      </w:r>
      <w:r w:rsidR="004D6C25">
        <w:t xml:space="preserve"> </w:t>
      </w:r>
      <w:r>
        <w:t>ein weiterer Baustein zur Stärkung der Mittelschulen geschaffen werden. Der Start</w:t>
      </w:r>
      <w:r w:rsidR="004D6C25">
        <w:t xml:space="preserve"> </w:t>
      </w:r>
      <w:r>
        <w:t>des P</w:t>
      </w:r>
      <w:r w:rsidR="00EE425B">
        <w:t>rojektes wird für das Schuljahr </w:t>
      </w:r>
      <w:r>
        <w:t>2022/2023 avisiert. Mit diesem Projekt wird das</w:t>
      </w:r>
      <w:r w:rsidR="004D6C25">
        <w:t xml:space="preserve"> </w:t>
      </w:r>
      <w:r>
        <w:t>Ziel verfolgt, die Mittelschulen gerade auch im ländlichen Raum in ihrer gesamten</w:t>
      </w:r>
      <w:r w:rsidR="004D6C25">
        <w:t xml:space="preserve"> </w:t>
      </w:r>
      <w:r>
        <w:t>Vielfalt zu erhalten und zukunftsfest aufzustellen.</w:t>
      </w:r>
    </w:p>
    <w:p w:rsidR="00925EDE" w:rsidRDefault="00925EDE" w:rsidP="00925EDE">
      <w:pPr>
        <w:pStyle w:val="LTAntwortRessortText"/>
      </w:pPr>
      <w:r>
        <w:t>Derzeit befindet sich die pädagogische Ausgestaltung des Modellversuchs in Vorbereitung</w:t>
      </w:r>
      <w:r w:rsidR="004D6C25">
        <w:t xml:space="preserve"> </w:t>
      </w:r>
      <w:r>
        <w:t>und soll zeitnah mit den einzubeziehenden Institutionen und Bildungspartnern</w:t>
      </w:r>
      <w:r w:rsidR="004D6C25">
        <w:t xml:space="preserve"> </w:t>
      </w:r>
      <w:r>
        <w:t>abgestimmt werden. In diesem Rahmen können dann Fragen zu den Klassenstufen,</w:t>
      </w:r>
      <w:r w:rsidR="004D6C25">
        <w:t xml:space="preserve"> </w:t>
      </w:r>
      <w:r>
        <w:t>zum Ressourceneinsatz und zur pädagogischen Konzeption beantwortet werden.</w:t>
      </w:r>
    </w:p>
    <w:p w:rsidR="00925EDE" w:rsidRDefault="00925EDE">
      <w:bookmarkStart w:id="49" w:name="Frage_Nr_24_Ende"/>
      <w:bookmarkEnd w:id="4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925EDE" w:rsidTr="007B0B33">
        <w:tc>
          <w:tcPr>
            <w:tcW w:w="2050" w:type="dxa"/>
          </w:tcPr>
          <w:p w:rsidR="00925EDE" w:rsidRDefault="00925EDE" w:rsidP="00925EDE">
            <w:pPr>
              <w:pStyle w:val="LTAnfrageInitiator"/>
            </w:pPr>
            <w:r>
              <w:lastRenderedPageBreak/>
              <w:t>Abgeordnete</w:t>
            </w:r>
            <w:r>
              <w:rPr>
                <w:b/>
              </w:rPr>
              <w:br/>
              <w:t>Dr. Simone</w:t>
            </w:r>
            <w:r>
              <w:rPr>
                <w:b/>
              </w:rPr>
              <w:br/>
              <w:t>Strohmayr</w:t>
            </w:r>
            <w:r>
              <w:rPr>
                <w:b/>
              </w:rPr>
              <w:br/>
            </w:r>
            <w:r>
              <w:t>(SPD)</w:t>
            </w:r>
            <w:bookmarkStart w:id="50" w:name="Frage_Nr_25"/>
            <w:bookmarkEnd w:id="50"/>
          </w:p>
        </w:tc>
        <w:tc>
          <w:tcPr>
            <w:tcW w:w="7200" w:type="dxa"/>
          </w:tcPr>
          <w:p w:rsidR="00925EDE" w:rsidRDefault="00397EA2" w:rsidP="00925EDE">
            <w:pPr>
              <w:pStyle w:val="LTAnfrageText"/>
            </w:pPr>
            <w:r w:rsidRPr="0067222C">
              <w:t>Ich frage die Staatsregierung, wie hoch der finanzielle Beitrag ist, mit dem sich der Freistaat Bayern an einer Stelle für einen Systemadministrator an einer Schule beteiligt (bitte für ganz Bayern, aufgeschlüsselt in Landkreisen nach Prozent, in absoluten Beträgen und im Durchschnitt angeben)?</w:t>
            </w:r>
          </w:p>
        </w:tc>
      </w:tr>
    </w:tbl>
    <w:p w:rsidR="00925EDE" w:rsidRDefault="00925EDE" w:rsidP="00925EDE">
      <w:pPr>
        <w:pStyle w:val="LTUeberschrAntwortRessort"/>
      </w:pPr>
      <w:r>
        <w:t>Antwort des Staatsministeriums für Unterricht und Kultus</w:t>
      </w:r>
    </w:p>
    <w:p w:rsidR="00925EDE" w:rsidRDefault="00925EDE" w:rsidP="00925EDE">
      <w:pPr>
        <w:pStyle w:val="LTAntwortRessortText"/>
      </w:pPr>
      <w:r>
        <w:t>Die Unterstützung der zuständigen Schulaufwandsträger bei der technischen Administration</w:t>
      </w:r>
      <w:r w:rsidR="006A6AF2">
        <w:t xml:space="preserve"> </w:t>
      </w:r>
      <w:r>
        <w:t xml:space="preserve">der schulischen IT-Infrastruktur erfolgt über die </w:t>
      </w:r>
      <w:r w:rsidR="003439F1">
        <w:t>„</w:t>
      </w:r>
      <w:r>
        <w:t>Bayerische IT-Administrationsförderung</w:t>
      </w:r>
      <w:r w:rsidR="006A6AF2">
        <w:t xml:space="preserve"> </w:t>
      </w:r>
      <w:r>
        <w:t>(BayARn)</w:t>
      </w:r>
      <w:r w:rsidR="003439F1">
        <w:t>“</w:t>
      </w:r>
      <w:r w:rsidR="00164662">
        <w:t xml:space="preserve"> vom 4. August </w:t>
      </w:r>
      <w:r>
        <w:t>2021. Gefördert werden Personalausgaben</w:t>
      </w:r>
      <w:r w:rsidR="006A6AF2">
        <w:t xml:space="preserve"> </w:t>
      </w:r>
      <w:r>
        <w:t>für beim Schulaufwandsträger angestellte IT-Administratorinnen und IT-Administratoren</w:t>
      </w:r>
      <w:r w:rsidR="006A6AF2">
        <w:t xml:space="preserve"> </w:t>
      </w:r>
      <w:r>
        <w:t>bzw. Personalkostenanteile für entsprechende Verträge mit externen Dienstleistern</w:t>
      </w:r>
      <w:r w:rsidR="006A6AF2">
        <w:t xml:space="preserve"> </w:t>
      </w:r>
      <w:r>
        <w:t>auf Ebene der Schulaufwandsträger. Dabei werden in einem Zeitraum von vier</w:t>
      </w:r>
      <w:r w:rsidR="006A6AF2">
        <w:t xml:space="preserve"> </w:t>
      </w:r>
      <w:r w:rsidR="00164662">
        <w:t>Jahren (Förderzeitraum: 3. Juni 2020 bis 16. Mai </w:t>
      </w:r>
      <w:r>
        <w:t>2024) Bundesmittel in Höhe von</w:t>
      </w:r>
      <w:r w:rsidR="006A6AF2">
        <w:t xml:space="preserve"> </w:t>
      </w:r>
      <w:r w:rsidR="00164662">
        <w:t>77,8 Mio. </w:t>
      </w:r>
      <w:r w:rsidR="003439F1">
        <w:t>Euro</w:t>
      </w:r>
      <w:r w:rsidR="00164662">
        <w:t xml:space="preserve"> und –</w:t>
      </w:r>
      <w:r>
        <w:t xml:space="preserve"> vorbehaltlich der Zustimmung des Haushaltsgesetzgebers </w:t>
      </w:r>
      <w:r w:rsidR="006A6AF2">
        <w:t>–</w:t>
      </w:r>
      <w:r>
        <w:t xml:space="preserve"> Landesfördermittel</w:t>
      </w:r>
      <w:r w:rsidR="006A6AF2">
        <w:t xml:space="preserve"> </w:t>
      </w:r>
      <w:r w:rsidR="00164662">
        <w:t>in Höhe von 4 x 19,6 Mio. </w:t>
      </w:r>
      <w:r w:rsidR="003439F1">
        <w:t>Euro</w:t>
      </w:r>
      <w:r>
        <w:t xml:space="preserve"> zur Verfügung gestellt. Das Gesamtförderbudget</w:t>
      </w:r>
      <w:r w:rsidR="006A6AF2">
        <w:t xml:space="preserve"> </w:t>
      </w:r>
      <w:r w:rsidR="00164662">
        <w:t>beläuft sich auf 156,2 Mio. </w:t>
      </w:r>
      <w:r w:rsidR="003439F1">
        <w:t>Euro</w:t>
      </w:r>
      <w:r>
        <w:t>.</w:t>
      </w:r>
    </w:p>
    <w:p w:rsidR="00925EDE" w:rsidRDefault="00925EDE" w:rsidP="006A6AF2">
      <w:pPr>
        <w:pStyle w:val="LTAntwortRessortText"/>
      </w:pPr>
      <w:r>
        <w:t>Die Angabe sowie Aufschlüsselung der im Rahmen der über die Richtlinien BayARn</w:t>
      </w:r>
      <w:r w:rsidR="006A6AF2">
        <w:t xml:space="preserve"> </w:t>
      </w:r>
      <w:r>
        <w:t>als Bundes- bzw. Landesbudgets bereitgestellten Fördermittel nach Landkreisen sind</w:t>
      </w:r>
      <w:r w:rsidR="006A6AF2">
        <w:t xml:space="preserve"> </w:t>
      </w:r>
      <w:r>
        <w:t>in der Anlage</w:t>
      </w:r>
      <w:r w:rsidR="001C6F54" w:rsidRPr="001C6F54">
        <w:rPr>
          <w:rStyle w:val="LTHyperlinkZchn"/>
          <w:b w:val="0"/>
        </w:rPr>
        <w:t>*)</w:t>
      </w:r>
      <w:r>
        <w:t xml:space="preserve"> dargestellt. Der Förderbetrag wird für jeden Schulaufwandsträger basierend</w:t>
      </w:r>
      <w:r w:rsidR="006A6AF2">
        <w:t xml:space="preserve"> </w:t>
      </w:r>
      <w:r>
        <w:t>auf den jeweiligen Teilbudgets der drei DigitalPakt-Förderrichtlinien dBIR,</w:t>
      </w:r>
      <w:r w:rsidR="006A6AF2">
        <w:t xml:space="preserve"> </w:t>
      </w:r>
      <w:r>
        <w:t>SoLe und SoLD bzw. nach der Schülerzahl in einem statistischen Verfahren berechnet,</w:t>
      </w:r>
      <w:r w:rsidR="006A6AF2">
        <w:t xml:space="preserve"> </w:t>
      </w:r>
      <w:r>
        <w:t>in das auch schulartspezifische Bedarfe und Ausstattungsgrade eingehen. Zudem</w:t>
      </w:r>
      <w:r w:rsidR="006A6AF2">
        <w:t xml:space="preserve"> </w:t>
      </w:r>
      <w:r>
        <w:t>wird der Raum mit besonderem Handlungsbedarf über einen Zuschlag in besonderer</w:t>
      </w:r>
      <w:r w:rsidR="006A6AF2">
        <w:t xml:space="preserve"> </w:t>
      </w:r>
      <w:r>
        <w:t>Weise berücksichtigt. Die Einzelschulen tragen damit abhängig von ihrer</w:t>
      </w:r>
      <w:r w:rsidR="006A6AF2">
        <w:t xml:space="preserve"> </w:t>
      </w:r>
      <w:r>
        <w:t>Schülerzahl und schulartspezifischen Parametern zum Gesamtbudget des Schulaufwandsträgers</w:t>
      </w:r>
      <w:r w:rsidR="006A6AF2">
        <w:t xml:space="preserve"> </w:t>
      </w:r>
      <w:r>
        <w:t>bei.</w:t>
      </w:r>
    </w:p>
    <w:p w:rsidR="006A6AF2" w:rsidRDefault="006A6AF2" w:rsidP="006A6AF2">
      <w:pPr>
        <w:pStyle w:val="LTAntwortRessortText"/>
      </w:pPr>
    </w:p>
    <w:p w:rsidR="001C6F54" w:rsidRDefault="001C6F54" w:rsidP="001C6F54">
      <w:pPr>
        <w:pStyle w:val="LTAntwortRessortText"/>
      </w:pPr>
      <w:r>
        <w:t xml:space="preserve">*) Von einem Abdruck wurde abgesehen. Die Anlage ist als pdf-Dokument </w:t>
      </w:r>
      <w:hyperlink r:id="rId15" w:history="1">
        <w:r w:rsidRPr="001C6F54">
          <w:rPr>
            <w:rStyle w:val="LTHyperlinkZchn"/>
            <w:b w:val="0"/>
          </w:rPr>
          <w:t>hier</w:t>
        </w:r>
      </w:hyperlink>
      <w:r>
        <w:t xml:space="preserve"> einsehbar.</w:t>
      </w:r>
    </w:p>
    <w:p w:rsidR="006A6AF2" w:rsidRDefault="006A6AF2" w:rsidP="006A6AF2">
      <w:pPr>
        <w:pStyle w:val="LTAntwortRessortText"/>
      </w:pPr>
    </w:p>
    <w:p w:rsidR="00925EDE" w:rsidRDefault="00925EDE">
      <w:bookmarkStart w:id="51" w:name="Frage_Nr_25_Ende"/>
      <w:bookmarkEnd w:id="51"/>
      <w:r>
        <w:br w:type="page"/>
      </w:r>
    </w:p>
    <w:p w:rsidR="00925EDE" w:rsidRDefault="00925EDE" w:rsidP="00925EDE">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925EDE" w:rsidTr="007B0B33">
        <w:tc>
          <w:tcPr>
            <w:tcW w:w="2050" w:type="dxa"/>
          </w:tcPr>
          <w:p w:rsidR="00925EDE" w:rsidRDefault="00925EDE" w:rsidP="00925EDE">
            <w:pPr>
              <w:pStyle w:val="LTAnfrageInitiator"/>
            </w:pPr>
            <w:r>
              <w:t>Abgeordnete</w:t>
            </w:r>
            <w:r>
              <w:rPr>
                <w:b/>
              </w:rPr>
              <w:br/>
              <w:t>Susanne</w:t>
            </w:r>
            <w:r>
              <w:rPr>
                <w:b/>
              </w:rPr>
              <w:br/>
              <w:t>Kurz</w:t>
            </w:r>
            <w:r>
              <w:rPr>
                <w:b/>
              </w:rPr>
              <w:br/>
            </w:r>
            <w:r>
              <w:t>(BÜNDNIS 90/DIE GRÜNEN)</w:t>
            </w:r>
            <w:bookmarkStart w:id="52" w:name="Frage_Nr_26"/>
            <w:bookmarkEnd w:id="52"/>
          </w:p>
        </w:tc>
        <w:tc>
          <w:tcPr>
            <w:tcW w:w="7200" w:type="dxa"/>
          </w:tcPr>
          <w:p w:rsidR="00925EDE" w:rsidRDefault="00397EA2" w:rsidP="00925EDE">
            <w:pPr>
              <w:pStyle w:val="LTAnfrageText"/>
            </w:pPr>
            <w:r w:rsidRPr="0067222C">
              <w:t>Vor dem Hintergrund des Ministerratsbeschlusses vom 17.07.2018, in welchem der Hochschule für Fernsehen und Film (HFF) München ein neuer „Studienschwerpunkt im Bereich „Digitale Bildgestaltung“, der für Medienunternehmen am Standort immer wichtiger wird“ versprochen wurde und mit „Investitionen in Höhe von rund 4,6 Mio. Euro sowie mit „sieben neuen Stellen ab 2019 „Kompetenzen im Bereich VFX /Visual Effects vermittelt und Spezialisten für diese Bereiche ausgebildet werden“ sollen, sowie des in der Drs. 18/12225 am 19.02.2021 gegebenen Bekenntnisses, dass die Staatsregierung „den Studienschwerpunkt VFX auch künftig als unverzichtbaren Bestandteil des Studienangebots an der HFF“ sieht und „für den Haushalt 2022“ plant, „auf Basis des von der Hochschule zu erstellenden, überarbeiteten Finanzkonzepts entsprechende Mittel einzustellen“, frage ich die sie, wie viele der sieben zugesagten Stellen nun insgesamt im Haushalt 2022 mit Mitteln hinterlegt sind, ob die Staatsregierung den Ministerratsbeschluss von 2018 mit dem Haushalt 2022 vollumfänglich erfüllt sieht und mit welchen Folgen sie im Falle einer unzureichenden Ausstattung rechnet?</w:t>
            </w:r>
          </w:p>
        </w:tc>
      </w:tr>
    </w:tbl>
    <w:p w:rsidR="00925EDE" w:rsidRDefault="00925EDE" w:rsidP="00925EDE">
      <w:pPr>
        <w:pStyle w:val="LTUeberschrAntwortRessort"/>
      </w:pPr>
      <w:r>
        <w:t>Antwort des Staatsministeriums für Wissenschaft und Kunst</w:t>
      </w:r>
    </w:p>
    <w:p w:rsidR="00925EDE" w:rsidRDefault="00925EDE" w:rsidP="00925EDE">
      <w:pPr>
        <w:pStyle w:val="LTAntwortRessortText"/>
      </w:pPr>
      <w:r>
        <w:t>Wie a</w:t>
      </w:r>
      <w:r w:rsidR="00D5213B">
        <w:t>us dem Haushaltsentwurf </w:t>
      </w:r>
      <w:r>
        <w:t>2022 ersichtlich ist, sieht der Stellenplan folgende Stellen für den Bereich des Studienschwerpunkts VFX vor:</w:t>
      </w:r>
    </w:p>
    <w:p w:rsidR="00925EDE" w:rsidRDefault="00D5213B" w:rsidP="00925EDE">
      <w:pPr>
        <w:pStyle w:val="LTAntwortRessortText"/>
      </w:pPr>
      <w:r>
        <w:t>•</w:t>
      </w:r>
      <w:r w:rsidR="00925EDE">
        <w:t>2,0 x W 3</w:t>
      </w:r>
    </w:p>
    <w:p w:rsidR="00925EDE" w:rsidRDefault="00D5213B" w:rsidP="005A3D9B">
      <w:pPr>
        <w:pStyle w:val="LTAntwortRessortText"/>
      </w:pPr>
      <w:r>
        <w:t>•</w:t>
      </w:r>
      <w:r w:rsidR="00925EDE">
        <w:t>1,0 x E 13</w:t>
      </w:r>
    </w:p>
    <w:p w:rsidR="00925EDE" w:rsidRDefault="00925EDE" w:rsidP="00925EDE">
      <w:pPr>
        <w:pStyle w:val="LTAntwortRessortText"/>
      </w:pPr>
      <w:r>
        <w:t>Die Stellen sind zum 01.10.2022 besetzbar.</w:t>
      </w:r>
    </w:p>
    <w:p w:rsidR="00925EDE" w:rsidRDefault="00D5213B" w:rsidP="00925EDE">
      <w:pPr>
        <w:pStyle w:val="LTAntwortRessortText"/>
      </w:pPr>
      <w:r>
        <w:t>Die Ausstattung mit zwei </w:t>
      </w:r>
      <w:r w:rsidR="00925EDE">
        <w:t>W-3-Stellen im Bereich VFX ist in einem größeren Kontext zu sehen. Hiermit soll der HFF ermöglicht werde</w:t>
      </w:r>
      <w:r w:rsidR="00D8582E">
        <w:t>n, auf die sehr dynamischen Ent</w:t>
      </w:r>
      <w:r w:rsidR="00925EDE">
        <w:t>wicklungen im Umfeld von VFX zu reagieren.</w:t>
      </w:r>
    </w:p>
    <w:p w:rsidR="00925EDE" w:rsidRDefault="00925EDE" w:rsidP="00925EDE">
      <w:pPr>
        <w:pStyle w:val="LTAntwortRessortText"/>
      </w:pPr>
      <w:r>
        <w:t xml:space="preserve">Zudem wurde der HFF für den Studienschwerpunkt VFX mit Wirkung vom 01.04.2021 bis zum 31.03.2026 befristet </w:t>
      </w:r>
      <w:r w:rsidR="00D5213B">
        <w:t>bei Kap. 15 05 Tit. 422 01 </w:t>
      </w:r>
      <w:r>
        <w:t xml:space="preserve">b) 1,0 Planstelle der </w:t>
      </w:r>
      <w:r w:rsidR="00D5213B">
        <w:t>Besoldungsgruppe (</w:t>
      </w:r>
      <w:r>
        <w:t>BesGr.</w:t>
      </w:r>
      <w:r w:rsidR="00D5213B">
        <w:t>) A </w:t>
      </w:r>
      <w:r>
        <w:t>9 zur Bewirtschaftung zugewiesen.</w:t>
      </w:r>
    </w:p>
    <w:p w:rsidR="00925EDE" w:rsidRDefault="00925EDE" w:rsidP="001935C2">
      <w:pPr>
        <w:pStyle w:val="LTAntwortRessortText"/>
      </w:pPr>
      <w:r>
        <w:t>Schli</w:t>
      </w:r>
      <w:r w:rsidR="00D5213B">
        <w:t>eßlich ist für die HFF bei Kap. 15 64 TG </w:t>
      </w:r>
      <w:r>
        <w:t>73 für die Lehre ein Mitte</w:t>
      </w:r>
      <w:r w:rsidR="00D5213B">
        <w:t>laufwuchs von insgesamt 300.000 </w:t>
      </w:r>
      <w:r w:rsidR="003439F1">
        <w:t>Euro</w:t>
      </w:r>
      <w:r>
        <w:t xml:space="preserve"> vorgesehen.</w:t>
      </w:r>
    </w:p>
    <w:p w:rsidR="00925EDE" w:rsidRDefault="00925EDE" w:rsidP="00925EDE">
      <w:pPr>
        <w:pStyle w:val="LTAntwortRessortText"/>
      </w:pPr>
      <w:r>
        <w:t>Die Staatsregierung sieht den Studienschwerpunkt VFX auch künftig als unverzichtbaren</w:t>
      </w:r>
      <w:r w:rsidR="00242FBD">
        <w:t xml:space="preserve"> </w:t>
      </w:r>
      <w:r>
        <w:t>Bestandteil des Studienangebots an der HFF an. Der HFF wurden bereits bisher</w:t>
      </w:r>
      <w:r w:rsidR="00242FBD">
        <w:t xml:space="preserve"> </w:t>
      </w:r>
      <w:r w:rsidR="000106EF">
        <w:t>Mittel in Höhe von über 400.000 </w:t>
      </w:r>
      <w:r w:rsidR="003439F1">
        <w:t>Euro</w:t>
      </w:r>
      <w:r>
        <w:t xml:space="preserve"> aus dem Ausbauprogramm für den Ausbau</w:t>
      </w:r>
      <w:r w:rsidR="00242FBD">
        <w:t xml:space="preserve"> </w:t>
      </w:r>
      <w:r>
        <w:t>des Studienschwerpunkts VFX zugewiesen. Die Staatsregierung geht davon aus,</w:t>
      </w:r>
      <w:r w:rsidR="00242FBD">
        <w:t xml:space="preserve"> </w:t>
      </w:r>
      <w:r>
        <w:t>dass die Hochschule mit der nun erfolgten Ausstattung das Studienangebot VFX sicherstellen</w:t>
      </w:r>
      <w:r w:rsidR="00242FBD">
        <w:t xml:space="preserve"> </w:t>
      </w:r>
      <w:r>
        <w:t>kann.</w:t>
      </w:r>
    </w:p>
    <w:p w:rsidR="00925EDE" w:rsidRDefault="00925EDE" w:rsidP="00925EDE">
      <w:pPr>
        <w:pStyle w:val="LTAntwortRessortText"/>
      </w:pPr>
      <w:r>
        <w:lastRenderedPageBreak/>
        <w:t>Es wird darauf hingewiesen, dass die in dem Beschluss des Ministerrats am</w:t>
      </w:r>
      <w:r w:rsidR="00242FBD">
        <w:t xml:space="preserve"> </w:t>
      </w:r>
      <w:r>
        <w:t>17.07.2018 genannten Ressourcen für den Ausbau der HFF im Bereich VFX auf der</w:t>
      </w:r>
      <w:r w:rsidR="00242FBD">
        <w:t xml:space="preserve"> </w:t>
      </w:r>
      <w:r>
        <w:t>Grundlage eines detaillierten Studienkonzepts zu konkretisieren waren.</w:t>
      </w:r>
    </w:p>
    <w:p w:rsidR="00925EDE" w:rsidRDefault="00925EDE">
      <w:bookmarkStart w:id="53" w:name="Frage_Nr_26_Ende"/>
      <w:bookmarkEnd w:id="5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25EDE" w:rsidTr="007B0B33">
        <w:tc>
          <w:tcPr>
            <w:tcW w:w="2050" w:type="dxa"/>
          </w:tcPr>
          <w:p w:rsidR="00925EDE" w:rsidRDefault="00925EDE" w:rsidP="00925EDE">
            <w:pPr>
              <w:pStyle w:val="LTAnfrageInitiator"/>
            </w:pPr>
            <w:r>
              <w:lastRenderedPageBreak/>
              <w:t>Abgeordneter</w:t>
            </w:r>
            <w:r>
              <w:rPr>
                <w:b/>
              </w:rPr>
              <w:br/>
              <w:t>Christian</w:t>
            </w:r>
            <w:r>
              <w:rPr>
                <w:b/>
              </w:rPr>
              <w:br/>
              <w:t>Zwanziger</w:t>
            </w:r>
            <w:r>
              <w:rPr>
                <w:b/>
              </w:rPr>
              <w:br/>
            </w:r>
            <w:r>
              <w:t>(BÜNDNIS 90/DIE GRÜNEN)</w:t>
            </w:r>
            <w:bookmarkStart w:id="54" w:name="Frage_Nr_27"/>
            <w:bookmarkEnd w:id="54"/>
          </w:p>
        </w:tc>
        <w:tc>
          <w:tcPr>
            <w:tcW w:w="7200" w:type="dxa"/>
          </w:tcPr>
          <w:p w:rsidR="00925EDE" w:rsidRDefault="002B709E" w:rsidP="00925EDE">
            <w:pPr>
              <w:pStyle w:val="LTAnfrageText"/>
            </w:pPr>
            <w:r w:rsidRPr="0067222C">
              <w:t>Ich frage die Staatsregierung, welche Maßnahmen sie ergreift um sicherzustellen, dass entsprechend der getroffenen Regelungen ausreichend PCR-Testkapazitäten für die Prüfungsteilnahme von Studierenden verfügbar seien werden, welche Regelungen bei der Prüfungsteilnahme und hinsichtlich der Kosten für Tests für Studierende angewandt werden, die mit einem von der E</w:t>
            </w:r>
            <w:r w:rsidR="005A3D9B">
              <w:t>uropäischen Arzneimittelagentur (E</w:t>
            </w:r>
            <w:r w:rsidRPr="0067222C">
              <w:t>MA</w:t>
            </w:r>
            <w:r w:rsidR="005A3D9B">
              <w:t>)</w:t>
            </w:r>
            <w:r w:rsidRPr="0067222C">
              <w:t xml:space="preserve"> nicht zugelassenen Impfstoff geimpft wurden, bevor die aktuellen Regelungen in Kraft traten, und die sich derzeit nicht erneut impfen können (insbesondere für den Prüfungszeitraum zum Ende dieses Wintersemesters und Zugang zu Labor- oder Arbeitsräume oder den Zugang zu Bibliotheken) und  wie die Staatsregierung öffentliche Hochschulen und Universitäten bei der Überprüfung der entsprechenden Corona-Zertifikate unterstützt (finanziell, personell oder sonst wie), um einen möglichst für alle Menschen an unseren Hochschulen sicheren Forschungs- und Lehrbetrieb sicherzustellen?</w:t>
            </w:r>
          </w:p>
        </w:tc>
      </w:tr>
    </w:tbl>
    <w:p w:rsidR="00925EDE" w:rsidRDefault="00925EDE" w:rsidP="00925EDE">
      <w:pPr>
        <w:pStyle w:val="LTUeberschrAntwortRessort"/>
      </w:pPr>
      <w:r>
        <w:t>Antwort des Staatsministeriums für Wissenschaft und Kunst</w:t>
      </w:r>
    </w:p>
    <w:p w:rsidR="00925EDE" w:rsidRDefault="00925EDE" w:rsidP="00925EDE">
      <w:pPr>
        <w:pStyle w:val="LTAntwortRessortText"/>
      </w:pPr>
      <w:r>
        <w:t>In Abstimmung mit dem Staatsministerium für Gesundheit und Pflege wird auf die erste Frage bezüglich PCR-Testkapazitäten wie folgt geantwortet:</w:t>
      </w:r>
    </w:p>
    <w:p w:rsidR="00925EDE" w:rsidRDefault="00925EDE" w:rsidP="00925EDE">
      <w:pPr>
        <w:pStyle w:val="LTAntwortRessortText"/>
      </w:pPr>
      <w:r>
        <w:t>Die Staatsregierung ergreift alle ihr zu Verfü</w:t>
      </w:r>
      <w:r w:rsidR="00D8582E">
        <w:t>gung stehenden Maßnahmen zur Si</w:t>
      </w:r>
      <w:r>
        <w:t>cherstellung einer ausreichenden Kapazität für</w:t>
      </w:r>
      <w:r w:rsidR="00D8582E">
        <w:t xml:space="preserve"> PCR-Testungen. In diesem Zusam</w:t>
      </w:r>
      <w:r>
        <w:t>menhang ist allgemein jedoch der logistische A</w:t>
      </w:r>
      <w:r w:rsidR="00D8582E">
        <w:t>ufwand der PCR-Diagnostik zu be</w:t>
      </w:r>
      <w:r>
        <w:t>rücksichtigen. Sei</w:t>
      </w:r>
      <w:r w:rsidR="006139F3">
        <w:t>t KW </w:t>
      </w:r>
      <w:r>
        <w:t>45/2021 hat zudem die Anz</w:t>
      </w:r>
      <w:r w:rsidR="00D8582E">
        <w:t>ahl der wöchentlich durchgeführ</w:t>
      </w:r>
      <w:r>
        <w:t>ten PCR-Tests auf SARS-CoV-2 stark zugenommen; in einigen Regionen befinden sich Labore an den Grenzen ihrer Auslastung. Laut dem Be</w:t>
      </w:r>
      <w:r w:rsidR="00D8582E">
        <w:t>rufsverband Akkreditier</w:t>
      </w:r>
      <w:r>
        <w:t xml:space="preserve">ter Labore in der Medizin </w:t>
      </w:r>
      <w:r w:rsidR="003439F1">
        <w:t>e. V.</w:t>
      </w:r>
      <w:r>
        <w:t xml:space="preserve"> (ALM) sind die Labore derzeit bereits an der absoluten Belastungsobergrenze angelangt. Nach den aktuellste</w:t>
      </w:r>
      <w:r w:rsidR="006139F3">
        <w:t>n Zahlen wur</w:t>
      </w:r>
      <w:r w:rsidR="005A3D9B">
        <w:t>den in Bayern in KW 46 rund 338 </w:t>
      </w:r>
      <w:r w:rsidR="006139F3">
        <w:t>000 </w:t>
      </w:r>
      <w:r>
        <w:t>PCR-Tests durchgeführt. Dies entspricht einer Auslastung der Labore von etwa 99</w:t>
      </w:r>
      <w:r w:rsidR="006139F3">
        <w:t> </w:t>
      </w:r>
      <w:r w:rsidR="003439F1">
        <w:t>Prozent</w:t>
      </w:r>
      <w:r>
        <w:t>. Es mangelt dabei nicht an Material oder Gerätschaften der PCR-Auswertung, sondern am schwer beizukommen</w:t>
      </w:r>
      <w:r w:rsidR="00D8582E">
        <w:t>den qualifizierten Personal, so</w:t>
      </w:r>
      <w:r>
        <w:t>wohl in Bayern als auch in benachbarten deutschen Ländern. Daher ist aktuell in</w:t>
      </w:r>
      <w:r w:rsidR="00D8582E">
        <w:t>sge</w:t>
      </w:r>
      <w:r>
        <w:t>samt eine Priorisierung des Einsatzes von PCR-T</w:t>
      </w:r>
      <w:r w:rsidR="009B5C70">
        <w:t>ests gemäß der Nationalen Test</w:t>
      </w:r>
      <w:r>
        <w:t>strategie geboten. Dementsprechend sieht die derzeitige Teststrategie vor, dass</w:t>
      </w:r>
      <w:r w:rsidR="009B5C70">
        <w:t xml:space="preserve"> </w:t>
      </w:r>
      <w:r>
        <w:t>PCR-Testungen vor allem überall dort zum Einsatz kommen sollen, wo eine spezifische</w:t>
      </w:r>
      <w:r w:rsidR="009B5C70">
        <w:t xml:space="preserve"> </w:t>
      </w:r>
      <w:r>
        <w:t>und erhöhte Gefahr für eine Infektion mit dem Coronavirus besteht.</w:t>
      </w:r>
    </w:p>
    <w:p w:rsidR="00925EDE" w:rsidRDefault="00925EDE" w:rsidP="00925EDE">
      <w:pPr>
        <w:pStyle w:val="LTAntwortRessortText"/>
      </w:pPr>
      <w:r>
        <w:t>Auf die weiteren Fragen wird wie folgt geantwortet:</w:t>
      </w:r>
    </w:p>
    <w:p w:rsidR="00925EDE" w:rsidRDefault="00925EDE" w:rsidP="00925EDE">
      <w:pPr>
        <w:pStyle w:val="LTAntwortRessortText"/>
      </w:pPr>
      <w:r>
        <w:t>Soweit im Einzelfall die Kandidaten bei Prüfungen keinen PCR-Testnachweis erlangen</w:t>
      </w:r>
      <w:r w:rsidR="009B5C70">
        <w:t xml:space="preserve"> </w:t>
      </w:r>
      <w:r>
        <w:t>können, kann mit Blick auf den Stellenwert von Aus-, Fort- und Weiterbildung</w:t>
      </w:r>
      <w:r w:rsidR="009B5C70">
        <w:t xml:space="preserve"> </w:t>
      </w:r>
      <w:r>
        <w:t>und die Bedeutung der Prüfungen ersatzweise eine Zulassung auf der Basis eines</w:t>
      </w:r>
      <w:r w:rsidR="009B5C70">
        <w:t xml:space="preserve"> </w:t>
      </w:r>
      <w:r>
        <w:t>täglichen negativen Antigen-Schnelltests erfolgen. Die Kosten für diese Tests werden</w:t>
      </w:r>
      <w:r w:rsidR="009B5C70">
        <w:t xml:space="preserve"> </w:t>
      </w:r>
      <w:r>
        <w:t>seit dem 13.11.2021 wieder vom Bund im Rahmen der sog. Bürgertests übernommen</w:t>
      </w:r>
      <w:r w:rsidR="009B5C70">
        <w:t xml:space="preserve"> </w:t>
      </w:r>
      <w:r w:rsidR="006139F3">
        <w:t>(verwiesen wird hierzu auf § 4a Coronavirus-Testverordnung –</w:t>
      </w:r>
      <w:r>
        <w:t xml:space="preserve"> TestV). Für die</w:t>
      </w:r>
      <w:r w:rsidR="002F2578">
        <w:t xml:space="preserve"> </w:t>
      </w:r>
      <w:r>
        <w:t>Prüfer gilt die genannte Vollzugsausnahme nicht.</w:t>
      </w:r>
    </w:p>
    <w:p w:rsidR="00925EDE" w:rsidRDefault="00925EDE" w:rsidP="00925EDE">
      <w:pPr>
        <w:pStyle w:val="LTAntwortRessortText"/>
      </w:pPr>
      <w:r>
        <w:lastRenderedPageBreak/>
        <w:t>Soweit einzelne Personen sich aus medizinischen Gründen nicht impfen lassen können,</w:t>
      </w:r>
      <w:r w:rsidR="00BE4144">
        <w:t xml:space="preserve"> </w:t>
      </w:r>
      <w:r>
        <w:t xml:space="preserve">können sie auch </w:t>
      </w:r>
      <w:r w:rsidR="005A3D9B">
        <w:t xml:space="preserve">unter Geltung der 2G-Regel nach </w:t>
      </w:r>
      <w:r w:rsidR="007F64DF">
        <w:t>§ 5 Abs. 2 Satz 1</w:t>
      </w:r>
      <w:r w:rsidR="006139F3">
        <w:t> 4 Abs. </w:t>
      </w:r>
      <w:r>
        <w:t>3</w:t>
      </w:r>
      <w:r w:rsidR="005A3D9B">
        <w:t xml:space="preserve"> Nr. 1 </w:t>
      </w:r>
      <w:r w:rsidR="006139F3">
        <w:t>der 15. </w:t>
      </w:r>
      <w:r>
        <w:t>Bay</w:t>
      </w:r>
      <w:r w:rsidR="007F64DF">
        <w:t>erische Infektionsschutzmaßnahmenverordnung (BayIfSM</w:t>
      </w:r>
      <w:r>
        <w:t>V</w:t>
      </w:r>
      <w:r w:rsidR="007F64DF">
        <w:t>)</w:t>
      </w:r>
      <w:r>
        <w:t xml:space="preserve"> zum allgemeinen Lehr- und Hochschulbetrieb (insbesondere</w:t>
      </w:r>
      <w:r w:rsidR="00BE4144">
        <w:t xml:space="preserve"> </w:t>
      </w:r>
      <w:r>
        <w:t>auch zur Bibliotheksnutzung) zugelassen werden, wenn sie demgemäß die medizinische</w:t>
      </w:r>
      <w:r w:rsidR="00BE4144">
        <w:t xml:space="preserve"> </w:t>
      </w:r>
      <w:r>
        <w:t>Kontraindikation und einen aktuell gültigen negativen PCR-Test beziehungsweise</w:t>
      </w:r>
      <w:r w:rsidR="00BE4144">
        <w:t xml:space="preserve"> </w:t>
      </w:r>
      <w:r>
        <w:t>Nukleinsäuretest nachweisen. In diesen Fällen werden die Testkosten im</w:t>
      </w:r>
      <w:r w:rsidR="00BE4144">
        <w:t xml:space="preserve"> </w:t>
      </w:r>
      <w:r>
        <w:t>Rahmen der Bayerischen Teststrategie übernommen. Diese Regelung gilt auch für</w:t>
      </w:r>
      <w:r w:rsidR="00BE4144">
        <w:t xml:space="preserve"> </w:t>
      </w:r>
      <w:r>
        <w:t>Studierende, die mit einem von der EMA nicht zugelassenen Impfstoff geimpft wurden</w:t>
      </w:r>
      <w:r w:rsidR="00BE4144">
        <w:t xml:space="preserve"> </w:t>
      </w:r>
      <w:r>
        <w:t>und deshalb noch nicht im Sinne der einschlägigen Bestimmungen als geimpft</w:t>
      </w:r>
      <w:r w:rsidR="00BE4144">
        <w:t xml:space="preserve"> </w:t>
      </w:r>
      <w:r>
        <w:t>gelten. Für die Prüfungsteilnahme selbst wird ergänzend auf die oben genannte Vollzugsausnahme</w:t>
      </w:r>
      <w:r w:rsidR="00BE4144">
        <w:t xml:space="preserve"> </w:t>
      </w:r>
      <w:r>
        <w:t>bei Nichtverfügbarkeit von PCR-Tests hingewiesen.</w:t>
      </w:r>
    </w:p>
    <w:p w:rsidR="00925EDE" w:rsidRDefault="00925EDE" w:rsidP="00925EDE">
      <w:pPr>
        <w:pStyle w:val="LTAntwortRessortText"/>
      </w:pPr>
      <w:r>
        <w:t>Die Überprüfung der Impf-, Genesenen- oder Testnachweise wird von den einzelnen</w:t>
      </w:r>
      <w:r w:rsidR="00BE4144">
        <w:t xml:space="preserve"> </w:t>
      </w:r>
      <w:r>
        <w:t>Hochschulen in eigener Verantwortung und unter Beachtung der jeweiligen örtlichen</w:t>
      </w:r>
      <w:r w:rsidR="00BE4144">
        <w:t xml:space="preserve"> </w:t>
      </w:r>
      <w:r>
        <w:t>Gegebenheiten ausgestaltet. Grundlagen sind die jeweils geltende Bayerische Infektionsschutzmaßnahmenverordnung</w:t>
      </w:r>
      <w:r w:rsidR="00BE4144">
        <w:t xml:space="preserve"> </w:t>
      </w:r>
      <w:r>
        <w:t>sowie das Rahmenkonzept für Hochschulen. Zur</w:t>
      </w:r>
      <w:r w:rsidR="00BE4144">
        <w:t xml:space="preserve"> </w:t>
      </w:r>
      <w:r>
        <w:t>Kontrolle kann sowohl Personal der Hochschule als auch externes Personal zum</w:t>
      </w:r>
      <w:r w:rsidR="00BE4144">
        <w:t xml:space="preserve"> </w:t>
      </w:r>
      <w:r>
        <w:t>Einsatz kommen. Teilweise wird die Aufgabe durch bereits im Einsatz befindliches</w:t>
      </w:r>
      <w:r w:rsidR="00BE4144">
        <w:t xml:space="preserve"> </w:t>
      </w:r>
      <w:r>
        <w:t>Sicherheitspersonal oder (gerade bei kleineren Veranstaltungen) durch Lehrpersonal</w:t>
      </w:r>
      <w:r w:rsidR="00BE4144">
        <w:t xml:space="preserve"> </w:t>
      </w:r>
      <w:r>
        <w:t>wahrgenommen. Eine zentrale Steuerung und gesonderte Finanzierung der infektionsschutzrechtlichen</w:t>
      </w:r>
      <w:r w:rsidR="00BE4144">
        <w:t xml:space="preserve"> </w:t>
      </w:r>
      <w:r>
        <w:t>Zugangsregeln durch das Staatsministerium erfolgt auch vor</w:t>
      </w:r>
      <w:r w:rsidR="00BE4144">
        <w:t xml:space="preserve"> </w:t>
      </w:r>
      <w:r>
        <w:t>dem Hintergrund der großen Heterogenität der Hochschulen und des Lehrbetriebs nicht. Vielmehr nehmen die Hochschulen ihre Aufgaben eigenverantwortlich mit den Mitteln der Grundausstattung wahr, mit der der Freist</w:t>
      </w:r>
      <w:r w:rsidR="00D8582E">
        <w:t>aat Bayern zuverlässig die Leis</w:t>
      </w:r>
      <w:r>
        <w:t>tungsfähigkeit der Hochschulen sicherstellt.</w:t>
      </w:r>
    </w:p>
    <w:p w:rsidR="00925EDE" w:rsidRDefault="00925EDE" w:rsidP="00925EDE">
      <w:pPr>
        <w:pStyle w:val="LTAntwortRessortText"/>
      </w:pPr>
      <w:r>
        <w:t>Das Staatsministerium steht in engem und regelmäßigem Austausc</w:t>
      </w:r>
      <w:r w:rsidR="00D8582E">
        <w:t>h mit den Hoch</w:t>
      </w:r>
      <w:r>
        <w:t>schulen und ihren Verbünden zu allen Fragen, die sich im Zusammenhang mit den Maßnahmen zur Pandemiebewältigung stellen.</w:t>
      </w:r>
    </w:p>
    <w:p w:rsidR="00925EDE" w:rsidRDefault="00925EDE">
      <w:bookmarkStart w:id="55" w:name="Frage_Nr_27_Ende"/>
      <w:bookmarkEnd w:id="55"/>
      <w:r>
        <w:br w:type="page"/>
      </w:r>
    </w:p>
    <w:p w:rsidR="00925EDE" w:rsidRDefault="00925EDE" w:rsidP="00925EDE">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925EDE" w:rsidTr="007B0B33">
        <w:tc>
          <w:tcPr>
            <w:tcW w:w="2050" w:type="dxa"/>
          </w:tcPr>
          <w:p w:rsidR="00925EDE" w:rsidRDefault="00925EDE" w:rsidP="00925EDE">
            <w:pPr>
              <w:pStyle w:val="LTAnfrageInitiator"/>
            </w:pPr>
            <w:r>
              <w:t>Abgeordneter</w:t>
            </w:r>
            <w:r w:rsidR="00C04612">
              <w:rPr>
                <w:b/>
              </w:rPr>
              <w:br/>
              <w:t>Arif</w:t>
            </w:r>
            <w:r w:rsidR="00C04612">
              <w:rPr>
                <w:b/>
              </w:rPr>
              <w:br/>
              <w:t>Ta</w:t>
            </w:r>
            <w:r w:rsidR="00C04612">
              <w:rPr>
                <w:rFonts w:cs="Arial"/>
                <w:b/>
              </w:rPr>
              <w:t>ş</w:t>
            </w:r>
            <w:r>
              <w:rPr>
                <w:b/>
              </w:rPr>
              <w:t>delen</w:t>
            </w:r>
            <w:r>
              <w:rPr>
                <w:b/>
              </w:rPr>
              <w:br/>
            </w:r>
            <w:r>
              <w:t>(SPD)</w:t>
            </w:r>
            <w:bookmarkStart w:id="56" w:name="Frage_Nr_28"/>
            <w:bookmarkEnd w:id="56"/>
          </w:p>
        </w:tc>
        <w:tc>
          <w:tcPr>
            <w:tcW w:w="7200" w:type="dxa"/>
          </w:tcPr>
          <w:p w:rsidR="00925EDE" w:rsidRDefault="00F0093F" w:rsidP="00925EDE">
            <w:pPr>
              <w:pStyle w:val="LTAnfrageText"/>
            </w:pPr>
            <w:r w:rsidRPr="0067222C">
              <w:t>Ich frage die Staatsregierung, wie hoch pro Jahr von 2017 bis 2020 jeweils in Bayern und im Bundesgebiet der Prüfungsturnus bei Großbetrieben, Mittelbetrieben, Kleinbetrieben und Kleinstbetrieben war, wie jeweils in Bayern und im Bundesgebiet die steuerlichen Mehrergebnisse in den Betriebsgrößenklassen insgesamt und pro Betrieb waren und wie sich seit 2017 bis heute die Zahl der Betriebsprüfer in Bayern und im Bundesgebiet entwickelt hat bzw. wie soll sich die Zahl der Betriebsprüfer und der Prüfungsturnus in den jeweiligen Betriebsgrößenklassen nach den Planungen der Staatsregierung in Bayern künftig entwickeln?</w:t>
            </w:r>
          </w:p>
        </w:tc>
      </w:tr>
    </w:tbl>
    <w:p w:rsidR="00925EDE" w:rsidRDefault="00925EDE" w:rsidP="00925EDE">
      <w:pPr>
        <w:pStyle w:val="LTUeberschrAntwortRessort"/>
      </w:pPr>
      <w:r>
        <w:t>Antwort des Staatsministeriums der Finanzen und für Heimat</w:t>
      </w:r>
    </w:p>
    <w:p w:rsidR="00925EDE" w:rsidRDefault="00925EDE" w:rsidP="00925EDE">
      <w:pPr>
        <w:pStyle w:val="LTAntwortRessortText"/>
      </w:pPr>
      <w:r>
        <w:t>Es wird ausdrücklich darauf hingewiesen, d</w:t>
      </w:r>
      <w:r w:rsidR="00D8582E">
        <w:t>ass der rechnerischen Größe Prü</w:t>
      </w:r>
      <w:r>
        <w:t>fungsturnus für die Fallauswahl in der Betr</w:t>
      </w:r>
      <w:r w:rsidR="00D8582E">
        <w:t>iebsprüfung nur eine geringe Be</w:t>
      </w:r>
      <w:r>
        <w:t>deutung zukommt. Diese erfolgt heute IT-ges</w:t>
      </w:r>
      <w:r w:rsidR="00D8582E">
        <w:t>tützt vor allem anhand des steu</w:t>
      </w:r>
      <w:r>
        <w:t xml:space="preserve">erlichen Risikos bestimmter Branchen oder Sachverhalte und nicht danach, wie lange die letzte Prüfung zurückliegt. Großbetriebe werden in der Regel lückenlos für jeden Veranlagungszeitraum </w:t>
      </w:r>
      <w:r w:rsidR="00D8582E">
        <w:t>geprüft (Anschlussprüfung). Ins</w:t>
      </w:r>
      <w:r>
        <w:t>besondere bei Kleinstbetrieben ist eine umfassende Sachverhaltsermittlung, wie sie nur von der Betriebsprüfung vorgenommen werden kann, in einem Großteil der Fälle weder erforderlich noch zielführend. Dem Prüfungsturnus kommt insoweit nur eine sehr eingeschränkte Aussagekraft zu.</w:t>
      </w:r>
    </w:p>
    <w:p w:rsidR="00925EDE" w:rsidRDefault="00925EDE" w:rsidP="00925EDE">
      <w:pPr>
        <w:pStyle w:val="LTAntwortRessortText"/>
      </w:pPr>
      <w:r>
        <w:t>Dies vorausgeschickt folgende statistischen Daten: Der Prüfungsturnus fü</w:t>
      </w:r>
      <w:r w:rsidR="000C2626">
        <w:t>r Großbetriebe betrug in Bayern 2017 4,92 Jahre, 2018 5,1 Jahre, 2019 5,48 Jahre und 2020 5,87 </w:t>
      </w:r>
      <w:r>
        <w:t>Jahre. Im bundesweiten Durchschnitt lag der Prüfung</w:t>
      </w:r>
      <w:r w:rsidR="000C2626">
        <w:t>s</w:t>
      </w:r>
      <w:r>
        <w:t xml:space="preserve">turnus </w:t>
      </w:r>
      <w:r w:rsidR="000C2626">
        <w:t>bei Großbetrieben 2017 bei 4,58 Jahren, 2018 bei 4,64 Jahren, 2019 bei 5,05 Jahren und 2020 bei 5,74 </w:t>
      </w:r>
      <w:r>
        <w:t>Jahren. Fü</w:t>
      </w:r>
      <w:r w:rsidR="00D8582E">
        <w:t>r Mittelbetriebe betrug der Prü</w:t>
      </w:r>
      <w:r>
        <w:t>f</w:t>
      </w:r>
      <w:r w:rsidR="000C2626">
        <w:t>ungsturnus in Bayern 2017 22,24 Jahre, 2018 22,96 Jahre, 2019 23,34 Jahre und 2020 </w:t>
      </w:r>
      <w:r>
        <w:t>25,11 Jahre. Im bundesweiten Durchschnitt lag der Prüfungsturnus bei</w:t>
      </w:r>
      <w:r w:rsidR="000C2626">
        <w:t xml:space="preserve"> Mittelbetrieben 2017 bei 15,81 Jahren, 2018 bei 15,77 Jahren, 2019 bei 17,1 Jahren und 2020 bei 20,2 </w:t>
      </w:r>
      <w:r>
        <w:t>Jahren. Der Prüfungsturnus für Klei</w:t>
      </w:r>
      <w:r w:rsidR="000C2626">
        <w:t>nbetriebe betrug in Bayern 2017 37,99 Jahre, 2018 41,02 Jahre, 2019 </w:t>
      </w:r>
      <w:r>
        <w:t>43,6</w:t>
      </w:r>
      <w:r w:rsidR="000C2626">
        <w:t>8 Jahre und 2020 45,81 </w:t>
      </w:r>
      <w:r>
        <w:t>Jahre. Im bundesweiten Durchschnitt lag der Prüfungstur</w:t>
      </w:r>
      <w:r w:rsidR="000C2626">
        <w:t>nus bei Kleinbetrieben 2017 bei 30,53 Jahren, 2018 bei 31 Jahren, 2019 bei 34,72 Jahren und 2020 bei 42,66 </w:t>
      </w:r>
      <w:r>
        <w:t>Jahren. Der Prüfungsturnus für Kleins</w:t>
      </w:r>
      <w:r w:rsidR="000C2626">
        <w:t>tbetriebe betrug in Bayern 2017 </w:t>
      </w:r>
      <w:r>
        <w:t>13</w:t>
      </w:r>
      <w:r w:rsidR="000C2626">
        <w:t>3,21 Jahre, 2018 134,22 Jahre, 2019 163,29 Jahre und 2020 177,75 </w:t>
      </w:r>
      <w:r>
        <w:t>Jahre. Im bundesweiten D</w:t>
      </w:r>
      <w:r w:rsidR="00D8582E">
        <w:t>urchschnitt lag der Prüfungstur</w:t>
      </w:r>
      <w:r>
        <w:t>nus bei</w:t>
      </w:r>
      <w:r w:rsidR="000C2626">
        <w:t xml:space="preserve"> Kleinstbetrieben 2017 bei 95,7 Jahren, 2018 bei 93,92 Jahren, 2019 bei 105,09 Jahren und 2020 bei 126,58 </w:t>
      </w:r>
      <w:r>
        <w:t>Jahren.</w:t>
      </w:r>
    </w:p>
    <w:p w:rsidR="00925EDE" w:rsidRDefault="00925EDE" w:rsidP="00C04612">
      <w:pPr>
        <w:pStyle w:val="LTAntwortRessortText"/>
      </w:pPr>
      <w:r>
        <w:t>Die steuerlichen Mehrergebnisse der Betriebsprüfung in Bayern betrugen bei d</w:t>
      </w:r>
      <w:r w:rsidR="000C2626">
        <w:t>en Großbetrieben insgesamt 2017 2.880 Mio. </w:t>
      </w:r>
      <w:r w:rsidR="003439F1">
        <w:t>Euro</w:t>
      </w:r>
      <w:r w:rsidR="000C2626">
        <w:t>, 2018 2.259 Mio. </w:t>
      </w:r>
      <w:r w:rsidR="003439F1">
        <w:t>Euro</w:t>
      </w:r>
      <w:r w:rsidR="000C2626">
        <w:t>, 2019 2.600 Mio. </w:t>
      </w:r>
      <w:r w:rsidR="003439F1">
        <w:t>Euro</w:t>
      </w:r>
      <w:r w:rsidR="000C2626">
        <w:t xml:space="preserve"> und 2020 2.198 Mio. </w:t>
      </w:r>
      <w:r w:rsidR="003439F1">
        <w:t>Euro</w:t>
      </w:r>
      <w:r>
        <w:t xml:space="preserve"> sowie d</w:t>
      </w:r>
      <w:r w:rsidR="00D8582E">
        <w:t>urchschnittlich je geprüften Be</w:t>
      </w:r>
      <w:r w:rsidR="000C2626">
        <w:t>trieb 2017 403.866 </w:t>
      </w:r>
      <w:r w:rsidR="003439F1">
        <w:t>Euro</w:t>
      </w:r>
      <w:r w:rsidR="000C2626">
        <w:t>, 2018 328.700 </w:t>
      </w:r>
      <w:r w:rsidR="003439F1">
        <w:t>Euro</w:t>
      </w:r>
      <w:r w:rsidR="000C2626">
        <w:t>, 2019 386.538 </w:t>
      </w:r>
      <w:r w:rsidR="003439F1">
        <w:t>Euro</w:t>
      </w:r>
      <w:r w:rsidR="000C2626">
        <w:t xml:space="preserve"> und 2020 </w:t>
      </w:r>
      <w:r>
        <w:t xml:space="preserve">350.238 </w:t>
      </w:r>
      <w:r w:rsidR="003439F1">
        <w:t>Euro</w:t>
      </w:r>
      <w:r>
        <w:t>.</w:t>
      </w:r>
    </w:p>
    <w:p w:rsidR="00925EDE" w:rsidRDefault="00925EDE" w:rsidP="00925EDE">
      <w:pPr>
        <w:pStyle w:val="LTAntwortRessortText"/>
      </w:pPr>
      <w:r>
        <w:t>Bundesweit wurde bei den Großbetrieben 2</w:t>
      </w:r>
      <w:r w:rsidR="000C2626">
        <w:t>017 ein Mehrergebnis von 13.830 Mio. </w:t>
      </w:r>
      <w:r w:rsidR="003439F1">
        <w:t>Euro</w:t>
      </w:r>
      <w:r w:rsidR="000C2626">
        <w:t>, 2018 10.144 Mio. </w:t>
      </w:r>
      <w:r w:rsidR="003439F1">
        <w:t>Euro</w:t>
      </w:r>
      <w:r w:rsidR="000C2626">
        <w:t>, 2019 11.596 Mio. </w:t>
      </w:r>
      <w:r w:rsidR="003439F1">
        <w:t>Euro</w:t>
      </w:r>
      <w:r w:rsidR="000C2626">
        <w:t xml:space="preserve"> und </w:t>
      </w:r>
      <w:r w:rsidR="000C2626">
        <w:lastRenderedPageBreak/>
        <w:t>2020 7.920 Mio. </w:t>
      </w:r>
      <w:r w:rsidR="003439F1">
        <w:t>Euro</w:t>
      </w:r>
      <w:r>
        <w:t xml:space="preserve"> erzielt. Je geprüften Betrieb entspricht dies einem Durchs</w:t>
      </w:r>
      <w:r w:rsidR="000C2626">
        <w:t>chnittswert von 2017 340.068 </w:t>
      </w:r>
      <w:r w:rsidR="003439F1">
        <w:t>Euro</w:t>
      </w:r>
      <w:r w:rsidR="000C2626">
        <w:t>, 2018 252.446 </w:t>
      </w:r>
      <w:r w:rsidR="003439F1">
        <w:t>Euro</w:t>
      </w:r>
      <w:r w:rsidR="000C2626">
        <w:t>, 2019 298.292 </w:t>
      </w:r>
      <w:r w:rsidR="003439F1">
        <w:t>Euro</w:t>
      </w:r>
      <w:r w:rsidR="000C2626">
        <w:t xml:space="preserve"> und 2020 231.836 </w:t>
      </w:r>
      <w:r w:rsidR="003439F1">
        <w:t>Euro</w:t>
      </w:r>
      <w:r>
        <w:t>.</w:t>
      </w:r>
    </w:p>
    <w:p w:rsidR="00925EDE" w:rsidRDefault="00925EDE" w:rsidP="00925EDE">
      <w:pPr>
        <w:pStyle w:val="LTAntwortRessortText"/>
      </w:pPr>
      <w:r>
        <w:t>Die steuerlichen Mehrergebnisse der Betriebsprüfung in Bayern betrugen bei den</w:t>
      </w:r>
      <w:r w:rsidR="000C2626">
        <w:t xml:space="preserve"> Mittelbetrieben insgesamt 2017 221 Mio. </w:t>
      </w:r>
      <w:r w:rsidR="003439F1">
        <w:t>Euro</w:t>
      </w:r>
      <w:r w:rsidR="000C2626">
        <w:t>, 2018 215 Mio. </w:t>
      </w:r>
      <w:r w:rsidR="003439F1">
        <w:t>Euro</w:t>
      </w:r>
      <w:r w:rsidR="000C2626">
        <w:t>, 2019 228 Mio. </w:t>
      </w:r>
      <w:r w:rsidR="003439F1">
        <w:t>Euro</w:t>
      </w:r>
      <w:r w:rsidR="000C2626">
        <w:t xml:space="preserve"> und 2020 178 Mio. </w:t>
      </w:r>
      <w:r w:rsidR="003439F1">
        <w:t>Euro</w:t>
      </w:r>
      <w:r>
        <w:t xml:space="preserve"> sowie durchschnit</w:t>
      </w:r>
      <w:r w:rsidR="000C2626">
        <w:t>tlich je geprüften Betrieb 2017 32.937 </w:t>
      </w:r>
      <w:r w:rsidR="003439F1">
        <w:t>Euro</w:t>
      </w:r>
      <w:r w:rsidR="000C2626">
        <w:t>, 2018 32.971 </w:t>
      </w:r>
      <w:r w:rsidR="003439F1">
        <w:t>Euro</w:t>
      </w:r>
      <w:r w:rsidR="000C2626">
        <w:t>, 2019 35.149 </w:t>
      </w:r>
      <w:r w:rsidR="003439F1">
        <w:t>Euro</w:t>
      </w:r>
      <w:r w:rsidR="000C2626">
        <w:t xml:space="preserve"> und 2020 29.616 </w:t>
      </w:r>
      <w:r w:rsidR="003439F1">
        <w:t>Euro</w:t>
      </w:r>
      <w:r>
        <w:t>.</w:t>
      </w:r>
      <w:r w:rsidR="00D17A96">
        <w:t xml:space="preserve"> </w:t>
      </w:r>
      <w:r>
        <w:t xml:space="preserve">Bundesweit wurde bei den Mittelbetrieben </w:t>
      </w:r>
      <w:r w:rsidR="000C2626">
        <w:t>2017 ein Mehrergebnis von 1.349 Mio. </w:t>
      </w:r>
      <w:r w:rsidR="003439F1">
        <w:t>Euro</w:t>
      </w:r>
      <w:r w:rsidR="000C2626">
        <w:t>, 2018 1.332 Mio. </w:t>
      </w:r>
      <w:r w:rsidR="003439F1">
        <w:t>Euro</w:t>
      </w:r>
      <w:r w:rsidR="000C2626">
        <w:t>, 2019 1.203 Mio. </w:t>
      </w:r>
      <w:r w:rsidR="003439F1">
        <w:t>Euro</w:t>
      </w:r>
      <w:r w:rsidR="000C2626">
        <w:t xml:space="preserve"> und 2020 1.065 Mio. </w:t>
      </w:r>
      <w:r w:rsidR="003439F1">
        <w:t>Euro</w:t>
      </w:r>
      <w:r>
        <w:t xml:space="preserve"> erzielt. Je geprüften Betrieb entspricht dies e</w:t>
      </w:r>
      <w:r w:rsidR="000C2626">
        <w:t>inem Durchschnittswert von 2017 26.913 </w:t>
      </w:r>
      <w:r w:rsidR="003439F1">
        <w:t>Euro</w:t>
      </w:r>
      <w:r w:rsidR="000C2626">
        <w:t>, 2018 26.501 </w:t>
      </w:r>
      <w:r w:rsidR="003439F1">
        <w:t>Euro</w:t>
      </w:r>
      <w:r w:rsidR="000C2626">
        <w:t>, 2019 25.093 </w:t>
      </w:r>
      <w:r w:rsidR="003439F1">
        <w:t>Euro</w:t>
      </w:r>
      <w:r w:rsidR="000C2626">
        <w:t xml:space="preserve"> und 2020 </w:t>
      </w:r>
      <w:r>
        <w:t xml:space="preserve">26.246 </w:t>
      </w:r>
      <w:r w:rsidR="003439F1">
        <w:t>Euro</w:t>
      </w:r>
      <w:r>
        <w:t>.</w:t>
      </w:r>
    </w:p>
    <w:p w:rsidR="00925EDE" w:rsidRDefault="00925EDE" w:rsidP="00925EDE">
      <w:pPr>
        <w:pStyle w:val="LTAntwortRessortText"/>
      </w:pPr>
      <w:r>
        <w:t>Bei den Kleinbetrieben betrugen die ste</w:t>
      </w:r>
      <w:r w:rsidR="00D8582E">
        <w:t>uerlichen Mehrergebnisse der Be</w:t>
      </w:r>
      <w:r>
        <w:t>triebsp</w:t>
      </w:r>
      <w:r w:rsidR="000C2626">
        <w:t>rüfung in Bayern insgesamt 2017 113 Mio. </w:t>
      </w:r>
      <w:r w:rsidR="003439F1">
        <w:t>Euro</w:t>
      </w:r>
      <w:r w:rsidR="000C2626">
        <w:t>, 2018 121 Mio. </w:t>
      </w:r>
      <w:r w:rsidR="003439F1">
        <w:t>Euro</w:t>
      </w:r>
      <w:r w:rsidR="000C2626">
        <w:t>, 2019 100 Mio. </w:t>
      </w:r>
      <w:r w:rsidR="003439F1">
        <w:t>Euro</w:t>
      </w:r>
      <w:r w:rsidR="000C2626">
        <w:t xml:space="preserve"> und 2020 95 Mio. </w:t>
      </w:r>
      <w:r w:rsidR="003439F1">
        <w:t>Euro</w:t>
      </w:r>
      <w:r>
        <w:t xml:space="preserve"> sowie durchschnit</w:t>
      </w:r>
      <w:r w:rsidR="000C2626">
        <w:t>tlich je geprüften Betrieb 2017 20.907 </w:t>
      </w:r>
      <w:r w:rsidR="003439F1">
        <w:t>Euro</w:t>
      </w:r>
      <w:r w:rsidR="000C2626">
        <w:t>, 2018 24.183 </w:t>
      </w:r>
      <w:r w:rsidR="003439F1">
        <w:t>Euro</w:t>
      </w:r>
      <w:r w:rsidR="000C2626">
        <w:t>, 2019 21.937 </w:t>
      </w:r>
      <w:r w:rsidR="003439F1">
        <w:t>Euro</w:t>
      </w:r>
      <w:r w:rsidR="000C2626">
        <w:t xml:space="preserve"> und 2020 21.811 </w:t>
      </w:r>
      <w:r w:rsidR="003439F1">
        <w:t>Euro</w:t>
      </w:r>
      <w:r>
        <w:t>.</w:t>
      </w:r>
      <w:r w:rsidR="00D17A96">
        <w:t xml:space="preserve"> </w:t>
      </w:r>
      <w:r>
        <w:t>Bundesweit wurde bei den Kleinbetriebe</w:t>
      </w:r>
      <w:r w:rsidR="000C2626">
        <w:t>n 2017 ein Mehrergebnis von 713 Mio. </w:t>
      </w:r>
      <w:r w:rsidR="003439F1">
        <w:t>Euro</w:t>
      </w:r>
      <w:r w:rsidR="000C2626">
        <w:t>, 2018 746 Mio. </w:t>
      </w:r>
      <w:r w:rsidR="003439F1">
        <w:t>Euro</w:t>
      </w:r>
      <w:r>
        <w:t>, 2019</w:t>
      </w:r>
      <w:r w:rsidR="000C2626">
        <w:t> </w:t>
      </w:r>
      <w:r w:rsidR="00D26BBF">
        <w:t>740 Mio. </w:t>
      </w:r>
      <w:r w:rsidR="003439F1">
        <w:t>Euro</w:t>
      </w:r>
      <w:r w:rsidR="00D26BBF">
        <w:t xml:space="preserve"> und 2020 617 Mio. </w:t>
      </w:r>
      <w:r w:rsidR="003439F1">
        <w:t>Euro</w:t>
      </w:r>
      <w:r w:rsidR="00D8582E">
        <w:t xml:space="preserve"> erzielt. Je ge</w:t>
      </w:r>
      <w:r>
        <w:t>prüften Betrieb entspricht dies e</w:t>
      </w:r>
      <w:r w:rsidR="00F97F7B">
        <w:t>inem Durchschnittswert von 2017 18.278 </w:t>
      </w:r>
      <w:r w:rsidR="003439F1">
        <w:t>Euro</w:t>
      </w:r>
      <w:r w:rsidR="00F97F7B">
        <w:t>, 2018 19.406 </w:t>
      </w:r>
      <w:r w:rsidR="003439F1">
        <w:t>Euro</w:t>
      </w:r>
      <w:r w:rsidR="00F97F7B">
        <w:t>, 2019 20.489 </w:t>
      </w:r>
      <w:r w:rsidR="003439F1">
        <w:t>Euro</w:t>
      </w:r>
      <w:r>
        <w:t xml:space="preserve"> und </w:t>
      </w:r>
      <w:r w:rsidR="00F97F7B">
        <w:t>2020 21.012 </w:t>
      </w:r>
      <w:r w:rsidR="003439F1">
        <w:t>Euro</w:t>
      </w:r>
      <w:r>
        <w:t>.</w:t>
      </w:r>
    </w:p>
    <w:p w:rsidR="00925EDE" w:rsidRDefault="00925EDE" w:rsidP="00925EDE">
      <w:pPr>
        <w:pStyle w:val="LTAntwortRessortText"/>
      </w:pPr>
      <w:r>
        <w:t>Bei den Kleinstbetrieben betrugen die ste</w:t>
      </w:r>
      <w:r w:rsidR="00D8582E">
        <w:t>uerlichen Mehrergebnisse der Be</w:t>
      </w:r>
      <w:r>
        <w:t>triebsp</w:t>
      </w:r>
      <w:r w:rsidR="00F97F7B">
        <w:t>rüfung in Bayern insgesamt 2017 137 Mio. </w:t>
      </w:r>
      <w:r w:rsidR="003439F1">
        <w:t>Euro</w:t>
      </w:r>
      <w:r w:rsidR="007F64DF">
        <w:t xml:space="preserve">, 2018 161 Mio. </w:t>
      </w:r>
      <w:r w:rsidR="003439F1">
        <w:t>Euro</w:t>
      </w:r>
      <w:r w:rsidR="00F97F7B">
        <w:t>, 2019 144 Mio. </w:t>
      </w:r>
      <w:r w:rsidR="003439F1">
        <w:t>Euro</w:t>
      </w:r>
      <w:r w:rsidR="00F97F7B">
        <w:t xml:space="preserve"> und 2020 206 Mio. </w:t>
      </w:r>
      <w:r w:rsidR="003439F1">
        <w:t>Euro</w:t>
      </w:r>
      <w:r>
        <w:t xml:space="preserve"> sowie durchschnit</w:t>
      </w:r>
      <w:r w:rsidR="00F97F7B">
        <w:t>tlich je geprüften Betrieb 2017 </w:t>
      </w:r>
      <w:r>
        <w:t>1</w:t>
      </w:r>
      <w:r w:rsidR="00F97F7B">
        <w:t>9.146 </w:t>
      </w:r>
      <w:r w:rsidR="003439F1">
        <w:t>Euro</w:t>
      </w:r>
      <w:r w:rsidR="00F97F7B">
        <w:t>, 2018 22.637 </w:t>
      </w:r>
      <w:r w:rsidR="003439F1">
        <w:t>Euro</w:t>
      </w:r>
      <w:r w:rsidR="00F97F7B">
        <w:t>, 2019 20.438 </w:t>
      </w:r>
      <w:r w:rsidR="003439F1">
        <w:t>Euro</w:t>
      </w:r>
      <w:r w:rsidR="00F97F7B">
        <w:t xml:space="preserve"> und 2020 31.820 </w:t>
      </w:r>
      <w:r w:rsidR="003439F1">
        <w:t>Euro</w:t>
      </w:r>
      <w:r>
        <w:t>.</w:t>
      </w:r>
      <w:r w:rsidR="00D17A96">
        <w:t xml:space="preserve"> </w:t>
      </w:r>
      <w:r>
        <w:t>Bundesweit wurde bei den Kleinstbetriebe</w:t>
      </w:r>
      <w:r w:rsidR="00F97F7B">
        <w:t>n 2017 ein Mehrergebnis von 866 Mio. </w:t>
      </w:r>
      <w:r w:rsidR="003439F1">
        <w:t>Euro</w:t>
      </w:r>
      <w:r w:rsidR="00F97F7B">
        <w:t>, 2018 1.015 </w:t>
      </w:r>
      <w:r>
        <w:t xml:space="preserve">Mio. </w:t>
      </w:r>
      <w:r w:rsidR="003439F1">
        <w:t>Euro</w:t>
      </w:r>
      <w:r w:rsidR="00F97F7B">
        <w:t>, 2019 1.137 Mio. </w:t>
      </w:r>
      <w:r w:rsidR="003439F1">
        <w:t>Euro</w:t>
      </w:r>
      <w:r w:rsidR="00F97F7B">
        <w:t xml:space="preserve"> und 2020 1.055 Mio. </w:t>
      </w:r>
      <w:r w:rsidR="003439F1">
        <w:t>Euro</w:t>
      </w:r>
      <w:r>
        <w:t xml:space="preserve"> erzielt. Je geprüften Betrieb entspricht dies e</w:t>
      </w:r>
      <w:r w:rsidR="00F97F7B">
        <w:t>inem Durchschnittswert von 2017 14.673 </w:t>
      </w:r>
      <w:r w:rsidR="003439F1">
        <w:t>Euro</w:t>
      </w:r>
      <w:r w:rsidR="00F97F7B">
        <w:t>, 2018 16.887 </w:t>
      </w:r>
      <w:r w:rsidR="003439F1">
        <w:t>Euro</w:t>
      </w:r>
      <w:r w:rsidR="00F97F7B">
        <w:t>, 2019 19.465 </w:t>
      </w:r>
      <w:r w:rsidR="003439F1">
        <w:t>Euro</w:t>
      </w:r>
      <w:r w:rsidR="00F97F7B">
        <w:t xml:space="preserve"> und 2020 21.742 </w:t>
      </w:r>
      <w:r w:rsidR="003439F1">
        <w:t>Euro</w:t>
      </w:r>
      <w:r>
        <w:t>.</w:t>
      </w:r>
    </w:p>
    <w:p w:rsidR="00925EDE" w:rsidRDefault="00925EDE" w:rsidP="00925EDE">
      <w:pPr>
        <w:pStyle w:val="LTAntwortRessortText"/>
      </w:pPr>
      <w:r>
        <w:t>Zum 01.01.2017 waren in Bayern 2045,5 und bundesweit 13.650,03 Prüfer, zum 01.01.2018 waren in Bayern 1986,8 und bundesweit 13.524,59 Prüfer, zum 01.01.2019 waren in Bayern 2020,86 und bundesweit 13.340,77 sowie zum 01.01.2020 waren in Bayern 1958,43 und bundesweit 12.663,75 Prüfer in der Betriebsprüfung im Einsatz. Auch zukün</w:t>
      </w:r>
      <w:r w:rsidR="007F64DF">
        <w:t xml:space="preserve">ftig wird die </w:t>
      </w:r>
      <w:r w:rsidR="00D8582E">
        <w:t>Staats</w:t>
      </w:r>
      <w:r>
        <w:t>regierung auf eine angemessene Ausstattung der Außenprüfungsdienste achten.</w:t>
      </w:r>
    </w:p>
    <w:p w:rsidR="00925EDE" w:rsidRDefault="00925EDE">
      <w:bookmarkStart w:id="57" w:name="Frage_Nr_28_Ende"/>
      <w:bookmarkEnd w:id="57"/>
      <w:r>
        <w:br w:type="page"/>
      </w:r>
    </w:p>
    <w:p w:rsidR="00925EDE" w:rsidRDefault="00925EDE" w:rsidP="00925EDE">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5"/>
        <w:gridCol w:w="5791"/>
      </w:tblGrid>
      <w:tr w:rsidR="00925EDE" w:rsidTr="007B0B33">
        <w:tc>
          <w:tcPr>
            <w:tcW w:w="2050" w:type="dxa"/>
          </w:tcPr>
          <w:p w:rsidR="00925EDE" w:rsidRDefault="00925EDE" w:rsidP="00925EDE">
            <w:pPr>
              <w:pStyle w:val="LTAnfrageInitiator"/>
            </w:pPr>
            <w:r>
              <w:t>Abgeordneter</w:t>
            </w:r>
            <w:r>
              <w:rPr>
                <w:b/>
              </w:rPr>
              <w:br/>
              <w:t>Albert</w:t>
            </w:r>
            <w:r>
              <w:rPr>
                <w:b/>
              </w:rPr>
              <w:br/>
              <w:t>Duin</w:t>
            </w:r>
            <w:r>
              <w:rPr>
                <w:b/>
              </w:rPr>
              <w:br/>
            </w:r>
            <w:r>
              <w:t>(FDP)</w:t>
            </w:r>
            <w:bookmarkStart w:id="58" w:name="Frage_Nr_29"/>
            <w:bookmarkEnd w:id="58"/>
          </w:p>
        </w:tc>
        <w:tc>
          <w:tcPr>
            <w:tcW w:w="7200" w:type="dxa"/>
          </w:tcPr>
          <w:p w:rsidR="00925EDE" w:rsidRDefault="00F0093F" w:rsidP="00925EDE">
            <w:pPr>
              <w:pStyle w:val="LTAnfrageText"/>
            </w:pPr>
            <w:r w:rsidRPr="0067222C">
              <w:t>Ich frage die Staatsregierung, mit wie vielen Anträgen auf Unternehmerlohn für Marktkaufleute und Schausteller sie von November 2021 bis März 2022 insgesamt rechnet, wie sichergestellt wird, dass der Unternehmerlohn in Höhe von 1.500 Euro monatlich angesichts der Verlängerung und Verbesserung der Überbrückungshilfe in voller Höhe bei den Betroffenen ankommt und inwiefern eine Finanzierung des Unternehmerlohnes aus der Härtefallhilfe möglich ist, wo deren Ziel doch darin besteht, Unternehmen und Selbstständige zu unterstützen, die in den bestehenden Hilfsprogrammen von Bund und Ländern nicht berücksichtigt sind?</w:t>
            </w:r>
          </w:p>
        </w:tc>
      </w:tr>
    </w:tbl>
    <w:p w:rsidR="00925EDE" w:rsidRDefault="00925EDE" w:rsidP="00925EDE">
      <w:pPr>
        <w:pStyle w:val="LTUeberschrAntwortRessort"/>
      </w:pPr>
      <w:r>
        <w:t>Antwort des Staatsministeriums für Wirtschaft, Landesentwicklung und Energie</w:t>
      </w:r>
    </w:p>
    <w:p w:rsidR="00925EDE" w:rsidRDefault="00925EDE" w:rsidP="00925EDE">
      <w:pPr>
        <w:pStyle w:val="LTAntwortRessortText"/>
      </w:pPr>
      <w:r>
        <w:t>Der geplante Unternehmerlohn kommt den betroffenen Unternehmen neben der Überbrückungshilfe</w:t>
      </w:r>
      <w:r w:rsidR="004F65DE">
        <w:t xml:space="preserve"> </w:t>
      </w:r>
      <w:r>
        <w:t>des Bundes zugute, da ein Unternehmerlohn nicht auf die Überbrückungshilfe</w:t>
      </w:r>
      <w:r w:rsidR="004F65DE">
        <w:t xml:space="preserve"> </w:t>
      </w:r>
      <w:r>
        <w:t>anzurechnen ist. Die Überbrückungshilfe sieht vor, dass Leistungen aus</w:t>
      </w:r>
      <w:r w:rsidR="004F65DE">
        <w:t xml:space="preserve"> </w:t>
      </w:r>
      <w:r w:rsidR="007F64DF">
        <w:t>anderen corona</w:t>
      </w:r>
      <w:r>
        <w:t>bedingten Förderprogrammen der Länder auf die Leistungen der</w:t>
      </w:r>
      <w:r w:rsidR="004F65DE">
        <w:t xml:space="preserve"> </w:t>
      </w:r>
      <w:r>
        <w:t>Überbrückungshilfe nur angerechnet werden, soweit der Zweck der Leistung identisch</w:t>
      </w:r>
      <w:r w:rsidR="004F65DE">
        <w:t xml:space="preserve"> </w:t>
      </w:r>
      <w:r>
        <w:t>ist. Förderzweck eines Unternehmerlohns ist grundsätzlich nicht die Deckung betrieblicher</w:t>
      </w:r>
      <w:r w:rsidR="004F65DE">
        <w:t xml:space="preserve"> </w:t>
      </w:r>
      <w:r>
        <w:t>Kosten wie bei der Überbrückungshilfe, sondern die Deckung des Lebensunterhalts</w:t>
      </w:r>
      <w:r w:rsidR="004F65DE">
        <w:t xml:space="preserve"> </w:t>
      </w:r>
      <w:r>
        <w:t>des Unternehmers oder Selbständigen.</w:t>
      </w:r>
    </w:p>
    <w:p w:rsidR="00925EDE" w:rsidRDefault="00925EDE" w:rsidP="00925EDE">
      <w:pPr>
        <w:pStyle w:val="LTAntwortRessortText"/>
      </w:pPr>
      <w:r>
        <w:t>Um eine zeitnahe Antragstellung und Abwicklung sicherzustellen, soll auf das elektronische</w:t>
      </w:r>
      <w:r w:rsidR="00460553">
        <w:t xml:space="preserve"> </w:t>
      </w:r>
      <w:r>
        <w:t>Antrags- und Fachverfahren der Bayerischen Corona-Härtefallhilfe zurückgegriffen</w:t>
      </w:r>
      <w:r w:rsidR="00460553">
        <w:t xml:space="preserve"> </w:t>
      </w:r>
      <w:r>
        <w:t xml:space="preserve">werden. Dementsprechend wird die </w:t>
      </w:r>
      <w:r w:rsidR="003439F1">
        <w:t>„</w:t>
      </w:r>
      <w:r>
        <w:t>Bayerische Sonderhilfe Weihnachtsmärkte</w:t>
      </w:r>
      <w:r w:rsidR="003439F1">
        <w:t>“</w:t>
      </w:r>
      <w:r w:rsidR="00460553">
        <w:t xml:space="preserve"> </w:t>
      </w:r>
      <w:r>
        <w:t>zwar technisch als Programmteil der Bayerischen Corona-Härtefallhilfe konzipiert,</w:t>
      </w:r>
      <w:r w:rsidR="00460553">
        <w:t xml:space="preserve"> </w:t>
      </w:r>
      <w:r>
        <w:t>aber sie wird vollständig aus Landesmitteln finanziert, ohne Ko-Finanzierung des</w:t>
      </w:r>
      <w:r w:rsidR="00460553">
        <w:t xml:space="preserve"> </w:t>
      </w:r>
      <w:r>
        <w:t>Bundes durch den Härtefallfonds, und ist insofern ein rein bayerisches Sonderhilfsprogramm.</w:t>
      </w:r>
    </w:p>
    <w:p w:rsidR="00925EDE" w:rsidRDefault="00925EDE" w:rsidP="00925EDE">
      <w:pPr>
        <w:pStyle w:val="LTAntwortRessortText"/>
      </w:pPr>
      <w:r>
        <w:t>Auf Basis der Antragszahlen im Rahm</w:t>
      </w:r>
      <w:r w:rsidR="00CE251D">
        <w:t>en der Dezemberhilfe des Jahres </w:t>
      </w:r>
      <w:r>
        <w:t>2020 erscheint</w:t>
      </w:r>
      <w:r w:rsidR="00460553">
        <w:t xml:space="preserve"> </w:t>
      </w:r>
      <w:r>
        <w:t>eine Antrags</w:t>
      </w:r>
      <w:r w:rsidR="007F64DF">
        <w:t>zahl im Bereich von 2 000 bis 3 </w:t>
      </w:r>
      <w:r>
        <w:t>000 Anträgen möglich.</w:t>
      </w:r>
    </w:p>
    <w:p w:rsidR="00925EDE" w:rsidRDefault="00925EDE">
      <w:bookmarkStart w:id="59" w:name="Frage_Nr_29_Ende"/>
      <w:bookmarkEnd w:id="5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25EDE" w:rsidTr="007B0B33">
        <w:tc>
          <w:tcPr>
            <w:tcW w:w="2050" w:type="dxa"/>
          </w:tcPr>
          <w:p w:rsidR="00925EDE" w:rsidRDefault="00925EDE" w:rsidP="00925EDE">
            <w:pPr>
              <w:pStyle w:val="LTAnfrageInitiator"/>
            </w:pPr>
            <w:r>
              <w:lastRenderedPageBreak/>
              <w:t>Abgeordneter</w:t>
            </w:r>
            <w:r>
              <w:rPr>
                <w:b/>
              </w:rPr>
              <w:br/>
              <w:t>Ludwig</w:t>
            </w:r>
            <w:r>
              <w:rPr>
                <w:b/>
              </w:rPr>
              <w:br/>
              <w:t>Hartmann</w:t>
            </w:r>
            <w:r>
              <w:rPr>
                <w:b/>
              </w:rPr>
              <w:br/>
            </w:r>
            <w:r>
              <w:t>(BÜNDNIS 90/DIE GRÜNEN)</w:t>
            </w:r>
            <w:bookmarkStart w:id="60" w:name="Frage_Nr_30"/>
            <w:bookmarkEnd w:id="60"/>
          </w:p>
        </w:tc>
        <w:tc>
          <w:tcPr>
            <w:tcW w:w="7200" w:type="dxa"/>
          </w:tcPr>
          <w:p w:rsidR="00925EDE" w:rsidRDefault="00F0093F" w:rsidP="00925EDE">
            <w:pPr>
              <w:pStyle w:val="LTAnfrageText"/>
            </w:pPr>
            <w:r w:rsidRPr="0067222C">
              <w:t>Ich frage die Staatsregierung, inwieweit sie über die Pressemeldungen der letzten Tagen hinausgehende Erkenntnisse hat, dass das Gelände des ehemaligen Fliegerhorstes Penzing als Produktionsstandort für den Chiphersteller Intel nicht mehr infrage kommt, welche Maßnahmen sie betrieben hat, damit der Standort Penzing für die Firma Intel weiterhin infrage kommen könnte und wann die Entscheidung über die Standortwahl des Unternehmens final erwartet wird?</w:t>
            </w:r>
          </w:p>
        </w:tc>
      </w:tr>
    </w:tbl>
    <w:p w:rsidR="00925EDE" w:rsidRDefault="00925EDE" w:rsidP="00925EDE">
      <w:pPr>
        <w:pStyle w:val="LTUeberschrAntwortRessort"/>
      </w:pPr>
      <w:r>
        <w:t>Antwort des Staatsministeriums für Wirtschaft, Landesentwicklung und Energie</w:t>
      </w:r>
    </w:p>
    <w:p w:rsidR="00925EDE" w:rsidRDefault="00925EDE" w:rsidP="00925EDE">
      <w:pPr>
        <w:pStyle w:val="LTAntwortRessortText"/>
      </w:pPr>
      <w:r>
        <w:t>Die Staatsregierung hat den Standort Penzing in enger Abstimmung mit den beteiligten</w:t>
      </w:r>
      <w:r w:rsidR="00893E9B">
        <w:t xml:space="preserve"> </w:t>
      </w:r>
      <w:r>
        <w:t>Kommunen und der Bundesregierung angeboten und intensiv als Standortoption für</w:t>
      </w:r>
      <w:r w:rsidR="00893E9B">
        <w:t xml:space="preserve"> </w:t>
      </w:r>
      <w:r>
        <w:t>das Ansiedlungsprojekt von Intel beworben. Offizielle Absagen des Unternehmens an</w:t>
      </w:r>
      <w:r w:rsidR="00893E9B">
        <w:t xml:space="preserve"> </w:t>
      </w:r>
      <w:r>
        <w:t>einzelne Standorte, die sich für das Ansiedlungsprojekt beworben hatten, sind nach</w:t>
      </w:r>
      <w:r w:rsidR="00893E9B">
        <w:t xml:space="preserve"> </w:t>
      </w:r>
      <w:r>
        <w:t>Kenntnis der Staatsregierung bislang nicht erfolgt. Intel hat sein Auswahlverfahren aktuell</w:t>
      </w:r>
      <w:r w:rsidR="00893E9B">
        <w:t xml:space="preserve"> </w:t>
      </w:r>
      <w:r>
        <w:t>noch nicht abgeschlossen. Wann das Unternehmen seine finale Standortentscheidung</w:t>
      </w:r>
      <w:r w:rsidR="00893E9B">
        <w:t xml:space="preserve"> </w:t>
      </w:r>
      <w:r>
        <w:t>treffen und nach außen kommunizieren wird, ist der Staatsregierung nicht</w:t>
      </w:r>
      <w:r w:rsidR="00893E9B">
        <w:t xml:space="preserve"> </w:t>
      </w:r>
      <w:r>
        <w:t>bekannt.</w:t>
      </w:r>
    </w:p>
    <w:p w:rsidR="00925EDE" w:rsidRDefault="00925EDE">
      <w:bookmarkStart w:id="61" w:name="Frage_Nr_30_Ende"/>
      <w:bookmarkEnd w:id="6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925EDE" w:rsidTr="007B0B33">
        <w:tc>
          <w:tcPr>
            <w:tcW w:w="2050" w:type="dxa"/>
          </w:tcPr>
          <w:p w:rsidR="00925EDE" w:rsidRDefault="00925EDE" w:rsidP="00925EDE">
            <w:pPr>
              <w:pStyle w:val="LTAnfrageInitiator"/>
            </w:pPr>
            <w:r>
              <w:lastRenderedPageBreak/>
              <w:t>Abgeordneter</w:t>
            </w:r>
            <w:r>
              <w:rPr>
                <w:b/>
              </w:rPr>
              <w:br/>
              <w:t>Dr. Helmut</w:t>
            </w:r>
            <w:r>
              <w:rPr>
                <w:b/>
              </w:rPr>
              <w:br/>
              <w:t>Kaltenhauser</w:t>
            </w:r>
            <w:r>
              <w:rPr>
                <w:b/>
              </w:rPr>
              <w:br/>
            </w:r>
            <w:r>
              <w:t>(FDP)</w:t>
            </w:r>
            <w:bookmarkStart w:id="62" w:name="Frage_Nr_31"/>
            <w:bookmarkEnd w:id="62"/>
          </w:p>
        </w:tc>
        <w:tc>
          <w:tcPr>
            <w:tcW w:w="7200" w:type="dxa"/>
          </w:tcPr>
          <w:p w:rsidR="00925EDE" w:rsidRDefault="00F0093F" w:rsidP="00925EDE">
            <w:pPr>
              <w:pStyle w:val="LTAnfrageText"/>
            </w:pPr>
            <w:r w:rsidRPr="0067222C">
              <w:t>Ich frage die Staatsregierung, mit welchen konkreten Hinweisen der Bund den Freistaat über die konkrete Ausgestaltung der Schlussabrechnung informiert hat (bitte hierbei auch das konkrete Datum der Informationsbereitstellung nennen), wie sich die zusätzlichen Kosten unter dem Posten „Schlussabrechnung“ in Höhe von 63 Mio. Euro genau zusammensetzen und wie viele Schlussabrechnungen ein Mitarbeiter pro Tag erledigen soll (bitte unter Angabe aller voraussichtlichen Schlussabrechnungen)?</w:t>
            </w:r>
          </w:p>
        </w:tc>
      </w:tr>
    </w:tbl>
    <w:p w:rsidR="00925EDE" w:rsidRDefault="00925EDE" w:rsidP="00925EDE">
      <w:pPr>
        <w:pStyle w:val="LTUeberschrAntwortRessort"/>
      </w:pPr>
      <w:r>
        <w:t>Antwort des Staatsministeriums für Wirtschaft, Landesentwicklung und Energie</w:t>
      </w:r>
    </w:p>
    <w:p w:rsidR="00925EDE" w:rsidRDefault="00925EDE" w:rsidP="00925EDE">
      <w:pPr>
        <w:pStyle w:val="LTAntwortRessortText"/>
      </w:pPr>
      <w:r>
        <w:t>Der Bund schreibt eine Schlussabrechnung aller Förderfälle in den Corona-Überbrückungshilfen</w:t>
      </w:r>
      <w:r w:rsidR="00F51CE7">
        <w:t xml:space="preserve"> </w:t>
      </w:r>
      <w:r>
        <w:t>vor. Dies war allgemein bekannt, die genauen Anforderungen jedoch</w:t>
      </w:r>
      <w:r w:rsidR="00F51CE7">
        <w:t xml:space="preserve"> </w:t>
      </w:r>
      <w:r>
        <w:t>lange unklar. Konkrete Hinweise des Bundes erfolgten erst in den letzten Wochen,</w:t>
      </w:r>
      <w:r w:rsidR="00F51CE7">
        <w:t xml:space="preserve"> </w:t>
      </w:r>
      <w:r w:rsidR="008C19EC">
        <w:t>zuletzt per E-Mail vom 28. Oktober 2021 und Videokonferenz am 4. November </w:t>
      </w:r>
      <w:r>
        <w:t>2021.</w:t>
      </w:r>
      <w:r w:rsidR="00F51CE7">
        <w:t xml:space="preserve"> </w:t>
      </w:r>
      <w:r>
        <w:t xml:space="preserve">Darin wurden Vorgaben zur Prüftiefe erläutert, </w:t>
      </w:r>
      <w:r w:rsidR="003439F1">
        <w:t>z. B.</w:t>
      </w:r>
      <w:r>
        <w:t xml:space="preserve"> Antragsberechtigung in der November-/</w:t>
      </w:r>
      <w:r w:rsidR="008C19EC">
        <w:t> </w:t>
      </w:r>
      <w:r>
        <w:t>Dezemberhilfe, Prüfung der auf Prognose-Werten basierenden Anträge auf</w:t>
      </w:r>
      <w:r w:rsidR="00F51CE7">
        <w:t xml:space="preserve"> </w:t>
      </w:r>
      <w:r>
        <w:t>Basis der Ist-Werte unter Ausschluss von Mehrfachförderungen und Berücksichtigung</w:t>
      </w:r>
      <w:r w:rsidR="00F51CE7">
        <w:t xml:space="preserve"> </w:t>
      </w:r>
      <w:r>
        <w:t>der jeweiligen beihilferechtlichen Höchstgrenzen, intensivere Kontrollen der Antragsberechtigung</w:t>
      </w:r>
      <w:r w:rsidR="00F51CE7">
        <w:t xml:space="preserve"> </w:t>
      </w:r>
      <w:r>
        <w:t>oder der Problematik von Verbundunternehmen, Sonderproblematik</w:t>
      </w:r>
      <w:r w:rsidR="00F51CE7">
        <w:t xml:space="preserve"> </w:t>
      </w:r>
      <w:r>
        <w:t>Bau- und Hygienemaßnahmen. Erst damit war klar, in welchem Ausmaß Anträge in</w:t>
      </w:r>
      <w:r w:rsidR="00F51CE7">
        <w:t xml:space="preserve"> </w:t>
      </w:r>
      <w:r>
        <w:t>der Schlussabrechnung vertieft zu prüfen sind und dass dies die prozentualen Prüfquoten</w:t>
      </w:r>
      <w:r w:rsidR="00F51CE7">
        <w:t xml:space="preserve"> </w:t>
      </w:r>
      <w:r>
        <w:t>der Verwaltungsvereinbarung übersteigt.</w:t>
      </w:r>
    </w:p>
    <w:p w:rsidR="00925EDE" w:rsidRDefault="00925EDE" w:rsidP="00925EDE">
      <w:pPr>
        <w:pStyle w:val="LTAntwortRessortText"/>
      </w:pPr>
      <w:r>
        <w:t xml:space="preserve">Die zusätzlichen Kosten sind Personalkosten. Die </w:t>
      </w:r>
      <w:r w:rsidR="008827F5">
        <w:t>Industrie und Handelskammer (</w:t>
      </w:r>
      <w:r>
        <w:t>IHK</w:t>
      </w:r>
      <w:r w:rsidR="008827F5">
        <w:t>)</w:t>
      </w:r>
      <w:r>
        <w:t xml:space="preserve"> veranschlagt unter diesen Bedingungen</w:t>
      </w:r>
      <w:r w:rsidR="00F51CE7">
        <w:t xml:space="preserve"> </w:t>
      </w:r>
      <w:r>
        <w:t>für die anstehenden Abrechnungen einen Personalbedarf von ca. 125 Vollzeitäquivalenten</w:t>
      </w:r>
      <w:r w:rsidR="00F51CE7">
        <w:t xml:space="preserve"> </w:t>
      </w:r>
      <w:r w:rsidR="008827F5">
        <w:t>(VZÄ) bis ins Jahr </w:t>
      </w:r>
      <w:r>
        <w:t>2024. Die Bearbeitung ist nur durch hochqualifiziertes</w:t>
      </w:r>
      <w:r w:rsidR="00F51CE7">
        <w:t xml:space="preserve"> </w:t>
      </w:r>
      <w:r>
        <w:t>Personal möglich. Da der IHK bei der Prüfung keine Landesbeschäftigten mehr</w:t>
      </w:r>
      <w:r w:rsidR="00F51CE7">
        <w:t xml:space="preserve"> </w:t>
      </w:r>
      <w:r>
        <w:t>zur Verfügung stehen, sind externe Dienstleister einzusetzen. Die IHK schätzt einen</w:t>
      </w:r>
      <w:r w:rsidR="00F51CE7">
        <w:t xml:space="preserve"> </w:t>
      </w:r>
      <w:r>
        <w:t>Bedarf von 70 externen VZÄ für ca. zwei Jahre. Bei dem Personaleinsatz unterschiedlicher</w:t>
      </w:r>
      <w:r w:rsidR="00F51CE7">
        <w:t xml:space="preserve"> </w:t>
      </w:r>
      <w:r>
        <w:t>Dienstleister differenziert die IHK nach der Komplexität der Aufgaben.</w:t>
      </w:r>
    </w:p>
    <w:p w:rsidR="00925EDE" w:rsidRDefault="00925EDE" w:rsidP="00925EDE">
      <w:pPr>
        <w:pStyle w:val="LTAntwortRessortText"/>
      </w:pPr>
      <w:r>
        <w:t>Eine Zahl von Schlussabrechnungen pro Mitarbeiter kann nicht angegeben werden,</w:t>
      </w:r>
      <w:r w:rsidR="00F51CE7">
        <w:t xml:space="preserve"> </w:t>
      </w:r>
      <w:r>
        <w:t>weil sich die Anträge zu stark unterscheiden. Die IHK bildet Bearbeitungsteams mit</w:t>
      </w:r>
      <w:r w:rsidR="00F51CE7">
        <w:t xml:space="preserve"> </w:t>
      </w:r>
      <w:r>
        <w:t>Eskalationsstufen je nach Prüftiefe.</w:t>
      </w:r>
    </w:p>
    <w:p w:rsidR="00925EDE" w:rsidRDefault="00925EDE" w:rsidP="00925EDE">
      <w:pPr>
        <w:pStyle w:val="LTAntwortRessortText"/>
      </w:pPr>
      <w:r>
        <w:t>Ak</w:t>
      </w:r>
      <w:r w:rsidR="008827F5">
        <w:t>tuell sind in Bayern mehr als 8 Mrd. </w:t>
      </w:r>
      <w:r>
        <w:t>Euro Überbrückungshilfe und außerordentliche</w:t>
      </w:r>
      <w:r w:rsidR="00F51CE7">
        <w:t xml:space="preserve"> </w:t>
      </w:r>
      <w:r>
        <w:t>Wirtschaftshilfe an Selbständige und Unte</w:t>
      </w:r>
      <w:r w:rsidR="009B7AA0">
        <w:t>rnehmen ausgezahlt und rund 340 </w:t>
      </w:r>
      <w:r>
        <w:t>000 Anträge</w:t>
      </w:r>
      <w:r w:rsidR="00F51CE7">
        <w:t xml:space="preserve"> </w:t>
      </w:r>
      <w:r>
        <w:t>eingegangen. Aus der Schlussabrechnung werden zahlreiche Rückforderungen</w:t>
      </w:r>
      <w:r w:rsidR="00F51CE7">
        <w:t xml:space="preserve"> </w:t>
      </w:r>
      <w:r>
        <w:t>resultieren, die dem Bundeshaushalt zugutekommen. Die geschätzten Verwaltungskosten</w:t>
      </w:r>
      <w:r w:rsidR="00F51CE7">
        <w:t xml:space="preserve"> </w:t>
      </w:r>
      <w:r>
        <w:t>der IHK sind daher im Ergebnis angemessen.</w:t>
      </w:r>
    </w:p>
    <w:p w:rsidR="00925EDE" w:rsidRDefault="00925EDE">
      <w:bookmarkStart w:id="63" w:name="Frage_Nr_31_Ende"/>
      <w:bookmarkEnd w:id="6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925EDE" w:rsidTr="007B0B33">
        <w:tc>
          <w:tcPr>
            <w:tcW w:w="2050" w:type="dxa"/>
          </w:tcPr>
          <w:p w:rsidR="00925EDE" w:rsidRDefault="00925EDE" w:rsidP="00925EDE">
            <w:pPr>
              <w:pStyle w:val="LTAnfrageInitiator"/>
            </w:pPr>
            <w:r>
              <w:lastRenderedPageBreak/>
              <w:t>Abgeordneter</w:t>
            </w:r>
            <w:r>
              <w:rPr>
                <w:b/>
              </w:rPr>
              <w:br/>
              <w:t>Christian</w:t>
            </w:r>
            <w:r>
              <w:rPr>
                <w:b/>
              </w:rPr>
              <w:br/>
              <w:t>Klingen</w:t>
            </w:r>
            <w:r>
              <w:rPr>
                <w:b/>
              </w:rPr>
              <w:br/>
            </w:r>
            <w:r>
              <w:t>(AfD)</w:t>
            </w:r>
            <w:bookmarkStart w:id="64" w:name="Frage_Nr_32"/>
            <w:bookmarkEnd w:id="64"/>
          </w:p>
        </w:tc>
        <w:tc>
          <w:tcPr>
            <w:tcW w:w="7200" w:type="dxa"/>
          </w:tcPr>
          <w:p w:rsidR="00925EDE" w:rsidRDefault="00F0093F" w:rsidP="00925EDE">
            <w:pPr>
              <w:pStyle w:val="LTAnfrageText"/>
            </w:pPr>
            <w:r w:rsidRPr="0067222C">
              <w:t>Ich frage die Staatsregierung, wie sie die ökonomischen Folgen bewertet, die eine Abschaffung der 10H-Regel und ein damit einhergehender massiver Ausbau der Windkraft in Bayern nach sich ziehen würden (Wertverlust von Grundstücken, Versorgungssicherheit, Netzbelastung, Energiepreise etc.), wie sie die ökologischen Folgen bewertet, die eine Abschaffung der 10H-Regel und ein damit einhergehender massiver Ausbau der Windkraft in Bayern nach sich ziehen würden (Vogelschlag, Insektenschlag, gefährdete Arten etc.) und wie sie die gesundheitlichen und sozialen Folgen bewertet, die eine Abschaffung der 10H-Regel und ein damit einhergehender massiver Ausbau der Windkraft in Bayern nach sich ziehen würden (vor dem Hintergrund eines kürzlich erfolgten Gerichtsurteils in Frankreich, welches einem Anwohnerehepaar hohe Schadensersatzansprüche vonseiten eines Windkraftbetreibers zugesprochen hat</w:t>
            </w:r>
            <w:r w:rsidRPr="001C42D9">
              <w:rPr>
                <w:vertAlign w:val="superscript"/>
              </w:rPr>
              <w:footnoteReference w:id="1"/>
            </w:r>
            <w:r w:rsidRPr="0067222C">
              <w:t>)?</w:t>
            </w:r>
          </w:p>
        </w:tc>
      </w:tr>
    </w:tbl>
    <w:p w:rsidR="00925EDE" w:rsidRDefault="00925EDE" w:rsidP="00925EDE">
      <w:pPr>
        <w:pStyle w:val="LTUeberschrAntwortRessort"/>
      </w:pPr>
      <w:r>
        <w:t>Antwort des Staatsministeriums für Wirtschaft, Landesentwicklung und Energie</w:t>
      </w:r>
    </w:p>
    <w:p w:rsidR="00925EDE" w:rsidRDefault="00925EDE" w:rsidP="00925EDE">
      <w:pPr>
        <w:pStyle w:val="LTAntwortRessortText"/>
      </w:pPr>
      <w:r>
        <w:t>Beim Erreichen der Klimaschutzziele spielt der weitere Ausbau der Erneuerbaren</w:t>
      </w:r>
      <w:r w:rsidR="00CF7230">
        <w:t xml:space="preserve"> </w:t>
      </w:r>
      <w:r>
        <w:t>Energien eine Schlüsselrolle. Die</w:t>
      </w:r>
      <w:r w:rsidR="005B0829">
        <w:t xml:space="preserve"> sogenannte 10</w:t>
      </w:r>
      <w:r w:rsidR="00584365">
        <w:t xml:space="preserve">H-Regelung </w:t>
      </w:r>
      <w:r w:rsidR="005B0829">
        <w:t xml:space="preserve">(Art. 82 Bayerische Bauordnung </w:t>
      </w:r>
      <w:r w:rsidR="00980F7F">
        <w:t>–</w:t>
      </w:r>
      <w:r w:rsidR="005B0829">
        <w:t xml:space="preserve"> </w:t>
      </w:r>
      <w:r>
        <w:t>BayBO) ist kein</w:t>
      </w:r>
      <w:r w:rsidR="00CF7230">
        <w:t xml:space="preserve"> </w:t>
      </w:r>
      <w:r>
        <w:t>fixes Abstandsgebot, sondern legt fest, dass für Windenergieanlagen (WEA), die in</w:t>
      </w:r>
      <w:r w:rsidR="00CF7230">
        <w:t xml:space="preserve"> </w:t>
      </w:r>
      <w:r>
        <w:t xml:space="preserve">einem </w:t>
      </w:r>
      <w:r w:rsidR="005B0829">
        <w:t>geringeren Abstand als ihre zehn</w:t>
      </w:r>
      <w:r>
        <w:t>fache Höhe errichtet werden, eine kommunale</w:t>
      </w:r>
      <w:r w:rsidR="00CF7230">
        <w:t xml:space="preserve"> </w:t>
      </w:r>
      <w:r>
        <w:t>Bauleitplanung erforderlich ist. Somit können bereits jetzt WEA an dafür geeigneten</w:t>
      </w:r>
      <w:r w:rsidR="00CF7230">
        <w:t xml:space="preserve"> </w:t>
      </w:r>
      <w:r>
        <w:t>S</w:t>
      </w:r>
      <w:r w:rsidR="005B0829">
        <w:t>tandorten auch innerhalb des 10</w:t>
      </w:r>
      <w:r>
        <w:t>H-Abstands realisiert werden. Alle Bau- und Infrastrukturprojekte</w:t>
      </w:r>
      <w:r w:rsidR="00CF7230">
        <w:t xml:space="preserve"> </w:t>
      </w:r>
      <w:r>
        <w:t>können grundsätzlich Einfluss auf die Bewertung von Grundstücken</w:t>
      </w:r>
      <w:r w:rsidR="00CF7230">
        <w:t xml:space="preserve"> </w:t>
      </w:r>
      <w:r>
        <w:t>haben. Stets wird deren Marktwert jedoch nicht allein von einem Faktor abhängen.</w:t>
      </w:r>
      <w:r w:rsidR="00CF7230">
        <w:t xml:space="preserve"> </w:t>
      </w:r>
      <w:r w:rsidR="005B0829">
        <w:t>Eine Abschaffung der 10</w:t>
      </w:r>
      <w:r>
        <w:t>H-Regelung kann zu vereinzeltem Netzausbaubedarf führen.</w:t>
      </w:r>
      <w:r w:rsidR="00CF7230">
        <w:t xml:space="preserve"> </w:t>
      </w:r>
      <w:r>
        <w:t>U.</w:t>
      </w:r>
      <w:r w:rsidR="00584365">
        <w:t> </w:t>
      </w:r>
      <w:r>
        <w:t>a. aufgrund der zu PV komplementären Einspeisung aus WEA ist sie ohne nennenswerten</w:t>
      </w:r>
      <w:r w:rsidR="00CF7230">
        <w:t xml:space="preserve"> </w:t>
      </w:r>
      <w:r>
        <w:t>Einfluss auf Versorgungssicherheitsaspekte. Zunehmende Windenergienutzung</w:t>
      </w:r>
      <w:r w:rsidR="00CF7230">
        <w:t xml:space="preserve"> </w:t>
      </w:r>
      <w:r>
        <w:t>dürfte tendenziell aufgrund der geringen Grenzkosten zu niedrigeren Großhandelspreisen</w:t>
      </w:r>
      <w:r w:rsidR="00CF7230">
        <w:t xml:space="preserve"> </w:t>
      </w:r>
      <w:r>
        <w:t>führen.</w:t>
      </w:r>
      <w:r w:rsidR="00CF7230">
        <w:t xml:space="preserve"> </w:t>
      </w:r>
      <w:r>
        <w:t>Die von Windenergieanlagen ausgehenden möglichen Auswirkungen auf Natur und</w:t>
      </w:r>
      <w:r w:rsidR="00CF7230">
        <w:t xml:space="preserve"> </w:t>
      </w:r>
      <w:r>
        <w:t>Landschaft werden im Rahmen der Genehmigungsverfahren unter Heranziehung der</w:t>
      </w:r>
      <w:r w:rsidR="00CF7230">
        <w:t xml:space="preserve"> </w:t>
      </w:r>
      <w:r>
        <w:t>Hinweise des Windenergie Erlasses umfassend ge</w:t>
      </w:r>
      <w:r w:rsidR="00CF7230">
        <w:t xml:space="preserve">prüft. Eine Abschaffung der 10H </w:t>
      </w:r>
      <w:r>
        <w:t>Regelung hat auf diese Prüfungen keinen Einfluss. Durch eine Abschaffung der 10H</w:t>
      </w:r>
      <w:r w:rsidR="00584365">
        <w:t xml:space="preserve"> </w:t>
      </w:r>
      <w:r>
        <w:t>Regelung</w:t>
      </w:r>
      <w:r w:rsidR="00CF7230">
        <w:t xml:space="preserve"> </w:t>
      </w:r>
      <w:r>
        <w:t>ist zu erwarten, dass naturschutzfachlich weniger bedeutende Bereiche für</w:t>
      </w:r>
      <w:r w:rsidR="00CF7230">
        <w:t xml:space="preserve"> </w:t>
      </w:r>
      <w:r>
        <w:t>den Windenergieausbau verfügbar werden.</w:t>
      </w:r>
      <w:r w:rsidR="00CF7230">
        <w:t xml:space="preserve"> </w:t>
      </w:r>
      <w:r w:rsidR="00584365">
        <w:t xml:space="preserve">Die 10H </w:t>
      </w:r>
      <w:r>
        <w:t>Regelung wurde nicht aufgrund des Gesundheitsschutzes erlassen. Die gesundheitlichen</w:t>
      </w:r>
      <w:r w:rsidR="00CF7230">
        <w:t xml:space="preserve"> </w:t>
      </w:r>
      <w:r>
        <w:t>Erfordernisse sind in der Technischen Anleitung zum Schutz gegen</w:t>
      </w:r>
      <w:r w:rsidR="00CF7230">
        <w:t xml:space="preserve"> </w:t>
      </w:r>
      <w:r>
        <w:t>Lärm festgelegt. Nach bisherigen Erkenntnissen lassen sich zudem keine Zusammenhänge</w:t>
      </w:r>
      <w:r w:rsidR="00CF7230">
        <w:t xml:space="preserve"> </w:t>
      </w:r>
      <w:r>
        <w:t>zwischen WEA-spezifischen Infraschallimmissionen und gesundheitlich nachteiligen</w:t>
      </w:r>
      <w:r w:rsidR="00CF7230">
        <w:t xml:space="preserve"> </w:t>
      </w:r>
      <w:r>
        <w:t>Effekten beim Menschen ableiten.</w:t>
      </w:r>
      <w:r w:rsidR="00CF7230">
        <w:t xml:space="preserve"> </w:t>
      </w:r>
      <w:r>
        <w:t>Im Übrigen unterliegen gesetzliche Regelungen einer Gesetzesfolgenabschätzung, in</w:t>
      </w:r>
      <w:r w:rsidR="00CF7230">
        <w:t xml:space="preserve"> </w:t>
      </w:r>
      <w:r>
        <w:t>der die wesentlichen Auswirkungen des Gesetzes zu bewerten sind.</w:t>
      </w:r>
    </w:p>
    <w:p w:rsidR="00925EDE" w:rsidRDefault="00925EDE">
      <w:bookmarkStart w:id="65" w:name="Frage_Nr_32_Ende"/>
      <w:bookmarkEnd w:id="65"/>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25EDE" w:rsidTr="007B0B33">
        <w:tc>
          <w:tcPr>
            <w:tcW w:w="2050" w:type="dxa"/>
          </w:tcPr>
          <w:p w:rsidR="00925EDE" w:rsidRDefault="00925EDE" w:rsidP="00925EDE">
            <w:pPr>
              <w:pStyle w:val="LTAnfrageInitiator"/>
            </w:pPr>
            <w:r>
              <w:lastRenderedPageBreak/>
              <w:t>Abgeordneter</w:t>
            </w:r>
            <w:r>
              <w:rPr>
                <w:b/>
              </w:rPr>
              <w:br/>
              <w:t>Alexander</w:t>
            </w:r>
            <w:r>
              <w:rPr>
                <w:b/>
              </w:rPr>
              <w:br/>
              <w:t>Muthmann</w:t>
            </w:r>
            <w:r>
              <w:rPr>
                <w:b/>
              </w:rPr>
              <w:br/>
            </w:r>
            <w:r>
              <w:t>(FDP)</w:t>
            </w:r>
            <w:bookmarkStart w:id="66" w:name="Frage_Nr_33"/>
            <w:bookmarkEnd w:id="66"/>
          </w:p>
        </w:tc>
        <w:tc>
          <w:tcPr>
            <w:tcW w:w="7200" w:type="dxa"/>
          </w:tcPr>
          <w:p w:rsidR="00925EDE" w:rsidRDefault="00195509" w:rsidP="00925EDE">
            <w:pPr>
              <w:pStyle w:val="LTAnfrageText"/>
            </w:pPr>
            <w:r w:rsidRPr="0067222C">
              <w:t>Nachdem in Bayern mehrere Landkreise aufgrund einer Überschreitung der 1</w:t>
            </w:r>
            <w:r>
              <w:t> </w:t>
            </w:r>
            <w:r w:rsidRPr="0067222C">
              <w:t>000er-Inzidenz bereits in regionale Lockdowns gehen mussten und diese Schließungen zahlreiche Wirtschaftsbranchen in unterschiedlichem Maße getroffen haben, frage ich die Staatsregierung, inwiefern die derzeitigen Programme des Bundes für solche teilweise relativ kurz andauernden Beschränkungen ausreichend sind, um lückenlose Hilfe zu leisten, welche Bemühungen die Staatsregierung anstrengt, um die betroffenen Branchen zusätzlich zu Bundesförderungen zu unterstützen und inwiefern auch die aus früheren Programmen bekannten Herausforderungen in der ebenso betroffenen Kulturbranche bewältigt werden können?</w:t>
            </w:r>
          </w:p>
        </w:tc>
      </w:tr>
    </w:tbl>
    <w:p w:rsidR="00925EDE" w:rsidRDefault="00925EDE" w:rsidP="00925EDE">
      <w:pPr>
        <w:pStyle w:val="LTUeberschrAntwortRessort"/>
      </w:pPr>
      <w:r>
        <w:t>Antwort des Staatsministeriums für Wirtschaft, Landesentwicklung und Energie</w:t>
      </w:r>
    </w:p>
    <w:p w:rsidR="00925EDE" w:rsidRDefault="00925EDE" w:rsidP="00925EDE">
      <w:pPr>
        <w:pStyle w:val="LTAntwortRessortText"/>
      </w:pPr>
      <w:r>
        <w:t>Die Staatsregierung hält die verfügbaren bzw. bereits angekündigten Bundesförderprogramme</w:t>
      </w:r>
      <w:r w:rsidR="00380F60">
        <w:t xml:space="preserve"> </w:t>
      </w:r>
      <w:r>
        <w:t>für eine geeignete Grundlage, um auch die in den Hotspot-Regionen wirtschaftlich</w:t>
      </w:r>
      <w:r w:rsidR="00380F60">
        <w:t xml:space="preserve"> </w:t>
      </w:r>
      <w:r>
        <w:t>Betroffenen zu unterstützen. Spezielle Unterstützungsmaßnahmen für bestimmte</w:t>
      </w:r>
      <w:r w:rsidR="00380F60">
        <w:t xml:space="preserve"> </w:t>
      </w:r>
      <w:r>
        <w:t>Hotspot-Regionen, die diesen Status teilweise nur wenige Tage haben und</w:t>
      </w:r>
      <w:r w:rsidR="00380F60">
        <w:t xml:space="preserve"> </w:t>
      </w:r>
      <w:r>
        <w:t>deren Anzahl sich derzeit stark verringert, erscheinen nicht geboten.</w:t>
      </w:r>
    </w:p>
    <w:p w:rsidR="00925EDE" w:rsidRDefault="00925EDE" w:rsidP="00925EDE">
      <w:pPr>
        <w:pStyle w:val="LTAntwortRessortText"/>
      </w:pPr>
      <w:r>
        <w:t>Die Überbrückungshilfe sieht neben einer bis zu 100</w:t>
      </w:r>
      <w:r w:rsidR="0015458D">
        <w:t> </w:t>
      </w:r>
      <w:r w:rsidR="003C17F4">
        <w:t>-p</w:t>
      </w:r>
      <w:r w:rsidR="003439F1">
        <w:t>rozent</w:t>
      </w:r>
      <w:r>
        <w:t>igen Erstattung der betrieblichen</w:t>
      </w:r>
      <w:r w:rsidR="00380F60">
        <w:t xml:space="preserve"> </w:t>
      </w:r>
      <w:r>
        <w:t>Fixkosten einen Eigenkapitalzuschuss von bis zu 40</w:t>
      </w:r>
      <w:r w:rsidR="0015458D">
        <w:t> </w:t>
      </w:r>
      <w:r w:rsidR="003439F1">
        <w:t>Prozent</w:t>
      </w:r>
      <w:r>
        <w:t xml:space="preserve"> der förderfähigen Fixkosten sowie</w:t>
      </w:r>
      <w:r w:rsidR="00380F60">
        <w:t xml:space="preserve"> </w:t>
      </w:r>
      <w:r>
        <w:t>Sonderregelungen für u.</w:t>
      </w:r>
      <w:r w:rsidR="0015458D">
        <w:t> </w:t>
      </w:r>
      <w:r>
        <w:t>a. den Handel und die Veranstaltungs- und Kulturbranche</w:t>
      </w:r>
      <w:r w:rsidR="00380F60">
        <w:t xml:space="preserve"> </w:t>
      </w:r>
      <w:r>
        <w:t>vor. Für die benötigte Liquidität sorgen Abschlagszahlungen in Höhe von bis zu 50</w:t>
      </w:r>
      <w:r w:rsidR="0015458D">
        <w:t> </w:t>
      </w:r>
      <w:r>
        <w:t xml:space="preserve">Prozent </w:t>
      </w:r>
      <w:r w:rsidR="0015458D">
        <w:t>der beantragten Förderung (max. 100.000 </w:t>
      </w:r>
      <w:r>
        <w:t>Euro pro Monat). Darüber hinaus</w:t>
      </w:r>
      <w:r w:rsidR="00380F60">
        <w:t xml:space="preserve"> </w:t>
      </w:r>
      <w:r>
        <w:t>hat der Bund bereits angekündigt, die Überbrückungshilfen bis mindestens Ende März</w:t>
      </w:r>
      <w:r w:rsidR="00A17A6F">
        <w:t> </w:t>
      </w:r>
      <w:r>
        <w:t>2022 in Gestalt der Überbrückungshilfe IV zu verlängern. Auch hier plant der Bund</w:t>
      </w:r>
      <w:r w:rsidR="00380F60">
        <w:t xml:space="preserve"> </w:t>
      </w:r>
      <w:r>
        <w:t>Ergänzungen u.</w:t>
      </w:r>
      <w:r w:rsidR="00A17A6F">
        <w:t> </w:t>
      </w:r>
      <w:r>
        <w:t>a. bzgl. der Sonderregelung für die Veranstaltungs- und Kulturbranche</w:t>
      </w:r>
      <w:r w:rsidR="00380F60">
        <w:t xml:space="preserve"> </w:t>
      </w:r>
      <w:r>
        <w:t>sowie eine Fortführung des Eigenkapitalzuschuss</w:t>
      </w:r>
      <w:r w:rsidR="00380F60">
        <w:t>es zur Substanzstärkung von pan</w:t>
      </w:r>
      <w:r>
        <w:t>demiebedingt besonders schwer von Schließungen betroffenen Unternehmen; für bestimmte</w:t>
      </w:r>
      <w:r w:rsidR="00380F60">
        <w:t xml:space="preserve"> </w:t>
      </w:r>
      <w:r>
        <w:t>Branchen (Schausteller und Marktkaufleute) wird die Förderquote auf 50</w:t>
      </w:r>
      <w:r w:rsidR="00A17A6F">
        <w:t> </w:t>
      </w:r>
      <w:r w:rsidR="003439F1">
        <w:t>Prozent</w:t>
      </w:r>
      <w:r w:rsidR="00380F60">
        <w:t xml:space="preserve"> </w:t>
      </w:r>
      <w:r>
        <w:t>erhöht.</w:t>
      </w:r>
    </w:p>
    <w:p w:rsidR="00925EDE" w:rsidRDefault="00925EDE" w:rsidP="00925EDE">
      <w:pPr>
        <w:pStyle w:val="LTAntwortRessortText"/>
      </w:pPr>
      <w:r>
        <w:t>Die Staatsregierung setzt sich aber auch weiterhin dafür ein, dass die Förderprogramme</w:t>
      </w:r>
      <w:r w:rsidR="00380F60">
        <w:t xml:space="preserve"> </w:t>
      </w:r>
      <w:r>
        <w:t>des Bundes weiter verbessert werden, um die im gesamten Freistaat von der</w:t>
      </w:r>
      <w:r w:rsidR="00380F60">
        <w:t xml:space="preserve"> </w:t>
      </w:r>
      <w:r w:rsidR="003439F1">
        <w:t>Coronapandemie</w:t>
      </w:r>
      <w:r>
        <w:t xml:space="preserve"> betroffenen Selbständigen und Unternehmen finanziell zu unterstützen.</w:t>
      </w:r>
      <w:r w:rsidR="00380F60">
        <w:t xml:space="preserve"> </w:t>
      </w:r>
      <w:r>
        <w:t>Eine spezielle Unterstützung für Corona-Hotspots erscheint derzeit allerdings</w:t>
      </w:r>
      <w:r w:rsidR="00380F60">
        <w:t xml:space="preserve"> </w:t>
      </w:r>
      <w:r>
        <w:t>nicht angezeigt.</w:t>
      </w:r>
    </w:p>
    <w:p w:rsidR="00925EDE" w:rsidRDefault="00925EDE" w:rsidP="00925EDE">
      <w:pPr>
        <w:pStyle w:val="LTAntwortRessortText"/>
      </w:pPr>
      <w:r>
        <w:t xml:space="preserve">Die </w:t>
      </w:r>
      <w:r w:rsidR="003439F1">
        <w:t>Coronapandemie</w:t>
      </w:r>
      <w:r>
        <w:t xml:space="preserve"> hat die Kunst- und Kulturschaffenden sowie den kulturellen Veranstaltungsbetrieb</w:t>
      </w:r>
      <w:r w:rsidR="00380F60">
        <w:t xml:space="preserve"> </w:t>
      </w:r>
      <w:r>
        <w:t>in ganz Bayern wie viele andere Branchen schwer getroffen. Um</w:t>
      </w:r>
      <w:r w:rsidR="00380F60">
        <w:t xml:space="preserve"> </w:t>
      </w:r>
      <w:r>
        <w:t xml:space="preserve">die Folgen der </w:t>
      </w:r>
      <w:r w:rsidR="003439F1">
        <w:t>Coronapandemie</w:t>
      </w:r>
      <w:r>
        <w:t xml:space="preserve"> abzufedern und den Kulturbetrieb zu stabilisieren,</w:t>
      </w:r>
      <w:r w:rsidR="00380F60">
        <w:t xml:space="preserve"> </w:t>
      </w:r>
      <w:r>
        <w:t>hat die Staatsregierung deshalb ein Bündel an Maßnahmen, die größtenteils in enger</w:t>
      </w:r>
      <w:r w:rsidR="00380F60">
        <w:t xml:space="preserve"> </w:t>
      </w:r>
      <w:r>
        <w:t>Abstimmung mit der Freien Szene und Verbänden entstanden sind, aufgelegt, um die</w:t>
      </w:r>
      <w:r w:rsidR="00380F60">
        <w:t xml:space="preserve"> </w:t>
      </w:r>
      <w:r>
        <w:t>lebendige Kulturlandschaft in Bayern zu erhalten.</w:t>
      </w:r>
    </w:p>
    <w:p w:rsidR="00925EDE" w:rsidRDefault="00925EDE" w:rsidP="00925EDE">
      <w:pPr>
        <w:pStyle w:val="LTAntwortRessortText"/>
      </w:pPr>
      <w:r>
        <w:t xml:space="preserve">In der </w:t>
      </w:r>
      <w:r w:rsidR="00A17A6F">
        <w:t>Sitzung des Ministerrats am 23. November </w:t>
      </w:r>
      <w:r>
        <w:t>2021 hat die Staatsregierung beschlossen,</w:t>
      </w:r>
      <w:r w:rsidR="00380F60">
        <w:t xml:space="preserve"> </w:t>
      </w:r>
      <w:r>
        <w:t>die bisherigen Unterstützungsmaßnahmen für Kunst- und Kulturschaffende</w:t>
      </w:r>
      <w:r w:rsidR="00380F60">
        <w:t xml:space="preserve"> </w:t>
      </w:r>
      <w:r>
        <w:t>fortzuführen. Folgen</w:t>
      </w:r>
      <w:r w:rsidR="00A17A6F">
        <w:t>de Programme werden bis zum 31. März </w:t>
      </w:r>
      <w:r>
        <w:t>2022 verlän</w:t>
      </w:r>
      <w:r>
        <w:lastRenderedPageBreak/>
        <w:t>gert: Das</w:t>
      </w:r>
      <w:r w:rsidR="00380F60">
        <w:t xml:space="preserve"> </w:t>
      </w:r>
      <w:r>
        <w:t>Hilfsprogramm für soloselbständige Künstlerinnen und Künstler und Angehörige kulturnaher</w:t>
      </w:r>
      <w:r w:rsidR="00380F60">
        <w:t xml:space="preserve"> </w:t>
      </w:r>
      <w:r>
        <w:t>Berufe, das Stipendienprogramm zur Unterstützung von Künstlerinnen und</w:t>
      </w:r>
      <w:r w:rsidR="00380F60">
        <w:t xml:space="preserve"> </w:t>
      </w:r>
      <w:r>
        <w:t>Künstlern in der Anfangsphase ihres professionellen Schaffens, das Spielstätten- und</w:t>
      </w:r>
      <w:r w:rsidR="00380F60">
        <w:t xml:space="preserve"> </w:t>
      </w:r>
      <w:r>
        <w:t>Veranstalterprogramm und das Hilfsprogramm für die Laienmusik. Auch die Unterstützung</w:t>
      </w:r>
      <w:r w:rsidR="00380F60">
        <w:t xml:space="preserve"> </w:t>
      </w:r>
      <w:r>
        <w:t>der staatlichen Kultureinrichtungen und der nichtstaatlichen Förderempfänger</w:t>
      </w:r>
      <w:r w:rsidR="00380F60">
        <w:t xml:space="preserve"> </w:t>
      </w:r>
      <w:r w:rsidR="00A17A6F">
        <w:t>wird im Jahr </w:t>
      </w:r>
      <w:r>
        <w:t>2022 fortgesetzt.</w:t>
      </w:r>
    </w:p>
    <w:p w:rsidR="00925EDE" w:rsidRDefault="00925EDE">
      <w:bookmarkStart w:id="67" w:name="Frage_Nr_33_Ende"/>
      <w:bookmarkEnd w:id="67"/>
      <w:r>
        <w:br w:type="page"/>
      </w:r>
    </w:p>
    <w:p w:rsidR="00925EDE" w:rsidRDefault="00925EDE" w:rsidP="00925EDE">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925EDE" w:rsidTr="007B0B33">
        <w:tc>
          <w:tcPr>
            <w:tcW w:w="2050" w:type="dxa"/>
          </w:tcPr>
          <w:p w:rsidR="00925EDE" w:rsidRDefault="00925EDE" w:rsidP="00925EDE">
            <w:pPr>
              <w:pStyle w:val="LTAnfrageInitiator"/>
            </w:pPr>
            <w:r>
              <w:t>Abgeordneter</w:t>
            </w:r>
            <w:r>
              <w:rPr>
                <w:b/>
              </w:rPr>
              <w:br/>
              <w:t>Christian</w:t>
            </w:r>
            <w:r>
              <w:rPr>
                <w:b/>
              </w:rPr>
              <w:br/>
              <w:t>Hierneis</w:t>
            </w:r>
            <w:r>
              <w:rPr>
                <w:b/>
              </w:rPr>
              <w:br/>
            </w:r>
            <w:r>
              <w:t>(BÜNDNIS 90/DIE GRÜNEN)</w:t>
            </w:r>
            <w:bookmarkStart w:id="68" w:name="Frage_Nr_34"/>
            <w:bookmarkEnd w:id="68"/>
          </w:p>
        </w:tc>
        <w:tc>
          <w:tcPr>
            <w:tcW w:w="7200" w:type="dxa"/>
          </w:tcPr>
          <w:p w:rsidR="00925EDE" w:rsidRDefault="00240087" w:rsidP="00925EDE">
            <w:pPr>
              <w:pStyle w:val="LTAnfrageText"/>
            </w:pPr>
            <w:r w:rsidRPr="0067222C">
              <w:t>Ich frage die Staatsregierung, an welchen Unteren Naturschutzbehörden noch keine Biodiversitätsberater eingesetzt wurden, wann die Einsetzung von Biodiversitätsberatern an Unteren Naturschutzbehörden, an denen bisher noch kein Biodiversitätsberater eingesetzt wurden, erfolgt (bitte die betroffenen Unteren Naturschutzbehörden aufzählen) und falls an Unteren Naturschutzbehörden keine Biodiversitätsberater eingesetzt werden (bitte die betroffenen Unteren Naturschutzbehörden aufzählen), warum nicht?</w:t>
            </w:r>
          </w:p>
        </w:tc>
      </w:tr>
    </w:tbl>
    <w:p w:rsidR="00925EDE" w:rsidRDefault="00925EDE" w:rsidP="00925EDE">
      <w:pPr>
        <w:pStyle w:val="LTUeberschrAntwortRessort"/>
      </w:pPr>
      <w:r>
        <w:t>Antwort des Staatsministeriums für Umwelt und Verbraucherschutz</w:t>
      </w:r>
    </w:p>
    <w:p w:rsidR="00925EDE" w:rsidRDefault="00925EDE" w:rsidP="00925EDE">
      <w:pPr>
        <w:pStyle w:val="LTAntwortRessortText"/>
      </w:pPr>
      <w:r>
        <w:t>An folgenden 29 Landratsämtern als unteren Naturschutzbehörden sind noch keine Biodiversitätsberater im Einsatz: Aichach-Friedberg, Amberg-Sulzbach, Ansbach, Augsburg, Dachau, Eichstätt, Erding, Freising, Freyung, Fürth, Haßberge, Kelheim, Kitzingen, Kulmbach, Landshut, Lindau, Main-Spessart, Miltenberg, München, Neuburg-Schrobenhausen, Nürnberger Land, Ostallgäu, Roth, Rottal-Inn, Schwandorf, Schweinfurt, Starnberg, Weißenburg-Gunzenhausen und Wunsiedel. Die Einstellung von Biodiversitätsberatern an kreisfreien Städten als unteren Naturschutzbehörden obliegt den kreisfreien Städten aufgrund ihrer Personalhoheit selbst.</w:t>
      </w:r>
    </w:p>
    <w:p w:rsidR="00925EDE" w:rsidRDefault="00925EDE" w:rsidP="00925EDE">
      <w:pPr>
        <w:pStyle w:val="LTAntwortRessortText"/>
      </w:pPr>
      <w:r>
        <w:t>Eine Zuweisung von Stellen für Biodiversitätsberater an die o.</w:t>
      </w:r>
      <w:r w:rsidR="003C17F4">
        <w:t> </w:t>
      </w:r>
      <w:r>
        <w:t xml:space="preserve">g. Landratsämter kann </w:t>
      </w:r>
      <w:r w:rsidR="003C17F4">
        <w:t xml:space="preserve">erfolgen, sobald der </w:t>
      </w:r>
      <w:r>
        <w:t xml:space="preserve">Landtag als Haushaltsgesetzgeber die entsprechenden Planstellen zur Verfügung stellt. Im Rahmen des Nachtragshaushalts 2019/2020 wurden vom Landtag 50 Planstellen für Biodiversitätsberater an den höheren und an den unteren Naturschutzbehörden zur Verfügung gestellt. Das </w:t>
      </w:r>
      <w:r w:rsidR="008D29B4">
        <w:t>Staatsministerium für Umwelt und Verbraucherschutz (</w:t>
      </w:r>
      <w:r>
        <w:t>StMUV</w:t>
      </w:r>
      <w:r w:rsidR="008D29B4">
        <w:t>)</w:t>
      </w:r>
      <w:r>
        <w:t xml:space="preserve"> strebt an, alle Landratsämter als staatliche untere Naturschutzbehörden in Bayern mit mindestens einer Stelle für Biodiversitätsberater auszustatten.</w:t>
      </w:r>
    </w:p>
    <w:p w:rsidR="00925EDE" w:rsidRDefault="00925EDE">
      <w:bookmarkStart w:id="69" w:name="Frage_Nr_34_Ende"/>
      <w:bookmarkEnd w:id="6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25EDE" w:rsidTr="007B0B33">
        <w:tc>
          <w:tcPr>
            <w:tcW w:w="2050" w:type="dxa"/>
          </w:tcPr>
          <w:p w:rsidR="00925EDE" w:rsidRDefault="00925EDE" w:rsidP="00925EDE">
            <w:pPr>
              <w:pStyle w:val="LTAnfrageInitiator"/>
            </w:pPr>
            <w:r>
              <w:lastRenderedPageBreak/>
              <w:t>Abgeordnete</w:t>
            </w:r>
            <w:r>
              <w:rPr>
                <w:b/>
              </w:rPr>
              <w:br/>
              <w:t>Ruth</w:t>
            </w:r>
            <w:r>
              <w:rPr>
                <w:b/>
              </w:rPr>
              <w:br/>
              <w:t>Müller</w:t>
            </w:r>
            <w:r>
              <w:rPr>
                <w:b/>
              </w:rPr>
              <w:br/>
            </w:r>
            <w:r>
              <w:t>(SPD)</w:t>
            </w:r>
            <w:bookmarkStart w:id="70" w:name="Frage_Nr_35"/>
            <w:bookmarkEnd w:id="70"/>
          </w:p>
        </w:tc>
        <w:tc>
          <w:tcPr>
            <w:tcW w:w="7200" w:type="dxa"/>
          </w:tcPr>
          <w:p w:rsidR="00925EDE" w:rsidRDefault="00240186" w:rsidP="00925EDE">
            <w:pPr>
              <w:pStyle w:val="LTAnfrageText"/>
            </w:pPr>
            <w:r w:rsidRPr="0067222C">
              <w:t>Vor dem Hintergrund, dass der Tierschutz in Bayern Verfassungsrang hat und seit 1998 als Staatsziel in der Bayerischen Verfassung festgeschrieben ist und die bayerischen Tierheime einen wichtigen Beitrag zum Tierschutz leisten, jedoch Corona auch Auswirkungen auf die Arbeit der Tierheime hat (z. B. Veranstaltungen zur Erwirtschaftung von Spenden konnten nicht durchgeführt werden, Ehrenamtliche durften nicht mehr in den Tierheimen unterstützend tätig werden und für die Haustiere, die während des Lockdowns angeschafft wurden, gab es später zu wenig Zeit, sodass viele von ihnen wieder in den Tierheimen landeten), frage ich die Staatsregierung, welche Beträge aus den Anträgen zur Förderung von Tierheimen, Wildtierauffangstationen, Tierpflegestellen und Gnadenhöfen in den letzten fünf Jahren (bitte aufgelistet nach Regierungsbezirken, Landkreisen und kreisfreien Städten angeben) ausbezahlt wurden, wie sich die Anzahl der aufgenommenen und untergebrachten Tiere (bitte gelistet nach Tierart angeben) in den letzten fünf Jahren (bitte aufgelistet nach Regierungsbezirken, Landkreisen und kreisfreien Städten angeben) entwickelt hat und wie hoch der Investitionsbedarf der bayerischen Tierheime, Wildtierauffangstationen, Tierpflegestellen und Gnadenhöfe von der Staatsregierung geschätzt wird (bitte aufgelistet nach Regierungsbezirken, Landkreisen und kreisfreien Städten angeben)?</w:t>
            </w:r>
          </w:p>
        </w:tc>
      </w:tr>
    </w:tbl>
    <w:p w:rsidR="00925EDE" w:rsidRDefault="00925EDE" w:rsidP="00925EDE">
      <w:pPr>
        <w:pStyle w:val="LTUeberschrAntwortRessort"/>
      </w:pPr>
      <w:r>
        <w:t>Antwort des Staatsministeriums für Umwelt und Verbraucherschutz</w:t>
      </w:r>
    </w:p>
    <w:p w:rsidR="00925EDE" w:rsidRDefault="00925EDE" w:rsidP="00925EDE">
      <w:pPr>
        <w:pStyle w:val="LTAntwortRessortText"/>
      </w:pPr>
      <w:r>
        <w:t xml:space="preserve">Die gewünschten Zahlen können im zur Verfügung stehenden Bearbeitungszeitraum bzw. grundsätzlich nicht bzw. nicht in der gewünschten Aufbereitung zur Verfügung gestellt werden. Wir weisen erneut darauf hin, dass Tierheime und vergleichbare Einrichtungen ihre Geschäfte in eigener Zuständigkeit führen, dass sog. </w:t>
      </w:r>
      <w:r w:rsidR="003439F1">
        <w:t>„</w:t>
      </w:r>
      <w:r>
        <w:t>Gnadenhöfe</w:t>
      </w:r>
      <w:r w:rsidR="003439F1">
        <w:t>“</w:t>
      </w:r>
      <w:r>
        <w:t xml:space="preserve"> nach der Förderrichtlinie Tierheime grundsätzlich nicht förderfähig sind und dass die Förderrichtlinie Tierheime erst am 01.08.2019 in Kraft trat und somit Angaben zu den Auszahlungen in den letzten fünf Jahren nicht möglich sind.</w:t>
      </w:r>
    </w:p>
    <w:p w:rsidR="00925EDE" w:rsidRDefault="00925EDE" w:rsidP="00925EDE">
      <w:pPr>
        <w:pStyle w:val="LTAntwortRessortText"/>
      </w:pPr>
      <w:r>
        <w:t>F</w:t>
      </w:r>
      <w:r w:rsidR="004C12A9">
        <w:t>ür entsprechende Informationen –</w:t>
      </w:r>
      <w:r>
        <w:t xml:space="preserve"> ohn</w:t>
      </w:r>
      <w:r w:rsidR="004C12A9">
        <w:t>e Anspruch auf Vollständigkeit –</w:t>
      </w:r>
      <w:r>
        <w:t xml:space="preserve"> siehe auch Antworten der Staatsregierung zu den Schriftlichen Anfragen bzw. Anfragen zum </w:t>
      </w:r>
      <w:r w:rsidR="004C12A9">
        <w:t>Plenum</w:t>
      </w:r>
      <w:r w:rsidR="003C17F4">
        <w:t>:</w:t>
      </w:r>
      <w:r w:rsidR="004C12A9">
        <w:t xml:space="preserve"> AfD vom 16.07.2021 (Drs. 18/16866), Bündnis 90/Die </w:t>
      </w:r>
      <w:r>
        <w:t>Grünen vom 04.1</w:t>
      </w:r>
      <w:r w:rsidR="004C12A9">
        <w:t>2.2020 (Drs. </w:t>
      </w:r>
      <w:r>
        <w:t>18/1</w:t>
      </w:r>
      <w:r w:rsidR="004C12A9">
        <w:t>0645), SPD vom 19.10.2020 (Drs. </w:t>
      </w:r>
      <w:r>
        <w:t>18/1</w:t>
      </w:r>
      <w:r w:rsidR="004C12A9">
        <w:t>0867), AfD vom 26.06.2020 (Drs. </w:t>
      </w:r>
      <w:r>
        <w:t>18/</w:t>
      </w:r>
      <w:r w:rsidR="004C12A9">
        <w:t>7900), SPD vom 29.11.2019 (Drs. </w:t>
      </w:r>
      <w:r>
        <w:t>18/</w:t>
      </w:r>
      <w:r w:rsidR="004C12A9">
        <w:t>4210), AfD vom 08.11.2019 (Drs. </w:t>
      </w:r>
      <w:r>
        <w:t>18/</w:t>
      </w:r>
      <w:r w:rsidR="004C12A9">
        <w:t>3831), AfD vom 13.09.2019 (Drs. </w:t>
      </w:r>
      <w:r>
        <w:t>18/3346), SPD vom 06</w:t>
      </w:r>
      <w:r w:rsidR="00BC133B">
        <w:t xml:space="preserve">.09.2019 </w:t>
      </w:r>
      <w:r w:rsidR="004C12A9">
        <w:t>(Drs. </w:t>
      </w:r>
      <w:r>
        <w:t>18/3248), SPD vom 12.07.2019 (D</w:t>
      </w:r>
      <w:r w:rsidR="004C12A9">
        <w:t>rs. </w:t>
      </w:r>
      <w:r>
        <w:t>18/</w:t>
      </w:r>
      <w:r w:rsidR="004C12A9">
        <w:t>2089), SPD vom 05.07.2019 (Drs. </w:t>
      </w:r>
      <w:r>
        <w:t>18/2152), SPD</w:t>
      </w:r>
      <w:r w:rsidR="00BC133B">
        <w:t xml:space="preserve"> </w:t>
      </w:r>
      <w:r w:rsidR="004C12A9">
        <w:t>vom 05.07.2019 (Drs. </w:t>
      </w:r>
      <w:r>
        <w:t>18/2151).</w:t>
      </w:r>
    </w:p>
    <w:p w:rsidR="00925EDE" w:rsidRDefault="00925EDE">
      <w:bookmarkStart w:id="71" w:name="Frage_Nr_35_Ende"/>
      <w:bookmarkEnd w:id="7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25EDE" w:rsidTr="007B0B33">
        <w:tc>
          <w:tcPr>
            <w:tcW w:w="2050" w:type="dxa"/>
          </w:tcPr>
          <w:p w:rsidR="00925EDE" w:rsidRDefault="00925EDE" w:rsidP="00925EDE">
            <w:pPr>
              <w:pStyle w:val="LTAnfrageInitiator"/>
            </w:pPr>
            <w:r>
              <w:lastRenderedPageBreak/>
              <w:t>Abgeordneter</w:t>
            </w:r>
            <w:r>
              <w:rPr>
                <w:b/>
              </w:rPr>
              <w:br/>
              <w:t>Christoph</w:t>
            </w:r>
            <w:r>
              <w:rPr>
                <w:b/>
              </w:rPr>
              <w:br/>
              <w:t>Skutella</w:t>
            </w:r>
            <w:r>
              <w:rPr>
                <w:b/>
              </w:rPr>
              <w:br/>
            </w:r>
            <w:r>
              <w:t>(FDP)</w:t>
            </w:r>
            <w:bookmarkStart w:id="72" w:name="Frage_Nr_36"/>
            <w:bookmarkEnd w:id="72"/>
          </w:p>
        </w:tc>
        <w:tc>
          <w:tcPr>
            <w:tcW w:w="7200" w:type="dxa"/>
          </w:tcPr>
          <w:p w:rsidR="00925EDE" w:rsidRDefault="00456CA0" w:rsidP="00925EDE">
            <w:pPr>
              <w:pStyle w:val="LTAnfrageText"/>
            </w:pPr>
            <w:r w:rsidRPr="0067222C">
              <w:t>Bezugnehmend auf die Drs. 18/13713, Frage Nr. 49, frage ich die Staatsregierung, ob das Staatsministerium für Umwelt und Verbraucherschutz vermehrte Konflikte zwischen Mountainbikern und Wanderern bzgl. der Geländenutzung im letzten Jahr registrierte, wie der vom Deutschen Alpenverein (DAV) entworfene Leitfaden mit Konzeptionierungsvorschlägen bzw. -empfehlungen für ein MTB-Streckennetz angenommen und bewertet wurde und wie viele Maßnahmen mittlerweile nach den „Richtlinien zur Förderung von umwelt- und klimaverträglichen Naturerlebnis- und Naturtourismusangeboten in bayerischen Kommunen (FöRNatKom)“ bewilligt wurden (bitte Auflistung nach Art der Maßnahme, Ort der Durchführung und Mittelzuwendung)?</w:t>
            </w:r>
          </w:p>
        </w:tc>
      </w:tr>
    </w:tbl>
    <w:p w:rsidR="00925EDE" w:rsidRDefault="00925EDE" w:rsidP="00925EDE">
      <w:pPr>
        <w:pStyle w:val="LTUeberschrAntwortRessort"/>
      </w:pPr>
      <w:r>
        <w:t>Antwort des Staatsministeriums für Umwelt und Verbraucherschutz</w:t>
      </w:r>
    </w:p>
    <w:p w:rsidR="00925EDE" w:rsidRDefault="00925EDE" w:rsidP="00925EDE">
      <w:pPr>
        <w:pStyle w:val="LTAntwortRessortText"/>
      </w:pPr>
      <w:r>
        <w:t xml:space="preserve">Daten zur Anzahl von Konfliktsituationen liegen dem </w:t>
      </w:r>
      <w:r w:rsidR="00A7539C">
        <w:t>Staatsministerium für Umwelt und Verbraucherschutz (</w:t>
      </w:r>
      <w:r>
        <w:t>StMUV</w:t>
      </w:r>
      <w:r w:rsidR="00A7539C">
        <w:t>)</w:t>
      </w:r>
      <w:r>
        <w:t xml:space="preserve"> nicht vor.</w:t>
      </w:r>
    </w:p>
    <w:p w:rsidR="00925EDE" w:rsidRDefault="00925EDE" w:rsidP="00925EDE">
      <w:pPr>
        <w:pStyle w:val="LTAntwortRessortText"/>
      </w:pPr>
      <w:r>
        <w:t xml:space="preserve">Coronabedingt haben sich die Stakeholderdialoge des </w:t>
      </w:r>
      <w:r w:rsidR="00A7539C">
        <w:t>Deutschen Alpenvereins (</w:t>
      </w:r>
      <w:r>
        <w:t>DAV</w:t>
      </w:r>
      <w:r w:rsidR="00A7539C">
        <w:t>)</w:t>
      </w:r>
      <w:r>
        <w:t xml:space="preserve"> in den beiden Modellregionen zeitlich verzögert, so dass die Projektlaufzeit um ein Jahr bis in 2022 verlängert wurde. Aus diesem Grund konnte der Leitfaden mit Konzeptionierungsvorschlägen bzw. -empfehlungen für ein MTB-Streckennetz noch nicht vorgelegt werden.</w:t>
      </w:r>
    </w:p>
    <w:p w:rsidR="00925EDE" w:rsidRDefault="00925EDE" w:rsidP="00925EDE">
      <w:pPr>
        <w:pStyle w:val="LTAntwortRessortText"/>
      </w:pPr>
      <w:r>
        <w:t xml:space="preserve">Bislang wurden nach den </w:t>
      </w:r>
      <w:r w:rsidR="003439F1">
        <w:t>„</w:t>
      </w:r>
      <w:r>
        <w:t>Richtlinien zur Förderung von umwelt- und klimaverträglichen Naturerlebnis- und Naturtourismusangeboten in bayerischen Kommunen (FöRNatKom)</w:t>
      </w:r>
      <w:r w:rsidR="003439F1">
        <w:t>“</w:t>
      </w:r>
      <w:r>
        <w:t xml:space="preserve"> folgende Maßnahmen bewilligt:</w:t>
      </w:r>
    </w:p>
    <w:p w:rsidR="00925EDE" w:rsidRDefault="00925EDE" w:rsidP="00A163AA">
      <w:pPr>
        <w:pStyle w:val="LTAntwortRessortText"/>
        <w:numPr>
          <w:ilvl w:val="0"/>
          <w:numId w:val="28"/>
        </w:numPr>
        <w:spacing w:before="0"/>
        <w:ind w:left="697" w:hanging="357"/>
      </w:pPr>
      <w:r>
        <w:t>Naturtouristisches Gesamtkonzept Bad Neualbenreuth, Zuwendungsempfänger: Marktgemeinde Bad Neualbe</w:t>
      </w:r>
      <w:r w:rsidR="00A7539C">
        <w:t>nreuth, Zuwendungshöhe: 156.400 </w:t>
      </w:r>
      <w:r>
        <w:t>Euro</w:t>
      </w:r>
    </w:p>
    <w:p w:rsidR="00925EDE" w:rsidRDefault="00925EDE" w:rsidP="00A163AA">
      <w:pPr>
        <w:pStyle w:val="LTAntwortRessortText"/>
        <w:numPr>
          <w:ilvl w:val="0"/>
          <w:numId w:val="28"/>
        </w:numPr>
        <w:spacing w:before="0"/>
        <w:ind w:left="697" w:hanging="357"/>
      </w:pPr>
      <w:r>
        <w:t>Qualitätssteigerung und Besucherlenkung für Mountainbiker und Wanderer auf dem Gebiet der Naturparke Fichtelgebirge und Steinwald, Zuwendungsempfänger: Landkreis Wunsiedel, Zu</w:t>
      </w:r>
      <w:r w:rsidR="00A7539C">
        <w:t>wendungshöhe 180.000 </w:t>
      </w:r>
      <w:r>
        <w:t>Euro</w:t>
      </w:r>
    </w:p>
    <w:p w:rsidR="00925EDE" w:rsidRDefault="00925EDE" w:rsidP="00A163AA">
      <w:pPr>
        <w:pStyle w:val="LTAntwortRessortText"/>
        <w:numPr>
          <w:ilvl w:val="0"/>
          <w:numId w:val="28"/>
        </w:numPr>
        <w:spacing w:before="0"/>
        <w:ind w:left="697" w:hanging="357"/>
      </w:pPr>
      <w:r>
        <w:t>Kanukonzept der Städte Fürth und Nürnberg, Zuwendungsempfänger: Kreisfreie Sta</w:t>
      </w:r>
      <w:r w:rsidR="00A7539C">
        <w:t>dt Fürth, Zuwendungshöhe 30.000 </w:t>
      </w:r>
      <w:r>
        <w:t>Euro</w:t>
      </w:r>
    </w:p>
    <w:p w:rsidR="00925EDE" w:rsidRDefault="00925EDE" w:rsidP="00A163AA">
      <w:pPr>
        <w:pStyle w:val="LTAntwortRessortText"/>
        <w:numPr>
          <w:ilvl w:val="0"/>
          <w:numId w:val="28"/>
        </w:numPr>
        <w:spacing w:before="0"/>
        <w:ind w:left="697" w:hanging="357"/>
      </w:pPr>
      <w:r>
        <w:t>Erarbeitung eines Naturtourismuskonzeptes für die Stadt Iphofen, Zuwendungsempfänger: Stadt Iphofen, Zuwendungshöhe: 14.081,</w:t>
      </w:r>
      <w:r w:rsidR="00A7539C">
        <w:t>24 </w:t>
      </w:r>
      <w:r w:rsidR="000214D7">
        <w:t>Euro</w:t>
      </w:r>
    </w:p>
    <w:p w:rsidR="00925EDE" w:rsidRDefault="00925EDE" w:rsidP="00A163AA">
      <w:pPr>
        <w:pStyle w:val="LTAntwortRessortText"/>
        <w:numPr>
          <w:ilvl w:val="0"/>
          <w:numId w:val="28"/>
        </w:numPr>
        <w:spacing w:before="0"/>
        <w:ind w:left="697" w:hanging="357"/>
      </w:pPr>
      <w:r>
        <w:t>Flowtrails Sonnhalde und Angersteg, Zuwendungsempfänger: Markt Oberstaufen,</w:t>
      </w:r>
      <w:r w:rsidR="000214D7">
        <w:t xml:space="preserve"> </w:t>
      </w:r>
      <w:r w:rsidR="00A7539C">
        <w:t>Zuwendungshöhe: 37.250,81 </w:t>
      </w:r>
      <w:r>
        <w:t>Euro</w:t>
      </w:r>
    </w:p>
    <w:p w:rsidR="00925EDE" w:rsidRDefault="00925EDE" w:rsidP="00A163AA">
      <w:pPr>
        <w:pStyle w:val="LTAntwortRessortText"/>
        <w:numPr>
          <w:ilvl w:val="0"/>
          <w:numId w:val="28"/>
        </w:numPr>
        <w:spacing w:before="0"/>
        <w:ind w:left="697" w:hanging="357"/>
      </w:pPr>
      <w:r>
        <w:t>Ausbau Wanderwegenetz zur Besucherlenkung, Zuwendungsempfänger: Gemeinde</w:t>
      </w:r>
      <w:r w:rsidR="000214D7">
        <w:t xml:space="preserve"> </w:t>
      </w:r>
      <w:r>
        <w:t>Burg</w:t>
      </w:r>
      <w:r w:rsidR="00A7539C">
        <w:t>berg, Zuwendungshöhe: 41.505,52 </w:t>
      </w:r>
      <w:r>
        <w:t>Euro</w:t>
      </w:r>
      <w:r w:rsidR="000214D7">
        <w:t xml:space="preserve"> </w:t>
      </w:r>
    </w:p>
    <w:p w:rsidR="00925EDE" w:rsidRDefault="00925EDE" w:rsidP="00A163AA">
      <w:pPr>
        <w:pStyle w:val="LTAntwortRessortText"/>
        <w:numPr>
          <w:ilvl w:val="0"/>
          <w:numId w:val="28"/>
        </w:numPr>
        <w:spacing w:before="0"/>
        <w:ind w:left="697" w:hanging="357"/>
      </w:pPr>
      <w:r>
        <w:t>Neuanlage Bike-Park Tannachwäldchen, Zuwendungsempfänger: Stadt Sonthofen,</w:t>
      </w:r>
      <w:r w:rsidR="000214D7">
        <w:t xml:space="preserve"> </w:t>
      </w:r>
      <w:r w:rsidR="00A7539C">
        <w:t>Zuwendungshöhe: 69.761,23 </w:t>
      </w:r>
      <w:r>
        <w:t>Euro</w:t>
      </w:r>
    </w:p>
    <w:p w:rsidR="00925EDE" w:rsidRDefault="00925EDE">
      <w:bookmarkStart w:id="73" w:name="Frage_Nr_36_Ende"/>
      <w:bookmarkEnd w:id="7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25EDE" w:rsidTr="007B0B33">
        <w:tc>
          <w:tcPr>
            <w:tcW w:w="2050" w:type="dxa"/>
          </w:tcPr>
          <w:p w:rsidR="00925EDE" w:rsidRDefault="00925EDE" w:rsidP="00925EDE">
            <w:pPr>
              <w:pStyle w:val="LTAnfrageInitiator"/>
            </w:pPr>
            <w:r>
              <w:lastRenderedPageBreak/>
              <w:t>Abgeordneter</w:t>
            </w:r>
            <w:r>
              <w:rPr>
                <w:b/>
              </w:rPr>
              <w:br/>
              <w:t>Martin</w:t>
            </w:r>
            <w:r>
              <w:rPr>
                <w:b/>
              </w:rPr>
              <w:br/>
              <w:t>Stümpfig</w:t>
            </w:r>
            <w:r>
              <w:rPr>
                <w:b/>
              </w:rPr>
              <w:br/>
            </w:r>
            <w:r>
              <w:t>(BÜNDNIS 90/DIE GRÜNEN)</w:t>
            </w:r>
            <w:bookmarkStart w:id="74" w:name="Frage_Nr_37"/>
            <w:bookmarkEnd w:id="74"/>
          </w:p>
        </w:tc>
        <w:tc>
          <w:tcPr>
            <w:tcW w:w="7200" w:type="dxa"/>
          </w:tcPr>
          <w:p w:rsidR="00925EDE" w:rsidRDefault="005E6A6C" w:rsidP="00925EDE">
            <w:pPr>
              <w:pStyle w:val="LTAnfrageText"/>
            </w:pPr>
            <w:r w:rsidRPr="0067222C">
              <w:t xml:space="preserve">Ich frage die Staatsregierung, wie hoch ist der Anteil an Eigenmitteln durch den Freistaat Bayern bei der geplanten Klimamilliarde im Haushaltsentwurf 2022, wie sie im Einzelplan 12 ab Seite 69 ff aufgelistet sind, welche genauen Inhalte haben die mit 400 Millionen Euro Verfügungsmittel geplante IPCEI-Projekte, die an den Bund überwiesen werden sollen und weshalb sind für die Projekte Bioenergie </w:t>
            </w:r>
            <w:r w:rsidRPr="0067222C">
              <w:softHyphen/>
              <w:t xml:space="preserve"> Nachwachsende Rohstoffe, Verbesserung der Umsetzung von Energieeffizienzmaßnahmen in Unternehmen durch Energieeffizienz-Netzwerke (BEEN-i), Förderung Pilotprojekte zur Dekarbonisierung, Förderprogramm BioKlima für die Errichtung von Biomasseheizwerken keine Haushaltsmittel eingestellt sind, obwohl sie in der Klimaschutzoffensive aus dem Jahr 2019 bzw. vom 15.11.2021 mit Beginn 2021 bzw. 2022 geplant war?</w:t>
            </w:r>
          </w:p>
        </w:tc>
      </w:tr>
    </w:tbl>
    <w:p w:rsidR="00925EDE" w:rsidRDefault="00925EDE" w:rsidP="00925EDE">
      <w:pPr>
        <w:pStyle w:val="LTUeberschrAntwortRessort"/>
      </w:pPr>
      <w:r>
        <w:t>Antwort des Staatsministeriums für Umwelt und Verbraucherschutz</w:t>
      </w:r>
    </w:p>
    <w:p w:rsidR="00925EDE" w:rsidRDefault="00925EDE" w:rsidP="00925EDE">
      <w:pPr>
        <w:pStyle w:val="LTAntwortRessortText"/>
      </w:pPr>
      <w:r>
        <w:t>Bei den geplanten Mitteln der Klimamilliarde im Haushaltsentwurf 2022 handelt es sich ausschließlich um Landesmittel des Freistaates Bayern. Etwaige Bundes- bzw. EU-Mittel sind darin nicht enthalten.</w:t>
      </w:r>
    </w:p>
    <w:p w:rsidR="00925EDE" w:rsidRDefault="003C17F4" w:rsidP="00925EDE">
      <w:pPr>
        <w:pStyle w:val="LTAntwortRessortText"/>
      </w:pPr>
      <w:r>
        <w:t xml:space="preserve">Das </w:t>
      </w:r>
      <w:r w:rsidR="00925EDE">
        <w:t>Staatsministerium für Wirtschaft, Landesentwicklung und Energie teilt zur Anfrage Folgendes mit:</w:t>
      </w:r>
    </w:p>
    <w:p w:rsidR="00925EDE" w:rsidRDefault="00925EDE" w:rsidP="00925EDE">
      <w:pPr>
        <w:pStyle w:val="LTAntwortRessortText"/>
      </w:pPr>
      <w:r>
        <w:t xml:space="preserve">Die </w:t>
      </w:r>
      <w:r w:rsidR="003439F1">
        <w:t>Staatsregierung</w:t>
      </w:r>
      <w:r>
        <w:t xml:space="preserve"> verfolgt verschiedene Ansätze, um Bayerns Industrie für die Zukunft gut aufzustellen. IPCEI-Vorhaben der EU ermöglichen beihilfekonform und zeitnah die Fortentwicklung der Industrie und haben deshalb Priorität.</w:t>
      </w:r>
    </w:p>
    <w:p w:rsidR="00925EDE" w:rsidRDefault="00925EDE" w:rsidP="00C77276">
      <w:pPr>
        <w:pStyle w:val="LTAntwortRessortText"/>
      </w:pPr>
      <w:r>
        <w:t xml:space="preserve">So sind leistungsstarke und besonders </w:t>
      </w:r>
      <w:r w:rsidR="003C17F4">
        <w:t>umweltschonende Batterien essenz</w:t>
      </w:r>
      <w:r>
        <w:t>iell für die Wertschöpfungskette im Automobilsektor. Die bayerischen IPCEI-Projekte im Bereich Wasserstoff decken inhaltlich die gesamte Wertschöpfungskette ab, von der Erforschung und Entwicklung neuartiger Elektrolysetechnologien, dem Aufbau von Elektrolysekapazitäten zur Erzeugung von grünem Wasserstoff, über die Skalierung innovativer Wasserstoffspeichertechnologien (LOHC) bis hin zur Entwicklung von Brennstoffzellensystemen im mobilen und stationären Anwendungsbereich. Ergänzend wird auf nachfolgende gemeinsame Pressemitteilung des B</w:t>
      </w:r>
      <w:r w:rsidR="003E110A">
        <w:t>undesministeriums für Wirtschaft und Klimaschutz (B</w:t>
      </w:r>
      <w:r>
        <w:t>MWi</w:t>
      </w:r>
      <w:r w:rsidR="003E110A">
        <w:t>)</w:t>
      </w:r>
      <w:r>
        <w:t xml:space="preserve"> und B</w:t>
      </w:r>
      <w:r w:rsidR="003E110A">
        <w:t>undesministerium für Digitales und Verkehr (B</w:t>
      </w:r>
      <w:r>
        <w:t>MVI</w:t>
      </w:r>
      <w:r w:rsidR="003E110A">
        <w:t>)</w:t>
      </w:r>
      <w:r>
        <w:t xml:space="preserve"> verwiesen: </w:t>
      </w:r>
      <w:hyperlink r:id="rId16" w:history="1">
        <w:r w:rsidRPr="003B0D79">
          <w:rPr>
            <w:rStyle w:val="LTHyperlinkZchn"/>
            <w:b w:val="0"/>
          </w:rPr>
          <w:t>https://www.bmwi.de/Redaktion/DE/Pressemitteilungen/2021/05/20210528-bmwi-und-bmvi-bringen-wasserstoff-</w:t>
        </w:r>
        <w:r w:rsidR="00C77276" w:rsidRPr="003B0D79">
          <w:rPr>
            <w:rStyle w:val="LTHyperlinkZchn"/>
            <w:b w:val="0"/>
          </w:rPr>
          <w:t>grossprojekte-auf-den-weg.html</w:t>
        </w:r>
      </w:hyperlink>
      <w:r w:rsidR="00C77276">
        <w:t>.</w:t>
      </w:r>
    </w:p>
    <w:p w:rsidR="00925EDE" w:rsidRDefault="00925EDE" w:rsidP="00925EDE">
      <w:pPr>
        <w:pStyle w:val="LTAntwortRessortText"/>
      </w:pPr>
      <w:r>
        <w:t>Die Auszahlung der IPCEI-Mittel erfolgt auf Grundlage von mit dem Bund abzuschließenden</w:t>
      </w:r>
      <w:r w:rsidR="004F0994">
        <w:t xml:space="preserve"> </w:t>
      </w:r>
      <w:r>
        <w:t>Verwaltungsvereinbarungen direkt an die Antragssteller. Die Kostenteilung zwischen Bund und</w:t>
      </w:r>
      <w:r w:rsidR="004F0994">
        <w:t xml:space="preserve"> </w:t>
      </w:r>
      <w:r>
        <w:t>L</w:t>
      </w:r>
      <w:r w:rsidR="00C527EF">
        <w:t>ändern erfolgt im Verhältnis 70 </w:t>
      </w:r>
      <w:r>
        <w:t xml:space="preserve">Prozent Bund </w:t>
      </w:r>
      <w:r w:rsidR="00C527EF">
        <w:t>und 30 </w:t>
      </w:r>
      <w:r>
        <w:t>Prozent Land. Weitere Projekte werden</w:t>
      </w:r>
      <w:r w:rsidR="004F0994">
        <w:t xml:space="preserve"> </w:t>
      </w:r>
      <w:r>
        <w:t>ergänzend im Rahmen der Forschung und Entwicklung gefördert. Strategische Weichenstellungen,</w:t>
      </w:r>
      <w:r w:rsidR="004F0994">
        <w:t xml:space="preserve"> </w:t>
      </w:r>
      <w:r>
        <w:t>wie etwa mit den 50 Maßnahmen aus der Bioökonomie, kommen dazu.</w:t>
      </w:r>
    </w:p>
    <w:p w:rsidR="00925EDE" w:rsidRDefault="00925EDE" w:rsidP="00925EDE">
      <w:pPr>
        <w:pStyle w:val="LTAntwortRessortText"/>
      </w:pPr>
      <w:r>
        <w:t>Die im Haushaltspla</w:t>
      </w:r>
      <w:r w:rsidR="00C527EF">
        <w:t>n 2020, Einzelplan 12, ab Seite </w:t>
      </w:r>
      <w:r>
        <w:t>69 aufgelisteten Maßnahmen umfassen nicht</w:t>
      </w:r>
      <w:r w:rsidR="004F0994">
        <w:t xml:space="preserve"> </w:t>
      </w:r>
      <w:r>
        <w:t>alle bayerischen Maßnahmen für den Klimaschutz, sondern nur das neue zusätzliche Klima-</w:t>
      </w:r>
      <w:r w:rsidR="004F0994">
        <w:t xml:space="preserve"> </w:t>
      </w:r>
      <w:r w:rsidR="00C527EF">
        <w:t xml:space="preserve">Maßnahmenpaket, für das im Jahr 2022 als Startschuss </w:t>
      </w:r>
      <w:r w:rsidR="00C527EF">
        <w:lastRenderedPageBreak/>
        <w:t>1 Mrd. </w:t>
      </w:r>
      <w:r>
        <w:t>Euro bereitgestellt werden.</w:t>
      </w:r>
      <w:r w:rsidR="004F0994">
        <w:t xml:space="preserve"> </w:t>
      </w:r>
      <w:r w:rsidR="00C527EF">
        <w:t>Wie im Maßnahmenpaket –</w:t>
      </w:r>
      <w:r>
        <w:t xml:space="preserve"> Klimaschutzoffensive (Stand 15.11.2021) vermerkt, handelt es sich bei</w:t>
      </w:r>
      <w:r w:rsidR="004F0994">
        <w:t xml:space="preserve"> </w:t>
      </w:r>
      <w:r w:rsidR="00C527EF">
        <w:t>der Förderung von Bioenergie – Nachwachsenden Rohstoffen (Nr. </w:t>
      </w:r>
      <w:r>
        <w:t>1.6), bei den</w:t>
      </w:r>
      <w:r w:rsidR="004F0994">
        <w:t xml:space="preserve"> </w:t>
      </w:r>
      <w:r>
        <w:t>Ener</w:t>
      </w:r>
      <w:r w:rsidR="00C527EF">
        <w:t>gieeffizienznetzwerken (BEEN-i; Nr. </w:t>
      </w:r>
      <w:r>
        <w:t>1.10) und dem Förderprogramm BioKlima für die</w:t>
      </w:r>
      <w:r w:rsidR="004F0994">
        <w:t xml:space="preserve"> </w:t>
      </w:r>
      <w:r>
        <w:t>Errichtung von Biomasseheizwerken um bereits laufende Maßnahmen. Für diese Maßnahmen</w:t>
      </w:r>
      <w:r w:rsidR="004F0994">
        <w:t xml:space="preserve"> </w:t>
      </w:r>
      <w:r>
        <w:t>sind Mittel im Ha</w:t>
      </w:r>
      <w:r w:rsidR="00C527EF">
        <w:t>ushaltsentwurf 2022, Einzelplan 07, eingeplant (Seiten 126 bis</w:t>
      </w:r>
      <w:r>
        <w:t xml:space="preserve"> 131).</w:t>
      </w:r>
      <w:r w:rsidR="004F0994">
        <w:t xml:space="preserve"> </w:t>
      </w:r>
      <w:r>
        <w:t>Im Maßnahmenpaket zur Klimaschutzoffensive wird darauf hingewiesen, dass die Umsetzung im</w:t>
      </w:r>
      <w:r w:rsidR="004F0994">
        <w:t xml:space="preserve"> </w:t>
      </w:r>
      <w:r>
        <w:t>Rahmen der jeweils verfügbaren Mittel erfolgt bzw. laufenden und künftigen Haushaltsberatungen</w:t>
      </w:r>
      <w:r w:rsidR="004F0994">
        <w:t xml:space="preserve"> </w:t>
      </w:r>
      <w:r>
        <w:t>vorbehalten bleibt.</w:t>
      </w:r>
      <w:r w:rsidR="004F0994">
        <w:t xml:space="preserve"> </w:t>
      </w:r>
      <w:r>
        <w:t>Die Unterstützung der Industrie bei der notwendigen Dekarbonisierung ist grundsätzlich eine</w:t>
      </w:r>
      <w:r w:rsidR="004F0994">
        <w:t xml:space="preserve"> </w:t>
      </w:r>
      <w:r>
        <w:t>Aufgabe des Bundes, die durch bayerische Maßnahmen ergänzt werden soll. Bayern hat sich für</w:t>
      </w:r>
      <w:r w:rsidR="004F0994">
        <w:t xml:space="preserve"> </w:t>
      </w:r>
      <w:r>
        <w:t>entsprechende Förderungen eingesetzt, die zum Teil bereits in Angriff genommen wurden (siehe</w:t>
      </w:r>
      <w:r w:rsidR="004F0994">
        <w:t xml:space="preserve"> </w:t>
      </w:r>
      <w:r w:rsidR="00C527EF">
        <w:t>z. </w:t>
      </w:r>
      <w:r>
        <w:t>B. BMU-Initiative</w:t>
      </w:r>
      <w:r w:rsidR="003E110A">
        <w:t xml:space="preserve"> </w:t>
      </w:r>
      <w:r w:rsidR="0034095E">
        <w:t xml:space="preserve">Dekarbonisierung in der Industrie </w:t>
      </w:r>
      <w:r w:rsidR="003E110A">
        <w:t xml:space="preserve">– BMU = Bundesministerium für Umwelt, Naturschutz, nukleare Sicherheit und Verbraucherschutz </w:t>
      </w:r>
      <w:hyperlink r:id="rId17" w:history="1">
        <w:r w:rsidR="004F0994" w:rsidRPr="003B0D79">
          <w:rPr>
            <w:rStyle w:val="LTHyperlinkZchn"/>
            <w:b w:val="0"/>
          </w:rPr>
          <w:t>https://www.bmu.de/programm?tx_bmubfundingdb_programsProzent5BprogramProzent5D=31&amp;cHash=c7e30</w:t>
        </w:r>
      </w:hyperlink>
      <w:r w:rsidR="004F0994" w:rsidRPr="003B0D79">
        <w:rPr>
          <w:rStyle w:val="LTHyperlinkZchn"/>
          <w:b w:val="0"/>
        </w:rPr>
        <w:t xml:space="preserve"> </w:t>
      </w:r>
      <w:r w:rsidRPr="003B0D79">
        <w:rPr>
          <w:rStyle w:val="LTHyperlinkZchn"/>
          <w:b w:val="0"/>
        </w:rPr>
        <w:t>41176d143a8a8900b1163fdc4f8</w:t>
      </w:r>
      <w:r>
        <w:t>). Der neue Koalitionsvertrag auf Bundesebene sieht weitere</w:t>
      </w:r>
      <w:r w:rsidR="004F0994">
        <w:t xml:space="preserve"> </w:t>
      </w:r>
      <w:r>
        <w:t>Maßnahmen vor.</w:t>
      </w:r>
    </w:p>
    <w:p w:rsidR="00925EDE" w:rsidRDefault="00925EDE">
      <w:bookmarkStart w:id="75" w:name="Frage_Nr_37_Ende"/>
      <w:bookmarkEnd w:id="75"/>
      <w:r>
        <w:br w:type="page"/>
      </w:r>
    </w:p>
    <w:p w:rsidR="00925EDE" w:rsidRDefault="00925EDE" w:rsidP="00925EDE">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0"/>
        <w:gridCol w:w="5836"/>
      </w:tblGrid>
      <w:tr w:rsidR="00925EDE" w:rsidTr="007B0B33">
        <w:tc>
          <w:tcPr>
            <w:tcW w:w="2050" w:type="dxa"/>
          </w:tcPr>
          <w:p w:rsidR="00925EDE" w:rsidRDefault="00925EDE" w:rsidP="00925EDE">
            <w:pPr>
              <w:pStyle w:val="LTAnfrageInitiator"/>
            </w:pPr>
            <w:r>
              <w:t>Abgeordnete</w:t>
            </w:r>
            <w:r>
              <w:rPr>
                <w:b/>
              </w:rPr>
              <w:br/>
              <w:t>Martina</w:t>
            </w:r>
            <w:r>
              <w:rPr>
                <w:b/>
              </w:rPr>
              <w:br/>
              <w:t>Fehlner</w:t>
            </w:r>
            <w:r>
              <w:rPr>
                <w:b/>
              </w:rPr>
              <w:br/>
            </w:r>
            <w:r>
              <w:t>(SPD)</w:t>
            </w:r>
            <w:bookmarkStart w:id="76" w:name="Frage_Nr_38"/>
            <w:bookmarkEnd w:id="76"/>
          </w:p>
        </w:tc>
        <w:tc>
          <w:tcPr>
            <w:tcW w:w="7200" w:type="dxa"/>
          </w:tcPr>
          <w:p w:rsidR="00925EDE" w:rsidRDefault="002933D3" w:rsidP="00925EDE">
            <w:pPr>
              <w:pStyle w:val="LTAnfrageText"/>
            </w:pPr>
            <w:r w:rsidRPr="0067222C">
              <w:t>Ich frage die Staatsregierung, wie viele Ausnahmegenehmigungen für Anbindehaltung von Rindern nach Nr. 1.7.5, Anhang II, Teil II VO (EU) 2018/848 in den letzten drei Jahren in Bayern jährlich beantragt und genehmigt wurden (bitte aufgeschlüsselt nach Landkreisen und Jahren angeben)?</w:t>
            </w:r>
          </w:p>
        </w:tc>
      </w:tr>
    </w:tbl>
    <w:p w:rsidR="00925EDE" w:rsidRDefault="00925EDE" w:rsidP="00925EDE">
      <w:pPr>
        <w:pStyle w:val="LTUeberschrAntwortRessort"/>
      </w:pPr>
      <w:r>
        <w:t>Antwort des Staatsministeriums für Ernährung, Landwirtschaft und Forsten</w:t>
      </w:r>
    </w:p>
    <w:p w:rsidR="00925EDE" w:rsidRDefault="003B5EB2" w:rsidP="00925EDE">
      <w:pPr>
        <w:pStyle w:val="LTAntwortRessortText"/>
      </w:pPr>
      <w:r>
        <w:t>Auf der Grundlage von Nr. 1.7.5, Anhang </w:t>
      </w:r>
      <w:r w:rsidR="00925EDE">
        <w:t>I</w:t>
      </w:r>
      <w:r>
        <w:t>I, Teil II </w:t>
      </w:r>
      <w:r w:rsidR="003B702D">
        <w:t>Verordnung (</w:t>
      </w:r>
      <w:r w:rsidR="005473CF">
        <w:t>VO</w:t>
      </w:r>
      <w:r w:rsidR="003B702D">
        <w:t>)</w:t>
      </w:r>
      <w:r w:rsidR="005473CF">
        <w:t xml:space="preserve"> (EU) 2018/848 wur</w:t>
      </w:r>
      <w:r w:rsidR="00925EDE">
        <w:t>den in den vergangenen drei Jahren k</w:t>
      </w:r>
      <w:r w:rsidR="005473CF">
        <w:t>eine Ausnahmegenehmigungen bean</w:t>
      </w:r>
      <w:r w:rsidR="00925EDE">
        <w:t>tragt oder erteilt, da die bet</w:t>
      </w:r>
      <w:r w:rsidR="003B702D">
        <w:t>reffende Verordnung erst zum 1. Januar </w:t>
      </w:r>
      <w:r w:rsidR="00925EDE">
        <w:t>2022 in Kraft tritt.</w:t>
      </w:r>
    </w:p>
    <w:p w:rsidR="00925EDE" w:rsidRDefault="003B702D" w:rsidP="0059719B">
      <w:pPr>
        <w:pStyle w:val="LTAntwortRessortText"/>
      </w:pPr>
      <w:r>
        <w:t>Die nach Artikel </w:t>
      </w:r>
      <w:r w:rsidR="00925EDE">
        <w:t>39 der derzeit gültigen VO</w:t>
      </w:r>
      <w:r w:rsidR="005473CF">
        <w:t xml:space="preserve"> (EG) 889/2008 erteilten Ausnah</w:t>
      </w:r>
      <w:r w:rsidR="00925EDE">
        <w:t xml:space="preserve">megenehmigungen für die Anbindehaltung von Rindern in Kleinbetrieben geht aus der folgenden Tabelle hervor. </w:t>
      </w:r>
      <w:r w:rsidR="003E110A">
        <w:t>Da vor Beantragung der Ausnahme</w:t>
      </w:r>
      <w:r w:rsidR="00925EDE">
        <w:t xml:space="preserve">genehmigung eine Vorprüfung durch die jeweilige Öko-Kontrollstelle des Betriebs erfolgt, stimmt die Anzahl der beantragten und erteilten </w:t>
      </w:r>
      <w:r w:rsidR="003E110A">
        <w:t>Ausnahme</w:t>
      </w:r>
      <w:r w:rsidR="0059719B">
        <w:t>genehmigungen überein.</w:t>
      </w:r>
    </w:p>
    <w:p w:rsidR="00925EDE" w:rsidRDefault="00925EDE" w:rsidP="00925EDE">
      <w:pPr>
        <w:pStyle w:val="LTAntwortRessortText"/>
      </w:pPr>
      <w:r>
        <w:t>Aus</w:t>
      </w:r>
      <w:r w:rsidR="003B702D">
        <w:t>nahmegenehmigungen nach Artikel </w:t>
      </w:r>
      <w:r>
        <w:t>39 VO (EG) 889/2008 nach Landkreisen</w:t>
      </w:r>
      <w:r w:rsidR="0059719B">
        <w:t xml:space="preserve"> </w:t>
      </w:r>
      <w:r>
        <w:t>(nur Landkreise mit Ausnahmegenehmigungen)</w:t>
      </w:r>
      <w:r w:rsidR="003E110A">
        <w:t>:</w:t>
      </w:r>
    </w:p>
    <w:p w:rsidR="00925EDE" w:rsidRDefault="00925EDE" w:rsidP="00925EDE">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1135"/>
        <w:gridCol w:w="1133"/>
        <w:gridCol w:w="1135"/>
      </w:tblGrid>
      <w:tr w:rsidR="0059719B" w:rsidRPr="00D0004C" w:rsidTr="00FC2CC7">
        <w:trPr>
          <w:trHeight w:val="400"/>
        </w:trPr>
        <w:tc>
          <w:tcPr>
            <w:tcW w:w="3129" w:type="dxa"/>
            <w:tcBorders>
              <w:bottom w:val="single" w:sz="12" w:space="0" w:color="000000"/>
            </w:tcBorders>
          </w:tcPr>
          <w:p w:rsidR="0059719B" w:rsidRPr="00D0004C" w:rsidRDefault="0059719B" w:rsidP="00B96202">
            <w:pPr>
              <w:pStyle w:val="TableParagraph"/>
              <w:rPr>
                <w:rFonts w:ascii="Arial" w:hAnsi="Arial" w:cs="Arial"/>
                <w:b/>
                <w:sz w:val="18"/>
                <w:szCs w:val="18"/>
              </w:rPr>
            </w:pPr>
            <w:r w:rsidRPr="00D0004C">
              <w:rPr>
                <w:rFonts w:ascii="Arial" w:hAnsi="Arial" w:cs="Arial"/>
                <w:b/>
                <w:sz w:val="18"/>
                <w:szCs w:val="18"/>
              </w:rPr>
              <w:t>Landkreis</w:t>
            </w:r>
          </w:p>
        </w:tc>
        <w:tc>
          <w:tcPr>
            <w:tcW w:w="1135" w:type="dxa"/>
            <w:tcBorders>
              <w:bottom w:val="single" w:sz="12" w:space="0" w:color="000000"/>
            </w:tcBorders>
          </w:tcPr>
          <w:p w:rsidR="0059719B" w:rsidRPr="00D0004C" w:rsidRDefault="0059719B" w:rsidP="00B96202">
            <w:pPr>
              <w:pStyle w:val="TableParagraph"/>
              <w:ind w:left="284" w:right="281"/>
              <w:rPr>
                <w:rFonts w:ascii="Arial" w:hAnsi="Arial" w:cs="Arial"/>
                <w:b/>
                <w:sz w:val="18"/>
                <w:szCs w:val="18"/>
              </w:rPr>
            </w:pPr>
            <w:r w:rsidRPr="00D0004C">
              <w:rPr>
                <w:rFonts w:ascii="Arial" w:hAnsi="Arial" w:cs="Arial"/>
                <w:b/>
                <w:sz w:val="18"/>
                <w:szCs w:val="18"/>
              </w:rPr>
              <w:t>2018</w:t>
            </w:r>
          </w:p>
        </w:tc>
        <w:tc>
          <w:tcPr>
            <w:tcW w:w="1133" w:type="dxa"/>
            <w:tcBorders>
              <w:bottom w:val="single" w:sz="12" w:space="0" w:color="000000"/>
            </w:tcBorders>
          </w:tcPr>
          <w:p w:rsidR="0059719B" w:rsidRPr="00D0004C" w:rsidRDefault="0059719B" w:rsidP="00B96202">
            <w:pPr>
              <w:pStyle w:val="TableParagraph"/>
              <w:ind w:left="284" w:right="279"/>
              <w:rPr>
                <w:rFonts w:ascii="Arial" w:hAnsi="Arial" w:cs="Arial"/>
                <w:b/>
                <w:sz w:val="18"/>
                <w:szCs w:val="18"/>
              </w:rPr>
            </w:pPr>
            <w:r w:rsidRPr="00D0004C">
              <w:rPr>
                <w:rFonts w:ascii="Arial" w:hAnsi="Arial" w:cs="Arial"/>
                <w:b/>
                <w:sz w:val="18"/>
                <w:szCs w:val="18"/>
              </w:rPr>
              <w:t>2019</w:t>
            </w:r>
          </w:p>
        </w:tc>
        <w:tc>
          <w:tcPr>
            <w:tcW w:w="1135" w:type="dxa"/>
            <w:tcBorders>
              <w:bottom w:val="single" w:sz="12" w:space="0" w:color="000000"/>
            </w:tcBorders>
          </w:tcPr>
          <w:p w:rsidR="0059719B" w:rsidRPr="00D0004C" w:rsidRDefault="0059719B" w:rsidP="00B96202">
            <w:pPr>
              <w:pStyle w:val="TableParagraph"/>
              <w:ind w:left="284" w:right="281"/>
              <w:rPr>
                <w:rFonts w:ascii="Arial" w:hAnsi="Arial" w:cs="Arial"/>
                <w:b/>
                <w:sz w:val="18"/>
                <w:szCs w:val="18"/>
              </w:rPr>
            </w:pPr>
            <w:r w:rsidRPr="00D0004C">
              <w:rPr>
                <w:rFonts w:ascii="Arial" w:hAnsi="Arial" w:cs="Arial"/>
                <w:b/>
                <w:sz w:val="18"/>
                <w:szCs w:val="18"/>
              </w:rPr>
              <w:t>2020</w:t>
            </w:r>
          </w:p>
        </w:tc>
      </w:tr>
      <w:tr w:rsidR="0059719B" w:rsidRPr="00D0004C" w:rsidTr="00FC2CC7">
        <w:trPr>
          <w:trHeight w:val="400"/>
        </w:trPr>
        <w:tc>
          <w:tcPr>
            <w:tcW w:w="3129" w:type="dxa"/>
            <w:tcBorders>
              <w:top w:val="single" w:sz="12" w:space="0" w:color="000000"/>
            </w:tcBorders>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Altötting</w:t>
            </w:r>
          </w:p>
        </w:tc>
        <w:tc>
          <w:tcPr>
            <w:tcW w:w="1135" w:type="dxa"/>
            <w:tcBorders>
              <w:top w:val="single" w:sz="12" w:space="0" w:color="000000"/>
            </w:tcBorders>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c>
          <w:tcPr>
            <w:tcW w:w="1133" w:type="dxa"/>
            <w:tcBorders>
              <w:top w:val="single" w:sz="12" w:space="0" w:color="000000"/>
            </w:tcBorders>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1</w:t>
            </w:r>
          </w:p>
        </w:tc>
        <w:tc>
          <w:tcPr>
            <w:tcW w:w="1135" w:type="dxa"/>
            <w:tcBorders>
              <w:top w:val="single" w:sz="12" w:space="0" w:color="000000"/>
            </w:tcBorders>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Bad Tölz-Wolfratshausen</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3</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3</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Bayreuth</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Berchtesgadener Land</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2</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397"/>
        </w:trPr>
        <w:tc>
          <w:tcPr>
            <w:tcW w:w="3129" w:type="dxa"/>
          </w:tcPr>
          <w:p w:rsidR="0059719B" w:rsidRPr="00D0004C" w:rsidRDefault="0059719B" w:rsidP="00B96202">
            <w:pPr>
              <w:pStyle w:val="TableParagraph"/>
              <w:spacing w:before="76"/>
              <w:rPr>
                <w:rFonts w:ascii="Arial" w:hAnsi="Arial" w:cs="Arial"/>
                <w:sz w:val="18"/>
                <w:szCs w:val="18"/>
              </w:rPr>
            </w:pPr>
            <w:r w:rsidRPr="00D0004C">
              <w:rPr>
                <w:rFonts w:ascii="Arial" w:hAnsi="Arial" w:cs="Arial"/>
                <w:sz w:val="18"/>
                <w:szCs w:val="18"/>
              </w:rPr>
              <w:t>Cham</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spacing w:before="76"/>
              <w:ind w:left="10"/>
              <w:jc w:val="center"/>
              <w:rPr>
                <w:rFonts w:ascii="Arial" w:hAnsi="Arial" w:cs="Arial"/>
                <w:sz w:val="18"/>
                <w:szCs w:val="18"/>
              </w:rPr>
            </w:pPr>
            <w:r w:rsidRPr="00D0004C">
              <w:rPr>
                <w:rFonts w:ascii="Arial" w:hAnsi="Arial" w:cs="Arial"/>
                <w:w w:val="99"/>
                <w:sz w:val="18"/>
                <w:szCs w:val="18"/>
              </w:rPr>
              <w:t>1</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Dillingen a.d. Donau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Freyung-Grafenau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2</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Garmisch-Partenkirchen</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2</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1</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Günzburg</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Hof</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1</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397"/>
        </w:trPr>
        <w:tc>
          <w:tcPr>
            <w:tcW w:w="3129" w:type="dxa"/>
          </w:tcPr>
          <w:p w:rsidR="0059719B" w:rsidRPr="00D0004C" w:rsidRDefault="0059719B" w:rsidP="00B96202">
            <w:pPr>
              <w:pStyle w:val="TableParagraph"/>
              <w:spacing w:before="76"/>
              <w:rPr>
                <w:rFonts w:ascii="Arial" w:hAnsi="Arial" w:cs="Arial"/>
                <w:sz w:val="18"/>
                <w:szCs w:val="18"/>
              </w:rPr>
            </w:pPr>
            <w:r w:rsidRPr="00D0004C">
              <w:rPr>
                <w:rFonts w:ascii="Arial" w:hAnsi="Arial" w:cs="Arial"/>
                <w:sz w:val="18"/>
                <w:szCs w:val="18"/>
              </w:rPr>
              <w:t>Kaufbeuren, Stadt</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spacing w:before="76"/>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Kempten, Stadt</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Landshut</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Lindau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3</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2</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lastRenderedPageBreak/>
              <w:t>Miesbach</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4</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4</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Mühldorf am Inn</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398"/>
        </w:trPr>
        <w:tc>
          <w:tcPr>
            <w:tcW w:w="3129" w:type="dxa"/>
          </w:tcPr>
          <w:p w:rsidR="0059719B" w:rsidRPr="00D0004C" w:rsidRDefault="0059719B" w:rsidP="00B96202">
            <w:pPr>
              <w:pStyle w:val="TableParagraph"/>
              <w:spacing w:before="76"/>
              <w:rPr>
                <w:rFonts w:ascii="Arial" w:hAnsi="Arial" w:cs="Arial"/>
                <w:sz w:val="18"/>
                <w:szCs w:val="18"/>
              </w:rPr>
            </w:pPr>
            <w:r w:rsidRPr="00D0004C">
              <w:rPr>
                <w:rFonts w:ascii="Arial" w:hAnsi="Arial" w:cs="Arial"/>
                <w:sz w:val="18"/>
                <w:szCs w:val="18"/>
              </w:rPr>
              <w:t>Oberallgäu</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2</w:t>
            </w:r>
          </w:p>
        </w:tc>
        <w:tc>
          <w:tcPr>
            <w:tcW w:w="1133" w:type="dxa"/>
          </w:tcPr>
          <w:p w:rsidR="0059719B" w:rsidRPr="00D0004C" w:rsidRDefault="0059719B" w:rsidP="00D0004C">
            <w:pPr>
              <w:pStyle w:val="TableParagraph"/>
              <w:spacing w:before="76"/>
              <w:ind w:left="10"/>
              <w:jc w:val="center"/>
              <w:rPr>
                <w:rFonts w:ascii="Arial" w:hAnsi="Arial" w:cs="Arial"/>
                <w:sz w:val="18"/>
                <w:szCs w:val="18"/>
              </w:rPr>
            </w:pPr>
            <w:r w:rsidRPr="00D0004C">
              <w:rPr>
                <w:rFonts w:ascii="Arial" w:hAnsi="Arial" w:cs="Arial"/>
                <w:w w:val="99"/>
                <w:sz w:val="18"/>
                <w:szCs w:val="18"/>
              </w:rPr>
              <w:t>5</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6</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Ostallgäu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4</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Passau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Regen</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2</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Rhön-Grabfeld</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Rosenheim</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2</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2</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5</w:t>
            </w:r>
          </w:p>
        </w:tc>
      </w:tr>
      <w:tr w:rsidR="0059719B" w:rsidRPr="00D0004C" w:rsidTr="00FC2CC7">
        <w:trPr>
          <w:trHeight w:val="398"/>
        </w:trPr>
        <w:tc>
          <w:tcPr>
            <w:tcW w:w="3129" w:type="dxa"/>
          </w:tcPr>
          <w:p w:rsidR="0059719B" w:rsidRPr="00D0004C" w:rsidRDefault="0059719B" w:rsidP="00B96202">
            <w:pPr>
              <w:pStyle w:val="TableParagraph"/>
              <w:spacing w:before="76"/>
              <w:rPr>
                <w:rFonts w:ascii="Arial" w:hAnsi="Arial" w:cs="Arial"/>
                <w:sz w:val="18"/>
                <w:szCs w:val="18"/>
              </w:rPr>
            </w:pPr>
            <w:r w:rsidRPr="00D0004C">
              <w:rPr>
                <w:rFonts w:ascii="Arial" w:hAnsi="Arial" w:cs="Arial"/>
                <w:sz w:val="18"/>
                <w:szCs w:val="18"/>
              </w:rPr>
              <w:t>Traunstein</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4</w:t>
            </w:r>
          </w:p>
        </w:tc>
        <w:tc>
          <w:tcPr>
            <w:tcW w:w="1133" w:type="dxa"/>
          </w:tcPr>
          <w:p w:rsidR="0059719B" w:rsidRPr="00D0004C" w:rsidRDefault="0059719B" w:rsidP="00D0004C">
            <w:pPr>
              <w:pStyle w:val="TableParagraph"/>
              <w:spacing w:before="76"/>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spacing w:before="76"/>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Unterallgäu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0</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0</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sz w:val="18"/>
                <w:szCs w:val="18"/>
              </w:rPr>
            </w:pPr>
            <w:r w:rsidRPr="00D0004C">
              <w:rPr>
                <w:rFonts w:ascii="Arial" w:hAnsi="Arial" w:cs="Arial"/>
                <w:sz w:val="18"/>
                <w:szCs w:val="18"/>
              </w:rPr>
              <w:t>Weilheim-Schongau</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c>
          <w:tcPr>
            <w:tcW w:w="1133" w:type="dxa"/>
          </w:tcPr>
          <w:p w:rsidR="0059719B" w:rsidRPr="00D0004C" w:rsidRDefault="0059719B" w:rsidP="00D0004C">
            <w:pPr>
              <w:pStyle w:val="TableParagraph"/>
              <w:ind w:left="10"/>
              <w:jc w:val="center"/>
              <w:rPr>
                <w:rFonts w:ascii="Arial" w:hAnsi="Arial" w:cs="Arial"/>
                <w:sz w:val="18"/>
                <w:szCs w:val="18"/>
              </w:rPr>
            </w:pPr>
            <w:r w:rsidRPr="00D0004C">
              <w:rPr>
                <w:rFonts w:ascii="Arial" w:hAnsi="Arial" w:cs="Arial"/>
                <w:w w:val="99"/>
                <w:sz w:val="18"/>
                <w:szCs w:val="18"/>
              </w:rPr>
              <w:t>1</w:t>
            </w:r>
          </w:p>
        </w:tc>
        <w:tc>
          <w:tcPr>
            <w:tcW w:w="1135" w:type="dxa"/>
          </w:tcPr>
          <w:p w:rsidR="0059719B" w:rsidRPr="00D0004C" w:rsidRDefault="0059719B" w:rsidP="00D0004C">
            <w:pPr>
              <w:pStyle w:val="TableParagraph"/>
              <w:jc w:val="center"/>
              <w:rPr>
                <w:rFonts w:ascii="Arial" w:hAnsi="Arial" w:cs="Arial"/>
                <w:sz w:val="18"/>
                <w:szCs w:val="18"/>
              </w:rPr>
            </w:pPr>
            <w:r w:rsidRPr="00D0004C">
              <w:rPr>
                <w:rFonts w:ascii="Arial" w:hAnsi="Arial" w:cs="Arial"/>
                <w:w w:val="99"/>
                <w:sz w:val="18"/>
                <w:szCs w:val="18"/>
              </w:rPr>
              <w:t>1</w:t>
            </w:r>
          </w:p>
        </w:tc>
      </w:tr>
      <w:tr w:rsidR="0059719B" w:rsidRPr="00D0004C" w:rsidTr="00FC2CC7">
        <w:trPr>
          <w:trHeight w:val="400"/>
        </w:trPr>
        <w:tc>
          <w:tcPr>
            <w:tcW w:w="3129" w:type="dxa"/>
          </w:tcPr>
          <w:p w:rsidR="0059719B" w:rsidRPr="00D0004C" w:rsidRDefault="0059719B" w:rsidP="00B96202">
            <w:pPr>
              <w:pStyle w:val="TableParagraph"/>
              <w:rPr>
                <w:rFonts w:ascii="Arial" w:hAnsi="Arial" w:cs="Arial"/>
                <w:b/>
                <w:sz w:val="18"/>
                <w:szCs w:val="18"/>
              </w:rPr>
            </w:pPr>
            <w:r w:rsidRPr="00D0004C">
              <w:rPr>
                <w:rFonts w:ascii="Arial" w:hAnsi="Arial" w:cs="Arial"/>
                <w:b/>
                <w:sz w:val="18"/>
                <w:szCs w:val="18"/>
              </w:rPr>
              <w:t>Bayern</w:t>
            </w:r>
          </w:p>
        </w:tc>
        <w:tc>
          <w:tcPr>
            <w:tcW w:w="1135" w:type="dxa"/>
          </w:tcPr>
          <w:p w:rsidR="0059719B" w:rsidRPr="00D0004C" w:rsidRDefault="0059719B" w:rsidP="00D0004C">
            <w:pPr>
              <w:pStyle w:val="TableParagraph"/>
              <w:ind w:left="284" w:right="277"/>
              <w:jc w:val="center"/>
              <w:rPr>
                <w:rFonts w:ascii="Arial" w:hAnsi="Arial" w:cs="Arial"/>
                <w:b/>
                <w:sz w:val="18"/>
                <w:szCs w:val="18"/>
              </w:rPr>
            </w:pPr>
            <w:r w:rsidRPr="00D0004C">
              <w:rPr>
                <w:rFonts w:ascii="Arial" w:hAnsi="Arial" w:cs="Arial"/>
                <w:b/>
                <w:sz w:val="18"/>
                <w:szCs w:val="18"/>
              </w:rPr>
              <w:t>36</w:t>
            </w:r>
          </w:p>
        </w:tc>
        <w:tc>
          <w:tcPr>
            <w:tcW w:w="1133" w:type="dxa"/>
          </w:tcPr>
          <w:p w:rsidR="0059719B" w:rsidRPr="00D0004C" w:rsidRDefault="0059719B" w:rsidP="00D0004C">
            <w:pPr>
              <w:pStyle w:val="TableParagraph"/>
              <w:ind w:left="284" w:right="274"/>
              <w:jc w:val="center"/>
              <w:rPr>
                <w:rFonts w:ascii="Arial" w:hAnsi="Arial" w:cs="Arial"/>
                <w:b/>
                <w:sz w:val="18"/>
                <w:szCs w:val="18"/>
              </w:rPr>
            </w:pPr>
            <w:r w:rsidRPr="00D0004C">
              <w:rPr>
                <w:rFonts w:ascii="Arial" w:hAnsi="Arial" w:cs="Arial"/>
                <w:b/>
                <w:sz w:val="18"/>
                <w:szCs w:val="18"/>
              </w:rPr>
              <w:t>23</w:t>
            </w:r>
          </w:p>
        </w:tc>
        <w:tc>
          <w:tcPr>
            <w:tcW w:w="1135" w:type="dxa"/>
          </w:tcPr>
          <w:p w:rsidR="0059719B" w:rsidRPr="00D0004C" w:rsidRDefault="0059719B" w:rsidP="00D0004C">
            <w:pPr>
              <w:pStyle w:val="TableParagraph"/>
              <w:ind w:left="284" w:right="277"/>
              <w:jc w:val="center"/>
              <w:rPr>
                <w:rFonts w:ascii="Arial" w:hAnsi="Arial" w:cs="Arial"/>
                <w:b/>
                <w:sz w:val="18"/>
                <w:szCs w:val="18"/>
              </w:rPr>
            </w:pPr>
            <w:r w:rsidRPr="00D0004C">
              <w:rPr>
                <w:rFonts w:ascii="Arial" w:hAnsi="Arial" w:cs="Arial"/>
                <w:b/>
                <w:sz w:val="18"/>
                <w:szCs w:val="18"/>
              </w:rPr>
              <w:t>20</w:t>
            </w:r>
          </w:p>
        </w:tc>
      </w:tr>
    </w:tbl>
    <w:p w:rsidR="00925EDE" w:rsidRDefault="00925EDE" w:rsidP="00925EDE">
      <w:pPr>
        <w:pStyle w:val="LTAntwortRessortText"/>
      </w:pPr>
    </w:p>
    <w:p w:rsidR="00925EDE" w:rsidRDefault="00925EDE">
      <w:bookmarkStart w:id="77" w:name="Frage_Nr_38_Ende"/>
      <w:bookmarkEnd w:id="7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lastRenderedPageBreak/>
              <w:t>Abgeordneter</w:t>
            </w:r>
            <w:r>
              <w:rPr>
                <w:b/>
              </w:rPr>
              <w:br/>
              <w:t>Patrick</w:t>
            </w:r>
            <w:r>
              <w:rPr>
                <w:b/>
              </w:rPr>
              <w:br/>
              <w:t>Friedl</w:t>
            </w:r>
            <w:r>
              <w:rPr>
                <w:b/>
              </w:rPr>
              <w:br/>
            </w:r>
            <w:r>
              <w:t>(BÜNDNIS 90/DIE GRÜNEN)</w:t>
            </w:r>
            <w:bookmarkStart w:id="78" w:name="Frage_Nr_39"/>
            <w:bookmarkEnd w:id="78"/>
          </w:p>
        </w:tc>
        <w:tc>
          <w:tcPr>
            <w:tcW w:w="7200" w:type="dxa"/>
          </w:tcPr>
          <w:p w:rsidR="00925EDE" w:rsidRDefault="00DD2787" w:rsidP="00925EDE">
            <w:pPr>
              <w:pStyle w:val="LTAnfrageText"/>
            </w:pPr>
            <w:r w:rsidRPr="0067222C">
              <w:t>Ich frage die Staatsregierung, wie das in der Stellungnahme der Staatsregierung zum Volksbegehren zur Änderung des Bayerischen Naturschutzgesetzes zugunsten der Artenvielfalt und Naturschönheit in Bayern („Rettet die Bienen!“) vorgegebene Ziel  „Halbierung bei Pflanzenschutz-Chemie: Der Freistaat halbiert seinen Einsatz von chemischen Pflanzenschutzmitteln bis 2028“ erreicht werden soll, von welchen in Bayern eingesetzten Mengen an chemischen Pflanzenschutzmitteln die Staatsregierung in den Jahren 2019, 2020 und 2021 ausgeht (bitte nach Jahren aufgeschlüsselt) und wie das staatliche Monitoring der jährl</w:t>
            </w:r>
            <w:r w:rsidR="0034095E">
              <w:t>ichen Einsatzmenge an chemischen</w:t>
            </w:r>
            <w:r w:rsidRPr="0067222C">
              <w:t xml:space="preserve"> Pflanzenschutzmitteln in Bayern erfolgt, um das Halbierungsziel bis zum Jahr 2028 zu erreichen?</w:t>
            </w:r>
          </w:p>
        </w:tc>
      </w:tr>
    </w:tbl>
    <w:p w:rsidR="00925EDE" w:rsidRDefault="00925EDE" w:rsidP="00925EDE">
      <w:pPr>
        <w:pStyle w:val="LTUeberschrAntwortRessort"/>
      </w:pPr>
      <w:r>
        <w:t>Antwort des Staatsministeriums für Ernährung, Landwirtschaft und Forsten</w:t>
      </w:r>
    </w:p>
    <w:p w:rsidR="00925EDE" w:rsidRDefault="00925EDE" w:rsidP="00925EDE">
      <w:pPr>
        <w:pStyle w:val="LTAntwortRessortText"/>
      </w:pPr>
      <w:r>
        <w:t xml:space="preserve">Die Zielerreichung auf freiwilliger Basis </w:t>
      </w:r>
      <w:r w:rsidR="005473CF">
        <w:t>erfordert ein umfangreiches Maß</w:t>
      </w:r>
      <w:r>
        <w:t>nahmenpaket mit den Bausteinen Schule, Beratung, Förderung (insbesondere der Ausweitung des Ökologischen Landbaus) und Forschung.</w:t>
      </w:r>
    </w:p>
    <w:p w:rsidR="00925EDE" w:rsidRDefault="00925EDE" w:rsidP="00925EDE">
      <w:pPr>
        <w:pStyle w:val="LTAntwortRessortText"/>
      </w:pPr>
      <w:r>
        <w:t>Um eine Aussage über die tatsächliche Re</w:t>
      </w:r>
      <w:r w:rsidR="00B51885">
        <w:t>duzierung von Pflanzenschutzmit</w:t>
      </w:r>
      <w:r>
        <w:t xml:space="preserve">teln treffen zu können, bedarf es zunächst der Feststellung der tatsächlichen Ausbringmenge in Bayern. Hierzu liegen auf Landesebene keine Daten vor. Aufgrund des Pflanzenschutzgesetzes ist von </w:t>
      </w:r>
      <w:r w:rsidR="00EA2870">
        <w:t>der Industrie lediglich die ab</w:t>
      </w:r>
      <w:r>
        <w:t>gegebene Menge an Pflanzenschutzmittel</w:t>
      </w:r>
      <w:r w:rsidR="00B51885">
        <w:t>n dem Bundesamt für Verbraucher</w:t>
      </w:r>
      <w:r>
        <w:t>schutz und Lebensmittelsicherheit (BVL) jährlich für ganz Deutschlan</w:t>
      </w:r>
      <w:r w:rsidR="003D1836">
        <w:t>d zu melden. Es sollen daher u. </w:t>
      </w:r>
      <w:r>
        <w:t>a. die Daten</w:t>
      </w:r>
      <w:r w:rsidR="00B51885">
        <w:t xml:space="preserve"> des BVL zum Absatz an Pflanzen</w:t>
      </w:r>
      <w:r>
        <w:t>schutzmitteln in Deutschland herangez</w:t>
      </w:r>
      <w:r w:rsidR="00B51885">
        <w:t>ogen werden und auf Bayern umge</w:t>
      </w:r>
      <w:r>
        <w:t xml:space="preserve">rechnet werden. Als Ausgangsbasis für den Pflanzenschutzmitteleinsatz in Bayern soll das 5-jährige Mittel der Jahre 2014 bis 2018 verwendet werden, um Absatzschwankungen zu nivellieren. Dennoch ist diese Vorgehensweise mit erheblichen statistischen Unsicherheiten </w:t>
      </w:r>
      <w:r w:rsidR="00B51885">
        <w:t>verbunden. Aktuell bedarf es da</w:t>
      </w:r>
      <w:r>
        <w:t>her noch der Klärung, inwieweit diese Daten tatsächlich für die Berechnung einer Ausgangsbasis verwendet werden können.</w:t>
      </w:r>
    </w:p>
    <w:p w:rsidR="00925EDE" w:rsidRDefault="00925EDE" w:rsidP="00EA2870">
      <w:pPr>
        <w:pStyle w:val="LTAntwortRessortText"/>
      </w:pPr>
      <w:r>
        <w:t>Eine erste Abschätzung zur Entwicklung de</w:t>
      </w:r>
      <w:r w:rsidR="00B51885">
        <w:t>r abgesetzten Pflanzenschutzmit</w:t>
      </w:r>
      <w:r>
        <w:t>tel-Mengen in Bayern (und damit indire</w:t>
      </w:r>
      <w:r w:rsidR="00B51885">
        <w:t>kt zur Ausbringung von Pflanzen</w:t>
      </w:r>
      <w:r>
        <w:t>schutzmitteln) kann aus der nachfolg</w:t>
      </w:r>
      <w:r w:rsidR="00EA2870">
        <w:t>enden Graphik entnommen werden:</w:t>
      </w:r>
    </w:p>
    <w:p w:rsidR="00FC2CC7" w:rsidRDefault="00FC2CC7" w:rsidP="00EA2870">
      <w:pPr>
        <w:pStyle w:val="LTAntwortRessortText"/>
      </w:pPr>
    </w:p>
    <w:p w:rsidR="00532CE3" w:rsidRDefault="008D4953" w:rsidP="00EA2870">
      <w:pPr>
        <w:pStyle w:val="LTAntwortRessortText"/>
      </w:pPr>
      <w:r>
        <w:rPr>
          <w:noProof/>
        </w:rPr>
        <w:lastRenderedPageBreak/>
        <w:drawing>
          <wp:anchor distT="0" distB="0" distL="0" distR="0" simplePos="0" relativeHeight="251661312" behindDoc="0" locked="0" layoutInCell="1" allowOverlap="1" wp14:anchorId="02F384CB" wp14:editId="533A1A6A">
            <wp:simplePos x="0" y="0"/>
            <wp:positionH relativeFrom="page">
              <wp:posOffset>1559560</wp:posOffset>
            </wp:positionH>
            <wp:positionV relativeFrom="paragraph">
              <wp:posOffset>627</wp:posOffset>
            </wp:positionV>
            <wp:extent cx="3943350" cy="2310130"/>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3943350" cy="2310130"/>
                    </a:xfrm>
                    <a:prstGeom prst="rect">
                      <a:avLst/>
                    </a:prstGeom>
                  </pic:spPr>
                </pic:pic>
              </a:graphicData>
            </a:graphic>
            <wp14:sizeRelH relativeFrom="margin">
              <wp14:pctWidth>0</wp14:pctWidth>
            </wp14:sizeRelH>
            <wp14:sizeRelV relativeFrom="margin">
              <wp14:pctHeight>0</wp14:pctHeight>
            </wp14:sizeRelV>
          </wp:anchor>
        </w:drawing>
      </w:r>
    </w:p>
    <w:p w:rsidR="00925EDE" w:rsidRDefault="00925EDE">
      <w:bookmarkStart w:id="79" w:name="Frage_Nr_39_Ende"/>
      <w:bookmarkEnd w:id="79"/>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925EDE" w:rsidTr="007B0B33">
        <w:tc>
          <w:tcPr>
            <w:tcW w:w="2050" w:type="dxa"/>
          </w:tcPr>
          <w:p w:rsidR="00925EDE" w:rsidRDefault="00925EDE" w:rsidP="00925EDE">
            <w:pPr>
              <w:pStyle w:val="LTAnfrageInitiator"/>
            </w:pPr>
            <w:r>
              <w:lastRenderedPageBreak/>
              <w:t>Abgeordneter</w:t>
            </w:r>
            <w:r>
              <w:rPr>
                <w:b/>
              </w:rPr>
              <w:br/>
              <w:t>Paul</w:t>
            </w:r>
            <w:r>
              <w:rPr>
                <w:b/>
              </w:rPr>
              <w:br/>
              <w:t>Knoblach</w:t>
            </w:r>
            <w:r>
              <w:rPr>
                <w:b/>
              </w:rPr>
              <w:br/>
            </w:r>
            <w:r>
              <w:t>(BÜNDNIS 90/DIE GRÜNEN)</w:t>
            </w:r>
            <w:bookmarkStart w:id="80" w:name="Frage_Nr_40"/>
            <w:bookmarkEnd w:id="80"/>
          </w:p>
        </w:tc>
        <w:tc>
          <w:tcPr>
            <w:tcW w:w="7200" w:type="dxa"/>
          </w:tcPr>
          <w:p w:rsidR="00925EDE" w:rsidRDefault="00FB2DD6" w:rsidP="00925EDE">
            <w:pPr>
              <w:pStyle w:val="LTAnfrageText"/>
            </w:pPr>
            <w:r w:rsidRPr="0067222C">
              <w:t>Bezugnehmend auf meine Anfrage zum Plenum vom 22.11.2021 (Drs. 18/19266) frage ich die Staatsregierung, inwiefern Erde mit Spuren über der Bestimmungsgrenze ausgebracht wurde, in welcher Form diese Flächen in die behördliche Überwachung eingehen und wie bewertet die Staatsregierung den Sachverhalt, dass das Ausbringen außerhalb des Zeitraums im Rahmen der Regelungen der Notfallzulassung für 2021 stattgefunden hat bzw. stattfinden wird?</w:t>
            </w:r>
          </w:p>
        </w:tc>
      </w:tr>
    </w:tbl>
    <w:p w:rsidR="00925EDE" w:rsidRDefault="00925EDE" w:rsidP="00925EDE">
      <w:pPr>
        <w:pStyle w:val="LTUeberschrAntwortRessort"/>
      </w:pPr>
      <w:r>
        <w:t>Antwort des Staatsministeriums für Ernährung, Landwirtschaft und Forsten</w:t>
      </w:r>
    </w:p>
    <w:p w:rsidR="00925EDE" w:rsidRDefault="00925EDE" w:rsidP="00925EDE">
      <w:pPr>
        <w:pStyle w:val="LTAntwortRessortText"/>
      </w:pPr>
      <w:r>
        <w:t>Vor dem Hintergrund der Neonicotinoid-Problematik wurden ergänzend zur Notfallzulassung des Bundesamtes für Ve</w:t>
      </w:r>
      <w:r w:rsidR="00B51885">
        <w:t>rbraucherschutzes und Lebensmit</w:t>
      </w:r>
      <w:r>
        <w:t>telsicherheit in der Allgemeinverfügung der L</w:t>
      </w:r>
      <w:r w:rsidR="0034095E">
        <w:t>andesanstalt für Landwirtschaft (L</w:t>
      </w:r>
      <w:r>
        <w:t>fL</w:t>
      </w:r>
      <w:r w:rsidR="0034095E">
        <w:t>)</w:t>
      </w:r>
      <w:r>
        <w:t xml:space="preserve"> vom 1</w:t>
      </w:r>
      <w:r w:rsidR="00B51885">
        <w:t>9.01.2021 die notwen</w:t>
      </w:r>
      <w:r>
        <w:t>digen Risikomanagementmaßnahmen zum Schutz von Insekten geregelt. Die Allgemeinverfügungen waren zwischen Bund und Ländern eng abgestimmt.</w:t>
      </w:r>
    </w:p>
    <w:p w:rsidR="00925EDE" w:rsidRDefault="00925EDE" w:rsidP="000B32E5">
      <w:pPr>
        <w:pStyle w:val="LTAntwortRessortText"/>
      </w:pPr>
      <w:r>
        <w:t>Die Einhaltung dieser Vorgaben wird ents</w:t>
      </w:r>
      <w:r w:rsidR="00B51885">
        <w:t>prechend überwacht. Die Kontrol</w:t>
      </w:r>
      <w:r>
        <w:t>len umfassen</w:t>
      </w:r>
      <w:r w:rsidR="00140523">
        <w:t xml:space="preserve"> die Zuckerrüben im Aussaatjahr </w:t>
      </w:r>
      <w:r>
        <w:t>2021 und die Kont</w:t>
      </w:r>
      <w:r w:rsidR="00140523">
        <w:t>rolle der Folgekulturen im Jahr </w:t>
      </w:r>
      <w:r>
        <w:t>202</w:t>
      </w:r>
      <w:r w:rsidR="00140523">
        <w:t>2. Ergänzend wird in den Jahren </w:t>
      </w:r>
      <w:r>
        <w:t xml:space="preserve">2021 und 2022 ein Bienenmonitoring des Instituts für Bienenkunde und Imkerei der Bayerischen Landesanstalt für Weinbau und Gartenbau </w:t>
      </w:r>
      <w:r w:rsidR="00B51885">
        <w:t>(LWG) durchgeführt. Darüber hin</w:t>
      </w:r>
      <w:r>
        <w:t>aus konnten die Imker in den Aussaatgebieten ihren Honig kostenlos auf Rückstände des Wirkstoffs T</w:t>
      </w:r>
      <w:r w:rsidR="000B32E5">
        <w:t>hiamethoxam untersuchen lassen.</w:t>
      </w:r>
    </w:p>
    <w:p w:rsidR="00925EDE" w:rsidRDefault="00925EDE" w:rsidP="00925EDE">
      <w:pPr>
        <w:pStyle w:val="LTAntwortRessortText"/>
      </w:pPr>
      <w:r>
        <w:t>Die Untersuchung der hier zur Rede stehe</w:t>
      </w:r>
      <w:r w:rsidR="00B51885">
        <w:t>nden Bodenproben waren nicht Be</w:t>
      </w:r>
      <w:r>
        <w:t>standteil des Risikomanagements. Gleichwohl wurde dem Staatsministerium im Rahmen einer Selbstauskunft der Südzucker AG folgendes mitgeteilt:</w:t>
      </w:r>
    </w:p>
    <w:p w:rsidR="00925EDE" w:rsidRDefault="003439F1" w:rsidP="00925EDE">
      <w:pPr>
        <w:pStyle w:val="LTAntwortRessortText"/>
      </w:pPr>
      <w:r>
        <w:t>„</w:t>
      </w:r>
      <w:r w:rsidR="00140523">
        <w:t>Es wurde im Jahr </w:t>
      </w:r>
      <w:r w:rsidR="00925EDE">
        <w:t>2021 im Rahmen einer N</w:t>
      </w:r>
      <w:r w:rsidR="00B51885">
        <w:t>otfallzula</w:t>
      </w:r>
      <w:r w:rsidR="00140523">
        <w:t>ssung –</w:t>
      </w:r>
      <w:r w:rsidR="00B51885">
        <w:t xml:space="preserve"> in den im Vor</w:t>
      </w:r>
      <w:r w:rsidR="00925EDE">
        <w:t>jahr von massivem Läuse- bzw. Vi</w:t>
      </w:r>
      <w:r w:rsidR="00140523">
        <w:t>rusbefall betroffenen Regionen –</w:t>
      </w:r>
      <w:r w:rsidR="00925EDE">
        <w:t xml:space="preserve"> teilweise neonicotinoid-gebeiztes Saatgut im Zuck</w:t>
      </w:r>
      <w:r w:rsidR="00B51885">
        <w:t>errübenanbau eingesetzt. Die ne</w:t>
      </w:r>
      <w:r w:rsidR="00925EDE">
        <w:t>onicotinoiden Wirkstoffe bauen sich im Zeitverlauf ab. Wir haben die Erde, die mit den Zuckerrüben in unsere Fabriken gelangt ist, beprobt. In diesen Proben finden wir überwiegend keine Rückstände des Wirkstoffs. Im Verlauf unseres Monitorings treten nur sehr vereinzel</w:t>
      </w:r>
      <w:r w:rsidR="00B51885">
        <w:t>t Proben auf, in denen der Wirk</w:t>
      </w:r>
      <w:r w:rsidR="00925EDE">
        <w:t>stoff oder sein Abbauprodukt in Spuren leicht über der Bestimmungsgrenze nachweisbar ist. Sowohl für die Neonicotinoide wie auc</w:t>
      </w:r>
      <w:r w:rsidR="00B51885">
        <w:t>h für die Abbaupro</w:t>
      </w:r>
      <w:r w:rsidR="00925EDE">
        <w:t>dukte besteht kein Grenzwert, den es einzuhalten gilt. Wir nehmen unsere Verantwortung wahr und führen unser Monitoring konsequent weiter.</w:t>
      </w:r>
      <w:r>
        <w:t>“</w:t>
      </w:r>
    </w:p>
    <w:p w:rsidR="00925EDE" w:rsidRDefault="00925EDE">
      <w:bookmarkStart w:id="81" w:name="Frage_Nr_40_Ende"/>
      <w:bookmarkEnd w:id="81"/>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25EDE" w:rsidTr="007B0B33">
        <w:tc>
          <w:tcPr>
            <w:tcW w:w="2050" w:type="dxa"/>
          </w:tcPr>
          <w:p w:rsidR="00925EDE" w:rsidRDefault="00925EDE" w:rsidP="00925EDE">
            <w:pPr>
              <w:pStyle w:val="LTAnfrageInitiator"/>
            </w:pPr>
            <w:r>
              <w:lastRenderedPageBreak/>
              <w:t>Abgeordneter</w:t>
            </w:r>
            <w:r>
              <w:rPr>
                <w:b/>
              </w:rPr>
              <w:br/>
              <w:t>Ralf</w:t>
            </w:r>
            <w:r>
              <w:rPr>
                <w:b/>
              </w:rPr>
              <w:br/>
              <w:t>Stadler</w:t>
            </w:r>
            <w:r>
              <w:rPr>
                <w:b/>
              </w:rPr>
              <w:br/>
            </w:r>
            <w:r>
              <w:t>(AfD)</w:t>
            </w:r>
            <w:bookmarkStart w:id="82" w:name="Frage_Nr_41"/>
            <w:bookmarkEnd w:id="82"/>
          </w:p>
        </w:tc>
        <w:tc>
          <w:tcPr>
            <w:tcW w:w="7200" w:type="dxa"/>
          </w:tcPr>
          <w:p w:rsidR="00925EDE" w:rsidRDefault="006373BA" w:rsidP="00925EDE">
            <w:pPr>
              <w:pStyle w:val="LTAnfrageText"/>
            </w:pPr>
            <w:r w:rsidRPr="0067222C">
              <w:t>Ich frage die Staatsregierung, ob sie die Einführung eines satellitengestützten Flächenüberwachungssystems im Geschäftsbereich des Staatsministeriums für Ernährung, Landwirtschaft und Forsten unterstützen wird, wie die Landwirtschaftsverwaltung in Bayern die durch das Copernikus-Satellitensystem gewonnenen Ergebnisse, z. B. hinsichtlich des Wirkungsmonitorings der Düngerverordnung, zum Biodiversitätsmonitoring, zur Umwelt- bzw. Klima-Berichterstattung etc., in der Praxis nutzen wird und ob die betroffenen Landwirte ebenfalls Einsicht in die gewonnenen Daten haben?</w:t>
            </w:r>
          </w:p>
        </w:tc>
      </w:tr>
    </w:tbl>
    <w:p w:rsidR="00925EDE" w:rsidRDefault="00925EDE" w:rsidP="00925EDE">
      <w:pPr>
        <w:pStyle w:val="LTUeberschrAntwortRessort"/>
      </w:pPr>
      <w:r>
        <w:t>Antwort des Staatsministeriums für Ernährung, Landwirtschaft und Forsten</w:t>
      </w:r>
    </w:p>
    <w:p w:rsidR="00925EDE" w:rsidRDefault="00925EDE" w:rsidP="00925EDE">
      <w:pPr>
        <w:pStyle w:val="LTAntwortRessortText"/>
      </w:pPr>
      <w:r>
        <w:t>Das Zentrale Kompetenzzentrum Flächenmonitoring (ZKF) wurde als eine Einheit zur Stärkung der Zusammenarbeit zwischen den Bundesländern und dem Bund bei der Errichtung eines Flächenmonitoringsystems gegründet. Das ZKF unterstützt und berät die Bundesländer bei der Einführung des EU-rechtlich zwingend einzuführenden Fläch</w:t>
      </w:r>
      <w:r w:rsidR="00B51885">
        <w:t>enmonitoringsystems (FMS) im Be</w:t>
      </w:r>
      <w:r>
        <w:t>reich der Flächenförderabwicklung. Dabei si</w:t>
      </w:r>
      <w:r w:rsidR="009A564B">
        <w:t>nd die Kernaufgaben u. </w:t>
      </w:r>
      <w:r w:rsidR="00B51885">
        <w:t>a. im Be</w:t>
      </w:r>
      <w:r>
        <w:t>reich des Wissens- und Informationsaufbaus zur Umsetzung des FMS sowie die Zuarbeit bei der erforderlichen Ausschre</w:t>
      </w:r>
      <w:r w:rsidR="00B51885">
        <w:t>ibung für Dienstleister der not</w:t>
      </w:r>
      <w:r>
        <w:t>wendigen Satellitendatenauswertung. Es unterstützt den Bund bei den EU-rechtlichen vorgeschriebenen Berichtersta</w:t>
      </w:r>
      <w:r w:rsidR="003C63B1">
        <w:t>ttungen in den genannten Berei</w:t>
      </w:r>
      <w:r w:rsidR="009A564B">
        <w:t>chen, u. </w:t>
      </w:r>
      <w:r>
        <w:t>a. durch die Zusammenstellung d</w:t>
      </w:r>
      <w:r w:rsidR="00B51885">
        <w:t>er in den Bundesländern unabhän</w:t>
      </w:r>
      <w:r>
        <w:t>gig vom FMS bereits jetzt vorhandenen Daten. Eine direkte Überwachung bayerischer Landwirte durch das ZKF findet nicht statt.</w:t>
      </w:r>
    </w:p>
    <w:p w:rsidR="00925EDE" w:rsidRDefault="00925EDE" w:rsidP="00925EDE">
      <w:pPr>
        <w:pStyle w:val="LTAntwortRessortText"/>
      </w:pPr>
      <w:r>
        <w:t xml:space="preserve">Die Einführung des FMS in der Flächenförderung bietet für die Landwirte erhebliche Vorteile. Im Rahmen des neuen Systems werden sie auch nach der Antragstellung laufend über die aktuellen </w:t>
      </w:r>
      <w:r w:rsidR="00B51885">
        <w:t>Ergebnisse informiert. Im Unter</w:t>
      </w:r>
      <w:r>
        <w:t>schied zur bisherigen Verfahrensweise könn</w:t>
      </w:r>
      <w:r w:rsidR="00B51885">
        <w:t>en sie auf Basis der Informatio</w:t>
      </w:r>
      <w:r>
        <w:t>nen ihre Anträge anpassen und auch zurückziehen. Somit werden gegenüber der bisherigen Vorgehensweise Sanktionen</w:t>
      </w:r>
      <w:r w:rsidR="00B51885">
        <w:t xml:space="preserve"> vermieden. Durch die regelmäßi</w:t>
      </w:r>
      <w:r>
        <w:t>gen Informationen werden sie zudem bei der Einhaltung von Förderauflagen aktiv unterstützt.</w:t>
      </w:r>
    </w:p>
    <w:p w:rsidR="00925EDE" w:rsidRDefault="00925EDE">
      <w:bookmarkStart w:id="83" w:name="Frage_Nr_41_Ende"/>
      <w:bookmarkEnd w:id="83"/>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lastRenderedPageBreak/>
              <w:t>Abgeordnete</w:t>
            </w:r>
            <w:r>
              <w:rPr>
                <w:b/>
              </w:rPr>
              <w:br/>
              <w:t>Rosi</w:t>
            </w:r>
            <w:r>
              <w:rPr>
                <w:b/>
              </w:rPr>
              <w:br/>
              <w:t>Steinberger</w:t>
            </w:r>
            <w:r>
              <w:rPr>
                <w:b/>
              </w:rPr>
              <w:br/>
            </w:r>
            <w:r>
              <w:t>(BÜNDNIS 90/DIE GRÜNEN)</w:t>
            </w:r>
            <w:bookmarkStart w:id="84" w:name="Frage_Nr_42"/>
            <w:bookmarkEnd w:id="84"/>
          </w:p>
        </w:tc>
        <w:tc>
          <w:tcPr>
            <w:tcW w:w="7200" w:type="dxa"/>
          </w:tcPr>
          <w:p w:rsidR="00925EDE" w:rsidRDefault="006373BA" w:rsidP="00925EDE">
            <w:pPr>
              <w:pStyle w:val="LTAnfrageText"/>
            </w:pPr>
            <w:r w:rsidRPr="0067222C">
              <w:t>Ich frage die Staatsregierung, welche administrativen Hürden es derzeit bei der Errichtung von Agro-PV-Anlagen gibt und was sie unternimmt, um diese Hürden abzubauen?</w:t>
            </w:r>
          </w:p>
        </w:tc>
      </w:tr>
    </w:tbl>
    <w:p w:rsidR="00925EDE" w:rsidRDefault="00925EDE" w:rsidP="00925EDE">
      <w:pPr>
        <w:pStyle w:val="LTUeberschrAntwortRessort"/>
      </w:pPr>
      <w:r>
        <w:t>Antwort des Staatsministeriums für Ernährung, Landwirtschaft und Forsten</w:t>
      </w:r>
    </w:p>
    <w:p w:rsidR="00925EDE" w:rsidRDefault="00925EDE" w:rsidP="00925EDE">
      <w:pPr>
        <w:pStyle w:val="LTAntwortRessortText"/>
      </w:pPr>
      <w:r>
        <w:t>Nach aktue</w:t>
      </w:r>
      <w:r w:rsidR="00B55B54">
        <w:t>ller Rechtslage bedürfen Agri-Photovoltaik(PV)-Anlagen, soweit sie nicht – in sehr engen Grenzen –</w:t>
      </w:r>
      <w:r>
        <w:t xml:space="preserve"> als kleine Anlagen einem landwirtschaftlichen Betrieb zu- und untergeordnet sind und dann als sog. mitge</w:t>
      </w:r>
      <w:r w:rsidR="00B55B54">
        <w:t>zogene Nutzungen im Sinne des § 35 Abs. 1 Nr. </w:t>
      </w:r>
      <w:r>
        <w:t>1 Baugesetzbuch (BauGB) privilegiert sind, einer Genehmigung im Rahmen eines Bauleitplanungsverfahrens der Gemeinde.</w:t>
      </w:r>
    </w:p>
    <w:p w:rsidR="00925EDE" w:rsidRDefault="00925EDE" w:rsidP="00925EDE">
      <w:pPr>
        <w:pStyle w:val="LTAntwortRessortText"/>
      </w:pPr>
      <w:r>
        <w:t xml:space="preserve">Umfangreiche Hinweise für die Gemeinden zur Durchführung </w:t>
      </w:r>
      <w:r w:rsidR="00350BA6">
        <w:t>von Bauleit</w:t>
      </w:r>
      <w:r>
        <w:t>planungs</w:t>
      </w:r>
      <w:r w:rsidR="00350BA6">
        <w:t>verfahren enthalten die im Jahr </w:t>
      </w:r>
      <w:r>
        <w:t>2021 aktualisierten Planungshilfen des Staatsministeriums für Wohnen, Bau</w:t>
      </w:r>
      <w:r w:rsidR="00B51885">
        <w:t xml:space="preserve"> und Verkehr (StMB). Zudem über</w:t>
      </w:r>
      <w:r>
        <w:t>arbeitet das StMB aktuell das Rundschreiben zur baurechtlichen und landesplanerischen Behandlung von Freifläche</w:t>
      </w:r>
      <w:r w:rsidR="00B51885">
        <w:t>n-Photovoltaikanlagen. Das Rund</w:t>
      </w:r>
      <w:r>
        <w:t>schreiben wird auch Hinweise zu Agri-PV-Anlagen enthalten.</w:t>
      </w:r>
    </w:p>
    <w:p w:rsidR="00925EDE" w:rsidRDefault="00925EDE" w:rsidP="00925EDE">
      <w:pPr>
        <w:pStyle w:val="LTAntwortRessortText"/>
      </w:pPr>
      <w:r>
        <w:t>Darüber hinaus findet eine unabhängige I</w:t>
      </w:r>
      <w:r w:rsidR="00B51885">
        <w:t>nformation und Beratung für Kom</w:t>
      </w:r>
      <w:r>
        <w:t>munen zum Thema Agri-PV durch Lan</w:t>
      </w:r>
      <w:r w:rsidR="006F6899">
        <w:t xml:space="preserve">dSchafftEnergie am Technologie- </w:t>
      </w:r>
      <w:r>
        <w:t xml:space="preserve">und Förderzentrum und bei C.A.R.M.E.N. </w:t>
      </w:r>
      <w:r w:rsidR="003439F1">
        <w:t>e. V.</w:t>
      </w:r>
      <w:r>
        <w:t>, dem Centralen Agrar-Rohstoff-,</w:t>
      </w:r>
      <w:r w:rsidR="006F6899">
        <w:t xml:space="preserve"> </w:t>
      </w:r>
      <w:r>
        <w:t>Marketing und Energie Netzwerk im Kompetenzzentrum für Nachwachsende</w:t>
      </w:r>
      <w:r w:rsidR="006F6899">
        <w:t xml:space="preserve"> </w:t>
      </w:r>
      <w:r>
        <w:t>Rohstoffe in Straubing statt.</w:t>
      </w:r>
    </w:p>
    <w:p w:rsidR="00925EDE" w:rsidRDefault="00925EDE" w:rsidP="00925EDE">
      <w:pPr>
        <w:pStyle w:val="LTAntwortRessortText"/>
      </w:pPr>
      <w:r>
        <w:t xml:space="preserve">Im Zuge des </w:t>
      </w:r>
      <w:r w:rsidR="00350BA6">
        <w:t>Erneuerbare-Energien-Gesetz (</w:t>
      </w:r>
      <w:r>
        <w:t>EEG</w:t>
      </w:r>
      <w:r w:rsidR="00350BA6">
        <w:t>)</w:t>
      </w:r>
      <w:r>
        <w:t xml:space="preserve"> 2021 wurde für Agri-PV-Anlagen in Form einer Innovationsausschreibung</w:t>
      </w:r>
      <w:r w:rsidR="006F6899">
        <w:t xml:space="preserve"> </w:t>
      </w:r>
      <w:r>
        <w:t xml:space="preserve">für </w:t>
      </w:r>
      <w:r w:rsidR="003439F1">
        <w:t>„</w:t>
      </w:r>
      <w:r>
        <w:t>Besondere Solaranlagen</w:t>
      </w:r>
      <w:r w:rsidR="003439F1">
        <w:t>“</w:t>
      </w:r>
      <w:r>
        <w:t xml:space="preserve"> (Agri-PV, Floating-PV,</w:t>
      </w:r>
      <w:r w:rsidR="006F6899">
        <w:t xml:space="preserve"> </w:t>
      </w:r>
      <w:r>
        <w:t xml:space="preserve">Parkplatz-PV) ein </w:t>
      </w:r>
      <w:r w:rsidR="00350BA6">
        <w:t>spezieller Gebotstermin im Jahr </w:t>
      </w:r>
      <w:r>
        <w:t>2022 geregelt. Das einmalige</w:t>
      </w:r>
      <w:r w:rsidR="006F6899">
        <w:t xml:space="preserve"> </w:t>
      </w:r>
      <w:r>
        <w:t xml:space="preserve">Ausschreibungsvolumen von 50 </w:t>
      </w:r>
      <w:r w:rsidR="00350BA6">
        <w:t>Megawatt (</w:t>
      </w:r>
      <w:r>
        <w:t>MW</w:t>
      </w:r>
      <w:r w:rsidR="00350BA6">
        <w:t>)</w:t>
      </w:r>
      <w:r>
        <w:t xml:space="preserve"> wurde auf Forderung des</w:t>
      </w:r>
      <w:r w:rsidR="006F6899">
        <w:t xml:space="preserve"> </w:t>
      </w:r>
      <w:r w:rsidR="00350BA6">
        <w:t xml:space="preserve">Staatsministeriums </w:t>
      </w:r>
      <w:r w:rsidR="00626F46">
        <w:t>für Wirtschaft Landesentwicklung und Energie (</w:t>
      </w:r>
      <w:r w:rsidR="00350BA6">
        <w:t>StMWi</w:t>
      </w:r>
      <w:r w:rsidR="00626F46">
        <w:t>)</w:t>
      </w:r>
      <w:r w:rsidR="00350BA6">
        <w:t xml:space="preserve"> hin bereits auf 150 </w:t>
      </w:r>
      <w:r>
        <w:t>MW angehoben. Zudem wurde die Erweiterung</w:t>
      </w:r>
      <w:r w:rsidR="006F6899">
        <w:t xml:space="preserve"> </w:t>
      </w:r>
      <w:r>
        <w:t>der Flächenkulisse für Agri-PV-Anlagen bei der Innovationsausschreibung</w:t>
      </w:r>
      <w:r w:rsidR="006F6899">
        <w:t xml:space="preserve"> </w:t>
      </w:r>
      <w:r>
        <w:t>auf landwirtschaftlich genutzte Flächen, auf denen Dauerkulturen oder</w:t>
      </w:r>
      <w:r w:rsidR="006F6899">
        <w:t xml:space="preserve"> </w:t>
      </w:r>
      <w:r>
        <w:t>mehrjährige Kulturen angebaut werden, gefordert und umgesetzt. Das</w:t>
      </w:r>
      <w:r w:rsidR="006F6899">
        <w:t xml:space="preserve"> </w:t>
      </w:r>
      <w:r>
        <w:t xml:space="preserve">StMWi hat sich beim </w:t>
      </w:r>
      <w:r w:rsidR="00626F46">
        <w:t>Bundesministerium für Wirtschaft und Klimaschutz (</w:t>
      </w:r>
      <w:r>
        <w:t>BMWi</w:t>
      </w:r>
      <w:r w:rsidR="00626F46">
        <w:t>)</w:t>
      </w:r>
      <w:r>
        <w:t xml:space="preserve"> hier zudem für weitere Verbesserungen der</w:t>
      </w:r>
      <w:r w:rsidR="006F6899">
        <w:t xml:space="preserve"> </w:t>
      </w:r>
      <w:r>
        <w:t>Rahmenbedingungen eingesetzt.</w:t>
      </w:r>
    </w:p>
    <w:p w:rsidR="00925EDE" w:rsidRDefault="00925EDE" w:rsidP="00925EDE">
      <w:pPr>
        <w:pStyle w:val="LTAntwortRessortText"/>
      </w:pPr>
      <w:r>
        <w:t>In der im April</w:t>
      </w:r>
      <w:r w:rsidR="00626F46">
        <w:t xml:space="preserve"> 2021 veröffentlichten DIN-SPEC </w:t>
      </w:r>
      <w:r>
        <w:t>91434 wurde die Agri-PV</w:t>
      </w:r>
      <w:r w:rsidR="00086E92">
        <w:t xml:space="preserve"> </w:t>
      </w:r>
      <w:r>
        <w:t>erstmal</w:t>
      </w:r>
      <w:r w:rsidR="00626F46">
        <w:t>s definiert. Gemäß der DIN-SPEC </w:t>
      </w:r>
      <w:r>
        <w:t>91434 ist eine landwirtschaftliche</w:t>
      </w:r>
      <w:r w:rsidR="00086E92">
        <w:t xml:space="preserve"> </w:t>
      </w:r>
      <w:r>
        <w:t>Nutzung bei der Installation einer Agri-PV-Anlage verpflichtend. Sogar ein</w:t>
      </w:r>
      <w:r w:rsidR="00086E92">
        <w:t xml:space="preserve"> </w:t>
      </w:r>
      <w:r>
        <w:t>Mindestertrag des landwirtschaftlich genutzten Anteils in Höhe von mindestens</w:t>
      </w:r>
      <w:r w:rsidR="00086E92">
        <w:t xml:space="preserve"> </w:t>
      </w:r>
      <w:r>
        <w:t>zwei Dritteln des bisher auf dieser Fläche erzielten Ertrages ist Voraussetzung</w:t>
      </w:r>
      <w:r w:rsidR="00086E92">
        <w:t xml:space="preserve"> </w:t>
      </w:r>
      <w:r>
        <w:t>für eine mit Agri-PV genutzten Fläche.</w:t>
      </w:r>
    </w:p>
    <w:p w:rsidR="00925EDE" w:rsidRDefault="00925EDE" w:rsidP="00925EDE">
      <w:pPr>
        <w:pStyle w:val="LTAntwortRessortText"/>
      </w:pPr>
      <w:r>
        <w:t>Die Herausforderung und auch ein Hindernis bei der Umsetzung von derartigen</w:t>
      </w:r>
      <w:r w:rsidR="00086E92">
        <w:t xml:space="preserve"> </w:t>
      </w:r>
      <w:r>
        <w:t>Anlagen ist nun, dass Agri-PV-Anlagen in der Direktzahlungen-</w:t>
      </w:r>
      <w:r w:rsidR="00086E92">
        <w:t xml:space="preserve"> </w:t>
      </w:r>
      <w:r>
        <w:t>Durchführungsverordnung bisher nicht definiert sind. Bisher verliert die Fläche,</w:t>
      </w:r>
      <w:r w:rsidR="00086E92">
        <w:t xml:space="preserve"> </w:t>
      </w:r>
      <w:r>
        <w:t>auf der eine Agri-PV-Anlage installiert werden soll, grundsätzlich den</w:t>
      </w:r>
      <w:r w:rsidR="00086E92">
        <w:t xml:space="preserve"> </w:t>
      </w:r>
      <w:r>
        <w:t>Status einer Beihilfefähigkeit in Bezug auf Zahlungen über die Direktzahlungen-</w:t>
      </w:r>
      <w:r w:rsidR="00086E92">
        <w:t xml:space="preserve"> </w:t>
      </w:r>
      <w:r>
        <w:t xml:space="preserve">Durchführungsverordnung. Nachdem </w:t>
      </w:r>
      <w:r>
        <w:lastRenderedPageBreak/>
        <w:t>die Hauptnutzung der Fläche</w:t>
      </w:r>
      <w:r w:rsidR="00086E92">
        <w:t xml:space="preserve"> </w:t>
      </w:r>
      <w:r>
        <w:t>zu landwirtschaftlichen Zwecken erhalten bleibt, waren und sind wir schon</w:t>
      </w:r>
      <w:r w:rsidR="00086E92">
        <w:t xml:space="preserve"> </w:t>
      </w:r>
      <w:r>
        <w:t>allein aus grundsätzlichen Erwägungen heraus der Auffassung, dass auch</w:t>
      </w:r>
      <w:r w:rsidR="00086E92">
        <w:t xml:space="preserve"> </w:t>
      </w:r>
      <w:r>
        <w:t>der Anspruch auf die Direktzahlungen bei Errichtung einer Agri-PV-Anlage</w:t>
      </w:r>
      <w:r w:rsidR="00086E92">
        <w:t xml:space="preserve"> </w:t>
      </w:r>
      <w:r>
        <w:t>erhalten bleiben soll.</w:t>
      </w:r>
    </w:p>
    <w:p w:rsidR="00925EDE" w:rsidRDefault="00925EDE" w:rsidP="00925EDE">
      <w:pPr>
        <w:pStyle w:val="LTAntwortRessortText"/>
      </w:pPr>
      <w:r>
        <w:t xml:space="preserve">Mit diesem Anliegen hat sich das </w:t>
      </w:r>
      <w:r w:rsidR="00626F46">
        <w:t>Staatsministerium für Ernährung, Landwirtschaft und Forsten (</w:t>
      </w:r>
      <w:r>
        <w:t>StMELF</w:t>
      </w:r>
      <w:r w:rsidR="00626F46">
        <w:t>)</w:t>
      </w:r>
      <w:r>
        <w:t xml:space="preserve"> bereits im Sommer dieses Jahres</w:t>
      </w:r>
      <w:r w:rsidR="00086E92">
        <w:t xml:space="preserve"> </w:t>
      </w:r>
      <w:r>
        <w:t xml:space="preserve">an das </w:t>
      </w:r>
      <w:r w:rsidR="00626F46">
        <w:t>Bundesministerium für Ernährung und Landwirtschaft (</w:t>
      </w:r>
      <w:r>
        <w:t>BMEL</w:t>
      </w:r>
      <w:r w:rsidR="00626F46">
        <w:t>)</w:t>
      </w:r>
      <w:r>
        <w:t xml:space="preserve"> gewandt (Schreiben vom 26.06.2021 von Staatsministerin</w:t>
      </w:r>
      <w:r w:rsidR="00086E92">
        <w:t xml:space="preserve"> </w:t>
      </w:r>
      <w:r>
        <w:t>Kaniber an Bunde</w:t>
      </w:r>
      <w:r w:rsidR="00626F46">
        <w:t>sministerin a. </w:t>
      </w:r>
      <w:r>
        <w:t>D. Klöckner) und erreicht, dass im jetzigen</w:t>
      </w:r>
      <w:r w:rsidR="00086E92">
        <w:t xml:space="preserve"> </w:t>
      </w:r>
      <w:r>
        <w:t xml:space="preserve">Entwurf der </w:t>
      </w:r>
      <w:r w:rsidR="003439F1">
        <w:t>„</w:t>
      </w:r>
      <w:r>
        <w:t>Verordnung zur Durchführung der GAP-Direktzahlungen</w:t>
      </w:r>
      <w:r w:rsidR="003439F1">
        <w:t>“</w:t>
      </w:r>
      <w:r>
        <w:t xml:space="preserve"> vorgesehen ist, dass die Flächenförderung zu 85</w:t>
      </w:r>
      <w:r w:rsidR="00626F46">
        <w:t> </w:t>
      </w:r>
      <w:r w:rsidR="003439F1">
        <w:t>Prozent</w:t>
      </w:r>
      <w:r>
        <w:t xml:space="preserve"> erhalten b</w:t>
      </w:r>
      <w:r w:rsidR="00B51885">
        <w:t>leibt. Die restli</w:t>
      </w:r>
      <w:r>
        <w:t>chen 15</w:t>
      </w:r>
      <w:r w:rsidR="00626F46">
        <w:t> </w:t>
      </w:r>
      <w:r w:rsidR="003439F1">
        <w:t>Prozent</w:t>
      </w:r>
      <w:r>
        <w:t xml:space="preserve"> stehen in der Regel durch bauliche Anlagen, also der PV-Anlage an sich, ohnehin nicht zur landwirtschaftlichen Nutzung zur Verfügung. Diese Regelung wäre daher ein wesentlicher Fortschritt beim Abbau von Hürden bei der Errichtung von Agri-PV Anlagen. Die Verordnung befindet sich derzeit im Bundesratsverfahren.</w:t>
      </w:r>
    </w:p>
    <w:p w:rsidR="00925EDE" w:rsidRDefault="00925EDE">
      <w:bookmarkStart w:id="85" w:name="Frage_Nr_42_Ende"/>
      <w:bookmarkEnd w:id="85"/>
      <w:r>
        <w:br w:type="page"/>
      </w:r>
    </w:p>
    <w:p w:rsidR="00925EDE" w:rsidRDefault="00925EDE" w:rsidP="00925EDE">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25EDE" w:rsidTr="007B0B33">
        <w:tc>
          <w:tcPr>
            <w:tcW w:w="2050" w:type="dxa"/>
          </w:tcPr>
          <w:p w:rsidR="00925EDE" w:rsidRDefault="00925EDE" w:rsidP="00925EDE">
            <w:pPr>
              <w:pStyle w:val="LTAnfrageInitiator"/>
            </w:pPr>
            <w:r>
              <w:t>Abgeordnete</w:t>
            </w:r>
            <w:r>
              <w:rPr>
                <w:b/>
              </w:rPr>
              <w:br/>
              <w:t>Kerstin</w:t>
            </w:r>
            <w:r>
              <w:rPr>
                <w:b/>
              </w:rPr>
              <w:br/>
              <w:t>Celina</w:t>
            </w:r>
            <w:r>
              <w:rPr>
                <w:b/>
              </w:rPr>
              <w:br/>
            </w:r>
            <w:r>
              <w:t>(BÜNDNIS 90/DIE GRÜNEN)</w:t>
            </w:r>
            <w:bookmarkStart w:id="86" w:name="Frage_Nr_43"/>
            <w:bookmarkEnd w:id="86"/>
          </w:p>
        </w:tc>
        <w:tc>
          <w:tcPr>
            <w:tcW w:w="7200" w:type="dxa"/>
          </w:tcPr>
          <w:p w:rsidR="00925EDE" w:rsidRDefault="006373BA" w:rsidP="00925EDE">
            <w:pPr>
              <w:pStyle w:val="LTAnfrageText"/>
            </w:pPr>
            <w:r w:rsidRPr="0067222C">
              <w:t>Nachdem die Anzahl der Privatinsolvenzen bereits im ersten Halbjahr 2021 die Gesamtzahl des Jahres 2020 weit überschritten hat, frage ich die Staatsregierung, ob sie es auch angesichts dieser Entwicklung für sinnvoll erachtet, Daten beispielsweise zur Anzahl an Beratungsgesprächen, Wartezeiten für ein Beratungsgespräch, Entwicklung des Beratungspersonals sowie zu den Branchen, in denen die Schulden anfallen, zu erheben, um auf dieser Grundlage den Bedarf für Schuldnerberatungsstellen genauer einschätzen zu können und welche Daten noch hilfreich wären, um wichtige Themenfelder für die Verbraucherberatung zu identifizieren?</w:t>
            </w:r>
          </w:p>
        </w:tc>
      </w:tr>
    </w:tbl>
    <w:p w:rsidR="00925EDE" w:rsidRDefault="00925EDE" w:rsidP="00925EDE">
      <w:pPr>
        <w:pStyle w:val="LTUeberschrAntwortRessort"/>
      </w:pPr>
      <w:r>
        <w:t>Antwort des Staatsministeriums für Familie, Arbeit und Soziales</w:t>
      </w:r>
    </w:p>
    <w:p w:rsidR="00925EDE" w:rsidRDefault="00925EDE" w:rsidP="00925EDE">
      <w:pPr>
        <w:pStyle w:val="LTAntwortRessortText"/>
      </w:pPr>
      <w:r>
        <w:t>Die Sicherstellung der Schuldnerberatung und deren Finanzierung ist</w:t>
      </w:r>
      <w:r w:rsidR="002E49DF">
        <w:t xml:space="preserve"> </w:t>
      </w:r>
      <w:r>
        <w:t>(alleinige) Aufgabe der Landkreise und kreisfreien Städte im eigenen</w:t>
      </w:r>
      <w:r w:rsidR="002E49DF">
        <w:t xml:space="preserve"> </w:t>
      </w:r>
      <w:r>
        <w:t>Wirkungskreis, die die Schuldnerberatung in eigener Trägerschaft betreiben</w:t>
      </w:r>
      <w:r w:rsidR="002E49DF">
        <w:t xml:space="preserve"> </w:t>
      </w:r>
      <w:r>
        <w:t>oder freie Träger damit beauftragen können. Die Landkreise</w:t>
      </w:r>
      <w:r w:rsidR="002E49DF">
        <w:t xml:space="preserve"> </w:t>
      </w:r>
      <w:r>
        <w:t>und kreisfreien Städte müssen daher eigenständig und eigenverantwortlich</w:t>
      </w:r>
      <w:r w:rsidR="002E49DF">
        <w:t xml:space="preserve"> </w:t>
      </w:r>
      <w:r>
        <w:t>entscheiden, welche Daten sie erheben, um den Bedarf an</w:t>
      </w:r>
      <w:r w:rsidR="002E49DF">
        <w:t xml:space="preserve"> </w:t>
      </w:r>
      <w:r>
        <w:t>Schuldnerberatungsstellen einschätzen zu können.</w:t>
      </w:r>
    </w:p>
    <w:p w:rsidR="00925EDE" w:rsidRDefault="00925EDE" w:rsidP="00925EDE">
      <w:pPr>
        <w:pStyle w:val="LTAntwortRessortText"/>
      </w:pPr>
      <w:r>
        <w:t>Die Insolvenzberatungsstellen sind seit der Delegation der Sicherstellung</w:t>
      </w:r>
      <w:r w:rsidR="001507F6">
        <w:t xml:space="preserve"> </w:t>
      </w:r>
      <w:r>
        <w:t>der Insolvenzberatung auf die Landkreise und kreisfreien Städte</w:t>
      </w:r>
      <w:r w:rsidR="001507F6">
        <w:t xml:space="preserve"> </w:t>
      </w:r>
      <w:r w:rsidR="00233D39">
        <w:t>am 1. Januar 2019 nach Art. 112 Abs. </w:t>
      </w:r>
      <w:r>
        <w:t>3 des Gesetzes zur Ausführung</w:t>
      </w:r>
      <w:r w:rsidR="001507F6">
        <w:t xml:space="preserve"> </w:t>
      </w:r>
      <w:r>
        <w:t>der Sozialgesetze (AGSG) verpflichtet, si</w:t>
      </w:r>
      <w:r w:rsidR="001507F6">
        <w:t>ch an der Überschuldungssta</w:t>
      </w:r>
      <w:r>
        <w:t>tistik des Bundes nach dem Überschuldungsstatistikgesetz zu beteiligen.</w:t>
      </w:r>
      <w:r w:rsidR="001507F6">
        <w:t xml:space="preserve"> </w:t>
      </w:r>
      <w:r>
        <w:t>Diese Daten bieten zusammen mit den Daten des Bayerischen</w:t>
      </w:r>
      <w:r w:rsidR="001507F6">
        <w:t xml:space="preserve"> </w:t>
      </w:r>
      <w:r>
        <w:t>Landesamtes für Statistik eine ausreichende Grundlage zur Sicherstellung</w:t>
      </w:r>
      <w:r w:rsidR="001507F6">
        <w:t xml:space="preserve"> </w:t>
      </w:r>
      <w:r>
        <w:t>der Insolvenzberatung.</w:t>
      </w:r>
    </w:p>
    <w:p w:rsidR="00925EDE" w:rsidRDefault="00925EDE">
      <w:bookmarkStart w:id="87" w:name="Frage_Nr_43_Ende"/>
      <w:bookmarkEnd w:id="8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25EDE" w:rsidTr="007B0B33">
        <w:tc>
          <w:tcPr>
            <w:tcW w:w="2050" w:type="dxa"/>
          </w:tcPr>
          <w:p w:rsidR="00925EDE" w:rsidRDefault="00925EDE" w:rsidP="00925EDE">
            <w:pPr>
              <w:pStyle w:val="LTAnfrageInitiator"/>
            </w:pPr>
            <w:bookmarkStart w:id="88" w:name="_GoBack"/>
            <w:r>
              <w:lastRenderedPageBreak/>
              <w:t>Abgeordnete</w:t>
            </w:r>
            <w:r>
              <w:rPr>
                <w:b/>
              </w:rPr>
              <w:br/>
              <w:t>Eva</w:t>
            </w:r>
            <w:r>
              <w:rPr>
                <w:b/>
              </w:rPr>
              <w:br/>
              <w:t>Lettenbauer</w:t>
            </w:r>
            <w:r>
              <w:rPr>
                <w:b/>
              </w:rPr>
              <w:br/>
            </w:r>
            <w:r>
              <w:t>(BÜNDNIS 90/DIE GRÜNEN)</w:t>
            </w:r>
            <w:bookmarkStart w:id="89" w:name="Frage_Nr_44"/>
            <w:bookmarkEnd w:id="89"/>
          </w:p>
        </w:tc>
        <w:tc>
          <w:tcPr>
            <w:tcW w:w="7200" w:type="dxa"/>
          </w:tcPr>
          <w:p w:rsidR="00925EDE" w:rsidRDefault="005E1C50" w:rsidP="00925EDE">
            <w:pPr>
              <w:pStyle w:val="LTAnfrageText"/>
            </w:pPr>
            <w:r w:rsidRPr="0067222C">
              <w:t>Ich frage die Staatsregierung, ob regelmäßige Kontrollen durchgeführt werden, ob die Umsetzung der 3G-Regel am Arbeitsplatz, welche seit dem 24. November 2021 gilt, in den bayerischen Unternehmen eingehalten wird, falls ja, wie viele Betriebe seit dem 24. November 2021 kontrolliert wurden und wie das Ergebnis dieser Kontrollen aussieht?</w:t>
            </w:r>
          </w:p>
        </w:tc>
      </w:tr>
    </w:tbl>
    <w:p w:rsidR="00925EDE" w:rsidRDefault="00925EDE" w:rsidP="00925EDE">
      <w:pPr>
        <w:pStyle w:val="LTUeberschrAntwortRessort"/>
      </w:pPr>
      <w:r>
        <w:t>Antwort des Staatsministeriums für Familie, Arbeit und Soziales</w:t>
      </w:r>
    </w:p>
    <w:p w:rsidR="00925EDE" w:rsidRDefault="00925EDE" w:rsidP="00925EDE">
      <w:pPr>
        <w:pStyle w:val="LTAntwortRessortText"/>
      </w:pPr>
      <w:r>
        <w:t>Die Kontrolle der 3G-Regel am Arbeitsplatz obliegt vorrangig den Arbeitgebern.</w:t>
      </w:r>
      <w:r w:rsidR="00C33FD4">
        <w:t xml:space="preserve"> </w:t>
      </w:r>
      <w:r>
        <w:t>Das Infektionsschutzgesetz wird in Bayern grundsätzlich</w:t>
      </w:r>
      <w:r w:rsidR="00C33FD4">
        <w:t xml:space="preserve"> </w:t>
      </w:r>
      <w:r>
        <w:t>von den Kreisverwaltungsbehörden vollzogen. Selbstverständlich thematisieren</w:t>
      </w:r>
      <w:r w:rsidR="00C33FD4">
        <w:t xml:space="preserve"> </w:t>
      </w:r>
      <w:r>
        <w:t>jedoch auch andere Behörden bei Betriebsbesichtigungen</w:t>
      </w:r>
      <w:r w:rsidR="00C33FD4">
        <w:t xml:space="preserve"> </w:t>
      </w:r>
      <w:r>
        <w:t>die Umsetzung der 3G-Regel am Arbeitsplatz bzw. stellen offenkundige</w:t>
      </w:r>
      <w:r w:rsidR="00C33FD4">
        <w:t xml:space="preserve"> </w:t>
      </w:r>
      <w:r>
        <w:t>Missstände fest. Dies gilt insbesondere für die Gewerbeaufsichtsämter</w:t>
      </w:r>
      <w:r w:rsidR="00C33FD4">
        <w:t xml:space="preserve"> </w:t>
      </w:r>
      <w:r>
        <w:t>bei den Regierungen.</w:t>
      </w:r>
      <w:r w:rsidR="00C33FD4">
        <w:t xml:space="preserve"> </w:t>
      </w:r>
      <w:r>
        <w:t>Zur Anzahl der kontrollierten Betriebe und dem Ergebnis dieser Kontrollen</w:t>
      </w:r>
      <w:r w:rsidR="00C33FD4">
        <w:t xml:space="preserve"> </w:t>
      </w:r>
      <w:r>
        <w:t>liegen der Staatsregierung keine Erkenntnisse vor, da die Kontrolle</w:t>
      </w:r>
      <w:r w:rsidR="00C33FD4">
        <w:t xml:space="preserve"> </w:t>
      </w:r>
      <w:r>
        <w:t>der Einhaltung der 3G-Regeln am Arbeitsplatz nicht separat erfasst</w:t>
      </w:r>
      <w:r w:rsidR="00C33FD4">
        <w:t xml:space="preserve"> </w:t>
      </w:r>
      <w:r>
        <w:t>wird. Eine Abfrage bei den Kreisverwaltungsbehörden ist mit Blick</w:t>
      </w:r>
      <w:r w:rsidR="00C33FD4">
        <w:t xml:space="preserve"> </w:t>
      </w:r>
      <w:r>
        <w:t>auf die zur Verfügung stehende Zeit nicht möglich.</w:t>
      </w:r>
    </w:p>
    <w:p w:rsidR="00925EDE" w:rsidRDefault="00925EDE">
      <w:bookmarkStart w:id="90" w:name="Frage_Nr_44_Ende"/>
      <w:bookmarkEnd w:id="90"/>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25EDE" w:rsidTr="007B0B33">
        <w:tc>
          <w:tcPr>
            <w:tcW w:w="2050" w:type="dxa"/>
          </w:tcPr>
          <w:p w:rsidR="00925EDE" w:rsidRDefault="00925EDE" w:rsidP="00925EDE">
            <w:pPr>
              <w:pStyle w:val="LTAnfrageInitiator"/>
            </w:pPr>
            <w:r>
              <w:lastRenderedPageBreak/>
              <w:t>Abgeordneter</w:t>
            </w:r>
            <w:r>
              <w:rPr>
                <w:b/>
              </w:rPr>
              <w:br/>
              <w:t>Jan</w:t>
            </w:r>
            <w:r>
              <w:rPr>
                <w:b/>
              </w:rPr>
              <w:br/>
              <w:t>Schiffers</w:t>
            </w:r>
            <w:r>
              <w:rPr>
                <w:b/>
              </w:rPr>
              <w:br/>
            </w:r>
            <w:r>
              <w:t>(AfD)</w:t>
            </w:r>
            <w:bookmarkStart w:id="91" w:name="Frage_Nr_45"/>
            <w:bookmarkEnd w:id="91"/>
          </w:p>
        </w:tc>
        <w:tc>
          <w:tcPr>
            <w:tcW w:w="7200" w:type="dxa"/>
          </w:tcPr>
          <w:p w:rsidR="00925EDE" w:rsidRDefault="0072106B" w:rsidP="00925EDE">
            <w:pPr>
              <w:pStyle w:val="LTAnfrageText"/>
            </w:pPr>
            <w:r w:rsidRPr="0067222C">
              <w:t>Ich frage die Staatsregierung, ob sie plant, eine mögliche 2G-Regel am Arbeitsplatz einzuführen oder zu unterstützen, wie sie eine möglicherweise durch den Arbeitgeber oder die Politik angeordnete 2G-Regel für Beschäftige im Hinblick auf einen Konflikt mit dem Grundrecht auf körperliche Unversehrtheit sieht und unter welchen Umständen Arbeitnehmer, die ungeimpft sind oder als nicht vollständig geimpft gelten, durch den Arbeitgeber entlassen werden können?</w:t>
            </w:r>
          </w:p>
        </w:tc>
      </w:tr>
    </w:tbl>
    <w:p w:rsidR="00925EDE" w:rsidRDefault="00925EDE" w:rsidP="00925EDE">
      <w:pPr>
        <w:pStyle w:val="LTUeberschrAntwortRessort"/>
      </w:pPr>
      <w:r>
        <w:t>Antwort des Staatsministeriums für Familie, Arbeit und Soziales</w:t>
      </w:r>
    </w:p>
    <w:p w:rsidR="00925EDE" w:rsidRDefault="00925EDE" w:rsidP="00925EDE">
      <w:pPr>
        <w:pStyle w:val="LTAntwortRessortText"/>
      </w:pPr>
      <w:r>
        <w:t>Die Einführung einer infektionsschutzrechtlich verpflichtenden 2G-Regel</w:t>
      </w:r>
      <w:r w:rsidR="00241617">
        <w:t xml:space="preserve"> </w:t>
      </w:r>
      <w:r>
        <w:t>am Arbeitsplatz ist derzeit nicht geplant.</w:t>
      </w:r>
    </w:p>
    <w:p w:rsidR="00925EDE" w:rsidRDefault="00925EDE" w:rsidP="00925EDE">
      <w:pPr>
        <w:pStyle w:val="LTAntwortRessortText"/>
      </w:pPr>
      <w:r>
        <w:t>Bezüglich einer durch einen Arbeitgeber angeordneten 2G-Regel gilt,</w:t>
      </w:r>
      <w:r w:rsidR="00241617">
        <w:t xml:space="preserve"> </w:t>
      </w:r>
      <w:r>
        <w:t>dass seitens der Staatsregierung grundsätzlich kein Einfluss auf Entscheidungen</w:t>
      </w:r>
      <w:r w:rsidR="00241617">
        <w:t xml:space="preserve"> </w:t>
      </w:r>
      <w:r>
        <w:t>von Betrieben und Unternehmen genommen werden</w:t>
      </w:r>
      <w:r w:rsidR="00241617">
        <w:t xml:space="preserve"> </w:t>
      </w:r>
      <w:r>
        <w:t>kann und darf. Eine Überprüfung derartiger Weisungen im Einzelfall</w:t>
      </w:r>
      <w:r w:rsidR="00241617">
        <w:t xml:space="preserve"> </w:t>
      </w:r>
      <w:r>
        <w:t>obliegt den Arbeitsgerichten. Im Hinblick auf die Grundrechtsthematik</w:t>
      </w:r>
      <w:r w:rsidR="00241617">
        <w:t xml:space="preserve"> </w:t>
      </w:r>
      <w:r>
        <w:t>kann allerdings grundsätzlich angemerkt werden, dass eine entsprechende</w:t>
      </w:r>
      <w:r w:rsidR="00241617">
        <w:t xml:space="preserve"> </w:t>
      </w:r>
      <w:r>
        <w:t>2G-Regel ausschließlich das private Rechtsverhältnis zwischen</w:t>
      </w:r>
      <w:r w:rsidR="00241617">
        <w:t xml:space="preserve"> </w:t>
      </w:r>
      <w:r>
        <w:t>dem Arbeitgeber und den Beschäftigten betreffen würde mit der</w:t>
      </w:r>
      <w:r w:rsidR="00241617">
        <w:t xml:space="preserve"> </w:t>
      </w:r>
      <w:r>
        <w:t>Folge, dass es jedenfalls an einer unmittelbaren Grundrechtswirkung</w:t>
      </w:r>
      <w:r w:rsidR="00241617">
        <w:t xml:space="preserve"> </w:t>
      </w:r>
      <w:r>
        <w:t>fehlt.</w:t>
      </w:r>
      <w:r w:rsidR="00241617">
        <w:t xml:space="preserve"> </w:t>
      </w:r>
      <w:r>
        <w:t>Welche Handlungsmöglichkeiten dem Arbeitgeber gegenüber Arbeitnehmerinnen</w:t>
      </w:r>
      <w:r w:rsidR="00241617">
        <w:t xml:space="preserve"> </w:t>
      </w:r>
      <w:r>
        <w:t>und Arbeitnehmern, die ungeimpft sind oder als nicht</w:t>
      </w:r>
      <w:r w:rsidR="00241617">
        <w:t xml:space="preserve"> </w:t>
      </w:r>
      <w:r>
        <w:t>vollständig geimpft gelten, letztlich zustehen, ist eine Frage des Einzelfalls,</w:t>
      </w:r>
      <w:r w:rsidR="00241617">
        <w:t xml:space="preserve"> </w:t>
      </w:r>
      <w:r>
        <w:t>die angesichts fehlender gerichtlicher Entscheidungspraxis nicht</w:t>
      </w:r>
      <w:r w:rsidR="00241617">
        <w:t xml:space="preserve"> </w:t>
      </w:r>
      <w:r>
        <w:t>verbindlich geklärt werden kann. Auch mit Blick auf die Bandbreite</w:t>
      </w:r>
      <w:r w:rsidR="00241617">
        <w:t xml:space="preserve"> </w:t>
      </w:r>
      <w:r>
        <w:t>möglicher Fallkonstellationen sowie der diesen jeweils zugrundeliegenden</w:t>
      </w:r>
      <w:r w:rsidR="00241617">
        <w:t xml:space="preserve"> </w:t>
      </w:r>
      <w:r>
        <w:t>Lebenssachverhalten und betrieblichen Besonderheiten können</w:t>
      </w:r>
      <w:r w:rsidR="00241617">
        <w:t xml:space="preserve"> </w:t>
      </w:r>
      <w:r>
        <w:t>nur allgemeine Hinweise anhand geltender arbeitsrechtlicher Grundsätze</w:t>
      </w:r>
      <w:r w:rsidR="00241617">
        <w:t xml:space="preserve"> </w:t>
      </w:r>
      <w:r>
        <w:t>aufgezeigt werden.</w:t>
      </w:r>
    </w:p>
    <w:p w:rsidR="00925EDE" w:rsidRDefault="00925EDE" w:rsidP="00925EDE">
      <w:pPr>
        <w:pStyle w:val="LTAntwortRessortText"/>
      </w:pPr>
      <w:r>
        <w:t>Eine arbeitgeberseitige Kündigung des Arbeitsverhältnisses stellt stets</w:t>
      </w:r>
      <w:r w:rsidR="00241617">
        <w:t xml:space="preserve"> </w:t>
      </w:r>
      <w:r>
        <w:t>nur das letzte der verfügbaren Mittel dar. Im Hinblick auf nicht vollständig</w:t>
      </w:r>
      <w:r w:rsidR="00241617">
        <w:t xml:space="preserve"> </w:t>
      </w:r>
      <w:r>
        <w:t>geimpfte Arbeitnehmerinnen und Arbeitnehmer ist zudem zu berücksichtigen,</w:t>
      </w:r>
      <w:r w:rsidR="00241617">
        <w:t xml:space="preserve"> </w:t>
      </w:r>
      <w:r>
        <w:t>dass bereits ein gewisser Impfschutz besteht und perspektivisch</w:t>
      </w:r>
      <w:r w:rsidR="00241617">
        <w:t xml:space="preserve"> </w:t>
      </w:r>
      <w:r>
        <w:t>voraussichtlich ein vollständiger Impfschutz erreicht werden</w:t>
      </w:r>
      <w:r w:rsidR="00241617">
        <w:t xml:space="preserve"> </w:t>
      </w:r>
      <w:r>
        <w:t>dürfte.</w:t>
      </w:r>
    </w:p>
    <w:p w:rsidR="00925EDE" w:rsidRDefault="00925EDE">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4"/>
        <w:gridCol w:w="5802"/>
      </w:tblGrid>
      <w:tr w:rsidR="00925EDE" w:rsidTr="007B0B33">
        <w:tc>
          <w:tcPr>
            <w:tcW w:w="2050" w:type="dxa"/>
          </w:tcPr>
          <w:p w:rsidR="00925EDE" w:rsidRDefault="00925EDE" w:rsidP="00925EDE">
            <w:pPr>
              <w:pStyle w:val="LTAnfrageInitiator"/>
            </w:pPr>
            <w:r>
              <w:lastRenderedPageBreak/>
              <w:t>Abgeordneter</w:t>
            </w:r>
            <w:r>
              <w:rPr>
                <w:b/>
              </w:rPr>
              <w:br/>
              <w:t>Ulrich</w:t>
            </w:r>
            <w:r>
              <w:rPr>
                <w:b/>
              </w:rPr>
              <w:br/>
              <w:t>Singer</w:t>
            </w:r>
            <w:r>
              <w:rPr>
                <w:b/>
              </w:rPr>
              <w:br/>
            </w:r>
            <w:r>
              <w:t>(AfD)</w:t>
            </w:r>
            <w:bookmarkStart w:id="93" w:name="Frage_Nr_46"/>
            <w:bookmarkEnd w:id="93"/>
          </w:p>
        </w:tc>
        <w:tc>
          <w:tcPr>
            <w:tcW w:w="7200" w:type="dxa"/>
          </w:tcPr>
          <w:p w:rsidR="00925EDE" w:rsidRDefault="00B47AE7" w:rsidP="00925EDE">
            <w:pPr>
              <w:pStyle w:val="LTAnfrageText"/>
            </w:pPr>
            <w:r w:rsidRPr="0067222C">
              <w:t>Ich frage die Staatsregierung, wie hoch die Anzahl der Anträge auf Gewährung von Beschädigtenversorgung nach dem Infektionsschutzgesetz (IfSG) in Verbindung mit Impfungen vom 1. Januar 2010 bis 6. Dezember 2021 in Bayern ist (bitte die Anzahl jährlich nach jeweiliger Impfung auflisten), wie hoch die Anzahl der Anträge auf Gewährung von Beschädigtenversorgung nach dem IfSG in Verbindung mit COVID-19-Impfungen vom 1. Januar 2021 bis 6. Dezember 2021 in Bayern ist (bitte die Anzahl monatlich nach der jeweiligen COVID-19-Impfung, Art des Impfschadens bzw. der Impfkomplikation sowie Alter und Geschlecht der Antragssteller auflisten) und ob für Impfschäden durch sogenannte „Off-Label-Impfungen“ mit COVID-19-Impfstoffen auch Beschädigtenversorgung nach dem IfSG gewährt wird (wenn nein, bitte genau auf Gründe eingehen)?</w:t>
            </w:r>
          </w:p>
        </w:tc>
      </w:tr>
    </w:tbl>
    <w:p w:rsidR="00925EDE" w:rsidRDefault="00925EDE" w:rsidP="00925EDE">
      <w:pPr>
        <w:pStyle w:val="LTUeberschrAntwortRessort"/>
      </w:pPr>
      <w:r>
        <w:t>Antwort des Staatsministeriums für Familie, Arbeit und Soziales</w:t>
      </w:r>
    </w:p>
    <w:p w:rsidR="00925EDE" w:rsidRDefault="00925EDE" w:rsidP="00925EDE">
      <w:pPr>
        <w:pStyle w:val="LTAntwortRessortText"/>
      </w:pPr>
      <w:r>
        <w:t>Antwort durch das Staatsministerium für Familie, Arbeit und Soziales</w:t>
      </w:r>
      <w:r w:rsidR="00062858">
        <w:t xml:space="preserve"> </w:t>
      </w:r>
      <w:r>
        <w:t>unter Beteiligung des Bayerischen Staatsministeriums für Gesundheit</w:t>
      </w:r>
      <w:r w:rsidR="00062858">
        <w:t xml:space="preserve"> </w:t>
      </w:r>
      <w:r>
        <w:t>und Pflege:</w:t>
      </w:r>
    </w:p>
    <w:p w:rsidR="00925EDE" w:rsidRDefault="00925EDE" w:rsidP="00925EDE">
      <w:pPr>
        <w:pStyle w:val="LTAntwortRessortText"/>
      </w:pPr>
      <w:r>
        <w:t xml:space="preserve">1. Anträge auf Versorgung nach dem </w:t>
      </w:r>
      <w:r w:rsidR="0022324E">
        <w:t>Infektionsschutzgesetz (</w:t>
      </w:r>
      <w:r>
        <w:t>IfSG</w:t>
      </w:r>
      <w:r w:rsidR="0022324E">
        <w:t>)</w:t>
      </w:r>
      <w:r>
        <w:t xml:space="preserve"> von 2010 bis 2021</w:t>
      </w:r>
    </w:p>
    <w:p w:rsidR="00925EDE" w:rsidRDefault="00925EDE" w:rsidP="00925EDE">
      <w:pPr>
        <w:pStyle w:val="LTAntwortRessortText"/>
      </w:pPr>
      <w:r>
        <w:t>Die Anzahl der Anträge auf Ge</w:t>
      </w:r>
      <w:r w:rsidR="0022324E">
        <w:t>währung einer Versorgung nach § 60 </w:t>
      </w:r>
      <w:r>
        <w:t>Infektionsschutzgesetz</w:t>
      </w:r>
      <w:r w:rsidR="00062858">
        <w:t xml:space="preserve"> </w:t>
      </w:r>
      <w:r>
        <w:t>(IfSG) aufgrund möglicher Impfschäden beträgt</w:t>
      </w:r>
      <w:r w:rsidR="00062858">
        <w:t xml:space="preserve"> </w:t>
      </w:r>
      <w:r w:rsidR="0022324E">
        <w:t>vom 1. Januar 2010 bis 6. Dezember </w:t>
      </w:r>
      <w:r>
        <w:t>2021 in Bayern:</w:t>
      </w:r>
    </w:p>
    <w:p w:rsidR="00925EDE" w:rsidRDefault="00925EDE" w:rsidP="00925EDE">
      <w:pPr>
        <w:pStyle w:val="LTAntwortRessortText"/>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3686"/>
      </w:tblGrid>
      <w:tr w:rsidR="00062858" w:rsidRPr="00AC113A" w:rsidTr="0034095E">
        <w:trPr>
          <w:trHeight w:val="275"/>
        </w:trPr>
        <w:tc>
          <w:tcPr>
            <w:tcW w:w="3827" w:type="dxa"/>
          </w:tcPr>
          <w:p w:rsidR="00062858" w:rsidRPr="00AC113A" w:rsidRDefault="00062858" w:rsidP="00B96202">
            <w:pPr>
              <w:pStyle w:val="TableParagraph"/>
              <w:ind w:left="1703" w:right="1691"/>
              <w:jc w:val="center"/>
              <w:rPr>
                <w:rFonts w:ascii="Arial" w:hAnsi="Arial" w:cs="Arial"/>
                <w:b/>
                <w:sz w:val="18"/>
                <w:szCs w:val="18"/>
              </w:rPr>
            </w:pPr>
            <w:r w:rsidRPr="00AC113A">
              <w:rPr>
                <w:rFonts w:ascii="Arial" w:hAnsi="Arial" w:cs="Arial"/>
                <w:b/>
                <w:sz w:val="18"/>
                <w:szCs w:val="18"/>
              </w:rPr>
              <w:t>Jahr</w:t>
            </w:r>
          </w:p>
        </w:tc>
        <w:tc>
          <w:tcPr>
            <w:tcW w:w="3686" w:type="dxa"/>
          </w:tcPr>
          <w:p w:rsidR="00062858" w:rsidRPr="00AC113A" w:rsidRDefault="00062858" w:rsidP="00B96202">
            <w:pPr>
              <w:pStyle w:val="TableParagraph"/>
              <w:ind w:left="432"/>
              <w:rPr>
                <w:rFonts w:ascii="Arial" w:hAnsi="Arial" w:cs="Arial"/>
                <w:b/>
                <w:sz w:val="18"/>
                <w:szCs w:val="18"/>
              </w:rPr>
            </w:pPr>
            <w:r w:rsidRPr="00AC113A">
              <w:rPr>
                <w:rFonts w:ascii="Arial" w:hAnsi="Arial" w:cs="Arial"/>
                <w:b/>
                <w:sz w:val="18"/>
                <w:szCs w:val="18"/>
              </w:rPr>
              <w:t>Anzahl der gestellten Anträge</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2010</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33</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2011</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27</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2012</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37</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2013</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38</w:t>
            </w:r>
          </w:p>
        </w:tc>
      </w:tr>
      <w:tr w:rsidR="00062858" w:rsidRPr="00AC113A" w:rsidTr="0034095E">
        <w:trPr>
          <w:trHeight w:val="278"/>
        </w:trPr>
        <w:tc>
          <w:tcPr>
            <w:tcW w:w="3827" w:type="dxa"/>
          </w:tcPr>
          <w:p w:rsidR="00062858" w:rsidRPr="00AC113A" w:rsidRDefault="00062858" w:rsidP="00AC113A">
            <w:pPr>
              <w:pStyle w:val="TableParagraph"/>
              <w:spacing w:line="258" w:lineRule="exact"/>
              <w:jc w:val="center"/>
              <w:rPr>
                <w:rFonts w:ascii="Arial" w:hAnsi="Arial" w:cs="Arial"/>
                <w:sz w:val="18"/>
                <w:szCs w:val="18"/>
              </w:rPr>
            </w:pPr>
            <w:r w:rsidRPr="00AC113A">
              <w:rPr>
                <w:rFonts w:ascii="Arial" w:hAnsi="Arial" w:cs="Arial"/>
                <w:sz w:val="18"/>
                <w:szCs w:val="18"/>
              </w:rPr>
              <w:t>2014</w:t>
            </w:r>
          </w:p>
        </w:tc>
        <w:tc>
          <w:tcPr>
            <w:tcW w:w="3686" w:type="dxa"/>
          </w:tcPr>
          <w:p w:rsidR="00062858" w:rsidRPr="00AC113A" w:rsidRDefault="00062858" w:rsidP="00AC113A">
            <w:pPr>
              <w:pStyle w:val="TableParagraph"/>
              <w:spacing w:line="258" w:lineRule="exact"/>
              <w:ind w:left="108"/>
              <w:jc w:val="center"/>
              <w:rPr>
                <w:rFonts w:ascii="Arial" w:hAnsi="Arial" w:cs="Arial"/>
                <w:sz w:val="18"/>
                <w:szCs w:val="18"/>
              </w:rPr>
            </w:pPr>
            <w:r w:rsidRPr="00AC113A">
              <w:rPr>
                <w:rFonts w:ascii="Arial" w:hAnsi="Arial" w:cs="Arial"/>
                <w:sz w:val="18"/>
                <w:szCs w:val="18"/>
              </w:rPr>
              <w:t>38</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2015</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32</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2016</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46</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2017</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31</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2018</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27</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2019</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35</w:t>
            </w:r>
          </w:p>
        </w:tc>
      </w:tr>
      <w:tr w:rsidR="00062858" w:rsidRPr="00AC113A" w:rsidTr="0034095E">
        <w:trPr>
          <w:trHeight w:val="275"/>
        </w:trPr>
        <w:tc>
          <w:tcPr>
            <w:tcW w:w="3827" w:type="dxa"/>
          </w:tcPr>
          <w:p w:rsidR="00062858" w:rsidRPr="00AC113A" w:rsidRDefault="00062858" w:rsidP="00AC113A">
            <w:pPr>
              <w:pStyle w:val="TableParagraph"/>
              <w:jc w:val="center"/>
              <w:rPr>
                <w:rFonts w:ascii="Arial" w:hAnsi="Arial" w:cs="Arial"/>
                <w:sz w:val="18"/>
                <w:szCs w:val="18"/>
              </w:rPr>
            </w:pPr>
            <w:r w:rsidRPr="00AC113A">
              <w:rPr>
                <w:rFonts w:ascii="Arial" w:hAnsi="Arial" w:cs="Arial"/>
                <w:sz w:val="18"/>
                <w:szCs w:val="18"/>
              </w:rPr>
              <w:t>2020</w:t>
            </w:r>
          </w:p>
        </w:tc>
        <w:tc>
          <w:tcPr>
            <w:tcW w:w="3686"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38</w:t>
            </w:r>
          </w:p>
        </w:tc>
      </w:tr>
      <w:tr w:rsidR="00062858" w:rsidRPr="00AC113A" w:rsidTr="0034095E">
        <w:trPr>
          <w:trHeight w:val="278"/>
        </w:trPr>
        <w:tc>
          <w:tcPr>
            <w:tcW w:w="3827" w:type="dxa"/>
          </w:tcPr>
          <w:p w:rsidR="00062858" w:rsidRPr="00AC113A" w:rsidRDefault="00062858" w:rsidP="00AC113A">
            <w:pPr>
              <w:pStyle w:val="TableParagraph"/>
              <w:spacing w:line="258" w:lineRule="exact"/>
              <w:jc w:val="center"/>
              <w:rPr>
                <w:rFonts w:ascii="Arial" w:hAnsi="Arial" w:cs="Arial"/>
                <w:sz w:val="18"/>
                <w:szCs w:val="18"/>
              </w:rPr>
            </w:pPr>
            <w:r w:rsidRPr="00AC113A">
              <w:rPr>
                <w:rFonts w:ascii="Arial" w:hAnsi="Arial" w:cs="Arial"/>
                <w:sz w:val="18"/>
                <w:szCs w:val="18"/>
              </w:rPr>
              <w:t>2021</w:t>
            </w:r>
          </w:p>
        </w:tc>
        <w:tc>
          <w:tcPr>
            <w:tcW w:w="3686" w:type="dxa"/>
          </w:tcPr>
          <w:p w:rsidR="00062858" w:rsidRPr="00AC113A" w:rsidRDefault="00062858" w:rsidP="00AC113A">
            <w:pPr>
              <w:pStyle w:val="TableParagraph"/>
              <w:spacing w:line="258" w:lineRule="exact"/>
              <w:ind w:left="108"/>
              <w:jc w:val="center"/>
              <w:rPr>
                <w:rFonts w:ascii="Arial" w:hAnsi="Arial" w:cs="Arial"/>
                <w:sz w:val="18"/>
                <w:szCs w:val="18"/>
              </w:rPr>
            </w:pPr>
            <w:r w:rsidRPr="00AC113A">
              <w:rPr>
                <w:rFonts w:ascii="Arial" w:hAnsi="Arial" w:cs="Arial"/>
                <w:sz w:val="18"/>
                <w:szCs w:val="18"/>
              </w:rPr>
              <w:t>255</w:t>
            </w:r>
          </w:p>
        </w:tc>
      </w:tr>
    </w:tbl>
    <w:p w:rsidR="00925EDE" w:rsidRDefault="00925EDE" w:rsidP="00062858">
      <w:pPr>
        <w:pStyle w:val="LTAntwortRessortText"/>
        <w:ind w:left="0"/>
      </w:pPr>
    </w:p>
    <w:p w:rsidR="00925EDE" w:rsidRDefault="00925EDE" w:rsidP="00925EDE">
      <w:pPr>
        <w:pStyle w:val="LTAntwortRessortText"/>
      </w:pPr>
      <w:r>
        <w:t>Eine Differenzierung bzw. Auswertung nach Impfstoffen bzw. Art der</w:t>
      </w:r>
      <w:r w:rsidR="00062858">
        <w:t xml:space="preserve"> </w:t>
      </w:r>
      <w:r>
        <w:t>Impfung erfolgt nicht, da dies für die Entschädigung unerheblich ist.</w:t>
      </w:r>
    </w:p>
    <w:p w:rsidR="00925EDE" w:rsidRDefault="00925EDE" w:rsidP="00925EDE">
      <w:pPr>
        <w:pStyle w:val="LTAntwortRessortText"/>
      </w:pPr>
      <w:r>
        <w:t xml:space="preserve">2. Anträge auf Versorgung in Verbindung mit einer </w:t>
      </w:r>
      <w:r w:rsidR="003439F1">
        <w:t>COVID</w:t>
      </w:r>
      <w:r>
        <w:t>-19-Impfung</w:t>
      </w:r>
    </w:p>
    <w:p w:rsidR="00925EDE" w:rsidRDefault="00925EDE" w:rsidP="00925EDE">
      <w:pPr>
        <w:pStyle w:val="LTAntwortRessortText"/>
      </w:pPr>
      <w:r>
        <w:t>Bi</w:t>
      </w:r>
      <w:r w:rsidR="0034095E">
        <w:t>slang sind in Bayern 19 974 </w:t>
      </w:r>
      <w:r w:rsidR="0022324E">
        <w:t>777 </w:t>
      </w:r>
      <w:r w:rsidR="003439F1">
        <w:t>COVID</w:t>
      </w:r>
      <w:r>
        <w:t>-19-Impfungen erfolgt (Stand</w:t>
      </w:r>
      <w:r w:rsidR="00062858">
        <w:t xml:space="preserve"> </w:t>
      </w:r>
      <w:r w:rsidR="0034095E">
        <w:t>0</w:t>
      </w:r>
      <w:r>
        <w:t>7.12.2021).</w:t>
      </w:r>
      <w:r w:rsidR="0022324E">
        <w:t xml:space="preserve"> Es wurden in Bayern bisher 190 </w:t>
      </w:r>
      <w:r>
        <w:t>Anträge auf Versorgung</w:t>
      </w:r>
      <w:r w:rsidR="00062858">
        <w:t xml:space="preserve"> </w:t>
      </w:r>
      <w:r w:rsidR="0022324E">
        <w:t>nach § 60 </w:t>
      </w:r>
      <w:r>
        <w:t xml:space="preserve">IfSG in Verbindung mit einer </w:t>
      </w:r>
      <w:r w:rsidR="003439F1">
        <w:t>COVID</w:t>
      </w:r>
      <w:r>
        <w:t>-19-Impfungen gestellt.</w:t>
      </w:r>
      <w:r w:rsidR="00062858">
        <w:t xml:space="preserve"> </w:t>
      </w:r>
      <w:r>
        <w:t>Die Anzahl der Antragsstellungen kann dabei lediglich zu bestimmten</w:t>
      </w:r>
      <w:r w:rsidR="00062858">
        <w:t xml:space="preserve"> </w:t>
      </w:r>
      <w:r>
        <w:t>Stichtagen, nicht aber monatlich, wiedergegeben werden:</w:t>
      </w:r>
    </w:p>
    <w:p w:rsidR="00925EDE" w:rsidRDefault="00925EDE" w:rsidP="00925EDE">
      <w:pPr>
        <w:pStyle w:val="LTAntwortRessortText"/>
      </w:pPr>
    </w:p>
    <w:tbl>
      <w:tblPr>
        <w:tblStyle w:val="TableNormal"/>
        <w:tblW w:w="780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0"/>
        <w:gridCol w:w="3827"/>
      </w:tblGrid>
      <w:tr w:rsidR="00062858" w:rsidRPr="00AC113A" w:rsidTr="0034095E">
        <w:trPr>
          <w:trHeight w:val="551"/>
        </w:trPr>
        <w:tc>
          <w:tcPr>
            <w:tcW w:w="3980" w:type="dxa"/>
          </w:tcPr>
          <w:p w:rsidR="00062858" w:rsidRPr="00AC113A" w:rsidRDefault="00062858" w:rsidP="0034095E">
            <w:pPr>
              <w:pStyle w:val="TableParagraph"/>
              <w:spacing w:line="274" w:lineRule="exact"/>
              <w:ind w:left="1703" w:right="1693" w:hanging="278"/>
              <w:jc w:val="center"/>
              <w:rPr>
                <w:rFonts w:ascii="Arial" w:hAnsi="Arial" w:cs="Arial"/>
                <w:b/>
                <w:sz w:val="18"/>
                <w:szCs w:val="18"/>
              </w:rPr>
            </w:pPr>
            <w:r w:rsidRPr="00AC113A">
              <w:rPr>
                <w:rFonts w:ascii="Arial" w:hAnsi="Arial" w:cs="Arial"/>
                <w:b/>
                <w:sz w:val="18"/>
                <w:szCs w:val="18"/>
              </w:rPr>
              <w:t>Stichtag</w:t>
            </w:r>
          </w:p>
        </w:tc>
        <w:tc>
          <w:tcPr>
            <w:tcW w:w="3827" w:type="dxa"/>
          </w:tcPr>
          <w:p w:rsidR="00062858" w:rsidRPr="00AC113A" w:rsidRDefault="00AC113A" w:rsidP="00B96202">
            <w:pPr>
              <w:pStyle w:val="TableParagraph"/>
              <w:spacing w:before="2" w:line="276" w:lineRule="exact"/>
              <w:ind w:left="1452" w:right="402" w:hanging="1020"/>
              <w:rPr>
                <w:rFonts w:ascii="Arial" w:hAnsi="Arial" w:cs="Arial"/>
                <w:b/>
                <w:sz w:val="18"/>
                <w:szCs w:val="18"/>
              </w:rPr>
            </w:pPr>
            <w:r>
              <w:rPr>
                <w:rFonts w:ascii="Arial" w:hAnsi="Arial" w:cs="Arial"/>
                <w:b/>
                <w:sz w:val="18"/>
                <w:szCs w:val="18"/>
              </w:rPr>
              <w:t xml:space="preserve">Anzahl der gestellten Anträge </w:t>
            </w:r>
            <w:r w:rsidR="00062858" w:rsidRPr="00AC113A">
              <w:rPr>
                <w:rFonts w:ascii="Arial" w:hAnsi="Arial" w:cs="Arial"/>
                <w:b/>
                <w:sz w:val="18"/>
                <w:szCs w:val="18"/>
              </w:rPr>
              <w:t>(insgesamt)</w:t>
            </w:r>
          </w:p>
        </w:tc>
      </w:tr>
      <w:tr w:rsidR="00062858" w:rsidRPr="00AC113A" w:rsidTr="0034095E">
        <w:trPr>
          <w:trHeight w:val="273"/>
        </w:trPr>
        <w:tc>
          <w:tcPr>
            <w:tcW w:w="3980" w:type="dxa"/>
          </w:tcPr>
          <w:p w:rsidR="00062858" w:rsidRPr="00AC113A" w:rsidRDefault="00062858" w:rsidP="00B96202">
            <w:pPr>
              <w:pStyle w:val="TableParagraph"/>
              <w:spacing w:line="253" w:lineRule="exact"/>
              <w:rPr>
                <w:rFonts w:ascii="Arial" w:hAnsi="Arial" w:cs="Arial"/>
                <w:sz w:val="18"/>
                <w:szCs w:val="18"/>
              </w:rPr>
            </w:pPr>
            <w:r w:rsidRPr="00AC113A">
              <w:rPr>
                <w:rFonts w:ascii="Arial" w:hAnsi="Arial" w:cs="Arial"/>
                <w:sz w:val="18"/>
                <w:szCs w:val="18"/>
              </w:rPr>
              <w:t>Anfang Juli</w:t>
            </w:r>
          </w:p>
        </w:tc>
        <w:tc>
          <w:tcPr>
            <w:tcW w:w="3827" w:type="dxa"/>
          </w:tcPr>
          <w:p w:rsidR="00062858" w:rsidRPr="00AC113A" w:rsidRDefault="00062858" w:rsidP="00AC113A">
            <w:pPr>
              <w:pStyle w:val="TableParagraph"/>
              <w:spacing w:line="253" w:lineRule="exact"/>
              <w:ind w:left="108"/>
              <w:jc w:val="center"/>
              <w:rPr>
                <w:rFonts w:ascii="Arial" w:hAnsi="Arial" w:cs="Arial"/>
                <w:sz w:val="18"/>
                <w:szCs w:val="18"/>
              </w:rPr>
            </w:pPr>
            <w:r w:rsidRPr="00AC113A">
              <w:rPr>
                <w:rFonts w:ascii="Arial" w:hAnsi="Arial" w:cs="Arial"/>
                <w:sz w:val="18"/>
                <w:szCs w:val="18"/>
              </w:rPr>
              <w:t>36</w:t>
            </w:r>
          </w:p>
        </w:tc>
      </w:tr>
      <w:tr w:rsidR="00062858" w:rsidRPr="00AC113A" w:rsidTr="0034095E">
        <w:trPr>
          <w:trHeight w:val="275"/>
        </w:trPr>
        <w:tc>
          <w:tcPr>
            <w:tcW w:w="3980"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Anfang September</w:t>
            </w:r>
          </w:p>
        </w:tc>
        <w:tc>
          <w:tcPr>
            <w:tcW w:w="3827"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84</w:t>
            </w:r>
          </w:p>
        </w:tc>
      </w:tr>
      <w:tr w:rsidR="00062858" w:rsidRPr="00AC113A" w:rsidTr="0034095E">
        <w:trPr>
          <w:trHeight w:val="275"/>
        </w:trPr>
        <w:tc>
          <w:tcPr>
            <w:tcW w:w="3980"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Anfang Oktober</w:t>
            </w:r>
          </w:p>
        </w:tc>
        <w:tc>
          <w:tcPr>
            <w:tcW w:w="3827"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115</w:t>
            </w:r>
          </w:p>
        </w:tc>
      </w:tr>
      <w:tr w:rsidR="00062858" w:rsidRPr="00AC113A" w:rsidTr="0034095E">
        <w:trPr>
          <w:trHeight w:val="275"/>
        </w:trPr>
        <w:tc>
          <w:tcPr>
            <w:tcW w:w="3980"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Anfang November</w:t>
            </w:r>
          </w:p>
        </w:tc>
        <w:tc>
          <w:tcPr>
            <w:tcW w:w="3827"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146</w:t>
            </w:r>
          </w:p>
        </w:tc>
      </w:tr>
      <w:tr w:rsidR="00062858" w:rsidRPr="00AC113A" w:rsidTr="0034095E">
        <w:trPr>
          <w:trHeight w:val="278"/>
        </w:trPr>
        <w:tc>
          <w:tcPr>
            <w:tcW w:w="3980" w:type="dxa"/>
          </w:tcPr>
          <w:p w:rsidR="00062858" w:rsidRPr="00AC113A" w:rsidRDefault="00062858" w:rsidP="00B96202">
            <w:pPr>
              <w:pStyle w:val="TableParagraph"/>
              <w:spacing w:line="258" w:lineRule="exact"/>
              <w:rPr>
                <w:rFonts w:ascii="Arial" w:hAnsi="Arial" w:cs="Arial"/>
                <w:sz w:val="18"/>
                <w:szCs w:val="18"/>
              </w:rPr>
            </w:pPr>
            <w:r w:rsidRPr="00AC113A">
              <w:rPr>
                <w:rFonts w:ascii="Arial" w:hAnsi="Arial" w:cs="Arial"/>
                <w:sz w:val="18"/>
                <w:szCs w:val="18"/>
              </w:rPr>
              <w:t>Anfang Dezember</w:t>
            </w:r>
          </w:p>
        </w:tc>
        <w:tc>
          <w:tcPr>
            <w:tcW w:w="3827" w:type="dxa"/>
          </w:tcPr>
          <w:p w:rsidR="00062858" w:rsidRPr="00AC113A" w:rsidRDefault="00062858" w:rsidP="00AC113A">
            <w:pPr>
              <w:pStyle w:val="TableParagraph"/>
              <w:spacing w:line="258" w:lineRule="exact"/>
              <w:ind w:left="108"/>
              <w:jc w:val="center"/>
              <w:rPr>
                <w:rFonts w:ascii="Arial" w:hAnsi="Arial" w:cs="Arial"/>
                <w:sz w:val="18"/>
                <w:szCs w:val="18"/>
              </w:rPr>
            </w:pPr>
            <w:r w:rsidRPr="00AC113A">
              <w:rPr>
                <w:rFonts w:ascii="Arial" w:hAnsi="Arial" w:cs="Arial"/>
                <w:sz w:val="18"/>
                <w:szCs w:val="18"/>
              </w:rPr>
              <w:t>190</w:t>
            </w:r>
          </w:p>
        </w:tc>
      </w:tr>
    </w:tbl>
    <w:p w:rsidR="00925EDE" w:rsidRDefault="00925EDE" w:rsidP="00925EDE">
      <w:pPr>
        <w:pStyle w:val="LTAntwortRessortText"/>
      </w:pPr>
      <w:r>
        <w:t>Zu Art des Impfschadens bzw. der Impfkomplikation können keine Angaben</w:t>
      </w:r>
      <w:r w:rsidR="00062858">
        <w:t xml:space="preserve"> </w:t>
      </w:r>
      <w:r>
        <w:t>gemacht werden, da erst drei Anträge anerkannt wurden. Eine</w:t>
      </w:r>
      <w:r w:rsidR="00062858">
        <w:t xml:space="preserve"> </w:t>
      </w:r>
      <w:r>
        <w:t>statistische Erhebung erfolgt zudem nicht. Die Anzahl der Anträge teilt</w:t>
      </w:r>
      <w:r w:rsidR="00062858">
        <w:t xml:space="preserve"> </w:t>
      </w:r>
      <w:r>
        <w:t>sich wie folgt in die verschiedenen Altersgruppen auf:</w:t>
      </w:r>
    </w:p>
    <w:p w:rsidR="00925EDE" w:rsidRDefault="00925EDE" w:rsidP="00925EDE">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252"/>
      </w:tblGrid>
      <w:tr w:rsidR="00062858" w:rsidRPr="00AC113A" w:rsidTr="00B96202">
        <w:trPr>
          <w:trHeight w:val="275"/>
        </w:trPr>
        <w:tc>
          <w:tcPr>
            <w:tcW w:w="4394" w:type="dxa"/>
          </w:tcPr>
          <w:p w:rsidR="00062858" w:rsidRPr="00AC113A" w:rsidRDefault="00062858" w:rsidP="00B96202">
            <w:pPr>
              <w:pStyle w:val="TableParagraph"/>
              <w:ind w:left="1449"/>
              <w:rPr>
                <w:rFonts w:ascii="Arial" w:hAnsi="Arial" w:cs="Arial"/>
                <w:b/>
                <w:sz w:val="18"/>
                <w:szCs w:val="18"/>
              </w:rPr>
            </w:pPr>
            <w:r w:rsidRPr="00AC113A">
              <w:rPr>
                <w:rFonts w:ascii="Arial" w:hAnsi="Arial" w:cs="Arial"/>
                <w:b/>
                <w:sz w:val="18"/>
                <w:szCs w:val="18"/>
              </w:rPr>
              <w:t>Altersgruppe</w:t>
            </w:r>
          </w:p>
        </w:tc>
        <w:tc>
          <w:tcPr>
            <w:tcW w:w="4252" w:type="dxa"/>
          </w:tcPr>
          <w:p w:rsidR="00062858" w:rsidRPr="00AC113A" w:rsidRDefault="00062858" w:rsidP="00B96202">
            <w:pPr>
              <w:pStyle w:val="TableParagraph"/>
              <w:ind w:left="432"/>
              <w:rPr>
                <w:rFonts w:ascii="Arial" w:hAnsi="Arial" w:cs="Arial"/>
                <w:b/>
                <w:sz w:val="18"/>
                <w:szCs w:val="18"/>
              </w:rPr>
            </w:pPr>
            <w:r w:rsidRPr="00AC113A">
              <w:rPr>
                <w:rFonts w:ascii="Arial" w:hAnsi="Arial" w:cs="Arial"/>
                <w:b/>
                <w:sz w:val="18"/>
                <w:szCs w:val="18"/>
              </w:rPr>
              <w:t>Anzahl der gestellten Anträge</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Ü80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w w:val="99"/>
                <w:sz w:val="18"/>
                <w:szCs w:val="18"/>
              </w:rPr>
              <w:t>9</w:t>
            </w:r>
          </w:p>
        </w:tc>
      </w:tr>
      <w:tr w:rsidR="00062858" w:rsidRPr="00AC113A" w:rsidTr="00B96202">
        <w:trPr>
          <w:trHeight w:val="278"/>
        </w:trPr>
        <w:tc>
          <w:tcPr>
            <w:tcW w:w="4394" w:type="dxa"/>
          </w:tcPr>
          <w:p w:rsidR="00062858" w:rsidRPr="00AC113A" w:rsidRDefault="00062858" w:rsidP="00B96202">
            <w:pPr>
              <w:pStyle w:val="TableParagraph"/>
              <w:spacing w:line="258" w:lineRule="exact"/>
              <w:rPr>
                <w:rFonts w:ascii="Arial" w:hAnsi="Arial" w:cs="Arial"/>
                <w:sz w:val="18"/>
                <w:szCs w:val="18"/>
              </w:rPr>
            </w:pPr>
            <w:r w:rsidRPr="00AC113A">
              <w:rPr>
                <w:rFonts w:ascii="Arial" w:hAnsi="Arial" w:cs="Arial"/>
                <w:sz w:val="18"/>
                <w:szCs w:val="18"/>
              </w:rPr>
              <w:t>Ü70</w:t>
            </w:r>
          </w:p>
        </w:tc>
        <w:tc>
          <w:tcPr>
            <w:tcW w:w="4252" w:type="dxa"/>
          </w:tcPr>
          <w:p w:rsidR="00062858" w:rsidRPr="00AC113A" w:rsidRDefault="00062858" w:rsidP="00AC113A">
            <w:pPr>
              <w:pStyle w:val="TableParagraph"/>
              <w:spacing w:line="258" w:lineRule="exact"/>
              <w:ind w:left="108"/>
              <w:jc w:val="center"/>
              <w:rPr>
                <w:rFonts w:ascii="Arial" w:hAnsi="Arial" w:cs="Arial"/>
                <w:sz w:val="18"/>
                <w:szCs w:val="18"/>
              </w:rPr>
            </w:pPr>
            <w:r w:rsidRPr="00AC113A">
              <w:rPr>
                <w:rFonts w:ascii="Arial" w:hAnsi="Arial" w:cs="Arial"/>
                <w:w w:val="99"/>
                <w:sz w:val="18"/>
                <w:szCs w:val="18"/>
              </w:rPr>
              <w:t>6</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Ü60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32</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Ü50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55</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Ü40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32</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Ü30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30</w:t>
            </w:r>
          </w:p>
        </w:tc>
      </w:tr>
      <w:tr w:rsidR="00062858" w:rsidRPr="00AC113A" w:rsidTr="00B96202">
        <w:trPr>
          <w:trHeight w:val="275"/>
        </w:trPr>
        <w:tc>
          <w:tcPr>
            <w:tcW w:w="4394" w:type="dxa"/>
          </w:tcPr>
          <w:p w:rsidR="00062858" w:rsidRPr="00AC113A" w:rsidRDefault="00062858" w:rsidP="00B96202">
            <w:pPr>
              <w:pStyle w:val="TableParagraph"/>
              <w:rPr>
                <w:rFonts w:ascii="Arial" w:hAnsi="Arial" w:cs="Arial"/>
                <w:sz w:val="18"/>
                <w:szCs w:val="18"/>
              </w:rPr>
            </w:pPr>
            <w:r w:rsidRPr="00AC113A">
              <w:rPr>
                <w:rFonts w:ascii="Arial" w:hAnsi="Arial" w:cs="Arial"/>
                <w:sz w:val="18"/>
                <w:szCs w:val="18"/>
              </w:rPr>
              <w:t>Ü20</w:t>
            </w:r>
          </w:p>
        </w:tc>
        <w:tc>
          <w:tcPr>
            <w:tcW w:w="4252" w:type="dxa"/>
          </w:tcPr>
          <w:p w:rsidR="00062858" w:rsidRPr="00AC113A" w:rsidRDefault="00062858" w:rsidP="00AC113A">
            <w:pPr>
              <w:pStyle w:val="TableParagraph"/>
              <w:ind w:left="108"/>
              <w:jc w:val="center"/>
              <w:rPr>
                <w:rFonts w:ascii="Arial" w:hAnsi="Arial" w:cs="Arial"/>
                <w:sz w:val="18"/>
                <w:szCs w:val="18"/>
              </w:rPr>
            </w:pPr>
            <w:r w:rsidRPr="00AC113A">
              <w:rPr>
                <w:rFonts w:ascii="Arial" w:hAnsi="Arial" w:cs="Arial"/>
                <w:sz w:val="18"/>
                <w:szCs w:val="18"/>
              </w:rPr>
              <w:t>14</w:t>
            </w:r>
          </w:p>
        </w:tc>
      </w:tr>
      <w:tr w:rsidR="00062858" w:rsidRPr="00AC113A" w:rsidTr="00B96202">
        <w:trPr>
          <w:trHeight w:val="278"/>
        </w:trPr>
        <w:tc>
          <w:tcPr>
            <w:tcW w:w="4394" w:type="dxa"/>
          </w:tcPr>
          <w:p w:rsidR="00062858" w:rsidRPr="00AC113A" w:rsidRDefault="00062858" w:rsidP="00B96202">
            <w:pPr>
              <w:pStyle w:val="TableParagraph"/>
              <w:spacing w:line="258" w:lineRule="exact"/>
              <w:rPr>
                <w:rFonts w:ascii="Arial" w:hAnsi="Arial" w:cs="Arial"/>
                <w:sz w:val="18"/>
                <w:szCs w:val="18"/>
              </w:rPr>
            </w:pPr>
            <w:r w:rsidRPr="00AC113A">
              <w:rPr>
                <w:rFonts w:ascii="Arial" w:hAnsi="Arial" w:cs="Arial"/>
                <w:sz w:val="18"/>
                <w:szCs w:val="18"/>
              </w:rPr>
              <w:t>Ü10</w:t>
            </w:r>
          </w:p>
        </w:tc>
        <w:tc>
          <w:tcPr>
            <w:tcW w:w="4252" w:type="dxa"/>
          </w:tcPr>
          <w:p w:rsidR="00062858" w:rsidRPr="00AC113A" w:rsidRDefault="00062858" w:rsidP="00AC113A">
            <w:pPr>
              <w:pStyle w:val="TableParagraph"/>
              <w:spacing w:line="258" w:lineRule="exact"/>
              <w:ind w:left="108"/>
              <w:jc w:val="center"/>
              <w:rPr>
                <w:rFonts w:ascii="Arial" w:hAnsi="Arial" w:cs="Arial"/>
                <w:sz w:val="18"/>
                <w:szCs w:val="18"/>
              </w:rPr>
            </w:pPr>
            <w:r w:rsidRPr="00AC113A">
              <w:rPr>
                <w:rFonts w:ascii="Arial" w:hAnsi="Arial" w:cs="Arial"/>
                <w:w w:val="99"/>
                <w:sz w:val="18"/>
                <w:szCs w:val="18"/>
              </w:rPr>
              <w:t>4</w:t>
            </w:r>
          </w:p>
        </w:tc>
      </w:tr>
    </w:tbl>
    <w:p w:rsidR="00925EDE" w:rsidRDefault="00925EDE" w:rsidP="00925EDE">
      <w:pPr>
        <w:pStyle w:val="LTAntwortRessortText"/>
      </w:pPr>
      <w:r>
        <w:t>Die Differenz zwischen der Anzahl aller gestellten Anträgen und der</w:t>
      </w:r>
      <w:r w:rsidR="00062858">
        <w:t xml:space="preserve"> </w:t>
      </w:r>
      <w:r>
        <w:t>Anzahl in der Tabelle ergibt sich aufgrund der zum Teil fehlenden Angaben</w:t>
      </w:r>
      <w:r w:rsidR="00062858">
        <w:t xml:space="preserve"> </w:t>
      </w:r>
      <w:r>
        <w:t>in Anträgen.</w:t>
      </w:r>
    </w:p>
    <w:p w:rsidR="00925EDE" w:rsidRDefault="00925EDE" w:rsidP="00925EDE">
      <w:pPr>
        <w:pStyle w:val="LTAntwortRessortText"/>
      </w:pPr>
      <w:r>
        <w:t>Von den Anträgen stammen 102 von weiblichen und 88 von männlichen</w:t>
      </w:r>
      <w:r w:rsidR="00062858">
        <w:t xml:space="preserve"> </w:t>
      </w:r>
      <w:r>
        <w:t>Antragsstellenden.</w:t>
      </w:r>
    </w:p>
    <w:p w:rsidR="00925EDE" w:rsidRDefault="00925EDE" w:rsidP="00925EDE">
      <w:pPr>
        <w:pStyle w:val="LTAntwortRessortText"/>
      </w:pPr>
      <w:r>
        <w:t>3. Versorgungsanspruch im Rahmen eines Off-Label-Use</w:t>
      </w:r>
    </w:p>
    <w:p w:rsidR="00925EDE" w:rsidRDefault="00925EDE" w:rsidP="00925EDE">
      <w:pPr>
        <w:pStyle w:val="LTAntwortRessortText"/>
      </w:pPr>
      <w:r>
        <w:t>Ein Versorgungs</w:t>
      </w:r>
      <w:r w:rsidR="0022324E">
        <w:t>anspruch bei Impfschäden nach § 60 </w:t>
      </w:r>
      <w:r>
        <w:t>IfSG besteht</w:t>
      </w:r>
      <w:r w:rsidR="00062858">
        <w:t xml:space="preserve"> </w:t>
      </w:r>
      <w:r>
        <w:t xml:space="preserve">nicht, wenn </w:t>
      </w:r>
      <w:r w:rsidR="003439F1">
        <w:t>COVID</w:t>
      </w:r>
      <w:r>
        <w:t>-19-Impfstoffe im Rahmen eines Off-Label-Use verimpft</w:t>
      </w:r>
      <w:r w:rsidR="00062858">
        <w:t xml:space="preserve"> </w:t>
      </w:r>
      <w:r>
        <w:t xml:space="preserve">werden. Der </w:t>
      </w:r>
      <w:r w:rsidR="0022324E">
        <w:t>Anspruch auf Schutzimpfung gem. § 1 Abs. 1 </w:t>
      </w:r>
      <w:r>
        <w:t>Sat</w:t>
      </w:r>
      <w:r w:rsidR="0022324E">
        <w:t>z </w:t>
      </w:r>
      <w:r>
        <w:t>1</w:t>
      </w:r>
      <w:r w:rsidR="0022324E">
        <w:t> i. V. m. Abs. 2 Satz </w:t>
      </w:r>
      <w:r>
        <w:t>1 Coronavirus-Impfverordnung (CoronaImpfV) erstreckt</w:t>
      </w:r>
      <w:r w:rsidR="00062858">
        <w:t xml:space="preserve"> </w:t>
      </w:r>
      <w:r>
        <w:t xml:space="preserve">sich </w:t>
      </w:r>
      <w:r w:rsidR="003439F1">
        <w:t>„</w:t>
      </w:r>
      <w:r>
        <w:t>auf die Verabreichung des Impfstoffs im Rahmen der arzneimittelrechtlichen</w:t>
      </w:r>
      <w:r w:rsidR="00062858">
        <w:t xml:space="preserve"> </w:t>
      </w:r>
      <w:r>
        <w:t>Zulassung oder im Rahmen nichtkommerzieller klinischer</w:t>
      </w:r>
      <w:r w:rsidR="00062858">
        <w:t xml:space="preserve"> </w:t>
      </w:r>
      <w:r>
        <w:t>Studien</w:t>
      </w:r>
      <w:r w:rsidR="003439F1">
        <w:t>“</w:t>
      </w:r>
      <w:r>
        <w:t>. Im Umkehrschluss gewährt die CoronaImpfV keinen</w:t>
      </w:r>
      <w:r w:rsidR="00062858">
        <w:t xml:space="preserve"> </w:t>
      </w:r>
      <w:r>
        <w:t>Anspruch auf eine Off-Label-Use-Impfung. Eine solche Off-Label-Use-</w:t>
      </w:r>
      <w:r w:rsidR="00062858">
        <w:t xml:space="preserve"> </w:t>
      </w:r>
      <w:r>
        <w:t xml:space="preserve">Schutzimpfung ist damit zwar nicht unzulässig, erfolgt aber nicht </w:t>
      </w:r>
      <w:r w:rsidR="003439F1">
        <w:t>„</w:t>
      </w:r>
      <w:r>
        <w:t>aufgrund</w:t>
      </w:r>
      <w:r w:rsidR="00062858">
        <w:t xml:space="preserve"> </w:t>
      </w:r>
      <w:r w:rsidR="0022324E">
        <w:t>einer Rechtsverordnung nach § 20i Absatz 3 Satz 2 Nummer </w:t>
      </w:r>
      <w:r>
        <w:t>1</w:t>
      </w:r>
      <w:r w:rsidR="0022324E">
        <w:t> Buchstabe </w:t>
      </w:r>
      <w:r>
        <w:t>a, auch in Verbindung mit Nummer 2, des Fünften Buches</w:t>
      </w:r>
      <w:r w:rsidR="00062858">
        <w:t xml:space="preserve"> </w:t>
      </w:r>
      <w:r>
        <w:t>Sozialgesetzbuch</w:t>
      </w:r>
      <w:r w:rsidR="003439F1">
        <w:t>“</w:t>
      </w:r>
      <w:r>
        <w:t>. Dies wäre dem Wortlaut nach Voraussetzung für</w:t>
      </w:r>
      <w:r w:rsidR="00062858">
        <w:t xml:space="preserve"> </w:t>
      </w:r>
      <w:r>
        <w:t>e</w:t>
      </w:r>
      <w:r w:rsidR="0022324E">
        <w:t>inen Versorgungsanspruch nach § 60 Abs. 1 Satz 1 Nr. 1a </w:t>
      </w:r>
      <w:r>
        <w:t>IfSG.</w:t>
      </w:r>
    </w:p>
    <w:p w:rsidR="00925EDE" w:rsidRDefault="00925EDE">
      <w:bookmarkStart w:id="94" w:name="Frage_Nr_46_Ende"/>
      <w:bookmarkEnd w:id="94"/>
      <w:r>
        <w:br w:type="page"/>
      </w:r>
    </w:p>
    <w:p w:rsidR="00925EDE" w:rsidRDefault="00925EDE" w:rsidP="00925EDE">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925EDE" w:rsidTr="007B0B33">
        <w:tc>
          <w:tcPr>
            <w:tcW w:w="2050" w:type="dxa"/>
          </w:tcPr>
          <w:p w:rsidR="00925EDE" w:rsidRDefault="00925EDE" w:rsidP="00925EDE">
            <w:pPr>
              <w:pStyle w:val="LTAnfrageInitiator"/>
            </w:pPr>
            <w:r>
              <w:t>Abgeordneter</w:t>
            </w:r>
            <w:r>
              <w:rPr>
                <w:b/>
              </w:rPr>
              <w:br/>
              <w:t>Horst</w:t>
            </w:r>
            <w:r>
              <w:rPr>
                <w:b/>
              </w:rPr>
              <w:br/>
              <w:t>Arnold</w:t>
            </w:r>
            <w:r>
              <w:rPr>
                <w:b/>
              </w:rPr>
              <w:br/>
            </w:r>
            <w:r>
              <w:t>(SPD)</w:t>
            </w:r>
            <w:bookmarkStart w:id="95" w:name="Frage_Nr_47"/>
            <w:bookmarkEnd w:id="95"/>
          </w:p>
        </w:tc>
        <w:tc>
          <w:tcPr>
            <w:tcW w:w="7200" w:type="dxa"/>
          </w:tcPr>
          <w:p w:rsidR="00925EDE" w:rsidRDefault="00144C33" w:rsidP="00925EDE">
            <w:pPr>
              <w:pStyle w:val="LTAnfrageText"/>
            </w:pPr>
            <w:r w:rsidRPr="0067222C">
              <w:t>Im Hinblick auf den Artikel in den Fürther Nachrichten vom 06.12.2021 „Impfquoten unter Verschluss“ (S. 10) frage ich die Staatsregierung nach dem aktuellen Stand der Impfquoten in den 96 Kreisen und kreisfreien Städten und ggf. nach den Gründen einer Nichtpreisgabe dieser Zahlen?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 xml:space="preserve">Unter dem folgenden Link können aktuelle regionale Daten des </w:t>
      </w:r>
      <w:r w:rsidR="003439F1">
        <w:t>COVID</w:t>
      </w:r>
      <w:r>
        <w:t>-19-Impfquotenmonitorings</w:t>
      </w:r>
      <w:r w:rsidR="00FA0C0F">
        <w:t xml:space="preserve"> </w:t>
      </w:r>
      <w:r>
        <w:t xml:space="preserve">des Robert Koch-Instituts (RKI) eingesehen werden: </w:t>
      </w:r>
      <w:hyperlink r:id="rId19" w:history="1">
        <w:r w:rsidR="00FA0C0F" w:rsidRPr="003B0D79">
          <w:rPr>
            <w:rStyle w:val="LTHyperlinkZchn"/>
            <w:b w:val="0"/>
          </w:rPr>
          <w:t>https://github.com/robert-koch-institut/COVID-</w:t>
        </w:r>
      </w:hyperlink>
      <w:r w:rsidRPr="003B0D79">
        <w:rPr>
          <w:rStyle w:val="LTHyperlinkZchn"/>
          <w:b w:val="0"/>
        </w:rPr>
        <w:t>19-Impfungen_in_Deutschland</w:t>
      </w:r>
      <w:r>
        <w:t>. Bevölkerungszahlen der Landkreise und kreisfreien Städte werden</w:t>
      </w:r>
      <w:r w:rsidR="00FA0C0F">
        <w:t xml:space="preserve"> </w:t>
      </w:r>
      <w:r>
        <w:t>vom Bayerischen Landesamt für Statistik veröffentlicht. Regionale Impfquoten können auf Basis</w:t>
      </w:r>
      <w:r w:rsidR="00FA0C0F">
        <w:t xml:space="preserve"> </w:t>
      </w:r>
      <w:r>
        <w:t>dieser Daten entsprechend niederschwellig ermittelt werden. Diese Hinweise werden auch bei</w:t>
      </w:r>
      <w:r w:rsidR="00FA0C0F">
        <w:t xml:space="preserve"> </w:t>
      </w:r>
      <w:r>
        <w:t>Presseanfragen entsprechend kommuniziert.</w:t>
      </w:r>
    </w:p>
    <w:p w:rsidR="00925EDE" w:rsidRDefault="00925EDE" w:rsidP="00925EDE">
      <w:pPr>
        <w:pStyle w:val="LTAntwortRessortText"/>
      </w:pPr>
      <w:r>
        <w:t>Bayern veröffentlicht keine Impfquoten auf Landk</w:t>
      </w:r>
      <w:r w:rsidR="005714E0">
        <w:t>reisebene. Grund hierfür ist u. </w:t>
      </w:r>
      <w:r>
        <w:t>a., dass die mit</w:t>
      </w:r>
      <w:r w:rsidR="00FA0C0F">
        <w:t xml:space="preserve"> </w:t>
      </w:r>
      <w:r>
        <w:t>den vorhandenen Daten ermittelbaren Impfquoten einzelner Städte oder Landkreise nicht ohne</w:t>
      </w:r>
      <w:r w:rsidR="00FA0C0F">
        <w:t xml:space="preserve"> </w:t>
      </w:r>
      <w:r>
        <w:t>weiteres miteinander verglichen werden können, insbesondere da der Wohnort des Impflings nicht</w:t>
      </w:r>
      <w:r w:rsidR="00FA0C0F">
        <w:t xml:space="preserve"> </w:t>
      </w:r>
      <w:r>
        <w:t>immer dem Ort der Erfassung der Impfung entspricht. Die Impfungen werden den kreisfreien</w:t>
      </w:r>
      <w:r w:rsidR="00FA0C0F">
        <w:t xml:space="preserve"> </w:t>
      </w:r>
      <w:r>
        <w:t>Städten und Landkreisen regelmäßig nur nach Impfort bzw. der Postleitzahl der impfenden Stelle</w:t>
      </w:r>
      <w:r w:rsidR="00FA0C0F">
        <w:t xml:space="preserve"> </w:t>
      </w:r>
      <w:r>
        <w:t>zugeordnet. Ein sehr großer Anteil an Datensätzen wird zudem durch die impfenden Praxen</w:t>
      </w:r>
      <w:r w:rsidR="00FA0C0F">
        <w:t xml:space="preserve"> </w:t>
      </w:r>
      <w:r>
        <w:t>übermittelt. Diese Meldungen werden in Form aggregierter Daten über das Meldeportal der</w:t>
      </w:r>
      <w:r w:rsidR="00FA0C0F">
        <w:t xml:space="preserve"> </w:t>
      </w:r>
      <w:r>
        <w:t>Kassenärztlichen Bundesvereinigung (KBV) für Vertragsärzte und das Meldeportal des</w:t>
      </w:r>
      <w:r w:rsidR="00FA0C0F">
        <w:t xml:space="preserve"> </w:t>
      </w:r>
      <w:r>
        <w:t>Privatärztlichen Bundesverbands (PBV) / der Privatärztlichen Verrechnungsstelle (PVS) geleitet</w:t>
      </w:r>
      <w:r w:rsidR="00FA0C0F">
        <w:t xml:space="preserve"> </w:t>
      </w:r>
      <w:r>
        <w:t>und enthalten als regionale Zuordnung lediglich die Postleitzahl des Arztes bzw. der Ärztin.</w:t>
      </w:r>
      <w:r w:rsidR="00FA0C0F">
        <w:t xml:space="preserve"> </w:t>
      </w:r>
      <w:r>
        <w:t>Einzeldatensätze auf Personenebene werden dem RKI auf diesem Weg nicht übermittelt.</w:t>
      </w:r>
      <w:r w:rsidR="00FA0C0F">
        <w:t xml:space="preserve"> </w:t>
      </w:r>
      <w:r>
        <w:t>Impfwillige können sich grundsätzlich unabhängig von ihrem konkreten Wohnort sowohl in einem</w:t>
      </w:r>
      <w:r w:rsidR="00FA0C0F">
        <w:t xml:space="preserve"> </w:t>
      </w:r>
      <w:r>
        <w:t>Impfzentrum als auch bei niedergelassenen Ärzten impfen lassen.</w:t>
      </w:r>
      <w:r w:rsidR="00FA0C0F">
        <w:t xml:space="preserve"> </w:t>
      </w:r>
      <w:r>
        <w:t>Zu Verzerrungen bei regionalen Impfquoten kommt es insbesondere auch in den Fällen, in denen</w:t>
      </w:r>
      <w:r w:rsidR="00FA0C0F">
        <w:t xml:space="preserve"> </w:t>
      </w:r>
      <w:r>
        <w:t>eine kreisfreie Stadt und ein Landkreis ein gemeinsames Impfzentrum betreiben. Daher spiegeln</w:t>
      </w:r>
      <w:r w:rsidR="00FA0C0F">
        <w:t xml:space="preserve"> </w:t>
      </w:r>
      <w:r>
        <w:t>die mit den vorliegenden Daten ermittelbaren regionalen Impfquoten nicht den Impffortschritt bei</w:t>
      </w:r>
      <w:r w:rsidR="00FA0C0F">
        <w:t xml:space="preserve"> </w:t>
      </w:r>
      <w:r>
        <w:t xml:space="preserve">den Einwohnern wider und eignen sich nach Erachten des </w:t>
      </w:r>
      <w:r w:rsidR="005714E0">
        <w:t>Staatsministeriums für Gesundheit und Pflege (</w:t>
      </w:r>
      <w:r>
        <w:t>StMGP</w:t>
      </w:r>
      <w:r w:rsidR="005714E0">
        <w:t>)</w:t>
      </w:r>
      <w:r>
        <w:t xml:space="preserve"> nicht für eine Veröffentlichung.</w:t>
      </w:r>
      <w:r w:rsidR="00FA0C0F">
        <w:t xml:space="preserve"> </w:t>
      </w:r>
      <w:r>
        <w:t>Auch das RKI veröffentlicht zwar die absoluten Impfdaten auf Landkreisebene, berechnet jedoch</w:t>
      </w:r>
      <w:r w:rsidR="00FA0C0F">
        <w:t xml:space="preserve"> </w:t>
      </w:r>
      <w:r>
        <w:t>ebenfalls keine Impfquoten.</w:t>
      </w:r>
    </w:p>
    <w:p w:rsidR="00925EDE" w:rsidRDefault="00925EDE">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25EDE" w:rsidTr="007B0B33">
        <w:tc>
          <w:tcPr>
            <w:tcW w:w="2050" w:type="dxa"/>
          </w:tcPr>
          <w:p w:rsidR="00925EDE" w:rsidRDefault="00925EDE" w:rsidP="00925EDE">
            <w:pPr>
              <w:pStyle w:val="LTAnfrageInitiator"/>
            </w:pPr>
            <w:r>
              <w:t>Abgeordneter</w:t>
            </w:r>
            <w:r>
              <w:rPr>
                <w:b/>
              </w:rPr>
              <w:br/>
              <w:t>Johannes</w:t>
            </w:r>
            <w:r>
              <w:rPr>
                <w:b/>
              </w:rPr>
              <w:br/>
              <w:t>Becher</w:t>
            </w:r>
            <w:r>
              <w:rPr>
                <w:b/>
              </w:rPr>
              <w:br/>
            </w:r>
            <w:r>
              <w:t>(BÜNDNIS 90/DIE GRÜNEN)</w:t>
            </w:r>
            <w:bookmarkStart w:id="97" w:name="Frage_Nr_48"/>
            <w:bookmarkEnd w:id="97"/>
          </w:p>
        </w:tc>
        <w:tc>
          <w:tcPr>
            <w:tcW w:w="7200" w:type="dxa"/>
          </w:tcPr>
          <w:p w:rsidR="00925EDE" w:rsidRDefault="003576CA" w:rsidP="00925EDE">
            <w:pPr>
              <w:pStyle w:val="LTAnfrageText"/>
            </w:pPr>
            <w:r w:rsidRPr="0067222C">
              <w:t xml:space="preserve">Ich frage die Staatsregierung, warum sie entgegen der Empfehlung der Ständigen Impfkommission (STIKO) die Corona-Impfung zur Voraussetzung für die soziale Teilhabe von Kindern und Jugendlichen ab 12 Jahren gemacht hat, wie hoch der Anteil der </w:t>
            </w:r>
            <w:r w:rsidR="00EB1AAE">
              <w:t>Erstimpfungen gegen das Coronav</w:t>
            </w:r>
            <w:r w:rsidRPr="0067222C">
              <w:t>irus bei Kindern und Jugendlichen zwischen 12 und 17 Jahren in Bayern ist und welche Folgen nach der Kenntnis der Staatsregierung der Ausschluss von sozialer Teilhabe für den Kinder- und Jugendschutz, die psychische Gesundheit und die soziale Entwicklung von Kindern und Jugendlichen hat?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Auch Kinder können sich mit dem Coronavirus SARS-CoV-2 infizieren. Insbesondere seit dem</w:t>
      </w:r>
      <w:r w:rsidR="00EC2954">
        <w:t xml:space="preserve"> </w:t>
      </w:r>
      <w:r>
        <w:t>Auftreten neuer Virusvarianten sind die Infektionen bei Kindern als Beitrag zum allgemeinen</w:t>
      </w:r>
      <w:r w:rsidR="00EC2954">
        <w:t xml:space="preserve"> </w:t>
      </w:r>
      <w:r>
        <w:t xml:space="preserve">Infektionsgeschehen nicht vernachlässigbar. Eine </w:t>
      </w:r>
      <w:r w:rsidR="003439F1">
        <w:t>COVID</w:t>
      </w:r>
      <w:r>
        <w:t>-19-Schutzimpfung für Kinder ab zwölf</w:t>
      </w:r>
      <w:r w:rsidR="00EC2954">
        <w:t xml:space="preserve"> </w:t>
      </w:r>
      <w:r>
        <w:t>Jahren kann somit zu deren und zum Schutz der Allgemeinheit beitragen. Die in diesem</w:t>
      </w:r>
      <w:r w:rsidR="00EC2954">
        <w:t xml:space="preserve"> </w:t>
      </w:r>
      <w:r>
        <w:t>Zusammenhang derzeitig geltenden Regelungen in Bayern befinden sich im Einklang mit den</w:t>
      </w:r>
      <w:r w:rsidR="00EC2954">
        <w:t xml:space="preserve"> </w:t>
      </w:r>
      <w:r>
        <w:t>Empfehlungen der Ständigen Impfkommission (STIKO). Diese spricht bereits in der 9.</w:t>
      </w:r>
      <w:r w:rsidR="00772577">
        <w:t> </w:t>
      </w:r>
      <w:r>
        <w:t xml:space="preserve">Aktualisierung der </w:t>
      </w:r>
      <w:r w:rsidR="003439F1">
        <w:t>COVID</w:t>
      </w:r>
      <w:r w:rsidR="00772577">
        <w:t>-19-Impfempfehlung vom August </w:t>
      </w:r>
      <w:r>
        <w:t xml:space="preserve">2021 eine allgemeine </w:t>
      </w:r>
      <w:r w:rsidR="003439F1">
        <w:t>COVID</w:t>
      </w:r>
      <w:r>
        <w:t>-19-</w:t>
      </w:r>
      <w:r w:rsidR="00EC2954">
        <w:t xml:space="preserve"> </w:t>
      </w:r>
      <w:r>
        <w:t>Impfempfehlung für alle 12- bis 17-Jährige aus.</w:t>
      </w:r>
    </w:p>
    <w:p w:rsidR="00925EDE" w:rsidRDefault="00925EDE" w:rsidP="00925EDE">
      <w:pPr>
        <w:pStyle w:val="LTAntwortRessortText"/>
      </w:pPr>
      <w:r>
        <w:t>Laut den Daten des Robert Koch-Institutes erhielten in Bayern mit Datenstand des 06.12.2021</w:t>
      </w:r>
      <w:r w:rsidR="00EC2954">
        <w:t xml:space="preserve"> </w:t>
      </w:r>
      <w:r w:rsidR="00772577">
        <w:t>bisher mindestens rund 54,7 </w:t>
      </w:r>
      <w:r w:rsidR="003439F1">
        <w:t>Prozent</w:t>
      </w:r>
      <w:r>
        <w:t xml:space="preserve"> der Kinder und Jugendlichen im Alter von 12 bis 17 Jahren eine</w:t>
      </w:r>
      <w:r w:rsidR="00EC2954">
        <w:t xml:space="preserve"> </w:t>
      </w:r>
      <w:r w:rsidR="003439F1">
        <w:t>COVID</w:t>
      </w:r>
      <w:r>
        <w:t>-19-Schutzimpfung.</w:t>
      </w:r>
    </w:p>
    <w:p w:rsidR="00925EDE" w:rsidRDefault="00925EDE" w:rsidP="00925EDE">
      <w:pPr>
        <w:pStyle w:val="LTAntwortRessortText"/>
      </w:pPr>
      <w:r>
        <w:t>Im Übrigen werden Kinder und Jugendliche durch die 2G-Regelung nicht vom sozialen Leben</w:t>
      </w:r>
      <w:r w:rsidR="00EC2954">
        <w:t xml:space="preserve"> </w:t>
      </w:r>
      <w:r>
        <w:t>ausgeschlossen. Minderjährige Schülerinnen und Schüler über 12 Jahren und drei Monaten, die</w:t>
      </w:r>
      <w:r w:rsidR="00EC2954">
        <w:t xml:space="preserve"> </w:t>
      </w:r>
      <w:r>
        <w:t>an der Schule regelmäßigen Testungen unterliegen, können für sportliche, musikalische oder</w:t>
      </w:r>
      <w:r w:rsidR="00EC2954">
        <w:t xml:space="preserve"> </w:t>
      </w:r>
      <w:r>
        <w:t>schauspielerische Eigenaktivitäten übergangsweise bis 31.12.2021 zu 2G (plus)-Einrichtungen</w:t>
      </w:r>
      <w:r w:rsidR="00EC2954">
        <w:t xml:space="preserve"> </w:t>
      </w:r>
      <w:r>
        <w:t>zugelassen werden, um sich in dieser Zeit impfen lassen zu können. Für Kinder unter 12 Jahren</w:t>
      </w:r>
      <w:r w:rsidR="00EC2954">
        <w:t xml:space="preserve"> </w:t>
      </w:r>
      <w:r>
        <w:t>und drei Monaten findet das 2G-Erfordernis keine Anwendung.</w:t>
      </w:r>
    </w:p>
    <w:p w:rsidR="00925EDE" w:rsidRDefault="00925EDE" w:rsidP="00925EDE">
      <w:pPr>
        <w:pStyle w:val="LTAntwortRessortText"/>
      </w:pPr>
      <w:r>
        <w:t>Der Staatsregierung ist bewusst, dass pandemiebedingte Einschränkungen der sozialen Teilhabe</w:t>
      </w:r>
      <w:r w:rsidR="00EC2954">
        <w:t xml:space="preserve"> </w:t>
      </w:r>
      <w:r>
        <w:t>auch das psychische Wohlbefinden von Kindern und Jugendlichen beeinflussen. Es ist ein</w:t>
      </w:r>
      <w:r w:rsidR="00EC2954">
        <w:t xml:space="preserve"> </w:t>
      </w:r>
      <w:r>
        <w:t>prioritäres Ziel der Staatsregierung, durch die Bereitstellung von Informationen und des Einsatzes</w:t>
      </w:r>
      <w:r w:rsidR="00EC2954">
        <w:t xml:space="preserve"> </w:t>
      </w:r>
      <w:r>
        <w:t>von Maßnahmen, wie zum Beispiel durch Öffentlichkeitskampagnen (</w:t>
      </w:r>
      <w:hyperlink r:id="rId20" w:history="1">
        <w:r w:rsidR="00EC2954" w:rsidRPr="003B0D79">
          <w:rPr>
            <w:rStyle w:val="LTHyperlinkZchn"/>
            <w:b w:val="0"/>
          </w:rPr>
          <w:t>https://www.muckl-mag.de/</w:t>
        </w:r>
      </w:hyperlink>
      <w:r>
        <w:t>),</w:t>
      </w:r>
      <w:r w:rsidR="00EC2954">
        <w:t xml:space="preserve"> </w:t>
      </w:r>
      <w:r>
        <w:t>auf die herausfordernde Situation gerade für Kinder und Familien aufmerksam zu machen. Zum</w:t>
      </w:r>
      <w:r w:rsidR="00EC2954">
        <w:t xml:space="preserve"> </w:t>
      </w:r>
      <w:r>
        <w:t>Zwecke des Schutzes und Erha</w:t>
      </w:r>
      <w:r w:rsidR="000D47EB">
        <w:t>lts der psychischen Gesundheit –</w:t>
      </w:r>
      <w:r>
        <w:t xml:space="preserve"> auch abseits der Corona-</w:t>
      </w:r>
      <w:r w:rsidR="00EC2954">
        <w:t xml:space="preserve"> </w:t>
      </w:r>
      <w:r w:rsidR="000D47EB">
        <w:t>Pandemie –</w:t>
      </w:r>
      <w:r>
        <w:t xml:space="preserve"> ist die Prävention für psychische Erkrankungen zu stärken. Zudem wird von Seiten</w:t>
      </w:r>
      <w:r w:rsidR="00EC2954">
        <w:t xml:space="preserve"> </w:t>
      </w:r>
      <w:r>
        <w:t>der Staatsregierung sichergestellt, dass laufend überprüft wird, ob und welche Regelungen</w:t>
      </w:r>
      <w:r w:rsidR="00EC2954">
        <w:t xml:space="preserve"> </w:t>
      </w:r>
      <w:r>
        <w:t>weiterhin erforderlich sind. Sie werden Schritt für Schritt so angepasst, wie es nach der jeweils</w:t>
      </w:r>
      <w:r w:rsidR="00EC2954">
        <w:t xml:space="preserve"> </w:t>
      </w:r>
      <w:r>
        <w:t>aktuellen pandemischen Lage erforderlich ist. Aus diesem Grund sind die zur Bewältigung der</w:t>
      </w:r>
      <w:r w:rsidR="00EC2954">
        <w:t xml:space="preserve"> </w:t>
      </w:r>
      <w:r>
        <w:t>Pandemie getroffenen Maßnahmen auch stets zeitlich befristet. Dass die Staatsregierung ihrer</w:t>
      </w:r>
      <w:r w:rsidR="00EC2954">
        <w:t xml:space="preserve"> </w:t>
      </w:r>
      <w:r>
        <w:t>dahingehenden Pflicht nachkommt, ist ihr auch vom Bayerischen Verfassungsgerichtshof bestätigt</w:t>
      </w:r>
      <w:r w:rsidR="00EC2954">
        <w:t xml:space="preserve"> </w:t>
      </w:r>
      <w:r>
        <w:t>worden. Dieser führt in seiner E</w:t>
      </w:r>
      <w:r w:rsidR="000D47EB">
        <w:t>ntscheidung vom 17.12.2020, Az. Vf. 110-VII-20, unter Rn. </w:t>
      </w:r>
      <w:r>
        <w:t>21 aus,</w:t>
      </w:r>
      <w:r w:rsidR="00EC2954">
        <w:t xml:space="preserve"> </w:t>
      </w:r>
      <w:r>
        <w:t xml:space="preserve">dass </w:t>
      </w:r>
      <w:r w:rsidR="003439F1">
        <w:t>„</w:t>
      </w:r>
      <w:r>
        <w:t xml:space="preserve">keine Anhaltspunkte dafür erkennbar [seien], dass die </w:t>
      </w:r>
      <w:r w:rsidR="003439F1">
        <w:t>Staatsregierung</w:t>
      </w:r>
      <w:r>
        <w:t xml:space="preserve"> ihrer</w:t>
      </w:r>
      <w:r w:rsidR="00EC2954">
        <w:t xml:space="preserve"> </w:t>
      </w:r>
      <w:r>
        <w:t>Pflicht, die getroffenen Maßnahmen fortlaufend auf ihre Erforderlichkeit und Verhältnismäßigkeit</w:t>
      </w:r>
      <w:r w:rsidR="00EC2954">
        <w:t xml:space="preserve"> </w:t>
      </w:r>
      <w:r>
        <w:t>hin zu überprüfen [...], nicht nachkäme.</w:t>
      </w:r>
      <w:r w:rsidR="003439F1">
        <w:t>“</w:t>
      </w:r>
      <w:r>
        <w:t xml:space="preserve"> Zudem hat auch der Bayerische Verwaltungsgerichtshof</w:t>
      </w:r>
      <w:r w:rsidR="00EC2954">
        <w:t xml:space="preserve"> </w:t>
      </w:r>
      <w:r>
        <w:t>in seine</w:t>
      </w:r>
      <w:r w:rsidR="000D47EB">
        <w:t>m Beschluss vom 22.07.2021, Az. 25 NE </w:t>
      </w:r>
      <w:r>
        <w:t xml:space="preserve">21.1814, erneut festgestellt, dass </w:t>
      </w:r>
      <w:r w:rsidR="003439F1">
        <w:t>„</w:t>
      </w:r>
      <w:r>
        <w:t>[d]ie vom</w:t>
      </w:r>
      <w:r w:rsidR="00EC2954">
        <w:t xml:space="preserve"> </w:t>
      </w:r>
      <w:r>
        <w:t>Verordnungsgeber getroffene Gefährdungsprognose [...] auch gegenwärtig nicht zu beanstanden</w:t>
      </w:r>
      <w:r w:rsidR="003439F1">
        <w:t>“</w:t>
      </w:r>
      <w:r w:rsidR="00EC2954">
        <w:t xml:space="preserve"> </w:t>
      </w:r>
      <w:r>
        <w:t>sei.</w:t>
      </w:r>
    </w:p>
    <w:p w:rsidR="00925EDE" w:rsidRDefault="00925EDE">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925EDE" w:rsidTr="007B0B33">
        <w:tc>
          <w:tcPr>
            <w:tcW w:w="2050" w:type="dxa"/>
          </w:tcPr>
          <w:p w:rsidR="00925EDE" w:rsidRDefault="00925EDE" w:rsidP="00925EDE">
            <w:pPr>
              <w:pStyle w:val="LTAnfrageInitiator"/>
            </w:pPr>
            <w:r>
              <w:t>Abgeordneter</w:t>
            </w:r>
            <w:r>
              <w:rPr>
                <w:b/>
              </w:rPr>
              <w:br/>
              <w:t>Franz</w:t>
            </w:r>
            <w:r>
              <w:rPr>
                <w:b/>
              </w:rPr>
              <w:br/>
              <w:t>Bergmüller</w:t>
            </w:r>
            <w:r>
              <w:rPr>
                <w:b/>
              </w:rPr>
              <w:br/>
            </w:r>
            <w:r>
              <w:t>(AfD)</w:t>
            </w:r>
            <w:bookmarkStart w:id="99" w:name="Frage_Nr_49"/>
            <w:bookmarkEnd w:id="99"/>
          </w:p>
        </w:tc>
        <w:tc>
          <w:tcPr>
            <w:tcW w:w="7200" w:type="dxa"/>
          </w:tcPr>
          <w:p w:rsidR="00925EDE" w:rsidRDefault="007B1230" w:rsidP="00925EDE">
            <w:pPr>
              <w:pStyle w:val="LTAnfrageText"/>
            </w:pPr>
            <w:r w:rsidRPr="0067222C">
              <w:t>Ich frage die Staatsregierung, unter welche der drei Kategorien  „Impfschutz vollständig“, „Impfschutz unbekannt“ und „keinen Impfschutz“ sie jede der Fallgruppen „Einfachimpfung, wenn zwei COVID-Impfungen nötig wären, um vollen Impfschutz zu erhalten“, „zwei Impfungen, bei denen nach der zweiten Impfung noch keine 14 Tage vergangen sind“, „zwei Impfungen mit verschiedenen Impfstoffen“, „Impfungen, bei denen die letzte Impfung mehr als sechs Monate zurückliegt“, „Impfungen, die mit dem russischen Impfstoff Sputn</w:t>
            </w:r>
            <w:r w:rsidR="00EB1AAE">
              <w:t>ik V erfolgten“ und „Genesenen-</w:t>
            </w:r>
            <w:r w:rsidRPr="0067222C">
              <w:t xml:space="preserve">Status, der nach sechs Monaten abgelaufen ist“ subsumierte, als sie nach Anfrage dem Redakteur der Zeitung die DIE WELT Tim Röhn die am 05.12.2021 veröffentlichte Zahl 14 652 für die Kategorie „keinen Impfschutz“ auswies, wie viele einzelne Fälle zu diesem Abfrage-Zeitpunkt der Zeitung DIE WELT jede der Fallgruppen „Einfachimpfung, wenn zwei COVID-Impfungen nötig wären“, „zwei Impfungen, bei denen nach der zweiten Impfung noch keine 14 Tage vergangen sind“, „zwei Impfungen mit verschiedenen Impfstoffen“, „Impfungen, bei denen die letzte Impfung mehr als sechs Monate zurückliegt“ „Impfung mit dem russischen Impfstoff Sputnik V“ und „Genesenen-Status, der nach sechs Monaten abgelaufen ist“ umfasste und auf welcher genauen Rechtsgrundlage wurde </w:t>
            </w:r>
            <w:r w:rsidRPr="0067222C">
              <w:softHyphen/>
              <w:t xml:space="preserve"> z. B. für diese Auskunft </w:t>
            </w:r>
            <w:r w:rsidRPr="0067222C">
              <w:softHyphen/>
              <w:t xml:space="preserve"> die Kategorie  „Impfschutz unbekannt“ unter die Kategorie  „kein Impfschutz“ subsumiert?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in Teilfrage 1 (bis Zeile 9) der vorliegenden Anfrage genannten Fallgruppen wurden in der</w:t>
      </w:r>
      <w:r w:rsidR="00B96202">
        <w:t xml:space="preserve"> </w:t>
      </w:r>
      <w:r>
        <w:t>Auswertung des Bayerischen Landesamts für Gesundheit und Lebensmittelsicherhei (LGL) wie</w:t>
      </w:r>
      <w:r w:rsidR="00B96202">
        <w:t xml:space="preserve"> </w:t>
      </w:r>
      <w:r>
        <w:t xml:space="preserve">folgt zu den Kategorien </w:t>
      </w:r>
      <w:r w:rsidR="003439F1">
        <w:t>„</w:t>
      </w:r>
      <w:r>
        <w:t>Impfschutz vollständig</w:t>
      </w:r>
      <w:r w:rsidR="003439F1">
        <w:t>“</w:t>
      </w:r>
      <w:r>
        <w:t xml:space="preserve">, </w:t>
      </w:r>
      <w:r w:rsidR="003439F1">
        <w:t>„</w:t>
      </w:r>
      <w:r>
        <w:t>Impfschutz unbekannt</w:t>
      </w:r>
      <w:r w:rsidR="003439F1">
        <w:t>“</w:t>
      </w:r>
      <w:r>
        <w:t xml:space="preserve"> und </w:t>
      </w:r>
      <w:r w:rsidR="003439F1">
        <w:t>„</w:t>
      </w:r>
      <w:r>
        <w:t>keinen Impfschutz</w:t>
      </w:r>
      <w:r w:rsidR="003439F1">
        <w:t>“</w:t>
      </w:r>
      <w:r w:rsidR="00B96202">
        <w:t xml:space="preserve"> </w:t>
      </w:r>
      <w:r>
        <w:t>zugeordnet:</w:t>
      </w:r>
    </w:p>
    <w:p w:rsidR="00925EDE" w:rsidRDefault="003439F1" w:rsidP="00DC0893">
      <w:pPr>
        <w:pStyle w:val="LTAntwortRessortText"/>
        <w:numPr>
          <w:ilvl w:val="0"/>
          <w:numId w:val="29"/>
        </w:numPr>
        <w:spacing w:before="0"/>
        <w:ind w:left="697" w:hanging="357"/>
      </w:pPr>
      <w:r>
        <w:t>„</w:t>
      </w:r>
      <w:r w:rsidR="00925EDE">
        <w:t xml:space="preserve">Einfachimpfung, wenn zwei </w:t>
      </w:r>
      <w:r>
        <w:t>COVID</w:t>
      </w:r>
      <w:r w:rsidR="00925EDE">
        <w:t>-Impfungen nötig wären, um vollen Impfschutz zu</w:t>
      </w:r>
      <w:r w:rsidR="00B96202">
        <w:t xml:space="preserve"> </w:t>
      </w:r>
      <w:r w:rsidR="00925EDE">
        <w:t>erhalten</w:t>
      </w:r>
      <w:r>
        <w:t>“</w:t>
      </w:r>
      <w:r w:rsidR="00B96202">
        <w:t xml:space="preserve"> </w:t>
      </w:r>
      <w:r w:rsidR="00925EDE">
        <w:t>definiert als unvollständiger Impfschutz, werden ausgeschlossen, d.</w:t>
      </w:r>
      <w:r w:rsidR="00CC4D73">
        <w:t> </w:t>
      </w:r>
      <w:r w:rsidR="00925EDE">
        <w:t>h. keiner dieser</w:t>
      </w:r>
      <w:r w:rsidR="00B96202">
        <w:t xml:space="preserve"> </w:t>
      </w:r>
      <w:r w:rsidR="00925EDE">
        <w:t>Gruppen zugerechnet</w:t>
      </w:r>
    </w:p>
    <w:p w:rsidR="00925EDE" w:rsidRDefault="003439F1" w:rsidP="00DC0893">
      <w:pPr>
        <w:pStyle w:val="LTAntwortRessortText"/>
        <w:numPr>
          <w:ilvl w:val="0"/>
          <w:numId w:val="29"/>
        </w:numPr>
        <w:spacing w:before="0"/>
        <w:ind w:left="697" w:hanging="357"/>
      </w:pPr>
      <w:r>
        <w:t>„</w:t>
      </w:r>
      <w:r w:rsidR="00925EDE">
        <w:t>zwei Impfungen, bei denen nach der zweiten Impfung noch keine 14 Tage vergangen</w:t>
      </w:r>
      <w:r w:rsidR="00B96202">
        <w:t xml:space="preserve"> </w:t>
      </w:r>
      <w:r w:rsidR="00925EDE">
        <w:t>sind</w:t>
      </w:r>
      <w:r>
        <w:t>“</w:t>
      </w:r>
      <w:r w:rsidR="00B96202">
        <w:t xml:space="preserve"> </w:t>
      </w:r>
      <w:r w:rsidR="00925EDE">
        <w:t>definiert als unvollständiger Impfschutz, werden ausgeschlossen, d.</w:t>
      </w:r>
      <w:r w:rsidR="00CC4D73">
        <w:t> </w:t>
      </w:r>
      <w:r w:rsidR="00925EDE">
        <w:t>h. keiner der beiden</w:t>
      </w:r>
      <w:r w:rsidR="00B96202">
        <w:t xml:space="preserve"> </w:t>
      </w:r>
      <w:r w:rsidR="00925EDE">
        <w:t>Gruppen zugerechnet</w:t>
      </w:r>
    </w:p>
    <w:p w:rsidR="00925EDE" w:rsidRDefault="003439F1" w:rsidP="00DC0893">
      <w:pPr>
        <w:pStyle w:val="LTAntwortRessortText"/>
        <w:numPr>
          <w:ilvl w:val="0"/>
          <w:numId w:val="29"/>
        </w:numPr>
        <w:spacing w:before="0"/>
        <w:ind w:left="697" w:hanging="357"/>
      </w:pPr>
      <w:r>
        <w:t>„</w:t>
      </w:r>
      <w:r w:rsidR="00925EDE">
        <w:t>zwei Impfungen mit verschiedenen Impfstoffen</w:t>
      </w:r>
      <w:r>
        <w:t>“</w:t>
      </w:r>
      <w:r w:rsidR="00B96202">
        <w:t xml:space="preserve"> </w:t>
      </w:r>
      <w:r w:rsidR="00925EDE">
        <w:t>wenn die Impfstoffe in Deutschland zugelassen sind, gilt analoges Vorgehen wie bei</w:t>
      </w:r>
      <w:r w:rsidR="00B96202">
        <w:t xml:space="preserve"> </w:t>
      </w:r>
      <w:r w:rsidR="00925EDE">
        <w:t>Personen, die mit demselben Impfstoff geimpft wurden</w:t>
      </w:r>
    </w:p>
    <w:p w:rsidR="00925EDE" w:rsidRDefault="003439F1" w:rsidP="00DC0893">
      <w:pPr>
        <w:pStyle w:val="LTAntwortRessortText"/>
        <w:numPr>
          <w:ilvl w:val="0"/>
          <w:numId w:val="29"/>
        </w:numPr>
        <w:spacing w:before="0"/>
        <w:ind w:left="697" w:hanging="357"/>
      </w:pPr>
      <w:r>
        <w:t>„</w:t>
      </w:r>
      <w:r w:rsidR="00925EDE">
        <w:t>Impfungen, bei denen die letzte Impfung mehr als sechs Monate zurückliegt</w:t>
      </w:r>
      <w:r>
        <w:t>“</w:t>
      </w:r>
      <w:r w:rsidR="00B96202">
        <w:t xml:space="preserve"> </w:t>
      </w:r>
      <w:r w:rsidR="00925EDE">
        <w:t>zählen als geimpft</w:t>
      </w:r>
    </w:p>
    <w:p w:rsidR="00925EDE" w:rsidRDefault="003439F1" w:rsidP="00DC0893">
      <w:pPr>
        <w:pStyle w:val="LTAntwortRessortText"/>
        <w:numPr>
          <w:ilvl w:val="0"/>
          <w:numId w:val="29"/>
        </w:numPr>
        <w:spacing w:before="0"/>
        <w:ind w:left="697" w:hanging="357"/>
      </w:pPr>
      <w:r>
        <w:t>„</w:t>
      </w:r>
      <w:r w:rsidR="00925EDE">
        <w:t>Impfungen, die mit dem russischen Impfstoff Sputnik V erfolgten</w:t>
      </w:r>
      <w:r>
        <w:t>“</w:t>
      </w:r>
      <w:r w:rsidR="00B96202">
        <w:t xml:space="preserve"> </w:t>
      </w:r>
      <w:r w:rsidR="00925EDE">
        <w:t>zählen nicht als geimpft, da der Impfstoff in Deutschland nicht zugelassen ist</w:t>
      </w:r>
    </w:p>
    <w:p w:rsidR="00925EDE" w:rsidRDefault="003439F1" w:rsidP="00DC0893">
      <w:pPr>
        <w:pStyle w:val="LTAntwortRessortText"/>
        <w:numPr>
          <w:ilvl w:val="0"/>
          <w:numId w:val="29"/>
        </w:numPr>
        <w:spacing w:before="0"/>
        <w:ind w:left="697" w:hanging="357"/>
      </w:pPr>
      <w:r>
        <w:t>„</w:t>
      </w:r>
      <w:r w:rsidR="00925EDE">
        <w:t>Genesenen-Status, der nach sechs Monaten abgelaufen ist</w:t>
      </w:r>
      <w:r>
        <w:t>“</w:t>
      </w:r>
      <w:r w:rsidR="00B96202">
        <w:t xml:space="preserve"> </w:t>
      </w:r>
      <w:r w:rsidR="00925EDE">
        <w:t>werden aus den Berechnungen ausgeschlossen</w:t>
      </w:r>
    </w:p>
    <w:p w:rsidR="00925EDE" w:rsidRDefault="00925EDE" w:rsidP="00925EDE">
      <w:pPr>
        <w:pStyle w:val="LTAntwortRessortText"/>
      </w:pPr>
      <w:r>
        <w:t>Die überdies gewünschten detaillierten Auswertungen sind in der Kürze der für die Beantwortung</w:t>
      </w:r>
      <w:r w:rsidR="0039537D">
        <w:t xml:space="preserve"> </w:t>
      </w:r>
      <w:r>
        <w:t>einer Anfrage zum Plenum zur Verfügung stehenden Zeit nicht möglich.</w:t>
      </w:r>
    </w:p>
    <w:p w:rsidR="00925EDE" w:rsidRDefault="00925EDE" w:rsidP="00925EDE">
      <w:pPr>
        <w:pStyle w:val="LTAntwortRessortText"/>
      </w:pPr>
      <w:r>
        <w:t>Für die Berechnung der 7-Tage-Inzidenz der Geimpften und der Ungeimpften und die Einordnung</w:t>
      </w:r>
      <w:r w:rsidR="0039537D">
        <w:t xml:space="preserve"> </w:t>
      </w:r>
      <w:r>
        <w:t>von Fällen ohne Angabe zum Impfstatus gibt es keine rechtlichen Vorgaben. Die berichteten</w:t>
      </w:r>
      <w:r w:rsidR="0039537D">
        <w:t xml:space="preserve"> </w:t>
      </w:r>
      <w:r>
        <w:t>Zahlenwerte haben keine rechtsverbindliche Aussagekraft und werden auch in keiner</w:t>
      </w:r>
      <w:r w:rsidR="0039537D">
        <w:t xml:space="preserve"> </w:t>
      </w:r>
      <w:r>
        <w:t>Rechtsvorschrift tatbestandlich vorausgesetzt. Hierbei handelt es sich um eine epidemiologische</w:t>
      </w:r>
      <w:r w:rsidR="0039537D">
        <w:t xml:space="preserve"> </w:t>
      </w:r>
      <w:r>
        <w:t>Kennzahl. Die Entscheidung über die Berechnungsmethode erfolgte auf fachlicher Basis.</w:t>
      </w:r>
    </w:p>
    <w:p w:rsidR="00925EDE" w:rsidRDefault="00925EDE">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25EDE" w:rsidTr="007B0B33">
        <w:tc>
          <w:tcPr>
            <w:tcW w:w="2050" w:type="dxa"/>
          </w:tcPr>
          <w:p w:rsidR="00925EDE" w:rsidRDefault="00925EDE" w:rsidP="00925EDE">
            <w:pPr>
              <w:pStyle w:val="LTAnfrageInitiator"/>
            </w:pPr>
            <w:r>
              <w:t>Abgeordneter</w:t>
            </w:r>
            <w:r>
              <w:rPr>
                <w:b/>
              </w:rPr>
              <w:br/>
              <w:t>Florian</w:t>
            </w:r>
            <w:r w:rsidR="007E151E">
              <w:rPr>
                <w:b/>
              </w:rPr>
              <w:t xml:space="preserve"> von</w:t>
            </w:r>
            <w:r>
              <w:rPr>
                <w:b/>
              </w:rPr>
              <w:br/>
              <w:t>Brunn</w:t>
            </w:r>
            <w:r>
              <w:rPr>
                <w:b/>
              </w:rPr>
              <w:br/>
            </w:r>
            <w:r>
              <w:t>(SPD)</w:t>
            </w:r>
            <w:bookmarkStart w:id="101" w:name="Frage_Nr_50"/>
            <w:bookmarkEnd w:id="101"/>
          </w:p>
        </w:tc>
        <w:tc>
          <w:tcPr>
            <w:tcW w:w="7200" w:type="dxa"/>
          </w:tcPr>
          <w:p w:rsidR="00925EDE" w:rsidRDefault="00437386" w:rsidP="00925EDE">
            <w:pPr>
              <w:pStyle w:val="LTAnfrageText"/>
            </w:pPr>
            <w:r w:rsidRPr="0067222C">
              <w:t>Nachdem DIE WELT und andere Medien darüber berichten, dass das Landesamt für Gesundheit und Lebensmittelsicherheit (LGL) die Inzidenzzahl für Ungeimpfte auf fragwürdige Art und Weise berechnet und ausgewiesen hat, frage ich die Staatsregierung erstens, wann genau Ministerpräsident Dr. Markus Söder, Leiter der Staatskanzlei Florian Herrmann und Staatsminister für Gesundheit und Pflege Klaus Holetschek über die Vorgehensweise des LGL bezüglich Inzidenzberechnung und Corona-Statistik informiert wurden (bitte unter Angabe des genauen Datums und aller Details der Information), zweitens, welche Konsequenzen der Ministerpräsident, andere beteiligte Mitglieder der Staatsregierung sowie alle informierten und beteiligten Mitarbeiterinnen und Mitarbeiter aus dem explizit an Dr. Markus Söder gerichteten Twitter-Kommentar – respektive Tweet – des Senior Data Scientist und Träger des Gerhard-Fürst-Preises des Statistischen Bundesamts Daniel Haake vom 18.11.2021 (mit dem Text „In diesem Tweet von Markus Söder wird suggeriert, dass die Inzidenz eines Ungeimpften in Bayern aktuell rund 13,4 mal so hoch ist, wie die eines Geimpften. Das ist *nicht* korrekt. Denn den Ungeimpften werden die Personen zugerechnet, für die kein Impfstatus bekannt ist. [...]“) unter dem Tweet des Ministerpräsidenten vom selben Tag (mit dem Text von Dr. Markus Söder „Leider nehmen die Corona-Infektionen gerade bei Ungeimpften dramatisch zu. Es gibt einen direkten Zusammenhang von niedrigen Impfquoten und hohen Infektionsraten. Lassen Sie sich daher bitte impfen. Nur Impfen hilft.“ und mit einer angehängten Grafik, die wie oben erwähnt eine über 13-mal höhere 7-Tages-Inzidenz bei Ungeimpften suggeriert hat) gezogen haben (bitte mit Angabe des Datums und aller Details) und, drittens, wer genau diese Grafik für Dr. Markus Söder erstellt hat?</w:t>
            </w:r>
          </w:p>
        </w:tc>
      </w:tr>
    </w:tbl>
    <w:p w:rsidR="00925EDE" w:rsidRDefault="00925EDE" w:rsidP="00925EDE">
      <w:pPr>
        <w:pStyle w:val="LTUeberschrAntwortRessort"/>
      </w:pPr>
      <w:r>
        <w:t>Antwort des Staatsministeriums für Gesundheit und Pflege</w:t>
      </w:r>
    </w:p>
    <w:p w:rsidR="00925EDE" w:rsidRDefault="00925EDE" w:rsidP="00CD7345">
      <w:pPr>
        <w:pStyle w:val="LTAntwortRessortText"/>
        <w:spacing w:before="120"/>
      </w:pPr>
      <w:r>
        <w:t>Die 7-Ta</w:t>
      </w:r>
      <w:r w:rsidR="00006200">
        <w:t>ge-Inzidenz nach Impfstatus, d. </w:t>
      </w:r>
      <w:r>
        <w:t>h. getrennt nach geimpften und ungeimpften Personen,</w:t>
      </w:r>
      <w:r w:rsidR="00677FB8">
        <w:t xml:space="preserve"> </w:t>
      </w:r>
      <w:r w:rsidR="00006200">
        <w:t>wird seit August </w:t>
      </w:r>
      <w:r>
        <w:t>2021 auf der Homepage des Landesamts für Gesundheit und</w:t>
      </w:r>
      <w:r w:rsidR="00677FB8">
        <w:t xml:space="preserve"> </w:t>
      </w:r>
      <w:r>
        <w:t>Lebensmittelsicherheit (LGL) berichtet und einmal in der Woche aktualisiert</w:t>
      </w:r>
      <w:r w:rsidR="00677FB8">
        <w:t xml:space="preserve"> </w:t>
      </w:r>
      <w:r>
        <w:t>(</w:t>
      </w:r>
      <w:hyperlink r:id="rId21" w:history="1">
        <w:r w:rsidR="00677FB8" w:rsidRPr="003B0D79">
          <w:rPr>
            <w:rStyle w:val="LTHyperlinkZchn"/>
            <w:b w:val="0"/>
          </w:rPr>
          <w:t>https://www.lgl.bayern.de/gesundheit/infektionsschutz/infektionskrankheiten_a_z/coronavirus/kart</w:t>
        </w:r>
      </w:hyperlink>
      <w:r w:rsidRPr="003B0D79">
        <w:rPr>
          <w:rStyle w:val="LTHyperlinkZchn"/>
          <w:b w:val="0"/>
        </w:rPr>
        <w:t>e_coronavirus/index.htm</w:t>
      </w:r>
      <w:r>
        <w:t>). Dort wird seit Beginn der Einführung dieser Kennzahlen auch auf die</w:t>
      </w:r>
      <w:r w:rsidR="00677FB8">
        <w:t xml:space="preserve"> </w:t>
      </w:r>
      <w:r>
        <w:t>Berechnungsgrundlagen und die Limitationen dieser Werte ausdrücklich hingewiesen. Die Zahlen</w:t>
      </w:r>
      <w:r w:rsidR="00677FB8">
        <w:t xml:space="preserve"> </w:t>
      </w:r>
      <w:r>
        <w:t>und die Berechnungsmethode sind daher seit Beginn an für jedermann ersichtlich und transparent</w:t>
      </w:r>
      <w:r w:rsidR="00677FB8">
        <w:t xml:space="preserve"> </w:t>
      </w:r>
      <w:r>
        <w:t>dargestellt.</w:t>
      </w:r>
    </w:p>
    <w:p w:rsidR="00925EDE" w:rsidRDefault="00925EDE" w:rsidP="00CD7345">
      <w:pPr>
        <w:pStyle w:val="LTAntwortRessortText"/>
        <w:spacing w:before="120"/>
      </w:pPr>
      <w:r>
        <w:t>Die Entscheidung, die Fälle mit unbekanntem Impfstatus der Inzidenz der Gruppe der Ungeimpften</w:t>
      </w:r>
      <w:r w:rsidR="00677FB8">
        <w:t xml:space="preserve"> </w:t>
      </w:r>
      <w:r>
        <w:t>zuzurechnen, erfolgte auf rein fachlicher Basis. Mehrere andere Länder verwenden die gleiche</w:t>
      </w:r>
      <w:r w:rsidR="00677FB8">
        <w:t xml:space="preserve"> </w:t>
      </w:r>
      <w:r>
        <w:t>Berechnungsmethode wie in Bayern. Auch das Robert Koch-Institut (RKI) hat bis vor einigen</w:t>
      </w:r>
      <w:r w:rsidR="00677FB8">
        <w:t xml:space="preserve"> </w:t>
      </w:r>
      <w:r>
        <w:t>Wochen für die Schätzung der Impfeffektivität ebenfalls die Fälle mit unbekanntem Impfstatus bei</w:t>
      </w:r>
      <w:r w:rsidR="00677FB8">
        <w:t xml:space="preserve"> </w:t>
      </w:r>
      <w:r>
        <w:t>der Gruppe der Ungeimpften erfasst. Zwischenzeitlich hat das RKI die Fälle mit unbekanntem</w:t>
      </w:r>
      <w:r w:rsidR="00677FB8">
        <w:t xml:space="preserve"> </w:t>
      </w:r>
      <w:r>
        <w:t>Impfstatus aus dieser Berechnung herausgenommen. Es ist davon auszugehen, dass dieses</w:t>
      </w:r>
      <w:r w:rsidR="00677FB8">
        <w:t xml:space="preserve"> </w:t>
      </w:r>
      <w:r>
        <w:t>Vorgehen bei Anwendung auf die 7-Tage-Inzidenz das später unter Berücksichtigung von</w:t>
      </w:r>
      <w:r w:rsidR="00677FB8">
        <w:t xml:space="preserve"> </w:t>
      </w:r>
      <w:r>
        <w:t>Nachmeldungen feststellbare tatsächliche Verhältnis der Inzidenzen von Geimpften zu</w:t>
      </w:r>
      <w:r w:rsidR="00677FB8">
        <w:t xml:space="preserve"> </w:t>
      </w:r>
      <w:r>
        <w:t>Ungeimpften sowie die Inzidenz der Ungeimpften deutlich unterschätzt. Es wurde daher bisher</w:t>
      </w:r>
      <w:r w:rsidR="00677FB8">
        <w:t xml:space="preserve"> </w:t>
      </w:r>
      <w:r>
        <w:t>vom LGL wie von mehreren anderen Ländern nicht übernommen.</w:t>
      </w:r>
    </w:p>
    <w:p w:rsidR="00925EDE" w:rsidRDefault="00925EDE" w:rsidP="00CD7345">
      <w:pPr>
        <w:pStyle w:val="LTAntwortRessortText"/>
        <w:spacing w:before="120"/>
      </w:pPr>
      <w:r>
        <w:t>Hintergrund der Berechnungsmethode ist, dass nach den bisherigen Erfahrungswerten die weit</w:t>
      </w:r>
      <w:r w:rsidR="00677FB8">
        <w:t xml:space="preserve"> </w:t>
      </w:r>
      <w:r>
        <w:t>überwiegende Anzahl der Fälle zunächst mit unbekanntem Imfpstatus tatsächlich auch ungeimpft</w:t>
      </w:r>
      <w:r w:rsidR="00677FB8">
        <w:t xml:space="preserve"> </w:t>
      </w:r>
      <w:r>
        <w:t>waren. So lag die Information über den Impfstatus i</w:t>
      </w:r>
      <w:r w:rsidR="004B0633">
        <w:t>n den Monaten September/Oktober </w:t>
      </w:r>
      <w:r>
        <w:t>2021 bei</w:t>
      </w:r>
      <w:r w:rsidR="00677FB8">
        <w:t xml:space="preserve"> </w:t>
      </w:r>
      <w:r>
        <w:t>den tagesakt</w:t>
      </w:r>
      <w:r w:rsidR="004B0633">
        <w:t>uellen Erstmeldungen bei ca. 60 </w:t>
      </w:r>
      <w:r w:rsidR="003439F1">
        <w:t>Prozent</w:t>
      </w:r>
      <w:r>
        <w:t xml:space="preserve"> der Meldefälle. Im Verlauf von vier Wochen</w:t>
      </w:r>
      <w:r w:rsidR="00677FB8">
        <w:t xml:space="preserve"> </w:t>
      </w:r>
      <w:r>
        <w:t>vervollständigten sich d</w:t>
      </w:r>
      <w:r w:rsidR="004B0633">
        <w:t>iese Meldungen dann auf ca. 80 – 90 </w:t>
      </w:r>
      <w:r w:rsidR="003439F1">
        <w:t>Prozent</w:t>
      </w:r>
      <w:r>
        <w:t xml:space="preserve"> der Meldefälle. Auf dieser Basis</w:t>
      </w:r>
      <w:r w:rsidR="00677FB8">
        <w:t xml:space="preserve"> </w:t>
      </w:r>
      <w:r>
        <w:t>bestätigte sich die Annahme, dass die Personen mit zunächst unbekanntem Impfstatus ganz</w:t>
      </w:r>
      <w:r w:rsidR="00677FB8">
        <w:t xml:space="preserve"> </w:t>
      </w:r>
      <w:r>
        <w:t>überwiegend den Ungeimpften zuzurechnen waren. Die entsprechenden Zahlen des LGL haben</w:t>
      </w:r>
      <w:r w:rsidR="00677FB8">
        <w:t xml:space="preserve"> allgemein Verwendung gefunden</w:t>
      </w:r>
      <w:r w:rsidR="004B0633">
        <w:t>.</w:t>
      </w:r>
    </w:p>
    <w:p w:rsidR="00925EDE" w:rsidRDefault="00925EDE" w:rsidP="00925EDE">
      <w:pPr>
        <w:pStyle w:val="LTAntwortRessortText"/>
      </w:pPr>
      <w:r>
        <w:t>Das LGL prüft derzeit, wie angesichts der aktuellen Meldeverzüge der Gesundheitsbehörden, die</w:t>
      </w:r>
      <w:r w:rsidR="00677FB8">
        <w:t xml:space="preserve"> </w:t>
      </w:r>
      <w:r>
        <w:t>durch die sehr hohen Infektionszahlen begründet sind, zukünftig Daten über den Impfstatus</w:t>
      </w:r>
      <w:r w:rsidR="00677FB8">
        <w:t xml:space="preserve"> </w:t>
      </w:r>
      <w:r>
        <w:t>berichtet werden können. Dazu steht das LGL auch mit den zuständigen Behörden der anderen</w:t>
      </w:r>
      <w:r w:rsidR="00677FB8">
        <w:t xml:space="preserve"> </w:t>
      </w:r>
      <w:r>
        <w:t>Länder sowie dem RKI in engem fachlichen Austausch.</w:t>
      </w:r>
    </w:p>
    <w:p w:rsidR="00925EDE" w:rsidRDefault="00925EDE" w:rsidP="00925EDE">
      <w:pPr>
        <w:pStyle w:val="LTAntwortRessortText"/>
      </w:pPr>
      <w:r>
        <w:t xml:space="preserve">Die angesprochene Abbildung wurde vom </w:t>
      </w:r>
      <w:r w:rsidR="004B0633">
        <w:t>Staatsministerium für Gesundheit und Pflege (</w:t>
      </w:r>
      <w:r>
        <w:t>StMGP</w:t>
      </w:r>
      <w:r w:rsidR="004B0633">
        <w:t>)</w:t>
      </w:r>
      <w:r>
        <w:t xml:space="preserve"> erstellt. Sie gibt die 7-Tage-Inzidenz der</w:t>
      </w:r>
      <w:r w:rsidR="00677FB8">
        <w:t xml:space="preserve"> </w:t>
      </w:r>
      <w:r>
        <w:t>Geimpften und Ungeimpften gemäß der Berechnungsmethode und den Daten des LGL korrekt</w:t>
      </w:r>
      <w:r w:rsidR="00677FB8">
        <w:t xml:space="preserve"> </w:t>
      </w:r>
      <w:r>
        <w:t>wieder.</w:t>
      </w:r>
    </w:p>
    <w:p w:rsidR="00925EDE" w:rsidRDefault="00925EDE">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25EDE" w:rsidTr="007B0B33">
        <w:tc>
          <w:tcPr>
            <w:tcW w:w="2050" w:type="dxa"/>
          </w:tcPr>
          <w:p w:rsidR="00925EDE" w:rsidRDefault="00925EDE" w:rsidP="00925EDE">
            <w:pPr>
              <w:pStyle w:val="LTAnfrageInitiator"/>
            </w:pPr>
            <w:r>
              <w:t>Abgeordnete</w:t>
            </w:r>
            <w:r>
              <w:rPr>
                <w:b/>
              </w:rPr>
              <w:br/>
              <w:t>Katrin</w:t>
            </w:r>
            <w:r>
              <w:rPr>
                <w:b/>
              </w:rPr>
              <w:br/>
              <w:t>Ebner-Steiner</w:t>
            </w:r>
            <w:r>
              <w:rPr>
                <w:b/>
              </w:rPr>
              <w:br/>
            </w:r>
            <w:r>
              <w:t>(AfD)</w:t>
            </w:r>
            <w:bookmarkStart w:id="103" w:name="Frage_Nr_51"/>
            <w:bookmarkEnd w:id="103"/>
          </w:p>
        </w:tc>
        <w:tc>
          <w:tcPr>
            <w:tcW w:w="7200" w:type="dxa"/>
          </w:tcPr>
          <w:p w:rsidR="00925EDE" w:rsidRDefault="001B32DC" w:rsidP="00925EDE">
            <w:pPr>
              <w:pStyle w:val="LTAnfrageText"/>
            </w:pPr>
            <w:r w:rsidRPr="0067222C">
              <w:t>Ich frage die Staatsregierung, ob Patienten, die bereits zweimal (also vollständig) gegen Corona immunisiert wurden, deren Impfung aber mehr als sechs Monate zurückliegt, von den Krankenhäusern und sonstigen medizinischen Einrichtungen als „Ungeimpfte“ an die zuständigen Behörden gemeldet werden und wie hoch der Anteil dieser Patienten (absolut und relativ) an den stationär und intensiv behandelten Patienten ist?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 xml:space="preserve">Ein Zeitpunkt, ab dem eine gemäß </w:t>
      </w:r>
      <w:r w:rsidR="003439F1">
        <w:t>COVID</w:t>
      </w:r>
      <w:r>
        <w:t>-19-Schutzmaßnahmen Ausnahmenverordnung</w:t>
      </w:r>
      <w:r w:rsidR="008C6287">
        <w:t xml:space="preserve"> </w:t>
      </w:r>
      <w:r>
        <w:t>(SchAusnahmV) vollständig geimpfte</w:t>
      </w:r>
      <w:r w:rsidR="00CD7345">
        <w:t xml:space="preserve"> Person nicht mehr als geimpft – und somit als ungeimpft –</w:t>
      </w:r>
      <w:r w:rsidR="008C6287">
        <w:t xml:space="preserve"> </w:t>
      </w:r>
      <w:r>
        <w:t>gilt, ist derzeit nicht definiert. Daher sind Patientinnen und Patienten, deren vollständiger</w:t>
      </w:r>
      <w:r w:rsidR="008C6287">
        <w:t xml:space="preserve"> </w:t>
      </w:r>
      <w:r>
        <w:t xml:space="preserve">Impfschutz länger als sechs Monate zurückliegt, als </w:t>
      </w:r>
      <w:r w:rsidR="003439F1">
        <w:t>„</w:t>
      </w:r>
      <w:r>
        <w:t>geimpft</w:t>
      </w:r>
      <w:r w:rsidR="003439F1">
        <w:t>“</w:t>
      </w:r>
      <w:r>
        <w:t xml:space="preserve"> und nicht als </w:t>
      </w:r>
      <w:r w:rsidR="003439F1">
        <w:t>„</w:t>
      </w:r>
      <w:r>
        <w:t>ungeimpft</w:t>
      </w:r>
      <w:r w:rsidR="003439F1">
        <w:t>“</w:t>
      </w:r>
      <w:r>
        <w:t xml:space="preserve"> zu melden.</w:t>
      </w:r>
    </w:p>
    <w:p w:rsidR="00925EDE" w:rsidRDefault="00925EDE">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925EDE" w:rsidTr="007B0B33">
        <w:tc>
          <w:tcPr>
            <w:tcW w:w="2050" w:type="dxa"/>
          </w:tcPr>
          <w:p w:rsidR="00925EDE" w:rsidRDefault="00925EDE" w:rsidP="00925EDE">
            <w:pPr>
              <w:pStyle w:val="LTAnfrageInitiator"/>
            </w:pPr>
            <w:r>
              <w:t>Abgeordneter</w:t>
            </w:r>
            <w:r>
              <w:rPr>
                <w:b/>
              </w:rPr>
              <w:br/>
              <w:t>Matthias</w:t>
            </w:r>
            <w:r>
              <w:rPr>
                <w:b/>
              </w:rPr>
              <w:br/>
              <w:t>Fischbach</w:t>
            </w:r>
            <w:r>
              <w:rPr>
                <w:b/>
              </w:rPr>
              <w:br/>
            </w:r>
            <w:r>
              <w:t>(FDP)</w:t>
            </w:r>
            <w:bookmarkStart w:id="105" w:name="Frage_Nr_52"/>
            <w:bookmarkEnd w:id="105"/>
          </w:p>
        </w:tc>
        <w:tc>
          <w:tcPr>
            <w:tcW w:w="7200" w:type="dxa"/>
          </w:tcPr>
          <w:p w:rsidR="00925EDE" w:rsidRDefault="001B32DC" w:rsidP="00EB1AAE">
            <w:pPr>
              <w:pStyle w:val="LTAnfrageText"/>
            </w:pPr>
            <w:r w:rsidRPr="0067222C">
              <w:t>Ich frage die Staatsregierung, inwiefern der Ministerpräsident und der Gesundheitsminister über das aktuelle Ausmaß der Unbekannten bei der Berechnung der Impfstatus-Inzidenz informiert waren, als diese damit in Pressekonferenzen, MPK, GMK oder Landtagsdebatten argumentiert haben (bitte für die Sitzungen dieser Gremien der vergangenen zwei Monate auch jeweils entsprechend der Protokolle wiedergeben, sofern mit den bayerischen Impfstatus-bezogenen Inzidenzen argumentiert worden ist), wie vor diesem Hintergrund zu verstehen ist, dass der Gesundheitsminister am Sonntag auf Twitter erklärte „Zur Inzidenz geimpft/ungeimpft hat der Präsident des LGL alles Notwendige gesagt:</w:t>
            </w:r>
            <w:r w:rsidR="00EB1AAE">
              <w:rPr>
                <w:vertAlign w:val="superscript"/>
              </w:rPr>
              <w:t>1</w:t>
            </w:r>
            <w:r w:rsidRPr="0067222C">
              <w:t xml:space="preserve"> Warum ist dies Thema jetzt ein Fokus? Der BR hatte es schon im Oktober für jeden erklärt (...)“ und wann der Gesundheitsminister den entsprechenden BR-Beitrag erstmals zur Kenntnis genommen hat?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Das Bayerische Landesamt für Gesundheit und Lebensmittelsicherheit (LGL) weist die 7-Tage-</w:t>
      </w:r>
      <w:r w:rsidR="003A32AE">
        <w:t xml:space="preserve"> </w:t>
      </w:r>
      <w:r>
        <w:t>Inzidenz nach Impfstatus auf seiner Homepage unter</w:t>
      </w:r>
      <w:r w:rsidR="003A32AE">
        <w:t xml:space="preserve"> </w:t>
      </w:r>
      <w:hyperlink r:id="rId22" w:history="1">
        <w:r w:rsidR="003A32AE" w:rsidRPr="003B0D79">
          <w:rPr>
            <w:rStyle w:val="LTHyperlinkZchn"/>
            <w:b w:val="0"/>
          </w:rPr>
          <w:t>https://www.lgl.bayern.de/gesundheit/infektionsschutz/infektionskrankheiten_a_z/coronavirus/karte</w:t>
        </w:r>
      </w:hyperlink>
      <w:r w:rsidRPr="003B0D79">
        <w:rPr>
          <w:rStyle w:val="LTHyperlinkZchn"/>
          <w:b w:val="0"/>
        </w:rPr>
        <w:t>_coronavirus/index.htm#inzidenzgeimpft</w:t>
      </w:r>
      <w:r>
        <w:t xml:space="preserve"> aus. Dort wird seit Beginn der Einführung dieser</w:t>
      </w:r>
      <w:r w:rsidR="003A32AE">
        <w:t xml:space="preserve"> </w:t>
      </w:r>
      <w:r>
        <w:t>Kennzahlen auf die Berechnungsgrundlagen und die Limitationen dieser Werte ausdrücklich</w:t>
      </w:r>
      <w:r w:rsidR="003A32AE">
        <w:t xml:space="preserve"> </w:t>
      </w:r>
      <w:r>
        <w:t>hingewiesen. Eine Ausweisung der Zusammensetzung dieser Zahl, insbesondere die Anzahl der</w:t>
      </w:r>
      <w:r w:rsidR="003A32AE">
        <w:t xml:space="preserve"> </w:t>
      </w:r>
      <w:r>
        <w:t>Fälle mit unbekanntem Impfstatus erfolgt nicht. Die entsprechenden Zahlen des LGL haben</w:t>
      </w:r>
      <w:r w:rsidR="003A32AE">
        <w:t xml:space="preserve"> </w:t>
      </w:r>
      <w:r>
        <w:t>allgemein Verwendung gefunden</w:t>
      </w:r>
    </w:p>
    <w:p w:rsidR="00925EDE" w:rsidRDefault="00925EDE" w:rsidP="00925EDE">
      <w:pPr>
        <w:pStyle w:val="LTAntwortRessortText"/>
      </w:pPr>
      <w:r>
        <w:t>In der zitierten Pressemitteilung des LGL vom 05.12.2021 wurde ausführlich die derzeitige Kritik an</w:t>
      </w:r>
      <w:r w:rsidR="003A32AE">
        <w:t xml:space="preserve"> </w:t>
      </w:r>
      <w:r>
        <w:t>der Inzidenz der Ungeimpften aufgegriffen und die fachlichen Entscheidungsgrundlagen dargelegt.</w:t>
      </w:r>
      <w:r w:rsidR="003A32AE">
        <w:t xml:space="preserve"> </w:t>
      </w:r>
      <w:r>
        <w:t>Dies hat Herr Staatsminister Holetschek mit dem angesprochenen Tweet bekräftigt.</w:t>
      </w:r>
    </w:p>
    <w:p w:rsidR="00925EDE" w:rsidRDefault="00925EDE" w:rsidP="00925EDE">
      <w:pPr>
        <w:pStyle w:val="LTAntwortRessortText"/>
      </w:pPr>
      <w:r>
        <w:t xml:space="preserve">Der Artikel des BR </w:t>
      </w:r>
      <w:r w:rsidR="003439F1">
        <w:t>„</w:t>
      </w:r>
      <w:r>
        <w:t>Analyse: Corona-Inzidenz nach Impfstatus in Bayern</w:t>
      </w:r>
      <w:r w:rsidR="003439F1">
        <w:t>“</w:t>
      </w:r>
      <w:r>
        <w:t xml:space="preserve"> wurde am 17.10.2021</w:t>
      </w:r>
      <w:r w:rsidR="003A32AE">
        <w:t xml:space="preserve"> </w:t>
      </w:r>
      <w:r>
        <w:t>veröffentlicht und im Zuge der aktuellen Diskussion zur Kenntnis genommen.</w:t>
      </w:r>
    </w:p>
    <w:p w:rsidR="00EB1AAE" w:rsidRDefault="00EB1AAE" w:rsidP="00925EDE">
      <w:pPr>
        <w:pStyle w:val="LTAntwortRessortText"/>
      </w:pPr>
    </w:p>
    <w:p w:rsidR="00EB1AAE" w:rsidRDefault="00EB1AAE" w:rsidP="00925EDE">
      <w:pPr>
        <w:pStyle w:val="LTAntwortRessortText"/>
      </w:pPr>
    </w:p>
    <w:p w:rsidR="00EB1AAE" w:rsidRDefault="00EB1AAE" w:rsidP="00925EDE">
      <w:pPr>
        <w:pStyle w:val="LTAntwortRessortText"/>
      </w:pPr>
    </w:p>
    <w:p w:rsidR="00EB1AAE" w:rsidRDefault="00EB1AAE" w:rsidP="00925EDE">
      <w:pPr>
        <w:pStyle w:val="LTAntwortRessortText"/>
      </w:pPr>
    </w:p>
    <w:p w:rsidR="00EB1AAE" w:rsidRDefault="00EB1AAE" w:rsidP="00925EDE">
      <w:pPr>
        <w:pStyle w:val="LTAntwortRessortText"/>
      </w:pPr>
    </w:p>
    <w:p w:rsidR="00EB1AAE" w:rsidRPr="00EB1AAE" w:rsidRDefault="00EB1AAE" w:rsidP="00EB1AAE">
      <w:pPr>
        <w:pStyle w:val="Funotentext"/>
        <w:ind w:left="340" w:hanging="340"/>
        <w:rPr>
          <w:rFonts w:ascii="Arial" w:hAnsi="Arial" w:cs="Arial"/>
          <w:sz w:val="16"/>
          <w:szCs w:val="16"/>
        </w:rPr>
      </w:pPr>
      <w:r w:rsidRPr="00EB1AAE">
        <w:rPr>
          <w:rFonts w:ascii="Arial" w:hAnsi="Arial" w:cs="Arial"/>
          <w:sz w:val="16"/>
          <w:szCs w:val="16"/>
          <w:vertAlign w:val="superscript"/>
        </w:rPr>
        <w:t>1</w:t>
      </w:r>
      <w:r>
        <w:rPr>
          <w:rFonts w:ascii="Arial" w:hAnsi="Arial" w:cs="Arial"/>
          <w:sz w:val="16"/>
          <w:szCs w:val="16"/>
        </w:rPr>
        <w:t xml:space="preserve"> </w:t>
      </w:r>
      <w:r>
        <w:rPr>
          <w:rFonts w:ascii="Arial" w:hAnsi="Arial" w:cs="Arial"/>
          <w:sz w:val="16"/>
          <w:szCs w:val="16"/>
        </w:rPr>
        <w:tab/>
      </w:r>
      <w:hyperlink r:id="rId23" w:history="1">
        <w:r w:rsidRPr="00EB1AAE">
          <w:rPr>
            <w:rFonts w:ascii="Arial" w:hAnsi="Arial" w:cs="Arial"/>
            <w:color w:val="4F81BD" w:themeColor="accent1"/>
            <w:sz w:val="16"/>
            <w:szCs w:val="16"/>
          </w:rPr>
          <w:t>https://lgl.bayern.de/presse/pressemitteilungen/detailansicht.htm?ID=A%2Bs3RgSTi2TUWpE4rXjPlQ%3D%3D</w:t>
        </w:r>
      </w:hyperlink>
    </w:p>
    <w:p w:rsidR="00EB1AAE" w:rsidRDefault="00EB1AAE" w:rsidP="00925EDE">
      <w:pPr>
        <w:pStyle w:val="LTAntwortRessortText"/>
      </w:pPr>
    </w:p>
    <w:p w:rsidR="00925EDE" w:rsidRDefault="00925EDE">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25EDE" w:rsidTr="007B0B33">
        <w:tc>
          <w:tcPr>
            <w:tcW w:w="2050" w:type="dxa"/>
          </w:tcPr>
          <w:p w:rsidR="00925EDE" w:rsidRDefault="00925EDE" w:rsidP="00925EDE">
            <w:pPr>
              <w:pStyle w:val="LTAnfrageInitiator"/>
            </w:pPr>
            <w:r>
              <w:t>Abgeordnete</w:t>
            </w:r>
            <w:r>
              <w:rPr>
                <w:b/>
              </w:rPr>
              <w:br/>
              <w:t>Anne</w:t>
            </w:r>
            <w:r>
              <w:rPr>
                <w:b/>
              </w:rPr>
              <w:br/>
              <w:t>Franke</w:t>
            </w:r>
            <w:r>
              <w:rPr>
                <w:b/>
              </w:rPr>
              <w:br/>
            </w:r>
            <w:r>
              <w:t>(BÜNDNIS 90/DIE GRÜNEN)</w:t>
            </w:r>
            <w:bookmarkStart w:id="107" w:name="Frage_Nr_53"/>
            <w:bookmarkEnd w:id="107"/>
          </w:p>
        </w:tc>
        <w:tc>
          <w:tcPr>
            <w:tcW w:w="7200" w:type="dxa"/>
          </w:tcPr>
          <w:p w:rsidR="00925EDE" w:rsidRDefault="001B32DC" w:rsidP="00925EDE">
            <w:pPr>
              <w:pStyle w:val="LTAnfrageText"/>
            </w:pPr>
            <w:r w:rsidRPr="0067222C">
              <w:t>Angesichts von Medienberichten, denen zufolge das Bayerische Landesamt für Gesundheit und Lebensmittelsicherheit (LGL) nicht den Impfstatus der einzelnen Corona-Infizierten kennt und bei der Berechnung von Inzidenzen die Fälle mit unbekanntem Status den Ungeimpften zurechnet, frage ich die Staatsregierung, ob das das Gesundheitsamt Starnberg jetzt und in den vergangenen Monaten den Impfstatus der Corona-Erkrankten vollständig erfasst, ob die Nachverfolgung von Kontaktpersonen noch gelingt und ob es ausreichend Personal gibt, um der derzeitigen Pandemielage – gerade auch während der bevorstehenden Feiertage – gerecht zu werden?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Staatsregierung hat sich zuletzt am 23.11.2021 mit Personalmaßnahmen im Zusammenhang</w:t>
      </w:r>
      <w:r w:rsidR="0078027B">
        <w:t xml:space="preserve"> </w:t>
      </w:r>
      <w:r>
        <w:t>mit der Bekämpfung</w:t>
      </w:r>
      <w:r w:rsidR="00D27DF7">
        <w:t xml:space="preserve"> des Coronavirus befasst und u. </w:t>
      </w:r>
      <w:r>
        <w:t>a. das Personal für die</w:t>
      </w:r>
      <w:r w:rsidR="0078027B">
        <w:t xml:space="preserve"> </w:t>
      </w:r>
      <w:r>
        <w:t>Kontaktnachverfolgung nochmals massi</w:t>
      </w:r>
      <w:r w:rsidR="00C14DFE">
        <w:t>v verstärkt. Mit aktuell über 5 </w:t>
      </w:r>
      <w:r>
        <w:t>400 im Einsatz befindlichen</w:t>
      </w:r>
      <w:r w:rsidR="0078027B">
        <w:t xml:space="preserve"> </w:t>
      </w:r>
      <w:r>
        <w:t>Kräften ist derzeit ein Höchststand der</w:t>
      </w:r>
      <w:r w:rsidR="00C14DFE">
        <w:t xml:space="preserve"> Kräfte im Contact-Tracing-Team </w:t>
      </w:r>
      <w:r>
        <w:t>(CTT)-Einsatz erreicht.</w:t>
      </w:r>
    </w:p>
    <w:p w:rsidR="00925EDE" w:rsidRDefault="00925EDE" w:rsidP="00925EDE">
      <w:pPr>
        <w:pStyle w:val="LTAntwortRessortText"/>
      </w:pPr>
      <w:r>
        <w:t xml:space="preserve">Das gemäß </w:t>
      </w:r>
      <w:r w:rsidR="00C14DFE">
        <w:t>Robert-Koch-Institut</w:t>
      </w:r>
      <w:r w:rsidR="00D27DF7">
        <w:t>(</w:t>
      </w:r>
      <w:r>
        <w:t>RKI</w:t>
      </w:r>
      <w:r w:rsidR="00D27DF7">
        <w:t>)</w:t>
      </w:r>
      <w:r>
        <w:t>-Schlüssel für das Gesundheitsamt Starnberg errechnete Soll von 35 Kräften ist</w:t>
      </w:r>
      <w:r w:rsidR="0078027B">
        <w:t xml:space="preserve"> </w:t>
      </w:r>
      <w:r>
        <w:t>mit aktuell über 60 eingesetzten Kräften deutlich übererfüllt. Die Gesundheitsämter stehen im</w:t>
      </w:r>
      <w:r w:rsidR="0078027B">
        <w:t xml:space="preserve"> </w:t>
      </w:r>
      <w:r>
        <w:t>ständigen Kontakt mit den Regierungen, inwieweit noch weitere Personalbedarfe bestehen und</w:t>
      </w:r>
      <w:r w:rsidR="0078027B">
        <w:t xml:space="preserve"> </w:t>
      </w:r>
      <w:r>
        <w:t>gedeckt werden können.</w:t>
      </w:r>
    </w:p>
    <w:p w:rsidR="00925EDE" w:rsidRDefault="00925EDE" w:rsidP="00925EDE">
      <w:pPr>
        <w:pStyle w:val="LTAntwortRessortText"/>
      </w:pPr>
      <w:r>
        <w:t>Nach Auskunft des Gesundheitsamts Starnberg ist der Personalbestand zur Bewältigung der</w:t>
      </w:r>
      <w:r w:rsidR="0078027B">
        <w:t xml:space="preserve"> </w:t>
      </w:r>
      <w:r>
        <w:t>Aufgaben ausreich</w:t>
      </w:r>
      <w:r w:rsidR="00D27DF7">
        <w:t>end –</w:t>
      </w:r>
      <w:r>
        <w:t xml:space="preserve"> auch im Hinblick auf die bevorstehenden Feiertage. Die Nachverfolgung</w:t>
      </w:r>
      <w:r w:rsidR="0078027B">
        <w:t xml:space="preserve"> </w:t>
      </w:r>
      <w:r>
        <w:t>von Kontaktpersonen war und ist tagesaktuell möglich. Soweit in der Vergangenheit wegen der</w:t>
      </w:r>
      <w:r w:rsidR="0078027B">
        <w:t xml:space="preserve"> </w:t>
      </w:r>
      <w:r>
        <w:t>hohen Belastung des Gesundheitsamtes der Impfstatus in den vergangenen Monaten nicht</w:t>
      </w:r>
      <w:r w:rsidR="0078027B">
        <w:t xml:space="preserve"> </w:t>
      </w:r>
      <w:r>
        <w:t>komplett erfasst werden konnte, wurde durch die geschilderte Personalaufstockung die Grundlage</w:t>
      </w:r>
      <w:r w:rsidR="0078027B">
        <w:t xml:space="preserve"> </w:t>
      </w:r>
      <w:r>
        <w:t>für eine verbesserte Erfassung geschaffen.</w:t>
      </w:r>
    </w:p>
    <w:p w:rsidR="00925EDE" w:rsidRDefault="00925EDE">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25EDE" w:rsidTr="007B0B33">
        <w:tc>
          <w:tcPr>
            <w:tcW w:w="2050" w:type="dxa"/>
          </w:tcPr>
          <w:p w:rsidR="00925EDE" w:rsidRDefault="00925EDE" w:rsidP="00925EDE">
            <w:pPr>
              <w:pStyle w:val="LTAnfrageInitiator"/>
            </w:pPr>
            <w:r>
              <w:t>Abgeordneter</w:t>
            </w:r>
            <w:r>
              <w:rPr>
                <w:b/>
              </w:rPr>
              <w:br/>
              <w:t>Martin</w:t>
            </w:r>
            <w:r>
              <w:rPr>
                <w:b/>
              </w:rPr>
              <w:br/>
              <w:t>Hagen</w:t>
            </w:r>
            <w:r>
              <w:rPr>
                <w:b/>
              </w:rPr>
              <w:br/>
            </w:r>
            <w:r>
              <w:t>(FDP)</w:t>
            </w:r>
            <w:bookmarkStart w:id="109" w:name="Frage_Nr_54"/>
            <w:bookmarkEnd w:id="109"/>
          </w:p>
        </w:tc>
        <w:tc>
          <w:tcPr>
            <w:tcW w:w="7200" w:type="dxa"/>
          </w:tcPr>
          <w:p w:rsidR="00925EDE" w:rsidRDefault="00C34F07" w:rsidP="00925EDE">
            <w:pPr>
              <w:pStyle w:val="LTAnfrageText"/>
            </w:pPr>
            <w:r w:rsidRPr="0067222C">
              <w:t>Ich frage die Staatsregierung, wie sich die vom Landesamt für Gesundheit und Lebensmittelsicherheit (LGL) ausgewiesenen Impfstatus-Inzidenzen bzgl. Corona-Infektionen wöchentlich seit Beginn der Erhebung bzw. Ausweisung dieser jeweils entwickelt haben, wie diesbezüglich jeweils die absolute und relative Anzahl der bzgl. Impfstatus unbekannten, geimpften sowie ungeimpften Positiv-Fälle zum Zeitpunkt der Ausweisung lautete und wie sich jeweils die Zahlen bezüglich der nachträglich ermittelten und anfangs unbekannten Fälle bis zum heutigen Stand seit der erstmaligen Ausweisung verändert haben?</w:t>
            </w:r>
          </w:p>
        </w:tc>
      </w:tr>
    </w:tbl>
    <w:p w:rsidR="00925EDE" w:rsidRDefault="00925EDE" w:rsidP="00C14DFE">
      <w:pPr>
        <w:pStyle w:val="LTUeberschrAntwortRessort"/>
        <w:spacing w:before="300"/>
      </w:pPr>
      <w:r>
        <w:t>Antwort des Staatsministeriums für Gesundheit und Pflege</w:t>
      </w:r>
    </w:p>
    <w:p w:rsidR="00925EDE" w:rsidRDefault="00925EDE" w:rsidP="00925EDE">
      <w:pPr>
        <w:pStyle w:val="LTAntwortRessortText"/>
      </w:pPr>
      <w:r>
        <w:t>Die 7-Ta</w:t>
      </w:r>
      <w:r w:rsidR="00A9696A">
        <w:t>ge-Inzidenz nach Impfstatus, d. </w:t>
      </w:r>
      <w:r>
        <w:t>h. getrennt nach geimpften und ungeimpften Personen,</w:t>
      </w:r>
      <w:r w:rsidR="00074D32">
        <w:t xml:space="preserve"> </w:t>
      </w:r>
      <w:r w:rsidR="00A9696A">
        <w:t>wird seit August </w:t>
      </w:r>
      <w:r>
        <w:t>2021 auf der Homepage des Landesamts für Gesundheit und</w:t>
      </w:r>
      <w:r w:rsidR="00074D32">
        <w:t xml:space="preserve"> </w:t>
      </w:r>
      <w:r>
        <w:t>Lebensmittelsicherheit (LGL) berichtet und einmal in der Woche aktualisiert</w:t>
      </w:r>
      <w:r w:rsidR="00074D32">
        <w:t xml:space="preserve"> </w:t>
      </w:r>
      <w:r>
        <w:t>(</w:t>
      </w:r>
      <w:hyperlink r:id="rId24" w:history="1">
        <w:r w:rsidR="00074D32" w:rsidRPr="00A9696A">
          <w:rPr>
            <w:rStyle w:val="LTHyperlinkZchn"/>
            <w:b w:val="0"/>
          </w:rPr>
          <w:t>https://www.lgl.bayern.de/gesundheit/infektionsschutz/infektionskrankheiten_a_z/coronavirus/kart</w:t>
        </w:r>
      </w:hyperlink>
      <w:r w:rsidRPr="00A9696A">
        <w:rPr>
          <w:rStyle w:val="LTHyperlinkZchn"/>
          <w:b w:val="0"/>
        </w:rPr>
        <w:t>e_coronavirus/index.htm</w:t>
      </w:r>
      <w:r>
        <w:t>). Dort wird seit Beginn der Einführung dieser Kennzahlen auch auf die</w:t>
      </w:r>
      <w:r w:rsidR="00074D32">
        <w:t xml:space="preserve"> </w:t>
      </w:r>
      <w:r>
        <w:t>Berechnungsgrundlagen und die Limitationen dieser Werte ausdrücklich hingewiesen. Die Zahlen</w:t>
      </w:r>
      <w:r w:rsidR="00074D32">
        <w:t xml:space="preserve"> </w:t>
      </w:r>
      <w:r>
        <w:t>und die Berechnungsmethode sind daher seit Beginn an für jedermann ersichtlich und transparent</w:t>
      </w:r>
      <w:r w:rsidR="00074D32">
        <w:t xml:space="preserve"> </w:t>
      </w:r>
      <w:r>
        <w:t>dargestellt.</w:t>
      </w:r>
    </w:p>
    <w:p w:rsidR="00925EDE" w:rsidRDefault="00925EDE" w:rsidP="00925EDE">
      <w:pPr>
        <w:pStyle w:val="LTAntwortRessortText"/>
      </w:pPr>
      <w:r>
        <w:t>Die Entscheidung, die Fälle mit unbekanntem Impfstatus der Inzidenz der Gruppe der Ungeimpften</w:t>
      </w:r>
      <w:r w:rsidR="00074D32">
        <w:t xml:space="preserve"> </w:t>
      </w:r>
      <w:r>
        <w:t>zuzurechnen, erfolgte auf rein fachlicher Basis. Mehrere andere Länder verwenden die gleiche</w:t>
      </w:r>
      <w:r w:rsidR="00074D32">
        <w:t xml:space="preserve"> </w:t>
      </w:r>
      <w:r>
        <w:t>Berechnungsmethode wie in Bayern. Auch das Robert Koch-Institut (RKI) hat bis vor einigen</w:t>
      </w:r>
      <w:r w:rsidR="00074D32">
        <w:t xml:space="preserve"> </w:t>
      </w:r>
      <w:r>
        <w:t>Wochen für die Schätzung der Impfeffektivität ebenfalls die Fälle mit unbekanntem Impfstatus bei</w:t>
      </w:r>
      <w:r w:rsidR="00074D32">
        <w:t xml:space="preserve"> </w:t>
      </w:r>
      <w:r>
        <w:t>der Gruppe der Ungeimpften erfasst. Zwischenzeitlich hat das RKI die Fälle mit unbekanntem</w:t>
      </w:r>
      <w:r w:rsidR="00A5749A">
        <w:t xml:space="preserve"> </w:t>
      </w:r>
      <w:r>
        <w:t>Impfstatus aus dieser Berechnung herausgenommen. Es ist davon auszugehen, dass dieses</w:t>
      </w:r>
      <w:r w:rsidR="00A5749A">
        <w:t xml:space="preserve"> </w:t>
      </w:r>
      <w:r>
        <w:t>Vorgehen bei Anwendung auf die 7-Tage-Inzidenz das später unter Berücksichtigung von</w:t>
      </w:r>
      <w:r w:rsidR="00A5749A">
        <w:t xml:space="preserve"> </w:t>
      </w:r>
      <w:r>
        <w:t>Nachmeldungen feststellbare tatsächliche Verhältnis der Inzidenzen von Geimpften zu</w:t>
      </w:r>
      <w:r w:rsidR="00A5749A">
        <w:t xml:space="preserve"> </w:t>
      </w:r>
      <w:r>
        <w:t>Ungeimpften sowie die Inzidenz der Ungeimpften deutlich unterschätzt. Es wurde daher bisher</w:t>
      </w:r>
      <w:r w:rsidR="00A5749A">
        <w:t xml:space="preserve"> </w:t>
      </w:r>
      <w:r>
        <w:t>vom LGL wie von mehreren anderen Ländern nicht übernommen.</w:t>
      </w:r>
    </w:p>
    <w:p w:rsidR="00925EDE" w:rsidRDefault="00925EDE" w:rsidP="00C14DFE">
      <w:pPr>
        <w:pStyle w:val="LTAntwortRessortText"/>
        <w:spacing w:line="210" w:lineRule="auto"/>
      </w:pPr>
      <w:r>
        <w:t>Hintergrund der Berechnungsmethode ist, dass nach den bisherigen Erfahrungswerten die weit</w:t>
      </w:r>
      <w:r w:rsidR="00A5749A">
        <w:t xml:space="preserve"> </w:t>
      </w:r>
      <w:r>
        <w:t>überwiegende Anzahl der Fäl</w:t>
      </w:r>
      <w:r w:rsidR="00A9696A">
        <w:t>le zunächst mit unbekanntem Impf</w:t>
      </w:r>
      <w:r>
        <w:t>status tatsächlich auch ungeimpft</w:t>
      </w:r>
      <w:r w:rsidR="00A5749A">
        <w:t xml:space="preserve"> </w:t>
      </w:r>
      <w:r>
        <w:t>waren. So lag die Information über den Impfstatus i</w:t>
      </w:r>
      <w:r w:rsidR="00A9696A">
        <w:t>n den Monaten September/Oktober </w:t>
      </w:r>
      <w:r>
        <w:t>2021 bei</w:t>
      </w:r>
      <w:r w:rsidR="00A5749A">
        <w:t xml:space="preserve"> </w:t>
      </w:r>
      <w:r>
        <w:t>den tagesakt</w:t>
      </w:r>
      <w:r w:rsidR="00A9696A">
        <w:t>uellen Erstmeldungen bei ca. 60 </w:t>
      </w:r>
      <w:r w:rsidR="003439F1">
        <w:t>Prozent</w:t>
      </w:r>
      <w:r>
        <w:t xml:space="preserve"> der Meldefälle. Im Verlauf von vier Wochen</w:t>
      </w:r>
      <w:r w:rsidR="00A5749A">
        <w:t xml:space="preserve"> </w:t>
      </w:r>
      <w:r>
        <w:t>vervollständigten sich d</w:t>
      </w:r>
      <w:r w:rsidR="00A9696A">
        <w:t>iese Meldungen dann auf ca. 80 –</w:t>
      </w:r>
      <w:r>
        <w:t xml:space="preserve"> 90 </w:t>
      </w:r>
      <w:r w:rsidR="003439F1">
        <w:t>Prozent</w:t>
      </w:r>
      <w:r>
        <w:t xml:space="preserve"> der Meldefälle. Auf dieser Basis</w:t>
      </w:r>
      <w:r w:rsidR="00A5749A">
        <w:t xml:space="preserve"> </w:t>
      </w:r>
      <w:r>
        <w:t>bestätigte sich die Annahme, dass die Personen mit zunächst unbekanntem Impfstatus ganz</w:t>
      </w:r>
      <w:r w:rsidR="00A5749A">
        <w:t xml:space="preserve"> </w:t>
      </w:r>
      <w:r>
        <w:t>überwiegend den Ungeimpften zuzurechnen waren. Die entsprechenden Zahlen des LGL haben</w:t>
      </w:r>
      <w:r w:rsidR="00A5749A">
        <w:t xml:space="preserve"> </w:t>
      </w:r>
      <w:r>
        <w:t>allgemein Verwendung gefunden</w:t>
      </w:r>
      <w:r w:rsidR="00B93FAB">
        <w:t>.</w:t>
      </w:r>
    </w:p>
    <w:p w:rsidR="00925EDE" w:rsidRDefault="00925EDE" w:rsidP="00925EDE">
      <w:pPr>
        <w:pStyle w:val="LTAntwortRessortText"/>
      </w:pPr>
      <w:r>
        <w:t>Das LGL prüft derzeit, wie angesichts der aktuellen Meldeverzüge der Gesundheitsbehörden, die</w:t>
      </w:r>
      <w:r w:rsidR="00A5749A">
        <w:t xml:space="preserve"> </w:t>
      </w:r>
      <w:r>
        <w:t>durch die sehr hohen Infektionszahlen begründet sind, zukünftig Daten über den Impfstatus</w:t>
      </w:r>
      <w:r w:rsidR="00A5749A">
        <w:t xml:space="preserve"> </w:t>
      </w:r>
      <w:r>
        <w:t>berichtet werden können. Dazu steht das LGL auch mit den zuständigen Behörden der anderen</w:t>
      </w:r>
      <w:r w:rsidR="00A5749A">
        <w:t xml:space="preserve"> </w:t>
      </w:r>
      <w:r>
        <w:t>Länder sowie dem RKI in engem fachlichen Austausch.</w:t>
      </w:r>
    </w:p>
    <w:p w:rsidR="00925EDE" w:rsidRDefault="00925EDE" w:rsidP="00C14DFE">
      <w:pPr>
        <w:pStyle w:val="LTAntwortRessortText"/>
      </w:pPr>
      <w:r>
        <w:t>Nähere Informationen und Daten finden sich auf der oben genannten Internet-Adresse des LGL,</w:t>
      </w:r>
      <w:r w:rsidR="00A5749A">
        <w:t xml:space="preserve"> </w:t>
      </w:r>
      <w:r>
        <w:t>auf die verwiesen wird.</w:t>
      </w:r>
      <w:r w:rsidR="00C14DFE">
        <w:t xml:space="preserve"> </w:t>
      </w:r>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925EDE" w:rsidTr="007B0B33">
        <w:tc>
          <w:tcPr>
            <w:tcW w:w="2050" w:type="dxa"/>
          </w:tcPr>
          <w:p w:rsidR="00925EDE" w:rsidRDefault="00925EDE" w:rsidP="00925EDE">
            <w:pPr>
              <w:pStyle w:val="LTAnfrageInitiator"/>
            </w:pPr>
            <w:r>
              <w:t>Abgeordneter</w:t>
            </w:r>
            <w:r>
              <w:rPr>
                <w:b/>
              </w:rPr>
              <w:br/>
              <w:t>Prof. Dr. Ingo</w:t>
            </w:r>
            <w:r>
              <w:rPr>
                <w:b/>
              </w:rPr>
              <w:br/>
              <w:t>Hahn</w:t>
            </w:r>
            <w:r>
              <w:rPr>
                <w:b/>
              </w:rPr>
              <w:br/>
            </w:r>
            <w:r>
              <w:t>(AfD)</w:t>
            </w:r>
            <w:bookmarkStart w:id="111" w:name="Frage_Nr_55"/>
            <w:bookmarkEnd w:id="111"/>
          </w:p>
        </w:tc>
        <w:tc>
          <w:tcPr>
            <w:tcW w:w="7200" w:type="dxa"/>
          </w:tcPr>
          <w:p w:rsidR="00925EDE" w:rsidRDefault="009737DF" w:rsidP="00925EDE">
            <w:pPr>
              <w:pStyle w:val="LTAnfrageText"/>
            </w:pPr>
            <w:r w:rsidRPr="0067222C">
              <w:t>Ich frage die Staatsregierung, warum Ministerpräsident Dr. Markus Söder mit seiner Twitter-Nachricht vom 18.11.2021 nachweislich Unwahrheiten bezüglich der Inzidenzzahlen in Bayern verbreitete (dies wurde in einer Recherche der Tageszeitung DIE WELT belegt), welche Erklärung sie hat, dass das Landesamt für Gesundheit und Lebensmittelsicherheit (LGL) laut einem Behördensprecher beispielsweise für die Woche vor dem 24. November 2021 insgesamt 81 782 Corona-Fälle gemeldet hat (9 641 Infizierte mit vollständigem Impfschutz, 14 652 ohne Impfschutz und 57 489 mit Impfstatus „unbekannt“), dann aber diese 57 489 Infizierten laut LGL der Gruppe der Ungeimpften zugerechnet wurden, und vor dem Hintergrund, dass aufgrund des obigen Falles der Verdacht aufkommt, dass es bei offiziellen Verkündigungen von Zahlen zu Corona vonseiten der Staatsregierung üblich ist, jeweils die für eine restriktive und autoritäre Coronapolitik genehmen Zahlen zu generieren, welche Argumente die Staatsregierung diesem Verdacht entgegenbringen möchte?</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In seiner Twitter-Nachricht</w:t>
      </w:r>
      <w:r w:rsidR="003542A3">
        <w:t xml:space="preserve"> hat Herr Ministerpräsident Dr. Markus </w:t>
      </w:r>
      <w:r>
        <w:t>Söder die 7-Tage-Inzidenz der</w:t>
      </w:r>
      <w:r w:rsidR="0016137E">
        <w:t xml:space="preserve"> </w:t>
      </w:r>
      <w:r>
        <w:t>Geimpften und Ungeimpften gemäß Daten des Bayerischen Landesamts für Gesundheit und</w:t>
      </w:r>
      <w:r w:rsidR="0016137E">
        <w:t xml:space="preserve"> </w:t>
      </w:r>
      <w:r>
        <w:t>Lebensmittelsicherheit (LGL) korrekt dargestellt. Die Berechnungsmethode und ihre Limitationen</w:t>
      </w:r>
      <w:r w:rsidR="0016137E">
        <w:t xml:space="preserve"> </w:t>
      </w:r>
      <w:r>
        <w:t>sind auf der Homepage des LGL beschrieben und somit für alle öffentlich zugänglich. Konkret</w:t>
      </w:r>
      <w:r w:rsidR="0016137E">
        <w:t xml:space="preserve"> </w:t>
      </w:r>
      <w:r>
        <w:t>heißt es:</w:t>
      </w:r>
    </w:p>
    <w:p w:rsidR="00925EDE" w:rsidRDefault="003439F1" w:rsidP="00925EDE">
      <w:pPr>
        <w:pStyle w:val="LTAntwortRessortText"/>
      </w:pPr>
      <w:r>
        <w:t>„</w:t>
      </w:r>
      <w:r w:rsidR="00925EDE">
        <w:t xml:space="preserve">Als geimpfte </w:t>
      </w:r>
      <w:r>
        <w:t>COVID</w:t>
      </w:r>
      <w:r w:rsidR="00925EDE">
        <w:t>-19 Fälle werden Personen gezählt, die zum Zeitpunkt der Infektion einen</w:t>
      </w:r>
      <w:r w:rsidR="0016137E">
        <w:t xml:space="preserve"> </w:t>
      </w:r>
      <w:r w:rsidR="00925EDE">
        <w:t>vollständigen Impfschutz hatten (abgeschlossene Impfserie, nach der mindestens 14 Tage</w:t>
      </w:r>
      <w:r w:rsidR="0016137E">
        <w:t xml:space="preserve"> </w:t>
      </w:r>
      <w:r w:rsidR="00925EDE">
        <w:t xml:space="preserve">vergangen sind). Als ungeimpfte </w:t>
      </w:r>
      <w:r>
        <w:t>COVID</w:t>
      </w:r>
      <w:r w:rsidR="00925EDE">
        <w:t>-19 Fälle werden Personen gezählt, die zum Zeitpunkt der</w:t>
      </w:r>
      <w:r w:rsidR="0016137E">
        <w:t xml:space="preserve"> </w:t>
      </w:r>
      <w:r w:rsidR="00925EDE">
        <w:t>Infektion keine Impfung erhalten hatten oder bei denen keine Angabe dazu vorliegt.</w:t>
      </w:r>
      <w:r w:rsidR="0016137E">
        <w:t xml:space="preserve"> </w:t>
      </w:r>
      <w:r w:rsidR="00925EDE">
        <w:t>Die Auswertungen unterliegen verschiedenen Limitationen, die bei der Interpretation dieser</w:t>
      </w:r>
      <w:r w:rsidR="0016137E">
        <w:t xml:space="preserve"> </w:t>
      </w:r>
      <w:r w:rsidR="00925EDE">
        <w:t>Inzidenzwerte zu ber</w:t>
      </w:r>
      <w:r w:rsidR="003542A3">
        <w:t>ücksichtigen sind. So liegen z. </w:t>
      </w:r>
      <w:r w:rsidR="00925EDE">
        <w:t>B. Informationen zu Impfungen möglicherweise</w:t>
      </w:r>
      <w:r w:rsidR="0016137E">
        <w:t xml:space="preserve"> </w:t>
      </w:r>
      <w:r w:rsidR="00925EDE">
        <w:t>nicht bereits zum Zeitpunkt der ersten Fallmeldung vor, sondern werden erst im Rahmen weiterer</w:t>
      </w:r>
      <w:r w:rsidR="0016137E">
        <w:t xml:space="preserve"> </w:t>
      </w:r>
      <w:r w:rsidR="00925EDE">
        <w:t>Fallermittlungen erhoben und demnach nachgetragen bzw. aktualisiert. Nichtsdestotrotz bieten die</w:t>
      </w:r>
      <w:r w:rsidR="0016137E">
        <w:t xml:space="preserve"> </w:t>
      </w:r>
      <w:r w:rsidR="00925EDE">
        <w:t>so erhobenen Daten die Möglichkeit, generelle Aussagen und Trends zum Verhältnis der</w:t>
      </w:r>
      <w:r w:rsidR="0016137E">
        <w:t xml:space="preserve"> </w:t>
      </w:r>
      <w:r w:rsidR="00925EDE">
        <w:t>Betroffenheit zwischen der geimpften und ungeimpften Bevölkerung zu analysieren.</w:t>
      </w:r>
      <w:r>
        <w:t>“</w:t>
      </w:r>
    </w:p>
    <w:p w:rsidR="00925EDE" w:rsidRDefault="00925EDE" w:rsidP="00925EDE">
      <w:pPr>
        <w:pStyle w:val="LTAntwortRessortText"/>
      </w:pPr>
      <w:r>
        <w:t>Das LGL prüft derzeit, wie angesichts der aktuellen Meldeverzüge zukünftig Daten mit besserer</w:t>
      </w:r>
      <w:r w:rsidR="0016137E">
        <w:t xml:space="preserve"> </w:t>
      </w:r>
      <w:r>
        <w:t>Aussagekraft berichtet werden können. Dazu wird das LGL auch mit den zuständigen Behörden</w:t>
      </w:r>
      <w:r w:rsidR="0016137E">
        <w:t xml:space="preserve"> </w:t>
      </w:r>
      <w:r>
        <w:t>der Bundesländer den fachlichen Austausch suchen.</w:t>
      </w:r>
    </w:p>
    <w:p w:rsidR="00925EDE" w:rsidRDefault="00925EDE" w:rsidP="00925EDE">
      <w:pPr>
        <w:pStyle w:val="LTAntwortRessortText"/>
      </w:pPr>
      <w:r>
        <w:t>Unabhängig von allen fachlichen Berechnungsgrundlagen wird sich nichts an der Tatsache</w:t>
      </w:r>
      <w:r w:rsidR="0016137E">
        <w:t xml:space="preserve"> </w:t>
      </w:r>
      <w:r>
        <w:t>ändern, dass die Inzidenz bei den Ungeimpften um ein Vielfaches höher ist als bei den Geimpften.</w:t>
      </w:r>
      <w:r w:rsidR="0016137E">
        <w:t xml:space="preserve"> </w:t>
      </w:r>
      <w:r>
        <w:t>Die 7-Tage-Inzidenz der Geimpften und d</w:t>
      </w:r>
      <w:r w:rsidR="003542A3">
        <w:t>er Ungeimpften sind auch nicht –</w:t>
      </w:r>
      <w:r>
        <w:t xml:space="preserve"> anders als die Frage</w:t>
      </w:r>
      <w:r w:rsidR="0016137E">
        <w:t xml:space="preserve"> </w:t>
      </w:r>
      <w:r w:rsidR="003542A3">
        <w:t>suggeriert –</w:t>
      </w:r>
      <w:r>
        <w:t xml:space="preserve"> ausschlaggebend für die Schutzmaßnahmen, welche in der jeweils geltenden</w:t>
      </w:r>
      <w:r w:rsidR="0016137E">
        <w:t xml:space="preserve"> </w:t>
      </w:r>
      <w:r>
        <w:t>Infektionsschutzmaßnahmenverord</w:t>
      </w:r>
      <w:r w:rsidR="003542A3">
        <w:t>nung festgelegt wurden. Gemäß § 28a Abs. 3 S. </w:t>
      </w:r>
      <w:r>
        <w:t>3 und 4</w:t>
      </w:r>
      <w:r w:rsidR="0016137E">
        <w:t xml:space="preserve"> </w:t>
      </w:r>
      <w:r>
        <w:t>Infektionsschutzgesetz ist wesentlicher Maßstab für weitergehenden Schutzmaßnahmen</w:t>
      </w:r>
      <w:r w:rsidR="0016137E">
        <w:t xml:space="preserve"> </w:t>
      </w:r>
      <w:r>
        <w:t>insbesondere die Anzahl der in Bezug auf die Coronavirus-Krankheit-2019 (</w:t>
      </w:r>
      <w:r w:rsidR="003439F1">
        <w:t>COVID</w:t>
      </w:r>
      <w:r>
        <w:t>-19) in ein</w:t>
      </w:r>
      <w:r w:rsidR="0016137E">
        <w:t xml:space="preserve"> </w:t>
      </w:r>
      <w:r>
        <w:t>Krankenhau</w:t>
      </w:r>
      <w:r w:rsidR="003542A3">
        <w:t>s aufgenommenen Personen je 100 </w:t>
      </w:r>
      <w:r>
        <w:t>000 Einwohner innerhalb von sieben Tagen, die</w:t>
      </w:r>
      <w:r w:rsidR="0016137E">
        <w:t xml:space="preserve"> </w:t>
      </w:r>
      <w:r>
        <w:t>unter infektionsepidemiologischen Aspekten differenzierte Anzahl der Neuinfektionen mit dem</w:t>
      </w:r>
      <w:r w:rsidR="0016137E">
        <w:t xml:space="preserve"> </w:t>
      </w:r>
      <w:r w:rsidR="003542A3">
        <w:t>Coronavirus SARS-CoV-2 je 100 </w:t>
      </w:r>
      <w:r>
        <w:t>000 Einwohner innerhalb von sieben Tagen, die verfügbaren</w:t>
      </w:r>
      <w:r w:rsidR="0016137E">
        <w:t xml:space="preserve"> </w:t>
      </w:r>
      <w:r>
        <w:t>intensivmedizinischen Behandlungskapazitäten und die Anzahl der gegen die Coronavirus-Krankheit-2019 (</w:t>
      </w:r>
      <w:r w:rsidR="003439F1">
        <w:t>COVID</w:t>
      </w:r>
      <w:r>
        <w:t>-19) geimpften Personen sollen bei der Bewertung des</w:t>
      </w:r>
      <w:r w:rsidR="0016137E">
        <w:t xml:space="preserve"> </w:t>
      </w:r>
      <w:r>
        <w:t>Infektionsgeschehens berücksichtigt werden.</w:t>
      </w:r>
    </w:p>
    <w:p w:rsidR="00925EDE" w:rsidRDefault="00925EDE">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925EDE" w:rsidTr="007B0B33">
        <w:tc>
          <w:tcPr>
            <w:tcW w:w="2050" w:type="dxa"/>
          </w:tcPr>
          <w:p w:rsidR="00925EDE" w:rsidRDefault="00925EDE" w:rsidP="00925EDE">
            <w:pPr>
              <w:pStyle w:val="LTAnfrageInitiator"/>
            </w:pPr>
            <w:r>
              <w:t>Abgeordneter</w:t>
            </w:r>
            <w:r>
              <w:rPr>
                <w:b/>
              </w:rPr>
              <w:br/>
              <w:t>Elmar</w:t>
            </w:r>
            <w:r>
              <w:rPr>
                <w:b/>
              </w:rPr>
              <w:br/>
              <w:t>Hayn</w:t>
            </w:r>
            <w:r>
              <w:rPr>
                <w:b/>
              </w:rPr>
              <w:br/>
            </w:r>
            <w:r>
              <w:t>(BÜNDNIS 90/DIE GRÜNEN)</w:t>
            </w:r>
            <w:bookmarkStart w:id="113" w:name="Frage_Nr_56"/>
            <w:bookmarkEnd w:id="113"/>
          </w:p>
        </w:tc>
        <w:tc>
          <w:tcPr>
            <w:tcW w:w="7200" w:type="dxa"/>
          </w:tcPr>
          <w:p w:rsidR="00925EDE" w:rsidRDefault="009737DF" w:rsidP="00925EDE">
            <w:pPr>
              <w:pStyle w:val="LTAnfrageText"/>
            </w:pPr>
            <w:r w:rsidRPr="0067222C">
              <w:t>Ich frage die Staatsregierung, nach welchen Kriterien wurden und werden den Impfzentren, (Betriebs-)Ärztinnen bzw. Ärzten und sonstigen mit der Impfung betrauten Organisationen die, laut Staatsminister für Gesundheit und Pflege Klaus Holetschek bis Jahresende vorhandenen 7,9 Mio. Impfdosen (Stand Ende November 21) zugeteilt, welche Maßnahmen werden ergriffen, wenn im Bereich eines Gesundheitsamtes der angedachte Impfstoff nicht ausreicht für die vorhandene Nachfrage und wie viele Impfdosen sind bis Jahresende für jedes Gesundheitsamt noch vorhanden?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 xml:space="preserve">Die Gesundheitsämter und das </w:t>
      </w:r>
      <w:r w:rsidR="00F85DE7">
        <w:t>Staatsministerium für Gesundheit und Pflege (</w:t>
      </w:r>
      <w:r>
        <w:t>StMGP</w:t>
      </w:r>
      <w:r w:rsidR="00F85DE7">
        <w:t>)</w:t>
      </w:r>
      <w:r>
        <w:t xml:space="preserve"> sind an der Logistikkette und am Bestellprozess für </w:t>
      </w:r>
      <w:r w:rsidR="003439F1">
        <w:t>COVID</w:t>
      </w:r>
      <w:r>
        <w:t>-19-Impfstoffe in Bayern grundsätzlich nicht beteiligt. Die Impfstoffauslieferung sowohl an</w:t>
      </w:r>
      <w:r w:rsidR="009D355F">
        <w:t xml:space="preserve"> </w:t>
      </w:r>
      <w:r>
        <w:t>Impfzentren als auch an niedergelassene Ärztinnen und Ärzte erfolgt über die pharmazeutischen</w:t>
      </w:r>
      <w:r w:rsidR="009D355F">
        <w:t xml:space="preserve"> </w:t>
      </w:r>
      <w:r>
        <w:t>Großhändler und Apotheken im Rahmen der Regelversorgung. Die möglichen Liefermengen sind</w:t>
      </w:r>
      <w:r w:rsidR="009D355F">
        <w:t xml:space="preserve"> </w:t>
      </w:r>
      <w:r>
        <w:t>hierbei abhängig von den durch den Bund zur Verfügung gestellten Kontingenten. Eine direkte</w:t>
      </w:r>
      <w:r w:rsidR="009D355F">
        <w:t xml:space="preserve"> </w:t>
      </w:r>
      <w:r>
        <w:t>Einflussnahme auf die lokale Verteilung und Menge der gelieferten Impfstoffe ist dem StMGP</w:t>
      </w:r>
      <w:r w:rsidR="009D355F">
        <w:t xml:space="preserve"> </w:t>
      </w:r>
      <w:r>
        <w:t>vor</w:t>
      </w:r>
      <w:r w:rsidR="009D355F">
        <w:t xml:space="preserve"> </w:t>
      </w:r>
      <w:r>
        <w:t>diesem Hintergrund nicht möglich.</w:t>
      </w:r>
      <w:r w:rsidR="009D355F">
        <w:t xml:space="preserve"> </w:t>
      </w:r>
      <w:r>
        <w:t>Das Bundesministerium für Gesundheit (BMG) hat noch kei</w:t>
      </w:r>
      <w:r w:rsidR="00F85DE7">
        <w:t>ne konkreten Lieferzahlen bzw. –</w:t>
      </w:r>
      <w:r w:rsidR="009D355F">
        <w:t xml:space="preserve"> </w:t>
      </w:r>
      <w:r>
        <w:t>prognosen für einzelne Bundesländer bekannt gegeben. Bekannt ist, dass die Bestellmenge für</w:t>
      </w:r>
      <w:r w:rsidR="009D355F">
        <w:t xml:space="preserve"> </w:t>
      </w:r>
      <w:r>
        <w:t>Praxen und Impfzenten hinsichtlich des BioNTech-Impfstoffes vorerst gedeckelt bleiben wird, für den</w:t>
      </w:r>
      <w:r w:rsidR="009D355F">
        <w:t xml:space="preserve"> </w:t>
      </w:r>
      <w:r>
        <w:t>Impfstoff von Moderna sind bislang keine Bestellbeschränkungen angekündigt. Die Impfzentren</w:t>
      </w:r>
      <w:r w:rsidR="009D355F">
        <w:t xml:space="preserve"> </w:t>
      </w:r>
      <w:r>
        <w:t>haben grundsätzlich die Möglichkeit im Rahmen von Umverteilung Impfstoffe bei Bedarf anderen</w:t>
      </w:r>
      <w:r w:rsidR="009D355F">
        <w:t xml:space="preserve"> </w:t>
      </w:r>
      <w:r>
        <w:t>Impfzentren zur Verfügung zu stellen, um Verwurf von Impfstoffen zu vermeiden.</w:t>
      </w:r>
      <w:r w:rsidR="009D355F">
        <w:t xml:space="preserve"> </w:t>
      </w:r>
      <w:r>
        <w:t>Unbeschadet dessen hat die Staatsregierung gegenüber dem Bund bereits mit Nachdruck darauf</w:t>
      </w:r>
      <w:r w:rsidR="009D355F">
        <w:t xml:space="preserve"> </w:t>
      </w:r>
      <w:r>
        <w:t>hingewiesen, dass eine ausreichende Belieferung sowohl der niedergelassenen Ärztinnen und Ärzte</w:t>
      </w:r>
      <w:r w:rsidR="009D355F">
        <w:t xml:space="preserve"> </w:t>
      </w:r>
      <w:r>
        <w:t>als auch der Impfzentren erforderlich ist und entsprechende Lösungen durch das BMG gefunden</w:t>
      </w:r>
      <w:r w:rsidR="009D355F">
        <w:t xml:space="preserve"> </w:t>
      </w:r>
      <w:r>
        <w:t>werden müssen. So hat unter anderem die Gesundheitsministerkonferenz (GMK) bereits mit</w:t>
      </w:r>
      <w:r w:rsidR="009D355F">
        <w:t xml:space="preserve"> </w:t>
      </w:r>
      <w:r>
        <w:t>Beschluss vom 22.11.2021 frühzeitig appelliert, die Kontingentierung insbesondere des Impfstoffs</w:t>
      </w:r>
      <w:r w:rsidR="009D355F">
        <w:t xml:space="preserve"> </w:t>
      </w:r>
      <w:r>
        <w:t>von BioNTech schnellstmöglich z</w:t>
      </w:r>
      <w:r w:rsidR="00F85DE7">
        <w:t>u beenden. In der GMK am 06.12.</w:t>
      </w:r>
      <w:r>
        <w:t>2021 hat der Bund angekündigt,</w:t>
      </w:r>
      <w:r w:rsidR="009D355F">
        <w:t xml:space="preserve"> </w:t>
      </w:r>
      <w:r>
        <w:t>voraussichtlich kurzfristig zusätzliche Impfstoffkontingente von BioNTech für die Länder zur</w:t>
      </w:r>
      <w:r w:rsidR="009D355F">
        <w:t xml:space="preserve"> </w:t>
      </w:r>
      <w:r>
        <w:t>Verfügung zu stellen.</w:t>
      </w:r>
    </w:p>
    <w:p w:rsidR="00925EDE" w:rsidRDefault="00925EDE">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25EDE" w:rsidTr="007B0B33">
        <w:tc>
          <w:tcPr>
            <w:tcW w:w="2050" w:type="dxa"/>
          </w:tcPr>
          <w:p w:rsidR="00925EDE" w:rsidRDefault="00925EDE" w:rsidP="00925EDE">
            <w:pPr>
              <w:pStyle w:val="LTAnfrageInitiator"/>
            </w:pPr>
            <w:r>
              <w:t>Abgeordneter</w:t>
            </w:r>
            <w:r>
              <w:rPr>
                <w:b/>
              </w:rPr>
              <w:br/>
              <w:t>Dr. Wolfgang</w:t>
            </w:r>
            <w:r>
              <w:rPr>
                <w:b/>
              </w:rPr>
              <w:br/>
              <w:t>Heubisch</w:t>
            </w:r>
            <w:r>
              <w:rPr>
                <w:b/>
              </w:rPr>
              <w:br/>
            </w:r>
            <w:r>
              <w:t>(FDP)</w:t>
            </w:r>
            <w:bookmarkStart w:id="115" w:name="Frage_Nr_57"/>
            <w:bookmarkEnd w:id="115"/>
          </w:p>
        </w:tc>
        <w:tc>
          <w:tcPr>
            <w:tcW w:w="7200" w:type="dxa"/>
          </w:tcPr>
          <w:p w:rsidR="00925EDE" w:rsidRDefault="009B40EC" w:rsidP="00925EDE">
            <w:pPr>
              <w:pStyle w:val="LTAnfrageText"/>
            </w:pPr>
            <w:r w:rsidRPr="0067222C">
              <w:t>Ich frage die Staatsregierung, wer hat innerhalb des Landesamtes für Gesundheit und Lebensmittelsicherheit (LGL) bzw. innerhalb der Staatsregierung die Hinzurechnung der unbekannten Fälle unter den Corona-positiv Getesteten in Bayern zu den Ungeimpften angewiesen, wer trägt für die Prüfung, Freigabe und Weitergabe dieser Daten seitens des LGL an andere Stellen (z. B. Robert Koch-Institut, Staatsregierung) sowie an die Öffentlichkeit die Verantwortung und wer trägt diese innerhalb der Staatsregierung?</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7-Ta</w:t>
      </w:r>
      <w:r w:rsidR="00617085">
        <w:t>ge-Inzidenz nach Impfstatus, d. </w:t>
      </w:r>
      <w:r>
        <w:t>h. getrennt nach geimpften und ungeimpften Personen,</w:t>
      </w:r>
      <w:r w:rsidR="00546944">
        <w:t xml:space="preserve"> </w:t>
      </w:r>
      <w:r w:rsidR="00617085">
        <w:t>wird seit August </w:t>
      </w:r>
      <w:r>
        <w:t>2021 auf der Homepage des Landesamts für Gesundheit und</w:t>
      </w:r>
      <w:r w:rsidR="00546944">
        <w:t xml:space="preserve"> </w:t>
      </w:r>
      <w:r>
        <w:t>Lebensmittelsicherheit (LGL) berichtet und einmal in der Woche aktualisiert</w:t>
      </w:r>
      <w:r w:rsidR="00546944">
        <w:t xml:space="preserve"> </w:t>
      </w:r>
      <w:r>
        <w:t>(</w:t>
      </w:r>
      <w:hyperlink r:id="rId25" w:history="1">
        <w:r w:rsidR="00546944" w:rsidRPr="00617085">
          <w:rPr>
            <w:rStyle w:val="LTHyperlinkZchn"/>
            <w:b w:val="0"/>
          </w:rPr>
          <w:t>https://www.lgl.bayern.de/gesundheit/infektionsschutz/infektionskrankheiten_a_z/coronavirus/kart</w:t>
        </w:r>
      </w:hyperlink>
      <w:r w:rsidRPr="00617085">
        <w:rPr>
          <w:rStyle w:val="LTHyperlinkZchn"/>
          <w:b w:val="0"/>
        </w:rPr>
        <w:t>e_coronavirus/index.htm</w:t>
      </w:r>
      <w:r>
        <w:t>). Dort wird seit Beginn der Einführung dieser Kennzahlen auch auf die</w:t>
      </w:r>
      <w:r w:rsidR="00546944">
        <w:t xml:space="preserve"> </w:t>
      </w:r>
      <w:r>
        <w:t>Berechnungsgrundlagen und die Limitationen dieser Werte ausdrücklich hingewiesen. Die Zahlen</w:t>
      </w:r>
      <w:r w:rsidR="00546944">
        <w:t xml:space="preserve"> </w:t>
      </w:r>
      <w:r>
        <w:t>und die Berechnungsmethode sind daher seit Beginn an für jedermann ersichtlich und transparent</w:t>
      </w:r>
      <w:r w:rsidR="00546944">
        <w:t xml:space="preserve"> </w:t>
      </w:r>
      <w:r>
        <w:t>dargestellt.</w:t>
      </w:r>
    </w:p>
    <w:p w:rsidR="00925EDE" w:rsidRDefault="00925EDE" w:rsidP="00925EDE">
      <w:pPr>
        <w:pStyle w:val="LTAntwortRessortText"/>
      </w:pPr>
      <w:r>
        <w:t>Die Entscheidung, die Fälle mit unbekanntem Impfstatus der Inzidenz der Gruppe der Ungeimpften</w:t>
      </w:r>
      <w:r w:rsidR="00546944">
        <w:t xml:space="preserve"> </w:t>
      </w:r>
      <w:r>
        <w:t>zuzurechnen, erfolgte auf rein fachlicher Basis. Mehrere andere Länder verwenden die gleiche</w:t>
      </w:r>
      <w:r w:rsidR="00546944">
        <w:t xml:space="preserve"> </w:t>
      </w:r>
      <w:r>
        <w:t>Berechnungsmethode wie in Bayern. Auch das Robert Koch-Institut (RKI) hat bis vor einigen</w:t>
      </w:r>
      <w:r w:rsidR="00546944">
        <w:t xml:space="preserve"> </w:t>
      </w:r>
      <w:r>
        <w:t>Wochen für die Schätzung der Impfeffektivität ebenfalls die Fälle mit unbekanntem Impfstatus bei</w:t>
      </w:r>
      <w:r w:rsidR="00546944">
        <w:t xml:space="preserve"> </w:t>
      </w:r>
      <w:r>
        <w:t>der Gruppe der Ungeimpften erfasst. Zwischenzeitlich hat das RKI die Fälle mit unbekanntem</w:t>
      </w:r>
      <w:r w:rsidR="00546944">
        <w:t xml:space="preserve"> </w:t>
      </w:r>
      <w:r>
        <w:t>Impfstatus aus dieser Berechnung herausgenommen. Es ist davon auszugehen, dass dieses</w:t>
      </w:r>
      <w:r w:rsidR="00546944">
        <w:t xml:space="preserve"> </w:t>
      </w:r>
      <w:r>
        <w:t>Vorgehen bei Anwendung auf die 7-Tage-Inzidenz das später unter Berücksichtigung von</w:t>
      </w:r>
      <w:r w:rsidR="00546944">
        <w:t xml:space="preserve"> </w:t>
      </w:r>
      <w:r>
        <w:t>Nachmeldungen feststellbare tatsächliche Verhältnis der Inzidenzen von Geimpften zu</w:t>
      </w:r>
      <w:r w:rsidR="00546944">
        <w:t xml:space="preserve"> </w:t>
      </w:r>
      <w:r>
        <w:t>Ungeimpften sowie die Inzidenz der Ungeimpften deutlich unterschätzt. Es wurde daher bisher</w:t>
      </w:r>
      <w:r w:rsidR="00546944">
        <w:t xml:space="preserve"> </w:t>
      </w:r>
      <w:r>
        <w:t>vom LGL wie von mehreren anderen Ländern nicht übernommen.</w:t>
      </w:r>
    </w:p>
    <w:p w:rsidR="00925EDE" w:rsidRDefault="00925EDE" w:rsidP="00925EDE">
      <w:pPr>
        <w:pStyle w:val="LTAntwortRessortText"/>
      </w:pPr>
      <w:r>
        <w:t>Hintergrund der Berechnungsmethode ist, dass nach den bisherigen Erfahrungswerten die weit</w:t>
      </w:r>
      <w:r w:rsidR="00546944">
        <w:t xml:space="preserve"> </w:t>
      </w:r>
      <w:r>
        <w:t>überwiegende Anzahl der Fälle zunächst mit unbekanntem Imfpstatus tatsächlich auch ungeimpft</w:t>
      </w:r>
      <w:r w:rsidR="00546944">
        <w:t xml:space="preserve"> </w:t>
      </w:r>
      <w:r>
        <w:t>waren. So lag die Information über den Impfstatus i</w:t>
      </w:r>
      <w:r w:rsidR="00617085">
        <w:t>n den Monaten September/Oktober </w:t>
      </w:r>
      <w:r>
        <w:t>2021 bei</w:t>
      </w:r>
      <w:r w:rsidR="00546944">
        <w:t xml:space="preserve"> </w:t>
      </w:r>
      <w:r>
        <w:t>den tagesaktuelle</w:t>
      </w:r>
      <w:r w:rsidR="00617085">
        <w:t>n Erstmeldungen bei ca. 60 </w:t>
      </w:r>
      <w:r w:rsidR="003439F1">
        <w:t>Prozent</w:t>
      </w:r>
      <w:r>
        <w:t xml:space="preserve"> der Meldefälle. Im Verlauf von vier Wochen</w:t>
      </w:r>
      <w:r w:rsidR="00546944">
        <w:t xml:space="preserve"> </w:t>
      </w:r>
      <w:r>
        <w:t>vervollständigten sich d</w:t>
      </w:r>
      <w:r w:rsidR="00617085">
        <w:t>iese Meldungen dann auf ca. 80 – 90 </w:t>
      </w:r>
      <w:r w:rsidR="003439F1">
        <w:t>Prozent</w:t>
      </w:r>
      <w:r>
        <w:t xml:space="preserve"> der Meldefälle. Auf dieser Basis</w:t>
      </w:r>
      <w:r w:rsidR="00546944">
        <w:t xml:space="preserve"> </w:t>
      </w:r>
      <w:r>
        <w:t>bestätigte sich die Annahme, dass die Personen mit zunächst unbekanntem Impfstatus ganz</w:t>
      </w:r>
      <w:r w:rsidR="00546944">
        <w:t xml:space="preserve"> </w:t>
      </w:r>
      <w:r>
        <w:t>überwiegend den Ungeimpften zuzurechnen waren. Die entsprechenden Zahlen des LGL haben</w:t>
      </w:r>
      <w:r w:rsidR="00546944">
        <w:t xml:space="preserve"> </w:t>
      </w:r>
      <w:r>
        <w:t>allgemein Verwendung gefunden</w:t>
      </w:r>
      <w:r w:rsidR="00617085">
        <w:t>.</w:t>
      </w:r>
    </w:p>
    <w:p w:rsidR="00925EDE" w:rsidRDefault="00925EDE" w:rsidP="00546944">
      <w:pPr>
        <w:pStyle w:val="LTAntwortRessortText"/>
      </w:pPr>
      <w:r>
        <w:t>Das LGL prüft derzeit, wie angesichts der aktuellen Meldeverzüge der Gesundheitsbehörden, die</w:t>
      </w:r>
      <w:r w:rsidR="00546944">
        <w:t xml:space="preserve"> </w:t>
      </w:r>
      <w:r>
        <w:t>durch die sehr hohen Infektionszahlen begründet sind, zukünftig Daten über den Impfstatus</w:t>
      </w:r>
      <w:r w:rsidR="00546944">
        <w:t xml:space="preserve"> </w:t>
      </w:r>
      <w:r>
        <w:t>berichtet werden können. Dazu steht das LGL auch mit den zuständigen Behörden der anderen</w:t>
      </w:r>
      <w:r w:rsidR="00546944">
        <w:t xml:space="preserve"> </w:t>
      </w:r>
      <w:r>
        <w:t>Länder sowie dem RKI in engem fachlichen Austausch.</w:t>
      </w:r>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925EDE" w:rsidTr="007B0B33">
        <w:tc>
          <w:tcPr>
            <w:tcW w:w="2050" w:type="dxa"/>
          </w:tcPr>
          <w:p w:rsidR="00925EDE" w:rsidRDefault="00925EDE" w:rsidP="00925EDE">
            <w:pPr>
              <w:pStyle w:val="LTAnfrageInitiator"/>
            </w:pPr>
            <w:r>
              <w:t>Abgeordnete</w:t>
            </w:r>
            <w:r>
              <w:rPr>
                <w:b/>
              </w:rPr>
              <w:br/>
              <w:t>Alexandra</w:t>
            </w:r>
            <w:r>
              <w:rPr>
                <w:b/>
              </w:rPr>
              <w:br/>
              <w:t>Hiersemann</w:t>
            </w:r>
            <w:r>
              <w:rPr>
                <w:b/>
              </w:rPr>
              <w:br/>
            </w:r>
            <w:r>
              <w:t>(SPD)</w:t>
            </w:r>
            <w:bookmarkStart w:id="117" w:name="Frage_Nr_58"/>
            <w:bookmarkEnd w:id="117"/>
          </w:p>
        </w:tc>
        <w:tc>
          <w:tcPr>
            <w:tcW w:w="7200" w:type="dxa"/>
          </w:tcPr>
          <w:p w:rsidR="00925EDE" w:rsidRDefault="009B40EC" w:rsidP="00925EDE">
            <w:pPr>
              <w:pStyle w:val="LTAnfrageText"/>
            </w:pPr>
            <w:r w:rsidRPr="0067222C">
              <w:t>Ich frage die Staatsregierung vor dem Hintergrund, dass Kommunen nach § 7c Sozialgesetzbuch (SGB) Elftes Buch (XI) bis zum 31.12.2023 ein befristetes Initiativrecht zur Einrichtung von Pflegestützpunkten haben, welche kommunalen Gebietskörperschaften in Bayern bereits einen Pflegestützpunkt haben bzw. einen Pflegestützpunkt vorbereiten und nach welchem Finanzierungsmodell (Kooperations- oder Angestelltenmodell) diese jeweils geführt bzw. geplant sind (bitte aufgeschlüsselt nach Regierungsbezirken und Finanzierungsgrundlage angeben)?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 xml:space="preserve">Im Freistaat Bayern ist -auch aufgrund der Fördermöglichkeiten seitens des </w:t>
      </w:r>
      <w:r w:rsidR="00977C7E">
        <w:t>Staatsministeriums für Gesundheit und Pflege (</w:t>
      </w:r>
      <w:r>
        <w:t>StMGP</w:t>
      </w:r>
      <w:r w:rsidR="00977C7E">
        <w:t>)</w:t>
      </w:r>
      <w:r>
        <w:t xml:space="preserve"> in Form einer</w:t>
      </w:r>
      <w:r w:rsidR="003C68DE">
        <w:t xml:space="preserve"> </w:t>
      </w:r>
      <w:r w:rsidR="00977C7E">
        <w:t>Anschub- und Regelförderung –</w:t>
      </w:r>
      <w:r>
        <w:t xml:space="preserve"> eine sehr erfreuliche Entwicklung zu verzeichnen. Nach dem</w:t>
      </w:r>
      <w:r w:rsidR="003C68DE">
        <w:t xml:space="preserve"> </w:t>
      </w:r>
      <w:r>
        <w:t xml:space="preserve">Informationsstand des </w:t>
      </w:r>
      <w:r w:rsidR="00C14DFE">
        <w:t>St</w:t>
      </w:r>
      <w:r>
        <w:t>MGP und des Bayerische</w:t>
      </w:r>
      <w:r w:rsidR="00C14DFE">
        <w:t>n</w:t>
      </w:r>
      <w:r>
        <w:t xml:space="preserve"> Landesamt</w:t>
      </w:r>
      <w:r w:rsidR="00C14DFE">
        <w:t>s</w:t>
      </w:r>
      <w:r>
        <w:t xml:space="preserve"> für Pflege (LfP) stellt sich die aktuelle</w:t>
      </w:r>
      <w:r w:rsidR="003C68DE">
        <w:t xml:space="preserve"> </w:t>
      </w:r>
      <w:r>
        <w:t>Situation wie folgt dar:</w:t>
      </w:r>
    </w:p>
    <w:p w:rsidR="00404D41" w:rsidRDefault="00404D41" w:rsidP="00925EDE">
      <w:pPr>
        <w:pStyle w:val="LTAntwortRessortText"/>
      </w:pPr>
    </w:p>
    <w:p w:rsidR="00404D41" w:rsidRPr="00404D41" w:rsidRDefault="00404D41" w:rsidP="00387377">
      <w:pPr>
        <w:pStyle w:val="berschrift1"/>
        <w:numPr>
          <w:ilvl w:val="0"/>
          <w:numId w:val="33"/>
        </w:numPr>
        <w:tabs>
          <w:tab w:val="left" w:pos="479"/>
        </w:tabs>
        <w:ind w:left="703" w:hanging="363"/>
        <w:rPr>
          <w:sz w:val="20"/>
          <w:szCs w:val="20"/>
        </w:rPr>
      </w:pPr>
      <w:r w:rsidRPr="00404D41">
        <w:rPr>
          <w:sz w:val="20"/>
          <w:szCs w:val="20"/>
        </w:rPr>
        <w:t>31 Pflegestützpunkte in</w:t>
      </w:r>
      <w:r w:rsidRPr="00404D41">
        <w:rPr>
          <w:spacing w:val="-1"/>
          <w:sz w:val="20"/>
          <w:szCs w:val="20"/>
        </w:rPr>
        <w:t xml:space="preserve"> </w:t>
      </w:r>
      <w:r w:rsidRPr="00404D41">
        <w:rPr>
          <w:sz w:val="20"/>
          <w:szCs w:val="20"/>
        </w:rPr>
        <w:t>Betrieb</w:t>
      </w:r>
    </w:p>
    <w:p w:rsidR="00404D41" w:rsidRPr="00404D41" w:rsidRDefault="00404D41" w:rsidP="00C14DFE">
      <w:pPr>
        <w:pStyle w:val="Listenabsatz"/>
        <w:numPr>
          <w:ilvl w:val="1"/>
          <w:numId w:val="36"/>
        </w:numPr>
        <w:tabs>
          <w:tab w:val="left" w:pos="1198"/>
          <w:tab w:val="left" w:pos="1199"/>
        </w:tabs>
        <w:spacing w:before="128"/>
        <w:ind w:left="1037" w:hanging="357"/>
        <w:rPr>
          <w:sz w:val="20"/>
          <w:szCs w:val="20"/>
        </w:rPr>
      </w:pPr>
      <w:r w:rsidRPr="00404D41">
        <w:rPr>
          <w:sz w:val="20"/>
          <w:szCs w:val="20"/>
        </w:rPr>
        <w:t>13 in Oberbayern, davon 11 im Angestelltenmodell</w:t>
      </w:r>
    </w:p>
    <w:p w:rsidR="00404D41" w:rsidRPr="00404D41" w:rsidRDefault="00404D41" w:rsidP="00C14DFE">
      <w:pPr>
        <w:pStyle w:val="Listenabsatz"/>
        <w:numPr>
          <w:ilvl w:val="1"/>
          <w:numId w:val="36"/>
        </w:numPr>
        <w:tabs>
          <w:tab w:val="left" w:pos="1198"/>
          <w:tab w:val="left" w:pos="1199"/>
        </w:tabs>
        <w:ind w:left="1037" w:hanging="357"/>
        <w:rPr>
          <w:sz w:val="20"/>
          <w:szCs w:val="20"/>
        </w:rPr>
      </w:pPr>
      <w:r w:rsidRPr="00404D41">
        <w:rPr>
          <w:sz w:val="20"/>
          <w:szCs w:val="20"/>
        </w:rPr>
        <w:t>8 in</w:t>
      </w:r>
      <w:r w:rsidRPr="00404D41">
        <w:rPr>
          <w:spacing w:val="1"/>
          <w:sz w:val="20"/>
          <w:szCs w:val="20"/>
        </w:rPr>
        <w:t xml:space="preserve"> </w:t>
      </w:r>
      <w:r w:rsidRPr="00404D41">
        <w:rPr>
          <w:sz w:val="20"/>
          <w:szCs w:val="20"/>
        </w:rPr>
        <w:t>Unterfranken</w:t>
      </w:r>
    </w:p>
    <w:p w:rsidR="00404D41" w:rsidRPr="00404D41" w:rsidRDefault="00404D41" w:rsidP="00387377">
      <w:pPr>
        <w:pStyle w:val="Listenabsatz"/>
        <w:numPr>
          <w:ilvl w:val="2"/>
          <w:numId w:val="33"/>
        </w:numPr>
        <w:tabs>
          <w:tab w:val="left" w:pos="1678"/>
          <w:tab w:val="left" w:pos="1679"/>
        </w:tabs>
        <w:spacing w:before="127"/>
        <w:ind w:left="1384" w:hanging="363"/>
        <w:rPr>
          <w:sz w:val="20"/>
          <w:szCs w:val="20"/>
        </w:rPr>
      </w:pPr>
      <w:r w:rsidRPr="00404D41">
        <w:rPr>
          <w:sz w:val="20"/>
          <w:szCs w:val="20"/>
        </w:rPr>
        <w:t>5 im</w:t>
      </w:r>
      <w:r w:rsidRPr="00404D41">
        <w:rPr>
          <w:spacing w:val="2"/>
          <w:sz w:val="20"/>
          <w:szCs w:val="20"/>
        </w:rPr>
        <w:t xml:space="preserve"> </w:t>
      </w:r>
      <w:r w:rsidRPr="00404D41">
        <w:rPr>
          <w:sz w:val="20"/>
          <w:szCs w:val="20"/>
        </w:rPr>
        <w:t>Angestelltenmodell</w:t>
      </w:r>
    </w:p>
    <w:p w:rsidR="00404D41" w:rsidRPr="00404D41" w:rsidRDefault="00404D41" w:rsidP="00387377">
      <w:pPr>
        <w:pStyle w:val="Listenabsatz"/>
        <w:numPr>
          <w:ilvl w:val="2"/>
          <w:numId w:val="33"/>
        </w:numPr>
        <w:tabs>
          <w:tab w:val="left" w:pos="1678"/>
          <w:tab w:val="left" w:pos="1679"/>
        </w:tabs>
        <w:spacing w:before="107"/>
        <w:ind w:left="1384" w:hanging="363"/>
        <w:rPr>
          <w:sz w:val="20"/>
          <w:szCs w:val="20"/>
        </w:rPr>
      </w:pPr>
      <w:r w:rsidRPr="00404D41">
        <w:rPr>
          <w:sz w:val="20"/>
          <w:szCs w:val="20"/>
        </w:rPr>
        <w:t>3 im</w:t>
      </w:r>
      <w:r w:rsidRPr="00404D41">
        <w:rPr>
          <w:spacing w:val="2"/>
          <w:sz w:val="20"/>
          <w:szCs w:val="20"/>
        </w:rPr>
        <w:t xml:space="preserve"> </w:t>
      </w:r>
      <w:r w:rsidRPr="00404D41">
        <w:rPr>
          <w:sz w:val="20"/>
          <w:szCs w:val="20"/>
        </w:rPr>
        <w:t>Kooperationsmodell</w:t>
      </w:r>
    </w:p>
    <w:p w:rsidR="00404D41" w:rsidRPr="00404D41" w:rsidRDefault="00404D41" w:rsidP="00C14DFE">
      <w:pPr>
        <w:pStyle w:val="Listenabsatz"/>
        <w:numPr>
          <w:ilvl w:val="0"/>
          <w:numId w:val="35"/>
        </w:numPr>
        <w:tabs>
          <w:tab w:val="left" w:pos="1111"/>
          <w:tab w:val="left" w:pos="1113"/>
        </w:tabs>
        <w:spacing w:before="106"/>
        <w:rPr>
          <w:sz w:val="20"/>
          <w:szCs w:val="20"/>
        </w:rPr>
      </w:pPr>
      <w:r w:rsidRPr="00404D41">
        <w:rPr>
          <w:sz w:val="20"/>
          <w:szCs w:val="20"/>
        </w:rPr>
        <w:t>5 in</w:t>
      </w:r>
      <w:r w:rsidRPr="00404D41">
        <w:rPr>
          <w:spacing w:val="1"/>
          <w:sz w:val="20"/>
          <w:szCs w:val="20"/>
        </w:rPr>
        <w:t xml:space="preserve"> </w:t>
      </w:r>
      <w:r w:rsidRPr="00404D41">
        <w:rPr>
          <w:sz w:val="20"/>
          <w:szCs w:val="20"/>
        </w:rPr>
        <w:t>Mittelfranken</w:t>
      </w:r>
    </w:p>
    <w:p w:rsidR="00404D41" w:rsidRPr="00404D41" w:rsidRDefault="00404D41" w:rsidP="00387377">
      <w:pPr>
        <w:pStyle w:val="Listenabsatz"/>
        <w:numPr>
          <w:ilvl w:val="1"/>
          <w:numId w:val="32"/>
        </w:numPr>
        <w:tabs>
          <w:tab w:val="left" w:pos="1678"/>
          <w:tab w:val="left" w:pos="1679"/>
        </w:tabs>
        <w:spacing w:before="125"/>
        <w:ind w:left="1384" w:hanging="363"/>
        <w:rPr>
          <w:sz w:val="20"/>
          <w:szCs w:val="20"/>
        </w:rPr>
      </w:pPr>
      <w:r w:rsidRPr="00404D41">
        <w:rPr>
          <w:sz w:val="20"/>
          <w:szCs w:val="20"/>
        </w:rPr>
        <w:t>3 im</w:t>
      </w:r>
      <w:r w:rsidRPr="00404D41">
        <w:rPr>
          <w:spacing w:val="2"/>
          <w:sz w:val="20"/>
          <w:szCs w:val="20"/>
        </w:rPr>
        <w:t xml:space="preserve"> </w:t>
      </w:r>
      <w:r w:rsidRPr="00404D41">
        <w:rPr>
          <w:sz w:val="20"/>
          <w:szCs w:val="20"/>
        </w:rPr>
        <w:t>Angestelltenmodell</w:t>
      </w:r>
    </w:p>
    <w:p w:rsidR="00404D41" w:rsidRPr="00404D41" w:rsidRDefault="00404D41" w:rsidP="00387377">
      <w:pPr>
        <w:pStyle w:val="Listenabsatz"/>
        <w:numPr>
          <w:ilvl w:val="1"/>
          <w:numId w:val="32"/>
        </w:numPr>
        <w:tabs>
          <w:tab w:val="left" w:pos="1678"/>
          <w:tab w:val="left" w:pos="1679"/>
        </w:tabs>
        <w:spacing w:before="106"/>
        <w:ind w:left="1384" w:hanging="363"/>
        <w:rPr>
          <w:sz w:val="20"/>
          <w:szCs w:val="20"/>
        </w:rPr>
      </w:pPr>
      <w:r w:rsidRPr="00404D41">
        <w:rPr>
          <w:sz w:val="20"/>
          <w:szCs w:val="20"/>
        </w:rPr>
        <w:t>2 im</w:t>
      </w:r>
      <w:r w:rsidRPr="00404D41">
        <w:rPr>
          <w:spacing w:val="2"/>
          <w:sz w:val="20"/>
          <w:szCs w:val="20"/>
        </w:rPr>
        <w:t xml:space="preserve"> </w:t>
      </w:r>
      <w:r w:rsidRPr="00404D41">
        <w:rPr>
          <w:sz w:val="20"/>
          <w:szCs w:val="20"/>
        </w:rPr>
        <w:t>Kooperationsmodell</w:t>
      </w:r>
    </w:p>
    <w:p w:rsidR="00404D41" w:rsidRPr="00404D41" w:rsidRDefault="00404D41" w:rsidP="00C14DFE">
      <w:pPr>
        <w:pStyle w:val="Listenabsatz"/>
        <w:numPr>
          <w:ilvl w:val="0"/>
          <w:numId w:val="35"/>
        </w:numPr>
        <w:tabs>
          <w:tab w:val="left" w:pos="1198"/>
          <w:tab w:val="left" w:pos="1199"/>
        </w:tabs>
        <w:spacing w:before="107"/>
        <w:rPr>
          <w:sz w:val="20"/>
          <w:szCs w:val="20"/>
        </w:rPr>
      </w:pPr>
      <w:r w:rsidRPr="00404D41">
        <w:rPr>
          <w:sz w:val="20"/>
          <w:szCs w:val="20"/>
        </w:rPr>
        <w:t>4 in Schwaben, im</w:t>
      </w:r>
      <w:r w:rsidRPr="00404D41">
        <w:rPr>
          <w:spacing w:val="4"/>
          <w:sz w:val="20"/>
          <w:szCs w:val="20"/>
        </w:rPr>
        <w:t xml:space="preserve"> </w:t>
      </w:r>
      <w:r w:rsidRPr="00404D41">
        <w:rPr>
          <w:sz w:val="20"/>
          <w:szCs w:val="20"/>
        </w:rPr>
        <w:t>Angestelltenmodell</w:t>
      </w:r>
    </w:p>
    <w:p w:rsidR="00404D41" w:rsidRPr="00404D41" w:rsidRDefault="00404D41" w:rsidP="00C14DFE">
      <w:pPr>
        <w:pStyle w:val="Listenabsatz"/>
        <w:numPr>
          <w:ilvl w:val="0"/>
          <w:numId w:val="35"/>
        </w:numPr>
        <w:tabs>
          <w:tab w:val="left" w:pos="1198"/>
          <w:tab w:val="left" w:pos="1199"/>
        </w:tabs>
        <w:spacing w:before="126"/>
        <w:rPr>
          <w:sz w:val="20"/>
          <w:szCs w:val="20"/>
        </w:rPr>
      </w:pPr>
      <w:r w:rsidRPr="00404D41">
        <w:rPr>
          <w:sz w:val="20"/>
          <w:szCs w:val="20"/>
        </w:rPr>
        <w:t>1 in</w:t>
      </w:r>
      <w:r w:rsidRPr="00404D41">
        <w:rPr>
          <w:spacing w:val="1"/>
          <w:sz w:val="20"/>
          <w:szCs w:val="20"/>
        </w:rPr>
        <w:t xml:space="preserve"> </w:t>
      </w:r>
      <w:r w:rsidRPr="00404D41">
        <w:rPr>
          <w:sz w:val="20"/>
          <w:szCs w:val="20"/>
        </w:rPr>
        <w:t>Oberfranken</w:t>
      </w:r>
    </w:p>
    <w:p w:rsidR="00925EDE" w:rsidRDefault="00404D41" w:rsidP="00387377">
      <w:pPr>
        <w:pStyle w:val="Listenabsatz"/>
        <w:numPr>
          <w:ilvl w:val="0"/>
          <w:numId w:val="30"/>
        </w:numPr>
        <w:tabs>
          <w:tab w:val="left" w:pos="1187"/>
        </w:tabs>
        <w:spacing w:before="125" w:line="360" w:lineRule="auto"/>
        <w:ind w:left="1037" w:right="102" w:hanging="357"/>
      </w:pPr>
      <w:r w:rsidRPr="00404D41">
        <w:rPr>
          <w:sz w:val="20"/>
          <w:szCs w:val="20"/>
        </w:rPr>
        <w:t>Insgesamt 23 im Angestelltenmodell und 5 im Kooperationsmodell, im Übrigen ist die Finanzierungsgrundlage</w:t>
      </w:r>
      <w:r w:rsidRPr="00404D41">
        <w:rPr>
          <w:spacing w:val="-5"/>
          <w:sz w:val="20"/>
          <w:szCs w:val="20"/>
        </w:rPr>
        <w:t xml:space="preserve"> </w:t>
      </w:r>
      <w:r w:rsidR="00977C7E">
        <w:rPr>
          <w:sz w:val="20"/>
          <w:szCs w:val="20"/>
        </w:rPr>
        <w:t>unbekannt.</w:t>
      </w:r>
    </w:p>
    <w:p w:rsidR="00925EDE" w:rsidRDefault="00925EDE" w:rsidP="00925EDE">
      <w:pPr>
        <w:pStyle w:val="LTAntwortRessortText"/>
      </w:pPr>
      <w:r>
        <w:t>Die Liste der in Betrieb befindlichen Pflegestützpunkte findet sich unter</w:t>
      </w:r>
      <w:r w:rsidR="00404D41">
        <w:t xml:space="preserve"> </w:t>
      </w:r>
      <w:hyperlink r:id="rId26" w:history="1">
        <w:r w:rsidRPr="00977C7E">
          <w:rPr>
            <w:rStyle w:val="LTHyperlinkZchn"/>
            <w:b w:val="0"/>
          </w:rPr>
          <w:t>https://www.stmgp.bayern.de/pflege/pflegestuetzpunkte/</w:t>
        </w:r>
      </w:hyperlink>
      <w:r>
        <w:t>.</w:t>
      </w:r>
    </w:p>
    <w:p w:rsidR="00404D41" w:rsidRDefault="00404D41" w:rsidP="00387377">
      <w:pPr>
        <w:pStyle w:val="berschrift1"/>
        <w:numPr>
          <w:ilvl w:val="0"/>
          <w:numId w:val="33"/>
        </w:numPr>
        <w:tabs>
          <w:tab w:val="left" w:pos="479"/>
        </w:tabs>
        <w:spacing w:before="94"/>
        <w:ind w:left="703" w:hanging="363"/>
      </w:pPr>
      <w:r>
        <w:t>17 Pflegestützpunkte im</w:t>
      </w:r>
      <w:r w:rsidRPr="003F4EF0">
        <w:rPr>
          <w:spacing w:val="2"/>
        </w:rPr>
        <w:t xml:space="preserve"> </w:t>
      </w:r>
      <w:r w:rsidRPr="003F4EF0">
        <w:rPr>
          <w:spacing w:val="-2"/>
        </w:rPr>
        <w:t>Aufbau</w:t>
      </w:r>
    </w:p>
    <w:p w:rsidR="00404D41" w:rsidRDefault="00404D41" w:rsidP="00C14DFE">
      <w:pPr>
        <w:pStyle w:val="Listenabsatz"/>
        <w:numPr>
          <w:ilvl w:val="1"/>
          <w:numId w:val="37"/>
        </w:numPr>
        <w:tabs>
          <w:tab w:val="left" w:pos="1198"/>
          <w:tab w:val="left" w:pos="1199"/>
        </w:tabs>
        <w:spacing w:before="181"/>
        <w:ind w:left="1043" w:hanging="363"/>
      </w:pPr>
      <w:r>
        <w:t>5 in</w:t>
      </w:r>
      <w:r>
        <w:rPr>
          <w:spacing w:val="1"/>
        </w:rPr>
        <w:t xml:space="preserve"> </w:t>
      </w:r>
      <w:r>
        <w:t>Oberbayern</w:t>
      </w:r>
    </w:p>
    <w:p w:rsidR="00404D41" w:rsidRDefault="00404D41" w:rsidP="00C14DFE">
      <w:pPr>
        <w:pStyle w:val="Listenabsatz"/>
        <w:numPr>
          <w:ilvl w:val="1"/>
          <w:numId w:val="37"/>
        </w:numPr>
        <w:tabs>
          <w:tab w:val="left" w:pos="1198"/>
          <w:tab w:val="left" w:pos="1199"/>
        </w:tabs>
        <w:ind w:left="1043" w:hanging="363"/>
      </w:pPr>
      <w:r>
        <w:t>4 in</w:t>
      </w:r>
      <w:r>
        <w:rPr>
          <w:spacing w:val="1"/>
        </w:rPr>
        <w:t xml:space="preserve"> </w:t>
      </w:r>
      <w:r>
        <w:t>Schwaben</w:t>
      </w:r>
    </w:p>
    <w:p w:rsidR="00404D41" w:rsidRDefault="00404D41" w:rsidP="00C14DFE">
      <w:pPr>
        <w:pStyle w:val="Listenabsatz"/>
        <w:numPr>
          <w:ilvl w:val="1"/>
          <w:numId w:val="37"/>
        </w:numPr>
        <w:tabs>
          <w:tab w:val="left" w:pos="1198"/>
          <w:tab w:val="left" w:pos="1199"/>
        </w:tabs>
        <w:spacing w:before="125"/>
        <w:ind w:left="1043" w:hanging="363"/>
      </w:pPr>
      <w:r>
        <w:t>2 in</w:t>
      </w:r>
      <w:r>
        <w:rPr>
          <w:spacing w:val="1"/>
        </w:rPr>
        <w:t xml:space="preserve"> </w:t>
      </w:r>
      <w:r>
        <w:t>Unterfranken</w:t>
      </w:r>
    </w:p>
    <w:p w:rsidR="00404D41" w:rsidRDefault="00404D41" w:rsidP="00C14DFE">
      <w:pPr>
        <w:pStyle w:val="Listenabsatz"/>
        <w:numPr>
          <w:ilvl w:val="1"/>
          <w:numId w:val="37"/>
        </w:numPr>
        <w:tabs>
          <w:tab w:val="left" w:pos="1198"/>
          <w:tab w:val="left" w:pos="1199"/>
        </w:tabs>
        <w:spacing w:before="126"/>
        <w:ind w:left="1043" w:hanging="363"/>
      </w:pPr>
      <w:r>
        <w:t>2 in Mittelfranken, davon 1 im Angestelltenmodell</w:t>
      </w:r>
    </w:p>
    <w:p w:rsidR="00404D41" w:rsidRDefault="00404D41" w:rsidP="00C14DFE">
      <w:pPr>
        <w:pStyle w:val="Listenabsatz"/>
        <w:numPr>
          <w:ilvl w:val="1"/>
          <w:numId w:val="37"/>
        </w:numPr>
        <w:tabs>
          <w:tab w:val="left" w:pos="1198"/>
          <w:tab w:val="left" w:pos="1199"/>
        </w:tabs>
        <w:ind w:left="1043" w:hanging="363"/>
      </w:pPr>
      <w:r>
        <w:t>2 in</w:t>
      </w:r>
      <w:r>
        <w:rPr>
          <w:spacing w:val="1"/>
        </w:rPr>
        <w:t xml:space="preserve"> </w:t>
      </w:r>
      <w:r>
        <w:t>Oberfranken</w:t>
      </w:r>
    </w:p>
    <w:p w:rsidR="00404D41" w:rsidRDefault="00404D41" w:rsidP="00C14DFE">
      <w:pPr>
        <w:pStyle w:val="Listenabsatz"/>
        <w:numPr>
          <w:ilvl w:val="1"/>
          <w:numId w:val="38"/>
        </w:numPr>
        <w:tabs>
          <w:tab w:val="left" w:pos="1198"/>
          <w:tab w:val="left" w:pos="1199"/>
        </w:tabs>
        <w:ind w:left="1043" w:hanging="363"/>
      </w:pPr>
      <w:r>
        <w:t>1 in Niederbayern, im</w:t>
      </w:r>
      <w:r>
        <w:rPr>
          <w:spacing w:val="-19"/>
        </w:rPr>
        <w:t xml:space="preserve"> </w:t>
      </w:r>
      <w:r>
        <w:t>Angestelltenmodell</w:t>
      </w:r>
    </w:p>
    <w:p w:rsidR="00404D41" w:rsidRDefault="00404D41" w:rsidP="00C14DFE">
      <w:pPr>
        <w:pStyle w:val="Listenabsatz"/>
        <w:numPr>
          <w:ilvl w:val="1"/>
          <w:numId w:val="38"/>
        </w:numPr>
        <w:tabs>
          <w:tab w:val="left" w:pos="1198"/>
          <w:tab w:val="left" w:pos="1199"/>
        </w:tabs>
        <w:spacing w:before="127"/>
        <w:ind w:left="1043" w:hanging="363"/>
      </w:pPr>
      <w:r>
        <w:t>1 in der Oberpfalz, im</w:t>
      </w:r>
      <w:r>
        <w:rPr>
          <w:spacing w:val="-18"/>
        </w:rPr>
        <w:t xml:space="preserve"> </w:t>
      </w:r>
      <w:r>
        <w:t>Angestelltenmodell</w:t>
      </w:r>
    </w:p>
    <w:p w:rsidR="00404D41" w:rsidRDefault="00404D41" w:rsidP="00387377">
      <w:pPr>
        <w:pStyle w:val="Listenabsatz"/>
        <w:numPr>
          <w:ilvl w:val="0"/>
          <w:numId w:val="34"/>
        </w:numPr>
        <w:tabs>
          <w:tab w:val="left" w:pos="1187"/>
        </w:tabs>
        <w:spacing w:line="360" w:lineRule="auto"/>
        <w:ind w:left="1037" w:right="1009" w:hanging="357"/>
      </w:pPr>
      <w:r>
        <w:t>Insgesamt 3 im Angestelltenmodell, im Übrigen ist die Finanzierungsgrundlage unbekannt.</w:t>
      </w:r>
    </w:p>
    <w:p w:rsidR="00925EDE" w:rsidRDefault="00925EDE" w:rsidP="00925EDE">
      <w:pPr>
        <w:pStyle w:val="LTAntwortRessortText"/>
      </w:pPr>
      <w:r>
        <w:t>Die Informationen über die Wahl des Organisationsmodells eines Pflegestützpunktes werden</w:t>
      </w:r>
      <w:r w:rsidR="00404D41">
        <w:t xml:space="preserve"> </w:t>
      </w:r>
      <w:r>
        <w:t>durch das LfP aus den vorliegenden Anträgen auf Förderung nach den Grundsätzen zur</w:t>
      </w:r>
      <w:r w:rsidR="00404D41">
        <w:t xml:space="preserve"> </w:t>
      </w:r>
      <w:r>
        <w:t>Fö</w:t>
      </w:r>
      <w:r w:rsidR="00977C7E">
        <w:t>rderung von Pflegestützpunkten – Hinweise für Antragsteller – und nach Nr. </w:t>
      </w:r>
      <w:r>
        <w:t>3 der Richtlinie</w:t>
      </w:r>
      <w:r w:rsidR="00404D41">
        <w:t xml:space="preserve"> </w:t>
      </w:r>
      <w:r>
        <w:t xml:space="preserve">für die Förderung im </w:t>
      </w:r>
      <w:r w:rsidR="003439F1">
        <w:t>„</w:t>
      </w:r>
      <w:r>
        <w:t>Bayerischen Netzwerk Pflege</w:t>
      </w:r>
      <w:r w:rsidR="003439F1">
        <w:t>“</w:t>
      </w:r>
      <w:r>
        <w:t xml:space="preserve"> erfasst.</w:t>
      </w:r>
    </w:p>
    <w:p w:rsidR="00925EDE" w:rsidRDefault="00925EDE" w:rsidP="00925EDE">
      <w:pPr>
        <w:pStyle w:val="LTAntwortRessortText"/>
      </w:pPr>
      <w:r>
        <w:t>Für Auskünfte bzgl. des Rahmenvertrags zur Arbeit und zur Finanzierung der Pflegestützpunkte</w:t>
      </w:r>
      <w:r w:rsidR="00404D41">
        <w:t xml:space="preserve"> </w:t>
      </w:r>
      <w:r w:rsidR="00977C7E">
        <w:t>nach § 7c Abs. 6 SGB </w:t>
      </w:r>
      <w:r>
        <w:t xml:space="preserve">XI in Bayern ist die bei der Selbstverwaltung angesiedelte </w:t>
      </w:r>
      <w:r w:rsidR="003439F1">
        <w:t>„</w:t>
      </w:r>
      <w:r>
        <w:t>Kommission</w:t>
      </w:r>
      <w:r w:rsidR="00404D41">
        <w:t xml:space="preserve"> </w:t>
      </w:r>
      <w:r>
        <w:t>Pflegestützpunkte</w:t>
      </w:r>
      <w:r w:rsidR="003439F1">
        <w:t>“</w:t>
      </w:r>
      <w:r>
        <w:t xml:space="preserve"> zuständig. Das StMGP ist an den Verhandlungen zu dem Vertrag nicht</w:t>
      </w:r>
      <w:r w:rsidR="00404D41">
        <w:t xml:space="preserve"> </w:t>
      </w:r>
      <w:r>
        <w:t>beteiligt.</w:t>
      </w:r>
    </w:p>
    <w:p w:rsidR="00925EDE" w:rsidRDefault="00925EDE">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925EDE" w:rsidTr="007B0B33">
        <w:tc>
          <w:tcPr>
            <w:tcW w:w="2050" w:type="dxa"/>
          </w:tcPr>
          <w:p w:rsidR="00925EDE" w:rsidRDefault="00925EDE" w:rsidP="00925EDE">
            <w:pPr>
              <w:pStyle w:val="LTAnfrageInitiator"/>
            </w:pPr>
            <w:r>
              <w:t>Abgeordneter</w:t>
            </w:r>
            <w:r>
              <w:rPr>
                <w:b/>
              </w:rPr>
              <w:br/>
              <w:t>Sebastian</w:t>
            </w:r>
            <w:r>
              <w:rPr>
                <w:b/>
              </w:rPr>
              <w:br/>
              <w:t>Körber</w:t>
            </w:r>
            <w:r>
              <w:rPr>
                <w:b/>
              </w:rPr>
              <w:br/>
            </w:r>
            <w:r>
              <w:t>(FDP)</w:t>
            </w:r>
            <w:bookmarkStart w:id="119" w:name="Frage_Nr_59"/>
            <w:bookmarkEnd w:id="119"/>
          </w:p>
        </w:tc>
        <w:tc>
          <w:tcPr>
            <w:tcW w:w="7200" w:type="dxa"/>
          </w:tcPr>
          <w:p w:rsidR="00925EDE" w:rsidRDefault="009B40EC" w:rsidP="00925EDE">
            <w:pPr>
              <w:pStyle w:val="LTAnfrageText"/>
            </w:pPr>
            <w:r w:rsidRPr="0067222C">
              <w:t>Ich frage die Staatsregierung, ob sie die tatsächliche und unveränderte Zahl bzw. die Anteile der unbekannten Fälle (in Bezug auf den Impfstatus) unter den Corona-positiv Getesteten in Bayern künftig veröffentlichen wird, welche Schlüsse sie für die Qualität der Kontaktnachverfolgung in Bayern zieht und welche Konsequenzen (z. B. freiwillige Erfassung des Impfstatus gleich bei der Testung) sie daraus für die Erfassung des Impfstatus sie für erforderlich hält?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Das Bayerische Landesamt für Gesundheit und Lebensmittelsicherheit (LGL) prüft derzeit, wie</w:t>
      </w:r>
      <w:r w:rsidR="00F71DFF">
        <w:t xml:space="preserve"> </w:t>
      </w:r>
      <w:r>
        <w:t>angesichts der aktuellen Meldeverzüge zukünftig Daten berichtet werden können. Dazu wird das</w:t>
      </w:r>
      <w:r w:rsidR="00F71DFF">
        <w:t xml:space="preserve"> </w:t>
      </w:r>
      <w:r>
        <w:t>LGL auch mit den zuständigen Behörden der anderen Länder den fachlichen Austausch suchen.</w:t>
      </w:r>
      <w:r w:rsidR="00F71DFF">
        <w:t xml:space="preserve"> </w:t>
      </w:r>
      <w:r>
        <w:t>Auch eine eventuelle Umstellung der Berechnung würde nichts an der Tatsache ändern, dass die</w:t>
      </w:r>
      <w:r w:rsidR="00F71DFF">
        <w:t xml:space="preserve"> </w:t>
      </w:r>
      <w:r>
        <w:t>Inzidenz bei den Ungeimpften um ein Vielfaches höher ist als bei den Geimpften und Ungeimpfte</w:t>
      </w:r>
      <w:r w:rsidR="00F71DFF">
        <w:t xml:space="preserve"> </w:t>
      </w:r>
      <w:r>
        <w:t xml:space="preserve">einem deutlich höheren Risiko ausgesetzt sind, schwer an </w:t>
      </w:r>
      <w:r w:rsidR="003439F1">
        <w:t>COVID</w:t>
      </w:r>
      <w:r>
        <w:t>-19 zu erkranken.</w:t>
      </w:r>
    </w:p>
    <w:p w:rsidR="00925EDE" w:rsidRDefault="00925EDE" w:rsidP="00925EDE">
      <w:pPr>
        <w:pStyle w:val="LTAntwortRessortText"/>
      </w:pPr>
      <w:r>
        <w:t>Die Berechnung der Inzidenz aufgeschlüsselt nach Geimpften und Ungeimpften hat keinerlei</w:t>
      </w:r>
      <w:r w:rsidR="00F71DFF">
        <w:t xml:space="preserve"> </w:t>
      </w:r>
      <w:r>
        <w:t>Auswirkung auf die Kontaktpers</w:t>
      </w:r>
      <w:r w:rsidR="004429E4">
        <w:t>onen-Ermittlung –</w:t>
      </w:r>
      <w:r>
        <w:t xml:space="preserve"> weder auf deren Umfang noch auf deren</w:t>
      </w:r>
      <w:r w:rsidR="00F71DFF">
        <w:t xml:space="preserve"> </w:t>
      </w:r>
      <w:r>
        <w:t>Qualität. Die Gesundheitsämter in Bayern arbeiten unverändert mit Hochdruck an der Ermittlung</w:t>
      </w:r>
      <w:r w:rsidR="00F71DFF">
        <w:t xml:space="preserve"> </w:t>
      </w:r>
      <w:r>
        <w:t>enger Kontakt</w:t>
      </w:r>
      <w:r w:rsidR="004429E4">
        <w:t>e und konzentrieren sich dabei –</w:t>
      </w:r>
      <w:r>
        <w:t xml:space="preserve"> wie vom Robert Koch-Institut (RKI) empfohlen </w:t>
      </w:r>
      <w:r w:rsidR="00F71DFF">
        <w:t>–</w:t>
      </w:r>
      <w:r>
        <w:t xml:space="preserve"> auf</w:t>
      </w:r>
      <w:r w:rsidR="00F71DFF">
        <w:t xml:space="preserve"> </w:t>
      </w:r>
      <w:r>
        <w:t>jene Personen, die ein besonders hohes Ansteckungsrisiko haben oder die in engem Kontakt mit</w:t>
      </w:r>
      <w:r w:rsidR="00F71DFF">
        <w:t xml:space="preserve"> </w:t>
      </w:r>
      <w:r>
        <w:t>vulnerablen Gruppen stehen.</w:t>
      </w:r>
      <w:r w:rsidR="00F71DFF">
        <w:t xml:space="preserve"> </w:t>
      </w:r>
      <w:r>
        <w:t>Vor dem Hintergrund der hohen Belastung der Gesundheitsämter hat sich die Staatsregierung</w:t>
      </w:r>
      <w:r w:rsidR="00F71DFF">
        <w:t xml:space="preserve"> </w:t>
      </w:r>
      <w:r>
        <w:t>zuletzt am 23.11.2021 mit Personalmaßnahmen im Zusammenhang mit der Bekämpfung des</w:t>
      </w:r>
      <w:r w:rsidR="00F71DFF">
        <w:t xml:space="preserve"> </w:t>
      </w:r>
      <w:r>
        <w:t>Coronavirus befasst und angesichts des sich dramatisch entwic</w:t>
      </w:r>
      <w:r w:rsidR="004429E4">
        <w:t>kelnden Infektionsgeschehens u. </w:t>
      </w:r>
      <w:r>
        <w:t>a.</w:t>
      </w:r>
      <w:r w:rsidR="00F71DFF">
        <w:t xml:space="preserve"> </w:t>
      </w:r>
      <w:r>
        <w:t xml:space="preserve">das Personal für die Kontaktnachverfolgung nochmals massiv verstärkt. Mit </w:t>
      </w:r>
      <w:r w:rsidR="00C14DFE">
        <w:t>aktuell über 5 </w:t>
      </w:r>
      <w:r>
        <w:t>400 im</w:t>
      </w:r>
      <w:r w:rsidR="00F71DFF">
        <w:t xml:space="preserve"> </w:t>
      </w:r>
      <w:r>
        <w:t>Einsatz befindlichen Kräften ist derzeit ein Höchststand der Kräfte im CTT-Einsatz erreicht.</w:t>
      </w:r>
      <w:r w:rsidR="00F71DFF">
        <w:t xml:space="preserve"> </w:t>
      </w:r>
      <w:r>
        <w:t>Insgesamt steht durch die von der Staatsregierung beschlossenen Maßnahmen eine deutlich</w:t>
      </w:r>
      <w:r w:rsidR="00F71DFF">
        <w:t xml:space="preserve"> </w:t>
      </w:r>
      <w:r>
        <w:t>verstärkte Personalbasis zur Verfügung, um auf die dynamischen Herausforderungen der</w:t>
      </w:r>
      <w:r w:rsidR="00F71DFF">
        <w:t xml:space="preserve"> </w:t>
      </w:r>
      <w:r>
        <w:t>Pandemie zu reagieren.</w:t>
      </w:r>
      <w:r w:rsidR="00F71DFF">
        <w:t xml:space="preserve"> </w:t>
      </w:r>
      <w:r>
        <w:t>Die Erfassung des Impfstatus erfolgt auf Grundlage des Infektionsschutzgesetzes. Soweit in der</w:t>
      </w:r>
      <w:r w:rsidR="00F71DFF">
        <w:t xml:space="preserve"> </w:t>
      </w:r>
      <w:r>
        <w:t>Vergangenheit wegen der hohen Belastung der Gesundheitsämter der Impfstatus in den</w:t>
      </w:r>
      <w:r w:rsidR="00F71DFF">
        <w:t xml:space="preserve"> </w:t>
      </w:r>
      <w:r>
        <w:t>vergangenen Monaten nicht komplett erfasst werden konnte, wurde durch die geschilderte</w:t>
      </w:r>
      <w:r w:rsidR="00F71DFF">
        <w:t xml:space="preserve"> </w:t>
      </w:r>
      <w:r>
        <w:t>Personalaufstockung die Grundlage für eine verbesserte Erfassung geschaffen.</w:t>
      </w:r>
    </w:p>
    <w:p w:rsidR="00925EDE" w:rsidRDefault="00925EDE">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25EDE" w:rsidTr="007B0B33">
        <w:tc>
          <w:tcPr>
            <w:tcW w:w="2050" w:type="dxa"/>
          </w:tcPr>
          <w:p w:rsidR="00925EDE" w:rsidRDefault="00925EDE" w:rsidP="00925EDE">
            <w:pPr>
              <w:pStyle w:val="LTAnfrageInitiator"/>
            </w:pPr>
            <w:r>
              <w:t>Abgeordneter</w:t>
            </w:r>
            <w:r>
              <w:rPr>
                <w:b/>
              </w:rPr>
              <w:br/>
              <w:t>Andreas</w:t>
            </w:r>
            <w:r>
              <w:rPr>
                <w:b/>
              </w:rPr>
              <w:br/>
              <w:t>Krahl</w:t>
            </w:r>
            <w:r>
              <w:rPr>
                <w:b/>
              </w:rPr>
              <w:br/>
            </w:r>
            <w:r>
              <w:t>(BÜNDNIS 90/DIE GRÜNEN)</w:t>
            </w:r>
            <w:bookmarkStart w:id="121" w:name="Frage_Nr_60"/>
            <w:bookmarkEnd w:id="121"/>
          </w:p>
        </w:tc>
        <w:tc>
          <w:tcPr>
            <w:tcW w:w="7200" w:type="dxa"/>
          </w:tcPr>
          <w:p w:rsidR="00925EDE" w:rsidRDefault="0093595E" w:rsidP="00925EDE">
            <w:pPr>
              <w:pStyle w:val="LTAnfrageText"/>
            </w:pPr>
            <w:r w:rsidRPr="0067222C">
              <w:t>Ich frage die Staatsregierung, wie viele Impfdosen derzeit für die COVID-19-Auffrischungsimpfungen (Booster-Impfungen) für Einrichtungen der Langzeitpflege und für Wohngruppen von Menschen mit Behinderung zur Verfügung stehen, wie die Verteilung der Impfdosen auf die genannten Einrichtungen erfolgt und zu welchen logistischen Problemen es bei der Verteilung der Impfstoffe kommt?</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Nach Mitteilung des Bundesministeriums für Gesundheit stehen bis Jahresende insgesamt 50</w:t>
      </w:r>
      <w:r w:rsidR="00F15AB1">
        <w:t> </w:t>
      </w:r>
      <w:r>
        <w:t>Millionen Impfdosen zur Verfügung.</w:t>
      </w:r>
    </w:p>
    <w:p w:rsidR="00925EDE" w:rsidRDefault="00925EDE" w:rsidP="00925EDE">
      <w:pPr>
        <w:pStyle w:val="LTAntwortRessortText"/>
      </w:pPr>
      <w:r>
        <w:t>Eine Priorisierung von Impfungen für bestimmte Personengruppen findet mangels einer</w:t>
      </w:r>
      <w:r w:rsidR="00C63068">
        <w:t xml:space="preserve"> </w:t>
      </w:r>
      <w:r>
        <w:t>Rechtsgrundlage in der Coronavirus-Impfverordnung (CoronaImpfV) nicht mehr statt. Die</w:t>
      </w:r>
      <w:r w:rsidR="00C63068">
        <w:t xml:space="preserve"> </w:t>
      </w:r>
      <w:r>
        <w:t>Verteilung des Impfstoffs erfolgt über die Regelversorgung nach den Bestellungen der</w:t>
      </w:r>
      <w:r w:rsidR="00C63068">
        <w:t xml:space="preserve"> </w:t>
      </w:r>
      <w:r>
        <w:t>Leistungserbringer ohne weitere Vorgaben des Bundes. Damit findet eine zentrale Verteilung nicht</w:t>
      </w:r>
      <w:r w:rsidR="00C63068">
        <w:t xml:space="preserve"> </w:t>
      </w:r>
      <w:r>
        <w:t>statt. Die Impfzentren und niedergelassenen Arztpraxen erhalten den Impfstoff über die</w:t>
      </w:r>
      <w:r w:rsidR="00C63068">
        <w:t xml:space="preserve"> </w:t>
      </w:r>
      <w:r>
        <w:t>Apotheken.</w:t>
      </w:r>
    </w:p>
    <w:p w:rsidR="00925EDE" w:rsidRDefault="00925EDE" w:rsidP="00925EDE">
      <w:pPr>
        <w:pStyle w:val="LTAntwortRessortText"/>
      </w:pPr>
      <w:r>
        <w:t>Auf Basis entsprechender Beschlüsse der Gesundheitsministerkonferenz, beginnend mit dem</w:t>
      </w:r>
      <w:r w:rsidR="00C63068">
        <w:t xml:space="preserve"> </w:t>
      </w:r>
      <w:r>
        <w:t>02.08.2021, wurden in Bayern bereits seit</w:t>
      </w:r>
      <w:r w:rsidR="00F15AB1">
        <w:t xml:space="preserve"> Mitte August </w:t>
      </w:r>
      <w:r>
        <w:t>2021 Auffrischungsimpfungen in</w:t>
      </w:r>
      <w:r w:rsidR="00C63068">
        <w:t xml:space="preserve"> </w:t>
      </w:r>
      <w:r>
        <w:t>Pflegeeinrichtungen und Einrichtungen für Behinderte durch mobile Impfteams angeboten; die</w:t>
      </w:r>
      <w:r w:rsidR="00C63068">
        <w:t xml:space="preserve"> </w:t>
      </w:r>
      <w:r>
        <w:t>Empfehlung der Ständigen Impfkommission (STIKO) für Bewohner von Pflegereinrichtungen, für</w:t>
      </w:r>
      <w:r w:rsidR="00C63068">
        <w:t xml:space="preserve"> </w:t>
      </w:r>
      <w:r w:rsidR="00F15AB1">
        <w:t>Personen über 70 </w:t>
      </w:r>
      <w:r>
        <w:t>Jahren und andere vulnerable Gruppen erfolgte am 18.10.2021, die Empfehlung</w:t>
      </w:r>
      <w:r w:rsidR="00C63068">
        <w:t xml:space="preserve"> </w:t>
      </w:r>
      <w:r w:rsidR="00F15AB1">
        <w:t>für alle Personen ab 18 </w:t>
      </w:r>
      <w:r>
        <w:t>Jahren am 29.11.2021, wobei die STIKO die Auffrischungsimpfung für die</w:t>
      </w:r>
      <w:r w:rsidR="00C63068">
        <w:t xml:space="preserve"> </w:t>
      </w:r>
      <w:r>
        <w:t>Personengruppen, für die bereits vorher Auffrischungsimpfungen empfohlen wurden, bevorzugt</w:t>
      </w:r>
      <w:r w:rsidR="00C63068">
        <w:t xml:space="preserve"> </w:t>
      </w:r>
      <w:r>
        <w:t>empfiehlt.</w:t>
      </w:r>
    </w:p>
    <w:p w:rsidR="00925EDE" w:rsidRDefault="00925EDE" w:rsidP="00925EDE">
      <w:pPr>
        <w:pStyle w:val="LTAntwortRessortText"/>
      </w:pPr>
      <w:r>
        <w:t>Aufgrund der frühzeitigen Initiierung von Auffrischungsimpfungen durch mobile Impfteams und der</w:t>
      </w:r>
      <w:r w:rsidR="00C63068">
        <w:t xml:space="preserve"> </w:t>
      </w:r>
      <w:r>
        <w:t>Rückmeldungen der Impfzentren ist von einer sehr guten Versorgung der Pflegeeinrichtungen und</w:t>
      </w:r>
      <w:r w:rsidR="00C63068">
        <w:t xml:space="preserve"> </w:t>
      </w:r>
      <w:r>
        <w:t xml:space="preserve">Einrichtungen für Behinderte auszugehen, sodass derzeit </w:t>
      </w:r>
      <w:r w:rsidR="00F15AB1">
        <w:t>keine logistischen Probleme</w:t>
      </w:r>
      <w:r>
        <w:t xml:space="preserve"> zu</w:t>
      </w:r>
      <w:r w:rsidR="00C63068">
        <w:t xml:space="preserve"> </w:t>
      </w:r>
      <w:r>
        <w:t>erwarten sind.</w:t>
      </w:r>
    </w:p>
    <w:p w:rsidR="00925EDE" w:rsidRDefault="00925EDE">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4"/>
        <w:gridCol w:w="5802"/>
      </w:tblGrid>
      <w:tr w:rsidR="00925EDE" w:rsidTr="007B0B33">
        <w:tc>
          <w:tcPr>
            <w:tcW w:w="2050" w:type="dxa"/>
          </w:tcPr>
          <w:p w:rsidR="00925EDE" w:rsidRDefault="00925EDE" w:rsidP="00925EDE">
            <w:pPr>
              <w:pStyle w:val="LTAnfrageInitiator"/>
            </w:pPr>
            <w:r>
              <w:t>Abgeordneter</w:t>
            </w:r>
            <w:r>
              <w:rPr>
                <w:b/>
              </w:rPr>
              <w:br/>
              <w:t>Stefan</w:t>
            </w:r>
            <w:r>
              <w:rPr>
                <w:b/>
              </w:rPr>
              <w:br/>
              <w:t>Löw</w:t>
            </w:r>
            <w:r>
              <w:rPr>
                <w:b/>
              </w:rPr>
              <w:br/>
            </w:r>
            <w:r>
              <w:t>(AfD)</w:t>
            </w:r>
            <w:bookmarkStart w:id="123" w:name="Frage_Nr_61"/>
            <w:bookmarkEnd w:id="123"/>
          </w:p>
        </w:tc>
        <w:tc>
          <w:tcPr>
            <w:tcW w:w="7200" w:type="dxa"/>
          </w:tcPr>
          <w:p w:rsidR="00925EDE" w:rsidRDefault="0093595E" w:rsidP="00925EDE">
            <w:pPr>
              <w:pStyle w:val="LTAnfrageText"/>
            </w:pPr>
            <w:r w:rsidRPr="0067222C">
              <w:t>Ich frage die Staatsregierung, ob sie sich an die Resolution des Europarates vom 27. Januar 2021 zu Impfstoffen gegen COVID-19 gebunden sieht und ob die aktuellen Maßnahmen zur Eindämmung der Pandemie und die Aussagen des Ministerpräsidenten zur Einführung einer Impfpflicht dieser Resolution gerecht werden?</w:t>
            </w:r>
          </w:p>
        </w:tc>
      </w:tr>
    </w:tbl>
    <w:p w:rsidR="00925EDE" w:rsidRDefault="00925EDE" w:rsidP="00925EDE">
      <w:pPr>
        <w:pStyle w:val="LTUeberschrAntwortRessort"/>
      </w:pPr>
      <w:r>
        <w:t>Antwort des Staatsministeriums für Gesundheit und Pflege</w:t>
      </w:r>
    </w:p>
    <w:p w:rsidR="00925EDE" w:rsidRDefault="00AA3130" w:rsidP="00925EDE">
      <w:pPr>
        <w:pStyle w:val="LTAntwortRessortText"/>
      </w:pPr>
      <w:r>
        <w:t>In seiner Resolution Nr. </w:t>
      </w:r>
      <w:r w:rsidR="00925EDE">
        <w:t xml:space="preserve">2361 vom 27.01.2021 mit dem Titel </w:t>
      </w:r>
      <w:r w:rsidR="003439F1">
        <w:t>„COVID</w:t>
      </w:r>
      <w:r w:rsidR="00925EDE">
        <w:t>-19 vaccines: ethical, legal and</w:t>
      </w:r>
      <w:r w:rsidR="006D167D">
        <w:t xml:space="preserve"> </w:t>
      </w:r>
      <w:r w:rsidR="00925EDE">
        <w:t>practical considerations</w:t>
      </w:r>
      <w:r w:rsidR="003439F1">
        <w:t>“</w:t>
      </w:r>
      <w:r w:rsidR="00925EDE">
        <w:t xml:space="preserve"> führt die Parlamentarische Versam</w:t>
      </w:r>
      <w:r>
        <w:t>mlung des Europarats bei Ziffer </w:t>
      </w:r>
      <w:r w:rsidR="00925EDE">
        <w:t>7.3.1</w:t>
      </w:r>
      <w:r w:rsidR="006D167D">
        <w:t xml:space="preserve"> </w:t>
      </w:r>
      <w:r w:rsidR="00925EDE">
        <w:t>sinngemäß aus, die Mitgliedstaaten sollen die Information der Bürgerinnen und Bürger</w:t>
      </w:r>
      <w:r w:rsidR="006D167D">
        <w:t xml:space="preserve"> </w:t>
      </w:r>
      <w:r w:rsidR="00925EDE">
        <w:t xml:space="preserve">sicherstellen, dass die </w:t>
      </w:r>
      <w:r w:rsidR="003439F1">
        <w:t>COVID</w:t>
      </w:r>
      <w:r w:rsidR="00925EDE">
        <w:t>-19-Impfung nicht verpflichtend ist und niemand politisch, sozial oder</w:t>
      </w:r>
      <w:r w:rsidR="006D167D">
        <w:t xml:space="preserve"> </w:t>
      </w:r>
      <w:r w:rsidR="00925EDE">
        <w:t>auf andere Weise unter Druck gesetzt wird, sich impfen zu lassen, wenn sie es nicht selbst</w:t>
      </w:r>
      <w:r w:rsidR="006D167D">
        <w:t xml:space="preserve"> </w:t>
      </w:r>
      <w:r w:rsidR="00925EDE">
        <w:t>möchten.</w:t>
      </w:r>
    </w:p>
    <w:p w:rsidR="00925EDE" w:rsidRDefault="00925EDE" w:rsidP="00925EDE">
      <w:pPr>
        <w:pStyle w:val="LTAntwortRessortText"/>
      </w:pPr>
      <w:r>
        <w:t>Resolutionen der Parlamentarischen Versammlung des Europarats sind für die Mitgliedstaaten</w:t>
      </w:r>
      <w:r w:rsidR="006D167D">
        <w:t xml:space="preserve"> </w:t>
      </w:r>
      <w:r>
        <w:t>rechtlich nicht bindend, sondern haben lediglich empfehlenden Charakter.</w:t>
      </w:r>
    </w:p>
    <w:p w:rsidR="00925EDE" w:rsidRDefault="00925EDE" w:rsidP="00925EDE">
      <w:pPr>
        <w:pStyle w:val="LTAntwortRessortText"/>
      </w:pPr>
      <w:r>
        <w:t>Zwar haben die Bundesregierung und die deutschen Vertreter in der Parlamentarischen</w:t>
      </w:r>
      <w:r w:rsidR="006D167D">
        <w:t xml:space="preserve"> </w:t>
      </w:r>
      <w:r>
        <w:t>Versa</w:t>
      </w:r>
      <w:r w:rsidR="00AA3130">
        <w:t>mmlung die Resolution im Januar </w:t>
      </w:r>
      <w:r>
        <w:t>2021 unterstützt. Es ist jedoch zu berücksichtigen, dass</w:t>
      </w:r>
      <w:r w:rsidR="006D167D">
        <w:t xml:space="preserve"> </w:t>
      </w:r>
      <w:r>
        <w:t>sich die Rahmenbedingungen zwischenzeitlich grundlegend verändert haben. Vor dem</w:t>
      </w:r>
      <w:r w:rsidR="006D167D">
        <w:t xml:space="preserve"> </w:t>
      </w:r>
      <w:r>
        <w:t>Hintergrund des massiven Infektionsgeschehens sowie der akut drohenden Überlastung der</w:t>
      </w:r>
      <w:r w:rsidR="006D167D">
        <w:t xml:space="preserve"> </w:t>
      </w:r>
      <w:r>
        <w:t>Intensivkapazitäten erscheint die Einführung einer allgemeinen Impfpflicht mittlerweile dringend</w:t>
      </w:r>
      <w:r w:rsidR="006D167D">
        <w:t xml:space="preserve"> </w:t>
      </w:r>
      <w:r>
        <w:t>geboten, falls sich die Impfquote in den kommenden Wochen nicht deutlich verbessert. Auf</w:t>
      </w:r>
      <w:r w:rsidR="006D167D">
        <w:t xml:space="preserve"> </w:t>
      </w:r>
      <w:r>
        <w:t>Bundesebene befindet sich das Gesetz zur Stärkung der Impfprävention im parlamentarischen</w:t>
      </w:r>
      <w:r w:rsidR="006D167D">
        <w:t xml:space="preserve"> </w:t>
      </w:r>
      <w:r>
        <w:t>Verfahren, das in einem ersten Schritt eine Impfpflicht für bestimmte Berufsgruppen vorsieht.</w:t>
      </w:r>
    </w:p>
    <w:p w:rsidR="00925EDE" w:rsidRDefault="00925EDE">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925EDE" w:rsidTr="007B0B33">
        <w:tc>
          <w:tcPr>
            <w:tcW w:w="2050" w:type="dxa"/>
          </w:tcPr>
          <w:p w:rsidR="00925EDE" w:rsidRDefault="00925EDE" w:rsidP="00925EDE">
            <w:pPr>
              <w:pStyle w:val="LTAnfrageInitiator"/>
            </w:pPr>
            <w:r>
              <w:t>Abgeordneter</w:t>
            </w:r>
            <w:r>
              <w:rPr>
                <w:b/>
              </w:rPr>
              <w:br/>
              <w:t>Christoph</w:t>
            </w:r>
            <w:r>
              <w:rPr>
                <w:b/>
              </w:rPr>
              <w:br/>
              <w:t>Maier</w:t>
            </w:r>
            <w:r>
              <w:rPr>
                <w:b/>
              </w:rPr>
              <w:br/>
            </w:r>
            <w:r>
              <w:t>(AfD)</w:t>
            </w:r>
            <w:bookmarkStart w:id="125" w:name="Frage_Nr_62"/>
            <w:bookmarkEnd w:id="125"/>
          </w:p>
        </w:tc>
        <w:tc>
          <w:tcPr>
            <w:tcW w:w="7200" w:type="dxa"/>
          </w:tcPr>
          <w:p w:rsidR="00925EDE" w:rsidRDefault="0093595E" w:rsidP="00925EDE">
            <w:pPr>
              <w:pStyle w:val="LTAnfrageText"/>
            </w:pPr>
            <w:r w:rsidRPr="0067222C">
              <w:t>Vor dem Hintergrund der Tatsache, dass nach Angaben des Landesamts für Gesundheit und Lebensmittelsicherheit (LGL) die Sieben-Tage-Inzidenz bei Ungeimpften weitaus höher als bei Geimpften lag, da nach Medienberichten das LGL alle infizierten Personen, deren Impfstatus unbekannt ist, den Ungeimpften zurechnet – was die Inzidenz dieser Gruppe nach oben treibt – frage ich die Staatsregierung, ob sie an dieser Praxis weiterhin festhält, wer die Anordnung gab, so zu verfahren, und wie hoch zurzeit die Anzahl der infizierten Personen in Bayern ist, deren Impfstatus unbekannt ist, aber dennoch im Sinne der Inzidenz-Berechnung den Ungeimpften zugerechnet werden?</w:t>
            </w:r>
          </w:p>
        </w:tc>
      </w:tr>
    </w:tbl>
    <w:p w:rsidR="00925EDE" w:rsidRDefault="00925EDE" w:rsidP="00C14DFE">
      <w:pPr>
        <w:pStyle w:val="LTUeberschrAntwortRessort"/>
        <w:spacing w:before="340"/>
      </w:pPr>
      <w:r>
        <w:t>Antwort des Staatsministeriums für Gesundheit und Pflege</w:t>
      </w:r>
    </w:p>
    <w:p w:rsidR="00925EDE" w:rsidRDefault="00925EDE" w:rsidP="00925EDE">
      <w:pPr>
        <w:pStyle w:val="LTAntwortRessortText"/>
      </w:pPr>
      <w:r>
        <w:t>Die 7-Ta</w:t>
      </w:r>
      <w:r w:rsidR="008503D5">
        <w:t>ge-Inzidenz nach Impfstatus, d. </w:t>
      </w:r>
      <w:r>
        <w:t>h. getrennt nach geimpften und ungeimpften Personen,</w:t>
      </w:r>
      <w:r w:rsidR="006F68BE">
        <w:t xml:space="preserve"> </w:t>
      </w:r>
      <w:r w:rsidR="008503D5">
        <w:t>wird seit August </w:t>
      </w:r>
      <w:r>
        <w:t>2021 auf der Homepage des Landesamts für Gesundheit und</w:t>
      </w:r>
      <w:r w:rsidR="006F68BE">
        <w:t xml:space="preserve"> </w:t>
      </w:r>
      <w:r>
        <w:t>Lebensmittelsicherheit (LGL) berichtet und einmal in der Woche aktualisiert</w:t>
      </w:r>
      <w:r w:rsidR="006F68BE">
        <w:t xml:space="preserve"> </w:t>
      </w:r>
      <w:r>
        <w:t>(</w:t>
      </w:r>
      <w:hyperlink r:id="rId27" w:history="1">
        <w:r w:rsidR="006F68BE" w:rsidRPr="008503D5">
          <w:rPr>
            <w:rStyle w:val="LTHyperlinkZchn"/>
            <w:b w:val="0"/>
          </w:rPr>
          <w:t>https://www.lgl.bayern.de/gesundheit/infektionsschutz/infektionskrankheiten_a_z/coronavirus/kart</w:t>
        </w:r>
      </w:hyperlink>
      <w:r w:rsidRPr="008503D5">
        <w:rPr>
          <w:rStyle w:val="LTHyperlinkZchn"/>
          <w:b w:val="0"/>
        </w:rPr>
        <w:t>e_coronavirus/index.htm</w:t>
      </w:r>
      <w:r>
        <w:t>). Dort wird seit Beginn der Einführung dieser Kennzahlen auch auf die</w:t>
      </w:r>
      <w:r w:rsidR="006F68BE">
        <w:t xml:space="preserve"> </w:t>
      </w:r>
      <w:r>
        <w:t>Berechnungsgrundlagen und die Limitationen dieser Werte ausdrücklich hingewiesen. Die Zahlen</w:t>
      </w:r>
      <w:r w:rsidR="006F68BE">
        <w:t xml:space="preserve"> </w:t>
      </w:r>
      <w:r>
        <w:t>und die Berechnungsmethode sind daher seit Beginn an für jedermann ersichtlich und transparent</w:t>
      </w:r>
      <w:r w:rsidR="006F68BE">
        <w:t xml:space="preserve"> </w:t>
      </w:r>
      <w:r>
        <w:t>dargestellt.</w:t>
      </w:r>
    </w:p>
    <w:p w:rsidR="00925EDE" w:rsidRDefault="00925EDE" w:rsidP="00883D83">
      <w:pPr>
        <w:pStyle w:val="LTAntwortRessortText"/>
        <w:spacing w:line="210" w:lineRule="auto"/>
      </w:pPr>
      <w:r>
        <w:t>Die Entscheidung, die Fälle mit unbekanntem Impfstatus der Inzidenz der Gruppe der Ungeimpften</w:t>
      </w:r>
      <w:r w:rsidR="006F68BE">
        <w:t xml:space="preserve"> </w:t>
      </w:r>
      <w:r>
        <w:t>zuzurechnen, erfolgte auf rein fachlicher Basis. Mehrere andere Länder verwenden die gleiche</w:t>
      </w:r>
      <w:r w:rsidR="006F68BE">
        <w:t xml:space="preserve"> </w:t>
      </w:r>
      <w:r>
        <w:t>Berechnungsmethode wie in Bayern. Auch das Robert Koch-Institut (RKI) hat bis vor einigen</w:t>
      </w:r>
      <w:r w:rsidR="006F68BE">
        <w:t xml:space="preserve"> </w:t>
      </w:r>
      <w:r>
        <w:t>Wochen für die Schätzung der Impfeffektivität ebenfalls die Fälle mit unbekanntem Impfstatus bei</w:t>
      </w:r>
      <w:r w:rsidR="006F68BE">
        <w:t xml:space="preserve"> </w:t>
      </w:r>
      <w:r>
        <w:t>der Gruppe der Ungeimpften erfasst. Zwischenzeitlich hat das RKI die Fälle mit unbekanntem</w:t>
      </w:r>
      <w:r w:rsidR="006F68BE">
        <w:t xml:space="preserve"> </w:t>
      </w:r>
      <w:r>
        <w:t>Impfstatus aus dieser Berechnung herausgenommen. Es ist davon auszugehen, dass dieses</w:t>
      </w:r>
      <w:r w:rsidR="006F68BE">
        <w:t xml:space="preserve"> </w:t>
      </w:r>
      <w:r>
        <w:t>Vorgehen bei Anwendung auf die 7-Tage-Inzidenz das später unter Berücksichtigung von</w:t>
      </w:r>
      <w:r w:rsidR="006F68BE">
        <w:t xml:space="preserve"> </w:t>
      </w:r>
      <w:r>
        <w:t>Nachmeldungen feststellbare tatsächliche Verhältnis der Inzidenzen von Geimpften zu</w:t>
      </w:r>
      <w:r w:rsidR="006F68BE">
        <w:t xml:space="preserve"> </w:t>
      </w:r>
      <w:r>
        <w:t>Ungeimpften sowie die Inzidenz der Ungeimpften deutlich unterschätzt. Es wurde daher bisher</w:t>
      </w:r>
      <w:r w:rsidR="006F68BE">
        <w:t xml:space="preserve"> </w:t>
      </w:r>
      <w:r>
        <w:t>vom LGL wie von mehreren anderen Ländern nicht übernommen.</w:t>
      </w:r>
    </w:p>
    <w:p w:rsidR="00925EDE" w:rsidRDefault="00925EDE" w:rsidP="00883D83">
      <w:pPr>
        <w:pStyle w:val="LTAntwortRessortText"/>
        <w:spacing w:line="210" w:lineRule="auto"/>
      </w:pPr>
      <w:r>
        <w:t>Hintergrund der Berechnungsmethode ist, dass nach den bisherigen Erfahrungswerten die weit</w:t>
      </w:r>
      <w:r w:rsidR="006F68BE">
        <w:t xml:space="preserve"> </w:t>
      </w:r>
      <w:r>
        <w:t>überwiegende Anzahl der Fälle zunächst mit unbekanntem Imfpstatus tatsächlich auch ungeimpft</w:t>
      </w:r>
      <w:r w:rsidR="006F68BE">
        <w:t xml:space="preserve"> </w:t>
      </w:r>
      <w:r>
        <w:t>waren. So lag die Information über den Impfstatus i</w:t>
      </w:r>
      <w:r w:rsidR="008503D5">
        <w:t>n den Monaten September/Oktober </w:t>
      </w:r>
      <w:r>
        <w:t>2021 bei</w:t>
      </w:r>
      <w:r w:rsidR="006F68BE">
        <w:t xml:space="preserve"> </w:t>
      </w:r>
      <w:r>
        <w:t>den tagesakt</w:t>
      </w:r>
      <w:r w:rsidR="008503D5">
        <w:t>uellen Erstmeldungen bei ca. 60 </w:t>
      </w:r>
      <w:r w:rsidR="003439F1">
        <w:t>Prozent</w:t>
      </w:r>
      <w:r>
        <w:t xml:space="preserve"> der Meldefälle. Im Verlauf von vier Wochen</w:t>
      </w:r>
      <w:r w:rsidR="006F68BE">
        <w:t xml:space="preserve"> </w:t>
      </w:r>
      <w:r>
        <w:t>vervollständigten sich d</w:t>
      </w:r>
      <w:r w:rsidR="008503D5">
        <w:t>iese Meldungen dann auf ca. 80 –</w:t>
      </w:r>
      <w:r>
        <w:t xml:space="preserve"> 90</w:t>
      </w:r>
      <w:r w:rsidR="008503D5">
        <w:t> </w:t>
      </w:r>
      <w:r w:rsidR="003439F1">
        <w:t>Prozent</w:t>
      </w:r>
      <w:r>
        <w:t xml:space="preserve"> der Meldefälle. Auf dieser Basis</w:t>
      </w:r>
      <w:r w:rsidR="006F68BE">
        <w:t xml:space="preserve"> </w:t>
      </w:r>
      <w:r>
        <w:t>bestätigte sich die Annahme, dass die Personen mit zunächst unbekanntem Impfstatus ganz</w:t>
      </w:r>
      <w:r w:rsidR="006F68BE">
        <w:t xml:space="preserve"> </w:t>
      </w:r>
      <w:r>
        <w:t>überwiegend den Ungeimpften zuzurechnen waren.</w:t>
      </w:r>
    </w:p>
    <w:p w:rsidR="00925EDE" w:rsidRDefault="00925EDE" w:rsidP="00925EDE">
      <w:pPr>
        <w:pStyle w:val="LTAntwortRessortText"/>
      </w:pPr>
      <w:r>
        <w:t>Das LGL prüft derzeit, wie angesichts der aktuellen Meldeverzüge der Gesundheitsbehörden, die</w:t>
      </w:r>
      <w:r w:rsidR="006F68BE">
        <w:t xml:space="preserve"> </w:t>
      </w:r>
      <w:r>
        <w:t>durch die sehr hohen Infektionszahlen begründet sind, zukünftig Daten über den Impfstatus</w:t>
      </w:r>
      <w:r w:rsidR="006F68BE">
        <w:t xml:space="preserve"> </w:t>
      </w:r>
      <w:r>
        <w:t>berichtet werden können. Dazu steht das LGL auch mit den zuständigen Behörden der anderen</w:t>
      </w:r>
      <w:r w:rsidR="006F68BE">
        <w:t xml:space="preserve"> </w:t>
      </w:r>
      <w:r>
        <w:t>Länder sowie dem RKI in engem fachlichen Austausch.</w:t>
      </w:r>
    </w:p>
    <w:p w:rsidR="00925EDE" w:rsidRDefault="00925EDE" w:rsidP="00883D83">
      <w:pPr>
        <w:pStyle w:val="LTAntwortRessortText"/>
      </w:pPr>
      <w:r>
        <w:t>Mit Daten</w:t>
      </w:r>
      <w:r w:rsidR="008503D5">
        <w:t>stand 01.12.2021, 8 </w:t>
      </w:r>
      <w:r>
        <w:t>Uhr (Daten LGL), lag der</w:t>
      </w:r>
      <w:r w:rsidR="008503D5">
        <w:t xml:space="preserve"> Anteil der Fälle der letzten 7 </w:t>
      </w:r>
      <w:r>
        <w:t>Tage, für die</w:t>
      </w:r>
      <w:r w:rsidR="006F68BE">
        <w:t xml:space="preserve"> </w:t>
      </w:r>
      <w:r>
        <w:t>Informationen zum Impfstatus vorlagen, bei ca. einem Drittel.</w:t>
      </w:r>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25EDE" w:rsidTr="007B0B33">
        <w:tc>
          <w:tcPr>
            <w:tcW w:w="2050" w:type="dxa"/>
          </w:tcPr>
          <w:p w:rsidR="00925EDE" w:rsidRDefault="00925EDE" w:rsidP="00925EDE">
            <w:pPr>
              <w:pStyle w:val="LTAnfrageInitiator"/>
            </w:pPr>
            <w:r>
              <w:t>Abgeordneter</w:t>
            </w:r>
            <w:r>
              <w:rPr>
                <w:b/>
              </w:rPr>
              <w:br/>
              <w:t>Helmut</w:t>
            </w:r>
            <w:r>
              <w:rPr>
                <w:b/>
              </w:rPr>
              <w:br/>
              <w:t>Markwort</w:t>
            </w:r>
            <w:r>
              <w:rPr>
                <w:b/>
              </w:rPr>
              <w:br/>
            </w:r>
            <w:r>
              <w:t>(FDP)</w:t>
            </w:r>
            <w:bookmarkStart w:id="127" w:name="Frage_Nr_63"/>
            <w:bookmarkEnd w:id="127"/>
          </w:p>
        </w:tc>
        <w:tc>
          <w:tcPr>
            <w:tcW w:w="7200" w:type="dxa"/>
          </w:tcPr>
          <w:p w:rsidR="00925EDE" w:rsidRDefault="0093595E" w:rsidP="00925EDE">
            <w:pPr>
              <w:pStyle w:val="LTAnfrageText"/>
            </w:pPr>
            <w:r w:rsidRPr="0067222C">
              <w:t>Ich frage die Staatsregierung, wie sich die impfstatusbezogenen Corona-Inzidenzen der letzten beiden Monate bezüglich aller positiven Testungen und bezüglich der symptomatischen Fälle dargestellt haben (bitte insbesondere bei Letzterem nach der Methode des Robert Koch-Instituts</w:t>
            </w:r>
            <w:r w:rsidRPr="0067222C" w:rsidDel="00A76F74">
              <w:t xml:space="preserve"> </w:t>
            </w:r>
            <w:r w:rsidRPr="0067222C">
              <w:t>ausweisen), ob der LGL-Präsident zu seiner Pressemeldung seitens des Staatsministeriums für Gesundheit und Pflege</w:t>
            </w:r>
            <w:r w:rsidRPr="0067222C" w:rsidDel="00A76F74">
              <w:t xml:space="preserve"> </w:t>
            </w:r>
            <w:r w:rsidRPr="0067222C">
              <w:t>oder der Staatskanzlei angewiesen, aufgefordert oder gebeten wurde (bitte unter Angabe des Zeitpunkts und der beteiligten Personen) und wer die Entscheidung zur Berufung des derzeitigen LGL-Präsidenten getroffen hat (bitte unter Angabe der Entscheidungsgrundlage und detaillierte Darstellung der Art und des Umfangs der Einbindung des Ministerpräsidenten und von Staatsminister Klaus Holetschek)?</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7-Ta</w:t>
      </w:r>
      <w:r w:rsidR="00D61EFF">
        <w:t>ge-Inzidenz nach Impfstatus, d. </w:t>
      </w:r>
      <w:r>
        <w:t>h. getrennt nach geimpften und ungeimpften Personen,</w:t>
      </w:r>
      <w:r w:rsidR="006E4A74">
        <w:t xml:space="preserve"> </w:t>
      </w:r>
      <w:r w:rsidR="00D61EFF">
        <w:t>wird seit August </w:t>
      </w:r>
      <w:r>
        <w:t>2021 auf der Homepage des Landesamts für Gesundheit und</w:t>
      </w:r>
      <w:r w:rsidR="006E4A74">
        <w:t xml:space="preserve"> </w:t>
      </w:r>
      <w:r>
        <w:t>Lebensmittelsicherheit (LGL) berichtet und einmal in der Woche aktualisiert</w:t>
      </w:r>
      <w:r w:rsidR="006E4A74">
        <w:t xml:space="preserve"> </w:t>
      </w:r>
      <w:r>
        <w:t>(</w:t>
      </w:r>
      <w:hyperlink r:id="rId28" w:history="1">
        <w:r w:rsidR="006E4A74" w:rsidRPr="00D61EFF">
          <w:rPr>
            <w:rStyle w:val="LTHyperlinkZchn"/>
            <w:b w:val="0"/>
          </w:rPr>
          <w:t>https://www.lgl.bayern.de/gesundheit/infektionsschutz/infektionskrankheiten_a_z/coronavirus/kart</w:t>
        </w:r>
      </w:hyperlink>
      <w:r w:rsidRPr="00D61EFF">
        <w:rPr>
          <w:rStyle w:val="LTHyperlinkZchn"/>
          <w:b w:val="0"/>
        </w:rPr>
        <w:t>e_coronavirus/index.htm</w:t>
      </w:r>
      <w:r>
        <w:t>). Dort wird seit Beginn der Einführung dieser Kennzahlen auch auf die</w:t>
      </w:r>
      <w:r w:rsidR="006E4A74">
        <w:t xml:space="preserve"> </w:t>
      </w:r>
      <w:r>
        <w:t>Berechnungsgrundlagen und die Limitationen dieser Werte ausdrücklich hingewiesen. Die Zahlen</w:t>
      </w:r>
      <w:r w:rsidR="006E4A74">
        <w:t xml:space="preserve"> </w:t>
      </w:r>
      <w:r>
        <w:t>und die Berechnungsmethode sind daher seit Beginn an für jedermann ersichtlich und transparent</w:t>
      </w:r>
      <w:r w:rsidR="006E4A74">
        <w:t xml:space="preserve"> </w:t>
      </w:r>
      <w:r>
        <w:t>dargestellt.</w:t>
      </w:r>
    </w:p>
    <w:p w:rsidR="00925EDE" w:rsidRDefault="00925EDE" w:rsidP="00925EDE">
      <w:pPr>
        <w:pStyle w:val="LTAntwortRessortText"/>
      </w:pPr>
      <w:r>
        <w:t>Die Entscheidung, die Fälle mit unbekanntem Impfstatus der Inzidenz der Gruppe der Ungeimpften</w:t>
      </w:r>
      <w:r w:rsidR="006E4A74">
        <w:t xml:space="preserve"> </w:t>
      </w:r>
      <w:r>
        <w:t>zuzurechnen, erfolgte auf rein fachlicher Basis. Mehrere andere Länder verwenden die gleiche</w:t>
      </w:r>
      <w:r w:rsidR="006E4A74">
        <w:t xml:space="preserve"> </w:t>
      </w:r>
      <w:r>
        <w:t>Berechnungsmethode wie in Bayern. Auch das Robert Koch-Institut (RKI) hat bis vor einigen</w:t>
      </w:r>
      <w:r w:rsidR="006E4A74">
        <w:t xml:space="preserve"> </w:t>
      </w:r>
      <w:r>
        <w:t>Wochen für die Schätzung der Impfeffektivität ebenfalls die Fälle mit unbekanntem Impfstatus bei</w:t>
      </w:r>
      <w:r w:rsidR="006E4A74">
        <w:t xml:space="preserve"> </w:t>
      </w:r>
      <w:r>
        <w:t>der Gruppe der Ungeimpften erfasst. Zwischenzeitlich hat das RKI die Fälle mit unbekanntem</w:t>
      </w:r>
      <w:r w:rsidR="006E4A74">
        <w:t xml:space="preserve"> </w:t>
      </w:r>
      <w:r>
        <w:t>Impfstatus aus dieser Berechnung herausgenommen. Es ist davon auszugehen, dass dieses</w:t>
      </w:r>
      <w:r w:rsidR="006E4A74">
        <w:t xml:space="preserve"> </w:t>
      </w:r>
      <w:r>
        <w:t>Vorgehen bei Anwendung auf die 7-Tage-Inzidenz das später unter Berücksichtigung von</w:t>
      </w:r>
      <w:r w:rsidR="006E4A74">
        <w:t xml:space="preserve"> </w:t>
      </w:r>
      <w:r>
        <w:t>Nachmeldungen feststellbare tatsächliche Verhältnis der Inzidenzen von Geimpften zu</w:t>
      </w:r>
      <w:r w:rsidR="006E4A74">
        <w:t xml:space="preserve"> </w:t>
      </w:r>
      <w:r>
        <w:t>Ungeimpften sowie die Inzidenz der Ungeimpften deutlich unterschätzt. Es wurde daher bisher</w:t>
      </w:r>
      <w:r w:rsidR="006E4A74">
        <w:t xml:space="preserve"> </w:t>
      </w:r>
      <w:r>
        <w:t>vom LGL wie von mehreren anderen Ländern nicht übernommen.</w:t>
      </w:r>
    </w:p>
    <w:p w:rsidR="00925EDE" w:rsidRDefault="00925EDE" w:rsidP="00925EDE">
      <w:pPr>
        <w:pStyle w:val="LTAntwortRessortText"/>
      </w:pPr>
      <w:r>
        <w:t>Hintergrund der Berechnungsmethode ist, dass nach den bisherigen Erfahrungswerten die weit</w:t>
      </w:r>
      <w:r w:rsidR="006E4A74">
        <w:t xml:space="preserve"> </w:t>
      </w:r>
      <w:r>
        <w:t>überwiegende Anzahl der Fälle zunächst mit unbekanntem Imfpstatus tatsächlich auch ungeimpft</w:t>
      </w:r>
      <w:r w:rsidR="006E4A74">
        <w:t xml:space="preserve"> </w:t>
      </w:r>
      <w:r>
        <w:t>waren. So lag die Information über den Impfstatus i</w:t>
      </w:r>
      <w:r w:rsidR="00D61EFF">
        <w:t>n den Monaten September/Oktober </w:t>
      </w:r>
      <w:r>
        <w:t>2021 bei</w:t>
      </w:r>
      <w:r w:rsidR="006E4A74">
        <w:t xml:space="preserve"> </w:t>
      </w:r>
      <w:r>
        <w:t>den tagesakt</w:t>
      </w:r>
      <w:r w:rsidR="00D61EFF">
        <w:t>uellen Erstmeldungen bei ca. 60 </w:t>
      </w:r>
      <w:r w:rsidR="003439F1">
        <w:t>Prozent</w:t>
      </w:r>
      <w:r>
        <w:t xml:space="preserve"> der Meldefälle. Im Verlauf von vier Wochen</w:t>
      </w:r>
      <w:r w:rsidR="006E4A74">
        <w:t xml:space="preserve"> </w:t>
      </w:r>
      <w:r>
        <w:t>vervollständigten sich diese Meldungen dann a</w:t>
      </w:r>
      <w:r w:rsidR="00D61EFF">
        <w:t>uf ca. 80 – 90 </w:t>
      </w:r>
      <w:r w:rsidR="003439F1">
        <w:t>Prozent</w:t>
      </w:r>
      <w:r>
        <w:t xml:space="preserve"> der Meldefälle. Auf dieser Basis</w:t>
      </w:r>
      <w:r w:rsidR="006E4A74">
        <w:t xml:space="preserve"> </w:t>
      </w:r>
      <w:r>
        <w:t>bestätigte sich die Annahme, dass die Personen mit zunächst unbekanntem Impfstatus ganz</w:t>
      </w:r>
      <w:r w:rsidR="006E4A74">
        <w:t xml:space="preserve"> </w:t>
      </w:r>
      <w:r>
        <w:t>überwiegend den Ungeimpften zuzurechnen waren. Die entsprechenden Zahlen des LGL haben</w:t>
      </w:r>
      <w:r w:rsidR="006E4A74">
        <w:t xml:space="preserve"> </w:t>
      </w:r>
      <w:r>
        <w:t>allgemein Verwendung gefunden</w:t>
      </w:r>
      <w:r w:rsidR="00D61EFF">
        <w:t>.</w:t>
      </w:r>
    </w:p>
    <w:p w:rsidR="00925EDE" w:rsidRDefault="00925EDE" w:rsidP="00925EDE">
      <w:pPr>
        <w:pStyle w:val="LTAntwortRessortText"/>
      </w:pPr>
      <w:r>
        <w:t>Das LGL prüft derzeit, wie angesichts der aktuellen Meldeverzüge der Gesundheitsbehörden, die</w:t>
      </w:r>
      <w:r w:rsidR="006E4A74">
        <w:t xml:space="preserve"> </w:t>
      </w:r>
      <w:r>
        <w:t>durch die sehr hohen Infektionszahlen begründet sind, zukünftig Daten über den Impfstatus</w:t>
      </w:r>
      <w:r w:rsidR="006E4A74">
        <w:t xml:space="preserve"> </w:t>
      </w:r>
      <w:r>
        <w:t>berichtet werden können. Dazu steht das LGL auch mit den zuständigen Behörden der anderen</w:t>
      </w:r>
      <w:r w:rsidR="006E4A74">
        <w:t xml:space="preserve"> </w:t>
      </w:r>
      <w:r>
        <w:t>Länder sowie dem RKI in engem fachlichen Austausch.</w:t>
      </w:r>
    </w:p>
    <w:p w:rsidR="00925EDE" w:rsidRDefault="00925EDE" w:rsidP="00925EDE">
      <w:pPr>
        <w:pStyle w:val="LTAntwortRessortText"/>
      </w:pPr>
      <w:r>
        <w:t>Der in der Eingangsfrage geforderte Vergleich der Inzidenzen der Geimpften und Ungeimpften</w:t>
      </w:r>
      <w:r w:rsidR="006E4A74">
        <w:t xml:space="preserve"> </w:t>
      </w:r>
      <w:r>
        <w:t>anhand der Gesamtzahl der positiven Testungen scheidet schon deshalb aus, weil zum Impfstatus</w:t>
      </w:r>
      <w:r w:rsidR="006E4A74">
        <w:t xml:space="preserve"> </w:t>
      </w:r>
      <w:r>
        <w:t>aller positiven Testungen keine Zahlen vorliegen.</w:t>
      </w:r>
    </w:p>
    <w:p w:rsidR="00925EDE" w:rsidRDefault="00925EDE" w:rsidP="00925EDE">
      <w:pPr>
        <w:pStyle w:val="LTAntwortRessortText"/>
      </w:pPr>
      <w:r>
        <w:t>Innerhalb der Staatsregierung gilt das Ressortprinzip.</w:t>
      </w:r>
    </w:p>
    <w:p w:rsidR="00925EDE" w:rsidRDefault="00925EDE" w:rsidP="00925EDE">
      <w:pPr>
        <w:pStyle w:val="LTAntwortRessortText"/>
      </w:pPr>
      <w:r>
        <w:t>Bei der Ernennung zum Präsidenten des Bayerischen Landesamts für Gesundheit und</w:t>
      </w:r>
      <w:r w:rsidR="006E4A74">
        <w:t xml:space="preserve"> </w:t>
      </w:r>
      <w:r>
        <w:t>Lebensmittelsicherheit (LGL) handelt es sich um eine Personalangelegenheit, für welche die</w:t>
      </w:r>
      <w:r w:rsidR="006E4A74">
        <w:t xml:space="preserve"> </w:t>
      </w:r>
      <w:r>
        <w:t>Staatsregierung als Kollegialorgan zuständig ist und über die daher der Ministerrat entscheidet</w:t>
      </w:r>
      <w:r w:rsidR="006E4A74">
        <w:t xml:space="preserve"> </w:t>
      </w:r>
      <w:r w:rsidR="00D61EFF">
        <w:t>(Art. 55 Nr. 4 </w:t>
      </w:r>
      <w:r>
        <w:t>Verfassung</w:t>
      </w:r>
      <w:r w:rsidR="00D61EFF">
        <w:t xml:space="preserve"> des Freistaats Bayern und Art. 18 Abs. 1 Satz 1 </w:t>
      </w:r>
      <w:r>
        <w:t>Bayerisches</w:t>
      </w:r>
      <w:r w:rsidR="006E4A74">
        <w:t xml:space="preserve"> </w:t>
      </w:r>
      <w:r w:rsidR="00D61EFF">
        <w:t>Beamtengesetz, Anlage </w:t>
      </w:r>
      <w:r>
        <w:t>1 zum Bayerischen Besoldungs</w:t>
      </w:r>
      <w:r w:rsidR="00D61EFF">
        <w:t>gesetz sowie § 6 Abs. 2 Nr. 2 Buchstabe </w:t>
      </w:r>
      <w:r>
        <w:t>a</w:t>
      </w:r>
      <w:r w:rsidR="00D61EFF">
        <w:t> </w:t>
      </w:r>
      <w:r>
        <w:t>der Geschäftsordnung der Bayerischen Staatsregierung). Die Ernennung des aktuellen LGL</w:t>
      </w:r>
      <w:r w:rsidR="00D61EFF">
        <w:t xml:space="preserve"> </w:t>
      </w:r>
      <w:r>
        <w:t>Präsidenten</w:t>
      </w:r>
      <w:r w:rsidR="006E4A74">
        <w:t xml:space="preserve"> </w:t>
      </w:r>
      <w:r>
        <w:t>wurde vom Minis</w:t>
      </w:r>
      <w:r w:rsidR="00D61EFF">
        <w:t>terrat in seiner Sitzung am 27. Oktober </w:t>
      </w:r>
      <w:r>
        <w:t>2020 beschlossen.</w:t>
      </w:r>
    </w:p>
    <w:p w:rsidR="00925EDE" w:rsidRDefault="00925EDE">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925EDE" w:rsidTr="007B0B33">
        <w:tc>
          <w:tcPr>
            <w:tcW w:w="2050" w:type="dxa"/>
          </w:tcPr>
          <w:p w:rsidR="00925EDE" w:rsidRDefault="00925EDE" w:rsidP="00925EDE">
            <w:pPr>
              <w:pStyle w:val="LTAnfrageInitiator"/>
            </w:pPr>
            <w:r>
              <w:t>Abgeordneter</w:t>
            </w:r>
            <w:r>
              <w:rPr>
                <w:b/>
              </w:rPr>
              <w:br/>
              <w:t>Tim</w:t>
            </w:r>
            <w:r>
              <w:rPr>
                <w:b/>
              </w:rPr>
              <w:br/>
              <w:t>Pargent</w:t>
            </w:r>
            <w:r>
              <w:rPr>
                <w:b/>
              </w:rPr>
              <w:br/>
            </w:r>
            <w:r>
              <w:t>(BÜNDNIS 90/DIE GRÜNEN)</w:t>
            </w:r>
            <w:bookmarkStart w:id="129" w:name="Frage_Nr_64"/>
            <w:bookmarkEnd w:id="129"/>
          </w:p>
        </w:tc>
        <w:tc>
          <w:tcPr>
            <w:tcW w:w="7200" w:type="dxa"/>
          </w:tcPr>
          <w:p w:rsidR="00925EDE" w:rsidRDefault="0093595E" w:rsidP="00925EDE">
            <w:pPr>
              <w:pStyle w:val="LTAnfrageText"/>
            </w:pPr>
            <w:r w:rsidRPr="0067222C">
              <w:t>Ich frage die Staatsregierung, im Namen welcher Firmen Andrea Tandler im Rahmen der Vermittlung des EMIX-Maskengeschäfts im Frühjahr 2020 auf die Staatsregierung zuging, ob diese Vermittlungsarbeit im Namen der Agentur Pfennigturm (Sitz München) oder der Firma Little Penguin (Sitz in Grünwald) stattfand und von welchen Firmen im Zuge des EMIX-Maskengeschäfts dem Freistaat Bayern Leistungen in Rechnungen gestellt wurden?</w:t>
            </w:r>
          </w:p>
        </w:tc>
      </w:tr>
    </w:tbl>
    <w:p w:rsidR="00925EDE" w:rsidRDefault="00925EDE" w:rsidP="00925EDE">
      <w:pPr>
        <w:pStyle w:val="LTUeberschrAntwortRessort"/>
      </w:pPr>
      <w:r>
        <w:t>Antwort des Staatsministeriums für Gesundheit und Pflege</w:t>
      </w:r>
    </w:p>
    <w:p w:rsidR="00DE5CC4" w:rsidRDefault="00925EDE" w:rsidP="00925EDE">
      <w:pPr>
        <w:pStyle w:val="LTAntwortRessortText"/>
      </w:pPr>
      <w:r>
        <w:t>Antwort durch das Staatsministerium für Gesundheit und Pflege (StMGP) im Einverständnis mit</w:t>
      </w:r>
      <w:r w:rsidR="00DE5CC4">
        <w:t xml:space="preserve"> </w:t>
      </w:r>
      <w:r>
        <w:t>dem Staatsministerium der Justiz:</w:t>
      </w:r>
    </w:p>
    <w:p w:rsidR="00925EDE" w:rsidRDefault="00925EDE" w:rsidP="00925EDE">
      <w:pPr>
        <w:pStyle w:val="LTAntwortRessortText"/>
      </w:pPr>
      <w:r>
        <w:t>Die genannte Person trat unter Verwendung von Kontaktdaten der Fa. pfennigturm (Sitz München)</w:t>
      </w:r>
      <w:r w:rsidR="00DE5CC4">
        <w:t xml:space="preserve"> </w:t>
      </w:r>
      <w:r>
        <w:t>mit der damals für die Beschaffung von Persönlicher Schutzausrüstung (PSA) zuständigen</w:t>
      </w:r>
      <w:r w:rsidR="00DE5CC4">
        <w:t xml:space="preserve"> </w:t>
      </w:r>
      <w:r>
        <w:t>Arbeitsebene im StMGP in Kontakt, um die Beschaffung von PSA durch das StMGP von der Emix</w:t>
      </w:r>
      <w:r w:rsidR="00DE5CC4">
        <w:t xml:space="preserve"> </w:t>
      </w:r>
      <w:r>
        <w:t>Tradin</w:t>
      </w:r>
      <w:r w:rsidR="00025268">
        <w:t>g AG (damals Emix Trading GmbH –</w:t>
      </w:r>
      <w:r>
        <w:t xml:space="preserve"> nachfolgend </w:t>
      </w:r>
      <w:r w:rsidR="003439F1">
        <w:t>„</w:t>
      </w:r>
      <w:r>
        <w:t>Emix</w:t>
      </w:r>
      <w:r w:rsidR="003439F1">
        <w:t>“</w:t>
      </w:r>
      <w:r>
        <w:t>) zu ermöglichen.</w:t>
      </w:r>
    </w:p>
    <w:p w:rsidR="00925EDE" w:rsidRDefault="00925EDE" w:rsidP="00925EDE">
      <w:pPr>
        <w:pStyle w:val="LTAntwortRessortText"/>
      </w:pPr>
      <w:r>
        <w:t>In Zusammenhang mit vorgenannter Beschaffung wurden Rechnungen gegenüber dem StMGP</w:t>
      </w:r>
      <w:r w:rsidR="00DE5CC4">
        <w:t xml:space="preserve"> </w:t>
      </w:r>
      <w:r>
        <w:t>ausschließlich durch Emix als Verkäuferin für die Lieferung der PSA gestellt. Sonstige Leistungen</w:t>
      </w:r>
      <w:r w:rsidR="00DE5CC4">
        <w:t xml:space="preserve"> </w:t>
      </w:r>
      <w:r>
        <w:t>wurden in Zusammenhang mit dieser Beschaffung nicht durch das StMGP beauftragt, weder</w:t>
      </w:r>
      <w:r w:rsidR="00DE5CC4">
        <w:t xml:space="preserve"> </w:t>
      </w:r>
      <w:r>
        <w:t>gegenüber Emix noch gegenüber Dritten, insbesondere keine Vermittlungsleistungen, und</w:t>
      </w:r>
      <w:r w:rsidR="00DE5CC4">
        <w:t xml:space="preserve"> </w:t>
      </w:r>
      <w:r>
        <w:t>dementsprechend auch nicht in Rechnung gestellt.</w:t>
      </w:r>
    </w:p>
    <w:p w:rsidR="00925EDE" w:rsidRDefault="00925EDE">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25EDE" w:rsidTr="007B0B33">
        <w:tc>
          <w:tcPr>
            <w:tcW w:w="2050" w:type="dxa"/>
          </w:tcPr>
          <w:p w:rsidR="00925EDE" w:rsidRDefault="00925EDE" w:rsidP="00925EDE">
            <w:pPr>
              <w:pStyle w:val="LTAnfrageInitiator"/>
            </w:pPr>
            <w:r>
              <w:t>Abgeordnete</w:t>
            </w:r>
            <w:r>
              <w:rPr>
                <w:b/>
              </w:rPr>
              <w:br/>
              <w:t>Julika</w:t>
            </w:r>
            <w:r>
              <w:rPr>
                <w:b/>
              </w:rPr>
              <w:br/>
              <w:t>Sandt</w:t>
            </w:r>
            <w:r>
              <w:rPr>
                <w:b/>
              </w:rPr>
              <w:br/>
            </w:r>
            <w:r>
              <w:t>(FDP)</w:t>
            </w:r>
            <w:bookmarkStart w:id="131" w:name="Frage_Nr_65"/>
            <w:bookmarkEnd w:id="131"/>
          </w:p>
        </w:tc>
        <w:tc>
          <w:tcPr>
            <w:tcW w:w="7200" w:type="dxa"/>
          </w:tcPr>
          <w:p w:rsidR="00925EDE" w:rsidRDefault="005C0ADE" w:rsidP="00925EDE">
            <w:pPr>
              <w:pStyle w:val="LTAnfrageText"/>
            </w:pPr>
            <w:r w:rsidRPr="0067222C">
              <w:t>Ich frage die Staatsregierung, auf welcher Datengrundlage (bitte die konkrete Daten angeben) sie zu der Annahme kam, die aus ihrer Sicht eine volle Hinzurechnung der unbekannten Fälle unter den Corona-positiv Getesteten in Bayern zu den Ungeimpften geboten hat, wann in den zuständigen Stellen (Bayerisches Landesamt für Gesundheit und Lebensmittelsicherheit</w:t>
            </w:r>
            <w:r w:rsidRPr="0067222C" w:rsidDel="006C3CE0">
              <w:t xml:space="preserve"> </w:t>
            </w:r>
            <w:r w:rsidRPr="0067222C">
              <w:t>bzw. Staatsregierung) diese Datenlage bzw. die daraus folgende Entscheidung sowie die Tatsache, dass das Robert Koch-Institut</w:t>
            </w:r>
            <w:r w:rsidRPr="0067222C" w:rsidDel="006C3CE0">
              <w:t xml:space="preserve"> </w:t>
            </w:r>
            <w:r w:rsidRPr="0067222C">
              <w:t>sowie die zuständigen Behörden anderer Länder diesbezüglich anders vorgehen, diskutiert worden sind und wer an den jeweiligen Diskussionen beteiligt war?</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7-Ta</w:t>
      </w:r>
      <w:r w:rsidR="009D3152">
        <w:t>ge-Inzidenz nach Impfstatus, d. </w:t>
      </w:r>
      <w:r>
        <w:t>h. getrennt nach geimpften und ungeimpften Personen,</w:t>
      </w:r>
      <w:r w:rsidR="0005361C">
        <w:t xml:space="preserve"> </w:t>
      </w:r>
      <w:r w:rsidR="009D3152">
        <w:t>wird seit August </w:t>
      </w:r>
      <w:r>
        <w:t>2021 auf der Homepage des Landesamts für Gesundheit und</w:t>
      </w:r>
      <w:r w:rsidR="0005361C">
        <w:t xml:space="preserve"> </w:t>
      </w:r>
      <w:r>
        <w:t>Lebensmittelsicherheit (LGL) berichtet und einmal in der Woche aktualisiert</w:t>
      </w:r>
      <w:r w:rsidR="0005361C">
        <w:t xml:space="preserve"> </w:t>
      </w:r>
      <w:r>
        <w:t>(</w:t>
      </w:r>
      <w:hyperlink r:id="rId29" w:history="1">
        <w:r w:rsidR="009D3152" w:rsidRPr="009D3152">
          <w:rPr>
            <w:rStyle w:val="LTHyperlinkZchn"/>
            <w:b w:val="0"/>
          </w:rPr>
          <w:t>https://www.lgl.bayern.de/gesundheit/infektionsschutz/infektionskrankheitenaz/coronavirus/kart</w:t>
        </w:r>
      </w:hyperlink>
      <w:r w:rsidR="009D3152" w:rsidRPr="009D3152">
        <w:rPr>
          <w:rStyle w:val="LTHyperlinkZchn"/>
          <w:b w:val="0"/>
        </w:rPr>
        <w:t>e</w:t>
      </w:r>
      <w:r w:rsidRPr="009D3152">
        <w:rPr>
          <w:rStyle w:val="LTHyperlinkZchn"/>
          <w:b w:val="0"/>
        </w:rPr>
        <w:t>coronavirus/index.htm</w:t>
      </w:r>
      <w:r>
        <w:t>). Dort wird seit Beginn der Einführung dieser Kennzahlen auch auf die</w:t>
      </w:r>
      <w:r w:rsidR="0005361C">
        <w:t xml:space="preserve"> </w:t>
      </w:r>
      <w:r>
        <w:t>Berechnungsgrundlagen und die Limitationen dieser Werte ausdrücklich hingewiesen. Die Zahlen</w:t>
      </w:r>
      <w:r w:rsidR="0005361C">
        <w:t xml:space="preserve"> </w:t>
      </w:r>
      <w:r>
        <w:t>und die Berechnungsmethode sind daher seit Beginn an für jedermann ersichtlich und transparent</w:t>
      </w:r>
      <w:r w:rsidR="0005361C">
        <w:t xml:space="preserve"> </w:t>
      </w:r>
      <w:r>
        <w:t>dargestellt.</w:t>
      </w:r>
    </w:p>
    <w:p w:rsidR="00925EDE" w:rsidRDefault="00925EDE" w:rsidP="00925EDE">
      <w:pPr>
        <w:pStyle w:val="LTAntwortRessortText"/>
      </w:pPr>
      <w:r>
        <w:t>Die Entscheidung, die Fälle mit unbekanntem Impfstatus der Inzidenz der Gruppe der Ungeimpften</w:t>
      </w:r>
      <w:r w:rsidR="0005361C">
        <w:t xml:space="preserve"> </w:t>
      </w:r>
      <w:r>
        <w:t>zuzurechnen, erfolgte auf rein fachlicher Basis. Mehrere andere Länder verwenden die gleiche</w:t>
      </w:r>
      <w:r w:rsidR="0005361C">
        <w:t xml:space="preserve"> </w:t>
      </w:r>
      <w:r>
        <w:t>Berechnungsmethode wie in Bayern. Auch das Robert Koch-Institut (RKI) hat bis vor einigen</w:t>
      </w:r>
      <w:r w:rsidR="0005361C">
        <w:t xml:space="preserve"> </w:t>
      </w:r>
      <w:r>
        <w:t>Wochen für die Schätzung der Impfeffektivität ebenfalls die Fälle mit unbekanntem Impfstatus bei</w:t>
      </w:r>
      <w:r w:rsidR="0005361C">
        <w:t xml:space="preserve"> </w:t>
      </w:r>
      <w:r>
        <w:t>der Gruppe der Ungeimpften erfasst. Zwischenzeitlich hat das RKI die Fälle mit unbekanntem</w:t>
      </w:r>
      <w:r w:rsidR="0005361C">
        <w:t xml:space="preserve"> </w:t>
      </w:r>
      <w:r>
        <w:t>Impfstatus aus dieser Berechnung herausgenommen. Es ist davon auszugehen, dass dieses</w:t>
      </w:r>
      <w:r w:rsidR="0005361C">
        <w:t xml:space="preserve"> </w:t>
      </w:r>
      <w:r>
        <w:t>Vorgehen bei Anwendung auf die 7-Tage-Inzidenz das später unter Berücksichtigung von</w:t>
      </w:r>
      <w:r w:rsidR="0005361C">
        <w:t xml:space="preserve"> </w:t>
      </w:r>
      <w:r>
        <w:t>Nachmeldungen feststellbare tatsächliche Verhältnis der Inzidenzen von Geimpften zu</w:t>
      </w:r>
      <w:r w:rsidR="0005361C">
        <w:t xml:space="preserve"> </w:t>
      </w:r>
      <w:r>
        <w:t>Ungeimpften sowie die Inzidenz der Ungeimpften deutlich unterschätzt. Es wurde daher bisher</w:t>
      </w:r>
      <w:r w:rsidR="0005361C">
        <w:t xml:space="preserve"> </w:t>
      </w:r>
      <w:r>
        <w:t>vom LGL wie von mehreren anderen Ländern nicht übernommen.</w:t>
      </w:r>
    </w:p>
    <w:p w:rsidR="00925EDE" w:rsidRDefault="00925EDE" w:rsidP="00925EDE">
      <w:pPr>
        <w:pStyle w:val="LTAntwortRessortText"/>
      </w:pPr>
      <w:r>
        <w:t>Hintergrund der Berechnungsmethode ist, dass nach den bisherigen Erfahrungswerten die weit</w:t>
      </w:r>
      <w:r w:rsidR="0005361C">
        <w:t xml:space="preserve"> </w:t>
      </w:r>
      <w:r>
        <w:t>überwiegende Anzahl der Fälle zunächst mit unbekanntem Imfpstatus tatsächlich auch ungeimpft</w:t>
      </w:r>
      <w:r w:rsidR="0005361C">
        <w:t xml:space="preserve"> </w:t>
      </w:r>
      <w:r>
        <w:t>waren. So lag die Information über den Impfstatus i</w:t>
      </w:r>
      <w:r w:rsidR="009D3152">
        <w:t>n den Monaten September/Oktober </w:t>
      </w:r>
      <w:r>
        <w:t>2021 bei</w:t>
      </w:r>
      <w:r w:rsidR="0005361C">
        <w:t xml:space="preserve"> </w:t>
      </w:r>
      <w:r>
        <w:t>den tagesakt</w:t>
      </w:r>
      <w:r w:rsidR="009D3152">
        <w:t>uellen Erstmeldungen bei ca. 60 </w:t>
      </w:r>
      <w:r w:rsidR="003439F1">
        <w:t>Prozent</w:t>
      </w:r>
      <w:r>
        <w:t xml:space="preserve"> der Meldefälle. Im Verlauf von vier Wochen</w:t>
      </w:r>
      <w:r w:rsidR="0005361C">
        <w:t xml:space="preserve"> </w:t>
      </w:r>
      <w:r>
        <w:t>vervollständigten sich d</w:t>
      </w:r>
      <w:r w:rsidR="009D3152">
        <w:t>iese Meldungen dann auf ca. 80 – 90 </w:t>
      </w:r>
      <w:r w:rsidR="003439F1">
        <w:t>Prozent</w:t>
      </w:r>
      <w:r>
        <w:t xml:space="preserve"> der Meldefälle. Auf dieser Basis</w:t>
      </w:r>
      <w:r w:rsidR="0005361C">
        <w:t xml:space="preserve"> </w:t>
      </w:r>
      <w:r>
        <w:t>bestätigte sich die Annahme, dass die Personen mit zunächst unbekanntem Impfstatus ganz</w:t>
      </w:r>
      <w:r w:rsidR="0005361C">
        <w:t xml:space="preserve"> </w:t>
      </w:r>
      <w:r>
        <w:t>überwiegend den Ungeimpften zuzurechnen waren.</w:t>
      </w:r>
    </w:p>
    <w:p w:rsidR="00925EDE" w:rsidRDefault="00925EDE" w:rsidP="00925EDE">
      <w:pPr>
        <w:pStyle w:val="LTAntwortRessortText"/>
      </w:pPr>
      <w:r>
        <w:t>Das LGL prüft derzeit, wie angesichts der aktuellen Meldeverzüge der Gesundheitsbehörden, die</w:t>
      </w:r>
      <w:r w:rsidR="0005361C">
        <w:t xml:space="preserve"> </w:t>
      </w:r>
      <w:r>
        <w:t>durch die sehr hohen Infektionszahlen begründet sind, zukünftig Daten über den Impfstatus</w:t>
      </w:r>
      <w:r w:rsidR="0005361C">
        <w:t xml:space="preserve"> </w:t>
      </w:r>
      <w:r>
        <w:t>berichtet werden können. Dazu steht das LGL auch mit den zuständigen Behörden der anderen</w:t>
      </w:r>
      <w:r w:rsidR="0005361C">
        <w:t xml:space="preserve"> </w:t>
      </w:r>
      <w:r>
        <w:t>Länder sowie dem RKI in engem fachlichen Austausch.</w:t>
      </w:r>
    </w:p>
    <w:p w:rsidR="00925EDE" w:rsidRDefault="00925EDE" w:rsidP="00925EDE">
      <w:pPr>
        <w:pStyle w:val="LTAntwortRessortText"/>
      </w:pPr>
      <w:r>
        <w:t>Anders als die Frage unterstellen will, bestand aufgrund des überwiegend einheitlichen Umgangs</w:t>
      </w:r>
      <w:r w:rsidR="0005361C">
        <w:t xml:space="preserve"> </w:t>
      </w:r>
      <w:r>
        <w:t>mit den Fällen unbekannten Impfstatus dahingehend kein über die Fachlichkeit hinausgehender</w:t>
      </w:r>
      <w:r w:rsidR="0005361C">
        <w:t xml:space="preserve"> </w:t>
      </w:r>
      <w:r>
        <w:t>Diskussionsbedarf. Gleichwohl wird das LGL die aktuelle Diskussion zum Anlass nehmen, diese</w:t>
      </w:r>
      <w:r w:rsidR="0005361C">
        <w:t xml:space="preserve"> </w:t>
      </w:r>
      <w:r>
        <w:t>Frage nochmals auf Fachebene zu besprechen und eine möglichst bundeseinheitliche Lösung zu</w:t>
      </w:r>
      <w:r w:rsidR="0005361C">
        <w:t xml:space="preserve"> </w:t>
      </w:r>
      <w:r>
        <w:t>erzielen.</w:t>
      </w:r>
    </w:p>
    <w:p w:rsidR="00925EDE" w:rsidRDefault="00925EDE">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925EDE" w:rsidTr="007B0B33">
        <w:tc>
          <w:tcPr>
            <w:tcW w:w="2050" w:type="dxa"/>
          </w:tcPr>
          <w:p w:rsidR="00925EDE" w:rsidRDefault="00925EDE" w:rsidP="00925EDE">
            <w:pPr>
              <w:pStyle w:val="LTAnfrageInitiator"/>
            </w:pPr>
            <w:r>
              <w:t>Abgeordnete</w:t>
            </w:r>
            <w:r>
              <w:rPr>
                <w:b/>
              </w:rPr>
              <w:br/>
              <w:t>Katharina</w:t>
            </w:r>
            <w:r>
              <w:rPr>
                <w:b/>
              </w:rPr>
              <w:br/>
              <w:t>Schulze</w:t>
            </w:r>
            <w:r>
              <w:rPr>
                <w:b/>
              </w:rPr>
              <w:br/>
            </w:r>
            <w:r>
              <w:t>(BÜNDNIS 90/DIE GRÜNEN)</w:t>
            </w:r>
            <w:bookmarkStart w:id="133" w:name="Frage_Nr_66"/>
            <w:bookmarkEnd w:id="133"/>
          </w:p>
        </w:tc>
        <w:tc>
          <w:tcPr>
            <w:tcW w:w="7200" w:type="dxa"/>
          </w:tcPr>
          <w:p w:rsidR="00925EDE" w:rsidRDefault="005C0ADE" w:rsidP="00925EDE">
            <w:pPr>
              <w:pStyle w:val="LTAnfrageText"/>
            </w:pPr>
            <w:r w:rsidRPr="0067222C">
              <w:t>Ich frage die Staatsregierung, wie die derzeitige Impfstoffbeschaffung, -verteilung und -aufteilung im Freistaat an bzw. zwischen Impfzentren, Ärztinnen bzw. Ärzten und Hotspots mit hoher Inzidenz im Detail abläuft, wie viele Impfdosen von welchem Hersteller bis Ende des Jahres 2021 nach Bayern kommen und wie viele Gesundheitsämter in Bayern die Nachverfolgung der Kontaktpersonen zum Teil oder komplett aufgegeben haben (bitte nach Gesundheitsamt auflisten)?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Impfstoffauslieferung sowohl an Impfzentren als auch an niedergelassene Ärztinnen und Ärzte</w:t>
      </w:r>
      <w:r w:rsidR="000A01A7">
        <w:t xml:space="preserve"> </w:t>
      </w:r>
      <w:r>
        <w:t>erfolgt über die pharmazeutischen Großhändler und Apotheken im Rahmen der Regelversorgung.</w:t>
      </w:r>
      <w:r w:rsidR="000A01A7">
        <w:t xml:space="preserve"> </w:t>
      </w:r>
      <w:r>
        <w:t xml:space="preserve">Das </w:t>
      </w:r>
      <w:r w:rsidR="00BE68CD">
        <w:t>Staatsministerium für Gesundheit und Pflege (</w:t>
      </w:r>
      <w:r>
        <w:t>StMGP</w:t>
      </w:r>
      <w:r w:rsidR="00BE68CD">
        <w:t>)</w:t>
      </w:r>
      <w:r>
        <w:t xml:space="preserve"> ist in diesen Prozess nicht involviert. Die möglichen Liefermengen sind hierbei</w:t>
      </w:r>
      <w:r w:rsidR="000A01A7">
        <w:t xml:space="preserve"> </w:t>
      </w:r>
      <w:r>
        <w:t>abhängig von den durch den Bund zur Verfügung gestellten Kontingenten. Eine direkte</w:t>
      </w:r>
      <w:r w:rsidR="000A01A7">
        <w:t xml:space="preserve"> </w:t>
      </w:r>
      <w:r>
        <w:t>Einflussnahme auf die lokale Verteilung und Menge der gelieferten Impfstoffe ist dem StMGP vor</w:t>
      </w:r>
      <w:r w:rsidR="000A01A7">
        <w:t xml:space="preserve"> </w:t>
      </w:r>
      <w:r>
        <w:t>diesem Hintergrund nicht möglich.</w:t>
      </w:r>
      <w:r w:rsidR="000A01A7">
        <w:t xml:space="preserve"> </w:t>
      </w:r>
      <w:r>
        <w:t>Das Bundesministerium für Gesundheit (BMG) hat noch kei</w:t>
      </w:r>
      <w:r w:rsidR="00BE68CD">
        <w:t>ne konkreten Lieferzahlen bzw. –</w:t>
      </w:r>
      <w:r w:rsidR="000A01A7">
        <w:t xml:space="preserve"> </w:t>
      </w:r>
      <w:r>
        <w:t>prognosen für einzelne Bundesländer bekannt gegeben. Bekannt ist, dass die Bestellmenge für</w:t>
      </w:r>
      <w:r w:rsidR="000A01A7">
        <w:t xml:space="preserve"> </w:t>
      </w:r>
      <w:r>
        <w:t>Praxen und Impfzentren hinsichtlich des BioNTech-Impfstoffes vorerst gedeckelt bleiben wird, für</w:t>
      </w:r>
      <w:r w:rsidR="000A01A7">
        <w:t xml:space="preserve"> </w:t>
      </w:r>
      <w:r>
        <w:t>den Impfstoff von Moderna sind bislang keine Bestellbeschränkungen angekündigt.</w:t>
      </w:r>
      <w:r w:rsidR="000A01A7">
        <w:t xml:space="preserve"> </w:t>
      </w:r>
      <w:r>
        <w:t>Unbeschadet dessen hat die Staatsregierung gegenüber dem Bund bereits mit Nachdruck darauf</w:t>
      </w:r>
      <w:r w:rsidR="000A01A7">
        <w:t xml:space="preserve"> </w:t>
      </w:r>
      <w:r>
        <w:t>hingewiesen, dass eine ausreichende Belieferung sowohl der niedergelassenen Ärztinnen und</w:t>
      </w:r>
      <w:r w:rsidR="000A01A7">
        <w:t xml:space="preserve"> </w:t>
      </w:r>
      <w:r>
        <w:t>Ärzte als auch der Impfzentren erforderlich ist und entsprechende Lösungen durch das BMG</w:t>
      </w:r>
      <w:r w:rsidR="000A01A7">
        <w:t xml:space="preserve"> </w:t>
      </w:r>
      <w:r>
        <w:t>gefunden werden müssen. So hat unter anderem die Gesundheitsministerkonferenz bereits mit</w:t>
      </w:r>
      <w:r w:rsidR="000A01A7">
        <w:t xml:space="preserve"> </w:t>
      </w:r>
      <w:r>
        <w:t>Beschluss vom 22.11.2021 frühzeitig appelliert, die Kontingentierung insbesondere des Impfstoffs</w:t>
      </w:r>
      <w:r w:rsidR="000A01A7">
        <w:t xml:space="preserve"> </w:t>
      </w:r>
      <w:r>
        <w:t xml:space="preserve">von BioNTech schnellstmöglich zu beenden. In der </w:t>
      </w:r>
      <w:r w:rsidR="00BE68CD">
        <w:t>Gesundheitsministerkonferenz (</w:t>
      </w:r>
      <w:r>
        <w:t>GMK</w:t>
      </w:r>
      <w:r w:rsidR="00BE68CD">
        <w:t>)</w:t>
      </w:r>
      <w:r>
        <w:t xml:space="preserve"> am 06.12.2021 hat der Bund</w:t>
      </w:r>
      <w:r w:rsidR="000A01A7">
        <w:t xml:space="preserve"> </w:t>
      </w:r>
      <w:r>
        <w:t>angekündigt, voraussichtlich kurzfristig zusätzliche Impfstoffkontingente von BioNTech für die</w:t>
      </w:r>
      <w:r w:rsidR="000A01A7">
        <w:t xml:space="preserve"> </w:t>
      </w:r>
      <w:r>
        <w:t>Länder zur Verfügung zu stellen.</w:t>
      </w:r>
    </w:p>
    <w:p w:rsidR="00925EDE" w:rsidRDefault="00925EDE" w:rsidP="00925EDE">
      <w:pPr>
        <w:pStyle w:val="LTAntwortRessortText"/>
      </w:pPr>
      <w:r>
        <w:t>An keinem der bayerischen Gesundheitsämter wurde die Kontaktpersonennachverfolgung</w:t>
      </w:r>
      <w:r w:rsidR="000A01A7">
        <w:t xml:space="preserve"> </w:t>
      </w:r>
      <w:r>
        <w:t>aufgegeben. Aufgrund der hohen Arbeitsbelastung wurde den Gesundheitsämtern im Einklang mit</w:t>
      </w:r>
      <w:r w:rsidR="000A01A7">
        <w:t xml:space="preserve"> </w:t>
      </w:r>
      <w:r>
        <w:t>den Vorgaben des Robert Koch-Instituts (RKI) die Möglichkeit eröffnet, im Rahmen der</w:t>
      </w:r>
      <w:r w:rsidR="000A01A7">
        <w:t xml:space="preserve"> </w:t>
      </w:r>
      <w:r>
        <w:t>Kontaktpersonennachverfolgung eine Priorisierung vorzunehmen. Danach konzentriert sich diese</w:t>
      </w:r>
      <w:r w:rsidR="000A01A7">
        <w:t xml:space="preserve"> </w:t>
      </w:r>
      <w:r>
        <w:t>in der aktuellen Phase der Pandemie auf diejenigen Personen, die ein besonders hohes</w:t>
      </w:r>
      <w:r w:rsidR="000A01A7">
        <w:t xml:space="preserve"> </w:t>
      </w:r>
      <w:r>
        <w:t>Infektionsrisiko haben (Haushaltsangehörige einer infizierten Person) oder die bei einer Infektion</w:t>
      </w:r>
      <w:r w:rsidR="000A01A7">
        <w:t xml:space="preserve"> </w:t>
      </w:r>
      <w:r>
        <w:t>eine Vielzahl gefährdeter Personen anstecken könnten. Dies betrifft insbesondere Personen, die</w:t>
      </w:r>
      <w:r w:rsidR="000A01A7">
        <w:t xml:space="preserve"> </w:t>
      </w:r>
      <w:r w:rsidR="00BE68CD">
        <w:t>z. </w:t>
      </w:r>
      <w:r>
        <w:t>B. in Pflege- oder Altenheimen, Einrichtungen der Behindertenhilfe, Obdachlosenunterkünften</w:t>
      </w:r>
      <w:r w:rsidR="000A01A7">
        <w:t xml:space="preserve"> </w:t>
      </w:r>
      <w:r>
        <w:t>oder Asylunterkünften arbeiten oder leben. Zudem soll eine Kontaktpersonenermittlung auch im</w:t>
      </w:r>
      <w:r w:rsidR="000A01A7">
        <w:t xml:space="preserve"> </w:t>
      </w:r>
      <w:r>
        <w:t>Bereich der Schulen und Kindertagesstätten stattfinden.</w:t>
      </w:r>
    </w:p>
    <w:p w:rsidR="00925EDE" w:rsidRDefault="00925EDE">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925EDE" w:rsidTr="007B0B33">
        <w:tc>
          <w:tcPr>
            <w:tcW w:w="2050" w:type="dxa"/>
          </w:tcPr>
          <w:p w:rsidR="00925EDE" w:rsidRDefault="00925EDE" w:rsidP="00925EDE">
            <w:pPr>
              <w:pStyle w:val="LTAnfrageInitiator"/>
            </w:pPr>
            <w:r>
              <w:t>Abgeordneter</w:t>
            </w:r>
            <w:r>
              <w:rPr>
                <w:b/>
              </w:rPr>
              <w:br/>
              <w:t>Stefan</w:t>
            </w:r>
            <w:r>
              <w:rPr>
                <w:b/>
              </w:rPr>
              <w:br/>
              <w:t>Schuster</w:t>
            </w:r>
            <w:r>
              <w:rPr>
                <w:b/>
              </w:rPr>
              <w:br/>
            </w:r>
            <w:r>
              <w:t>(SPD)</w:t>
            </w:r>
            <w:bookmarkStart w:id="135" w:name="Frage_Nr_67"/>
            <w:bookmarkEnd w:id="135"/>
          </w:p>
        </w:tc>
        <w:tc>
          <w:tcPr>
            <w:tcW w:w="7200" w:type="dxa"/>
          </w:tcPr>
          <w:p w:rsidR="00925EDE" w:rsidRDefault="005C0ADE" w:rsidP="00883D83">
            <w:pPr>
              <w:pStyle w:val="LTAnfrageText"/>
            </w:pPr>
            <w:r w:rsidRPr="0067222C">
              <w:t xml:space="preserve">Ich frage die Staatsregierung, wie viele Verstöße gegen die jeweils geltende Bayerische Infektionsschutzmaßnahmenverordnung </w:t>
            </w:r>
            <w:r w:rsidR="00883D83">
              <w:t xml:space="preserve">(BayIfSMV) </w:t>
            </w:r>
            <w:r w:rsidRPr="0067222C">
              <w:t>im November 2021 festgestellt wurden und in wie vielen dieser Fälle ein Bußgeld nach § 73 Abs. 1a Nr. 24 und Abs. 2 im Infektionsschutzgesetz (IfSG) in Verbindung mit § 17 in der BayIfSMV erhoben wurde?</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Vom 11.11.2021 bis 02.12.2021 hat die Bayerische Po</w:t>
      </w:r>
      <w:r w:rsidR="00AC6241">
        <w:t xml:space="preserve">lizei bei insgesamt </w:t>
      </w:r>
      <w:r w:rsidR="00883D83">
        <w:t>rund 44 </w:t>
      </w:r>
      <w:r w:rsidR="00AC6241">
        <w:t>500 </w:t>
      </w:r>
      <w:r>
        <w:t>Kontrollen</w:t>
      </w:r>
      <w:r w:rsidR="00D2179C">
        <w:t xml:space="preserve"> </w:t>
      </w:r>
      <w:r w:rsidR="00883D83">
        <w:t>3 </w:t>
      </w:r>
      <w:r>
        <w:t>335 Verstöße gegen Coro</w:t>
      </w:r>
      <w:r w:rsidR="00883D83">
        <w:t>na-Regeln festgestellt, davon 2 </w:t>
      </w:r>
      <w:r>
        <w:t>294 gegen die 2G/3G-Regeln beim</w:t>
      </w:r>
      <w:r w:rsidR="00D2179C">
        <w:t xml:space="preserve"> </w:t>
      </w:r>
      <w:r>
        <w:t>Zugang zu bestimmten Bereichen und 1.041 gegen die Maskenpflicht. 913 Verstöße gegen die</w:t>
      </w:r>
      <w:r w:rsidR="00D2179C">
        <w:t xml:space="preserve"> </w:t>
      </w:r>
      <w:r>
        <w:t>2G/3G-Regeln betrafe</w:t>
      </w:r>
      <w:r w:rsidR="00883D83">
        <w:t>n Betreiber und Beschäftigte, 1 </w:t>
      </w:r>
      <w:r>
        <w:t>166 Besucher und Kunden.</w:t>
      </w:r>
      <w:r w:rsidR="00D2179C">
        <w:t xml:space="preserve"> </w:t>
      </w:r>
      <w:r>
        <w:t>Hinsichtlich der Anzahl der verhängten Bußgelder und der von den Kreisverwaltungsbehörden</w:t>
      </w:r>
      <w:r w:rsidR="00D2179C">
        <w:t xml:space="preserve"> </w:t>
      </w:r>
      <w:r>
        <w:t>selbst durchgeführten Kontrollen erfolgt von den zuständigen Kreisverwaltungsbehörden keine</w:t>
      </w:r>
      <w:r w:rsidR="00D2179C">
        <w:t xml:space="preserve"> </w:t>
      </w:r>
      <w:r>
        <w:t xml:space="preserve">automatische Übermittlung an das </w:t>
      </w:r>
      <w:r w:rsidR="00AC6241">
        <w:t>Staatsministerium für Gesundheit und Pflege (</w:t>
      </w:r>
      <w:r>
        <w:t>StMGP</w:t>
      </w:r>
      <w:r w:rsidR="00AC6241">
        <w:t>)</w:t>
      </w:r>
      <w:r>
        <w:t>.</w:t>
      </w:r>
    </w:p>
    <w:p w:rsidR="00925EDE" w:rsidRDefault="00925EDE">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925EDE" w:rsidTr="007B0B33">
        <w:tc>
          <w:tcPr>
            <w:tcW w:w="2050" w:type="dxa"/>
          </w:tcPr>
          <w:p w:rsidR="00925EDE" w:rsidRDefault="00925EDE" w:rsidP="00925EDE">
            <w:pPr>
              <w:pStyle w:val="LTAnfrageInitiator"/>
            </w:pPr>
            <w:r>
              <w:t>Abgeordneter</w:t>
            </w:r>
            <w:r>
              <w:rPr>
                <w:b/>
              </w:rPr>
              <w:br/>
              <w:t>Dr. Dominik</w:t>
            </w:r>
            <w:r>
              <w:rPr>
                <w:b/>
              </w:rPr>
              <w:br/>
              <w:t>Spitzer</w:t>
            </w:r>
            <w:r>
              <w:rPr>
                <w:b/>
              </w:rPr>
              <w:br/>
            </w:r>
            <w:r>
              <w:t>(FDP)</w:t>
            </w:r>
            <w:bookmarkStart w:id="137" w:name="Frage_Nr_68"/>
            <w:bookmarkEnd w:id="137"/>
          </w:p>
        </w:tc>
        <w:tc>
          <w:tcPr>
            <w:tcW w:w="7200" w:type="dxa"/>
          </w:tcPr>
          <w:p w:rsidR="00925EDE" w:rsidRDefault="009E7CB7" w:rsidP="00925EDE">
            <w:pPr>
              <w:pStyle w:val="LTAnfrageText"/>
            </w:pPr>
            <w:r w:rsidRPr="0067222C">
              <w:t>Ich frage die Staatsregierung, seit welcher Woche die Zahl der unbekannten Fälle (in Bezug auf den Impfstatus) unter den Corona-positiv Getesteten in Bayern auf mehr als 50 Prozent der positiven Fälle gestiegen ist, wer im Landesamt für Gesundheit und Lebensmittelsicherheit (LGL), im Staatsministerium für Gesundheit und Pflege (StMGP) oder sonst in der Staatsregierung über diese Umstände Bescheid gewusst hat und an welche Teile der Staatsregierung (Staatsministerien sowie Staatskanzlei) seitens StMGP oder LGL Informationen bezüglich des Ausmaßes der unbekannten Fälle weitergegeben worden sind (bitte, sofern bekannt, Zeitpunkt der Informationsweitergabe angeben)?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7-Ta</w:t>
      </w:r>
      <w:r w:rsidR="00B90824">
        <w:t>ge-Inzidenz nach Impfstatus, d. </w:t>
      </w:r>
      <w:r>
        <w:t>h. getrennt nach geimpften und ungeimpften Personen,</w:t>
      </w:r>
      <w:r w:rsidR="00D8517D">
        <w:t xml:space="preserve"> </w:t>
      </w:r>
      <w:r w:rsidR="00B90824">
        <w:t>wird seit August </w:t>
      </w:r>
      <w:r>
        <w:t>2021 auf der Homepage des Landesamts für Gesundheit und</w:t>
      </w:r>
      <w:r w:rsidR="00D8517D">
        <w:t xml:space="preserve"> </w:t>
      </w:r>
      <w:r>
        <w:t>Lebensmittelsicherheit (LGL) berichtet und einmal in der Woche aktualisiert</w:t>
      </w:r>
      <w:r w:rsidR="00D8517D">
        <w:t xml:space="preserve"> </w:t>
      </w:r>
      <w:r>
        <w:t>(</w:t>
      </w:r>
      <w:hyperlink r:id="rId30" w:history="1">
        <w:r w:rsidR="00D8517D" w:rsidRPr="00B90824">
          <w:rPr>
            <w:rStyle w:val="LTHyperlinkZchn"/>
            <w:b w:val="0"/>
          </w:rPr>
          <w:t>https://www.lgl.bayern.de/gesundheit/infektionsschutz/infektionskrankheiten_a_z/coronavirus/kart</w:t>
        </w:r>
      </w:hyperlink>
      <w:r w:rsidRPr="00B90824">
        <w:rPr>
          <w:rStyle w:val="LTHyperlinkZchn"/>
          <w:b w:val="0"/>
        </w:rPr>
        <w:t>e_coronavirus/index.htm</w:t>
      </w:r>
      <w:r>
        <w:t>). Dort wird seit Beginn der Einführung dieser Kennzahlen auch auf die</w:t>
      </w:r>
      <w:r w:rsidR="00D8517D">
        <w:t xml:space="preserve"> </w:t>
      </w:r>
      <w:r>
        <w:t>Berechnungsgrundlagen und die Limitationen dieser Werte ausdrücklich hingewiesen. Die Zahlen</w:t>
      </w:r>
      <w:r w:rsidR="00D8517D">
        <w:t xml:space="preserve"> </w:t>
      </w:r>
      <w:r>
        <w:t>und die Berechnungsmethode sind daher seit Beginn an für jedermann ersichtlich und transparent</w:t>
      </w:r>
      <w:r w:rsidR="00D8517D">
        <w:t xml:space="preserve"> </w:t>
      </w:r>
      <w:r>
        <w:t>dargestellt.</w:t>
      </w:r>
    </w:p>
    <w:p w:rsidR="00925EDE" w:rsidRDefault="00925EDE" w:rsidP="00925EDE">
      <w:pPr>
        <w:pStyle w:val="LTAntwortRessortText"/>
      </w:pPr>
      <w:r>
        <w:t>Die Entscheidung, die Fälle mit unbekanntem Impfstatus der Inzidenz der Gruppe der Ungeimpften</w:t>
      </w:r>
      <w:r w:rsidR="00D8517D">
        <w:t xml:space="preserve"> </w:t>
      </w:r>
      <w:r>
        <w:t>zuzurechnen, erfolgte auf rein fachlicher Basis. Mehrere andere Länder verwenden die gleiche</w:t>
      </w:r>
      <w:r w:rsidR="00D8517D">
        <w:t xml:space="preserve"> </w:t>
      </w:r>
      <w:r>
        <w:t>Berechnungsmethode wie in Bayern. Auch das Robert Koch-Institut (RKI) hat bis vor einigen</w:t>
      </w:r>
      <w:r w:rsidR="00D8517D">
        <w:t xml:space="preserve"> </w:t>
      </w:r>
      <w:r>
        <w:t>Wochen für die Schätzung der Impfeffektivität ebenfalls die Fälle mit unbekanntem Impfstatus bei</w:t>
      </w:r>
      <w:r w:rsidR="00D8517D">
        <w:t xml:space="preserve"> </w:t>
      </w:r>
      <w:r>
        <w:t>der Gruppe der Ungeimpften erfasst. Zwischenzeitlich hat das RKI die Fälle mit unbekanntem</w:t>
      </w:r>
      <w:r w:rsidR="00D8517D">
        <w:t xml:space="preserve"> </w:t>
      </w:r>
      <w:r>
        <w:t>Impfstatus aus dieser Berechnung herausgenommen. Es ist davon auszugehen, dass dieses</w:t>
      </w:r>
      <w:r w:rsidR="00D8517D">
        <w:t xml:space="preserve"> </w:t>
      </w:r>
      <w:r>
        <w:t>Vorgehen bei Anwendung auf die 7-Tage-Inzidenz das später unter Berücksichtigung von</w:t>
      </w:r>
      <w:r w:rsidR="00D8517D">
        <w:t xml:space="preserve"> </w:t>
      </w:r>
      <w:r>
        <w:t>Nachmeldungen feststellbare tatsächliche Verhältnis der Inzidenzen von Geimpften zu</w:t>
      </w:r>
      <w:r w:rsidR="00D8517D">
        <w:t xml:space="preserve"> </w:t>
      </w:r>
      <w:r>
        <w:t>Ungeimpften sowie die Inzidenz der Ungeimpften deutlich unterschätzt. Es wurde daher bisher</w:t>
      </w:r>
      <w:r w:rsidR="00D8517D">
        <w:t xml:space="preserve"> </w:t>
      </w:r>
      <w:r>
        <w:t>vom LGL wie von mehreren anderen Ländern nicht übernommen.</w:t>
      </w:r>
    </w:p>
    <w:p w:rsidR="00925EDE" w:rsidRDefault="00925EDE" w:rsidP="00925EDE">
      <w:pPr>
        <w:pStyle w:val="LTAntwortRessortText"/>
      </w:pPr>
      <w:r>
        <w:t>Hintergrund der Berechnungsmethode ist, dass nach den bisherigen Erfahrungswerten die weit</w:t>
      </w:r>
      <w:r w:rsidR="00D8517D">
        <w:t xml:space="preserve"> </w:t>
      </w:r>
      <w:r>
        <w:t>überwiegende Anzahl der Fälle zunächst mit unbekanntem Imfpstatus tatsächlich auch ungeimpft</w:t>
      </w:r>
      <w:r w:rsidR="00D8517D">
        <w:t xml:space="preserve"> </w:t>
      </w:r>
      <w:r>
        <w:t>waren. So lag die Information über den Impfstatus i</w:t>
      </w:r>
      <w:r w:rsidR="00B90824">
        <w:t>n den Monaten September/Oktober </w:t>
      </w:r>
      <w:r>
        <w:t>2021 bei</w:t>
      </w:r>
      <w:r w:rsidR="00D8517D">
        <w:t xml:space="preserve"> </w:t>
      </w:r>
      <w:r>
        <w:t>den tagesakt</w:t>
      </w:r>
      <w:r w:rsidR="00B90824">
        <w:t>uellen Erstmeldungen bei ca. 60 </w:t>
      </w:r>
      <w:r w:rsidR="003439F1">
        <w:t>Prozent</w:t>
      </w:r>
      <w:r>
        <w:t xml:space="preserve"> der Meldefälle. Im Verlauf von vier Wochen</w:t>
      </w:r>
      <w:r w:rsidR="00D8517D">
        <w:t xml:space="preserve"> </w:t>
      </w:r>
      <w:r>
        <w:t>vervollständigten sich d</w:t>
      </w:r>
      <w:r w:rsidR="00B90824">
        <w:t>iese Meldungen dann auf ca. 80 – 90 </w:t>
      </w:r>
      <w:r w:rsidR="003439F1">
        <w:t>Prozent</w:t>
      </w:r>
      <w:r>
        <w:t xml:space="preserve"> der Meldefälle. Auf dieser Basis</w:t>
      </w:r>
      <w:r w:rsidR="00D8517D">
        <w:t xml:space="preserve"> </w:t>
      </w:r>
      <w:r>
        <w:t>bestätigte sich die Annahme, dass die Personen mit zunächst unbekanntem Impfstatus ganz</w:t>
      </w:r>
      <w:r w:rsidR="00D8517D">
        <w:t xml:space="preserve"> </w:t>
      </w:r>
      <w:r>
        <w:t>überwiegend den Ungeimpften zuzurechnen waren. Die entsprechenden Zahlen des LGL haben</w:t>
      </w:r>
      <w:r w:rsidR="00D8517D">
        <w:t xml:space="preserve"> </w:t>
      </w:r>
      <w:r>
        <w:t>allgemein Verwendung gefunden.</w:t>
      </w:r>
    </w:p>
    <w:p w:rsidR="00925EDE" w:rsidRDefault="00925EDE" w:rsidP="00925EDE">
      <w:pPr>
        <w:pStyle w:val="LTAntwortRessortText"/>
      </w:pPr>
      <w:r>
        <w:t>Das LGL prüft derzeit, wie angesichts der aktuellen Meldeverzüge der Gesundheitsbehörden, die</w:t>
      </w:r>
      <w:r w:rsidR="00D8517D">
        <w:t xml:space="preserve"> </w:t>
      </w:r>
      <w:r>
        <w:t>durch die sehr hohen Infektionszahlen begründet sind, zukünftig Daten über den Impfstatus</w:t>
      </w:r>
      <w:r w:rsidR="00D8517D">
        <w:t xml:space="preserve"> </w:t>
      </w:r>
      <w:r>
        <w:t>berichtet werden können. Dazu steht das LGL auch mit den zuständigen Behörden der anderen</w:t>
      </w:r>
      <w:r w:rsidR="00D8517D">
        <w:t xml:space="preserve"> </w:t>
      </w:r>
      <w:r>
        <w:t>Länder sowie dem RKI in engem fachlichen Austausch.</w:t>
      </w:r>
    </w:p>
    <w:p w:rsidR="00925EDE" w:rsidRDefault="00925EDE" w:rsidP="00925EDE">
      <w:pPr>
        <w:pStyle w:val="LTAntwortRessortText"/>
      </w:pPr>
      <w:r>
        <w:t>Im Hinblick auf die Eingangsfrage zeigt sich nach den Daten des LGL, dass die Prozentzahl der</w:t>
      </w:r>
      <w:r w:rsidR="00D8517D">
        <w:t xml:space="preserve"> </w:t>
      </w:r>
      <w:r>
        <w:t>Fälle der letzten sieben Tage, in welchen eine SARS-CoV-2-Infektion ohne Angaben zum</w:t>
      </w:r>
      <w:r w:rsidR="00D8517D">
        <w:t xml:space="preserve"> </w:t>
      </w:r>
      <w:r>
        <w:t>Impfstatus nach</w:t>
      </w:r>
      <w:r w:rsidR="00B90824">
        <w:t>gewiesen wurde, erstmalig in KW 45 auf einen Wert von über 50 </w:t>
      </w:r>
      <w:r w:rsidR="003439F1">
        <w:t>Prozent</w:t>
      </w:r>
      <w:r w:rsidR="00B90824">
        <w:t xml:space="preserve"> (55,2 </w:t>
      </w:r>
      <w:r w:rsidR="003439F1">
        <w:t>Prozent</w:t>
      </w:r>
      <w:r>
        <w:t>) stieg</w:t>
      </w:r>
      <w:r w:rsidR="00B90824">
        <w:t>.</w:t>
      </w:r>
    </w:p>
    <w:p w:rsidR="00925EDE" w:rsidRDefault="00925EDE">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25EDE" w:rsidTr="007B0B33">
        <w:tc>
          <w:tcPr>
            <w:tcW w:w="2050" w:type="dxa"/>
          </w:tcPr>
          <w:p w:rsidR="00925EDE" w:rsidRDefault="00925EDE" w:rsidP="00925EDE">
            <w:pPr>
              <w:pStyle w:val="LTAnfrageInitiator"/>
            </w:pPr>
            <w:r>
              <w:t>Abgeordnete</w:t>
            </w:r>
            <w:r>
              <w:rPr>
                <w:b/>
              </w:rPr>
              <w:br/>
              <w:t>Ruth</w:t>
            </w:r>
            <w:r>
              <w:rPr>
                <w:b/>
              </w:rPr>
              <w:br/>
              <w:t>Waldmann</w:t>
            </w:r>
            <w:r>
              <w:rPr>
                <w:b/>
              </w:rPr>
              <w:br/>
            </w:r>
            <w:r>
              <w:t>(SPD)</w:t>
            </w:r>
            <w:bookmarkStart w:id="139" w:name="Frage_Nr_69"/>
            <w:bookmarkEnd w:id="139"/>
          </w:p>
        </w:tc>
        <w:tc>
          <w:tcPr>
            <w:tcW w:w="7200" w:type="dxa"/>
          </w:tcPr>
          <w:p w:rsidR="00925EDE" w:rsidRDefault="009E7CB7" w:rsidP="00925EDE">
            <w:pPr>
              <w:pStyle w:val="LTAnfrageText"/>
            </w:pPr>
            <w:r w:rsidRPr="0067222C">
              <w:t>Ich frage die Staatsregierung, welche Möglichkeiten sie sieht, insbesondere in Landkreisen mit unterdurchschnittlicher Impfquote bei Kirchengemeinden und einflussreichen Traditionsvereinen anzuregen, an lokalen Impfkampagnen mitzuwirken, in welchen Bereichen gezielte Initiativen dazu bereits unternommen wurden und mit welchen Aktivitäten sich die Staatsregierung bemüht, Migrantinnen bzw. Migranten gezielt zu erreichen?</w:t>
            </w:r>
          </w:p>
        </w:tc>
      </w:tr>
    </w:tbl>
    <w:p w:rsidR="00925EDE" w:rsidRDefault="00925EDE" w:rsidP="00925EDE">
      <w:pPr>
        <w:pStyle w:val="LTUeberschrAntwortRessort"/>
      </w:pPr>
      <w:r>
        <w:t>Antwort des Staatsministeriums für Gesundheit und Pflege</w:t>
      </w:r>
    </w:p>
    <w:p w:rsidR="00925EDE" w:rsidRDefault="00925EDE" w:rsidP="00925EDE">
      <w:pPr>
        <w:pStyle w:val="LTAntwortRessortText"/>
      </w:pPr>
      <w:r>
        <w:t>Die Kirchen in Bayern unterstützen die Impfkampagne der Staatsregierung nachhaltig. Die Kirchen</w:t>
      </w:r>
      <w:r w:rsidR="0065163A">
        <w:t xml:space="preserve"> </w:t>
      </w:r>
      <w:r>
        <w:t>hatten zugesagt, in Rundschreiben an die Gemeinden auf die Möglichkeit hinzuweisen, dass mobile</w:t>
      </w:r>
      <w:r w:rsidR="0065163A">
        <w:t xml:space="preserve"> </w:t>
      </w:r>
      <w:r>
        <w:t>Impfteams der Impfzentren Aktionen vor Ort zusammen mit Gemeinden durchführen. Insbesondere</w:t>
      </w:r>
      <w:r w:rsidR="0065163A">
        <w:t xml:space="preserve"> </w:t>
      </w:r>
      <w:r>
        <w:t>mit Blick auf die weiter forcierte Durchführung von Auffrischungsimpfungen bzw. von Impfungen von</w:t>
      </w:r>
      <w:r w:rsidR="0065163A">
        <w:t xml:space="preserve"> </w:t>
      </w:r>
      <w:r>
        <w:t>Kindern unter 12 Jahren steht die Staatsregierung aktuell mit den Kirchen in enger Verbindung, um</w:t>
      </w:r>
      <w:r w:rsidR="0065163A">
        <w:t xml:space="preserve"> </w:t>
      </w:r>
      <w:r>
        <w:t>die Kirchengemeinden zur Unterstützung von Impfaktionen der Impfzentren vor Ort zu gewinnen.</w:t>
      </w:r>
      <w:r w:rsidR="0065163A">
        <w:t xml:space="preserve"> </w:t>
      </w:r>
      <w:r>
        <w:t xml:space="preserve">Ähnliches gilt für Musik- und Brauchtumsverbände, die in Abstimmung mit dem </w:t>
      </w:r>
      <w:r w:rsidR="008C14F7">
        <w:t>Staatsministerium für Gesundheit und Pflege (</w:t>
      </w:r>
      <w:r>
        <w:t>StMGP</w:t>
      </w:r>
      <w:r w:rsidR="008C14F7">
        <w:t>)</w:t>
      </w:r>
      <w:r>
        <w:t xml:space="preserve"> ebenfalls die</w:t>
      </w:r>
      <w:r w:rsidR="0065163A">
        <w:t xml:space="preserve"> </w:t>
      </w:r>
      <w:r>
        <w:t>Impfkampagne des Freistaat</w:t>
      </w:r>
      <w:r w:rsidR="00883D83">
        <w:t>e</w:t>
      </w:r>
      <w:r>
        <w:t>s unterstützen.</w:t>
      </w:r>
    </w:p>
    <w:p w:rsidR="00925EDE" w:rsidRDefault="00925EDE" w:rsidP="00925EDE">
      <w:pPr>
        <w:pStyle w:val="LTAntwortRessortText"/>
      </w:pPr>
      <w:r>
        <w:t>Um Migranten und Migrantinnen zu erreichen, unterbreiten die Impfzentren vor Ort in eigener</w:t>
      </w:r>
      <w:r w:rsidR="0065163A">
        <w:t xml:space="preserve"> </w:t>
      </w:r>
      <w:r>
        <w:t>Verantwortung zahlreiche niederschwellige Impfangebote. Zudem werden lokale</w:t>
      </w:r>
      <w:r w:rsidR="0065163A">
        <w:t xml:space="preserve"> </w:t>
      </w:r>
      <w:r>
        <w:t>Sonderimpfaktionen organisiert und durchgeführt. Neben diesen Sonderaktionen haben die</w:t>
      </w:r>
      <w:r w:rsidR="0065163A">
        <w:t xml:space="preserve"> </w:t>
      </w:r>
      <w:r>
        <w:t>Impfzentren entsprechend der Aufforderung des StMGP regelmäßig auch Aktionen in</w:t>
      </w:r>
      <w:r w:rsidR="0065163A">
        <w:t xml:space="preserve"> </w:t>
      </w:r>
      <w:r>
        <w:t>Zusammenarbeit mit Kirchen und Moscheen gemeldet. Nach den vorliegenden Meldungen wurde</w:t>
      </w:r>
      <w:r w:rsidR="0065163A">
        <w:t xml:space="preserve"> </w:t>
      </w:r>
      <w:r>
        <w:t>eine solche Zusammenarbeit in 70 Fällen rückgemeldet. Migranten wurden durch die örtliche</w:t>
      </w:r>
      <w:r w:rsidR="0065163A">
        <w:t xml:space="preserve"> </w:t>
      </w:r>
      <w:r>
        <w:t>Zusammenarbeit mit islamischen Kulturvereinen und Moscheen erreicht. Zudem gab es einzelne an</w:t>
      </w:r>
      <w:r w:rsidR="0065163A">
        <w:t xml:space="preserve"> </w:t>
      </w:r>
      <w:r>
        <w:t>Asylsuchende gerichtete Impfangebote. Ankündigungen zu Sonderimpfaktionen der Impfzentren</w:t>
      </w:r>
      <w:r w:rsidR="0065163A">
        <w:t xml:space="preserve"> </w:t>
      </w:r>
      <w:r>
        <w:t xml:space="preserve">werden regelmäßig auch unter </w:t>
      </w:r>
      <w:hyperlink r:id="rId31" w:history="1">
        <w:r w:rsidRPr="008C14F7">
          <w:rPr>
            <w:rStyle w:val="LTHyperlinkZchn"/>
            <w:b w:val="0"/>
          </w:rPr>
          <w:t>https://www.stmgp.bayern.de/coronavirus/impfung/</w:t>
        </w:r>
      </w:hyperlink>
      <w:r>
        <w:t xml:space="preserve"> veröffentlicht.</w:t>
      </w:r>
    </w:p>
    <w:p w:rsidR="00925EDE" w:rsidRDefault="00925EDE" w:rsidP="00925EDE">
      <w:pPr>
        <w:pStyle w:val="LTAntwortRessortText"/>
      </w:pPr>
      <w:r>
        <w:t>Das StMGP führt unterdessen bayernweite Kommunikationsmaßnahmen durch. Den Impfzentren</w:t>
      </w:r>
      <w:r w:rsidR="0065163A">
        <w:t xml:space="preserve"> </w:t>
      </w:r>
      <w:r>
        <w:t>werden Materialien für die Kommunikation vor Ort zur Verfügung gestellt, insbesondere auch für</w:t>
      </w:r>
      <w:r w:rsidR="0065163A">
        <w:t xml:space="preserve"> </w:t>
      </w:r>
      <w:r>
        <w:t>die in der Anfrage genannten Zielgruppen.</w:t>
      </w:r>
    </w:p>
    <w:p w:rsidR="00925EDE" w:rsidRDefault="00925EDE">
      <w:bookmarkStart w:id="140" w:name="Frage_Nr_69_Ende"/>
      <w:bookmarkEnd w:id="1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25EDE" w:rsidTr="007B0B33">
        <w:tc>
          <w:tcPr>
            <w:tcW w:w="2050" w:type="dxa"/>
          </w:tcPr>
          <w:p w:rsidR="00925EDE" w:rsidRDefault="00925EDE" w:rsidP="00925EDE">
            <w:pPr>
              <w:pStyle w:val="LTAnfrageInitiator"/>
            </w:pPr>
            <w:r>
              <w:t>Abgeordnete</w:t>
            </w:r>
            <w:r>
              <w:rPr>
                <w:b/>
              </w:rPr>
              <w:br/>
              <w:t>Dr. Sabine</w:t>
            </w:r>
            <w:r>
              <w:rPr>
                <w:b/>
              </w:rPr>
              <w:br/>
              <w:t>Weigand</w:t>
            </w:r>
            <w:r>
              <w:rPr>
                <w:b/>
              </w:rPr>
              <w:br/>
            </w:r>
            <w:r>
              <w:t>(BÜNDNIS 90/DIE GRÜNEN)</w:t>
            </w:r>
            <w:bookmarkStart w:id="141" w:name="Frage_Nr_70"/>
            <w:bookmarkEnd w:id="141"/>
          </w:p>
        </w:tc>
        <w:tc>
          <w:tcPr>
            <w:tcW w:w="7200" w:type="dxa"/>
          </w:tcPr>
          <w:p w:rsidR="00925EDE" w:rsidRDefault="009E7CB7" w:rsidP="007B2601">
            <w:pPr>
              <w:pStyle w:val="LTAnfrageText"/>
            </w:pPr>
            <w:r w:rsidRPr="0067222C">
              <w:t>Ich frage die Staatsregierung, ob ihr neue Erkenntnisse zum Abwassermonitoring zur Früherkennung von SARS-CoV-2 vorliegen, wie viele kommunale Abwasserentsorger in Bayern inzwischen an Modellprojekten zur Untersuchung von SARS-CoV-2-Verbreitung und -varianten beteiligt sind und ob sie plant, ein bayernweites Abwassermonitoring zur Früherkennung von möglichen Ausbrüchen der neuen Omikron-Variante zu nutzen?</w:t>
            </w:r>
          </w:p>
        </w:tc>
      </w:tr>
    </w:tbl>
    <w:p w:rsidR="00925EDE" w:rsidRDefault="00925EDE" w:rsidP="007B2601">
      <w:pPr>
        <w:pStyle w:val="LTUeberschrAntwortRessort"/>
        <w:spacing w:before="720"/>
      </w:pPr>
      <w:r>
        <w:t>Antwort des Staatsministeriums für Gesundheit und Pflege</w:t>
      </w:r>
    </w:p>
    <w:p w:rsidR="00925EDE" w:rsidRDefault="00925EDE" w:rsidP="00925EDE">
      <w:pPr>
        <w:pStyle w:val="LTAntwortRessortText"/>
      </w:pPr>
      <w:r>
        <w:t>Das Abwassermonitoring kann einen zusätzlichen Parameter zur Beurteilung der</w:t>
      </w:r>
      <w:r w:rsidR="00F57D98">
        <w:t xml:space="preserve"> </w:t>
      </w:r>
      <w:r>
        <w:t>epidemiologischen Lage darstellen, um die Einschätzung des Infektionsgeschehens vor Ort zu</w:t>
      </w:r>
      <w:r w:rsidR="00F57D98">
        <w:t xml:space="preserve"> </w:t>
      </w:r>
      <w:r>
        <w:t>ergänzen. Es ermöglicht eine Prognose über mehrere Tage, was beispielsweise zur Entscheidung</w:t>
      </w:r>
      <w:r w:rsidR="00F57D98">
        <w:t xml:space="preserve"> </w:t>
      </w:r>
      <w:r>
        <w:t>über die Notwendigkeit von Maßnahmen zum Infektionsschutz herangezogen werden kann.</w:t>
      </w:r>
      <w:r w:rsidR="00F57D98">
        <w:t xml:space="preserve"> </w:t>
      </w:r>
      <w:r>
        <w:t>Zusätzlich ist ein Monitoring der Verbreitung von SARS-CoV-2-Varianten möglich.</w:t>
      </w:r>
      <w:r w:rsidR="00F57D98">
        <w:t xml:space="preserve"> </w:t>
      </w:r>
      <w:r w:rsidR="00DC2400">
        <w:t>Am Lehrstuhl von Prof. Dr. </w:t>
      </w:r>
      <w:r>
        <w:t>Jörg Drewes für Siedlungswasserwirtschaft der Technischen</w:t>
      </w:r>
      <w:r w:rsidR="00F57D98">
        <w:t xml:space="preserve"> </w:t>
      </w:r>
      <w:r>
        <w:t>Universität München ist das durch das Bundesministerium für Bildung und Forschung (BMBF)</w:t>
      </w:r>
      <w:r w:rsidR="00F57D98">
        <w:t xml:space="preserve"> </w:t>
      </w:r>
      <w:r>
        <w:t xml:space="preserve">geförderte Projekt </w:t>
      </w:r>
      <w:r w:rsidR="003439F1">
        <w:t>„</w:t>
      </w:r>
      <w:r>
        <w:t>Abwasser Biomarker CoV-2</w:t>
      </w:r>
      <w:r w:rsidR="003439F1">
        <w:t>“</w:t>
      </w:r>
      <w:r>
        <w:t xml:space="preserve"> in Erlangen, Augsburg, Freising, Starnberg,</w:t>
      </w:r>
      <w:r w:rsidR="00F57D98">
        <w:t xml:space="preserve"> </w:t>
      </w:r>
      <w:r>
        <w:t>München, Weiden und im Berchtesgadener Land angesiedelt.</w:t>
      </w:r>
      <w:r w:rsidR="00F57D98">
        <w:t xml:space="preserve"> </w:t>
      </w:r>
      <w:r>
        <w:t>Unter Leitung des Tropeninstituts am Klinikum der Ludwig-Maximilians-Universität (LMU) werden</w:t>
      </w:r>
      <w:r w:rsidR="00F57D98">
        <w:t xml:space="preserve"> </w:t>
      </w:r>
      <w:r>
        <w:t>wöchentlich Abwasserproben an sechs Standorten im Münchner Stadtgebiet untersucht.</w:t>
      </w:r>
      <w:r w:rsidR="00F57D98">
        <w:t xml:space="preserve"> </w:t>
      </w:r>
      <w:r w:rsidR="00DC2400">
        <w:t>Ergänzend zu den o. </w:t>
      </w:r>
      <w:r>
        <w:t>g. Pilotprojekten gibt es in Bayern zahlreiche durch die Landkreise und</w:t>
      </w:r>
      <w:r w:rsidR="00F57D98">
        <w:t xml:space="preserve"> </w:t>
      </w:r>
      <w:r>
        <w:t>Kommunen aus Eigenmitteln finanzierte Projekte der Abwasserbeprobung auf SARS-CoV-2.</w:t>
      </w:r>
    </w:p>
    <w:p w:rsidR="00925EDE" w:rsidRDefault="00925EDE" w:rsidP="00925EDE">
      <w:pPr>
        <w:pStyle w:val="LTAntwortRessortText"/>
      </w:pPr>
      <w:r>
        <w:t>Im Rahmen der vom Staatsministerium für Wissenschaft und Kunst (StMWK) mitfinanzierten</w:t>
      </w:r>
      <w:r w:rsidR="00F57D98">
        <w:t xml:space="preserve"> </w:t>
      </w:r>
      <w:r>
        <w:t xml:space="preserve">Prospektive </w:t>
      </w:r>
      <w:r w:rsidR="003439F1">
        <w:t>„COVID</w:t>
      </w:r>
      <w:r>
        <w:t>-19 Kohorte München</w:t>
      </w:r>
      <w:r w:rsidR="003439F1">
        <w:t>“</w:t>
      </w:r>
      <w:r>
        <w:t xml:space="preserve"> (KoCo19) hat ein Forschungsteam des Tropeninstituts</w:t>
      </w:r>
      <w:r w:rsidR="00F57D98">
        <w:t xml:space="preserve"> </w:t>
      </w:r>
      <w:r>
        <w:t>am Klinikum der LMU München das Abwasser der letzten Wochen auf die sogenannte Omikron-Variante des Coronavirus SARS-CoV-2 untersucht. Die Ergebnisse zeigen, dass die Variante</w:t>
      </w:r>
      <w:r w:rsidR="00F57D98">
        <w:t xml:space="preserve"> </w:t>
      </w:r>
      <w:r>
        <w:t>bislang nicht im Abwassersystem des Münchener Stadtgebiets nachweisbar ist</w:t>
      </w:r>
      <w:r w:rsidR="00F57D98">
        <w:t xml:space="preserve"> </w:t>
      </w:r>
      <w:r>
        <w:t>(</w:t>
      </w:r>
      <w:hyperlink r:id="rId32" w:history="1">
        <w:r w:rsidR="00F57D98" w:rsidRPr="003D34FD">
          <w:rPr>
            <w:rStyle w:val="LTHyperlinkZchn"/>
            <w:b w:val="0"/>
          </w:rPr>
          <w:t>http://www.klinikum.uni-muenchen.de/Abteilung-fuer-Infektions-und-</w:t>
        </w:r>
      </w:hyperlink>
      <w:r w:rsidRPr="003D34FD">
        <w:rPr>
          <w:rStyle w:val="LTHyperlinkZchn"/>
          <w:b w:val="0"/>
        </w:rPr>
        <w:t>Tropenmedizin/de/news/Aktuelles/Abwasser-Monitoring-Omikron.html</w:t>
      </w:r>
      <w:r>
        <w:t>).</w:t>
      </w:r>
    </w:p>
    <w:p w:rsidR="00925EDE" w:rsidRDefault="00925EDE" w:rsidP="00925EDE">
      <w:pPr>
        <w:pStyle w:val="LTAntwortRessortText"/>
      </w:pPr>
      <w:r>
        <w:t>Das Bundesministerium für Umwelt, Naturschutz und nukleare Sicherheit (BMU), das</w:t>
      </w:r>
      <w:r w:rsidR="00F57D98">
        <w:t xml:space="preserve"> </w:t>
      </w:r>
      <w:r>
        <w:t>Bundesministerium für Gesundheit (BMG) und das Bundesministerium für Bildung und Forschung</w:t>
      </w:r>
      <w:r w:rsidR="00F57D98">
        <w:t xml:space="preserve"> </w:t>
      </w:r>
      <w:r>
        <w:t>(BMBF) treiben die Umsetzung der Empfehlung der EU-Kommission voran und arbeiten mit</w:t>
      </w:r>
      <w:r w:rsidR="00F57D98">
        <w:t xml:space="preserve"> </w:t>
      </w:r>
      <w:r>
        <w:t>Vertretern von Bund, Ländern und Kommunen an einem gemeinsamen Ansatz zu einer möglichen</w:t>
      </w:r>
      <w:r w:rsidR="00F57D98">
        <w:t xml:space="preserve"> </w:t>
      </w:r>
      <w:r>
        <w:t>Einführung der systematischen Überwachung von SARS-CoV-2 und seinen Varianten im</w:t>
      </w:r>
      <w:r w:rsidR="00F57D98">
        <w:t xml:space="preserve"> </w:t>
      </w:r>
      <w:r>
        <w:t xml:space="preserve">Abwasser. Im Rahmen des Projekts </w:t>
      </w:r>
      <w:r w:rsidR="003439F1">
        <w:t>„</w:t>
      </w:r>
      <w:r>
        <w:t>Systematische Überwachung von SARS-CoV-2 im</w:t>
      </w:r>
      <w:r w:rsidR="00F57D98">
        <w:t xml:space="preserve"> </w:t>
      </w:r>
      <w:r>
        <w:t>Abwasser</w:t>
      </w:r>
      <w:r w:rsidR="003439F1">
        <w:t>“</w:t>
      </w:r>
      <w:r>
        <w:t xml:space="preserve"> soll ein gemeinsamer Ansatz zu einer möglichen Einführung einer systematischen</w:t>
      </w:r>
      <w:r w:rsidR="00F57D98">
        <w:t xml:space="preserve"> </w:t>
      </w:r>
      <w:r>
        <w:t>Überwachung von SARS-CoV-2 und ggf. seinen Varianten im Abwasser erarbeitet werden; hierbei</w:t>
      </w:r>
      <w:r w:rsidR="00F57D98">
        <w:t xml:space="preserve"> </w:t>
      </w:r>
      <w:r>
        <w:t>werden bundesweit 20 Pilotstandorte in ausgewählten Kommunen eingerichtet. Anhand des</w:t>
      </w:r>
      <w:r w:rsidR="00F57D98">
        <w:t xml:space="preserve"> </w:t>
      </w:r>
      <w:r>
        <w:t>Pilotbetriebes soll die praktische Umsetzung des Abwassermonitorings erprobt werden, um</w:t>
      </w:r>
      <w:r w:rsidR="00F57D98">
        <w:t xml:space="preserve"> </w:t>
      </w:r>
      <w:r>
        <w:t xml:space="preserve">frühzeitige zunehmende und abnehmende Trends der </w:t>
      </w:r>
      <w:r w:rsidR="003439F1">
        <w:t>Coronapandemie</w:t>
      </w:r>
      <w:r>
        <w:t xml:space="preserve"> in der Bevölkerung sowie</w:t>
      </w:r>
      <w:r w:rsidR="00F57D98">
        <w:t xml:space="preserve"> </w:t>
      </w:r>
      <w:r>
        <w:t>auch die Verbreitung neuer Varianten von SARS-CoV-2 zu erkennen. Alle Information zu dem</w:t>
      </w:r>
      <w:r w:rsidR="00F57D98">
        <w:t xml:space="preserve"> </w:t>
      </w:r>
      <w:r>
        <w:t xml:space="preserve">Projekt sind unter </w:t>
      </w:r>
      <w:hyperlink r:id="rId33" w:history="1">
        <w:r w:rsidRPr="003D34FD">
          <w:rPr>
            <w:rStyle w:val="LTHyperlinkZchn"/>
            <w:b w:val="0"/>
          </w:rPr>
          <w:t>https://www.ptka.kit.edu/BewerbungsverfahrenPilotstandorte.html</w:t>
        </w:r>
      </w:hyperlink>
      <w:r>
        <w:t xml:space="preserve"> abrufbar.</w:t>
      </w:r>
    </w:p>
    <w:p w:rsidR="00925EDE" w:rsidRDefault="00925EDE" w:rsidP="00925EDE">
      <w:pPr>
        <w:pStyle w:val="LTAntwortRessortText"/>
      </w:pPr>
      <w:r>
        <w:t>Auf Basis der Ergebnisse dieses Pilotvorhabens soll entschieden werden, ob und ggf. wie eine</w:t>
      </w:r>
      <w:r w:rsidR="00F57D98">
        <w:t xml:space="preserve"> </w:t>
      </w:r>
      <w:r>
        <w:t>flächendeckende abwasserbasierte SARS-CoV-2 Surveillance auch in Bayern umgesetzt werden</w:t>
      </w:r>
      <w:r w:rsidR="00F57D98">
        <w:t xml:space="preserve"> </w:t>
      </w:r>
      <w:r>
        <w:t>könnte.</w:t>
      </w:r>
    </w:p>
    <w:p w:rsidR="00925EDE" w:rsidRDefault="00925EDE">
      <w:bookmarkStart w:id="142" w:name="Frage_Nr_70_Ende"/>
      <w:bookmarkEnd w:id="142"/>
      <w:r>
        <w:br w:type="page"/>
      </w:r>
    </w:p>
    <w:p w:rsidR="00925EDE" w:rsidRDefault="00925EDE" w:rsidP="00925EDE">
      <w:pPr>
        <w:pStyle w:val="LTUeberschrRessort"/>
      </w:pPr>
      <w:r>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925EDE" w:rsidTr="007B0B33">
        <w:tc>
          <w:tcPr>
            <w:tcW w:w="2050" w:type="dxa"/>
          </w:tcPr>
          <w:p w:rsidR="00925EDE" w:rsidRDefault="00925EDE" w:rsidP="00925EDE">
            <w:pPr>
              <w:pStyle w:val="LTAnfrageInitiator"/>
            </w:pPr>
            <w:r>
              <w:t>Abgeordneter</w:t>
            </w:r>
            <w:r>
              <w:rPr>
                <w:b/>
              </w:rPr>
              <w:br/>
              <w:t>Benjamin</w:t>
            </w:r>
            <w:r>
              <w:rPr>
                <w:b/>
              </w:rPr>
              <w:br/>
              <w:t>Adjei</w:t>
            </w:r>
            <w:r>
              <w:rPr>
                <w:b/>
              </w:rPr>
              <w:br/>
            </w:r>
            <w:r>
              <w:t>(BÜNDNIS 90/DIE GRÜNEN)</w:t>
            </w:r>
            <w:bookmarkStart w:id="143" w:name="Frage_Nr_71"/>
            <w:bookmarkEnd w:id="143"/>
          </w:p>
        </w:tc>
        <w:tc>
          <w:tcPr>
            <w:tcW w:w="7200" w:type="dxa"/>
          </w:tcPr>
          <w:p w:rsidR="00925EDE" w:rsidRDefault="009E7CB7" w:rsidP="00925EDE">
            <w:pPr>
              <w:pStyle w:val="LTAnfrageText"/>
            </w:pPr>
            <w:r w:rsidRPr="0067222C">
              <w:t>Ich frage die Staatsregierung, aus welchen Gründen sie die Absichtserklärung der CIO von Bund und neun Bundesländern zur Stärkung der Digitalen Souveränität und gemeinsamen Erarbeitung des Souveränen Arbeitsplatzes nicht unterzeichnet hat, welche offenen Fragen eine Beteiligung Bayerns an der gemeinsamen Entwicklung von Open-Source-Software für Behörden verhindern (bitte alle offenen Fragen aufführen) und mit welchen anderen Maßnahmen sie die digitale Souveränität in der öffentlichen Verwaltung sicherstellen möchte?</w:t>
            </w:r>
          </w:p>
        </w:tc>
      </w:tr>
    </w:tbl>
    <w:p w:rsidR="00925EDE" w:rsidRDefault="00925EDE" w:rsidP="00925EDE">
      <w:pPr>
        <w:pStyle w:val="LTUeberschrAntwortRessort"/>
      </w:pPr>
      <w:r>
        <w:t>Antwort des Staatsministeriums für Digitales</w:t>
      </w:r>
    </w:p>
    <w:p w:rsidR="00925EDE" w:rsidRDefault="00925EDE" w:rsidP="00925EDE">
      <w:pPr>
        <w:pStyle w:val="LTAntwortRessortText"/>
      </w:pPr>
      <w:r>
        <w:t>Die Stärkung der Digitalen Souveränität i</w:t>
      </w:r>
      <w:r w:rsidR="00A3529B">
        <w:t>st auch Bayern ein großes Anlie</w:t>
      </w:r>
      <w:r>
        <w:t xml:space="preserve">gen, das wir mit den anderen Bundesländern und dem Bund bspw. im IT-Planungsrat und dessen Gremien verfolgen. Auch ist es aus unserer Sicht unstrittig, dass die Thematik </w:t>
      </w:r>
      <w:r w:rsidR="003439F1">
        <w:t>„</w:t>
      </w:r>
      <w:r>
        <w:t>souveräner Arbeitsplatz</w:t>
      </w:r>
      <w:r w:rsidR="003439F1">
        <w:t>“</w:t>
      </w:r>
      <w:r>
        <w:t xml:space="preserve"> von hoher Relevanz für die Digitale Souveränität ist.</w:t>
      </w:r>
    </w:p>
    <w:p w:rsidR="00925EDE" w:rsidRDefault="00925EDE" w:rsidP="00925EDE">
      <w:pPr>
        <w:pStyle w:val="LTAntwortRessortText"/>
      </w:pPr>
      <w:r>
        <w:t>Eine Zielsetzung in der benannten Absicht</w:t>
      </w:r>
      <w:r w:rsidR="00A3529B">
        <w:t>serklärung ist es, bislang sepa</w:t>
      </w:r>
      <w:r>
        <w:t>rate Initiativen zu OS-basierten Office-Lösungen zu synchronisieren und gemeinsam fortzuführen. Die Inhalte dieser Vorhaben sollen so aufeinander abgestimmt werden, dass die gemeinsame Erarbeitung eines souveränen Arbeitsplatzes für die Öffentliche Verwaltung gelingt.</w:t>
      </w:r>
    </w:p>
    <w:p w:rsidR="00925EDE" w:rsidRDefault="00925EDE" w:rsidP="00925EDE">
      <w:pPr>
        <w:pStyle w:val="LTAntwortRessortText"/>
      </w:pPr>
      <w:r>
        <w:t>Zwar hat der Freistaat Bayern allgemeine OS-Office-Lösungen im Einsatz, betreibt aber darüber hinaus derzeit keine Entwicklungen für ein eigenes OS-Softwarepaket, das bei o.</w:t>
      </w:r>
      <w:r w:rsidR="00D5626E">
        <w:t> </w:t>
      </w:r>
      <w:r>
        <w:t>g. Abstim</w:t>
      </w:r>
      <w:r w:rsidR="00A3529B">
        <w:t>mung einzubringen wäre. Aus die</w:t>
      </w:r>
      <w:r>
        <w:t>sem Grund, und da sich der Freistaat Ba</w:t>
      </w:r>
      <w:r w:rsidR="00A3529B">
        <w:t>yern ohnehin bereits in oben ge</w:t>
      </w:r>
      <w:r>
        <w:t>nanntem, größerem Zusammenhang klar fü</w:t>
      </w:r>
      <w:r w:rsidR="00A3529B">
        <w:t>r die digitale Souveränität aus</w:t>
      </w:r>
      <w:r>
        <w:t>spricht, hat sich Bayern in diesem frühen S</w:t>
      </w:r>
      <w:r w:rsidR="00A3529B">
        <w:t>tadium der fachlichen Ausgestal</w:t>
      </w:r>
      <w:r>
        <w:t>tung an der Absichtserklärung zur Stärkung der Digitalen Souveränität und der gemeinsamen Erarbeitung des Souveränen Arbeitsplatzes noch nicht beteiligt.</w:t>
      </w:r>
    </w:p>
    <w:p w:rsidR="00925EDE" w:rsidRDefault="00925EDE" w:rsidP="00C46A28">
      <w:pPr>
        <w:pStyle w:val="LTAntwortRessortText"/>
      </w:pPr>
      <w:r>
        <w:t xml:space="preserve">Das </w:t>
      </w:r>
      <w:r w:rsidR="00D5626E">
        <w:t>Staatsministerium für Digitales (</w:t>
      </w:r>
      <w:r>
        <w:t>StMD</w:t>
      </w:r>
      <w:r w:rsidR="00D5626E">
        <w:t>)</w:t>
      </w:r>
      <w:r>
        <w:t xml:space="preserve"> hat aber bereits bei Teilnahm</w:t>
      </w:r>
      <w:r w:rsidR="00A3529B">
        <w:t>eabfrage die Initiatoren der Ab</w:t>
      </w:r>
      <w:r>
        <w:t>sichtserklärung gebeten, über das Vorhaben auf dem Laufenden gehalten zu werden und verfolgt die Entwicklung eng.</w:t>
      </w:r>
      <w:bookmarkStart w:id="144" w:name="Frage_Nr_71_Ende"/>
      <w:bookmarkEnd w:id="144"/>
    </w:p>
    <w:sectPr w:rsidR="00925EDE" w:rsidSect="00F00864">
      <w:headerReference w:type="even" r:id="rId34"/>
      <w:headerReference w:type="default" r:id="rId35"/>
      <w:footerReference w:type="default" r:id="rId36"/>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61" w:rsidRDefault="00510F61">
      <w:r>
        <w:separator/>
      </w:r>
    </w:p>
  </w:endnote>
  <w:endnote w:type="continuationSeparator" w:id="0">
    <w:p w:rsidR="00510F61" w:rsidRDefault="005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Default="00510F61"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Pr="009C32BE" w:rsidRDefault="00510F61"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Pr="00311533" w:rsidRDefault="00510F61"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61" w:rsidRDefault="00510F61">
      <w:r>
        <w:separator/>
      </w:r>
    </w:p>
  </w:footnote>
  <w:footnote w:type="continuationSeparator" w:id="0">
    <w:p w:rsidR="00510F61" w:rsidRDefault="00510F61">
      <w:r>
        <w:continuationSeparator/>
      </w:r>
    </w:p>
  </w:footnote>
  <w:footnote w:id="1">
    <w:p w:rsidR="00510F61" w:rsidRDefault="00510F61" w:rsidP="00F0093F">
      <w:pPr>
        <w:adjustRightInd w:val="0"/>
        <w:ind w:left="340" w:hanging="340"/>
        <w:jc w:val="both"/>
      </w:pPr>
      <w:r>
        <w:rPr>
          <w:rStyle w:val="Funotenzeichen"/>
        </w:rPr>
        <w:footnoteRef/>
      </w:r>
      <w:r>
        <w:tab/>
      </w:r>
      <w:hyperlink r:id="rId1" w:history="1">
        <w:r w:rsidRPr="00571E5E">
          <w:rPr>
            <w:rStyle w:val="LTHyperlinkZchn"/>
            <w:b w:val="0"/>
            <w:sz w:val="16"/>
          </w:rPr>
          <w:t>https://www.faz.net/aktuell/wirtschaft/klima-nachhaltigkeit/windparkbetreiber-in-frankreichmuessen-schadenersatz-zahlen-17626344.html</w:t>
        </w:r>
      </w:hyperlink>
      <w:r>
        <w:rPr>
          <w:rFonts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Default="00510F61"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7D5D9A">
      <w:fldChar w:fldCharType="begin"/>
    </w:r>
    <w:r w:rsidR="007D5D9A">
      <w:instrText xml:space="preserve"> DOCVARIABLE  "Wp" \* MERGEFORMAT </w:instrText>
    </w:r>
    <w:r w:rsidR="007D5D9A">
      <w:fldChar w:fldCharType="separate"/>
    </w:r>
    <w:r w:rsidR="008A746A">
      <w:t>18</w:t>
    </w:r>
    <w:r w:rsidR="007D5D9A">
      <w:fldChar w:fldCharType="end"/>
    </w:r>
    <w:r w:rsidRPr="00CA6785">
      <w:t>/</w:t>
    </w:r>
    <w:r>
      <w:rPr>
        <w:b/>
      </w:rPr>
      <w:fldChar w:fldCharType="begin"/>
    </w:r>
    <w:r>
      <w:rPr>
        <w:b/>
      </w:rPr>
      <w:instrText xml:space="preserve"> DOCVARIABLE  "Drsnr" \* MERGEFORMAT </w:instrText>
    </w:r>
    <w:r>
      <w:rPr>
        <w:b/>
      </w:rPr>
      <w:fldChar w:fldCharType="separate"/>
    </w:r>
    <w:r w:rsidR="008A746A">
      <w:rPr>
        <w:b/>
      </w:rPr>
      <w:t>19552</w:t>
    </w:r>
    <w:r>
      <w:rPr>
        <w:b/>
      </w:rPr>
      <w:fldChar w:fldCharType="end"/>
    </w:r>
    <w:r>
      <w:tab/>
    </w:r>
    <w:r>
      <w:tab/>
    </w:r>
    <w:r w:rsidRPr="009A2D8C">
      <w:t>Bayerischer Landtag</w:t>
    </w:r>
    <w:r>
      <w:t xml:space="preserve"> -</w:t>
    </w:r>
    <w:r w:rsidR="007D5D9A">
      <w:fldChar w:fldCharType="begin"/>
    </w:r>
    <w:r w:rsidR="007D5D9A">
      <w:instrText xml:space="preserve"> DOCVARIABLE  "Wp" \* MERGEFORMAT </w:instrText>
    </w:r>
    <w:r w:rsidR="007D5D9A">
      <w:fldChar w:fldCharType="separate"/>
    </w:r>
    <w:r w:rsidR="008A746A">
      <w:t>18</w:t>
    </w:r>
    <w:r w:rsidR="007D5D9A">
      <w:fldChar w:fldCharType="end"/>
    </w:r>
    <w:r>
      <w:t>. Wahlperiode</w:t>
    </w:r>
  </w:p>
  <w:p w:rsidR="00510F61" w:rsidRDefault="00510F61"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Default="00510F61"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7D5D9A">
      <w:fldChar w:fldCharType="begin"/>
    </w:r>
    <w:r w:rsidR="007D5D9A">
      <w:instrText xml:space="preserve"> DOCVARIABLE  "Wp" \* MERGEFORMAT </w:instrText>
    </w:r>
    <w:r w:rsidR="007D5D9A">
      <w:fldChar w:fldCharType="separate"/>
    </w:r>
    <w:r w:rsidR="008A746A">
      <w:t>18</w:t>
    </w:r>
    <w:r w:rsidR="007D5D9A">
      <w:fldChar w:fldCharType="end"/>
    </w:r>
    <w:r>
      <w:t>. Wahlperiode</w:t>
    </w:r>
    <w:r>
      <w:tab/>
    </w:r>
    <w:r>
      <w:tab/>
    </w:r>
    <w:r w:rsidRPr="009A2D8C">
      <w:rPr>
        <w:b/>
      </w:rPr>
      <w:t>Drucksache</w:t>
    </w:r>
    <w:r>
      <w:rPr>
        <w:b/>
      </w:rPr>
      <w:t xml:space="preserve"> </w:t>
    </w:r>
    <w:r w:rsidR="007D5D9A">
      <w:fldChar w:fldCharType="begin"/>
    </w:r>
    <w:r w:rsidR="007D5D9A">
      <w:instrText xml:space="preserve"> DOCVARIABLE  "Wp" \* MERGEFORMAT </w:instrText>
    </w:r>
    <w:r w:rsidR="007D5D9A">
      <w:fldChar w:fldCharType="separate"/>
    </w:r>
    <w:r w:rsidR="008A746A">
      <w:t>18</w:t>
    </w:r>
    <w:r w:rsidR="007D5D9A">
      <w:fldChar w:fldCharType="end"/>
    </w:r>
    <w:r w:rsidRPr="00CA6785">
      <w:t>/</w:t>
    </w:r>
    <w:r>
      <w:rPr>
        <w:b/>
      </w:rPr>
      <w:fldChar w:fldCharType="begin"/>
    </w:r>
    <w:r>
      <w:rPr>
        <w:b/>
      </w:rPr>
      <w:instrText xml:space="preserve"> DOCVARIABLE  "Drsnr" \* MERGEFORMAT </w:instrText>
    </w:r>
    <w:r>
      <w:rPr>
        <w:b/>
      </w:rPr>
      <w:fldChar w:fldCharType="separate"/>
    </w:r>
    <w:r w:rsidR="008A746A">
      <w:rPr>
        <w:b/>
      </w:rPr>
      <w:t>19552</w:t>
    </w:r>
    <w:r>
      <w:rPr>
        <w:b/>
      </w:rPr>
      <w:fldChar w:fldCharType="end"/>
    </w:r>
  </w:p>
  <w:p w:rsidR="00510F61" w:rsidRPr="00C127DA" w:rsidRDefault="00510F61"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Default="00510F61"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8A746A" w:rsidRPr="008A746A">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8A746A">
      <w:rPr>
        <w:sz w:val="22"/>
        <w:szCs w:val="22"/>
      </w:rPr>
      <w:t>06.12.2021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8A746A" w:rsidRPr="008A746A">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8A746A" w:rsidRPr="008A746A">
      <w:rPr>
        <w:b/>
        <w:bCs/>
        <w:sz w:val="42"/>
        <w:szCs w:val="42"/>
      </w:rPr>
      <w:t>19552</w:t>
    </w:r>
    <w:r w:rsidRPr="00853926">
      <w:rPr>
        <w:b/>
        <w:sz w:val="42"/>
        <w:szCs w:val="42"/>
      </w:rPr>
      <w:fldChar w:fldCharType="end"/>
    </w:r>
  </w:p>
  <w:p w:rsidR="00510F61" w:rsidRPr="004453BF" w:rsidRDefault="00510F61"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Pr="00A44F63" w:rsidRDefault="00510F61"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A746A">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A746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A746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A746A">
      <w:rPr>
        <w:b/>
        <w:szCs w:val="20"/>
      </w:rPr>
      <w:t>19552</w:t>
    </w:r>
    <w:r w:rsidRPr="00A44F63">
      <w:rPr>
        <w:b/>
        <w:szCs w:val="20"/>
      </w:rPr>
      <w:fldChar w:fldCharType="end"/>
    </w:r>
  </w:p>
  <w:p w:rsidR="00510F61" w:rsidRPr="00861320" w:rsidRDefault="00510F61"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61" w:rsidRPr="00DE5B17" w:rsidRDefault="00510F61"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A746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A746A">
      <w:rPr>
        <w:b/>
        <w:szCs w:val="20"/>
      </w:rPr>
      <w:t>19552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A746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D5D9A">
      <w:rPr>
        <w:rStyle w:val="Seitenzahl"/>
        <w:noProof/>
        <w:szCs w:val="20"/>
      </w:rPr>
      <w:t>67</w:t>
    </w:r>
    <w:r w:rsidRPr="00DE5B17">
      <w:rPr>
        <w:rStyle w:val="Seitenzahl"/>
        <w:szCs w:val="20"/>
      </w:rPr>
      <w:fldChar w:fldCharType="end"/>
    </w:r>
  </w:p>
  <w:p w:rsidR="00510F61" w:rsidRPr="00601929" w:rsidRDefault="00510F61"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10701"/>
    <w:multiLevelType w:val="hybridMultilevel"/>
    <w:tmpl w:val="D0828C4E"/>
    <w:lvl w:ilvl="0" w:tplc="0624130A">
      <w:numFmt w:val="bullet"/>
      <w:lvlText w:val=""/>
      <w:lvlJc w:val="left"/>
      <w:pPr>
        <w:ind w:left="478" w:hanging="360"/>
      </w:pPr>
      <w:rPr>
        <w:rFonts w:ascii="Wingdings" w:eastAsia="Wingdings" w:hAnsi="Wingdings" w:cs="Wingdings" w:hint="default"/>
        <w:w w:val="100"/>
        <w:sz w:val="22"/>
        <w:szCs w:val="22"/>
      </w:rPr>
    </w:lvl>
    <w:lvl w:ilvl="1" w:tplc="B7A60076">
      <w:numFmt w:val="bullet"/>
      <w:lvlText w:val=""/>
      <w:lvlJc w:val="left"/>
      <w:pPr>
        <w:ind w:left="1198" w:hanging="361"/>
      </w:pPr>
      <w:rPr>
        <w:rFonts w:ascii="Symbol" w:eastAsia="Symbol" w:hAnsi="Symbol" w:cs="Symbol" w:hint="default"/>
        <w:w w:val="100"/>
        <w:sz w:val="22"/>
        <w:szCs w:val="22"/>
      </w:rPr>
    </w:lvl>
    <w:lvl w:ilvl="2" w:tplc="2078E622">
      <w:numFmt w:val="bullet"/>
      <w:lvlText w:val="o"/>
      <w:lvlJc w:val="left"/>
      <w:pPr>
        <w:ind w:left="1678" w:hanging="361"/>
      </w:pPr>
      <w:rPr>
        <w:rFonts w:ascii="Courier New" w:eastAsia="Courier New" w:hAnsi="Courier New" w:cs="Courier New" w:hint="default"/>
        <w:w w:val="100"/>
        <w:sz w:val="22"/>
        <w:szCs w:val="22"/>
      </w:rPr>
    </w:lvl>
    <w:lvl w:ilvl="3" w:tplc="27147FEE">
      <w:numFmt w:val="bullet"/>
      <w:lvlText w:val="•"/>
      <w:lvlJc w:val="left"/>
      <w:pPr>
        <w:ind w:left="2702" w:hanging="361"/>
      </w:pPr>
      <w:rPr>
        <w:rFonts w:hint="default"/>
      </w:rPr>
    </w:lvl>
    <w:lvl w:ilvl="4" w:tplc="61AEBDE4">
      <w:numFmt w:val="bullet"/>
      <w:lvlText w:val="•"/>
      <w:lvlJc w:val="left"/>
      <w:pPr>
        <w:ind w:left="3725" w:hanging="361"/>
      </w:pPr>
      <w:rPr>
        <w:rFonts w:hint="default"/>
      </w:rPr>
    </w:lvl>
    <w:lvl w:ilvl="5" w:tplc="63D680CA">
      <w:numFmt w:val="bullet"/>
      <w:lvlText w:val="•"/>
      <w:lvlJc w:val="left"/>
      <w:pPr>
        <w:ind w:left="4747" w:hanging="361"/>
      </w:pPr>
      <w:rPr>
        <w:rFonts w:hint="default"/>
      </w:rPr>
    </w:lvl>
    <w:lvl w:ilvl="6" w:tplc="4838E994">
      <w:numFmt w:val="bullet"/>
      <w:lvlText w:val="•"/>
      <w:lvlJc w:val="left"/>
      <w:pPr>
        <w:ind w:left="5770" w:hanging="361"/>
      </w:pPr>
      <w:rPr>
        <w:rFonts w:hint="default"/>
      </w:rPr>
    </w:lvl>
    <w:lvl w:ilvl="7" w:tplc="72D85C08">
      <w:numFmt w:val="bullet"/>
      <w:lvlText w:val="•"/>
      <w:lvlJc w:val="left"/>
      <w:pPr>
        <w:ind w:left="6792" w:hanging="361"/>
      </w:pPr>
      <w:rPr>
        <w:rFonts w:hint="default"/>
      </w:rPr>
    </w:lvl>
    <w:lvl w:ilvl="8" w:tplc="FC168CCE">
      <w:numFmt w:val="bullet"/>
      <w:lvlText w:val="•"/>
      <w:lvlJc w:val="left"/>
      <w:pPr>
        <w:ind w:left="7815" w:hanging="361"/>
      </w:pPr>
      <w:rPr>
        <w:rFonts w:hint="default"/>
      </w:rPr>
    </w:lvl>
  </w:abstractNum>
  <w:abstractNum w:abstractNumId="11" w15:restartNumberingAfterBreak="0">
    <w:nsid w:val="12A339C2"/>
    <w:multiLevelType w:val="hybridMultilevel"/>
    <w:tmpl w:val="19DA1E02"/>
    <w:lvl w:ilvl="0" w:tplc="CD721286">
      <w:start w:val="1"/>
      <w:numFmt w:val="bullet"/>
      <w:lvlText w:val=""/>
      <w:lvlJc w:val="left"/>
      <w:pPr>
        <w:ind w:left="1060" w:hanging="360"/>
      </w:pPr>
      <w:rPr>
        <w:rFonts w:ascii="Symbol" w:hAnsi="Symbol" w:hint="default"/>
        <w:spacing w:val="80"/>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D12244"/>
    <w:multiLevelType w:val="hybridMultilevel"/>
    <w:tmpl w:val="72A4989A"/>
    <w:lvl w:ilvl="0" w:tplc="F1D05D38">
      <w:numFmt w:val="bullet"/>
      <w:lvlText w:val=""/>
      <w:lvlJc w:val="left"/>
      <w:pPr>
        <w:ind w:left="1186" w:hanging="361"/>
      </w:pPr>
      <w:rPr>
        <w:rFonts w:ascii="Wingdings" w:eastAsia="Wingdings" w:hAnsi="Wingdings" w:cs="Wingdings" w:hint="default"/>
        <w:w w:val="100"/>
        <w:sz w:val="22"/>
        <w:szCs w:val="22"/>
      </w:rPr>
    </w:lvl>
    <w:lvl w:ilvl="1" w:tplc="830A8D60">
      <w:numFmt w:val="bullet"/>
      <w:lvlText w:val="•"/>
      <w:lvlJc w:val="left"/>
      <w:pPr>
        <w:ind w:left="2048" w:hanging="361"/>
      </w:pPr>
      <w:rPr>
        <w:rFonts w:hint="default"/>
      </w:rPr>
    </w:lvl>
    <w:lvl w:ilvl="2" w:tplc="309E64A6">
      <w:numFmt w:val="bullet"/>
      <w:lvlText w:val="•"/>
      <w:lvlJc w:val="left"/>
      <w:pPr>
        <w:ind w:left="2916" w:hanging="361"/>
      </w:pPr>
      <w:rPr>
        <w:rFonts w:hint="default"/>
      </w:rPr>
    </w:lvl>
    <w:lvl w:ilvl="3" w:tplc="CBD07F8C">
      <w:numFmt w:val="bullet"/>
      <w:lvlText w:val="•"/>
      <w:lvlJc w:val="left"/>
      <w:pPr>
        <w:ind w:left="3784" w:hanging="361"/>
      </w:pPr>
      <w:rPr>
        <w:rFonts w:hint="default"/>
      </w:rPr>
    </w:lvl>
    <w:lvl w:ilvl="4" w:tplc="B54A746A">
      <w:numFmt w:val="bullet"/>
      <w:lvlText w:val="•"/>
      <w:lvlJc w:val="left"/>
      <w:pPr>
        <w:ind w:left="4652" w:hanging="361"/>
      </w:pPr>
      <w:rPr>
        <w:rFonts w:hint="default"/>
      </w:rPr>
    </w:lvl>
    <w:lvl w:ilvl="5" w:tplc="91AE46D4">
      <w:numFmt w:val="bullet"/>
      <w:lvlText w:val="•"/>
      <w:lvlJc w:val="left"/>
      <w:pPr>
        <w:ind w:left="5520" w:hanging="361"/>
      </w:pPr>
      <w:rPr>
        <w:rFonts w:hint="default"/>
      </w:rPr>
    </w:lvl>
    <w:lvl w:ilvl="6" w:tplc="8AC2D3EE">
      <w:numFmt w:val="bullet"/>
      <w:lvlText w:val="•"/>
      <w:lvlJc w:val="left"/>
      <w:pPr>
        <w:ind w:left="6388" w:hanging="361"/>
      </w:pPr>
      <w:rPr>
        <w:rFonts w:hint="default"/>
      </w:rPr>
    </w:lvl>
    <w:lvl w:ilvl="7" w:tplc="C94E5B98">
      <w:numFmt w:val="bullet"/>
      <w:lvlText w:val="•"/>
      <w:lvlJc w:val="left"/>
      <w:pPr>
        <w:ind w:left="7256" w:hanging="361"/>
      </w:pPr>
      <w:rPr>
        <w:rFonts w:hint="default"/>
      </w:rPr>
    </w:lvl>
    <w:lvl w:ilvl="8" w:tplc="730E65D0">
      <w:numFmt w:val="bullet"/>
      <w:lvlText w:val="•"/>
      <w:lvlJc w:val="left"/>
      <w:pPr>
        <w:ind w:left="8124" w:hanging="361"/>
      </w:pPr>
      <w:rPr>
        <w:rFont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3B1CB0"/>
    <w:multiLevelType w:val="hybridMultilevel"/>
    <w:tmpl w:val="6E1EDE8C"/>
    <w:lvl w:ilvl="0" w:tplc="2AE29BAE">
      <w:start w:val="1"/>
      <w:numFmt w:val="bullet"/>
      <w:lvlText w:val=""/>
      <w:lvlJc w:val="left"/>
      <w:pPr>
        <w:ind w:left="1060" w:hanging="360"/>
      </w:pPr>
      <w:rPr>
        <w:rFonts w:ascii="Symbol" w:hAnsi="Symbol" w:hint="default"/>
      </w:rPr>
    </w:lvl>
    <w:lvl w:ilvl="1" w:tplc="C6CCF41A">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791C60"/>
    <w:multiLevelType w:val="hybridMultilevel"/>
    <w:tmpl w:val="F1166F6C"/>
    <w:lvl w:ilvl="0" w:tplc="41523F2C">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8" w15:restartNumberingAfterBreak="0">
    <w:nsid w:val="28737F8B"/>
    <w:multiLevelType w:val="hybridMultilevel"/>
    <w:tmpl w:val="B0A66746"/>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900D94"/>
    <w:multiLevelType w:val="hybridMultilevel"/>
    <w:tmpl w:val="4E84774A"/>
    <w:lvl w:ilvl="0" w:tplc="CD721286">
      <w:start w:val="1"/>
      <w:numFmt w:val="bullet"/>
      <w:lvlText w:val=""/>
      <w:lvlJc w:val="left"/>
      <w:pPr>
        <w:ind w:left="1060" w:hanging="360"/>
      </w:pPr>
      <w:rPr>
        <w:rFonts w:ascii="Symbol" w:hAnsi="Symbol" w:hint="default"/>
        <w:spacing w:val="80"/>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37B5595D"/>
    <w:multiLevelType w:val="hybridMultilevel"/>
    <w:tmpl w:val="358A4028"/>
    <w:lvl w:ilvl="0" w:tplc="CE10F408">
      <w:numFmt w:val="bullet"/>
      <w:lvlText w:val=""/>
      <w:lvlJc w:val="left"/>
      <w:pPr>
        <w:ind w:left="1198" w:hanging="361"/>
      </w:pPr>
      <w:rPr>
        <w:rFonts w:ascii="Symbol" w:eastAsia="Symbol" w:hAnsi="Symbol" w:cs="Symbol" w:hint="default"/>
        <w:w w:val="100"/>
        <w:sz w:val="22"/>
        <w:szCs w:val="22"/>
      </w:rPr>
    </w:lvl>
    <w:lvl w:ilvl="1" w:tplc="6A6635B4">
      <w:numFmt w:val="bullet"/>
      <w:lvlText w:val="•"/>
      <w:lvlJc w:val="left"/>
      <w:pPr>
        <w:ind w:left="2066" w:hanging="361"/>
      </w:pPr>
      <w:rPr>
        <w:rFonts w:hint="default"/>
      </w:rPr>
    </w:lvl>
    <w:lvl w:ilvl="2" w:tplc="A10E03E0">
      <w:numFmt w:val="bullet"/>
      <w:lvlText w:val="•"/>
      <w:lvlJc w:val="left"/>
      <w:pPr>
        <w:ind w:left="2932" w:hanging="361"/>
      </w:pPr>
      <w:rPr>
        <w:rFonts w:hint="default"/>
      </w:rPr>
    </w:lvl>
    <w:lvl w:ilvl="3" w:tplc="00DC7680">
      <w:numFmt w:val="bullet"/>
      <w:lvlText w:val="•"/>
      <w:lvlJc w:val="left"/>
      <w:pPr>
        <w:ind w:left="3798" w:hanging="361"/>
      </w:pPr>
      <w:rPr>
        <w:rFonts w:hint="default"/>
      </w:rPr>
    </w:lvl>
    <w:lvl w:ilvl="4" w:tplc="691E027C">
      <w:numFmt w:val="bullet"/>
      <w:lvlText w:val="•"/>
      <w:lvlJc w:val="left"/>
      <w:pPr>
        <w:ind w:left="4664" w:hanging="361"/>
      </w:pPr>
      <w:rPr>
        <w:rFonts w:hint="default"/>
      </w:rPr>
    </w:lvl>
    <w:lvl w:ilvl="5" w:tplc="9DBE2780">
      <w:numFmt w:val="bullet"/>
      <w:lvlText w:val="•"/>
      <w:lvlJc w:val="left"/>
      <w:pPr>
        <w:ind w:left="5530" w:hanging="361"/>
      </w:pPr>
      <w:rPr>
        <w:rFonts w:hint="default"/>
      </w:rPr>
    </w:lvl>
    <w:lvl w:ilvl="6" w:tplc="CCE64F18">
      <w:numFmt w:val="bullet"/>
      <w:lvlText w:val="•"/>
      <w:lvlJc w:val="left"/>
      <w:pPr>
        <w:ind w:left="6396" w:hanging="361"/>
      </w:pPr>
      <w:rPr>
        <w:rFonts w:hint="default"/>
      </w:rPr>
    </w:lvl>
    <w:lvl w:ilvl="7" w:tplc="DE04BBA8">
      <w:numFmt w:val="bullet"/>
      <w:lvlText w:val="•"/>
      <w:lvlJc w:val="left"/>
      <w:pPr>
        <w:ind w:left="7262" w:hanging="361"/>
      </w:pPr>
      <w:rPr>
        <w:rFonts w:hint="default"/>
      </w:rPr>
    </w:lvl>
    <w:lvl w:ilvl="8" w:tplc="A3D6F552">
      <w:numFmt w:val="bullet"/>
      <w:lvlText w:val="•"/>
      <w:lvlJc w:val="left"/>
      <w:pPr>
        <w:ind w:left="8128" w:hanging="361"/>
      </w:pPr>
      <w:rPr>
        <w:rFonts w:hint="default"/>
      </w:rPr>
    </w:lvl>
  </w:abstractNum>
  <w:abstractNum w:abstractNumId="23" w15:restartNumberingAfterBreak="0">
    <w:nsid w:val="38A260DA"/>
    <w:multiLevelType w:val="hybridMultilevel"/>
    <w:tmpl w:val="8892CADA"/>
    <w:lvl w:ilvl="0" w:tplc="C9FA1888">
      <w:numFmt w:val="bullet"/>
      <w:lvlText w:val=""/>
      <w:lvlJc w:val="left"/>
      <w:pPr>
        <w:ind w:left="1186" w:hanging="361"/>
      </w:pPr>
      <w:rPr>
        <w:rFonts w:ascii="Wingdings" w:eastAsia="Wingdings" w:hAnsi="Wingdings" w:cs="Wingdings" w:hint="default"/>
        <w:w w:val="100"/>
        <w:sz w:val="22"/>
        <w:szCs w:val="22"/>
      </w:rPr>
    </w:lvl>
    <w:lvl w:ilvl="1" w:tplc="6BFE6876">
      <w:numFmt w:val="bullet"/>
      <w:lvlText w:val="•"/>
      <w:lvlJc w:val="left"/>
      <w:pPr>
        <w:ind w:left="2048" w:hanging="361"/>
      </w:pPr>
      <w:rPr>
        <w:rFonts w:hint="default"/>
      </w:rPr>
    </w:lvl>
    <w:lvl w:ilvl="2" w:tplc="166EFC48">
      <w:numFmt w:val="bullet"/>
      <w:lvlText w:val="•"/>
      <w:lvlJc w:val="left"/>
      <w:pPr>
        <w:ind w:left="2916" w:hanging="361"/>
      </w:pPr>
      <w:rPr>
        <w:rFonts w:hint="default"/>
      </w:rPr>
    </w:lvl>
    <w:lvl w:ilvl="3" w:tplc="0DB65CC2">
      <w:numFmt w:val="bullet"/>
      <w:lvlText w:val="•"/>
      <w:lvlJc w:val="left"/>
      <w:pPr>
        <w:ind w:left="3784" w:hanging="361"/>
      </w:pPr>
      <w:rPr>
        <w:rFonts w:hint="default"/>
      </w:rPr>
    </w:lvl>
    <w:lvl w:ilvl="4" w:tplc="ECAC1F48">
      <w:numFmt w:val="bullet"/>
      <w:lvlText w:val="•"/>
      <w:lvlJc w:val="left"/>
      <w:pPr>
        <w:ind w:left="4652" w:hanging="361"/>
      </w:pPr>
      <w:rPr>
        <w:rFonts w:hint="default"/>
      </w:rPr>
    </w:lvl>
    <w:lvl w:ilvl="5" w:tplc="6C0430FA">
      <w:numFmt w:val="bullet"/>
      <w:lvlText w:val="•"/>
      <w:lvlJc w:val="left"/>
      <w:pPr>
        <w:ind w:left="5520" w:hanging="361"/>
      </w:pPr>
      <w:rPr>
        <w:rFonts w:hint="default"/>
      </w:rPr>
    </w:lvl>
    <w:lvl w:ilvl="6" w:tplc="56B84D88">
      <w:numFmt w:val="bullet"/>
      <w:lvlText w:val="•"/>
      <w:lvlJc w:val="left"/>
      <w:pPr>
        <w:ind w:left="6388" w:hanging="361"/>
      </w:pPr>
      <w:rPr>
        <w:rFonts w:hint="default"/>
      </w:rPr>
    </w:lvl>
    <w:lvl w:ilvl="7" w:tplc="AC3E6F68">
      <w:numFmt w:val="bullet"/>
      <w:lvlText w:val="•"/>
      <w:lvlJc w:val="left"/>
      <w:pPr>
        <w:ind w:left="7256" w:hanging="361"/>
      </w:pPr>
      <w:rPr>
        <w:rFonts w:hint="default"/>
      </w:rPr>
    </w:lvl>
    <w:lvl w:ilvl="8" w:tplc="5838C260">
      <w:numFmt w:val="bullet"/>
      <w:lvlText w:val="•"/>
      <w:lvlJc w:val="left"/>
      <w:pPr>
        <w:ind w:left="8124" w:hanging="361"/>
      </w:pPr>
      <w:rPr>
        <w:rFonts w:hint="default"/>
      </w:rPr>
    </w:lvl>
  </w:abstractNum>
  <w:abstractNum w:abstractNumId="24" w15:restartNumberingAfterBreak="0">
    <w:nsid w:val="3FFE45B7"/>
    <w:multiLevelType w:val="hybridMultilevel"/>
    <w:tmpl w:val="5C3CE52C"/>
    <w:lvl w:ilvl="0" w:tplc="0624130A">
      <w:numFmt w:val="bullet"/>
      <w:lvlText w:val=""/>
      <w:lvlJc w:val="left"/>
      <w:pPr>
        <w:ind w:left="478" w:hanging="360"/>
      </w:pPr>
      <w:rPr>
        <w:rFonts w:ascii="Wingdings" w:eastAsia="Wingdings" w:hAnsi="Wingdings" w:cs="Wingdings" w:hint="default"/>
        <w:w w:val="100"/>
        <w:sz w:val="22"/>
        <w:szCs w:val="22"/>
      </w:rPr>
    </w:lvl>
    <w:lvl w:ilvl="1" w:tplc="C6CCF41A">
      <w:start w:val="1"/>
      <w:numFmt w:val="bullet"/>
      <w:lvlText w:val=""/>
      <w:lvlJc w:val="left"/>
      <w:pPr>
        <w:ind w:left="1198" w:hanging="361"/>
      </w:pPr>
      <w:rPr>
        <w:rFonts w:ascii="Symbol" w:hAnsi="Symbol" w:hint="default"/>
        <w:w w:val="100"/>
        <w:sz w:val="22"/>
        <w:szCs w:val="22"/>
      </w:rPr>
    </w:lvl>
    <w:lvl w:ilvl="2" w:tplc="2078E622">
      <w:numFmt w:val="bullet"/>
      <w:lvlText w:val="o"/>
      <w:lvlJc w:val="left"/>
      <w:pPr>
        <w:ind w:left="1678" w:hanging="361"/>
      </w:pPr>
      <w:rPr>
        <w:rFonts w:ascii="Courier New" w:eastAsia="Courier New" w:hAnsi="Courier New" w:cs="Courier New" w:hint="default"/>
        <w:w w:val="100"/>
        <w:sz w:val="22"/>
        <w:szCs w:val="22"/>
      </w:rPr>
    </w:lvl>
    <w:lvl w:ilvl="3" w:tplc="27147FEE">
      <w:numFmt w:val="bullet"/>
      <w:lvlText w:val="•"/>
      <w:lvlJc w:val="left"/>
      <w:pPr>
        <w:ind w:left="2702" w:hanging="361"/>
      </w:pPr>
      <w:rPr>
        <w:rFonts w:hint="default"/>
      </w:rPr>
    </w:lvl>
    <w:lvl w:ilvl="4" w:tplc="61AEBDE4">
      <w:numFmt w:val="bullet"/>
      <w:lvlText w:val="•"/>
      <w:lvlJc w:val="left"/>
      <w:pPr>
        <w:ind w:left="3725" w:hanging="361"/>
      </w:pPr>
      <w:rPr>
        <w:rFonts w:hint="default"/>
      </w:rPr>
    </w:lvl>
    <w:lvl w:ilvl="5" w:tplc="63D680CA">
      <w:numFmt w:val="bullet"/>
      <w:lvlText w:val="•"/>
      <w:lvlJc w:val="left"/>
      <w:pPr>
        <w:ind w:left="4747" w:hanging="361"/>
      </w:pPr>
      <w:rPr>
        <w:rFonts w:hint="default"/>
      </w:rPr>
    </w:lvl>
    <w:lvl w:ilvl="6" w:tplc="4838E994">
      <w:numFmt w:val="bullet"/>
      <w:lvlText w:val="•"/>
      <w:lvlJc w:val="left"/>
      <w:pPr>
        <w:ind w:left="5770" w:hanging="361"/>
      </w:pPr>
      <w:rPr>
        <w:rFonts w:hint="default"/>
      </w:rPr>
    </w:lvl>
    <w:lvl w:ilvl="7" w:tplc="72D85C08">
      <w:numFmt w:val="bullet"/>
      <w:lvlText w:val="•"/>
      <w:lvlJc w:val="left"/>
      <w:pPr>
        <w:ind w:left="6792" w:hanging="361"/>
      </w:pPr>
      <w:rPr>
        <w:rFonts w:hint="default"/>
      </w:rPr>
    </w:lvl>
    <w:lvl w:ilvl="8" w:tplc="FC168CCE">
      <w:numFmt w:val="bullet"/>
      <w:lvlText w:val="•"/>
      <w:lvlJc w:val="left"/>
      <w:pPr>
        <w:ind w:left="7815" w:hanging="361"/>
      </w:pPr>
      <w:rPr>
        <w:rFonts w:hint="default"/>
      </w:rPr>
    </w:lvl>
  </w:abstractNum>
  <w:abstractNum w:abstractNumId="2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452338B"/>
    <w:multiLevelType w:val="hybridMultilevel"/>
    <w:tmpl w:val="211EC428"/>
    <w:lvl w:ilvl="0" w:tplc="2AE29BA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74ED6A5E"/>
    <w:multiLevelType w:val="hybridMultilevel"/>
    <w:tmpl w:val="E83C07E2"/>
    <w:lvl w:ilvl="0" w:tplc="0624130A">
      <w:numFmt w:val="bullet"/>
      <w:lvlText w:val=""/>
      <w:lvlJc w:val="left"/>
      <w:pPr>
        <w:ind w:left="478" w:hanging="360"/>
      </w:pPr>
      <w:rPr>
        <w:rFonts w:ascii="Wingdings" w:eastAsia="Wingdings" w:hAnsi="Wingdings" w:cs="Wingdings" w:hint="default"/>
        <w:w w:val="100"/>
        <w:sz w:val="22"/>
        <w:szCs w:val="22"/>
      </w:rPr>
    </w:lvl>
    <w:lvl w:ilvl="1" w:tplc="C6CCF41A">
      <w:start w:val="1"/>
      <w:numFmt w:val="bullet"/>
      <w:lvlText w:val=""/>
      <w:lvlJc w:val="left"/>
      <w:pPr>
        <w:ind w:left="1198" w:hanging="361"/>
      </w:pPr>
      <w:rPr>
        <w:rFonts w:ascii="Symbol" w:hAnsi="Symbol" w:hint="default"/>
        <w:w w:val="100"/>
        <w:sz w:val="22"/>
        <w:szCs w:val="22"/>
      </w:rPr>
    </w:lvl>
    <w:lvl w:ilvl="2" w:tplc="2078E622">
      <w:numFmt w:val="bullet"/>
      <w:lvlText w:val="o"/>
      <w:lvlJc w:val="left"/>
      <w:pPr>
        <w:ind w:left="1678" w:hanging="361"/>
      </w:pPr>
      <w:rPr>
        <w:rFonts w:ascii="Courier New" w:eastAsia="Courier New" w:hAnsi="Courier New" w:cs="Courier New" w:hint="default"/>
        <w:w w:val="100"/>
        <w:sz w:val="22"/>
        <w:szCs w:val="22"/>
      </w:rPr>
    </w:lvl>
    <w:lvl w:ilvl="3" w:tplc="27147FEE">
      <w:numFmt w:val="bullet"/>
      <w:lvlText w:val="•"/>
      <w:lvlJc w:val="left"/>
      <w:pPr>
        <w:ind w:left="2702" w:hanging="361"/>
      </w:pPr>
      <w:rPr>
        <w:rFonts w:hint="default"/>
      </w:rPr>
    </w:lvl>
    <w:lvl w:ilvl="4" w:tplc="61AEBDE4">
      <w:numFmt w:val="bullet"/>
      <w:lvlText w:val="•"/>
      <w:lvlJc w:val="left"/>
      <w:pPr>
        <w:ind w:left="3725" w:hanging="361"/>
      </w:pPr>
      <w:rPr>
        <w:rFonts w:hint="default"/>
      </w:rPr>
    </w:lvl>
    <w:lvl w:ilvl="5" w:tplc="63D680CA">
      <w:numFmt w:val="bullet"/>
      <w:lvlText w:val="•"/>
      <w:lvlJc w:val="left"/>
      <w:pPr>
        <w:ind w:left="4747" w:hanging="361"/>
      </w:pPr>
      <w:rPr>
        <w:rFonts w:hint="default"/>
      </w:rPr>
    </w:lvl>
    <w:lvl w:ilvl="6" w:tplc="4838E994">
      <w:numFmt w:val="bullet"/>
      <w:lvlText w:val="•"/>
      <w:lvlJc w:val="left"/>
      <w:pPr>
        <w:ind w:left="5770" w:hanging="361"/>
      </w:pPr>
      <w:rPr>
        <w:rFonts w:hint="default"/>
      </w:rPr>
    </w:lvl>
    <w:lvl w:ilvl="7" w:tplc="72D85C08">
      <w:numFmt w:val="bullet"/>
      <w:lvlText w:val="•"/>
      <w:lvlJc w:val="left"/>
      <w:pPr>
        <w:ind w:left="6792" w:hanging="361"/>
      </w:pPr>
      <w:rPr>
        <w:rFonts w:hint="default"/>
      </w:rPr>
    </w:lvl>
    <w:lvl w:ilvl="8" w:tplc="FC168CCE">
      <w:numFmt w:val="bullet"/>
      <w:lvlText w:val="•"/>
      <w:lvlJc w:val="left"/>
      <w:pPr>
        <w:ind w:left="7815" w:hanging="361"/>
      </w:pPr>
      <w:rPr>
        <w:rFonts w:hint="default"/>
      </w:rPr>
    </w:lvl>
  </w:abstractNum>
  <w:abstractNum w:abstractNumId="34" w15:restartNumberingAfterBreak="0">
    <w:nsid w:val="798B08FC"/>
    <w:multiLevelType w:val="hybridMultilevel"/>
    <w:tmpl w:val="CE6A533C"/>
    <w:lvl w:ilvl="0" w:tplc="808296C0">
      <w:numFmt w:val="bullet"/>
      <w:lvlText w:val=""/>
      <w:lvlJc w:val="left"/>
      <w:pPr>
        <w:ind w:left="1112" w:hanging="361"/>
      </w:pPr>
      <w:rPr>
        <w:rFonts w:ascii="Symbol" w:eastAsia="Symbol" w:hAnsi="Symbol" w:cs="Symbol" w:hint="default"/>
        <w:w w:val="100"/>
        <w:sz w:val="22"/>
        <w:szCs w:val="22"/>
      </w:rPr>
    </w:lvl>
    <w:lvl w:ilvl="1" w:tplc="BE1CD462">
      <w:numFmt w:val="bullet"/>
      <w:lvlText w:val="o"/>
      <w:lvlJc w:val="left"/>
      <w:pPr>
        <w:ind w:left="1678" w:hanging="361"/>
      </w:pPr>
      <w:rPr>
        <w:rFonts w:ascii="Courier New" w:eastAsia="Courier New" w:hAnsi="Courier New" w:cs="Courier New" w:hint="default"/>
        <w:w w:val="100"/>
        <w:sz w:val="22"/>
        <w:szCs w:val="22"/>
      </w:rPr>
    </w:lvl>
    <w:lvl w:ilvl="2" w:tplc="60343290">
      <w:numFmt w:val="bullet"/>
      <w:lvlText w:val="•"/>
      <w:lvlJc w:val="left"/>
      <w:pPr>
        <w:ind w:left="2588" w:hanging="361"/>
      </w:pPr>
      <w:rPr>
        <w:rFonts w:hint="default"/>
      </w:rPr>
    </w:lvl>
    <w:lvl w:ilvl="3" w:tplc="37FE6F72">
      <w:numFmt w:val="bullet"/>
      <w:lvlText w:val="•"/>
      <w:lvlJc w:val="left"/>
      <w:pPr>
        <w:ind w:left="3497" w:hanging="361"/>
      </w:pPr>
      <w:rPr>
        <w:rFonts w:hint="default"/>
      </w:rPr>
    </w:lvl>
    <w:lvl w:ilvl="4" w:tplc="C256DF1A">
      <w:numFmt w:val="bullet"/>
      <w:lvlText w:val="•"/>
      <w:lvlJc w:val="left"/>
      <w:pPr>
        <w:ind w:left="4406" w:hanging="361"/>
      </w:pPr>
      <w:rPr>
        <w:rFonts w:hint="default"/>
      </w:rPr>
    </w:lvl>
    <w:lvl w:ilvl="5" w:tplc="A2807B6C">
      <w:numFmt w:val="bullet"/>
      <w:lvlText w:val="•"/>
      <w:lvlJc w:val="left"/>
      <w:pPr>
        <w:ind w:left="5315" w:hanging="361"/>
      </w:pPr>
      <w:rPr>
        <w:rFonts w:hint="default"/>
      </w:rPr>
    </w:lvl>
    <w:lvl w:ilvl="6" w:tplc="8258EDE6">
      <w:numFmt w:val="bullet"/>
      <w:lvlText w:val="•"/>
      <w:lvlJc w:val="left"/>
      <w:pPr>
        <w:ind w:left="6224" w:hanging="361"/>
      </w:pPr>
      <w:rPr>
        <w:rFonts w:hint="default"/>
      </w:rPr>
    </w:lvl>
    <w:lvl w:ilvl="7" w:tplc="397E2630">
      <w:numFmt w:val="bullet"/>
      <w:lvlText w:val="•"/>
      <w:lvlJc w:val="left"/>
      <w:pPr>
        <w:ind w:left="7133" w:hanging="361"/>
      </w:pPr>
      <w:rPr>
        <w:rFonts w:hint="default"/>
      </w:rPr>
    </w:lvl>
    <w:lvl w:ilvl="8" w:tplc="4E684652">
      <w:numFmt w:val="bullet"/>
      <w:lvlText w:val="•"/>
      <w:lvlJc w:val="left"/>
      <w:pPr>
        <w:ind w:left="8042" w:hanging="361"/>
      </w:pPr>
      <w:rPr>
        <w:rFonts w:hint="default"/>
      </w:rPr>
    </w:lvl>
  </w:abstractNum>
  <w:abstractNum w:abstractNumId="35" w15:restartNumberingAfterBreak="0">
    <w:nsid w:val="7BE435A8"/>
    <w:multiLevelType w:val="hybridMultilevel"/>
    <w:tmpl w:val="6B341424"/>
    <w:lvl w:ilvl="0" w:tplc="2AE29BA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7"/>
  </w:num>
  <w:num w:numId="4">
    <w:abstractNumId w:val="29"/>
  </w:num>
  <w:num w:numId="5">
    <w:abstractNumId w:val="28"/>
  </w:num>
  <w:num w:numId="6">
    <w:abstractNumId w:val="26"/>
  </w:num>
  <w:num w:numId="7">
    <w:abstractNumId w:val="13"/>
  </w:num>
  <w:num w:numId="8">
    <w:abstractNumId w:val="14"/>
  </w:num>
  <w:num w:numId="9">
    <w:abstractNumId w:val="30"/>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8"/>
  </w:num>
  <w:num w:numId="26">
    <w:abstractNumId w:val="17"/>
  </w:num>
  <w:num w:numId="27">
    <w:abstractNumId w:val="21"/>
  </w:num>
  <w:num w:numId="28">
    <w:abstractNumId w:val="35"/>
  </w:num>
  <w:num w:numId="29">
    <w:abstractNumId w:val="11"/>
  </w:num>
  <w:num w:numId="30">
    <w:abstractNumId w:val="23"/>
  </w:num>
  <w:num w:numId="31">
    <w:abstractNumId w:val="22"/>
  </w:num>
  <w:num w:numId="32">
    <w:abstractNumId w:val="34"/>
  </w:num>
  <w:num w:numId="33">
    <w:abstractNumId w:val="10"/>
  </w:num>
  <w:num w:numId="34">
    <w:abstractNumId w:val="12"/>
  </w:num>
  <w:num w:numId="35">
    <w:abstractNumId w:val="32"/>
  </w:num>
  <w:num w:numId="36">
    <w:abstractNumId w:val="15"/>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am 07./08./09.12.2021"/>
    <w:docVar w:name="Drsnr" w:val="19552"/>
    <w:docVar w:name="Eingangsdatum" w:val="06.12.2021"/>
    <w:docVar w:name="Passwort" w:val="Elan&amp;Internet"/>
    <w:docVar w:name="Wochendatum" w:val="6. Dezember 2021"/>
    <w:docVar w:name="Wp" w:val="18"/>
  </w:docVars>
  <w:rsids>
    <w:rsidRoot w:val="00925EDE"/>
    <w:rsid w:val="00002517"/>
    <w:rsid w:val="00006200"/>
    <w:rsid w:val="00006292"/>
    <w:rsid w:val="000106EF"/>
    <w:rsid w:val="00020AD6"/>
    <w:rsid w:val="000214D7"/>
    <w:rsid w:val="00025268"/>
    <w:rsid w:val="000371B5"/>
    <w:rsid w:val="00040013"/>
    <w:rsid w:val="00043B70"/>
    <w:rsid w:val="00046F91"/>
    <w:rsid w:val="00051319"/>
    <w:rsid w:val="0005361C"/>
    <w:rsid w:val="000614E0"/>
    <w:rsid w:val="00061EB3"/>
    <w:rsid w:val="00062858"/>
    <w:rsid w:val="00074D32"/>
    <w:rsid w:val="000779F7"/>
    <w:rsid w:val="00083131"/>
    <w:rsid w:val="00083D54"/>
    <w:rsid w:val="0008617E"/>
    <w:rsid w:val="00086E92"/>
    <w:rsid w:val="00094721"/>
    <w:rsid w:val="00097682"/>
    <w:rsid w:val="000A01A7"/>
    <w:rsid w:val="000A3169"/>
    <w:rsid w:val="000A3335"/>
    <w:rsid w:val="000A7D0D"/>
    <w:rsid w:val="000B2A68"/>
    <w:rsid w:val="000B32E5"/>
    <w:rsid w:val="000B42B4"/>
    <w:rsid w:val="000B75E2"/>
    <w:rsid w:val="000B764D"/>
    <w:rsid w:val="000C2504"/>
    <w:rsid w:val="000C2626"/>
    <w:rsid w:val="000C480A"/>
    <w:rsid w:val="000C71A5"/>
    <w:rsid w:val="000C72A9"/>
    <w:rsid w:val="000C7D5A"/>
    <w:rsid w:val="000D47EB"/>
    <w:rsid w:val="000E21D9"/>
    <w:rsid w:val="000E46FE"/>
    <w:rsid w:val="000E73CC"/>
    <w:rsid w:val="000F109F"/>
    <w:rsid w:val="000F3417"/>
    <w:rsid w:val="00112E3E"/>
    <w:rsid w:val="00114B66"/>
    <w:rsid w:val="0012077A"/>
    <w:rsid w:val="001356F0"/>
    <w:rsid w:val="00135D97"/>
    <w:rsid w:val="00136D38"/>
    <w:rsid w:val="001376A1"/>
    <w:rsid w:val="00140523"/>
    <w:rsid w:val="00141C03"/>
    <w:rsid w:val="00144C33"/>
    <w:rsid w:val="001507F6"/>
    <w:rsid w:val="0015458D"/>
    <w:rsid w:val="00154F5F"/>
    <w:rsid w:val="001576CA"/>
    <w:rsid w:val="001579D6"/>
    <w:rsid w:val="0016137E"/>
    <w:rsid w:val="00163927"/>
    <w:rsid w:val="00164662"/>
    <w:rsid w:val="00165D18"/>
    <w:rsid w:val="001676F2"/>
    <w:rsid w:val="0017089F"/>
    <w:rsid w:val="00171CDA"/>
    <w:rsid w:val="00177BC6"/>
    <w:rsid w:val="00181CB3"/>
    <w:rsid w:val="001919D6"/>
    <w:rsid w:val="001935C2"/>
    <w:rsid w:val="00193AB7"/>
    <w:rsid w:val="00193FF8"/>
    <w:rsid w:val="00195509"/>
    <w:rsid w:val="001B32DC"/>
    <w:rsid w:val="001B419F"/>
    <w:rsid w:val="001C42D9"/>
    <w:rsid w:val="001C6140"/>
    <w:rsid w:val="001C6F54"/>
    <w:rsid w:val="001D073A"/>
    <w:rsid w:val="001E1BAF"/>
    <w:rsid w:val="001E298D"/>
    <w:rsid w:val="001E3461"/>
    <w:rsid w:val="001E41D1"/>
    <w:rsid w:val="001F240A"/>
    <w:rsid w:val="001F2D72"/>
    <w:rsid w:val="001F3CDA"/>
    <w:rsid w:val="001F51CE"/>
    <w:rsid w:val="001F670E"/>
    <w:rsid w:val="00215CAA"/>
    <w:rsid w:val="0022324E"/>
    <w:rsid w:val="00226E30"/>
    <w:rsid w:val="00227E77"/>
    <w:rsid w:val="002302DA"/>
    <w:rsid w:val="00230CEA"/>
    <w:rsid w:val="00231278"/>
    <w:rsid w:val="0023365B"/>
    <w:rsid w:val="00233910"/>
    <w:rsid w:val="00233D39"/>
    <w:rsid w:val="00235942"/>
    <w:rsid w:val="002375B2"/>
    <w:rsid w:val="00240087"/>
    <w:rsid w:val="00240186"/>
    <w:rsid w:val="00241617"/>
    <w:rsid w:val="00242FBD"/>
    <w:rsid w:val="00246DE7"/>
    <w:rsid w:val="002769C7"/>
    <w:rsid w:val="00277DD9"/>
    <w:rsid w:val="002822CD"/>
    <w:rsid w:val="00283D88"/>
    <w:rsid w:val="0028470E"/>
    <w:rsid w:val="00284AA1"/>
    <w:rsid w:val="002914E5"/>
    <w:rsid w:val="002933D3"/>
    <w:rsid w:val="0029350B"/>
    <w:rsid w:val="00293F06"/>
    <w:rsid w:val="002A31CA"/>
    <w:rsid w:val="002B27E5"/>
    <w:rsid w:val="002B709E"/>
    <w:rsid w:val="002D25D1"/>
    <w:rsid w:val="002D2A91"/>
    <w:rsid w:val="002D53C0"/>
    <w:rsid w:val="002D5E77"/>
    <w:rsid w:val="002D69DA"/>
    <w:rsid w:val="002E49DF"/>
    <w:rsid w:val="002F2578"/>
    <w:rsid w:val="003078E2"/>
    <w:rsid w:val="00310A7B"/>
    <w:rsid w:val="00311533"/>
    <w:rsid w:val="0031185F"/>
    <w:rsid w:val="00315B5B"/>
    <w:rsid w:val="00315CE9"/>
    <w:rsid w:val="003220C1"/>
    <w:rsid w:val="00324F62"/>
    <w:rsid w:val="00330039"/>
    <w:rsid w:val="00330AC4"/>
    <w:rsid w:val="003317ED"/>
    <w:rsid w:val="003343E3"/>
    <w:rsid w:val="00334F0F"/>
    <w:rsid w:val="0034095E"/>
    <w:rsid w:val="003439F1"/>
    <w:rsid w:val="003458CE"/>
    <w:rsid w:val="00350BA6"/>
    <w:rsid w:val="00351E06"/>
    <w:rsid w:val="003542A3"/>
    <w:rsid w:val="00354E4E"/>
    <w:rsid w:val="003571B7"/>
    <w:rsid w:val="003576CA"/>
    <w:rsid w:val="0036081C"/>
    <w:rsid w:val="00361991"/>
    <w:rsid w:val="00364440"/>
    <w:rsid w:val="00380F60"/>
    <w:rsid w:val="00384BCC"/>
    <w:rsid w:val="003865DE"/>
    <w:rsid w:val="00387377"/>
    <w:rsid w:val="00390643"/>
    <w:rsid w:val="00390B65"/>
    <w:rsid w:val="0039537D"/>
    <w:rsid w:val="00397EA2"/>
    <w:rsid w:val="003A0B46"/>
    <w:rsid w:val="003A32AE"/>
    <w:rsid w:val="003A60A1"/>
    <w:rsid w:val="003A6DDF"/>
    <w:rsid w:val="003B09EA"/>
    <w:rsid w:val="003B0D79"/>
    <w:rsid w:val="003B10EA"/>
    <w:rsid w:val="003B21D3"/>
    <w:rsid w:val="003B4646"/>
    <w:rsid w:val="003B5EB2"/>
    <w:rsid w:val="003B702D"/>
    <w:rsid w:val="003B7D59"/>
    <w:rsid w:val="003C17F4"/>
    <w:rsid w:val="003C3519"/>
    <w:rsid w:val="003C35CF"/>
    <w:rsid w:val="003C4151"/>
    <w:rsid w:val="003C63B1"/>
    <w:rsid w:val="003C68DE"/>
    <w:rsid w:val="003D1836"/>
    <w:rsid w:val="003D34FD"/>
    <w:rsid w:val="003D6813"/>
    <w:rsid w:val="003E107C"/>
    <w:rsid w:val="003E110A"/>
    <w:rsid w:val="003E2DEE"/>
    <w:rsid w:val="003E36C6"/>
    <w:rsid w:val="003E4991"/>
    <w:rsid w:val="003E7187"/>
    <w:rsid w:val="003E7E4B"/>
    <w:rsid w:val="003F467B"/>
    <w:rsid w:val="003F4EF0"/>
    <w:rsid w:val="00404D41"/>
    <w:rsid w:val="00405DE5"/>
    <w:rsid w:val="004104B6"/>
    <w:rsid w:val="004148C6"/>
    <w:rsid w:val="00431F16"/>
    <w:rsid w:val="00437386"/>
    <w:rsid w:val="004429E4"/>
    <w:rsid w:val="004453BF"/>
    <w:rsid w:val="0045402F"/>
    <w:rsid w:val="00454562"/>
    <w:rsid w:val="00454E49"/>
    <w:rsid w:val="00456CA0"/>
    <w:rsid w:val="00460553"/>
    <w:rsid w:val="00460BD5"/>
    <w:rsid w:val="00465F83"/>
    <w:rsid w:val="00476B56"/>
    <w:rsid w:val="0048117A"/>
    <w:rsid w:val="004859F1"/>
    <w:rsid w:val="00496299"/>
    <w:rsid w:val="0049732F"/>
    <w:rsid w:val="004A0B31"/>
    <w:rsid w:val="004A4DAA"/>
    <w:rsid w:val="004B0633"/>
    <w:rsid w:val="004B184E"/>
    <w:rsid w:val="004B5A87"/>
    <w:rsid w:val="004C12A9"/>
    <w:rsid w:val="004C1BA3"/>
    <w:rsid w:val="004C3433"/>
    <w:rsid w:val="004C76D3"/>
    <w:rsid w:val="004D4829"/>
    <w:rsid w:val="004D6C25"/>
    <w:rsid w:val="004D7B2E"/>
    <w:rsid w:val="004E1031"/>
    <w:rsid w:val="004E7B28"/>
    <w:rsid w:val="004F0994"/>
    <w:rsid w:val="004F2494"/>
    <w:rsid w:val="004F3CE4"/>
    <w:rsid w:val="004F65DE"/>
    <w:rsid w:val="0050142C"/>
    <w:rsid w:val="00502FBE"/>
    <w:rsid w:val="00503F3C"/>
    <w:rsid w:val="005040C2"/>
    <w:rsid w:val="00510F61"/>
    <w:rsid w:val="005321C0"/>
    <w:rsid w:val="00532CE3"/>
    <w:rsid w:val="0053309B"/>
    <w:rsid w:val="00534594"/>
    <w:rsid w:val="00543176"/>
    <w:rsid w:val="00544156"/>
    <w:rsid w:val="00546944"/>
    <w:rsid w:val="005473CF"/>
    <w:rsid w:val="005517B2"/>
    <w:rsid w:val="00563393"/>
    <w:rsid w:val="00567084"/>
    <w:rsid w:val="0057046C"/>
    <w:rsid w:val="005714E0"/>
    <w:rsid w:val="0057191B"/>
    <w:rsid w:val="00571E5E"/>
    <w:rsid w:val="00572482"/>
    <w:rsid w:val="00574E93"/>
    <w:rsid w:val="00576D97"/>
    <w:rsid w:val="005833DD"/>
    <w:rsid w:val="005834A1"/>
    <w:rsid w:val="00584365"/>
    <w:rsid w:val="0058521C"/>
    <w:rsid w:val="005878CA"/>
    <w:rsid w:val="005937F5"/>
    <w:rsid w:val="00593818"/>
    <w:rsid w:val="0059719B"/>
    <w:rsid w:val="005A0EEC"/>
    <w:rsid w:val="005A3D9B"/>
    <w:rsid w:val="005A79EC"/>
    <w:rsid w:val="005B0829"/>
    <w:rsid w:val="005B6943"/>
    <w:rsid w:val="005C0ADE"/>
    <w:rsid w:val="005C55DD"/>
    <w:rsid w:val="005C5701"/>
    <w:rsid w:val="005D0F29"/>
    <w:rsid w:val="005D3C42"/>
    <w:rsid w:val="005E1C50"/>
    <w:rsid w:val="005E559C"/>
    <w:rsid w:val="005E6A6C"/>
    <w:rsid w:val="005F371F"/>
    <w:rsid w:val="00601929"/>
    <w:rsid w:val="00606488"/>
    <w:rsid w:val="006076A5"/>
    <w:rsid w:val="00610EFD"/>
    <w:rsid w:val="00611FE7"/>
    <w:rsid w:val="006139F3"/>
    <w:rsid w:val="00617085"/>
    <w:rsid w:val="0062036D"/>
    <w:rsid w:val="00620B1D"/>
    <w:rsid w:val="00626F46"/>
    <w:rsid w:val="00635D70"/>
    <w:rsid w:val="006373BA"/>
    <w:rsid w:val="006421ED"/>
    <w:rsid w:val="0065163A"/>
    <w:rsid w:val="00651968"/>
    <w:rsid w:val="00653E6D"/>
    <w:rsid w:val="00661F4C"/>
    <w:rsid w:val="0067222C"/>
    <w:rsid w:val="00675AED"/>
    <w:rsid w:val="00677FB8"/>
    <w:rsid w:val="00680EE6"/>
    <w:rsid w:val="0068306E"/>
    <w:rsid w:val="00690A87"/>
    <w:rsid w:val="00692310"/>
    <w:rsid w:val="006A6AF2"/>
    <w:rsid w:val="006B0212"/>
    <w:rsid w:val="006B1709"/>
    <w:rsid w:val="006C2D2D"/>
    <w:rsid w:val="006C4DB6"/>
    <w:rsid w:val="006C5C31"/>
    <w:rsid w:val="006D0FD8"/>
    <w:rsid w:val="006D167D"/>
    <w:rsid w:val="006D2E83"/>
    <w:rsid w:val="006E0274"/>
    <w:rsid w:val="006E41BA"/>
    <w:rsid w:val="006E4A74"/>
    <w:rsid w:val="006E5B9D"/>
    <w:rsid w:val="006E668B"/>
    <w:rsid w:val="006F0AB3"/>
    <w:rsid w:val="006F4706"/>
    <w:rsid w:val="006F6899"/>
    <w:rsid w:val="006F68BE"/>
    <w:rsid w:val="00704295"/>
    <w:rsid w:val="007061D4"/>
    <w:rsid w:val="00714C18"/>
    <w:rsid w:val="00717184"/>
    <w:rsid w:val="0072106B"/>
    <w:rsid w:val="00724C71"/>
    <w:rsid w:val="0075012C"/>
    <w:rsid w:val="0075176A"/>
    <w:rsid w:val="0075769E"/>
    <w:rsid w:val="00760A53"/>
    <w:rsid w:val="00761779"/>
    <w:rsid w:val="00761B2E"/>
    <w:rsid w:val="00761FF5"/>
    <w:rsid w:val="00763EE4"/>
    <w:rsid w:val="007649D6"/>
    <w:rsid w:val="00764C64"/>
    <w:rsid w:val="00765A2D"/>
    <w:rsid w:val="00772577"/>
    <w:rsid w:val="00772813"/>
    <w:rsid w:val="007752EA"/>
    <w:rsid w:val="0077709E"/>
    <w:rsid w:val="0078027B"/>
    <w:rsid w:val="00781527"/>
    <w:rsid w:val="00781FB1"/>
    <w:rsid w:val="007868AE"/>
    <w:rsid w:val="00787923"/>
    <w:rsid w:val="00797183"/>
    <w:rsid w:val="007B0523"/>
    <w:rsid w:val="007B0B33"/>
    <w:rsid w:val="007B1230"/>
    <w:rsid w:val="007B2601"/>
    <w:rsid w:val="007D40DF"/>
    <w:rsid w:val="007D5D9A"/>
    <w:rsid w:val="007E0D69"/>
    <w:rsid w:val="007E151E"/>
    <w:rsid w:val="007E3CD6"/>
    <w:rsid w:val="007F64DF"/>
    <w:rsid w:val="00805760"/>
    <w:rsid w:val="00805E8A"/>
    <w:rsid w:val="008062A0"/>
    <w:rsid w:val="00816C6F"/>
    <w:rsid w:val="00825C50"/>
    <w:rsid w:val="008342E2"/>
    <w:rsid w:val="00844005"/>
    <w:rsid w:val="00846D02"/>
    <w:rsid w:val="008503D5"/>
    <w:rsid w:val="008540E3"/>
    <w:rsid w:val="008606C1"/>
    <w:rsid w:val="00863A28"/>
    <w:rsid w:val="00863A37"/>
    <w:rsid w:val="00863D7F"/>
    <w:rsid w:val="00865BD2"/>
    <w:rsid w:val="00880170"/>
    <w:rsid w:val="008803A9"/>
    <w:rsid w:val="00881163"/>
    <w:rsid w:val="0088221E"/>
    <w:rsid w:val="008827F5"/>
    <w:rsid w:val="00883D83"/>
    <w:rsid w:val="008930C0"/>
    <w:rsid w:val="00893E9B"/>
    <w:rsid w:val="00897172"/>
    <w:rsid w:val="008A671A"/>
    <w:rsid w:val="008A746A"/>
    <w:rsid w:val="008B5612"/>
    <w:rsid w:val="008C0F37"/>
    <w:rsid w:val="008C14F7"/>
    <w:rsid w:val="008C19EC"/>
    <w:rsid w:val="008C3EAF"/>
    <w:rsid w:val="008C6176"/>
    <w:rsid w:val="008C6287"/>
    <w:rsid w:val="008D2301"/>
    <w:rsid w:val="008D24C4"/>
    <w:rsid w:val="008D29B4"/>
    <w:rsid w:val="008D3D04"/>
    <w:rsid w:val="008D4953"/>
    <w:rsid w:val="008D7D98"/>
    <w:rsid w:val="008E2258"/>
    <w:rsid w:val="008E3C99"/>
    <w:rsid w:val="008E41C5"/>
    <w:rsid w:val="008E7B3B"/>
    <w:rsid w:val="008F08A2"/>
    <w:rsid w:val="0091136E"/>
    <w:rsid w:val="00911F24"/>
    <w:rsid w:val="009149D4"/>
    <w:rsid w:val="00917E27"/>
    <w:rsid w:val="009229F8"/>
    <w:rsid w:val="009234BF"/>
    <w:rsid w:val="00925EDE"/>
    <w:rsid w:val="0092602C"/>
    <w:rsid w:val="009310B8"/>
    <w:rsid w:val="00932D27"/>
    <w:rsid w:val="0093595E"/>
    <w:rsid w:val="009504DF"/>
    <w:rsid w:val="0095379B"/>
    <w:rsid w:val="00953F90"/>
    <w:rsid w:val="00962732"/>
    <w:rsid w:val="00966E35"/>
    <w:rsid w:val="00973344"/>
    <w:rsid w:val="009737DF"/>
    <w:rsid w:val="00977682"/>
    <w:rsid w:val="00977C7E"/>
    <w:rsid w:val="00980F7F"/>
    <w:rsid w:val="009837B0"/>
    <w:rsid w:val="009924CE"/>
    <w:rsid w:val="00995D8F"/>
    <w:rsid w:val="009A2D8C"/>
    <w:rsid w:val="009A564B"/>
    <w:rsid w:val="009A5A06"/>
    <w:rsid w:val="009B3DA8"/>
    <w:rsid w:val="009B40EC"/>
    <w:rsid w:val="009B5C70"/>
    <w:rsid w:val="009B6B5E"/>
    <w:rsid w:val="009B7205"/>
    <w:rsid w:val="009B7AA0"/>
    <w:rsid w:val="009C1AC7"/>
    <w:rsid w:val="009C32BE"/>
    <w:rsid w:val="009D3152"/>
    <w:rsid w:val="009D355F"/>
    <w:rsid w:val="009D3780"/>
    <w:rsid w:val="009D5962"/>
    <w:rsid w:val="009E25A3"/>
    <w:rsid w:val="009E351A"/>
    <w:rsid w:val="009E41B6"/>
    <w:rsid w:val="009E5C08"/>
    <w:rsid w:val="009E6DDB"/>
    <w:rsid w:val="009E7CB7"/>
    <w:rsid w:val="009F1C1F"/>
    <w:rsid w:val="009F65F5"/>
    <w:rsid w:val="009F6B94"/>
    <w:rsid w:val="00A02381"/>
    <w:rsid w:val="00A163AA"/>
    <w:rsid w:val="00A17038"/>
    <w:rsid w:val="00A17A6F"/>
    <w:rsid w:val="00A2276D"/>
    <w:rsid w:val="00A25D7C"/>
    <w:rsid w:val="00A265DC"/>
    <w:rsid w:val="00A27016"/>
    <w:rsid w:val="00A3195E"/>
    <w:rsid w:val="00A31B68"/>
    <w:rsid w:val="00A3336A"/>
    <w:rsid w:val="00A3529B"/>
    <w:rsid w:val="00A42EAA"/>
    <w:rsid w:val="00A44F63"/>
    <w:rsid w:val="00A47020"/>
    <w:rsid w:val="00A5482B"/>
    <w:rsid w:val="00A5749A"/>
    <w:rsid w:val="00A603C5"/>
    <w:rsid w:val="00A7539C"/>
    <w:rsid w:val="00A75A71"/>
    <w:rsid w:val="00A76D72"/>
    <w:rsid w:val="00A84172"/>
    <w:rsid w:val="00A91C08"/>
    <w:rsid w:val="00A940AC"/>
    <w:rsid w:val="00A9696A"/>
    <w:rsid w:val="00A96B48"/>
    <w:rsid w:val="00AA3130"/>
    <w:rsid w:val="00AA3478"/>
    <w:rsid w:val="00AA5F48"/>
    <w:rsid w:val="00AA7233"/>
    <w:rsid w:val="00AC113A"/>
    <w:rsid w:val="00AC4FC6"/>
    <w:rsid w:val="00AC6241"/>
    <w:rsid w:val="00AD7E0F"/>
    <w:rsid w:val="00AD7F7B"/>
    <w:rsid w:val="00AE1029"/>
    <w:rsid w:val="00AE4A2F"/>
    <w:rsid w:val="00AF24DF"/>
    <w:rsid w:val="00B022F3"/>
    <w:rsid w:val="00B20FE9"/>
    <w:rsid w:val="00B246BA"/>
    <w:rsid w:val="00B313DB"/>
    <w:rsid w:val="00B31A63"/>
    <w:rsid w:val="00B3698E"/>
    <w:rsid w:val="00B45132"/>
    <w:rsid w:val="00B47AE7"/>
    <w:rsid w:val="00B51885"/>
    <w:rsid w:val="00B55B54"/>
    <w:rsid w:val="00B57DE6"/>
    <w:rsid w:val="00B6722B"/>
    <w:rsid w:val="00B753A4"/>
    <w:rsid w:val="00B8046D"/>
    <w:rsid w:val="00B82BE0"/>
    <w:rsid w:val="00B85638"/>
    <w:rsid w:val="00B87FDD"/>
    <w:rsid w:val="00B902FE"/>
    <w:rsid w:val="00B90824"/>
    <w:rsid w:val="00B91015"/>
    <w:rsid w:val="00B93FAB"/>
    <w:rsid w:val="00B9456C"/>
    <w:rsid w:val="00B96202"/>
    <w:rsid w:val="00BA7AAC"/>
    <w:rsid w:val="00BB117A"/>
    <w:rsid w:val="00BB3E7A"/>
    <w:rsid w:val="00BB6019"/>
    <w:rsid w:val="00BC133B"/>
    <w:rsid w:val="00BC1C8F"/>
    <w:rsid w:val="00BC4D4B"/>
    <w:rsid w:val="00BD18A0"/>
    <w:rsid w:val="00BD7DB0"/>
    <w:rsid w:val="00BE0A75"/>
    <w:rsid w:val="00BE4144"/>
    <w:rsid w:val="00BE68CD"/>
    <w:rsid w:val="00BF2711"/>
    <w:rsid w:val="00C034C9"/>
    <w:rsid w:val="00C04612"/>
    <w:rsid w:val="00C11892"/>
    <w:rsid w:val="00C127DA"/>
    <w:rsid w:val="00C14DFE"/>
    <w:rsid w:val="00C162EC"/>
    <w:rsid w:val="00C20D25"/>
    <w:rsid w:val="00C2387B"/>
    <w:rsid w:val="00C27B03"/>
    <w:rsid w:val="00C31000"/>
    <w:rsid w:val="00C33FD4"/>
    <w:rsid w:val="00C34F07"/>
    <w:rsid w:val="00C4558C"/>
    <w:rsid w:val="00C46A28"/>
    <w:rsid w:val="00C5104E"/>
    <w:rsid w:val="00C527EF"/>
    <w:rsid w:val="00C54235"/>
    <w:rsid w:val="00C54C38"/>
    <w:rsid w:val="00C63068"/>
    <w:rsid w:val="00C64946"/>
    <w:rsid w:val="00C67283"/>
    <w:rsid w:val="00C67333"/>
    <w:rsid w:val="00C743BB"/>
    <w:rsid w:val="00C757A4"/>
    <w:rsid w:val="00C77276"/>
    <w:rsid w:val="00C828E5"/>
    <w:rsid w:val="00C832C7"/>
    <w:rsid w:val="00C83A7D"/>
    <w:rsid w:val="00C841E1"/>
    <w:rsid w:val="00C84F6F"/>
    <w:rsid w:val="00C933D2"/>
    <w:rsid w:val="00C94615"/>
    <w:rsid w:val="00C95F05"/>
    <w:rsid w:val="00CA46E4"/>
    <w:rsid w:val="00CA7A15"/>
    <w:rsid w:val="00CB1499"/>
    <w:rsid w:val="00CC13A9"/>
    <w:rsid w:val="00CC20C5"/>
    <w:rsid w:val="00CC43A0"/>
    <w:rsid w:val="00CC4D73"/>
    <w:rsid w:val="00CC5C25"/>
    <w:rsid w:val="00CC6B36"/>
    <w:rsid w:val="00CC77D8"/>
    <w:rsid w:val="00CC7D0D"/>
    <w:rsid w:val="00CD23A3"/>
    <w:rsid w:val="00CD631D"/>
    <w:rsid w:val="00CD6B4E"/>
    <w:rsid w:val="00CD7345"/>
    <w:rsid w:val="00CE2154"/>
    <w:rsid w:val="00CE251D"/>
    <w:rsid w:val="00CE5E4F"/>
    <w:rsid w:val="00CF1066"/>
    <w:rsid w:val="00CF5AA4"/>
    <w:rsid w:val="00CF7230"/>
    <w:rsid w:val="00CF77F6"/>
    <w:rsid w:val="00D0004C"/>
    <w:rsid w:val="00D01241"/>
    <w:rsid w:val="00D0623A"/>
    <w:rsid w:val="00D07F06"/>
    <w:rsid w:val="00D17A96"/>
    <w:rsid w:val="00D2179C"/>
    <w:rsid w:val="00D2620F"/>
    <w:rsid w:val="00D26BBF"/>
    <w:rsid w:val="00D27DF7"/>
    <w:rsid w:val="00D32A7D"/>
    <w:rsid w:val="00D33D48"/>
    <w:rsid w:val="00D3404D"/>
    <w:rsid w:val="00D37976"/>
    <w:rsid w:val="00D44A2C"/>
    <w:rsid w:val="00D45EB8"/>
    <w:rsid w:val="00D46E54"/>
    <w:rsid w:val="00D47CB5"/>
    <w:rsid w:val="00D5213B"/>
    <w:rsid w:val="00D5247F"/>
    <w:rsid w:val="00D5626E"/>
    <w:rsid w:val="00D6160D"/>
    <w:rsid w:val="00D61EFF"/>
    <w:rsid w:val="00D82366"/>
    <w:rsid w:val="00D83DC5"/>
    <w:rsid w:val="00D8517D"/>
    <w:rsid w:val="00D8582E"/>
    <w:rsid w:val="00D96C64"/>
    <w:rsid w:val="00DA1063"/>
    <w:rsid w:val="00DA2424"/>
    <w:rsid w:val="00DA74F1"/>
    <w:rsid w:val="00DB29C5"/>
    <w:rsid w:val="00DB3676"/>
    <w:rsid w:val="00DC0893"/>
    <w:rsid w:val="00DC2400"/>
    <w:rsid w:val="00DC6F57"/>
    <w:rsid w:val="00DC70A7"/>
    <w:rsid w:val="00DD2787"/>
    <w:rsid w:val="00DD2B62"/>
    <w:rsid w:val="00DD48D5"/>
    <w:rsid w:val="00DE5B17"/>
    <w:rsid w:val="00DE5CC4"/>
    <w:rsid w:val="00DE77D6"/>
    <w:rsid w:val="00DF7A33"/>
    <w:rsid w:val="00E06311"/>
    <w:rsid w:val="00E175A9"/>
    <w:rsid w:val="00E2431C"/>
    <w:rsid w:val="00E2670C"/>
    <w:rsid w:val="00E3270E"/>
    <w:rsid w:val="00E6572C"/>
    <w:rsid w:val="00E67FEA"/>
    <w:rsid w:val="00E70C34"/>
    <w:rsid w:val="00E711D3"/>
    <w:rsid w:val="00E72D19"/>
    <w:rsid w:val="00E7333F"/>
    <w:rsid w:val="00E73E5A"/>
    <w:rsid w:val="00E7475C"/>
    <w:rsid w:val="00E77AC9"/>
    <w:rsid w:val="00E86C09"/>
    <w:rsid w:val="00E87499"/>
    <w:rsid w:val="00E960B7"/>
    <w:rsid w:val="00EA2870"/>
    <w:rsid w:val="00EA32A4"/>
    <w:rsid w:val="00EB1AAE"/>
    <w:rsid w:val="00EB6C16"/>
    <w:rsid w:val="00EC1D08"/>
    <w:rsid w:val="00EC2954"/>
    <w:rsid w:val="00EC2C1B"/>
    <w:rsid w:val="00EC75D6"/>
    <w:rsid w:val="00ED4839"/>
    <w:rsid w:val="00ED7023"/>
    <w:rsid w:val="00EE2FEA"/>
    <w:rsid w:val="00EE425B"/>
    <w:rsid w:val="00EF116E"/>
    <w:rsid w:val="00EF398E"/>
    <w:rsid w:val="00EF67A7"/>
    <w:rsid w:val="00F0047B"/>
    <w:rsid w:val="00F00864"/>
    <w:rsid w:val="00F0093F"/>
    <w:rsid w:val="00F15AB1"/>
    <w:rsid w:val="00F23429"/>
    <w:rsid w:val="00F44D16"/>
    <w:rsid w:val="00F51CE7"/>
    <w:rsid w:val="00F57D98"/>
    <w:rsid w:val="00F70C1D"/>
    <w:rsid w:val="00F71DFF"/>
    <w:rsid w:val="00F73B72"/>
    <w:rsid w:val="00F74938"/>
    <w:rsid w:val="00F769C0"/>
    <w:rsid w:val="00F76B51"/>
    <w:rsid w:val="00F80BC9"/>
    <w:rsid w:val="00F824EC"/>
    <w:rsid w:val="00F827A4"/>
    <w:rsid w:val="00F85DE7"/>
    <w:rsid w:val="00F9374C"/>
    <w:rsid w:val="00F97F7B"/>
    <w:rsid w:val="00FA0C0F"/>
    <w:rsid w:val="00FA64C1"/>
    <w:rsid w:val="00FA6C77"/>
    <w:rsid w:val="00FB269D"/>
    <w:rsid w:val="00FB2DD6"/>
    <w:rsid w:val="00FB64A8"/>
    <w:rsid w:val="00FC2CC7"/>
    <w:rsid w:val="00FD11DE"/>
    <w:rsid w:val="00FE0BE9"/>
    <w:rsid w:val="00FE1A91"/>
    <w:rsid w:val="00FF0A8D"/>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476C82-5E1E-4758-BC9D-1CDFA50F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404D41"/>
    <w:pPr>
      <w:widowControl w:val="0"/>
      <w:autoSpaceDE w:val="0"/>
      <w:autoSpaceDN w:val="0"/>
      <w:ind w:left="478" w:hanging="361"/>
      <w:outlineLvl w:val="0"/>
    </w:pPr>
    <w:rPr>
      <w:rFonts w:eastAsia="Arial" w:cs="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AD7F7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D7F7B"/>
    <w:pPr>
      <w:widowControl w:val="0"/>
      <w:autoSpaceDE w:val="0"/>
      <w:autoSpaceDN w:val="0"/>
      <w:spacing w:line="270" w:lineRule="exact"/>
      <w:ind w:left="107"/>
    </w:pPr>
    <w:rPr>
      <w:rFonts w:ascii="Times New Roman" w:hAnsi="Times New Roman"/>
      <w:sz w:val="22"/>
      <w:szCs w:val="22"/>
      <w:lang w:bidi="de-DE"/>
    </w:rPr>
  </w:style>
  <w:style w:type="paragraph" w:styleId="Textkrper">
    <w:name w:val="Body Text"/>
    <w:basedOn w:val="Standard"/>
    <w:link w:val="TextkrperZchn"/>
    <w:uiPriority w:val="1"/>
    <w:qFormat/>
    <w:rsid w:val="00635D70"/>
    <w:pPr>
      <w:widowControl w:val="0"/>
      <w:autoSpaceDE w:val="0"/>
      <w:autoSpaceDN w:val="0"/>
    </w:pPr>
    <w:rPr>
      <w:rFonts w:ascii="Times New Roman" w:hAnsi="Times New Roman"/>
      <w:sz w:val="24"/>
      <w:lang w:bidi="de-DE"/>
    </w:rPr>
  </w:style>
  <w:style w:type="character" w:customStyle="1" w:styleId="TextkrperZchn">
    <w:name w:val="Textkörper Zchn"/>
    <w:basedOn w:val="Absatz-Standardschriftart"/>
    <w:link w:val="Textkrper"/>
    <w:uiPriority w:val="1"/>
    <w:rsid w:val="00635D70"/>
    <w:rPr>
      <w:sz w:val="24"/>
      <w:szCs w:val="24"/>
      <w:lang w:bidi="de-DE"/>
    </w:rPr>
  </w:style>
  <w:style w:type="table" w:customStyle="1" w:styleId="TableNormal1">
    <w:name w:val="Table Normal1"/>
    <w:uiPriority w:val="2"/>
    <w:semiHidden/>
    <w:unhideWhenUsed/>
    <w:qFormat/>
    <w:rsid w:val="00E874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874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74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404D41"/>
    <w:rPr>
      <w:rFonts w:ascii="Arial" w:eastAsia="Arial" w:hAnsi="Arial" w:cs="Arial"/>
      <w:b/>
      <w:bCs/>
      <w:sz w:val="22"/>
      <w:szCs w:val="22"/>
      <w:lang w:val="en-US" w:eastAsia="en-US"/>
    </w:rPr>
  </w:style>
  <w:style w:type="paragraph" w:styleId="Listenabsatz">
    <w:name w:val="List Paragraph"/>
    <w:basedOn w:val="Standard"/>
    <w:uiPriority w:val="1"/>
    <w:qFormat/>
    <w:rsid w:val="00404D41"/>
    <w:pPr>
      <w:widowControl w:val="0"/>
      <w:autoSpaceDE w:val="0"/>
      <w:autoSpaceDN w:val="0"/>
      <w:spacing w:before="124"/>
      <w:ind w:left="1198" w:hanging="361"/>
    </w:pPr>
    <w:rPr>
      <w:rFonts w:eastAsia="Arial" w:cs="Arial"/>
      <w:sz w:val="22"/>
      <w:szCs w:val="22"/>
      <w:lang w:val="en-US" w:eastAsia="en-US"/>
    </w:rPr>
  </w:style>
  <w:style w:type="character" w:styleId="Funotenzeichen">
    <w:name w:val="footnote reference"/>
    <w:basedOn w:val="Absatz-Standardschriftart"/>
    <w:uiPriority w:val="99"/>
    <w:semiHidden/>
    <w:unhideWhenUsed/>
    <w:rsid w:val="00F0093F"/>
    <w:rPr>
      <w:rFonts w:cs="Times New Roman"/>
      <w:vertAlign w:val="superscript"/>
    </w:rPr>
  </w:style>
  <w:style w:type="paragraph" w:styleId="Funotentext">
    <w:name w:val="footnote text"/>
    <w:basedOn w:val="Standard"/>
    <w:link w:val="FunotentextZchn"/>
    <w:uiPriority w:val="99"/>
    <w:semiHidden/>
    <w:unhideWhenUsed/>
    <w:rsid w:val="001B32DC"/>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1B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7434">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nenministerium.bayern.de/kub/komselbstverwaltung/" TargetMode="External"/><Relationship Id="rId18" Type="http://schemas.openxmlformats.org/officeDocument/2006/relationships/image" Target="media/image3.png"/><Relationship Id="rId26" Type="http://schemas.openxmlformats.org/officeDocument/2006/relationships/hyperlink" Target="https://www.stmgp.bayern.de/pflege/pflegestuetzpunkte/" TargetMode="External"/><Relationship Id="rId3" Type="http://schemas.openxmlformats.org/officeDocument/2006/relationships/styles" Target="styles.xml"/><Relationship Id="rId21" Type="http://schemas.openxmlformats.org/officeDocument/2006/relationships/hyperlink" Target="https://www.lgl.bayern.de/gesundheit/infektionsschutz/infektionskrankheiten_a_z/coronavirus/kart"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mu.de/programm?tx_bmubfundingdb_programsProzent5BprogramProzent5D=31&amp;cHash=c7e30" TargetMode="External"/><Relationship Id="rId25" Type="http://schemas.openxmlformats.org/officeDocument/2006/relationships/hyperlink" Target="https://www.lgl.bayern.de/gesundheit/infektionsschutz/infektionskrankheiten_a_z/coronavirus/kart" TargetMode="External"/><Relationship Id="rId33" Type="http://schemas.openxmlformats.org/officeDocument/2006/relationships/hyperlink" Target="https://www.ptka.kit.edu/BewerbungsverfahrenPilotstandorte.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wi.de/Redaktion/DE/Pressemitteilungen/2021/05/20210528-bmwi-und-bmvi-bringen-wasserstoff-grossprojekte-auf-den-weg.html" TargetMode="External"/><Relationship Id="rId20" Type="http://schemas.openxmlformats.org/officeDocument/2006/relationships/hyperlink" Target="https://www.muckl-mag.de/" TargetMode="External"/><Relationship Id="rId29" Type="http://schemas.openxmlformats.org/officeDocument/2006/relationships/hyperlink" Target="https://www.lgl.bayern.de/gesundheit/infektionsschutz/infektionskrankheitenaz/coronavirus/k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gl.bayern.de/gesundheit/infektionsschutz/infektionskrankheiten_a_z/coronavirus/kart" TargetMode="External"/><Relationship Id="rId32" Type="http://schemas.openxmlformats.org/officeDocument/2006/relationships/hyperlink" Target="http://www.klinikum.uni-muenchen.de/Abteilung-fuer-Infektions-u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2000/0000012061_Strohmayr%20ANL.pdf" TargetMode="External"/><Relationship Id="rId23" Type="http://schemas.openxmlformats.org/officeDocument/2006/relationships/hyperlink" Target="https://lgl.bayern.de/presse/pressemitteilungen/detailansicht.htm?ID=A%2Bs3RgSTi2TUWpE4rXjPlQ%3D%3D" TargetMode="External"/><Relationship Id="rId28" Type="http://schemas.openxmlformats.org/officeDocument/2006/relationships/hyperlink" Target="https://www.lgl.bayern.de/gesundheit/infektionsschutz/infektionskrankheiten_a_z/coronavirus/kart"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github.com/robert-koch-institut/COVID-" TargetMode="External"/><Relationship Id="rId31" Type="http://schemas.openxmlformats.org/officeDocument/2006/relationships/hyperlink" Target="https://www.stmgp.bayern.de/coronavirus/impfu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2000/0000012061_Sengl%20ANL.pdf" TargetMode="External"/><Relationship Id="rId22" Type="http://schemas.openxmlformats.org/officeDocument/2006/relationships/hyperlink" Target="https://www.lgl.bayern.de/gesundheit/infektionsschutz/infektionskrankheiten_a_z/coronavirus/karte" TargetMode="External"/><Relationship Id="rId27" Type="http://schemas.openxmlformats.org/officeDocument/2006/relationships/hyperlink" Target="https://www.lgl.bayern.de/gesundheit/infektionsschutz/infektionskrankheiten_a_z/coronavirus/kart" TargetMode="External"/><Relationship Id="rId30" Type="http://schemas.openxmlformats.org/officeDocument/2006/relationships/hyperlink" Target="https://www.lgl.bayern.de/gesundheit/infektionsschutz/infektionskrankheiten_a_z/coronavirus/kart" TargetMode="Externa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faz.net/aktuell/wirtschaft/klima-nachhaltigkeit/windparkbetreiber-in-frankreichmuessen-schadenersatz-zahlen-17626344.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D845-FB38-4378-8BA0-6DE3C6D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75</Pages>
  <Words>28467</Words>
  <Characters>179347</Characters>
  <Application>Microsoft Office Word</Application>
  <DocSecurity>0</DocSecurity>
  <Lines>1494</Lines>
  <Paragraphs>414</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207400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18/19552</dc:title>
  <dc:creator>Schneider, Devin (Bay. Landtag)</dc:creator>
  <cp:lastModifiedBy>Finster, Bettina (Bay. Landtag)</cp:lastModifiedBy>
  <cp:revision>6</cp:revision>
  <cp:lastPrinted>2006-11-23T10:15:00Z</cp:lastPrinted>
  <dcterms:created xsi:type="dcterms:W3CDTF">2021-12-17T10:01:00Z</dcterms:created>
  <dcterms:modified xsi:type="dcterms:W3CDTF">2021-12-22T08:37:00Z</dcterms:modified>
</cp:coreProperties>
</file>