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CC7925">
        <w:rPr>
          <w:b/>
        </w:rPr>
        <w:t>zur Plenarsitzung am 23.11.2021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013B61" w:rsidP="00013B61">
            <w:pPr>
              <w:pStyle w:val="LTVerzDerFragenden"/>
            </w:pPr>
            <w:bookmarkStart w:id="1" w:name="VerzeichnisDerFragenden"/>
            <w:bookmarkEnd w:id="1"/>
            <w:r>
              <w:t>Adelt, Klaus (SPD)</w:t>
            </w:r>
          </w:p>
        </w:tc>
      </w:tr>
      <w:tr w:rsidR="00013B61" w:rsidRPr="005833DD" w:rsidTr="001F3CDA">
        <w:tc>
          <w:tcPr>
            <w:tcW w:w="5000" w:type="pct"/>
          </w:tcPr>
          <w:p w:rsidR="00013B61" w:rsidRDefault="008A35F1" w:rsidP="00013B61">
            <w:pPr>
              <w:pStyle w:val="LTVerzDerFragendenFrage"/>
            </w:pPr>
            <w:hyperlink w:anchor="Frage_Nr_2" w:tooltip="Frage Nr 2" w:history="1">
              <w:r w:rsidR="00013B61">
                <w:rPr>
                  <w:rStyle w:val="Hyperlink"/>
                  <w:szCs w:val="24"/>
                </w:rPr>
                <w:t>Polizei-Logistikzentrum in Hof</w:t>
              </w:r>
              <w:r w:rsidR="00013B61">
                <w:rPr>
                  <w:rStyle w:val="Hyperlink"/>
                  <w:szCs w:val="24"/>
                </w:rPr>
                <w:tab/>
                <w:t>2</w:t>
              </w:r>
            </w:hyperlink>
          </w:p>
        </w:tc>
      </w:tr>
      <w:tr w:rsidR="00013B61" w:rsidRPr="005833DD" w:rsidTr="001F3CDA">
        <w:tc>
          <w:tcPr>
            <w:tcW w:w="5000" w:type="pct"/>
          </w:tcPr>
          <w:p w:rsidR="00013B61" w:rsidRDefault="00013B61" w:rsidP="00013B61">
            <w:pPr>
              <w:pStyle w:val="LTVerzDerFragenden"/>
            </w:pPr>
            <w:r>
              <w:t>Adjei, Benjamin (BÜNDNIS 90/DIE GRÜNEN)</w:t>
            </w:r>
          </w:p>
        </w:tc>
      </w:tr>
      <w:tr w:rsidR="00013B61" w:rsidRPr="005833DD" w:rsidTr="001F3CDA">
        <w:tc>
          <w:tcPr>
            <w:tcW w:w="5000" w:type="pct"/>
          </w:tcPr>
          <w:p w:rsidR="00013B61" w:rsidRDefault="008A35F1" w:rsidP="00013B61">
            <w:pPr>
              <w:pStyle w:val="LTVerzDerFragendenFrage"/>
            </w:pPr>
            <w:hyperlink w:anchor="Frage_Nr_56" w:tooltip="Frage Nr 56" w:history="1">
              <w:r w:rsidR="00013B61">
                <w:rPr>
                  <w:rStyle w:val="Hyperlink"/>
                  <w:szCs w:val="24"/>
                </w:rPr>
                <w:t>Boosterimpfungen in München</w:t>
              </w:r>
              <w:r w:rsidR="00013B61">
                <w:rPr>
                  <w:rStyle w:val="Hyperlink"/>
                  <w:szCs w:val="24"/>
                </w:rPr>
                <w:tab/>
                <w:t>56</w:t>
              </w:r>
            </w:hyperlink>
          </w:p>
        </w:tc>
      </w:tr>
      <w:tr w:rsidR="00013B61" w:rsidRPr="005833DD" w:rsidTr="001F3CDA">
        <w:tc>
          <w:tcPr>
            <w:tcW w:w="5000" w:type="pct"/>
          </w:tcPr>
          <w:p w:rsidR="00013B61" w:rsidRDefault="00013B61" w:rsidP="00013B61">
            <w:pPr>
              <w:pStyle w:val="LTVerzDerFragenden"/>
            </w:pPr>
            <w:r>
              <w:t>Arnold, Horst (SPD)</w:t>
            </w:r>
          </w:p>
        </w:tc>
      </w:tr>
      <w:tr w:rsidR="00013B61" w:rsidRPr="005833DD" w:rsidTr="001F3CDA">
        <w:tc>
          <w:tcPr>
            <w:tcW w:w="5000" w:type="pct"/>
          </w:tcPr>
          <w:p w:rsidR="00013B61" w:rsidRDefault="008A35F1" w:rsidP="00013B61">
            <w:pPr>
              <w:pStyle w:val="LTVerzDerFragendenFrage"/>
            </w:pPr>
            <w:hyperlink w:anchor="Frage_Nr_45" w:tooltip="Frage Nr 45" w:history="1">
              <w:r w:rsidR="00013B61">
                <w:rPr>
                  <w:rStyle w:val="Hyperlink"/>
                  <w:szCs w:val="24"/>
                </w:rPr>
                <w:t>Sachstand Messstellen in Bayern Düngeverordnung</w:t>
              </w:r>
              <w:r w:rsidR="00013B61">
                <w:rPr>
                  <w:rStyle w:val="Hyperlink"/>
                  <w:szCs w:val="24"/>
                </w:rPr>
                <w:tab/>
                <w:t>45</w:t>
              </w:r>
            </w:hyperlink>
          </w:p>
        </w:tc>
      </w:tr>
      <w:tr w:rsidR="00013B61" w:rsidRPr="005833DD" w:rsidTr="001F3CDA">
        <w:tc>
          <w:tcPr>
            <w:tcW w:w="5000" w:type="pct"/>
          </w:tcPr>
          <w:p w:rsidR="00013B61" w:rsidRDefault="00013B61" w:rsidP="00013B61">
            <w:pPr>
              <w:pStyle w:val="LTVerzDerFragenden"/>
            </w:pPr>
            <w:r>
              <w:t>Aures, Inge (SPD)</w:t>
            </w:r>
          </w:p>
        </w:tc>
      </w:tr>
      <w:tr w:rsidR="00013B61" w:rsidRPr="005833DD" w:rsidTr="001F3CDA">
        <w:tc>
          <w:tcPr>
            <w:tcW w:w="5000" w:type="pct"/>
          </w:tcPr>
          <w:p w:rsidR="00013B61" w:rsidRDefault="008A35F1" w:rsidP="00013B61">
            <w:pPr>
              <w:pStyle w:val="LTVerzDerFragendenFrage"/>
            </w:pPr>
            <w:hyperlink w:anchor="Frage_Nr_3" w:tooltip="Frage Nr 3" w:history="1">
              <w:r w:rsidR="00013B61">
                <w:rPr>
                  <w:rStyle w:val="Hyperlink"/>
                  <w:szCs w:val="24"/>
                </w:rPr>
                <w:t>Sanierung der Grenzpolizeiinspektion Selb</w:t>
              </w:r>
              <w:r w:rsidR="00013B61">
                <w:rPr>
                  <w:rStyle w:val="Hyperlink"/>
                  <w:szCs w:val="24"/>
                </w:rPr>
                <w:tab/>
                <w:t>3</w:t>
              </w:r>
            </w:hyperlink>
          </w:p>
        </w:tc>
      </w:tr>
      <w:tr w:rsidR="00013B61" w:rsidRPr="005833DD" w:rsidTr="001F3CDA">
        <w:tc>
          <w:tcPr>
            <w:tcW w:w="5000" w:type="pct"/>
          </w:tcPr>
          <w:p w:rsidR="00013B61" w:rsidRDefault="00013B61" w:rsidP="00013B61">
            <w:pPr>
              <w:pStyle w:val="LTVerzDerFragenden"/>
            </w:pPr>
            <w:r>
              <w:t>Bayerbach, Markus (AfD)</w:t>
            </w:r>
          </w:p>
        </w:tc>
      </w:tr>
      <w:tr w:rsidR="00013B61" w:rsidRPr="005833DD" w:rsidTr="001F3CDA">
        <w:tc>
          <w:tcPr>
            <w:tcW w:w="5000" w:type="pct"/>
          </w:tcPr>
          <w:p w:rsidR="00013B61" w:rsidRDefault="008A35F1" w:rsidP="00013B61">
            <w:pPr>
              <w:pStyle w:val="LTVerzDerFragendenFrage"/>
            </w:pPr>
            <w:hyperlink w:anchor="Frage_Nr_23" w:tooltip="Frage Nr 23" w:history="1">
              <w:r w:rsidR="00013B61">
                <w:rPr>
                  <w:rStyle w:val="Hyperlink"/>
                  <w:szCs w:val="24"/>
                </w:rPr>
                <w:t>Flexibilisierung der Regelungen zum Vorrücken auf Probe und Wiederholen</w:t>
              </w:r>
              <w:r w:rsidR="00013B61">
                <w:rPr>
                  <w:rStyle w:val="Hyperlink"/>
                  <w:szCs w:val="24"/>
                </w:rPr>
                <w:tab/>
                <w:t>23</w:t>
              </w:r>
            </w:hyperlink>
          </w:p>
        </w:tc>
      </w:tr>
      <w:tr w:rsidR="00013B61" w:rsidRPr="005833DD" w:rsidTr="001F3CDA">
        <w:tc>
          <w:tcPr>
            <w:tcW w:w="5000" w:type="pct"/>
          </w:tcPr>
          <w:p w:rsidR="00013B61" w:rsidRDefault="00013B61" w:rsidP="00013B61">
            <w:pPr>
              <w:pStyle w:val="LTVerzDerFragenden"/>
            </w:pPr>
            <w:r>
              <w:t>Becher, Johannes (BÜNDNIS 90/DIE GRÜNEN)</w:t>
            </w:r>
          </w:p>
        </w:tc>
      </w:tr>
      <w:tr w:rsidR="00013B61" w:rsidRPr="005833DD" w:rsidTr="001F3CDA">
        <w:tc>
          <w:tcPr>
            <w:tcW w:w="5000" w:type="pct"/>
          </w:tcPr>
          <w:p w:rsidR="00013B61" w:rsidRDefault="008A35F1" w:rsidP="00013B61">
            <w:pPr>
              <w:pStyle w:val="LTVerzDerFragendenFrage"/>
            </w:pPr>
            <w:hyperlink w:anchor="Frage_Nr_36" w:tooltip="Frage Nr 36" w:history="1">
              <w:r w:rsidR="00013B61">
                <w:rPr>
                  <w:rStyle w:val="Hyperlink"/>
                  <w:szCs w:val="24"/>
                </w:rPr>
                <w:t>Verkehrsgutachten zur geplanten Eventhalle am Flughafen München</w:t>
              </w:r>
              <w:r w:rsidR="00013B61">
                <w:rPr>
                  <w:rStyle w:val="Hyperlink"/>
                  <w:szCs w:val="24"/>
                </w:rPr>
                <w:tab/>
                <w:t>36</w:t>
              </w:r>
            </w:hyperlink>
          </w:p>
        </w:tc>
      </w:tr>
      <w:tr w:rsidR="00013B61" w:rsidRPr="005833DD" w:rsidTr="001F3CDA">
        <w:tc>
          <w:tcPr>
            <w:tcW w:w="5000" w:type="pct"/>
          </w:tcPr>
          <w:p w:rsidR="00013B61" w:rsidRDefault="00013B61" w:rsidP="00013B61">
            <w:pPr>
              <w:pStyle w:val="LTVerzDerFragenden"/>
            </w:pPr>
            <w:r>
              <w:t>Bergmüller, Franz (AfD)</w:t>
            </w:r>
          </w:p>
        </w:tc>
      </w:tr>
      <w:tr w:rsidR="00013B61" w:rsidRPr="005833DD" w:rsidTr="001F3CDA">
        <w:tc>
          <w:tcPr>
            <w:tcW w:w="5000" w:type="pct"/>
          </w:tcPr>
          <w:p w:rsidR="00013B61" w:rsidRDefault="008A35F1" w:rsidP="00013B61">
            <w:pPr>
              <w:pStyle w:val="LTVerzDerFragendenFrage"/>
            </w:pPr>
            <w:hyperlink w:anchor="Frage_Nr_57" w:tooltip="Frage Nr 57" w:history="1">
              <w:r w:rsidR="00013B61">
                <w:rPr>
                  <w:rStyle w:val="Hyperlink"/>
                  <w:szCs w:val="24"/>
                </w:rPr>
                <w:t xml:space="preserve">Zusammensetzung und Ermittlung der </w:t>
              </w:r>
              <w:r w:rsidR="00E832CF">
                <w:rPr>
                  <w:rStyle w:val="Hyperlink"/>
                  <w:szCs w:val="24"/>
                </w:rPr>
                <w:t>„</w:t>
              </w:r>
              <w:r w:rsidR="00013B61">
                <w:rPr>
                  <w:rStyle w:val="Hyperlink"/>
                  <w:szCs w:val="24"/>
                </w:rPr>
                <w:t>Hospitalisierungs-Indizes</w:t>
              </w:r>
              <w:r w:rsidR="00E832CF">
                <w:rPr>
                  <w:rStyle w:val="Hyperlink"/>
                  <w:szCs w:val="24"/>
                </w:rPr>
                <w:t>“</w:t>
              </w:r>
              <w:r w:rsidR="00013B61">
                <w:rPr>
                  <w:rStyle w:val="Hyperlink"/>
                  <w:szCs w:val="24"/>
                </w:rPr>
                <w:t xml:space="preserve"> für </w:t>
              </w:r>
              <w:r w:rsidR="004A31CB">
                <w:rPr>
                  <w:rStyle w:val="Hyperlink"/>
                  <w:szCs w:val="24"/>
                </w:rPr>
                <w:br/>
              </w:r>
              <w:r w:rsidR="00013B61">
                <w:rPr>
                  <w:rStyle w:val="Hyperlink"/>
                  <w:szCs w:val="24"/>
                </w:rPr>
                <w:t>Geimpfte / Ungeimpfte</w:t>
              </w:r>
              <w:r w:rsidR="00013B61">
                <w:rPr>
                  <w:rStyle w:val="Hyperlink"/>
                  <w:szCs w:val="24"/>
                </w:rPr>
                <w:tab/>
                <w:t>57</w:t>
              </w:r>
            </w:hyperlink>
          </w:p>
        </w:tc>
      </w:tr>
      <w:tr w:rsidR="00013B61" w:rsidRPr="005833DD" w:rsidTr="001F3CDA">
        <w:tc>
          <w:tcPr>
            <w:tcW w:w="5000" w:type="pct"/>
          </w:tcPr>
          <w:p w:rsidR="00013B61" w:rsidRDefault="004A31CB" w:rsidP="00013B61">
            <w:pPr>
              <w:pStyle w:val="LTVerzDerFragenden"/>
            </w:pPr>
            <w:r>
              <w:t>Bozo</w:t>
            </w:r>
            <w:r>
              <w:rPr>
                <w:rFonts w:cs="Arial"/>
              </w:rPr>
              <w:t>ğ</w:t>
            </w:r>
            <w:r w:rsidR="00013B61">
              <w:t>lu, Cemal (BÜNDNIS 90/DIE GRÜNEN)</w:t>
            </w:r>
          </w:p>
        </w:tc>
      </w:tr>
      <w:tr w:rsidR="00013B61" w:rsidRPr="005833DD" w:rsidTr="001F3CDA">
        <w:tc>
          <w:tcPr>
            <w:tcW w:w="5000" w:type="pct"/>
          </w:tcPr>
          <w:p w:rsidR="00013B61" w:rsidRDefault="008A35F1" w:rsidP="00013B61">
            <w:pPr>
              <w:pStyle w:val="LTVerzDerFragendenFrage"/>
            </w:pPr>
            <w:hyperlink w:anchor="Frage_Nr_4" w:tooltip="Frage Nr 4" w:history="1">
              <w:r w:rsidR="00013B61">
                <w:rPr>
                  <w:rStyle w:val="Hyperlink"/>
                  <w:szCs w:val="24"/>
                </w:rPr>
                <w:t xml:space="preserve">Teilnahme von Rechtsextremen bei der offiziellen Veranstaltung zum </w:t>
              </w:r>
              <w:r w:rsidR="004A31CB">
                <w:rPr>
                  <w:rStyle w:val="Hyperlink"/>
                  <w:szCs w:val="24"/>
                </w:rPr>
                <w:br/>
              </w:r>
              <w:r w:rsidR="00013B61">
                <w:rPr>
                  <w:rStyle w:val="Hyperlink"/>
                  <w:szCs w:val="24"/>
                </w:rPr>
                <w:t>Volkstrauertag in München</w:t>
              </w:r>
              <w:r w:rsidR="00013B61">
                <w:rPr>
                  <w:rStyle w:val="Hyperlink"/>
                  <w:szCs w:val="24"/>
                </w:rPr>
                <w:tab/>
                <w:t>4</w:t>
              </w:r>
            </w:hyperlink>
          </w:p>
        </w:tc>
      </w:tr>
      <w:tr w:rsidR="00013B61" w:rsidRPr="005833DD" w:rsidTr="001F3CDA">
        <w:tc>
          <w:tcPr>
            <w:tcW w:w="5000" w:type="pct"/>
          </w:tcPr>
          <w:p w:rsidR="00013B61" w:rsidRDefault="004A31CB" w:rsidP="00013B61">
            <w:pPr>
              <w:pStyle w:val="LTVerzDerFragenden"/>
            </w:pPr>
            <w:r>
              <w:t xml:space="preserve">von </w:t>
            </w:r>
            <w:r w:rsidR="00013B61">
              <w:t>Brunn, Florian (SPD)</w:t>
            </w:r>
          </w:p>
        </w:tc>
      </w:tr>
      <w:tr w:rsidR="00013B61" w:rsidRPr="005833DD" w:rsidTr="001F3CDA">
        <w:tc>
          <w:tcPr>
            <w:tcW w:w="5000" w:type="pct"/>
          </w:tcPr>
          <w:p w:rsidR="00013B61" w:rsidRDefault="008A35F1" w:rsidP="00013B61">
            <w:pPr>
              <w:pStyle w:val="LTVerzDerFragendenFrage"/>
            </w:pPr>
            <w:hyperlink w:anchor="Frage_Nr_58" w:tooltip="Frage Nr 58" w:history="1">
              <w:r w:rsidR="00013B61">
                <w:rPr>
                  <w:rStyle w:val="Hyperlink"/>
                  <w:szCs w:val="24"/>
                </w:rPr>
                <w:t>Auswirkungen von COVID-19 auf Kinder und Jugendliche in Bayern</w:t>
              </w:r>
              <w:r w:rsidR="00013B61">
                <w:rPr>
                  <w:rStyle w:val="Hyperlink"/>
                  <w:szCs w:val="24"/>
                </w:rPr>
                <w:tab/>
                <w:t>58</w:t>
              </w:r>
            </w:hyperlink>
          </w:p>
        </w:tc>
      </w:tr>
      <w:tr w:rsidR="00013B61" w:rsidRPr="005833DD" w:rsidTr="001F3CDA">
        <w:tc>
          <w:tcPr>
            <w:tcW w:w="5000" w:type="pct"/>
          </w:tcPr>
          <w:p w:rsidR="00013B61" w:rsidRDefault="00013B61" w:rsidP="00013B61">
            <w:pPr>
              <w:pStyle w:val="LTVerzDerFragenden"/>
            </w:pPr>
            <w:r>
              <w:t>Busch, Michael (SPD)</w:t>
            </w:r>
          </w:p>
        </w:tc>
      </w:tr>
      <w:tr w:rsidR="00013B61" w:rsidRPr="005833DD" w:rsidTr="001F3CDA">
        <w:tc>
          <w:tcPr>
            <w:tcW w:w="5000" w:type="pct"/>
          </w:tcPr>
          <w:p w:rsidR="00013B61" w:rsidRDefault="008A35F1" w:rsidP="00013B61">
            <w:pPr>
              <w:pStyle w:val="LTVerzDerFragendenFrage"/>
            </w:pPr>
            <w:hyperlink w:anchor="Frage_Nr_16" w:tooltip="Frage Nr 16" w:history="1">
              <w:r w:rsidR="00013B61">
                <w:rPr>
                  <w:rStyle w:val="Hyperlink"/>
                  <w:szCs w:val="24"/>
                </w:rPr>
                <w:t>Anpassung der 10H-Regelung</w:t>
              </w:r>
              <w:r w:rsidR="00013B61">
                <w:rPr>
                  <w:rStyle w:val="Hyperlink"/>
                  <w:szCs w:val="24"/>
                </w:rPr>
                <w:tab/>
                <w:t>16</w:t>
              </w:r>
            </w:hyperlink>
          </w:p>
        </w:tc>
      </w:tr>
      <w:tr w:rsidR="00013B61" w:rsidRPr="005833DD" w:rsidTr="001F3CDA">
        <w:tc>
          <w:tcPr>
            <w:tcW w:w="5000" w:type="pct"/>
          </w:tcPr>
          <w:p w:rsidR="00013B61" w:rsidRDefault="00013B61" w:rsidP="00013B61">
            <w:pPr>
              <w:pStyle w:val="LTVerzDerFragenden"/>
            </w:pPr>
            <w:r>
              <w:t>Celina, Kerstin (BÜNDNIS 90/DIE GRÜNEN)</w:t>
            </w:r>
          </w:p>
        </w:tc>
      </w:tr>
      <w:tr w:rsidR="00013B61" w:rsidRPr="005833DD" w:rsidTr="001F3CDA">
        <w:tc>
          <w:tcPr>
            <w:tcW w:w="5000" w:type="pct"/>
          </w:tcPr>
          <w:p w:rsidR="00013B61" w:rsidRDefault="008A35F1" w:rsidP="00013B61">
            <w:pPr>
              <w:pStyle w:val="LTVerzDerFragendenFrage"/>
            </w:pPr>
            <w:hyperlink w:anchor="Frage_Nr_24" w:tooltip="Frage Nr 24" w:history="1">
              <w:r w:rsidR="00013B61">
                <w:rPr>
                  <w:rStyle w:val="Hyperlink"/>
                  <w:szCs w:val="24"/>
                </w:rPr>
                <w:t>Impfaktionen an Schulen in Unterfranken</w:t>
              </w:r>
              <w:r w:rsidR="00013B61">
                <w:rPr>
                  <w:rStyle w:val="Hyperlink"/>
                  <w:szCs w:val="24"/>
                </w:rPr>
                <w:tab/>
                <w:t>24</w:t>
              </w:r>
            </w:hyperlink>
          </w:p>
        </w:tc>
      </w:tr>
      <w:tr w:rsidR="00013B61" w:rsidRPr="005833DD" w:rsidTr="001F3CDA">
        <w:tc>
          <w:tcPr>
            <w:tcW w:w="5000" w:type="pct"/>
          </w:tcPr>
          <w:p w:rsidR="00013B61" w:rsidRDefault="00013B61" w:rsidP="00013B61">
            <w:pPr>
              <w:pStyle w:val="LTVerzDerFragenden"/>
            </w:pPr>
            <w:r>
              <w:t>Dr. Cyron, Anne (AfD)</w:t>
            </w:r>
          </w:p>
        </w:tc>
      </w:tr>
      <w:tr w:rsidR="00013B61" w:rsidRPr="005833DD" w:rsidTr="001F3CDA">
        <w:tc>
          <w:tcPr>
            <w:tcW w:w="5000" w:type="pct"/>
          </w:tcPr>
          <w:p w:rsidR="00013B61" w:rsidRDefault="008A35F1" w:rsidP="00013B61">
            <w:pPr>
              <w:pStyle w:val="LTVerzDerFragendenFrage"/>
            </w:pPr>
            <w:hyperlink w:anchor="Frage_Nr_59" w:tooltip="Frage Nr 59" w:history="1">
              <w:r w:rsidR="00013B61">
                <w:rPr>
                  <w:rStyle w:val="Hyperlink"/>
                  <w:szCs w:val="24"/>
                </w:rPr>
                <w:t>Impfunfähigkeit und 2G-Regel</w:t>
              </w:r>
              <w:r w:rsidR="00013B61">
                <w:rPr>
                  <w:rStyle w:val="Hyperlink"/>
                  <w:szCs w:val="24"/>
                </w:rPr>
                <w:tab/>
                <w:t>59</w:t>
              </w:r>
            </w:hyperlink>
          </w:p>
        </w:tc>
      </w:tr>
      <w:tr w:rsidR="00013B61" w:rsidRPr="005833DD" w:rsidTr="001F3CDA">
        <w:tc>
          <w:tcPr>
            <w:tcW w:w="5000" w:type="pct"/>
          </w:tcPr>
          <w:p w:rsidR="00013B61" w:rsidRDefault="00013B61" w:rsidP="00013B61">
            <w:pPr>
              <w:pStyle w:val="LTVerzDerFragenden"/>
            </w:pPr>
            <w:r>
              <w:t>Deisenhofer, Maximilian (BÜNDNIS 90/DIE GRÜNEN)</w:t>
            </w:r>
          </w:p>
        </w:tc>
      </w:tr>
      <w:tr w:rsidR="00013B61" w:rsidRPr="005833DD" w:rsidTr="001F3CDA">
        <w:tc>
          <w:tcPr>
            <w:tcW w:w="5000" w:type="pct"/>
          </w:tcPr>
          <w:p w:rsidR="00013B61" w:rsidRDefault="008A35F1" w:rsidP="00013B61">
            <w:pPr>
              <w:pStyle w:val="LTVerzDerFragendenFrage"/>
            </w:pPr>
            <w:hyperlink w:anchor="Frage_Nr_25" w:tooltip="Frage Nr 25" w:history="1">
              <w:r w:rsidR="00013B61">
                <w:rPr>
                  <w:rStyle w:val="Hyperlink"/>
                  <w:szCs w:val="24"/>
                </w:rPr>
                <w:t>Teilnahme Lehrkräfte an e-Sessions zu digitaler Bildung</w:t>
              </w:r>
              <w:r w:rsidR="00013B61">
                <w:rPr>
                  <w:rStyle w:val="Hyperlink"/>
                  <w:szCs w:val="24"/>
                </w:rPr>
                <w:tab/>
                <w:t>25</w:t>
              </w:r>
            </w:hyperlink>
          </w:p>
        </w:tc>
      </w:tr>
      <w:tr w:rsidR="00013B61" w:rsidRPr="005833DD" w:rsidTr="001F3CDA">
        <w:tc>
          <w:tcPr>
            <w:tcW w:w="5000" w:type="pct"/>
          </w:tcPr>
          <w:p w:rsidR="00013B61" w:rsidRDefault="00013B61" w:rsidP="00013B61">
            <w:pPr>
              <w:pStyle w:val="LTVerzDerFragenden"/>
            </w:pPr>
            <w:r>
              <w:t>Demirel, Gülseren (BÜNDNIS 90/DIE GRÜNEN)</w:t>
            </w:r>
          </w:p>
        </w:tc>
      </w:tr>
      <w:tr w:rsidR="00013B61" w:rsidRPr="005833DD" w:rsidTr="001F3CDA">
        <w:tc>
          <w:tcPr>
            <w:tcW w:w="5000" w:type="pct"/>
          </w:tcPr>
          <w:p w:rsidR="00013B61" w:rsidRDefault="008A35F1" w:rsidP="00013B61">
            <w:pPr>
              <w:pStyle w:val="LTVerzDerFragendenFrage"/>
            </w:pPr>
            <w:hyperlink w:anchor="Frage_Nr_5" w:tooltip="Frage Nr 5" w:history="1">
              <w:r w:rsidR="00013B61">
                <w:rPr>
                  <w:rStyle w:val="Hyperlink"/>
                  <w:szCs w:val="24"/>
                </w:rPr>
                <w:t xml:space="preserve">Situation der Geflüchteten während der sog. vierten Welle der </w:t>
              </w:r>
              <w:r w:rsidR="004A31CB">
                <w:rPr>
                  <w:rStyle w:val="Hyperlink"/>
                  <w:szCs w:val="24"/>
                </w:rPr>
                <w:br/>
              </w:r>
              <w:r w:rsidR="00013B61">
                <w:rPr>
                  <w:rStyle w:val="Hyperlink"/>
                  <w:szCs w:val="24"/>
                </w:rPr>
                <w:t>Coronapandemie in Bayern</w:t>
              </w:r>
              <w:r w:rsidR="00013B61">
                <w:rPr>
                  <w:rStyle w:val="Hyperlink"/>
                  <w:szCs w:val="24"/>
                </w:rPr>
                <w:tab/>
                <w:t>5</w:t>
              </w:r>
            </w:hyperlink>
          </w:p>
        </w:tc>
      </w:tr>
      <w:tr w:rsidR="00013B61" w:rsidRPr="005833DD" w:rsidTr="001F3CDA">
        <w:tc>
          <w:tcPr>
            <w:tcW w:w="5000" w:type="pct"/>
          </w:tcPr>
          <w:p w:rsidR="00013B61" w:rsidRDefault="00013B61" w:rsidP="00013B61">
            <w:pPr>
              <w:pStyle w:val="LTVerzDerFragenden"/>
            </w:pPr>
            <w:r>
              <w:t>Duin, Albert (FDP)</w:t>
            </w:r>
          </w:p>
        </w:tc>
      </w:tr>
      <w:tr w:rsidR="00013B61" w:rsidRPr="005833DD" w:rsidTr="001F3CDA">
        <w:tc>
          <w:tcPr>
            <w:tcW w:w="5000" w:type="pct"/>
          </w:tcPr>
          <w:p w:rsidR="00013B61" w:rsidRDefault="008A35F1" w:rsidP="00013B61">
            <w:pPr>
              <w:pStyle w:val="LTVerzDerFragendenFrage"/>
            </w:pPr>
            <w:hyperlink w:anchor="Frage_Nr_39" w:tooltip="Frage Nr 39" w:history="1">
              <w:r w:rsidR="00013B61">
                <w:rPr>
                  <w:rStyle w:val="Hyperlink"/>
                  <w:szCs w:val="24"/>
                </w:rPr>
                <w:t>Hilfsprogramme für Lockdown-Betroffene</w:t>
              </w:r>
              <w:r w:rsidR="00013B61">
                <w:rPr>
                  <w:rStyle w:val="Hyperlink"/>
                  <w:szCs w:val="24"/>
                </w:rPr>
                <w:tab/>
                <w:t>39</w:t>
              </w:r>
            </w:hyperlink>
          </w:p>
        </w:tc>
      </w:tr>
      <w:tr w:rsidR="00013B61" w:rsidRPr="005833DD" w:rsidTr="001F3CDA">
        <w:tc>
          <w:tcPr>
            <w:tcW w:w="5000" w:type="pct"/>
          </w:tcPr>
          <w:p w:rsidR="00013B61" w:rsidRDefault="00013B61" w:rsidP="00013B61">
            <w:pPr>
              <w:pStyle w:val="LTVerzDerFragenden"/>
            </w:pPr>
            <w:r>
              <w:t>Ebner-Steiner, Katrin (AfD)</w:t>
            </w:r>
          </w:p>
        </w:tc>
      </w:tr>
      <w:tr w:rsidR="00013B61" w:rsidRPr="005833DD" w:rsidTr="001F3CDA">
        <w:tc>
          <w:tcPr>
            <w:tcW w:w="5000" w:type="pct"/>
          </w:tcPr>
          <w:p w:rsidR="00013B61" w:rsidRDefault="008A35F1" w:rsidP="00013B61">
            <w:pPr>
              <w:pStyle w:val="LTVerzDerFragendenFrage"/>
            </w:pPr>
            <w:hyperlink w:anchor="Frage_Nr_60" w:tooltip="Frage Nr 60" w:history="1">
              <w:r w:rsidR="00013B61">
                <w:rPr>
                  <w:rStyle w:val="Hyperlink"/>
                  <w:szCs w:val="24"/>
                </w:rPr>
                <w:t>Anzahl der Intensivbetten seit Beginn der sogenannten Coronapandemie</w:t>
              </w:r>
              <w:r w:rsidR="00013B61">
                <w:rPr>
                  <w:rStyle w:val="Hyperlink"/>
                  <w:szCs w:val="24"/>
                </w:rPr>
                <w:tab/>
                <w:t>60</w:t>
              </w:r>
            </w:hyperlink>
          </w:p>
        </w:tc>
      </w:tr>
      <w:tr w:rsidR="00013B61" w:rsidRPr="005833DD" w:rsidTr="001F3CDA">
        <w:tc>
          <w:tcPr>
            <w:tcW w:w="5000" w:type="pct"/>
          </w:tcPr>
          <w:p w:rsidR="00013B61" w:rsidRDefault="00013B61" w:rsidP="00013B61">
            <w:pPr>
              <w:pStyle w:val="LTVerzDerFragenden"/>
            </w:pPr>
            <w:r>
              <w:t>Fischbach, Matthias (FDP)</w:t>
            </w:r>
          </w:p>
        </w:tc>
      </w:tr>
      <w:tr w:rsidR="00013B61" w:rsidRPr="005833DD" w:rsidTr="001F3CDA">
        <w:tc>
          <w:tcPr>
            <w:tcW w:w="5000" w:type="pct"/>
          </w:tcPr>
          <w:p w:rsidR="00013B61" w:rsidRDefault="008A35F1" w:rsidP="00013B61">
            <w:pPr>
              <w:pStyle w:val="LTVerzDerFragendenFrage"/>
            </w:pPr>
            <w:hyperlink w:anchor="Frage_Nr_26" w:tooltip="Frage Nr 26" w:history="1">
              <w:r w:rsidR="00013B61">
                <w:rPr>
                  <w:rStyle w:val="Hyperlink"/>
                  <w:szCs w:val="24"/>
                </w:rPr>
                <w:t xml:space="preserve">Personaleinsatz im Rahmen des Förderprogramms </w:t>
              </w:r>
              <w:r w:rsidR="00E832CF">
                <w:rPr>
                  <w:rStyle w:val="Hyperlink"/>
                  <w:szCs w:val="24"/>
                </w:rPr>
                <w:t>„</w:t>
              </w:r>
              <w:r w:rsidR="00013B61">
                <w:rPr>
                  <w:rStyle w:val="Hyperlink"/>
                  <w:szCs w:val="24"/>
                </w:rPr>
                <w:t>gemeinsam.</w:t>
              </w:r>
              <w:r w:rsidR="004A31CB">
                <w:rPr>
                  <w:rStyle w:val="Hyperlink"/>
                  <w:szCs w:val="24"/>
                </w:rPr>
                <w:br/>
              </w:r>
              <w:r w:rsidR="00013B61">
                <w:rPr>
                  <w:rStyle w:val="Hyperlink"/>
                  <w:szCs w:val="24"/>
                </w:rPr>
                <w:t>Brücken.bauen</w:t>
              </w:r>
              <w:r w:rsidR="00E832CF">
                <w:rPr>
                  <w:rStyle w:val="Hyperlink"/>
                  <w:szCs w:val="24"/>
                </w:rPr>
                <w:t>“</w:t>
              </w:r>
              <w:r w:rsidR="00013B61">
                <w:rPr>
                  <w:rStyle w:val="Hyperlink"/>
                  <w:szCs w:val="24"/>
                </w:rPr>
                <w:tab/>
                <w:t>26</w:t>
              </w:r>
            </w:hyperlink>
          </w:p>
        </w:tc>
      </w:tr>
      <w:tr w:rsidR="00013B61" w:rsidRPr="005833DD" w:rsidTr="001F3CDA">
        <w:tc>
          <w:tcPr>
            <w:tcW w:w="5000" w:type="pct"/>
          </w:tcPr>
          <w:p w:rsidR="00013B61" w:rsidRDefault="00013B61" w:rsidP="00013B61">
            <w:pPr>
              <w:pStyle w:val="LTVerzDerFragenden"/>
            </w:pPr>
            <w:r>
              <w:t>Franke, Anne (BÜNDNIS 90/DIE GRÜNEN)</w:t>
            </w:r>
          </w:p>
        </w:tc>
      </w:tr>
      <w:tr w:rsidR="00013B61" w:rsidRPr="005833DD" w:rsidTr="001F3CDA">
        <w:tc>
          <w:tcPr>
            <w:tcW w:w="5000" w:type="pct"/>
          </w:tcPr>
          <w:p w:rsidR="00013B61" w:rsidRDefault="008A35F1" w:rsidP="00013B61">
            <w:pPr>
              <w:pStyle w:val="LTVerzDerFragendenFrage"/>
            </w:pPr>
            <w:hyperlink w:anchor="Frage_Nr_40" w:tooltip="Frage Nr 40" w:history="1">
              <w:r w:rsidR="00013B61">
                <w:rPr>
                  <w:rStyle w:val="Hyperlink"/>
                  <w:szCs w:val="24"/>
                </w:rPr>
                <w:t>Fördermittelvergabe durch Bayerisches Luftfahrtforschungsprogramm</w:t>
              </w:r>
              <w:r w:rsidR="00013B61">
                <w:rPr>
                  <w:rStyle w:val="Hyperlink"/>
                  <w:szCs w:val="24"/>
                </w:rPr>
                <w:tab/>
                <w:t>40</w:t>
              </w:r>
            </w:hyperlink>
          </w:p>
        </w:tc>
      </w:tr>
      <w:tr w:rsidR="00013B61" w:rsidRPr="005833DD" w:rsidTr="001F3CDA">
        <w:tc>
          <w:tcPr>
            <w:tcW w:w="5000" w:type="pct"/>
          </w:tcPr>
          <w:p w:rsidR="00013B61" w:rsidRDefault="00013B61" w:rsidP="00013B61">
            <w:pPr>
              <w:pStyle w:val="LTVerzDerFragenden"/>
            </w:pPr>
            <w:r>
              <w:t>Friedl, Patrick (BÜNDNIS 90/DIE GRÜNEN)</w:t>
            </w:r>
          </w:p>
        </w:tc>
      </w:tr>
      <w:tr w:rsidR="00013B61" w:rsidRPr="005833DD" w:rsidTr="001F3CDA">
        <w:tc>
          <w:tcPr>
            <w:tcW w:w="5000" w:type="pct"/>
          </w:tcPr>
          <w:p w:rsidR="00013B61" w:rsidRDefault="008A35F1" w:rsidP="00013B61">
            <w:pPr>
              <w:pStyle w:val="LTVerzDerFragendenFrage"/>
            </w:pPr>
            <w:hyperlink w:anchor="Frage_Nr_17" w:tooltip="Frage Nr 17" w:history="1">
              <w:r w:rsidR="00013B61">
                <w:rPr>
                  <w:rStyle w:val="Hyperlink"/>
                  <w:szCs w:val="24"/>
                </w:rPr>
                <w:t>Begrünung vo</w:t>
              </w:r>
              <w:r w:rsidR="004C13C6">
                <w:rPr>
                  <w:rStyle w:val="Hyperlink"/>
                  <w:szCs w:val="24"/>
                </w:rPr>
                <w:t>n Gebäudefassaden und -dächern –</w:t>
              </w:r>
              <w:r w:rsidR="00013B61">
                <w:rPr>
                  <w:rStyle w:val="Hyperlink"/>
                  <w:szCs w:val="24"/>
                </w:rPr>
                <w:t xml:space="preserve"> Umsetzung Volksbegehren zur Artenvielfalt</w:t>
              </w:r>
              <w:r w:rsidR="00013B61">
                <w:rPr>
                  <w:rStyle w:val="Hyperlink"/>
                  <w:szCs w:val="24"/>
                </w:rPr>
                <w:tab/>
                <w:t>17</w:t>
              </w:r>
            </w:hyperlink>
          </w:p>
        </w:tc>
      </w:tr>
      <w:tr w:rsidR="00013B61" w:rsidRPr="005833DD" w:rsidTr="001F3CDA">
        <w:tc>
          <w:tcPr>
            <w:tcW w:w="5000" w:type="pct"/>
          </w:tcPr>
          <w:p w:rsidR="00013B61" w:rsidRDefault="00013B61" w:rsidP="00013B61">
            <w:pPr>
              <w:pStyle w:val="LTVerzDerFragenden"/>
            </w:pPr>
            <w:r>
              <w:t>Fuchs, Barbara (BÜNDNIS 90/DIE GRÜNEN)</w:t>
            </w:r>
          </w:p>
        </w:tc>
      </w:tr>
      <w:tr w:rsidR="00013B61" w:rsidRPr="005833DD" w:rsidTr="001F3CDA">
        <w:tc>
          <w:tcPr>
            <w:tcW w:w="5000" w:type="pct"/>
          </w:tcPr>
          <w:p w:rsidR="00013B61" w:rsidRDefault="008A35F1" w:rsidP="00013B61">
            <w:pPr>
              <w:pStyle w:val="LTVerzDerFragendenFrage"/>
            </w:pPr>
            <w:hyperlink w:anchor="Frage_Nr_41" w:tooltip="Frage Nr 41" w:history="1">
              <w:r w:rsidR="00013B61">
                <w:rPr>
                  <w:rStyle w:val="Hyperlink"/>
                  <w:szCs w:val="24"/>
                </w:rPr>
                <w:t>Zukunftsprogramm für Augsburg</w:t>
              </w:r>
              <w:r w:rsidR="00013B61">
                <w:rPr>
                  <w:rStyle w:val="Hyperlink"/>
                  <w:szCs w:val="24"/>
                </w:rPr>
                <w:tab/>
                <w:t>41</w:t>
              </w:r>
            </w:hyperlink>
          </w:p>
        </w:tc>
      </w:tr>
      <w:tr w:rsidR="00013B61" w:rsidRPr="005833DD" w:rsidTr="001F3CDA">
        <w:tc>
          <w:tcPr>
            <w:tcW w:w="5000" w:type="pct"/>
          </w:tcPr>
          <w:p w:rsidR="00013B61" w:rsidRDefault="00013B61" w:rsidP="00013B61">
            <w:pPr>
              <w:pStyle w:val="LTVerzDerFragenden"/>
            </w:pPr>
            <w:r>
              <w:t>Gehring, Thomas (BÜNDNIS 90/DIE GRÜNEN)</w:t>
            </w:r>
          </w:p>
        </w:tc>
      </w:tr>
      <w:tr w:rsidR="00013B61" w:rsidRPr="005833DD" w:rsidTr="001F3CDA">
        <w:tc>
          <w:tcPr>
            <w:tcW w:w="5000" w:type="pct"/>
          </w:tcPr>
          <w:p w:rsidR="00013B61" w:rsidRDefault="008A35F1" w:rsidP="00013B61">
            <w:pPr>
              <w:pStyle w:val="LTVerzDerFragendenFrage"/>
            </w:pPr>
            <w:hyperlink w:anchor="Frage_Nr_27" w:tooltip="Frage Nr 27" w:history="1">
              <w:r w:rsidR="00013B61">
                <w:rPr>
                  <w:rStyle w:val="Hyperlink"/>
                  <w:szCs w:val="24"/>
                </w:rPr>
                <w:t>Bezahlung der Aushilfslehrkräfte</w:t>
              </w:r>
              <w:r w:rsidR="00013B61">
                <w:rPr>
                  <w:rStyle w:val="Hyperlink"/>
                  <w:szCs w:val="24"/>
                </w:rPr>
                <w:tab/>
                <w:t>27</w:t>
              </w:r>
            </w:hyperlink>
          </w:p>
        </w:tc>
      </w:tr>
      <w:tr w:rsidR="00013B61" w:rsidRPr="005833DD" w:rsidTr="001F3CDA">
        <w:tc>
          <w:tcPr>
            <w:tcW w:w="5000" w:type="pct"/>
          </w:tcPr>
          <w:p w:rsidR="00013B61" w:rsidRDefault="00013B61" w:rsidP="00013B61">
            <w:pPr>
              <w:pStyle w:val="LTVerzDerFragenden"/>
            </w:pPr>
            <w:r>
              <w:t>Güller, Harald (SPD)</w:t>
            </w:r>
          </w:p>
        </w:tc>
      </w:tr>
      <w:tr w:rsidR="00013B61" w:rsidRPr="005833DD" w:rsidTr="001F3CDA">
        <w:tc>
          <w:tcPr>
            <w:tcW w:w="5000" w:type="pct"/>
          </w:tcPr>
          <w:p w:rsidR="00013B61" w:rsidRDefault="008A35F1" w:rsidP="00013B61">
            <w:pPr>
              <w:pStyle w:val="LTVerzDerFragendenFrage"/>
            </w:pPr>
            <w:hyperlink w:anchor="Frage_Nr_61" w:tooltip="Frage Nr 61" w:history="1">
              <w:r w:rsidR="00013B61">
                <w:rPr>
                  <w:rStyle w:val="Hyperlink"/>
                  <w:szCs w:val="24"/>
                </w:rPr>
                <w:t>Besucherkapazitäten bei Kultur- und Sportveranstaltungen</w:t>
              </w:r>
              <w:r w:rsidR="00013B61">
                <w:rPr>
                  <w:rStyle w:val="Hyperlink"/>
                  <w:szCs w:val="24"/>
                </w:rPr>
                <w:tab/>
                <w:t>61</w:t>
              </w:r>
            </w:hyperlink>
          </w:p>
        </w:tc>
      </w:tr>
      <w:tr w:rsidR="00013B61" w:rsidRPr="005833DD" w:rsidTr="001F3CDA">
        <w:tc>
          <w:tcPr>
            <w:tcW w:w="5000" w:type="pct"/>
          </w:tcPr>
          <w:p w:rsidR="00013B61" w:rsidRDefault="00013B61" w:rsidP="00013B61">
            <w:pPr>
              <w:pStyle w:val="LTVerzDerFragenden"/>
            </w:pPr>
            <w:r>
              <w:t>Hagen, Martin (FDP)</w:t>
            </w:r>
          </w:p>
        </w:tc>
      </w:tr>
      <w:tr w:rsidR="00013B61" w:rsidRPr="005833DD" w:rsidTr="001F3CDA">
        <w:tc>
          <w:tcPr>
            <w:tcW w:w="5000" w:type="pct"/>
          </w:tcPr>
          <w:p w:rsidR="00013B61" w:rsidRDefault="008A35F1" w:rsidP="00013B61">
            <w:pPr>
              <w:pStyle w:val="LTVerzDerFragendenFrage"/>
            </w:pPr>
            <w:hyperlink w:anchor="Frage_Nr_37" w:tooltip="Frage Nr 37" w:history="1">
              <w:r w:rsidR="00013B61">
                <w:rPr>
                  <w:rStyle w:val="Hyperlink"/>
                  <w:szCs w:val="24"/>
                </w:rPr>
                <w:t>Landessamt für Steuern und Staatsanwaltschaft München</w:t>
              </w:r>
              <w:r w:rsidR="00013B61">
                <w:rPr>
                  <w:rStyle w:val="Hyperlink"/>
                  <w:szCs w:val="24"/>
                </w:rPr>
                <w:tab/>
                <w:t>37</w:t>
              </w:r>
            </w:hyperlink>
          </w:p>
        </w:tc>
      </w:tr>
      <w:tr w:rsidR="00013B61" w:rsidRPr="005833DD" w:rsidTr="001F3CDA">
        <w:tc>
          <w:tcPr>
            <w:tcW w:w="5000" w:type="pct"/>
          </w:tcPr>
          <w:p w:rsidR="00013B61" w:rsidRDefault="00013B61" w:rsidP="00013B61">
            <w:pPr>
              <w:pStyle w:val="LTVerzDerFragenden"/>
            </w:pPr>
            <w:r>
              <w:t>Prof. Dr. Hahn, Ingo (AfD)</w:t>
            </w:r>
          </w:p>
        </w:tc>
      </w:tr>
      <w:tr w:rsidR="00013B61" w:rsidRPr="005833DD" w:rsidTr="001F3CDA">
        <w:tc>
          <w:tcPr>
            <w:tcW w:w="5000" w:type="pct"/>
          </w:tcPr>
          <w:p w:rsidR="00013B61" w:rsidRDefault="008A35F1" w:rsidP="00013B61">
            <w:pPr>
              <w:pStyle w:val="LTVerzDerFragendenFrage"/>
            </w:pPr>
            <w:hyperlink w:anchor="Frage_Nr_62" w:tooltip="Frage Nr 62" w:history="1">
              <w:r w:rsidR="00013B61">
                <w:rPr>
                  <w:rStyle w:val="Hyperlink"/>
                  <w:szCs w:val="24"/>
                </w:rPr>
                <w:t>Totimpfstoff gegen COVID-19</w:t>
              </w:r>
              <w:r w:rsidR="00013B61">
                <w:rPr>
                  <w:rStyle w:val="Hyperlink"/>
                  <w:szCs w:val="24"/>
                </w:rPr>
                <w:tab/>
                <w:t>62</w:t>
              </w:r>
            </w:hyperlink>
          </w:p>
        </w:tc>
      </w:tr>
      <w:tr w:rsidR="00013B61" w:rsidRPr="005833DD" w:rsidTr="001F3CDA">
        <w:tc>
          <w:tcPr>
            <w:tcW w:w="5000" w:type="pct"/>
          </w:tcPr>
          <w:p w:rsidR="00013B61" w:rsidRDefault="00013B61" w:rsidP="00013B61">
            <w:pPr>
              <w:pStyle w:val="LTVerzDerFragenden"/>
            </w:pPr>
            <w:r>
              <w:t>Halbleib, Volkmar (SPD)</w:t>
            </w:r>
          </w:p>
        </w:tc>
      </w:tr>
      <w:tr w:rsidR="00013B61" w:rsidRPr="005833DD" w:rsidTr="001F3CDA">
        <w:tc>
          <w:tcPr>
            <w:tcW w:w="5000" w:type="pct"/>
          </w:tcPr>
          <w:p w:rsidR="00013B61" w:rsidRDefault="008A35F1" w:rsidP="00013B61">
            <w:pPr>
              <w:pStyle w:val="LTVerzDerFragendenFrage"/>
            </w:pPr>
            <w:hyperlink w:anchor="Frage_Nr_63" w:tooltip="Frage Nr 63" w:history="1">
              <w:r w:rsidR="00013B61">
                <w:rPr>
                  <w:rStyle w:val="Hyperlink"/>
                  <w:szCs w:val="24"/>
                </w:rPr>
                <w:t xml:space="preserve">Berichterstattung des Bayerischen Rundfunks und Untersuchung der </w:t>
              </w:r>
              <w:r w:rsidR="004A31CB">
                <w:rPr>
                  <w:rStyle w:val="Hyperlink"/>
                  <w:szCs w:val="24"/>
                </w:rPr>
                <w:br/>
              </w:r>
              <w:r w:rsidR="00013B61">
                <w:rPr>
                  <w:rStyle w:val="Hyperlink"/>
                  <w:szCs w:val="24"/>
                </w:rPr>
                <w:t>TU Dresden zu Rückständen von Drogen im Abwasser</w:t>
              </w:r>
              <w:r w:rsidR="00013B61">
                <w:rPr>
                  <w:rStyle w:val="Hyperlink"/>
                  <w:szCs w:val="24"/>
                </w:rPr>
                <w:tab/>
                <w:t>63</w:t>
              </w:r>
            </w:hyperlink>
          </w:p>
        </w:tc>
      </w:tr>
      <w:tr w:rsidR="00013B61" w:rsidRPr="005833DD" w:rsidTr="001F3CDA">
        <w:tc>
          <w:tcPr>
            <w:tcW w:w="5000" w:type="pct"/>
          </w:tcPr>
          <w:p w:rsidR="00013B61" w:rsidRDefault="00013B61" w:rsidP="00013B61">
            <w:pPr>
              <w:pStyle w:val="LTVerzDerFragenden"/>
            </w:pPr>
            <w:r>
              <w:t>Hartmann, Ludwig (BÜNDNIS 90/DIE GRÜNEN)</w:t>
            </w:r>
          </w:p>
        </w:tc>
      </w:tr>
      <w:tr w:rsidR="00013B61" w:rsidRPr="005833DD" w:rsidTr="001F3CDA">
        <w:tc>
          <w:tcPr>
            <w:tcW w:w="5000" w:type="pct"/>
          </w:tcPr>
          <w:p w:rsidR="00013B61" w:rsidRDefault="008A35F1" w:rsidP="00013B61">
            <w:pPr>
              <w:pStyle w:val="LTVerzDerFragendenFrage"/>
            </w:pPr>
            <w:hyperlink w:anchor="Frage_Nr_50" w:tooltip="Frage Nr 50" w:history="1">
              <w:r w:rsidR="00013B61">
                <w:rPr>
                  <w:rStyle w:val="Hyperlink"/>
                  <w:szCs w:val="24"/>
                </w:rPr>
                <w:t>Flächenvergabe Staatsgut Achselschwang</w:t>
              </w:r>
              <w:r w:rsidR="00013B61">
                <w:rPr>
                  <w:rStyle w:val="Hyperlink"/>
                  <w:szCs w:val="24"/>
                </w:rPr>
                <w:tab/>
                <w:t>50</w:t>
              </w:r>
            </w:hyperlink>
          </w:p>
        </w:tc>
      </w:tr>
      <w:tr w:rsidR="00013B61" w:rsidRPr="005833DD" w:rsidTr="001F3CDA">
        <w:tc>
          <w:tcPr>
            <w:tcW w:w="5000" w:type="pct"/>
          </w:tcPr>
          <w:p w:rsidR="00013B61" w:rsidRDefault="00013B61" w:rsidP="00013B61">
            <w:pPr>
              <w:pStyle w:val="LTVerzDerFragenden"/>
            </w:pPr>
            <w:r>
              <w:t>Haubrich, Christina (BÜNDNIS 90/DIE GRÜNEN)</w:t>
            </w:r>
          </w:p>
        </w:tc>
      </w:tr>
      <w:tr w:rsidR="00013B61" w:rsidRPr="005833DD" w:rsidTr="001F3CDA">
        <w:tc>
          <w:tcPr>
            <w:tcW w:w="5000" w:type="pct"/>
          </w:tcPr>
          <w:p w:rsidR="00013B61" w:rsidRDefault="008A35F1" w:rsidP="00013B61">
            <w:pPr>
              <w:pStyle w:val="LTVerzDerFragendenFrage"/>
            </w:pPr>
            <w:hyperlink w:anchor="Frage_Nr_64" w:tooltip="Frage Nr 64" w:history="1">
              <w:r w:rsidR="00013B61">
                <w:rPr>
                  <w:rStyle w:val="Hyperlink"/>
                  <w:szCs w:val="24"/>
                </w:rPr>
                <w:t xml:space="preserve">Einsatz von monoklonalen Antikörper-Präparaten zur Vermeidung </w:t>
              </w:r>
              <w:r w:rsidR="004A31CB">
                <w:rPr>
                  <w:rStyle w:val="Hyperlink"/>
                  <w:szCs w:val="24"/>
                </w:rPr>
                <w:br/>
              </w:r>
              <w:r w:rsidR="00013B61">
                <w:rPr>
                  <w:rStyle w:val="Hyperlink"/>
                  <w:szCs w:val="24"/>
                </w:rPr>
                <w:t>schwerer COVID-19-Erkrankungen</w:t>
              </w:r>
              <w:r w:rsidR="00013B61">
                <w:rPr>
                  <w:rStyle w:val="Hyperlink"/>
                  <w:szCs w:val="24"/>
                </w:rPr>
                <w:tab/>
                <w:t>64</w:t>
              </w:r>
            </w:hyperlink>
          </w:p>
        </w:tc>
      </w:tr>
      <w:tr w:rsidR="00013B61" w:rsidRPr="005833DD" w:rsidTr="001F3CDA">
        <w:tc>
          <w:tcPr>
            <w:tcW w:w="5000" w:type="pct"/>
          </w:tcPr>
          <w:p w:rsidR="00013B61" w:rsidRDefault="00013B61" w:rsidP="00013B61">
            <w:pPr>
              <w:pStyle w:val="LTVerzDerFragenden"/>
            </w:pPr>
            <w:r>
              <w:t>Henkel, Uli (AfD)</w:t>
            </w:r>
          </w:p>
        </w:tc>
      </w:tr>
      <w:tr w:rsidR="00013B61" w:rsidRPr="005833DD" w:rsidTr="001F3CDA">
        <w:tc>
          <w:tcPr>
            <w:tcW w:w="5000" w:type="pct"/>
          </w:tcPr>
          <w:p w:rsidR="00013B61" w:rsidRDefault="008A35F1" w:rsidP="00013B61">
            <w:pPr>
              <w:pStyle w:val="LTVerzDerFragendenFrage"/>
            </w:pPr>
            <w:hyperlink w:anchor="Frage_Nr_65" w:tooltip="Frage Nr 65" w:history="1">
              <w:r w:rsidR="00013B61">
                <w:rPr>
                  <w:rStyle w:val="Hyperlink"/>
                  <w:szCs w:val="24"/>
                </w:rPr>
                <w:t>Intensivbetten</w:t>
              </w:r>
              <w:r w:rsidR="00013B61">
                <w:rPr>
                  <w:rStyle w:val="Hyperlink"/>
                  <w:szCs w:val="24"/>
                </w:rPr>
                <w:tab/>
                <w:t>65</w:t>
              </w:r>
            </w:hyperlink>
          </w:p>
        </w:tc>
      </w:tr>
      <w:tr w:rsidR="00013B61" w:rsidRPr="005833DD" w:rsidTr="001F3CDA">
        <w:tc>
          <w:tcPr>
            <w:tcW w:w="5000" w:type="pct"/>
          </w:tcPr>
          <w:p w:rsidR="00013B61" w:rsidRDefault="00013B61" w:rsidP="00013B61">
            <w:pPr>
              <w:pStyle w:val="LTVerzDerFragenden"/>
            </w:pPr>
            <w:r>
              <w:t>Dr. Heubisch, Wolfgang (FDP)</w:t>
            </w:r>
          </w:p>
        </w:tc>
      </w:tr>
      <w:tr w:rsidR="00013B61" w:rsidRPr="005833DD" w:rsidTr="001F3CDA">
        <w:tc>
          <w:tcPr>
            <w:tcW w:w="5000" w:type="pct"/>
          </w:tcPr>
          <w:p w:rsidR="00013B61" w:rsidRDefault="008A35F1" w:rsidP="00013B61">
            <w:pPr>
              <w:pStyle w:val="LTVerzDerFragendenFrage"/>
            </w:pPr>
            <w:hyperlink w:anchor="Frage_Nr_31" w:tooltip="Frage Nr 31" w:history="1">
              <w:r w:rsidR="00013B61">
                <w:rPr>
                  <w:rStyle w:val="Hyperlink"/>
                  <w:szCs w:val="24"/>
                </w:rPr>
                <w:t>Kultur, Kinos und Clubs in Corona-Not: Fortführung der Hilfsmaßnahmen</w:t>
              </w:r>
              <w:r w:rsidR="00013B61">
                <w:rPr>
                  <w:rStyle w:val="Hyperlink"/>
                  <w:szCs w:val="24"/>
                </w:rPr>
                <w:tab/>
                <w:t>31</w:t>
              </w:r>
            </w:hyperlink>
          </w:p>
        </w:tc>
      </w:tr>
      <w:tr w:rsidR="00013B61" w:rsidRPr="005833DD" w:rsidTr="001F3CDA">
        <w:tc>
          <w:tcPr>
            <w:tcW w:w="5000" w:type="pct"/>
          </w:tcPr>
          <w:p w:rsidR="00013B61" w:rsidRDefault="00013B61" w:rsidP="00013B61">
            <w:pPr>
              <w:pStyle w:val="LTVerzDerFragenden"/>
            </w:pPr>
            <w:r>
              <w:lastRenderedPageBreak/>
              <w:t>Hierneis, Christian (BÜNDNIS 90/DIE GRÜNEN)</w:t>
            </w:r>
          </w:p>
        </w:tc>
      </w:tr>
      <w:tr w:rsidR="00013B61" w:rsidRPr="005833DD" w:rsidTr="001F3CDA">
        <w:tc>
          <w:tcPr>
            <w:tcW w:w="5000" w:type="pct"/>
          </w:tcPr>
          <w:p w:rsidR="00013B61" w:rsidRDefault="008A35F1" w:rsidP="00013B61">
            <w:pPr>
              <w:pStyle w:val="LTVerzDerFragendenFrage"/>
            </w:pPr>
            <w:hyperlink w:anchor="Frage_Nr_18" w:tooltip="Frage Nr 18" w:history="1">
              <w:r w:rsidR="00013B61">
                <w:rPr>
                  <w:rStyle w:val="Hyperlink"/>
                  <w:szCs w:val="24"/>
                </w:rPr>
                <w:t>Baumfällungen Neue Pinakothek</w:t>
              </w:r>
              <w:r w:rsidR="00013B61">
                <w:rPr>
                  <w:rStyle w:val="Hyperlink"/>
                  <w:szCs w:val="24"/>
                </w:rPr>
                <w:tab/>
                <w:t>18</w:t>
              </w:r>
            </w:hyperlink>
          </w:p>
        </w:tc>
      </w:tr>
      <w:tr w:rsidR="00013B61" w:rsidRPr="005833DD" w:rsidTr="001F3CDA">
        <w:tc>
          <w:tcPr>
            <w:tcW w:w="5000" w:type="pct"/>
          </w:tcPr>
          <w:p w:rsidR="00013B61" w:rsidRDefault="00013B61" w:rsidP="00013B61">
            <w:pPr>
              <w:pStyle w:val="LTVerzDerFragenden"/>
            </w:pPr>
            <w:r>
              <w:t>Dr. Kaltenhauser, Helmut (FDP)</w:t>
            </w:r>
          </w:p>
        </w:tc>
      </w:tr>
      <w:tr w:rsidR="00013B61" w:rsidRPr="005833DD" w:rsidTr="001F3CDA">
        <w:tc>
          <w:tcPr>
            <w:tcW w:w="5000" w:type="pct"/>
          </w:tcPr>
          <w:p w:rsidR="00013B61" w:rsidRDefault="008A35F1" w:rsidP="00013B61">
            <w:pPr>
              <w:pStyle w:val="LTVerzDerFragendenFrage"/>
            </w:pPr>
            <w:hyperlink w:anchor="Frage_Nr_32" w:tooltip="Frage Nr 32" w:history="1">
              <w:r w:rsidR="00013B61">
                <w:rPr>
                  <w:rStyle w:val="Hyperlink"/>
                  <w:szCs w:val="24"/>
                </w:rPr>
                <w:t>Kunstrückgabe nach Franken</w:t>
              </w:r>
              <w:r w:rsidR="00013B61">
                <w:rPr>
                  <w:rStyle w:val="Hyperlink"/>
                  <w:szCs w:val="24"/>
                </w:rPr>
                <w:tab/>
                <w:t>32</w:t>
              </w:r>
            </w:hyperlink>
          </w:p>
        </w:tc>
      </w:tr>
      <w:tr w:rsidR="00013B61" w:rsidRPr="005833DD" w:rsidTr="001F3CDA">
        <w:tc>
          <w:tcPr>
            <w:tcW w:w="5000" w:type="pct"/>
          </w:tcPr>
          <w:p w:rsidR="00013B61" w:rsidRDefault="00013B61" w:rsidP="00013B61">
            <w:pPr>
              <w:pStyle w:val="LTVerzDerFragenden"/>
            </w:pPr>
            <w:r>
              <w:t>Karl, Annette (SPD)</w:t>
            </w:r>
          </w:p>
        </w:tc>
      </w:tr>
      <w:tr w:rsidR="00013B61" w:rsidRPr="005833DD" w:rsidTr="001F3CDA">
        <w:tc>
          <w:tcPr>
            <w:tcW w:w="5000" w:type="pct"/>
          </w:tcPr>
          <w:p w:rsidR="00013B61" w:rsidRDefault="008A35F1" w:rsidP="00013B61">
            <w:pPr>
              <w:pStyle w:val="LTVerzDerFragendenFrage"/>
            </w:pPr>
            <w:hyperlink w:anchor="Frage_Nr_76" w:tooltip="Frage Nr 76" w:history="1">
              <w:r w:rsidR="00013B61">
                <w:rPr>
                  <w:rStyle w:val="Hyperlink"/>
                  <w:szCs w:val="24"/>
                </w:rPr>
                <w:t>Bildung eines Digitalrates in Bayern</w:t>
              </w:r>
              <w:r w:rsidR="00013B61">
                <w:rPr>
                  <w:rStyle w:val="Hyperlink"/>
                  <w:szCs w:val="24"/>
                </w:rPr>
                <w:tab/>
                <w:t>76</w:t>
              </w:r>
            </w:hyperlink>
          </w:p>
        </w:tc>
      </w:tr>
      <w:tr w:rsidR="00013B61" w:rsidRPr="005833DD" w:rsidTr="001F3CDA">
        <w:tc>
          <w:tcPr>
            <w:tcW w:w="5000" w:type="pct"/>
          </w:tcPr>
          <w:p w:rsidR="00013B61" w:rsidRDefault="00013B61" w:rsidP="00013B61">
            <w:pPr>
              <w:pStyle w:val="LTVerzDerFragenden"/>
            </w:pPr>
            <w:r>
              <w:t>Klingen, Christian (AfD)</w:t>
            </w:r>
          </w:p>
        </w:tc>
      </w:tr>
      <w:tr w:rsidR="00013B61" w:rsidRPr="005833DD" w:rsidTr="001F3CDA">
        <w:tc>
          <w:tcPr>
            <w:tcW w:w="5000" w:type="pct"/>
          </w:tcPr>
          <w:p w:rsidR="00013B61" w:rsidRDefault="008A35F1" w:rsidP="00013B61">
            <w:pPr>
              <w:pStyle w:val="LTVerzDerFragendenFrage"/>
            </w:pPr>
            <w:hyperlink w:anchor="Frage_Nr_66" w:tooltip="Frage Nr 66" w:history="1">
              <w:r w:rsidR="00BE0711">
                <w:rPr>
                  <w:rStyle w:val="Hyperlink"/>
                  <w:szCs w:val="24"/>
                </w:rPr>
                <w:t>Effizienzbetrachtung zu Corona-I</w:t>
              </w:r>
              <w:r w:rsidR="00013B61">
                <w:rPr>
                  <w:rStyle w:val="Hyperlink"/>
                  <w:szCs w:val="24"/>
                </w:rPr>
                <w:t>mpfstoffen</w:t>
              </w:r>
              <w:r w:rsidR="00013B61">
                <w:rPr>
                  <w:rStyle w:val="Hyperlink"/>
                  <w:szCs w:val="24"/>
                </w:rPr>
                <w:tab/>
                <w:t>66</w:t>
              </w:r>
            </w:hyperlink>
          </w:p>
        </w:tc>
      </w:tr>
      <w:tr w:rsidR="00013B61" w:rsidRPr="005833DD" w:rsidTr="001F3CDA">
        <w:tc>
          <w:tcPr>
            <w:tcW w:w="5000" w:type="pct"/>
          </w:tcPr>
          <w:p w:rsidR="00013B61" w:rsidRDefault="00013B61" w:rsidP="00013B61">
            <w:pPr>
              <w:pStyle w:val="LTVerzDerFragenden"/>
            </w:pPr>
            <w:r>
              <w:t>Knoblach, Paul (BÜNDNIS 90/DIE GRÜNEN)</w:t>
            </w:r>
          </w:p>
        </w:tc>
      </w:tr>
      <w:tr w:rsidR="00013B61" w:rsidRPr="005833DD" w:rsidTr="001F3CDA">
        <w:tc>
          <w:tcPr>
            <w:tcW w:w="5000" w:type="pct"/>
          </w:tcPr>
          <w:p w:rsidR="00013B61" w:rsidRDefault="008A35F1" w:rsidP="00013B61">
            <w:pPr>
              <w:pStyle w:val="LTVerzDerFragendenFrage"/>
            </w:pPr>
            <w:hyperlink w:anchor="Frage_Nr_46" w:tooltip="Frage Nr 46" w:history="1">
              <w:r w:rsidR="00013B61">
                <w:rPr>
                  <w:rStyle w:val="Hyperlink"/>
                  <w:szCs w:val="24"/>
                </w:rPr>
                <w:t>Belastungen durch Neonicotinoide</w:t>
              </w:r>
              <w:r w:rsidR="00013B61">
                <w:rPr>
                  <w:rStyle w:val="Hyperlink"/>
                  <w:szCs w:val="24"/>
                </w:rPr>
                <w:tab/>
                <w:t>46</w:t>
              </w:r>
            </w:hyperlink>
          </w:p>
        </w:tc>
      </w:tr>
      <w:tr w:rsidR="00013B61" w:rsidRPr="005833DD" w:rsidTr="001F3CDA">
        <w:tc>
          <w:tcPr>
            <w:tcW w:w="5000" w:type="pct"/>
          </w:tcPr>
          <w:p w:rsidR="00013B61" w:rsidRDefault="00013B61" w:rsidP="00013B61">
            <w:pPr>
              <w:pStyle w:val="LTVerzDerFragenden"/>
            </w:pPr>
            <w:r>
              <w:t>Krahl, Andreas (BÜNDNIS 90/DIE GRÜNEN)</w:t>
            </w:r>
          </w:p>
        </w:tc>
      </w:tr>
      <w:tr w:rsidR="00013B61" w:rsidRPr="005833DD" w:rsidTr="001F3CDA">
        <w:tc>
          <w:tcPr>
            <w:tcW w:w="5000" w:type="pct"/>
          </w:tcPr>
          <w:p w:rsidR="00013B61" w:rsidRDefault="008A35F1" w:rsidP="00013B61">
            <w:pPr>
              <w:pStyle w:val="LTVerzDerFragendenFrage"/>
            </w:pPr>
            <w:hyperlink w:anchor="Frage_Nr_67" w:tooltip="Frage Nr 67" w:history="1">
              <w:r w:rsidR="00013B61">
                <w:rPr>
                  <w:rStyle w:val="Hyperlink"/>
                  <w:szCs w:val="24"/>
                </w:rPr>
                <w:t>Bayerischer Pflegepool</w:t>
              </w:r>
              <w:r w:rsidR="00013B61">
                <w:rPr>
                  <w:rStyle w:val="Hyperlink"/>
                  <w:szCs w:val="24"/>
                </w:rPr>
                <w:tab/>
                <w:t>67</w:t>
              </w:r>
            </w:hyperlink>
          </w:p>
        </w:tc>
      </w:tr>
      <w:tr w:rsidR="00013B61" w:rsidRPr="005833DD" w:rsidTr="001F3CDA">
        <w:tc>
          <w:tcPr>
            <w:tcW w:w="5000" w:type="pct"/>
          </w:tcPr>
          <w:p w:rsidR="00013B61" w:rsidRDefault="00013B61" w:rsidP="00013B61">
            <w:pPr>
              <w:pStyle w:val="LTVerzDerFragenden"/>
            </w:pPr>
            <w:r>
              <w:t>Kurz, Susanne (BÜNDNIS 90/DIE GRÜNEN)</w:t>
            </w:r>
          </w:p>
        </w:tc>
      </w:tr>
      <w:tr w:rsidR="00013B61" w:rsidRPr="005833DD" w:rsidTr="001F3CDA">
        <w:tc>
          <w:tcPr>
            <w:tcW w:w="5000" w:type="pct"/>
          </w:tcPr>
          <w:p w:rsidR="00013B61" w:rsidRDefault="008A35F1" w:rsidP="00013B61">
            <w:pPr>
              <w:pStyle w:val="LTVerzDerFragendenFrage"/>
            </w:pPr>
            <w:hyperlink w:anchor="Frage_Nr_68" w:tooltip="Frage Nr 68" w:history="1">
              <w:r w:rsidR="00013B61">
                <w:rPr>
                  <w:rStyle w:val="Hyperlink"/>
                  <w:szCs w:val="24"/>
                </w:rPr>
                <w:t>2G-Regel für Jugendliche</w:t>
              </w:r>
              <w:r w:rsidR="00013B61">
                <w:rPr>
                  <w:rStyle w:val="Hyperlink"/>
                  <w:szCs w:val="24"/>
                </w:rPr>
                <w:tab/>
                <w:t>68</w:t>
              </w:r>
            </w:hyperlink>
          </w:p>
        </w:tc>
      </w:tr>
      <w:tr w:rsidR="00013B61" w:rsidRPr="005833DD" w:rsidTr="001F3CDA">
        <w:tc>
          <w:tcPr>
            <w:tcW w:w="5000" w:type="pct"/>
          </w:tcPr>
          <w:p w:rsidR="00013B61" w:rsidRDefault="00013B61" w:rsidP="00013B61">
            <w:pPr>
              <w:pStyle w:val="LTVerzDerFragenden"/>
            </w:pPr>
            <w:r>
              <w:t>Köhler, Claudia (BÜNDNIS 90/DIE GRÜNEN)</w:t>
            </w:r>
          </w:p>
        </w:tc>
      </w:tr>
      <w:tr w:rsidR="00013B61" w:rsidRPr="005833DD" w:rsidTr="001F3CDA">
        <w:tc>
          <w:tcPr>
            <w:tcW w:w="5000" w:type="pct"/>
          </w:tcPr>
          <w:p w:rsidR="00013B61" w:rsidRDefault="008A35F1" w:rsidP="00013B61">
            <w:pPr>
              <w:pStyle w:val="LTVerzDerFragendenFrage"/>
            </w:pPr>
            <w:hyperlink w:anchor="Frage_Nr_6" w:tooltip="Frage Nr 6" w:history="1">
              <w:r w:rsidR="00013B61">
                <w:rPr>
                  <w:rStyle w:val="Hyperlink"/>
                  <w:szCs w:val="24"/>
                </w:rPr>
                <w:t xml:space="preserve">Gutscheine </w:t>
              </w:r>
              <w:r w:rsidR="00E832CF">
                <w:rPr>
                  <w:rStyle w:val="Hyperlink"/>
                  <w:szCs w:val="24"/>
                </w:rPr>
                <w:t>„</w:t>
              </w:r>
              <w:r w:rsidR="00BE0711">
                <w:rPr>
                  <w:rStyle w:val="Hyperlink"/>
                  <w:szCs w:val="24"/>
                </w:rPr>
                <w:t>Mach mit –</w:t>
              </w:r>
              <w:r w:rsidR="00013B61">
                <w:rPr>
                  <w:rStyle w:val="Hyperlink"/>
                  <w:szCs w:val="24"/>
                </w:rPr>
                <w:t xml:space="preserve"> Tauch auf</w:t>
              </w:r>
              <w:r w:rsidR="00E832CF">
                <w:rPr>
                  <w:rStyle w:val="Hyperlink"/>
                  <w:szCs w:val="24"/>
                </w:rPr>
                <w:t>“</w:t>
              </w:r>
              <w:r w:rsidR="00BE0711">
                <w:rPr>
                  <w:rStyle w:val="Hyperlink"/>
                  <w:szCs w:val="24"/>
                </w:rPr>
                <w:t xml:space="preserve"> Landkreis</w:t>
              </w:r>
              <w:r w:rsidR="00013B61">
                <w:rPr>
                  <w:rStyle w:val="Hyperlink"/>
                  <w:szCs w:val="24"/>
                </w:rPr>
                <w:t xml:space="preserve"> München</w:t>
              </w:r>
              <w:r w:rsidR="00013B61">
                <w:rPr>
                  <w:rStyle w:val="Hyperlink"/>
                  <w:szCs w:val="24"/>
                </w:rPr>
                <w:tab/>
                <w:t>6</w:t>
              </w:r>
            </w:hyperlink>
          </w:p>
        </w:tc>
      </w:tr>
      <w:tr w:rsidR="00013B61" w:rsidRPr="005833DD" w:rsidTr="001F3CDA">
        <w:tc>
          <w:tcPr>
            <w:tcW w:w="5000" w:type="pct"/>
          </w:tcPr>
          <w:p w:rsidR="00013B61" w:rsidRDefault="00013B61" w:rsidP="00013B61">
            <w:pPr>
              <w:pStyle w:val="LTVerzDerFragenden"/>
            </w:pPr>
            <w:r>
              <w:t>Körber, Sebastian (FDP)</w:t>
            </w:r>
          </w:p>
        </w:tc>
      </w:tr>
      <w:tr w:rsidR="00013B61" w:rsidRPr="005833DD" w:rsidTr="001F3CDA">
        <w:tc>
          <w:tcPr>
            <w:tcW w:w="5000" w:type="pct"/>
          </w:tcPr>
          <w:p w:rsidR="00013B61" w:rsidRDefault="008A35F1" w:rsidP="00013B61">
            <w:pPr>
              <w:pStyle w:val="LTVerzDerFragendenFrage"/>
            </w:pPr>
            <w:hyperlink w:anchor="Frage_Nr_19" w:tooltip="Frage Nr 19" w:history="1">
              <w:r w:rsidR="00013B61">
                <w:rPr>
                  <w:rStyle w:val="Hyperlink"/>
                  <w:szCs w:val="24"/>
                </w:rPr>
                <w:t>Flughafen-Shuttle in die bayerische Landeshauptstadt</w:t>
              </w:r>
              <w:r w:rsidR="004A5D9A">
                <w:rPr>
                  <w:rStyle w:val="Hyperlink"/>
                  <w:szCs w:val="24"/>
                </w:rPr>
                <w:t xml:space="preserve"> </w:t>
              </w:r>
              <w:r w:rsidR="00013B61">
                <w:rPr>
                  <w:rStyle w:val="Hyperlink"/>
                  <w:szCs w:val="24"/>
                </w:rPr>
                <w:tab/>
                <w:t>19</w:t>
              </w:r>
            </w:hyperlink>
          </w:p>
        </w:tc>
      </w:tr>
      <w:tr w:rsidR="00013B61" w:rsidRPr="005833DD" w:rsidTr="001F3CDA">
        <w:tc>
          <w:tcPr>
            <w:tcW w:w="5000" w:type="pct"/>
          </w:tcPr>
          <w:p w:rsidR="00013B61" w:rsidRDefault="00013B61" w:rsidP="00013B61">
            <w:pPr>
              <w:pStyle w:val="LTVerzDerFragenden"/>
            </w:pPr>
            <w:r>
              <w:t>Lettenbauer, Eva (BÜNDNIS 90/DIE GRÜNEN)</w:t>
            </w:r>
          </w:p>
        </w:tc>
      </w:tr>
      <w:tr w:rsidR="00013B61" w:rsidRPr="005833DD" w:rsidTr="001F3CDA">
        <w:tc>
          <w:tcPr>
            <w:tcW w:w="5000" w:type="pct"/>
          </w:tcPr>
          <w:p w:rsidR="00013B61" w:rsidRDefault="008A35F1" w:rsidP="00013B61">
            <w:pPr>
              <w:pStyle w:val="LTVerzDerFragendenFrage"/>
            </w:pPr>
            <w:hyperlink w:anchor="Frage_Nr_51" w:tooltip="Frage Nr 51" w:history="1">
              <w:r w:rsidR="00013B61">
                <w:rPr>
                  <w:rStyle w:val="Hyperlink"/>
                  <w:szCs w:val="24"/>
                </w:rPr>
                <w:t>Eigenleistung von freien Trägern der Jugendhilfe</w:t>
              </w:r>
              <w:r w:rsidR="00013B61">
                <w:rPr>
                  <w:rStyle w:val="Hyperlink"/>
                  <w:szCs w:val="24"/>
                </w:rPr>
                <w:tab/>
                <w:t>51</w:t>
              </w:r>
            </w:hyperlink>
          </w:p>
        </w:tc>
      </w:tr>
      <w:tr w:rsidR="00013B61" w:rsidRPr="005833DD" w:rsidTr="001F3CDA">
        <w:tc>
          <w:tcPr>
            <w:tcW w:w="5000" w:type="pct"/>
          </w:tcPr>
          <w:p w:rsidR="00013B61" w:rsidRDefault="00013B61" w:rsidP="00013B61">
            <w:pPr>
              <w:pStyle w:val="LTVerzDerFragenden"/>
            </w:pPr>
            <w:r>
              <w:t>Löw, Stefan (AfD)</w:t>
            </w:r>
          </w:p>
        </w:tc>
      </w:tr>
      <w:tr w:rsidR="00013B61" w:rsidRPr="005833DD" w:rsidTr="001F3CDA">
        <w:tc>
          <w:tcPr>
            <w:tcW w:w="5000" w:type="pct"/>
          </w:tcPr>
          <w:p w:rsidR="00013B61" w:rsidRDefault="008A35F1" w:rsidP="00013B61">
            <w:pPr>
              <w:pStyle w:val="LTVerzDerFragendenFrage"/>
            </w:pPr>
            <w:hyperlink w:anchor="Frage_Nr_7" w:tooltip="Frage Nr 7" w:history="1">
              <w:r w:rsidR="00013B61">
                <w:rPr>
                  <w:rStyle w:val="Hyperlink"/>
                  <w:szCs w:val="24"/>
                </w:rPr>
                <w:t>Psychisch auffällige Täter nach Aufenthaltsstatus</w:t>
              </w:r>
              <w:r w:rsidR="00013B61">
                <w:rPr>
                  <w:rStyle w:val="Hyperlink"/>
                  <w:szCs w:val="24"/>
                </w:rPr>
                <w:tab/>
                <w:t>7</w:t>
              </w:r>
            </w:hyperlink>
          </w:p>
        </w:tc>
      </w:tr>
      <w:tr w:rsidR="00013B61" w:rsidRPr="005833DD" w:rsidTr="001F3CDA">
        <w:tc>
          <w:tcPr>
            <w:tcW w:w="5000" w:type="pct"/>
          </w:tcPr>
          <w:p w:rsidR="00013B61" w:rsidRDefault="00013B61" w:rsidP="00013B61">
            <w:pPr>
              <w:pStyle w:val="LTVerzDerFragenden"/>
            </w:pPr>
            <w:r>
              <w:t>Magerl, Roland (AfD)</w:t>
            </w:r>
          </w:p>
        </w:tc>
      </w:tr>
      <w:tr w:rsidR="00013B61" w:rsidRPr="005833DD" w:rsidTr="001F3CDA">
        <w:tc>
          <w:tcPr>
            <w:tcW w:w="5000" w:type="pct"/>
          </w:tcPr>
          <w:p w:rsidR="00013B61" w:rsidRDefault="008A35F1" w:rsidP="00013B61">
            <w:pPr>
              <w:pStyle w:val="LTVerzDerFragendenFrage"/>
            </w:pPr>
            <w:hyperlink w:anchor="Frage_Nr_8" w:tooltip="Frage Nr 8" w:history="1">
              <w:r w:rsidR="00013B61">
                <w:rPr>
                  <w:rStyle w:val="Hyperlink"/>
                  <w:szCs w:val="24"/>
                </w:rPr>
                <w:t>Interhospitaltransport in Bayern</w:t>
              </w:r>
              <w:r w:rsidR="00013B61">
                <w:rPr>
                  <w:rStyle w:val="Hyperlink"/>
                  <w:szCs w:val="24"/>
                </w:rPr>
                <w:tab/>
                <w:t>8</w:t>
              </w:r>
            </w:hyperlink>
          </w:p>
        </w:tc>
      </w:tr>
      <w:tr w:rsidR="00013B61" w:rsidRPr="005833DD" w:rsidTr="001F3CDA">
        <w:tc>
          <w:tcPr>
            <w:tcW w:w="5000" w:type="pct"/>
          </w:tcPr>
          <w:p w:rsidR="00013B61" w:rsidRDefault="00013B61" w:rsidP="00013B61">
            <w:pPr>
              <w:pStyle w:val="LTVerzDerFragenden"/>
            </w:pPr>
            <w:r>
              <w:t>Maier, Christoph (AfD)</w:t>
            </w:r>
          </w:p>
        </w:tc>
      </w:tr>
      <w:tr w:rsidR="00013B61" w:rsidRPr="005833DD" w:rsidTr="001F3CDA">
        <w:tc>
          <w:tcPr>
            <w:tcW w:w="5000" w:type="pct"/>
          </w:tcPr>
          <w:p w:rsidR="00013B61" w:rsidRDefault="008A35F1" w:rsidP="00013B61">
            <w:pPr>
              <w:pStyle w:val="LTVerzDerFragendenFrage"/>
            </w:pPr>
            <w:hyperlink w:anchor="Frage_Nr_9" w:tooltip="Frage Nr 9" w:history="1">
              <w:r w:rsidR="00013B61">
                <w:rPr>
                  <w:rStyle w:val="Hyperlink"/>
                  <w:szCs w:val="24"/>
                </w:rPr>
                <w:t>Politische Veranstaltungen in Zeiten von 3G, 2G usw.</w:t>
              </w:r>
              <w:r w:rsidR="00013B61">
                <w:rPr>
                  <w:rStyle w:val="Hyperlink"/>
                  <w:szCs w:val="24"/>
                </w:rPr>
                <w:tab/>
                <w:t>9</w:t>
              </w:r>
            </w:hyperlink>
          </w:p>
        </w:tc>
      </w:tr>
      <w:tr w:rsidR="00013B61" w:rsidRPr="005833DD" w:rsidTr="001F3CDA">
        <w:tc>
          <w:tcPr>
            <w:tcW w:w="5000" w:type="pct"/>
          </w:tcPr>
          <w:p w:rsidR="00013B61" w:rsidRDefault="00013B61" w:rsidP="00013B61">
            <w:pPr>
              <w:pStyle w:val="LTVerzDerFragenden"/>
            </w:pPr>
            <w:r>
              <w:t>Mannes, Gerd (AfD)</w:t>
            </w:r>
          </w:p>
        </w:tc>
      </w:tr>
      <w:tr w:rsidR="00013B61" w:rsidRPr="005833DD" w:rsidTr="001F3CDA">
        <w:tc>
          <w:tcPr>
            <w:tcW w:w="5000" w:type="pct"/>
          </w:tcPr>
          <w:p w:rsidR="00013B61" w:rsidRDefault="008A35F1" w:rsidP="00013B61">
            <w:pPr>
              <w:pStyle w:val="LTVerzDerFragendenFrage"/>
            </w:pPr>
            <w:hyperlink w:anchor="Frage_Nr_42" w:tooltip="Frage Nr 42" w:history="1">
              <w:r w:rsidR="00013B61">
                <w:rPr>
                  <w:rStyle w:val="Hyperlink"/>
                  <w:szCs w:val="24"/>
                </w:rPr>
                <w:t xml:space="preserve">Erwarteter Stromverbrauch Bayerns und Deckung in den Jahren 2022 </w:t>
              </w:r>
              <w:r w:rsidR="004A31CB">
                <w:rPr>
                  <w:rStyle w:val="Hyperlink"/>
                  <w:szCs w:val="24"/>
                </w:rPr>
                <w:br/>
              </w:r>
              <w:r w:rsidR="00013B61">
                <w:rPr>
                  <w:rStyle w:val="Hyperlink"/>
                  <w:szCs w:val="24"/>
                </w:rPr>
                <w:t>und 2023</w:t>
              </w:r>
              <w:r w:rsidR="00013B61">
                <w:rPr>
                  <w:rStyle w:val="Hyperlink"/>
                  <w:szCs w:val="24"/>
                </w:rPr>
                <w:tab/>
                <w:t>42</w:t>
              </w:r>
            </w:hyperlink>
          </w:p>
        </w:tc>
      </w:tr>
      <w:tr w:rsidR="00013B61" w:rsidRPr="005833DD" w:rsidTr="001F3CDA">
        <w:tc>
          <w:tcPr>
            <w:tcW w:w="5000" w:type="pct"/>
          </w:tcPr>
          <w:p w:rsidR="00013B61" w:rsidRDefault="00013B61" w:rsidP="00013B61">
            <w:pPr>
              <w:pStyle w:val="LTVerzDerFragenden"/>
            </w:pPr>
            <w:r>
              <w:t>Markwort, Helmut (FDP)</w:t>
            </w:r>
          </w:p>
        </w:tc>
      </w:tr>
      <w:tr w:rsidR="00013B61" w:rsidRPr="005833DD" w:rsidTr="001F3CDA">
        <w:tc>
          <w:tcPr>
            <w:tcW w:w="5000" w:type="pct"/>
          </w:tcPr>
          <w:p w:rsidR="00013B61" w:rsidRDefault="008A35F1" w:rsidP="00013B61">
            <w:pPr>
              <w:pStyle w:val="LTVerzDerFragendenFrage"/>
            </w:pPr>
            <w:hyperlink w:anchor="Frage_Nr_52" w:tooltip="Frage Nr 52" w:history="1">
              <w:r w:rsidR="00013B61">
                <w:rPr>
                  <w:rStyle w:val="Hyperlink"/>
                  <w:szCs w:val="24"/>
                </w:rPr>
                <w:t>Aktueller Stand Ganztagsförderung in Bayern</w:t>
              </w:r>
              <w:r w:rsidR="00013B61">
                <w:rPr>
                  <w:rStyle w:val="Hyperlink"/>
                  <w:szCs w:val="24"/>
                </w:rPr>
                <w:tab/>
                <w:t>52</w:t>
              </w:r>
            </w:hyperlink>
          </w:p>
        </w:tc>
      </w:tr>
      <w:tr w:rsidR="00013B61" w:rsidRPr="005833DD" w:rsidTr="001F3CDA">
        <w:tc>
          <w:tcPr>
            <w:tcW w:w="5000" w:type="pct"/>
          </w:tcPr>
          <w:p w:rsidR="00013B61" w:rsidRDefault="00013B61" w:rsidP="00013B61">
            <w:pPr>
              <w:pStyle w:val="LTVerzDerFragenden"/>
            </w:pPr>
            <w:r>
              <w:t>Mistol, Jürgen (BÜNDNIS 90/DIE GRÜNEN)</w:t>
            </w:r>
          </w:p>
        </w:tc>
      </w:tr>
      <w:tr w:rsidR="00013B61" w:rsidRPr="005833DD" w:rsidTr="001F3CDA">
        <w:tc>
          <w:tcPr>
            <w:tcW w:w="5000" w:type="pct"/>
          </w:tcPr>
          <w:p w:rsidR="00013B61" w:rsidRDefault="008A35F1" w:rsidP="00013B61">
            <w:pPr>
              <w:pStyle w:val="LTVerzDerFragendenFrage"/>
            </w:pPr>
            <w:hyperlink w:anchor="Frage_Nr_22" w:tooltip="Frage Nr 22" w:history="1">
              <w:r w:rsidR="00013B61">
                <w:rPr>
                  <w:rStyle w:val="Hyperlink"/>
                  <w:szCs w:val="24"/>
                </w:rPr>
                <w:t>Verlängerung der Mieterschutzverordnung (MiSchuV)</w:t>
              </w:r>
              <w:r w:rsidR="00013B61">
                <w:rPr>
                  <w:rStyle w:val="Hyperlink"/>
                  <w:szCs w:val="24"/>
                </w:rPr>
                <w:tab/>
                <w:t>22</w:t>
              </w:r>
            </w:hyperlink>
          </w:p>
        </w:tc>
      </w:tr>
      <w:tr w:rsidR="00013B61" w:rsidRPr="005833DD" w:rsidTr="001F3CDA">
        <w:tc>
          <w:tcPr>
            <w:tcW w:w="5000" w:type="pct"/>
          </w:tcPr>
          <w:p w:rsidR="00013B61" w:rsidRDefault="00013B61" w:rsidP="00013B61">
            <w:pPr>
              <w:pStyle w:val="LTVerzDerFragenden"/>
            </w:pPr>
            <w:r>
              <w:t>Monatzeder, Hep (BÜNDNIS 90/DIE GRÜNEN)</w:t>
            </w:r>
          </w:p>
        </w:tc>
      </w:tr>
      <w:tr w:rsidR="00013B61" w:rsidRPr="005833DD" w:rsidTr="001F3CDA">
        <w:tc>
          <w:tcPr>
            <w:tcW w:w="5000" w:type="pct"/>
          </w:tcPr>
          <w:p w:rsidR="00013B61" w:rsidRDefault="008A35F1" w:rsidP="00013B61">
            <w:pPr>
              <w:pStyle w:val="LTVerzDerFragendenFrage"/>
            </w:pPr>
            <w:hyperlink w:anchor="Frage_Nr_47" w:tooltip="Frage Nr 47" w:history="1">
              <w:r w:rsidR="00013B61">
                <w:rPr>
                  <w:rStyle w:val="Hyperlink"/>
                  <w:szCs w:val="24"/>
                </w:rPr>
                <w:t>Überarbeitung der Bayerischen Nachhaltigkeitsstrategie</w:t>
              </w:r>
              <w:r w:rsidR="00013B61">
                <w:rPr>
                  <w:rStyle w:val="Hyperlink"/>
                  <w:szCs w:val="24"/>
                </w:rPr>
                <w:tab/>
                <w:t>47</w:t>
              </w:r>
            </w:hyperlink>
          </w:p>
        </w:tc>
      </w:tr>
      <w:tr w:rsidR="00013B61" w:rsidRPr="005833DD" w:rsidTr="001F3CDA">
        <w:tc>
          <w:tcPr>
            <w:tcW w:w="5000" w:type="pct"/>
          </w:tcPr>
          <w:p w:rsidR="00013B61" w:rsidRDefault="00013B61" w:rsidP="00013B61">
            <w:pPr>
              <w:pStyle w:val="LTVerzDerFragenden"/>
            </w:pPr>
            <w:r>
              <w:t>Müller, Ruth (SPD)</w:t>
            </w:r>
          </w:p>
        </w:tc>
      </w:tr>
      <w:tr w:rsidR="00013B61" w:rsidRPr="005833DD" w:rsidTr="001F3CDA">
        <w:tc>
          <w:tcPr>
            <w:tcW w:w="5000" w:type="pct"/>
          </w:tcPr>
          <w:p w:rsidR="00013B61" w:rsidRDefault="008A35F1" w:rsidP="00013B61">
            <w:pPr>
              <w:pStyle w:val="LTVerzDerFragendenFrage"/>
            </w:pPr>
            <w:hyperlink w:anchor="Frage_Nr_10" w:tooltip="Frage Nr 10" w:history="1">
              <w:r w:rsidR="00013B61">
                <w:rPr>
                  <w:rStyle w:val="Hyperlink"/>
                  <w:szCs w:val="24"/>
                </w:rPr>
                <w:t>Entwicklung von Femiziden und häuslicher Gewalt in Bayern</w:t>
              </w:r>
              <w:r w:rsidR="00013B61">
                <w:rPr>
                  <w:rStyle w:val="Hyperlink"/>
                  <w:szCs w:val="24"/>
                </w:rPr>
                <w:tab/>
                <w:t>10</w:t>
              </w:r>
            </w:hyperlink>
          </w:p>
        </w:tc>
      </w:tr>
      <w:tr w:rsidR="00013B61" w:rsidRPr="005833DD" w:rsidTr="001F3CDA">
        <w:tc>
          <w:tcPr>
            <w:tcW w:w="5000" w:type="pct"/>
          </w:tcPr>
          <w:p w:rsidR="00013B61" w:rsidRDefault="00013B61" w:rsidP="00013B61">
            <w:pPr>
              <w:pStyle w:val="LTVerzDerFragenden"/>
            </w:pPr>
            <w:r>
              <w:t>Osgyan, Verena (BÜNDNIS 90/DIE GRÜNEN)</w:t>
            </w:r>
          </w:p>
        </w:tc>
      </w:tr>
      <w:tr w:rsidR="00013B61" w:rsidRPr="005833DD" w:rsidTr="001F3CDA">
        <w:tc>
          <w:tcPr>
            <w:tcW w:w="5000" w:type="pct"/>
          </w:tcPr>
          <w:p w:rsidR="00013B61" w:rsidRDefault="008A35F1" w:rsidP="00013B61">
            <w:pPr>
              <w:pStyle w:val="LTVerzDerFragendenFrage"/>
            </w:pPr>
            <w:hyperlink w:anchor="Frage_Nr_33" w:tooltip="Frage Nr 33" w:history="1">
              <w:r w:rsidR="00013B61">
                <w:rPr>
                  <w:rStyle w:val="Hyperlink"/>
                  <w:szCs w:val="24"/>
                </w:rPr>
                <w:t xml:space="preserve">Umsetzung und Konsequenzen der 2G-Regelung  an Hochschulen und </w:t>
              </w:r>
              <w:r w:rsidR="004A31CB">
                <w:rPr>
                  <w:rStyle w:val="Hyperlink"/>
                  <w:szCs w:val="24"/>
                </w:rPr>
                <w:br/>
              </w:r>
              <w:r w:rsidR="00013B61">
                <w:rPr>
                  <w:rStyle w:val="Hyperlink"/>
                  <w:szCs w:val="24"/>
                </w:rPr>
                <w:t>Universitäten</w:t>
              </w:r>
              <w:r w:rsidR="00013B61">
                <w:rPr>
                  <w:rStyle w:val="Hyperlink"/>
                  <w:szCs w:val="24"/>
                </w:rPr>
                <w:tab/>
                <w:t>33</w:t>
              </w:r>
            </w:hyperlink>
          </w:p>
        </w:tc>
      </w:tr>
      <w:tr w:rsidR="00013B61" w:rsidRPr="005833DD" w:rsidTr="001F3CDA">
        <w:tc>
          <w:tcPr>
            <w:tcW w:w="5000" w:type="pct"/>
          </w:tcPr>
          <w:p w:rsidR="00013B61" w:rsidRDefault="00013B61" w:rsidP="00013B61">
            <w:pPr>
              <w:pStyle w:val="LTVerzDerFragenden"/>
            </w:pPr>
            <w:r>
              <w:t>Pargent, Tim (BÜNDNIS 90/DIE GRÜNEN)</w:t>
            </w:r>
          </w:p>
        </w:tc>
      </w:tr>
      <w:tr w:rsidR="00013B61" w:rsidRPr="005833DD" w:rsidTr="001F3CDA">
        <w:tc>
          <w:tcPr>
            <w:tcW w:w="5000" w:type="pct"/>
          </w:tcPr>
          <w:p w:rsidR="00013B61" w:rsidRDefault="008A35F1" w:rsidP="00013B61">
            <w:pPr>
              <w:pStyle w:val="LTVerzDerFragendenFrage"/>
            </w:pPr>
            <w:hyperlink w:anchor="Frage_Nr_69" w:tooltip="Frage Nr 69" w:history="1">
              <w:r w:rsidR="00013B61">
                <w:rPr>
                  <w:rStyle w:val="Hyperlink"/>
                  <w:szCs w:val="24"/>
                </w:rPr>
                <w:t>Korrespondenz Rechtsanwalt Alfred Sauter</w:t>
              </w:r>
              <w:r w:rsidR="00013B61">
                <w:rPr>
                  <w:rStyle w:val="Hyperlink"/>
                  <w:szCs w:val="24"/>
                </w:rPr>
                <w:tab/>
                <w:t>69</w:t>
              </w:r>
            </w:hyperlink>
          </w:p>
        </w:tc>
      </w:tr>
      <w:tr w:rsidR="00013B61" w:rsidRPr="005833DD" w:rsidTr="001F3CDA">
        <w:tc>
          <w:tcPr>
            <w:tcW w:w="5000" w:type="pct"/>
          </w:tcPr>
          <w:p w:rsidR="00013B61" w:rsidRDefault="00013B61" w:rsidP="00013B61">
            <w:pPr>
              <w:pStyle w:val="LTVerzDerFragenden"/>
            </w:pPr>
            <w:r>
              <w:t>Rauscher, Doris (SPD)</w:t>
            </w:r>
          </w:p>
        </w:tc>
      </w:tr>
      <w:tr w:rsidR="00013B61" w:rsidRPr="005833DD" w:rsidTr="001F3CDA">
        <w:tc>
          <w:tcPr>
            <w:tcW w:w="5000" w:type="pct"/>
          </w:tcPr>
          <w:p w:rsidR="00013B61" w:rsidRDefault="008A35F1" w:rsidP="00013B61">
            <w:pPr>
              <w:pStyle w:val="LTVerzDerFragendenFrage"/>
            </w:pPr>
            <w:hyperlink w:anchor="Frage_Nr_53" w:tooltip="Frage Nr 53" w:history="1">
              <w:r w:rsidR="00013B61">
                <w:rPr>
                  <w:rStyle w:val="Hyperlink"/>
                  <w:szCs w:val="24"/>
                </w:rPr>
                <w:t>Corona in bayerischen Kindertageseinrichtungen</w:t>
              </w:r>
              <w:r w:rsidR="00013B61">
                <w:rPr>
                  <w:rStyle w:val="Hyperlink"/>
                  <w:szCs w:val="24"/>
                </w:rPr>
                <w:tab/>
                <w:t>53</w:t>
              </w:r>
            </w:hyperlink>
          </w:p>
        </w:tc>
      </w:tr>
      <w:tr w:rsidR="00013B61" w:rsidRPr="005833DD" w:rsidTr="001F3CDA">
        <w:tc>
          <w:tcPr>
            <w:tcW w:w="5000" w:type="pct"/>
          </w:tcPr>
          <w:p w:rsidR="00013B61" w:rsidRDefault="00013B61" w:rsidP="00013B61">
            <w:pPr>
              <w:pStyle w:val="LTVerzDerFragenden"/>
            </w:pPr>
            <w:r>
              <w:t>Ritter, Florian (SPD)</w:t>
            </w:r>
          </w:p>
        </w:tc>
      </w:tr>
      <w:tr w:rsidR="00013B61" w:rsidRPr="005833DD" w:rsidTr="001F3CDA">
        <w:tc>
          <w:tcPr>
            <w:tcW w:w="5000" w:type="pct"/>
          </w:tcPr>
          <w:p w:rsidR="00013B61" w:rsidRDefault="008A35F1" w:rsidP="00013B61">
            <w:pPr>
              <w:pStyle w:val="LTVerzDerFragendenFrage"/>
            </w:pPr>
            <w:hyperlink w:anchor="Frage_Nr_11" w:tooltip="Frage Nr 11" w:history="1">
              <w:r w:rsidR="00013B61">
                <w:rPr>
                  <w:rStyle w:val="Hyperlink"/>
                  <w:szCs w:val="24"/>
                </w:rPr>
                <w:t xml:space="preserve">Demonstration von Querdenkern am Münchner Platz der Opfer des </w:t>
              </w:r>
              <w:r w:rsidR="004A31CB">
                <w:rPr>
                  <w:rStyle w:val="Hyperlink"/>
                  <w:szCs w:val="24"/>
                </w:rPr>
                <w:br/>
              </w:r>
              <w:r w:rsidR="00013B61">
                <w:rPr>
                  <w:rStyle w:val="Hyperlink"/>
                  <w:szCs w:val="24"/>
                </w:rPr>
                <w:t>Nationalsozialismus am 21.11.2021</w:t>
              </w:r>
              <w:r w:rsidR="00013B61">
                <w:rPr>
                  <w:rStyle w:val="Hyperlink"/>
                  <w:szCs w:val="24"/>
                </w:rPr>
                <w:tab/>
                <w:t>11</w:t>
              </w:r>
            </w:hyperlink>
          </w:p>
        </w:tc>
      </w:tr>
      <w:tr w:rsidR="00013B61" w:rsidRPr="005833DD" w:rsidTr="001F3CDA">
        <w:tc>
          <w:tcPr>
            <w:tcW w:w="5000" w:type="pct"/>
          </w:tcPr>
          <w:p w:rsidR="00013B61" w:rsidRDefault="00013B61" w:rsidP="00013B61">
            <w:pPr>
              <w:pStyle w:val="LTVerzDerFragenden"/>
            </w:pPr>
            <w:r>
              <w:t>Sandt, Julika (FDP)</w:t>
            </w:r>
          </w:p>
        </w:tc>
      </w:tr>
      <w:tr w:rsidR="00013B61" w:rsidRPr="005833DD" w:rsidTr="001F3CDA">
        <w:tc>
          <w:tcPr>
            <w:tcW w:w="5000" w:type="pct"/>
          </w:tcPr>
          <w:p w:rsidR="00013B61" w:rsidRDefault="008A35F1" w:rsidP="00013B61">
            <w:pPr>
              <w:pStyle w:val="LTVerzDerFragendenFrage"/>
            </w:pPr>
            <w:hyperlink w:anchor="Frage_Nr_54" w:tooltip="Frage Nr 54" w:history="1">
              <w:r w:rsidR="00013B61">
                <w:rPr>
                  <w:rStyle w:val="Hyperlink"/>
                  <w:szCs w:val="24"/>
                </w:rPr>
                <w:t>Ausbau von Frauenhäusern</w:t>
              </w:r>
              <w:r w:rsidR="00013B61">
                <w:rPr>
                  <w:rStyle w:val="Hyperlink"/>
                  <w:szCs w:val="24"/>
                </w:rPr>
                <w:tab/>
                <w:t>54</w:t>
              </w:r>
            </w:hyperlink>
          </w:p>
        </w:tc>
      </w:tr>
      <w:tr w:rsidR="00013B61" w:rsidRPr="005833DD" w:rsidTr="001F3CDA">
        <w:tc>
          <w:tcPr>
            <w:tcW w:w="5000" w:type="pct"/>
          </w:tcPr>
          <w:p w:rsidR="00013B61" w:rsidRDefault="00013B61" w:rsidP="00013B61">
            <w:pPr>
              <w:pStyle w:val="LTVerzDerFragenden"/>
            </w:pPr>
            <w:r>
              <w:t>Schiffers, Jan (AfD)</w:t>
            </w:r>
          </w:p>
        </w:tc>
      </w:tr>
      <w:tr w:rsidR="00013B61" w:rsidRPr="005833DD" w:rsidTr="001F3CDA">
        <w:tc>
          <w:tcPr>
            <w:tcW w:w="5000" w:type="pct"/>
          </w:tcPr>
          <w:p w:rsidR="00013B61" w:rsidRDefault="008A35F1" w:rsidP="00013B61">
            <w:pPr>
              <w:pStyle w:val="LTVerzDerFragendenFrage"/>
            </w:pPr>
            <w:hyperlink w:anchor="Frage_Nr_12" w:tooltip="Frage Nr 12" w:history="1">
              <w:r w:rsidR="00013B61">
                <w:rPr>
                  <w:rStyle w:val="Hyperlink"/>
                  <w:szCs w:val="24"/>
                </w:rPr>
                <w:t>Belegung des Ankerzentrums Bamberg bei steigenden Infektionszahlen</w:t>
              </w:r>
              <w:r w:rsidR="00013B61">
                <w:rPr>
                  <w:rStyle w:val="Hyperlink"/>
                  <w:szCs w:val="24"/>
                </w:rPr>
                <w:tab/>
                <w:t>12</w:t>
              </w:r>
            </w:hyperlink>
          </w:p>
        </w:tc>
      </w:tr>
      <w:tr w:rsidR="00013B61" w:rsidRPr="005833DD" w:rsidTr="001F3CDA">
        <w:tc>
          <w:tcPr>
            <w:tcW w:w="5000" w:type="pct"/>
          </w:tcPr>
          <w:p w:rsidR="00013B61" w:rsidRDefault="00013B61" w:rsidP="00013B61">
            <w:pPr>
              <w:pStyle w:val="LTVerzDerFragenden"/>
            </w:pPr>
            <w:r>
              <w:t>Schuhknecht, Stephanie (BÜNDNIS 90/DIE GRÜNEN)</w:t>
            </w:r>
          </w:p>
        </w:tc>
      </w:tr>
      <w:tr w:rsidR="00013B61" w:rsidRPr="005833DD" w:rsidTr="001F3CDA">
        <w:tc>
          <w:tcPr>
            <w:tcW w:w="5000" w:type="pct"/>
          </w:tcPr>
          <w:p w:rsidR="00013B61" w:rsidRDefault="008A35F1" w:rsidP="00013B61">
            <w:pPr>
              <w:pStyle w:val="LTVerzDerFragendenFrage"/>
            </w:pPr>
            <w:hyperlink w:anchor="Frage_Nr_55" w:tooltip="Frage Nr 55" w:history="1">
              <w:r w:rsidR="00013B61">
                <w:rPr>
                  <w:rStyle w:val="Hyperlink"/>
                  <w:szCs w:val="24"/>
                </w:rPr>
                <w:t>PCR-Lollitestungen in Kindertagesstätten</w:t>
              </w:r>
              <w:r w:rsidR="00013B61">
                <w:rPr>
                  <w:rStyle w:val="Hyperlink"/>
                  <w:szCs w:val="24"/>
                </w:rPr>
                <w:tab/>
                <w:t>55</w:t>
              </w:r>
            </w:hyperlink>
          </w:p>
        </w:tc>
      </w:tr>
      <w:tr w:rsidR="00013B61" w:rsidRPr="005833DD" w:rsidTr="001F3CDA">
        <w:tc>
          <w:tcPr>
            <w:tcW w:w="5000" w:type="pct"/>
          </w:tcPr>
          <w:p w:rsidR="00013B61" w:rsidRDefault="00013B61" w:rsidP="00013B61">
            <w:pPr>
              <w:pStyle w:val="LTVerzDerFragenden"/>
            </w:pPr>
            <w:r>
              <w:t>Schulze, Katharina (BÜNDNIS 90/DIE GRÜNEN)</w:t>
            </w:r>
          </w:p>
        </w:tc>
      </w:tr>
      <w:tr w:rsidR="00013B61" w:rsidRPr="005833DD" w:rsidTr="001F3CDA">
        <w:tc>
          <w:tcPr>
            <w:tcW w:w="5000" w:type="pct"/>
          </w:tcPr>
          <w:p w:rsidR="00013B61" w:rsidRDefault="008A35F1" w:rsidP="00013B61">
            <w:pPr>
              <w:pStyle w:val="LTVerzDerFragendenFrage"/>
            </w:pPr>
            <w:hyperlink w:anchor="Frage_Nr_13" w:tooltip="Frage Nr 13" w:history="1">
              <w:r w:rsidR="00013B61">
                <w:rPr>
                  <w:rStyle w:val="Hyperlink"/>
                  <w:szCs w:val="24"/>
                </w:rPr>
                <w:t>Reichsbürger</w:t>
              </w:r>
              <w:r w:rsidR="00013B61">
                <w:rPr>
                  <w:rStyle w:val="Hyperlink"/>
                  <w:szCs w:val="24"/>
                </w:rPr>
                <w:tab/>
                <w:t>13</w:t>
              </w:r>
            </w:hyperlink>
          </w:p>
        </w:tc>
      </w:tr>
      <w:tr w:rsidR="00013B61" w:rsidRPr="005833DD" w:rsidTr="001F3CDA">
        <w:tc>
          <w:tcPr>
            <w:tcW w:w="5000" w:type="pct"/>
          </w:tcPr>
          <w:p w:rsidR="00013B61" w:rsidRDefault="00013B61" w:rsidP="00013B61">
            <w:pPr>
              <w:pStyle w:val="LTVerzDerFragenden"/>
            </w:pPr>
            <w:r>
              <w:t>Schuster, Stefan (SPD)</w:t>
            </w:r>
          </w:p>
        </w:tc>
      </w:tr>
      <w:tr w:rsidR="00013B61" w:rsidRPr="005833DD" w:rsidTr="001F3CDA">
        <w:tc>
          <w:tcPr>
            <w:tcW w:w="5000" w:type="pct"/>
          </w:tcPr>
          <w:p w:rsidR="00013B61" w:rsidRDefault="008A35F1" w:rsidP="00013B61">
            <w:pPr>
              <w:pStyle w:val="LTVerzDerFragendenFrage"/>
            </w:pPr>
            <w:hyperlink w:anchor="Frage_Nr_14" w:tooltip="Frage Nr 14" w:history="1">
              <w:r w:rsidR="00013B61">
                <w:rPr>
                  <w:rStyle w:val="Hyperlink"/>
                  <w:szCs w:val="24"/>
                </w:rPr>
                <w:t>Störungen bei Notrufnummern 112 und 110</w:t>
              </w:r>
              <w:r w:rsidR="00013B61">
                <w:rPr>
                  <w:rStyle w:val="Hyperlink"/>
                  <w:szCs w:val="24"/>
                </w:rPr>
                <w:tab/>
                <w:t>14</w:t>
              </w:r>
            </w:hyperlink>
          </w:p>
        </w:tc>
      </w:tr>
      <w:tr w:rsidR="00013B61" w:rsidRPr="005833DD" w:rsidTr="001F3CDA">
        <w:tc>
          <w:tcPr>
            <w:tcW w:w="5000" w:type="pct"/>
          </w:tcPr>
          <w:p w:rsidR="00013B61" w:rsidRDefault="00013B61" w:rsidP="00013B61">
            <w:pPr>
              <w:pStyle w:val="LTVerzDerFragenden"/>
            </w:pPr>
            <w:r>
              <w:t>Schwamberger, Anna (BÜNDNIS 90/DIE GRÜNEN)</w:t>
            </w:r>
          </w:p>
        </w:tc>
      </w:tr>
      <w:tr w:rsidR="00013B61" w:rsidRPr="005833DD" w:rsidTr="001F3CDA">
        <w:tc>
          <w:tcPr>
            <w:tcW w:w="5000" w:type="pct"/>
          </w:tcPr>
          <w:p w:rsidR="00013B61" w:rsidRDefault="008A35F1" w:rsidP="00013B61">
            <w:pPr>
              <w:pStyle w:val="LTVerzDerFragendenFrage"/>
            </w:pPr>
            <w:hyperlink w:anchor="Frage_Nr_43" w:tooltip="Frage Nr 43" w:history="1">
              <w:r w:rsidR="00013B61">
                <w:rPr>
                  <w:rStyle w:val="Hyperlink"/>
                  <w:szCs w:val="24"/>
                </w:rPr>
                <w:t>Windräder in der Oberpfalz</w:t>
              </w:r>
              <w:r w:rsidR="00013B61">
                <w:rPr>
                  <w:rStyle w:val="Hyperlink"/>
                  <w:szCs w:val="24"/>
                </w:rPr>
                <w:tab/>
                <w:t>43</w:t>
              </w:r>
            </w:hyperlink>
          </w:p>
        </w:tc>
      </w:tr>
      <w:tr w:rsidR="00013B61" w:rsidRPr="005833DD" w:rsidTr="001F3CDA">
        <w:tc>
          <w:tcPr>
            <w:tcW w:w="5000" w:type="pct"/>
          </w:tcPr>
          <w:p w:rsidR="00013B61" w:rsidRDefault="00013B61" w:rsidP="00013B61">
            <w:pPr>
              <w:pStyle w:val="LTVerzDerFragenden"/>
            </w:pPr>
            <w:r>
              <w:t>Seidl, Josef (AfD)</w:t>
            </w:r>
          </w:p>
        </w:tc>
      </w:tr>
      <w:tr w:rsidR="00013B61" w:rsidRPr="005833DD" w:rsidTr="001F3CDA">
        <w:tc>
          <w:tcPr>
            <w:tcW w:w="5000" w:type="pct"/>
          </w:tcPr>
          <w:p w:rsidR="00013B61" w:rsidRDefault="008A35F1" w:rsidP="00013B61">
            <w:pPr>
              <w:pStyle w:val="LTVerzDerFragendenFrage"/>
            </w:pPr>
            <w:hyperlink w:anchor="Frage_Nr_70" w:tooltip="Frage Nr 70" w:history="1">
              <w:r w:rsidR="00013B61">
                <w:rPr>
                  <w:rStyle w:val="Hyperlink"/>
                  <w:szCs w:val="24"/>
                </w:rPr>
                <w:t>Ausgleichszahlungen aus der Liquiditätsreserve des Gesundheitsfonds</w:t>
              </w:r>
              <w:r w:rsidR="00013B61">
                <w:rPr>
                  <w:rStyle w:val="Hyperlink"/>
                  <w:szCs w:val="24"/>
                </w:rPr>
                <w:tab/>
                <w:t>70</w:t>
              </w:r>
            </w:hyperlink>
          </w:p>
        </w:tc>
      </w:tr>
      <w:tr w:rsidR="00013B61" w:rsidRPr="005833DD" w:rsidTr="001F3CDA">
        <w:tc>
          <w:tcPr>
            <w:tcW w:w="5000" w:type="pct"/>
          </w:tcPr>
          <w:p w:rsidR="00013B61" w:rsidRDefault="00013B61" w:rsidP="00013B61">
            <w:pPr>
              <w:pStyle w:val="LTVerzDerFragenden"/>
            </w:pPr>
            <w:r>
              <w:t>Sengl, Gisela (BÜNDNIS 90/DIE GRÜNEN)</w:t>
            </w:r>
          </w:p>
        </w:tc>
      </w:tr>
      <w:tr w:rsidR="00013B61" w:rsidRPr="005833DD" w:rsidTr="001F3CDA">
        <w:tc>
          <w:tcPr>
            <w:tcW w:w="5000" w:type="pct"/>
          </w:tcPr>
          <w:p w:rsidR="00013B61" w:rsidRDefault="008A35F1" w:rsidP="00013B61">
            <w:pPr>
              <w:pStyle w:val="LTVerzDerFragendenFrage"/>
            </w:pPr>
            <w:hyperlink w:anchor="Frage_Nr_38" w:tooltip="Frage Nr 38" w:history="1">
              <w:r w:rsidR="00013B61">
                <w:rPr>
                  <w:rStyle w:val="Hyperlink"/>
                  <w:szCs w:val="24"/>
                </w:rPr>
                <w:t>Staatliche Brauereien</w:t>
              </w:r>
              <w:r w:rsidR="00013B61">
                <w:rPr>
                  <w:rStyle w:val="Hyperlink"/>
                  <w:szCs w:val="24"/>
                </w:rPr>
                <w:tab/>
                <w:t>38</w:t>
              </w:r>
            </w:hyperlink>
          </w:p>
        </w:tc>
      </w:tr>
      <w:tr w:rsidR="00013B61" w:rsidRPr="005833DD" w:rsidTr="001F3CDA">
        <w:tc>
          <w:tcPr>
            <w:tcW w:w="5000" w:type="pct"/>
          </w:tcPr>
          <w:p w:rsidR="00013B61" w:rsidRDefault="00013B61" w:rsidP="00013B61">
            <w:pPr>
              <w:pStyle w:val="LTVerzDerFragenden"/>
            </w:pPr>
            <w:r>
              <w:t>Siekmann, Florian (BÜNDNIS 90/DIE GRÜNEN)</w:t>
            </w:r>
          </w:p>
        </w:tc>
      </w:tr>
      <w:tr w:rsidR="00013B61" w:rsidRPr="005833DD" w:rsidTr="001F3CDA">
        <w:tc>
          <w:tcPr>
            <w:tcW w:w="5000" w:type="pct"/>
          </w:tcPr>
          <w:p w:rsidR="00013B61" w:rsidRDefault="008A35F1" w:rsidP="00013B61">
            <w:pPr>
              <w:pStyle w:val="LTVerzDerFragendenFrage"/>
            </w:pPr>
            <w:hyperlink w:anchor="Frage_Nr_20" w:tooltip="Frage Nr 20" w:history="1">
              <w:r w:rsidR="00013B61">
                <w:rPr>
                  <w:rStyle w:val="Hyperlink"/>
                  <w:szCs w:val="24"/>
                </w:rPr>
                <w:t>Sauter: Hinweis auf Mitgliedschaft im Landtag?</w:t>
              </w:r>
              <w:r w:rsidR="00013B61">
                <w:rPr>
                  <w:rStyle w:val="Hyperlink"/>
                  <w:szCs w:val="24"/>
                </w:rPr>
                <w:tab/>
                <w:t>20</w:t>
              </w:r>
            </w:hyperlink>
          </w:p>
        </w:tc>
      </w:tr>
      <w:tr w:rsidR="00013B61" w:rsidRPr="005833DD" w:rsidTr="001F3CDA">
        <w:tc>
          <w:tcPr>
            <w:tcW w:w="5000" w:type="pct"/>
          </w:tcPr>
          <w:p w:rsidR="00013B61" w:rsidRDefault="00013B61" w:rsidP="00013B61">
            <w:pPr>
              <w:pStyle w:val="LTVerzDerFragenden"/>
            </w:pPr>
            <w:r>
              <w:t>Singer, Ulrich (AfD)</w:t>
            </w:r>
          </w:p>
        </w:tc>
      </w:tr>
      <w:tr w:rsidR="00013B61" w:rsidRPr="005833DD" w:rsidTr="001F3CDA">
        <w:tc>
          <w:tcPr>
            <w:tcW w:w="5000" w:type="pct"/>
          </w:tcPr>
          <w:p w:rsidR="00013B61" w:rsidRDefault="008A35F1" w:rsidP="00013B61">
            <w:pPr>
              <w:pStyle w:val="LTVerzDerFragendenFrage"/>
            </w:pPr>
            <w:hyperlink w:anchor="Frage_Nr_71" w:tooltip="Frage Nr 71" w:history="1">
              <w:r w:rsidR="00013B61">
                <w:rPr>
                  <w:rStyle w:val="Hyperlink"/>
                  <w:szCs w:val="24"/>
                </w:rPr>
                <w:t>Bußgelder be</w:t>
              </w:r>
              <w:r w:rsidR="00BE0711">
                <w:rPr>
                  <w:rStyle w:val="Hyperlink"/>
                  <w:szCs w:val="24"/>
                </w:rPr>
                <w:t>i Nichteinhaltung von 2G oder 3</w:t>
              </w:r>
              <w:r w:rsidR="00013B61">
                <w:rPr>
                  <w:rStyle w:val="Hyperlink"/>
                  <w:szCs w:val="24"/>
                </w:rPr>
                <w:t>G für in Bayern</w:t>
              </w:r>
              <w:r w:rsidR="00013B61">
                <w:rPr>
                  <w:rStyle w:val="Hyperlink"/>
                  <w:szCs w:val="24"/>
                </w:rPr>
                <w:tab/>
                <w:t>71</w:t>
              </w:r>
            </w:hyperlink>
          </w:p>
        </w:tc>
      </w:tr>
      <w:tr w:rsidR="00013B61" w:rsidRPr="005833DD" w:rsidTr="001F3CDA">
        <w:tc>
          <w:tcPr>
            <w:tcW w:w="5000" w:type="pct"/>
          </w:tcPr>
          <w:p w:rsidR="00013B61" w:rsidRDefault="00013B61" w:rsidP="00013B61">
            <w:pPr>
              <w:pStyle w:val="LTVerzDerFragenden"/>
            </w:pPr>
            <w:r>
              <w:t>Skutella, Christoph (FDP)</w:t>
            </w:r>
          </w:p>
        </w:tc>
      </w:tr>
      <w:tr w:rsidR="00013B61" w:rsidRPr="005833DD" w:rsidTr="001F3CDA">
        <w:tc>
          <w:tcPr>
            <w:tcW w:w="5000" w:type="pct"/>
          </w:tcPr>
          <w:p w:rsidR="00013B61" w:rsidRDefault="008A35F1" w:rsidP="00013B61">
            <w:pPr>
              <w:pStyle w:val="LTVerzDerFragendenFrage"/>
            </w:pPr>
            <w:hyperlink w:anchor="Frage_Nr_15" w:tooltip="Frage Nr 15" w:history="1">
              <w:r w:rsidR="00013B61">
                <w:rPr>
                  <w:rStyle w:val="Hyperlink"/>
                  <w:szCs w:val="24"/>
                </w:rPr>
                <w:t>Treffen mit russichem Konsul</w:t>
              </w:r>
              <w:r w:rsidR="00013B61">
                <w:rPr>
                  <w:rStyle w:val="Hyperlink"/>
                  <w:szCs w:val="24"/>
                </w:rPr>
                <w:tab/>
                <w:t>15</w:t>
              </w:r>
            </w:hyperlink>
          </w:p>
        </w:tc>
      </w:tr>
      <w:tr w:rsidR="00013B61" w:rsidRPr="005833DD" w:rsidTr="001F3CDA">
        <w:tc>
          <w:tcPr>
            <w:tcW w:w="5000" w:type="pct"/>
          </w:tcPr>
          <w:p w:rsidR="00013B61" w:rsidRDefault="00013B61" w:rsidP="00013B61">
            <w:pPr>
              <w:pStyle w:val="LTVerzDerFragenden"/>
            </w:pPr>
            <w:r>
              <w:t>Sowa, Ursula (BÜNDNIS 90/DIE GRÜNEN)</w:t>
            </w:r>
          </w:p>
        </w:tc>
      </w:tr>
      <w:tr w:rsidR="00013B61" w:rsidRPr="005833DD" w:rsidTr="001F3CDA">
        <w:tc>
          <w:tcPr>
            <w:tcW w:w="5000" w:type="pct"/>
          </w:tcPr>
          <w:p w:rsidR="00013B61" w:rsidRDefault="008A35F1" w:rsidP="00013B61">
            <w:pPr>
              <w:pStyle w:val="LTVerzDerFragendenFrage"/>
            </w:pPr>
            <w:hyperlink w:anchor="Frage_Nr_21" w:tooltip="Frage Nr 21" w:history="1">
              <w:r w:rsidR="00013B61">
                <w:rPr>
                  <w:rStyle w:val="Hyperlink"/>
                  <w:szCs w:val="24"/>
                </w:rPr>
                <w:t>Wohnraumförderung</w:t>
              </w:r>
              <w:r w:rsidR="00013B61">
                <w:rPr>
                  <w:rStyle w:val="Hyperlink"/>
                  <w:szCs w:val="24"/>
                </w:rPr>
                <w:tab/>
                <w:t>21</w:t>
              </w:r>
            </w:hyperlink>
          </w:p>
        </w:tc>
      </w:tr>
      <w:tr w:rsidR="00013B61" w:rsidRPr="005833DD" w:rsidTr="001F3CDA">
        <w:tc>
          <w:tcPr>
            <w:tcW w:w="5000" w:type="pct"/>
          </w:tcPr>
          <w:p w:rsidR="00013B61" w:rsidRDefault="00013B61" w:rsidP="00013B61">
            <w:pPr>
              <w:pStyle w:val="LTVerzDerFragenden"/>
            </w:pPr>
            <w:r>
              <w:t>Dr. Spitzer, Dominik (FDP)</w:t>
            </w:r>
          </w:p>
        </w:tc>
      </w:tr>
      <w:tr w:rsidR="00013B61" w:rsidRPr="005833DD" w:rsidTr="001F3CDA">
        <w:tc>
          <w:tcPr>
            <w:tcW w:w="5000" w:type="pct"/>
          </w:tcPr>
          <w:p w:rsidR="00013B61" w:rsidRDefault="008A35F1" w:rsidP="00013B61">
            <w:pPr>
              <w:pStyle w:val="LTVerzDerFragendenFrage"/>
            </w:pPr>
            <w:hyperlink w:anchor="Frage_Nr_72" w:tooltip="Frage Nr 72" w:history="1">
              <w:r w:rsidR="00013B61">
                <w:rPr>
                  <w:rStyle w:val="Hyperlink"/>
                  <w:szCs w:val="24"/>
                </w:rPr>
                <w:t>Direkte Information und Auffrischungsimpfungen ab 60 Jahren</w:t>
              </w:r>
              <w:r w:rsidR="00013B61">
                <w:rPr>
                  <w:rStyle w:val="Hyperlink"/>
                  <w:szCs w:val="24"/>
                </w:rPr>
                <w:tab/>
                <w:t>72</w:t>
              </w:r>
            </w:hyperlink>
          </w:p>
        </w:tc>
      </w:tr>
      <w:tr w:rsidR="00013B61" w:rsidRPr="005833DD" w:rsidTr="001F3CDA">
        <w:tc>
          <w:tcPr>
            <w:tcW w:w="5000" w:type="pct"/>
          </w:tcPr>
          <w:p w:rsidR="00013B61" w:rsidRDefault="00013B61" w:rsidP="00013B61">
            <w:pPr>
              <w:pStyle w:val="LTVerzDerFragenden"/>
            </w:pPr>
            <w:r>
              <w:t>Stadler, Ralf (AfD)</w:t>
            </w:r>
          </w:p>
        </w:tc>
      </w:tr>
      <w:tr w:rsidR="00013B61" w:rsidRPr="005833DD" w:rsidTr="001F3CDA">
        <w:tc>
          <w:tcPr>
            <w:tcW w:w="5000" w:type="pct"/>
          </w:tcPr>
          <w:p w:rsidR="00013B61" w:rsidRDefault="008A35F1" w:rsidP="00013B61">
            <w:pPr>
              <w:pStyle w:val="LTVerzDerFragendenFrage"/>
            </w:pPr>
            <w:hyperlink w:anchor="Frage_Nr_28" w:tooltip="Frage Nr 28" w:history="1">
              <w:r w:rsidR="00013B61">
                <w:rPr>
                  <w:rStyle w:val="Hyperlink"/>
                  <w:szCs w:val="24"/>
                </w:rPr>
                <w:t>Ferienangebote des Bayerischen Jugendrings e.</w:t>
              </w:r>
              <w:r w:rsidR="00BE0711">
                <w:rPr>
                  <w:rStyle w:val="Hyperlink"/>
                  <w:szCs w:val="24"/>
                </w:rPr>
                <w:t> </w:t>
              </w:r>
              <w:r w:rsidR="00013B61">
                <w:rPr>
                  <w:rStyle w:val="Hyperlink"/>
                  <w:szCs w:val="24"/>
                </w:rPr>
                <w:t xml:space="preserve">V. (BJR) im Rahmen des </w:t>
              </w:r>
              <w:r w:rsidR="004A31CB">
                <w:rPr>
                  <w:rStyle w:val="Hyperlink"/>
                  <w:szCs w:val="24"/>
                </w:rPr>
                <w:br/>
              </w:r>
              <w:r w:rsidR="00013B61">
                <w:rPr>
                  <w:rStyle w:val="Hyperlink"/>
                  <w:szCs w:val="24"/>
                </w:rPr>
                <w:t xml:space="preserve">Förderprogramms </w:t>
              </w:r>
              <w:r w:rsidR="00E832CF">
                <w:rPr>
                  <w:rStyle w:val="Hyperlink"/>
                  <w:szCs w:val="24"/>
                </w:rPr>
                <w:t>„</w:t>
              </w:r>
              <w:r w:rsidR="00013B61">
                <w:rPr>
                  <w:rStyle w:val="Hyperlink"/>
                  <w:szCs w:val="24"/>
                </w:rPr>
                <w:t>gemeinsam.Brücken.bauen</w:t>
              </w:r>
              <w:r w:rsidR="00E832CF">
                <w:rPr>
                  <w:rStyle w:val="Hyperlink"/>
                  <w:szCs w:val="24"/>
                </w:rPr>
                <w:t>“</w:t>
              </w:r>
              <w:r w:rsidR="00013B61">
                <w:rPr>
                  <w:rStyle w:val="Hyperlink"/>
                  <w:szCs w:val="24"/>
                </w:rPr>
                <w:tab/>
                <w:t>28</w:t>
              </w:r>
            </w:hyperlink>
          </w:p>
        </w:tc>
      </w:tr>
      <w:tr w:rsidR="00013B61" w:rsidRPr="005833DD" w:rsidTr="001F3CDA">
        <w:tc>
          <w:tcPr>
            <w:tcW w:w="5000" w:type="pct"/>
          </w:tcPr>
          <w:p w:rsidR="00013B61" w:rsidRDefault="00013B61" w:rsidP="00013B61">
            <w:pPr>
              <w:pStyle w:val="LTVerzDerFragenden"/>
            </w:pPr>
            <w:r>
              <w:t>Steinberger, Rosi (BÜNDNIS 90/DIE GRÜNEN)</w:t>
            </w:r>
          </w:p>
        </w:tc>
      </w:tr>
      <w:tr w:rsidR="00013B61" w:rsidRPr="005833DD" w:rsidTr="001F3CDA">
        <w:tc>
          <w:tcPr>
            <w:tcW w:w="5000" w:type="pct"/>
          </w:tcPr>
          <w:p w:rsidR="00013B61" w:rsidRDefault="008A35F1" w:rsidP="00013B61">
            <w:pPr>
              <w:pStyle w:val="LTVerzDerFragendenFrage"/>
            </w:pPr>
            <w:hyperlink w:anchor="Frage_Nr_48" w:tooltip="Frage Nr 48" w:history="1">
              <w:r w:rsidR="00013B61">
                <w:rPr>
                  <w:rStyle w:val="Hyperlink"/>
                  <w:szCs w:val="24"/>
                </w:rPr>
                <w:t>Verwertung von Schlachtabfällen</w:t>
              </w:r>
              <w:r w:rsidR="00013B61">
                <w:rPr>
                  <w:rStyle w:val="Hyperlink"/>
                  <w:szCs w:val="24"/>
                </w:rPr>
                <w:tab/>
                <w:t>48</w:t>
              </w:r>
            </w:hyperlink>
          </w:p>
        </w:tc>
      </w:tr>
      <w:tr w:rsidR="00013B61" w:rsidRPr="005833DD" w:rsidTr="001F3CDA">
        <w:tc>
          <w:tcPr>
            <w:tcW w:w="5000" w:type="pct"/>
          </w:tcPr>
          <w:p w:rsidR="00013B61" w:rsidRDefault="00013B61" w:rsidP="00013B61">
            <w:pPr>
              <w:pStyle w:val="LTVerzDerFragenden"/>
            </w:pPr>
            <w:r>
              <w:t>Dr. Strohmayr, Simone (SPD)</w:t>
            </w:r>
          </w:p>
        </w:tc>
      </w:tr>
      <w:tr w:rsidR="00013B61" w:rsidRPr="005833DD" w:rsidTr="001F3CDA">
        <w:tc>
          <w:tcPr>
            <w:tcW w:w="5000" w:type="pct"/>
          </w:tcPr>
          <w:p w:rsidR="00013B61" w:rsidRDefault="008A35F1" w:rsidP="00013B61">
            <w:pPr>
              <w:pStyle w:val="LTVerzDerFragendenFrage"/>
            </w:pPr>
            <w:hyperlink w:anchor="Frage_Nr_29" w:tooltip="Frage Nr 29" w:history="1">
              <w:r w:rsidR="00013B61">
                <w:rPr>
                  <w:rStyle w:val="Hyperlink"/>
                  <w:szCs w:val="24"/>
                </w:rPr>
                <w:t>Internetanbindung an Schulen in Schwaben</w:t>
              </w:r>
              <w:r w:rsidR="00013B61">
                <w:rPr>
                  <w:rStyle w:val="Hyperlink"/>
                  <w:szCs w:val="24"/>
                </w:rPr>
                <w:tab/>
                <w:t>29</w:t>
              </w:r>
            </w:hyperlink>
          </w:p>
        </w:tc>
      </w:tr>
      <w:tr w:rsidR="00013B61" w:rsidRPr="005833DD" w:rsidTr="001F3CDA">
        <w:tc>
          <w:tcPr>
            <w:tcW w:w="5000" w:type="pct"/>
          </w:tcPr>
          <w:p w:rsidR="00013B61" w:rsidRDefault="00013B61" w:rsidP="00013B61">
            <w:pPr>
              <w:pStyle w:val="LTVerzDerFragenden"/>
            </w:pPr>
            <w:r>
              <w:t>Stümpfig, Martin (BÜNDNIS 90/DIE GRÜNEN)</w:t>
            </w:r>
          </w:p>
        </w:tc>
      </w:tr>
      <w:tr w:rsidR="00013B61" w:rsidRPr="005833DD" w:rsidTr="001F3CDA">
        <w:tc>
          <w:tcPr>
            <w:tcW w:w="5000" w:type="pct"/>
          </w:tcPr>
          <w:p w:rsidR="00013B61" w:rsidRDefault="008A35F1" w:rsidP="00013B61">
            <w:pPr>
              <w:pStyle w:val="LTVerzDerFragendenFrage"/>
            </w:pPr>
            <w:hyperlink w:anchor="Frage_Nr_49" w:tooltip="Frage Nr 49" w:history="1">
              <w:r w:rsidR="00013B61">
                <w:rPr>
                  <w:rStyle w:val="Hyperlink"/>
                  <w:szCs w:val="24"/>
                </w:rPr>
                <w:t>Förderprogramme Klimagesetz</w:t>
              </w:r>
              <w:r w:rsidR="00013B61">
                <w:rPr>
                  <w:rStyle w:val="Hyperlink"/>
                  <w:szCs w:val="24"/>
                </w:rPr>
                <w:tab/>
                <w:t>49</w:t>
              </w:r>
            </w:hyperlink>
          </w:p>
        </w:tc>
      </w:tr>
      <w:tr w:rsidR="00013B61" w:rsidRPr="005833DD" w:rsidTr="001F3CDA">
        <w:tc>
          <w:tcPr>
            <w:tcW w:w="5000" w:type="pct"/>
          </w:tcPr>
          <w:p w:rsidR="00013B61" w:rsidRDefault="00BE0711" w:rsidP="00013B61">
            <w:pPr>
              <w:pStyle w:val="LTVerzDerFragenden"/>
            </w:pPr>
            <w:r>
              <w:lastRenderedPageBreak/>
              <w:t>Ta</w:t>
            </w:r>
            <w:r>
              <w:rPr>
                <w:rFonts w:cs="Arial"/>
              </w:rPr>
              <w:t>ş</w:t>
            </w:r>
            <w:r w:rsidR="00013B61">
              <w:t>delen, Arif (SPD)</w:t>
            </w:r>
          </w:p>
        </w:tc>
      </w:tr>
      <w:tr w:rsidR="00013B61" w:rsidRPr="005833DD" w:rsidTr="001F3CDA">
        <w:tc>
          <w:tcPr>
            <w:tcW w:w="5000" w:type="pct"/>
          </w:tcPr>
          <w:p w:rsidR="00013B61" w:rsidRDefault="008A35F1" w:rsidP="00013B61">
            <w:pPr>
              <w:pStyle w:val="LTVerzDerFragendenFrage"/>
            </w:pPr>
            <w:hyperlink w:anchor="Frage_Nr_34" w:tooltip="Frage Nr 34" w:history="1">
              <w:r w:rsidR="00013B61">
                <w:rPr>
                  <w:rStyle w:val="Hyperlink"/>
                  <w:szCs w:val="24"/>
                </w:rPr>
                <w:t xml:space="preserve">Grabungen des Bayerischen Landesamtes für Denkmalpflege in </w:t>
              </w:r>
              <w:r w:rsidR="004A31CB">
                <w:rPr>
                  <w:rStyle w:val="Hyperlink"/>
                  <w:szCs w:val="24"/>
                </w:rPr>
                <w:br/>
              </w:r>
              <w:r w:rsidR="00013B61">
                <w:rPr>
                  <w:rStyle w:val="Hyperlink"/>
                  <w:szCs w:val="24"/>
                </w:rPr>
                <w:t>Altdorf bei Nürnberg</w:t>
              </w:r>
              <w:r w:rsidR="00013B61">
                <w:rPr>
                  <w:rStyle w:val="Hyperlink"/>
                  <w:szCs w:val="24"/>
                </w:rPr>
                <w:tab/>
                <w:t>34</w:t>
              </w:r>
            </w:hyperlink>
          </w:p>
        </w:tc>
      </w:tr>
      <w:tr w:rsidR="00013B61" w:rsidRPr="005833DD" w:rsidTr="001F3CDA">
        <w:tc>
          <w:tcPr>
            <w:tcW w:w="5000" w:type="pct"/>
          </w:tcPr>
          <w:p w:rsidR="00013B61" w:rsidRDefault="00013B61" w:rsidP="00013B61">
            <w:pPr>
              <w:pStyle w:val="LTVerzDerFragenden"/>
            </w:pPr>
            <w:r>
              <w:t>Triebel, Gabriele (BÜNDNIS 90/DIE GRÜNEN)</w:t>
            </w:r>
          </w:p>
        </w:tc>
      </w:tr>
      <w:tr w:rsidR="00013B61" w:rsidRPr="005833DD" w:rsidTr="001F3CDA">
        <w:tc>
          <w:tcPr>
            <w:tcW w:w="5000" w:type="pct"/>
          </w:tcPr>
          <w:p w:rsidR="00013B61" w:rsidRDefault="008A35F1" w:rsidP="00013B61">
            <w:pPr>
              <w:pStyle w:val="LTVerzDerFragendenFrage"/>
            </w:pPr>
            <w:hyperlink w:anchor="Frage_Nr_30" w:tooltip="Frage Nr 30" w:history="1">
              <w:r w:rsidR="00013B61">
                <w:rPr>
                  <w:rStyle w:val="Hyperlink"/>
                  <w:szCs w:val="24"/>
                </w:rPr>
                <w:t xml:space="preserve">Bußgelder aufgrund der Verletzung der Schulpflicht bei Verweigerung </w:t>
              </w:r>
              <w:r w:rsidR="004A31CB">
                <w:rPr>
                  <w:rStyle w:val="Hyperlink"/>
                  <w:szCs w:val="24"/>
                </w:rPr>
                <w:br/>
              </w:r>
              <w:r w:rsidR="00013B61">
                <w:rPr>
                  <w:rStyle w:val="Hyperlink"/>
                  <w:szCs w:val="24"/>
                </w:rPr>
                <w:t>von Tests oder Maskentragen</w:t>
              </w:r>
              <w:r w:rsidR="00013B61">
                <w:rPr>
                  <w:rStyle w:val="Hyperlink"/>
                  <w:szCs w:val="24"/>
                </w:rPr>
                <w:tab/>
                <w:t>30</w:t>
              </w:r>
            </w:hyperlink>
          </w:p>
        </w:tc>
      </w:tr>
      <w:tr w:rsidR="00013B61" w:rsidRPr="005833DD" w:rsidTr="001F3CDA">
        <w:tc>
          <w:tcPr>
            <w:tcW w:w="5000" w:type="pct"/>
          </w:tcPr>
          <w:p w:rsidR="00013B61" w:rsidRDefault="00013B61" w:rsidP="00013B61">
            <w:pPr>
              <w:pStyle w:val="LTVerzDerFragenden"/>
            </w:pPr>
            <w:r>
              <w:t>Urban, Hans (BÜNDNIS 90/DIE GRÜNEN)</w:t>
            </w:r>
          </w:p>
        </w:tc>
      </w:tr>
      <w:tr w:rsidR="00013B61" w:rsidRPr="005833DD" w:rsidTr="001F3CDA">
        <w:tc>
          <w:tcPr>
            <w:tcW w:w="5000" w:type="pct"/>
          </w:tcPr>
          <w:p w:rsidR="00013B61" w:rsidRDefault="008A35F1" w:rsidP="00013B61">
            <w:pPr>
              <w:pStyle w:val="LTVerzDerFragendenFrage"/>
            </w:pPr>
            <w:hyperlink w:anchor="Frage_Nr_73" w:tooltip="Frage Nr 73" w:history="1">
              <w:r w:rsidR="00013B61">
                <w:rPr>
                  <w:rStyle w:val="Hyperlink"/>
                  <w:szCs w:val="24"/>
                </w:rPr>
                <w:t>Impfquoten der Beschäftigten in Pflegeeinrichtungen sowie Einrichtungen für Menschen mit Behinderung</w:t>
              </w:r>
              <w:r w:rsidR="00013B61">
                <w:rPr>
                  <w:rStyle w:val="Hyperlink"/>
                  <w:szCs w:val="24"/>
                </w:rPr>
                <w:tab/>
                <w:t>73</w:t>
              </w:r>
            </w:hyperlink>
          </w:p>
        </w:tc>
      </w:tr>
      <w:tr w:rsidR="00013B61" w:rsidRPr="005833DD" w:rsidTr="001F3CDA">
        <w:tc>
          <w:tcPr>
            <w:tcW w:w="5000" w:type="pct"/>
          </w:tcPr>
          <w:p w:rsidR="00013B61" w:rsidRDefault="00013B61" w:rsidP="00013B61">
            <w:pPr>
              <w:pStyle w:val="LTVerzDerFragenden"/>
            </w:pPr>
            <w:r>
              <w:t>Waldmann, Ruth (SPD)</w:t>
            </w:r>
          </w:p>
        </w:tc>
      </w:tr>
      <w:tr w:rsidR="00013B61" w:rsidRPr="005833DD" w:rsidTr="001F3CDA">
        <w:tc>
          <w:tcPr>
            <w:tcW w:w="5000" w:type="pct"/>
          </w:tcPr>
          <w:p w:rsidR="00013B61" w:rsidRDefault="008A35F1" w:rsidP="00013B61">
            <w:pPr>
              <w:pStyle w:val="LTVerzDerFragendenFrage"/>
            </w:pPr>
            <w:hyperlink w:anchor="Frage_Nr_1" w:tooltip="Frage Nr 1" w:history="1">
              <w:r w:rsidR="00013B61">
                <w:rPr>
                  <w:rStyle w:val="Hyperlink"/>
                  <w:szCs w:val="24"/>
                </w:rPr>
                <w:t>Warnung des Bayerischen Ethikrats</w:t>
              </w:r>
              <w:r w:rsidR="00013B61">
                <w:rPr>
                  <w:rStyle w:val="Hyperlink"/>
                  <w:szCs w:val="24"/>
                </w:rPr>
                <w:tab/>
                <w:t>1</w:t>
              </w:r>
            </w:hyperlink>
          </w:p>
        </w:tc>
      </w:tr>
      <w:tr w:rsidR="00013B61" w:rsidRPr="005833DD" w:rsidTr="001F3CDA">
        <w:tc>
          <w:tcPr>
            <w:tcW w:w="5000" w:type="pct"/>
          </w:tcPr>
          <w:p w:rsidR="00013B61" w:rsidRDefault="00013B61" w:rsidP="00013B61">
            <w:pPr>
              <w:pStyle w:val="LTVerzDerFragenden"/>
            </w:pPr>
            <w:r>
              <w:t>Dr. Weigand, Sabine (BÜNDNIS 90/DIE GRÜNEN)</w:t>
            </w:r>
          </w:p>
        </w:tc>
      </w:tr>
      <w:tr w:rsidR="00013B61" w:rsidRPr="005833DD" w:rsidTr="001F3CDA">
        <w:tc>
          <w:tcPr>
            <w:tcW w:w="5000" w:type="pct"/>
          </w:tcPr>
          <w:p w:rsidR="00013B61" w:rsidRDefault="008A35F1" w:rsidP="00013B61">
            <w:pPr>
              <w:pStyle w:val="LTVerzDerFragendenFrage"/>
            </w:pPr>
            <w:hyperlink w:anchor="Frage_Nr_35" w:tooltip="Frage Nr 35" w:history="1">
              <w:r w:rsidR="00013B61">
                <w:rPr>
                  <w:rStyle w:val="Hyperlink"/>
                  <w:szCs w:val="24"/>
                </w:rPr>
                <w:t>Denkmalschutz beim Kulturfonds Bayern</w:t>
              </w:r>
              <w:r w:rsidR="00013B61">
                <w:rPr>
                  <w:rStyle w:val="Hyperlink"/>
                  <w:szCs w:val="24"/>
                </w:rPr>
                <w:tab/>
                <w:t>35</w:t>
              </w:r>
            </w:hyperlink>
          </w:p>
        </w:tc>
      </w:tr>
      <w:tr w:rsidR="00013B61" w:rsidRPr="005833DD" w:rsidTr="001F3CDA">
        <w:tc>
          <w:tcPr>
            <w:tcW w:w="5000" w:type="pct"/>
          </w:tcPr>
          <w:p w:rsidR="00013B61" w:rsidRDefault="00013B61" w:rsidP="00013B61">
            <w:pPr>
              <w:pStyle w:val="LTVerzDerFragenden"/>
            </w:pPr>
            <w:r>
              <w:t>Wild, Margit (SPD)</w:t>
            </w:r>
          </w:p>
        </w:tc>
      </w:tr>
      <w:tr w:rsidR="00013B61" w:rsidRPr="005833DD" w:rsidTr="001F3CDA">
        <w:tc>
          <w:tcPr>
            <w:tcW w:w="5000" w:type="pct"/>
          </w:tcPr>
          <w:p w:rsidR="00013B61" w:rsidRDefault="008A35F1" w:rsidP="00013B61">
            <w:pPr>
              <w:pStyle w:val="LTVerzDerFragendenFrage"/>
            </w:pPr>
            <w:hyperlink w:anchor="Frage_Nr_74" w:tooltip="Frage Nr 74" w:history="1">
              <w:r w:rsidR="00013B61">
                <w:rPr>
                  <w:rStyle w:val="Hyperlink"/>
                  <w:szCs w:val="24"/>
                </w:rPr>
                <w:t>Medizinisches Angebot bei Schwangerschaftsabbrüchen</w:t>
              </w:r>
              <w:r w:rsidR="00013B61">
                <w:rPr>
                  <w:rStyle w:val="Hyperlink"/>
                  <w:szCs w:val="24"/>
                </w:rPr>
                <w:tab/>
                <w:t>74</w:t>
              </w:r>
            </w:hyperlink>
          </w:p>
        </w:tc>
      </w:tr>
      <w:tr w:rsidR="00013B61" w:rsidRPr="005833DD" w:rsidTr="001F3CDA">
        <w:tc>
          <w:tcPr>
            <w:tcW w:w="5000" w:type="pct"/>
          </w:tcPr>
          <w:p w:rsidR="00013B61" w:rsidRDefault="00013B61" w:rsidP="00013B61">
            <w:pPr>
              <w:pStyle w:val="LTVerzDerFragenden"/>
            </w:pPr>
            <w:r>
              <w:t>Winhart, Andreas (AfD)</w:t>
            </w:r>
          </w:p>
        </w:tc>
      </w:tr>
      <w:tr w:rsidR="00013B61" w:rsidRPr="005833DD" w:rsidTr="001F3CDA">
        <w:tc>
          <w:tcPr>
            <w:tcW w:w="5000" w:type="pct"/>
          </w:tcPr>
          <w:p w:rsidR="00013B61" w:rsidRDefault="008A35F1" w:rsidP="00013B61">
            <w:pPr>
              <w:pStyle w:val="LTVerzDerFragendenFrage"/>
            </w:pPr>
            <w:hyperlink w:anchor="Frage_Nr_75" w:tooltip="Frage Nr 75" w:history="1">
              <w:r w:rsidR="00013B61">
                <w:rPr>
                  <w:rStyle w:val="Hyperlink"/>
                  <w:szCs w:val="24"/>
                </w:rPr>
                <w:t>Psychische Erkrankungen im Gesundheitswesen</w:t>
              </w:r>
              <w:r w:rsidR="00013B61">
                <w:rPr>
                  <w:rStyle w:val="Hyperlink"/>
                  <w:szCs w:val="24"/>
                </w:rPr>
                <w:tab/>
                <w:t>75</w:t>
              </w:r>
            </w:hyperlink>
          </w:p>
        </w:tc>
      </w:tr>
      <w:tr w:rsidR="00013B61" w:rsidRPr="005833DD" w:rsidTr="001F3CDA">
        <w:tc>
          <w:tcPr>
            <w:tcW w:w="5000" w:type="pct"/>
          </w:tcPr>
          <w:p w:rsidR="00013B61" w:rsidRDefault="00013B61" w:rsidP="00013B61">
            <w:pPr>
              <w:pStyle w:val="LTVerzDerFragenden"/>
            </w:pPr>
            <w:r>
              <w:t>Zwanziger, Christian (BÜNDNIS 90/DIE GRÜNEN)</w:t>
            </w:r>
          </w:p>
        </w:tc>
      </w:tr>
      <w:tr w:rsidR="00013B61" w:rsidRPr="005833DD" w:rsidTr="001F3CDA">
        <w:tc>
          <w:tcPr>
            <w:tcW w:w="5000" w:type="pct"/>
          </w:tcPr>
          <w:p w:rsidR="00013B61" w:rsidRDefault="008A35F1" w:rsidP="00013B61">
            <w:pPr>
              <w:pStyle w:val="LTVerzDerFragendenFrage"/>
            </w:pPr>
            <w:hyperlink w:anchor="Frage_Nr_44" w:tooltip="Frage Nr 44" w:history="1">
              <w:r w:rsidR="00013B61">
                <w:rPr>
                  <w:rStyle w:val="Hyperlink"/>
                  <w:szCs w:val="24"/>
                </w:rPr>
                <w:t>Zugriffszahlen Ausflugsticker</w:t>
              </w:r>
              <w:r w:rsidR="00013B61">
                <w:rPr>
                  <w:rStyle w:val="Hyperlink"/>
                  <w:szCs w:val="24"/>
                </w:rPr>
                <w:tab/>
                <w:t>44</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013B61" w:rsidP="00013B61">
      <w:pPr>
        <w:pStyle w:val="LTUeberschrRessort"/>
      </w:pPr>
      <w:bookmarkStart w:id="2" w:name="FragenNachGeschBereichen"/>
      <w:bookmarkEnd w:id="2"/>
      <w:r>
        <w:lastRenderedPageBreak/>
        <w:t>Geschäftsbereich der Staatskanzlei</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699B" w:rsidTr="0078699B">
        <w:tc>
          <w:tcPr>
            <w:tcW w:w="1854" w:type="dxa"/>
          </w:tcPr>
          <w:p w:rsidR="0078699B" w:rsidRDefault="0078699B" w:rsidP="0078699B">
            <w:pPr>
              <w:pStyle w:val="LTAnfrageInitiator"/>
            </w:pPr>
            <w:r>
              <w:t>Abgeordnete</w:t>
            </w:r>
            <w:r>
              <w:rPr>
                <w:b/>
              </w:rPr>
              <w:br/>
              <w:t>Ruth</w:t>
            </w:r>
            <w:r>
              <w:rPr>
                <w:b/>
              </w:rPr>
              <w:br/>
              <w:t>Waldmann</w:t>
            </w:r>
            <w:r>
              <w:rPr>
                <w:b/>
              </w:rPr>
              <w:br/>
            </w:r>
            <w:r>
              <w:t>(SPD)</w:t>
            </w:r>
            <w:bookmarkStart w:id="3" w:name="Frage_Nr_1"/>
            <w:bookmarkEnd w:id="3"/>
          </w:p>
        </w:tc>
        <w:tc>
          <w:tcPr>
            <w:tcW w:w="5762" w:type="dxa"/>
          </w:tcPr>
          <w:p w:rsidR="0078699B" w:rsidRPr="0078699B" w:rsidRDefault="0078699B" w:rsidP="0078699B">
            <w:pPr>
              <w:pStyle w:val="LTAnfrageText"/>
            </w:pPr>
            <w:r w:rsidRPr="0078699B">
              <w:t>Ich frage die Staatsregierung, warum wurde die Warnung des bayerischen Ethikrats vom 10.06.2021, nicht „die Aufmerksamkeitsspannung bei der Bewältigung der Pandemie und ihrer Folgen aus dem Blick zu verlieren und dann im Herbst von absehbaren Entwicklungen überrascht zu werden“ und die daraus folgenden Empfehlungen einer „interdisziplinären Task Force“ und gezielter Impfkampagnen mit dem Ziel, „im kommenden Herbst und Winter ohne radikale Kontaktbeschränkungen und ohne Lockdowns auszukommen“, von der Staatsregierung nicht aufgegriffen, und wieso wurde der im Frühjahr 2020 einberufene medizinische Expertenrat zur Coronakrise nach einem Jahr wieder aufgelöst, obwohl die Coronakrise keineswegs vorbei war?</w:t>
            </w:r>
          </w:p>
        </w:tc>
        <w:tc>
          <w:tcPr>
            <w:tcW w:w="5762" w:type="dxa"/>
          </w:tcPr>
          <w:p w:rsidR="0078699B" w:rsidRDefault="0078699B" w:rsidP="0078699B">
            <w:pPr>
              <w:pStyle w:val="LTAnfrageText"/>
            </w:pPr>
          </w:p>
        </w:tc>
      </w:tr>
    </w:tbl>
    <w:p w:rsidR="00013B61" w:rsidRDefault="00013B61" w:rsidP="00013B61">
      <w:pPr>
        <w:pStyle w:val="LTUeberschrAntwortRessort"/>
      </w:pPr>
      <w:r>
        <w:t>Antwort der Staatskanzlei</w:t>
      </w:r>
    </w:p>
    <w:p w:rsidR="00013B61" w:rsidRDefault="00013B61" w:rsidP="00013B61">
      <w:pPr>
        <w:pStyle w:val="LTAntwortRessortText"/>
      </w:pPr>
      <w:r>
        <w:t xml:space="preserve">Die Staatsregierung und der </w:t>
      </w:r>
      <w:r w:rsidR="00C238BD">
        <w:t>b</w:t>
      </w:r>
      <w:r>
        <w:t>ayeri</w:t>
      </w:r>
      <w:r w:rsidR="00BE0711">
        <w:t xml:space="preserve">sche Ethikrat ziehen in der </w:t>
      </w:r>
      <w:r>
        <w:t>Coronakrise an einem Strang und verfolgen dasselbe Ziel: eine entschlossene Bekämpfung bei größtmöglichem Schutz der Bevölkerung. Hierin ist sich die Staatsregierung auch mit fortlaufend herbeigezogenen medizinischen und anderen Experten einig. Sowohl der Dialog mit de</w:t>
      </w:r>
      <w:r w:rsidR="0057765F">
        <w:t>m Ethikrat als auch die Beratun</w:t>
      </w:r>
      <w:r>
        <w:t>gen mit fachlich zuständigen Wissenschaftlern erfolgen in großer Einigkeit mit dem klaren gemeinsamen Ziel der bestmöglichen Pandemiebekämpfung.</w:t>
      </w:r>
    </w:p>
    <w:p w:rsidR="00013B61" w:rsidRDefault="00013B61">
      <w:bookmarkStart w:id="4" w:name="Frage_Nr_1_Ende"/>
      <w:bookmarkEnd w:id="4"/>
      <w:r>
        <w:br w:type="page"/>
      </w:r>
    </w:p>
    <w:p w:rsidR="00013B61" w:rsidRDefault="00013B61" w:rsidP="00013B61">
      <w:pPr>
        <w:pStyle w:val="LTUeberschrRessort"/>
      </w:pPr>
      <w:r>
        <w:lastRenderedPageBreak/>
        <w:t>Geschäftsbereich des Staatsministeriums des Innern, für Sport und Integration</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699B" w:rsidTr="0078699B">
        <w:tc>
          <w:tcPr>
            <w:tcW w:w="1854" w:type="dxa"/>
          </w:tcPr>
          <w:p w:rsidR="0078699B" w:rsidRDefault="0078699B" w:rsidP="0078699B">
            <w:pPr>
              <w:pStyle w:val="LTAnfrageInitiator"/>
            </w:pPr>
            <w:r>
              <w:t>Abgeordneter</w:t>
            </w:r>
            <w:r>
              <w:rPr>
                <w:b/>
              </w:rPr>
              <w:br/>
              <w:t>Klaus</w:t>
            </w:r>
            <w:r>
              <w:rPr>
                <w:b/>
              </w:rPr>
              <w:br/>
              <w:t>Adelt</w:t>
            </w:r>
            <w:r>
              <w:rPr>
                <w:b/>
              </w:rPr>
              <w:br/>
            </w:r>
            <w:r>
              <w:t>(SPD)</w:t>
            </w:r>
            <w:bookmarkStart w:id="5" w:name="Frage_Nr_2"/>
            <w:bookmarkEnd w:id="5"/>
          </w:p>
        </w:tc>
        <w:tc>
          <w:tcPr>
            <w:tcW w:w="5762" w:type="dxa"/>
          </w:tcPr>
          <w:p w:rsidR="0078699B" w:rsidRPr="0078699B" w:rsidRDefault="0078699B" w:rsidP="00C238BD">
            <w:pPr>
              <w:pStyle w:val="LTAnfrageText"/>
            </w:pPr>
            <w:r w:rsidRPr="0078699B">
              <w:t>Nachdem im Zuge der unter dem Titel „Heimat</w:t>
            </w:r>
            <w:r w:rsidR="00C238BD">
              <w:t>s</w:t>
            </w:r>
            <w:r w:rsidRPr="0078699B">
              <w:t>trategie“ stattfindenden Behördenverlagerungen in der zweiten Stufe in Hof ein neues Logistikzentrum der Polizei entstehen soll und der genaue Bedarf hierzu bis Herbst 2021 ermittelt werden sollte, frage ich die Staatsregierung, wie weit sind die Planungen für ein Polizei</w:t>
            </w:r>
            <w:r w:rsidR="00C238BD">
              <w:t>b</w:t>
            </w:r>
            <w:r w:rsidRPr="0078699B">
              <w:t>eschaffungsamt in Hof vorangeschritten, wo soll das Logistik</w:t>
            </w:r>
            <w:r w:rsidR="00C238BD">
              <w:t>z</w:t>
            </w:r>
            <w:r w:rsidRPr="0078699B">
              <w:t>entrum entstehen (bitte Angabe zu Stadt- oder Landkreis Hof) und wie sieht der Zeitplan aus?</w:t>
            </w:r>
          </w:p>
        </w:tc>
        <w:tc>
          <w:tcPr>
            <w:tcW w:w="5762"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Zum aktuellen Stand des Projektes kann noch kein verlässliche</w:t>
      </w:r>
      <w:r w:rsidR="0057765F">
        <w:t>r und konkreter Zeithorizont de</w:t>
      </w:r>
      <w:r>
        <w:t>finiert werden.</w:t>
      </w:r>
    </w:p>
    <w:p w:rsidR="00013B61" w:rsidRDefault="00013B61" w:rsidP="00013B61">
      <w:pPr>
        <w:pStyle w:val="LTAntwortRessortText"/>
      </w:pPr>
      <w:r>
        <w:t>Bei der Planung und Umsetzung eines Logistikzentrums d</w:t>
      </w:r>
      <w:r w:rsidR="0057765F">
        <w:t>er Polizei Bayern müssen die As</w:t>
      </w:r>
      <w:r>
        <w:t>pekte Liegenschaft, IT und Prozessmanagement, aber auch die P</w:t>
      </w:r>
      <w:r w:rsidR="0057765F">
        <w:t>ersonalrekrutierung berück</w:t>
      </w:r>
      <w:r>
        <w:t>sichtigt werden. Der Konzeptionierungsprozess ist hier noch nicht abgeschlossen. Im Zuge der Projektarbeit sind verschiedene Lösungsvarianten und Abhäng</w:t>
      </w:r>
      <w:r w:rsidR="0057765F">
        <w:t>igkeiten zu prüfen und zu bewer</w:t>
      </w:r>
      <w:r>
        <w:t>ten.</w:t>
      </w:r>
    </w:p>
    <w:p w:rsidR="00013B61" w:rsidRDefault="00013B61" w:rsidP="00013B61">
      <w:pPr>
        <w:pStyle w:val="LTAntwortRessortText"/>
      </w:pPr>
      <w:r>
        <w:t xml:space="preserve">Zur Klärung fachlicher Aspekte im Bereich Lagerlogistik </w:t>
      </w:r>
      <w:r w:rsidR="0057765F">
        <w:t>muss zudem auf Fachexpertise zu</w:t>
      </w:r>
      <w:r>
        <w:t>rückgegriffen werden. Hierzu wurde bereits ein Ausschreib</w:t>
      </w:r>
      <w:r w:rsidR="0057765F">
        <w:t>ungsverfahren für einen Logisti</w:t>
      </w:r>
      <w:r>
        <w:t>ker/Logistikberater durchgeführt. Dieses steht unmittelbar vor</w:t>
      </w:r>
      <w:r w:rsidR="0057765F">
        <w:t xml:space="preserve"> der Bezuschlagung. Die entspre</w:t>
      </w:r>
      <w:r>
        <w:t>chende Expertise wird benötigt, um die Bedarfe und Abläufe des Logistikzentrums zu planen und den Flächenbedarf bestimmen zu können. Mit diesen Grundlagen kann die Immobilien Freistaat Bayern dann ein Flächenmanagementverfahren in die Wege leiten. Erst dann ist eine Angabe zum genauen Standort möglich.</w:t>
      </w:r>
    </w:p>
    <w:p w:rsidR="00013B61" w:rsidRDefault="00013B61">
      <w:bookmarkStart w:id="6" w:name="Frage_Nr_2_Ende"/>
      <w:bookmarkEnd w:id="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699B" w:rsidTr="0078699B">
        <w:tc>
          <w:tcPr>
            <w:tcW w:w="1854" w:type="dxa"/>
          </w:tcPr>
          <w:p w:rsidR="0078699B" w:rsidRDefault="0078699B" w:rsidP="0078699B">
            <w:pPr>
              <w:pStyle w:val="LTAnfrageInitiator"/>
            </w:pPr>
            <w:r>
              <w:lastRenderedPageBreak/>
              <w:t>Abgeordnete</w:t>
            </w:r>
            <w:r>
              <w:rPr>
                <w:b/>
              </w:rPr>
              <w:br/>
              <w:t>Inge</w:t>
            </w:r>
            <w:r>
              <w:rPr>
                <w:b/>
              </w:rPr>
              <w:br/>
              <w:t>Aures</w:t>
            </w:r>
            <w:r>
              <w:rPr>
                <w:b/>
              </w:rPr>
              <w:br/>
            </w:r>
            <w:r>
              <w:t>(SPD)</w:t>
            </w:r>
            <w:bookmarkStart w:id="7" w:name="Frage_Nr_3"/>
            <w:bookmarkEnd w:id="7"/>
          </w:p>
        </w:tc>
        <w:tc>
          <w:tcPr>
            <w:tcW w:w="5762" w:type="dxa"/>
          </w:tcPr>
          <w:p w:rsidR="0078699B" w:rsidRPr="00D0635E" w:rsidRDefault="0078699B" w:rsidP="00D0635E">
            <w:pPr>
              <w:pStyle w:val="LTAnfrageText"/>
            </w:pPr>
            <w:r w:rsidRPr="00D0635E">
              <w:t>Nachdem die Staatsregierung das Gebäude der Grenzpolizeiinspektion (GPI) Selb laut eigener Aussage als sanierungsbedürftig führt (siehe Antwort der Staatsregierung auf die Schriftliche Anfrage von Markus Rinderspacher, Drs. 18/6949</w:t>
            </w:r>
            <w:r w:rsidR="00E353BE">
              <w:t xml:space="preserve"> S. 16</w:t>
            </w:r>
            <w:r w:rsidRPr="00D0635E">
              <w:t>), frage ich die Staatsregierung, wie ist der Sachstand der Sanierung der GPI Selb, welche Sanierungsarbeiten müssten (bit</w:t>
            </w:r>
            <w:r w:rsidR="00BE0711">
              <w:t>te mit Angabe zum finanziellen U</w:t>
            </w:r>
            <w:r w:rsidRPr="00D0635E">
              <w:t>mfang) geleistet werden, und aus welchen Gründen priorisiert die Staatsregierung die Sanierung der GPI Selb bislang nicht?</w:t>
            </w:r>
          </w:p>
        </w:tc>
        <w:tc>
          <w:tcPr>
            <w:tcW w:w="5762"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Bei der GPI Selb wurde bereits der Keller trockengelegt u</w:t>
      </w:r>
      <w:r w:rsidR="0057765F">
        <w:t>nd ein neuer EDV-Raum eingerich</w:t>
      </w:r>
      <w:r>
        <w:t>tet. In einem nächsten Schritt werden die Raumzuschnitte angepasst, die Verkabelung erneuert und weitere Renovierungsarbeiten durchgeführt. Die Kosten</w:t>
      </w:r>
      <w:r w:rsidR="0057765F">
        <w:t xml:space="preserve"> dafür werden mit 300.000 </w:t>
      </w:r>
      <w:r w:rsidR="00BE0711">
        <w:t>Euro</w:t>
      </w:r>
      <w:r w:rsidR="0057765F">
        <w:t xml:space="preserve"> ver</w:t>
      </w:r>
      <w:r>
        <w:t>anschlagt. Aufgrund nur begrenzt zur Verfügung stehenden Haushaltsmitteln können nicht alle Bauunterhaltsmaßnahmen sofort und gleichzeitig durchgefüh</w:t>
      </w:r>
      <w:r w:rsidR="0057765F">
        <w:t>rt werden. Gleichzeitig wird ge</w:t>
      </w:r>
      <w:r>
        <w:t>prüft, wie der Raumbedarf der GPI Selb mittel- und langfristig am besten gedeckt werden kann, insbesondere ob am derzeitigen Standort Erweiterungs- bzw. Neubaumaßnahmen sinnvoll sind oder ein völlig neuer Standort gewählt werden soll.</w:t>
      </w:r>
    </w:p>
    <w:p w:rsidR="00013B61" w:rsidRDefault="00013B61">
      <w:bookmarkStart w:id="8" w:name="Frage_Nr_3_Ende"/>
      <w:bookmarkEnd w:id="8"/>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78699B" w:rsidTr="0078699B">
        <w:tc>
          <w:tcPr>
            <w:tcW w:w="1900" w:type="dxa"/>
          </w:tcPr>
          <w:p w:rsidR="0078699B" w:rsidRDefault="0078699B" w:rsidP="0078699B">
            <w:pPr>
              <w:pStyle w:val="LTAnfrageInitiator"/>
            </w:pPr>
            <w:r>
              <w:lastRenderedPageBreak/>
              <w:t>Abgeordneter</w:t>
            </w:r>
            <w:r>
              <w:rPr>
                <w:b/>
              </w:rPr>
              <w:br/>
              <w:t>Cemal</w:t>
            </w:r>
            <w:r>
              <w:rPr>
                <w:b/>
              </w:rPr>
              <w:br/>
              <w:t>Bozo</w:t>
            </w:r>
            <w:r>
              <w:rPr>
                <w:rFonts w:cs="Arial"/>
                <w:b/>
              </w:rPr>
              <w:t>ğ</w:t>
            </w:r>
            <w:r>
              <w:rPr>
                <w:b/>
              </w:rPr>
              <w:t>lu</w:t>
            </w:r>
            <w:r>
              <w:rPr>
                <w:b/>
              </w:rPr>
              <w:br/>
            </w:r>
            <w:r>
              <w:t>(BÜNDNIS 90/DIE GRÜNEN)</w:t>
            </w:r>
            <w:bookmarkStart w:id="9" w:name="Frage_Nr_4"/>
            <w:bookmarkEnd w:id="9"/>
          </w:p>
        </w:tc>
        <w:tc>
          <w:tcPr>
            <w:tcW w:w="5716" w:type="dxa"/>
          </w:tcPr>
          <w:p w:rsidR="0078699B" w:rsidRPr="00D0635E" w:rsidRDefault="0078699B" w:rsidP="00D0635E">
            <w:pPr>
              <w:pStyle w:val="LTAnfrageText"/>
            </w:pPr>
            <w:r w:rsidRPr="00D0635E">
              <w:t>Vor dem Hintergrund einer journalistischen Meldung über die Teilnahme von Personen aus teilweise rechtsextremen und partiell vom Landesamt für Verfassungsschutz beobachteten  Organisationen (AfD, Junge Alternative, Burschenschaft „Danubia“), an der offiziellen Gedenkveranstaltung am Volkstrauertag am 14.11.2021 im Münchner Hofgarten, frage ich die Staatsregierung, ob es für die Veranstaltung eine Gästeliste gab, welche Behörde diese im Fall eines Bestehens erstellt hat und wie die Staatsregierung in Zukunft sicherstellen will, dass Personen aus rechtsextremen Organisationen nicht mehr an offiziellen Gedenkveranstaltungen zum Volkstrauertag in Bayern teilnehmen können?</w:t>
            </w:r>
          </w:p>
        </w:tc>
        <w:tc>
          <w:tcPr>
            <w:tcW w:w="5716"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BE0711" w:rsidP="00013B61">
      <w:pPr>
        <w:pStyle w:val="LTAntwortRessortText"/>
      </w:pPr>
      <w:r>
        <w:t>Am 14.11.</w:t>
      </w:r>
      <w:r w:rsidR="00013B61">
        <w:t xml:space="preserve">2021 fand in München die Landesfeier zum </w:t>
      </w:r>
      <w:r w:rsidR="0057765F">
        <w:t>Volkstrauertag statt. Veranstal</w:t>
      </w:r>
      <w:r w:rsidR="00013B61">
        <w:t>ter der Landesfeier ist der Volksbund Deutscher Kriegsgräberfürsorge e.</w:t>
      </w:r>
      <w:r>
        <w:t> </w:t>
      </w:r>
      <w:r w:rsidR="00013B61">
        <w:t>V., Landesverband Bayern. Dieser organisiert die Feierlichkeiten und ist auch für die Einladungen und den Zugang zur Veranstaltung verantwortlich.</w:t>
      </w:r>
    </w:p>
    <w:p w:rsidR="00013B61" w:rsidRDefault="00013B61" w:rsidP="00013B61">
      <w:pPr>
        <w:pStyle w:val="LTAntwortRessortText"/>
      </w:pPr>
      <w:r>
        <w:t xml:space="preserve">Die Totenehrung und Kranzniederlegung mit militärischem Zeremoniell fand am </w:t>
      </w:r>
      <w:r w:rsidR="00E832CF">
        <w:t>„</w:t>
      </w:r>
      <w:r>
        <w:t>Grabmal des unbekannten Soldaten</w:t>
      </w:r>
      <w:r w:rsidR="00E832CF">
        <w:t>“</w:t>
      </w:r>
      <w:r>
        <w:t xml:space="preserve"> im unteren Hofgarten statt.</w:t>
      </w:r>
    </w:p>
    <w:p w:rsidR="00013B61" w:rsidRDefault="00013B61" w:rsidP="00261217">
      <w:pPr>
        <w:pStyle w:val="LTAntwortRessortText"/>
        <w:spacing w:before="0"/>
      </w:pPr>
      <w:r>
        <w:t>Das Grabmal liegt im öffentlich zugänglichen Teil des Hofgarte</w:t>
      </w:r>
      <w:r w:rsidR="0057765F">
        <w:t>ns und ist grundsätzlich für je</w:t>
      </w:r>
      <w:r>
        <w:t>dermann zugänglich. Während der Veranstaltung wird der Bereich d</w:t>
      </w:r>
      <w:r w:rsidR="0057765F">
        <w:t>urch einen privaten Sicher</w:t>
      </w:r>
      <w:r>
        <w:t xml:space="preserve">heitsdienst abgesperrt, so dass grundsätzlich nur Berechtigte </w:t>
      </w:r>
      <w:r w:rsidR="0057765F">
        <w:t>der Veranstaltung beiwohnen kön</w:t>
      </w:r>
      <w:r>
        <w:t>nen.</w:t>
      </w:r>
    </w:p>
    <w:p w:rsidR="00013B61" w:rsidRDefault="00013B61" w:rsidP="00013B61">
      <w:pPr>
        <w:pStyle w:val="LTAntwortRessortText"/>
      </w:pPr>
      <w:r>
        <w:t>Nach Ende der Veranstaltung ist das Grabmal wieder öffentlich zugänglich.</w:t>
      </w:r>
    </w:p>
    <w:p w:rsidR="00013B61" w:rsidRDefault="00013B61" w:rsidP="00013B61">
      <w:pPr>
        <w:pStyle w:val="LTAntwortRessortText"/>
      </w:pPr>
      <w:r>
        <w:t>Die Staatsregierung ist zwar nicht Veranstalter, legt aber dennoch Wert darauf, dass nur solche Gruppierungen eingeladen werden, die durch ihr aktives Bekenntnis zu unserer freiheitlichen demokratischen Grundordnung keine Zweifel aufkommen lassen, dass sie fest auf den Boden</w:t>
      </w:r>
      <w:r w:rsidR="00E832CF">
        <w:t xml:space="preserve"> </w:t>
      </w:r>
      <w:r>
        <w:t>unserer Verfassung stehen. Eine Teilnahme von extremistis</w:t>
      </w:r>
      <w:r w:rsidR="0057765F">
        <w:t>chen Gruppierungen an Veranstal</w:t>
      </w:r>
      <w:r>
        <w:t>tungen zum Volkstrauertag lehnt die Staatsregierung unmissvers</w:t>
      </w:r>
      <w:r w:rsidR="0057765F">
        <w:t>tändlich ab. Es ist daher beste</w:t>
      </w:r>
      <w:r>
        <w:t>hende Praxis, dass der Volksbund Deutscher Kriegsgräberfürsorge e.</w:t>
      </w:r>
      <w:r w:rsidR="00BE0711">
        <w:t> </w:t>
      </w:r>
      <w:r>
        <w:t xml:space="preserve">V., Landesverband Bayern seine Einladungslisten vor Versand rechtzeitig dem Staatsministerium des Innern, für Sport und Integration zur verfassungsschutzrechtlichen Prüfung und </w:t>
      </w:r>
      <w:r w:rsidR="0057765F">
        <w:t>Abstimmung übersendet. Eine ent</w:t>
      </w:r>
      <w:r>
        <w:t>sprechende vorherige Abstimmung der Einladungslisten ist auch in diesem Jahr erfolgt. Dabei haben sich auf der Einladungsliste keine Hinweise</w:t>
      </w:r>
      <w:r w:rsidR="00BE0711">
        <w:t xml:space="preserve"> auf unter der Beobachtung des </w:t>
      </w:r>
      <w:r>
        <w:t>Landesamtes für Verfassungsschutz stehende Organisationen ergeben. Es steht außer Zweifel, dass diese Praxis auch in Zukunft zur Anwendung kommen wird.</w:t>
      </w:r>
    </w:p>
    <w:p w:rsidR="00013B61" w:rsidRDefault="00013B61">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8699B" w:rsidTr="0078699B">
        <w:tc>
          <w:tcPr>
            <w:tcW w:w="1883" w:type="dxa"/>
          </w:tcPr>
          <w:p w:rsidR="0078699B" w:rsidRDefault="0078699B" w:rsidP="0078699B">
            <w:pPr>
              <w:pStyle w:val="LTAnfrageInitiator"/>
            </w:pPr>
            <w:r>
              <w:lastRenderedPageBreak/>
              <w:t>Abgeordnete</w:t>
            </w:r>
            <w:r>
              <w:rPr>
                <w:b/>
              </w:rPr>
              <w:br/>
              <w:t>Gülseren</w:t>
            </w:r>
            <w:r>
              <w:rPr>
                <w:b/>
              </w:rPr>
              <w:br/>
              <w:t>Demirel</w:t>
            </w:r>
            <w:r>
              <w:rPr>
                <w:b/>
              </w:rPr>
              <w:br/>
            </w:r>
            <w:r>
              <w:t>(BÜNDNIS 90/DIE GRÜNEN)</w:t>
            </w:r>
            <w:bookmarkStart w:id="11" w:name="Frage_Nr_5"/>
            <w:bookmarkEnd w:id="11"/>
          </w:p>
        </w:tc>
        <w:tc>
          <w:tcPr>
            <w:tcW w:w="5733" w:type="dxa"/>
          </w:tcPr>
          <w:p w:rsidR="0078699B" w:rsidRPr="00D0635E" w:rsidRDefault="0078699B" w:rsidP="00D0635E">
            <w:pPr>
              <w:pStyle w:val="LTAnfrageText"/>
            </w:pPr>
            <w:r w:rsidRPr="00D0635E">
              <w:t>Ich frage die Staatsregierung, wie möchte sie vermeiden, dass es zu keinen (Ketten-)Quarantänen in den Flüchtlingsunterkünften während der sog. vierte Welle der Coronapandemie in Bayern kommt, wie viele Geflüchtete sind in den bayerischen Flüchtlingsunterkünften gegen Corona geimpft (bitte nach einmal geimpft und vollständig immunisiert trennen und die Maßnahmen auflisten, die zu eine</w:t>
            </w:r>
            <w:r w:rsidR="008D1A94">
              <w:t>r</w:t>
            </w:r>
            <w:r w:rsidRPr="00D0635E">
              <w:t xml:space="preserve"> Erhöhung der Impfquote führen soll</w:t>
            </w:r>
            <w:r w:rsidR="008D1A94">
              <w:t>en</w:t>
            </w:r>
            <w:r w:rsidRPr="00D0635E">
              <w:t>), warum sind noch nicht alle Flüchtlingsunterkünfte in Bayern mit WLAN ausgestattet, obwohl hier ein Vertrag mit einem externen Dienstleister geschlossen und die flächendeckende Internetversorgung seitens der Staatsregierung angedacht ist (bitte die Zahl der Flüchtlingsunterkünfte nach Regierungsbezirken und nach Unterbringungsarten [ANKER-Zentren, zentrale und dezentrale Unterkünfte] auflisten, die mit WLAN ausgestattet sind)?</w:t>
            </w:r>
          </w:p>
        </w:tc>
        <w:tc>
          <w:tcPr>
            <w:tcW w:w="5733"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Oberstes Gebot aller Maßnahmen ist der Schutz der Gesundheit und die Infektionsprävention in allen bayerischen Asylunterkünften. Dies gilt auch im Rahmen der sog. vierten Welle.</w:t>
      </w:r>
    </w:p>
    <w:p w:rsidR="00013B61" w:rsidRDefault="00013B61" w:rsidP="00261217">
      <w:pPr>
        <w:pStyle w:val="LTAntwortRessortText"/>
        <w:spacing w:before="0"/>
      </w:pPr>
      <w:r>
        <w:t>Die Staatsregierung setzt dabei auf drei Säulen:</w:t>
      </w:r>
    </w:p>
    <w:p w:rsidR="00013B61" w:rsidRDefault="00013B61" w:rsidP="00013B61">
      <w:pPr>
        <w:pStyle w:val="LTAntwortRessortText"/>
      </w:pPr>
      <w:r w:rsidRPr="00BE0711">
        <w:rPr>
          <w:b/>
        </w:rPr>
        <w:t>Prävention:</w:t>
      </w:r>
      <w:r>
        <w:t xml:space="preserve"> Einer Ausbreitung von COVID-19 soll durch hohe Hygienestandards vorgebeugt werden. Diesem Ziel dient auch eine hohe Anzahl von Test</w:t>
      </w:r>
      <w:r w:rsidR="008D1A94">
        <w:t>ungen zur Aufdeckung des Dunkel</w:t>
      </w:r>
      <w:r>
        <w:t xml:space="preserve">felds und damit verbunden möglichst die Vermeidung eines unerkannten </w:t>
      </w:r>
      <w:r w:rsidR="00E832CF">
        <w:t>„</w:t>
      </w:r>
      <w:r>
        <w:t>Einschleppens</w:t>
      </w:r>
      <w:r w:rsidR="00E832CF">
        <w:t>“</w:t>
      </w:r>
      <w:r>
        <w:t xml:space="preserve"> des Virus, eine entzerrte Belegung und Versorgung sowie die </w:t>
      </w:r>
      <w:r w:rsidR="0057765F">
        <w:t>Gewährleistung ausreichenden Ab</w:t>
      </w:r>
      <w:r>
        <w:t>stands in den Unterkünften und auf den Gemeinschaftsfläch</w:t>
      </w:r>
      <w:r w:rsidR="0057765F">
        <w:t>en. Auch werden Vulnerable best</w:t>
      </w:r>
      <w:r>
        <w:t>möglich durch die Möglichkeit einer separaten Unterbringung und Versorgung in gesonderten Unterkünften oder Unterkunftsbereichen geschützt.</w:t>
      </w:r>
    </w:p>
    <w:p w:rsidR="00013B61" w:rsidRDefault="00013B61" w:rsidP="00261217">
      <w:pPr>
        <w:pStyle w:val="LTAntwortRessortText"/>
        <w:spacing w:before="0"/>
      </w:pPr>
      <w:r>
        <w:t>In diesem Zusammenhang werden alle Neuzugänge im ANK</w:t>
      </w:r>
      <w:r w:rsidR="0057765F">
        <w:t>ER</w:t>
      </w:r>
      <w:r w:rsidR="00BE0711">
        <w:t>-Zentrum</w:t>
      </w:r>
      <w:r w:rsidR="0057765F">
        <w:t xml:space="preserve"> seit dem 27</w:t>
      </w:r>
      <w:r w:rsidR="00BE0711">
        <w:t>.02.</w:t>
      </w:r>
      <w:r w:rsidR="0057765F">
        <w:t>2020 ge</w:t>
      </w:r>
      <w:r>
        <w:t>testet. Weiterhin erfolgen Tests vor Verlegungen innerhalb der ANKER</w:t>
      </w:r>
      <w:r w:rsidR="00BE0711">
        <w:t>-Zentren</w:t>
      </w:r>
      <w:r>
        <w:t>, vor Weiterleitungen in andere ANKER</w:t>
      </w:r>
      <w:r w:rsidR="00BE0711">
        <w:t>-Zentren</w:t>
      </w:r>
      <w:r>
        <w:t xml:space="preserve"> (innerhalb Bayerns und in andere Länder), vor Zuweisungen in di</w:t>
      </w:r>
      <w:r w:rsidR="004E36BE">
        <w:t>e An</w:t>
      </w:r>
      <w:r>
        <w:t>schlussunterbringung und Umverteilungen innerhalb der An</w:t>
      </w:r>
      <w:r w:rsidR="0057765F">
        <w:t>schlussunterbringung. Zudem wer</w:t>
      </w:r>
      <w:r>
        <w:t xml:space="preserve">den Testungen im Rahmen jedes Besuches im Ärztezentrum </w:t>
      </w:r>
      <w:r w:rsidR="0057765F">
        <w:t>angeboten. Insgesamt wurden bis</w:t>
      </w:r>
      <w:r w:rsidR="00BE0711">
        <w:t>lang über 165 </w:t>
      </w:r>
      <w:r>
        <w:t>539 Tests (Stand 19.</w:t>
      </w:r>
      <w:r w:rsidR="00BE0711">
        <w:t>11.</w:t>
      </w:r>
      <w:r>
        <w:t>2021) durchgeführt.</w:t>
      </w:r>
    </w:p>
    <w:p w:rsidR="00013B61" w:rsidRDefault="00013B61" w:rsidP="00013B61">
      <w:pPr>
        <w:pStyle w:val="LTAntwortRessortText"/>
      </w:pPr>
      <w:r w:rsidRPr="00BE0711">
        <w:rPr>
          <w:b/>
        </w:rPr>
        <w:t>Intervention:</w:t>
      </w:r>
      <w:r>
        <w:t xml:space="preserve"> Durch schnelles und konsequentes Vorgehen werden Ausbruchgeschehen so gut als möglich eingedämmt und Infektionsketten unterbrochen.</w:t>
      </w:r>
    </w:p>
    <w:p w:rsidR="00013B61" w:rsidRDefault="00013B61" w:rsidP="00013B61">
      <w:pPr>
        <w:pStyle w:val="LTAntwortRessortText"/>
      </w:pPr>
      <w:r w:rsidRPr="00BE0711">
        <w:rPr>
          <w:b/>
        </w:rPr>
        <w:t>Information:</w:t>
      </w:r>
      <w:r>
        <w:t xml:space="preserve"> Alle Untergebrachten werden fortlaufend über geltende Hygienemaßnahmen und Verordnungen bzw. die erforderlichen Maßnahmen zur eige</w:t>
      </w:r>
      <w:r w:rsidR="0057765F">
        <w:t>nverantwortlichen Einhaltung in</w:t>
      </w:r>
      <w:r>
        <w:t>formiert.</w:t>
      </w:r>
    </w:p>
    <w:p w:rsidR="00013B61" w:rsidRDefault="00013B61" w:rsidP="00261217">
      <w:pPr>
        <w:pStyle w:val="LTAntwortRessortText"/>
        <w:spacing w:before="0"/>
      </w:pPr>
      <w:r>
        <w:t xml:space="preserve">Darüber hinaus erfolgen gezielte Informationsangebote zur </w:t>
      </w:r>
      <w:r w:rsidR="0057765F">
        <w:t>Impfung, welche unten näher dar</w:t>
      </w:r>
      <w:r>
        <w:t>gestellt werden.</w:t>
      </w:r>
    </w:p>
    <w:p w:rsidR="00013B61" w:rsidRDefault="00013B61" w:rsidP="00013B61">
      <w:pPr>
        <w:pStyle w:val="LTAntwortRessortText"/>
      </w:pPr>
      <w:r>
        <w:t xml:space="preserve">Insgesamt zeigt sich bei allen Maßnahmen ein hohes Maß an Kooperationsbereitschaft und eine eigenverantwortliche und gewissenhafte Einhaltung der </w:t>
      </w:r>
      <w:r w:rsidR="0057765F">
        <w:t>Maßnahmen zum Schutz der Gesund</w:t>
      </w:r>
      <w:r>
        <w:t>heit aller in den Unterkünften untergebrachten Personen und dort eingesetzten Mitarbeiterinnen und Mitarbeiter.</w:t>
      </w:r>
    </w:p>
    <w:p w:rsidR="00013B61" w:rsidRDefault="00013B61" w:rsidP="00013B61">
      <w:pPr>
        <w:pStyle w:val="LTAntwortRessortText"/>
      </w:pPr>
      <w:r>
        <w:lastRenderedPageBreak/>
        <w:t>Die Frage nach der Anzahl der geimpften, in Asylunterkünften untergebrachten Personen kann leider nicht vollumfänglich beantwortet werden, da keine vollst</w:t>
      </w:r>
      <w:r w:rsidR="0057765F">
        <w:t>ändigen statistischen Daten vor</w:t>
      </w:r>
      <w:r>
        <w:t>liegen und aus Gründen des Datenschutzes auch nicht erhoben werden können. Insbesondere in Impfzentren oder bei Hausärzten unabhängig von den Impfa</w:t>
      </w:r>
      <w:r w:rsidR="0057765F">
        <w:t>ngeboten erfolgte Impfungen ent</w:t>
      </w:r>
      <w:r>
        <w:t>ziehen sich der Kenntnis der Staatsregierung.</w:t>
      </w:r>
    </w:p>
    <w:p w:rsidR="00013B61" w:rsidRDefault="00013B61" w:rsidP="00013B61">
      <w:pPr>
        <w:pStyle w:val="LTAntwortRessortText"/>
      </w:pPr>
      <w:r>
        <w:t>Jedem Bewohner der bayerischen Asylunterkünfte wurde mindestens einmal ein Impfangebot gemacht. Die Angebote werden fortlaufend wiederholt, insbesondere erhalten alle im</w:t>
      </w:r>
      <w:r w:rsidR="004E36BE">
        <w:t xml:space="preserve"> </w:t>
      </w:r>
      <w:r>
        <w:t>Ankunftszentrum in München neu ankommenden Asylbewerber unmittelbar ein Impfangebot.</w:t>
      </w:r>
    </w:p>
    <w:p w:rsidR="00013B61" w:rsidRDefault="00013B61" w:rsidP="00013B61">
      <w:pPr>
        <w:pStyle w:val="LTAntwortRessortText"/>
      </w:pPr>
      <w:r>
        <w:t>Darüber hinaus trifft die Staatsregierung umfangreiche Maßnahmen zur weiteren Erhöhung der Impfquote. Diese sind im Folgenden (nicht abschließend) aufgelistet:</w:t>
      </w:r>
    </w:p>
    <w:p w:rsidR="00013B61" w:rsidRDefault="00013B61" w:rsidP="00261217">
      <w:pPr>
        <w:pStyle w:val="LTAntwortRessortText"/>
        <w:numPr>
          <w:ilvl w:val="0"/>
          <w:numId w:val="25"/>
        </w:numPr>
        <w:ind w:left="697" w:hanging="357"/>
      </w:pPr>
      <w:r>
        <w:t>Die Unterbringungsverwaltungen informieren die Untergebrachten umfangreich und mehrsprachig über die Impfberechtigung und den Ablauf der Impfungen (</w:t>
      </w:r>
      <w:r w:rsidR="004A5D9A">
        <w:t>u. a.</w:t>
      </w:r>
      <w:r>
        <w:t xml:space="preserve"> durch mehrsprachiges Informationsmaterial, Filme, Aushänge und persönliche Ansprac</w:t>
      </w:r>
      <w:r w:rsidR="0057765F">
        <w:t>he) so</w:t>
      </w:r>
      <w:r>
        <w:t>wie Ausnahmeregelungen für Geimpfte (</w:t>
      </w:r>
      <w:r w:rsidR="004A5D9A">
        <w:t>u. a.</w:t>
      </w:r>
      <w:r>
        <w:t xml:space="preserve"> im Falle einer Quarantäneverhängung).</w:t>
      </w:r>
    </w:p>
    <w:p w:rsidR="00013B61" w:rsidRDefault="00013B61" w:rsidP="00261217">
      <w:pPr>
        <w:pStyle w:val="LTAntwortRessortText"/>
        <w:numPr>
          <w:ilvl w:val="0"/>
          <w:numId w:val="25"/>
        </w:numPr>
        <w:spacing w:before="0"/>
        <w:ind w:left="697" w:hanging="357"/>
      </w:pPr>
      <w:r>
        <w:t>Auch die Ehrenamtlichen und die Flüchtlings- und Integrationsberatung spielen eine wichtige Rolle bei der Aufklärung über die Impfung.</w:t>
      </w:r>
    </w:p>
    <w:p w:rsidR="00013B61" w:rsidRDefault="00013B61" w:rsidP="00261217">
      <w:pPr>
        <w:pStyle w:val="LTAntwortRessortText"/>
        <w:numPr>
          <w:ilvl w:val="0"/>
          <w:numId w:val="25"/>
        </w:numPr>
        <w:spacing w:before="0"/>
        <w:ind w:left="697" w:hanging="357"/>
      </w:pPr>
      <w:r>
        <w:t xml:space="preserve">Daneben wird auf bereits geimpfte Personen aus dem Kreise der Untergebrachten als </w:t>
      </w:r>
      <w:r w:rsidR="00E832CF">
        <w:t>„</w:t>
      </w:r>
      <w:r>
        <w:t>Multiplikatoren</w:t>
      </w:r>
      <w:r w:rsidR="00E832CF">
        <w:t>“</w:t>
      </w:r>
      <w:r>
        <w:t xml:space="preserve"> gesetzt, </w:t>
      </w:r>
      <w:r w:rsidR="004A5D9A">
        <w:t>z. B.</w:t>
      </w:r>
      <w:r>
        <w:t xml:space="preserve"> durch Aufklärung </w:t>
      </w:r>
      <w:r w:rsidR="0057765F">
        <w:t>im Rahmen von Übersetzungstätig</w:t>
      </w:r>
      <w:r>
        <w:t>keiten in der Unterkunft.</w:t>
      </w:r>
    </w:p>
    <w:p w:rsidR="00013B61" w:rsidRDefault="00F13994" w:rsidP="00261217">
      <w:pPr>
        <w:pStyle w:val="LTAntwortRessortText"/>
        <w:numPr>
          <w:ilvl w:val="0"/>
          <w:numId w:val="25"/>
        </w:numPr>
        <w:spacing w:before="0"/>
        <w:ind w:left="697" w:hanging="357"/>
      </w:pPr>
      <w:r>
        <w:t>In den ANKER-Zentren</w:t>
      </w:r>
      <w:r w:rsidR="00013B61">
        <w:t xml:space="preserve"> sowie in größeren Unterkünften im</w:t>
      </w:r>
      <w:r w:rsidR="0057765F">
        <w:t xml:space="preserve"> Bereich der Anschlussunterbrin</w:t>
      </w:r>
      <w:r w:rsidR="00013B61">
        <w:t>gung (ab einer Kapazität von 150 oder einer Gesamtzahl von 50 Impfanmeldungen) werden vor Ort regelmäßig Impfaktionen durch mobile Impfteams durchgeführt.</w:t>
      </w:r>
    </w:p>
    <w:p w:rsidR="00013B61" w:rsidRDefault="00013B61" w:rsidP="00261217">
      <w:pPr>
        <w:pStyle w:val="LTAntwortRessortText"/>
        <w:numPr>
          <w:ilvl w:val="0"/>
          <w:numId w:val="25"/>
        </w:numPr>
        <w:spacing w:before="0"/>
        <w:ind w:left="697" w:hanging="357"/>
      </w:pPr>
      <w:r>
        <w:t>Im Übrigen können sich Bewohner kleinerer Unterkünf</w:t>
      </w:r>
      <w:r w:rsidR="0057765F">
        <w:t>te selbst anmelden, es kann zwi</w:t>
      </w:r>
      <w:r>
        <w:t>schen Unterbringungsverwaltung und Impfzentrum ein Termin organisiert werden, bei dem die Asylbewerber geshuttelt werden oder auch, wenn dies der effektivste Weg ist, vor Ort geimpft werden. So wird den Akteuren vor Or</w:t>
      </w:r>
      <w:r w:rsidR="0057765F">
        <w:t>t größtmögliche Flexibilität er</w:t>
      </w:r>
      <w:r>
        <w:t>möglicht.</w:t>
      </w:r>
    </w:p>
    <w:p w:rsidR="00013B61" w:rsidRDefault="00013B61" w:rsidP="00261217">
      <w:pPr>
        <w:pStyle w:val="LTAntwortRessortText"/>
        <w:numPr>
          <w:ilvl w:val="0"/>
          <w:numId w:val="25"/>
        </w:numPr>
        <w:spacing w:before="0"/>
        <w:ind w:left="697" w:hanging="357"/>
      </w:pPr>
      <w:r>
        <w:t>Zudem</w:t>
      </w:r>
      <w:r w:rsidR="00F13994">
        <w:t xml:space="preserve"> sind für alle Untergebrachten –</w:t>
      </w:r>
      <w:r>
        <w:t xml:space="preserve"> wie f</w:t>
      </w:r>
      <w:r w:rsidR="00F13994">
        <w:t>ür die übrige Bevölkerung auch –</w:t>
      </w:r>
      <w:r>
        <w:t xml:space="preserve"> eigenständige Terminvereinbarungen und Impfungen bei </w:t>
      </w:r>
      <w:r w:rsidR="0057765F">
        <w:t>niedergelassenen Haus- und Fach</w:t>
      </w:r>
      <w:r>
        <w:t>ärzten möglich.</w:t>
      </w:r>
    </w:p>
    <w:p w:rsidR="00013B61" w:rsidRDefault="00013B61" w:rsidP="00013B61">
      <w:pPr>
        <w:pStyle w:val="LTAntwortRessortText"/>
      </w:pPr>
      <w:r>
        <w:t>Die Staatsregierung ist sich der Bedeutung eines Internetzugangs bewusst und arbeitet daher mit allen relevanten Akteuren unter Beachtung der Grundätze fü</w:t>
      </w:r>
      <w:r w:rsidR="0057765F">
        <w:t>r eine wirtschaftliche und spar</w:t>
      </w:r>
      <w:r>
        <w:t>same Haushaltsführung unter Hochdruck daran, den Ausbau</w:t>
      </w:r>
      <w:r w:rsidR="00F13994">
        <w:t xml:space="preserve"> der Anbindung bayerischer Asyl</w:t>
      </w:r>
      <w:r>
        <w:t>unterkünfte an das Internet schnellstmöglich voranzutreiben.</w:t>
      </w:r>
    </w:p>
    <w:p w:rsidR="00013B61" w:rsidRDefault="00013B61" w:rsidP="00013B61">
      <w:pPr>
        <w:pStyle w:val="LTAntwortRessortText"/>
      </w:pPr>
      <w:r>
        <w:t xml:space="preserve">So wurden nicht nur erhebliche Haushaltsmittel für eine rasche Implementierung bereitgestellt, sondern auch eine Rahmenvereinbarung über Beratungs- und Unterstützungsleistungen für die Unterbringungsverwaltung und nichtstaatliche Dritte für die Schaffung von Internetzugängen in den Asylunterkünften in Bayern geschlossen. Somit steht den Akteuren vor Ort seit </w:t>
      </w:r>
      <w:r w:rsidR="00F13994">
        <w:t>01.07.</w:t>
      </w:r>
      <w:r>
        <w:t>2021 sowohl ein technischer Beratungssupport als auch ein</w:t>
      </w:r>
      <w:r w:rsidR="0057765F">
        <w:t>e Beratung zu möglichen rechtli</w:t>
      </w:r>
      <w:r>
        <w:t>chen und finanziellen Folgen des Abschlusses eines Providervertrags zur Verfügung.</w:t>
      </w:r>
    </w:p>
    <w:p w:rsidR="00013B61" w:rsidRDefault="00013B61" w:rsidP="00013B61">
      <w:pPr>
        <w:pStyle w:val="LTAntwortRessortText"/>
      </w:pPr>
      <w:r>
        <w:t>Im Bereich der ANKER</w:t>
      </w:r>
      <w:r w:rsidR="00F13994">
        <w:t>-Zentren</w:t>
      </w:r>
      <w:r>
        <w:t xml:space="preserve"> verfügen 28 Einrichtungen über </w:t>
      </w:r>
      <w:r w:rsidR="00F13994">
        <w:t>WLAN, davon 25 über Bay</w:t>
      </w:r>
      <w:r>
        <w:t>ernWLAN. An vier Standorten befindet sich der WLAN-Zugang derzeit in der Umsetzungs-phase und wird über einen BayernWLAN-Zugang realisiert werden, ein Standort schließt Ende 2021 und wird daher nicht mehr ertüchtigt.</w:t>
      </w:r>
    </w:p>
    <w:p w:rsidR="00013B61" w:rsidRDefault="00013B61" w:rsidP="00013B61">
      <w:pPr>
        <w:pStyle w:val="LTAntwortRessortText"/>
      </w:pPr>
      <w:r>
        <w:lastRenderedPageBreak/>
        <w:t xml:space="preserve">Bei den staatlichen Gemeinschaftsunterkünften (GU) verfügen bereits rund 56 </w:t>
      </w:r>
      <w:r w:rsidR="004A5D9A">
        <w:t>Prozent</w:t>
      </w:r>
      <w:r>
        <w:t xml:space="preserve"> (229 von 409) über einen Internetzugang über WLAN bzw. BayernWLAN</w:t>
      </w:r>
      <w:r w:rsidR="00F13994">
        <w:t>. Für weitere 132 GU –</w:t>
      </w:r>
      <w:r w:rsidR="0057765F">
        <w:t xml:space="preserve"> also wei</w:t>
      </w:r>
      <w:r>
        <w:t xml:space="preserve">tere 32 </w:t>
      </w:r>
      <w:r w:rsidR="004A5D9A">
        <w:t>Prozent</w:t>
      </w:r>
      <w:r w:rsidR="00F13994">
        <w:t xml:space="preserve"> aller GU –</w:t>
      </w:r>
      <w:r>
        <w:t xml:space="preserve"> sind die Umsetzungsschritte bereits eingeleitet.</w:t>
      </w:r>
    </w:p>
    <w:p w:rsidR="00013B61" w:rsidRDefault="00013B61" w:rsidP="00013B61">
      <w:pPr>
        <w:pStyle w:val="LTAntwortRessortText"/>
      </w:pPr>
      <w:r>
        <w:t>Bei den dezentralen Unterkünften ist bei rund der Hälfte der Unterkünfte WLAN vorhanden oder konkret in Planung. Die Schaffung der technischen V</w:t>
      </w:r>
      <w:r w:rsidR="0057765F">
        <w:t>oraussetzungen für eine angemes</w:t>
      </w:r>
      <w:r>
        <w:t>sene Internetanbindung können nur die Träger einer Asylunterkunft veranlassen. Bei ANKER</w:t>
      </w:r>
      <w:r w:rsidR="00F13994">
        <w:t>-Zentren</w:t>
      </w:r>
      <w:r>
        <w:t xml:space="preserve"> und GU sind dies die Regierungen, bei dezentralen Unterkünften die Unterkunftsverwaltung in den Landratsämtern bzw. in den kreisfreien Städten.</w:t>
      </w:r>
    </w:p>
    <w:p w:rsidR="00013B61" w:rsidRDefault="00013B61" w:rsidP="00013B61">
      <w:pPr>
        <w:pStyle w:val="LTAntwortRessortText"/>
      </w:pPr>
      <w:r>
        <w:t xml:space="preserve">Aufgrund der sehr unterschiedlichen örtlichen und technischen Voraussetzungen, die zum Teil sehr aufwendige bauliche Maßnahmen erfordern, aber auch mit </w:t>
      </w:r>
      <w:r w:rsidR="0057765F">
        <w:t>Blick darauf, dass die öffentli</w:t>
      </w:r>
      <w:r>
        <w:t>che Hand auf die Auslastungssituation der umsetzenden Dienstleister nur begrenzt Einfluss hat, stellen sich die Gründe für eine fehlende WLAN-Ausstattung sehr unterschiedlich dar:</w:t>
      </w:r>
    </w:p>
    <w:p w:rsidR="00013B61" w:rsidRDefault="00013B61" w:rsidP="00013B61">
      <w:pPr>
        <w:pStyle w:val="LTAntwortRessortText"/>
      </w:pPr>
      <w:r>
        <w:t xml:space="preserve">So liegen beispielsweise für einen Teil der dezentralen Unterkünfte (dU) der Unterbringungsverwaltung keine Erkenntnisse vor, weil Eigentümer/Vermieter trotz mehrfacher Nachfragen nicht die erforderlichen Informationen liefern. Bei manchen Asylunterkünften ist der Internet-zugang technisch nicht zu realisieren, auch weil </w:t>
      </w:r>
      <w:r w:rsidR="004A5D9A">
        <w:t>z. B.</w:t>
      </w:r>
      <w:r>
        <w:t xml:space="preserve"> kein </w:t>
      </w:r>
      <w:r w:rsidR="0057765F">
        <w:t>Hausanschluss durch die Telekom</w:t>
      </w:r>
      <w:r>
        <w:t>munikationsunternehmen bereitgestellt wird.</w:t>
      </w:r>
    </w:p>
    <w:p w:rsidR="00013B61" w:rsidRDefault="00013B61" w:rsidP="00013B61">
      <w:pPr>
        <w:pStyle w:val="LTAntwortRessortText"/>
      </w:pPr>
      <w:r>
        <w:t>Bei den Asylunterkünften, bei denen die Verwaltung derzeit da</w:t>
      </w:r>
      <w:r w:rsidR="0057765F">
        <w:t>bei ist, die technischen Voraus</w:t>
      </w:r>
      <w:r>
        <w:t xml:space="preserve">setzungen für einen Internetzugang zu schaffen oder WLAN </w:t>
      </w:r>
      <w:r w:rsidR="0057765F">
        <w:t>zu implementieren, ist zu beach</w:t>
      </w:r>
      <w:r>
        <w:t>ten, dass die damit beauftragten Firmen aufgrund hoher Ausl</w:t>
      </w:r>
      <w:r w:rsidR="0057765F">
        <w:t>astung hierfür einige Zeit brau</w:t>
      </w:r>
      <w:r>
        <w:t>chen.</w:t>
      </w:r>
    </w:p>
    <w:p w:rsidR="00013B61" w:rsidRDefault="00013B61" w:rsidP="00013B61">
      <w:pPr>
        <w:pStyle w:val="LTAntwortRessortText"/>
      </w:pPr>
      <w:r>
        <w:t>Die erbetene aktuelle Auflistung der Zahl der Unterkünfte nach Regierungsbezirken war in der zur Verfügung stehenden Zeit nicht möglich.</w:t>
      </w:r>
    </w:p>
    <w:p w:rsidR="00013B61" w:rsidRDefault="00013B61">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8699B" w:rsidTr="0078699B">
        <w:tc>
          <w:tcPr>
            <w:tcW w:w="1883" w:type="dxa"/>
          </w:tcPr>
          <w:p w:rsidR="0078699B" w:rsidRDefault="0078699B" w:rsidP="0078699B">
            <w:pPr>
              <w:pStyle w:val="LTAnfrageInitiator"/>
            </w:pPr>
            <w:r>
              <w:lastRenderedPageBreak/>
              <w:t>Abgeordnete</w:t>
            </w:r>
            <w:r>
              <w:rPr>
                <w:b/>
              </w:rPr>
              <w:br/>
              <w:t>Claudia</w:t>
            </w:r>
            <w:r>
              <w:rPr>
                <w:b/>
              </w:rPr>
              <w:br/>
              <w:t>Köhler</w:t>
            </w:r>
            <w:r>
              <w:rPr>
                <w:b/>
              </w:rPr>
              <w:br/>
            </w:r>
            <w:r>
              <w:t>(BÜNDNIS 90/DIE GRÜNEN)</w:t>
            </w:r>
            <w:bookmarkStart w:id="13" w:name="Frage_Nr_6"/>
            <w:bookmarkEnd w:id="13"/>
          </w:p>
        </w:tc>
        <w:tc>
          <w:tcPr>
            <w:tcW w:w="5733" w:type="dxa"/>
          </w:tcPr>
          <w:p w:rsidR="0078699B" w:rsidRPr="00D0635E" w:rsidRDefault="0078699B" w:rsidP="00D0635E">
            <w:pPr>
              <w:pStyle w:val="LTAnfrageText"/>
            </w:pPr>
            <w:r w:rsidRPr="00D0635E">
              <w:t xml:space="preserve">Ich frage die Staatsregierung, welche Schwimmkursanbieter im Landkreis München (bitte mit Auflistung) haben sich an der Aktion „Mach mit – Tauch auf“ des Staatsministeriums des Innern, für Sport und Integration beteiligt, wie viele Gutscheine über 50 Euro wurden im Landkreis München insgesamt ausgegeben und wie viele dieser Gutscheine wurden bei den beteiligten Schwimmkursanbietern eingelöst? </w:t>
            </w:r>
          </w:p>
        </w:tc>
        <w:tc>
          <w:tcPr>
            <w:tcW w:w="5733"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An das Staatliche Schulamt und das Jugendamt des Landkreises München wurden seitens des Staatsministeriums des Innern, für Sport und</w:t>
      </w:r>
      <w:r w:rsidR="00F2663D">
        <w:t xml:space="preserve"> Integration (StMI) insgesamt 8 </w:t>
      </w:r>
      <w:r>
        <w:t xml:space="preserve">225 Gutscheine zur Ausgabe an die am Schwimmförderungsprogramm teilnahmeberechtigten Kinder </w:t>
      </w:r>
      <w:r w:rsidR="0057765F">
        <w:t>übermit</w:t>
      </w:r>
      <w:r>
        <w:t>telt. Die Gutscheine sind grundsätzlich für alle Schwimmkurse gültig, bei denen mindestens eine Unterrichtseinheit im Bewilligungszeitraum (14.09.2021 bis einschließlich 13.09.2022) stattfindet. Die Annahme der Gutscheine durch die Schwimmkursanbieter ist freiwillig. Dem StMI liegen derzeit noch keine Informationen darüber vor, welche Schwimmkursanbieter im Landkreis München sich an der Aktion beteiligt haben und wie</w:t>
      </w:r>
      <w:r w:rsidR="000A1A99">
        <w:t xml:space="preserve"> viele Gutscheine bei den betei</w:t>
      </w:r>
      <w:r>
        <w:t>ligten Schwimmkursanbietern im Landkreis München eingelöst wurden</w:t>
      </w:r>
    </w:p>
    <w:p w:rsidR="00013B61" w:rsidRDefault="00013B61">
      <w:bookmarkStart w:id="14" w:name="Frage_Nr_6_Ende"/>
      <w:bookmarkEnd w:id="1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8699B" w:rsidTr="0078699B">
        <w:tc>
          <w:tcPr>
            <w:tcW w:w="1840" w:type="dxa"/>
          </w:tcPr>
          <w:p w:rsidR="0078699B" w:rsidRDefault="0078699B" w:rsidP="0078699B">
            <w:pPr>
              <w:pStyle w:val="LTAnfrageInitiator"/>
            </w:pPr>
            <w:r>
              <w:lastRenderedPageBreak/>
              <w:t>Abgeordneter</w:t>
            </w:r>
            <w:r>
              <w:rPr>
                <w:b/>
              </w:rPr>
              <w:br/>
              <w:t>Stefan</w:t>
            </w:r>
            <w:r>
              <w:rPr>
                <w:b/>
              </w:rPr>
              <w:br/>
              <w:t>Löw</w:t>
            </w:r>
            <w:r>
              <w:rPr>
                <w:b/>
              </w:rPr>
              <w:br/>
            </w:r>
            <w:r>
              <w:t>(AfD)</w:t>
            </w:r>
            <w:bookmarkStart w:id="15" w:name="Frage_Nr_7"/>
            <w:bookmarkEnd w:id="15"/>
          </w:p>
        </w:tc>
        <w:tc>
          <w:tcPr>
            <w:tcW w:w="5776" w:type="dxa"/>
          </w:tcPr>
          <w:p w:rsidR="0078699B" w:rsidRPr="00D0635E" w:rsidRDefault="0078699B" w:rsidP="00D0635E">
            <w:pPr>
              <w:pStyle w:val="LTAnfrageText"/>
            </w:pPr>
            <w:r w:rsidRPr="00D0635E">
              <w:t>Betreffend der gewaltsamen Übergriffe am 06.11.2021 in einem ICE zwischen Regensburg und Nürnberg frage ich die Staatsregierung, wie viele Asylbewerber, anerkannte Asylanten sowie abgelehnte Asylbewerber, Flüchtlinge mit internationalem, subsidiärem Schutz und Geduldete, aufgeschlüsselt nach Herkunft und Aufenthaltsstatus, leben in Bayern, die psychisch auffällig sind und wie viele der betreffenden Personen bereits straffällig geworden sind, nach Straftat, Herkunft und Aufenthaltsstatus und wie viele davon eine Gefahr für die öffentliche Sicherheit und Ordnung darstellen, nach Herkunft, aktuellem Wohnort und Aufenthaltsstatus?</w:t>
            </w:r>
          </w:p>
        </w:tc>
        <w:tc>
          <w:tcPr>
            <w:tcW w:w="5776"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Explizite, valide Rechercheparameter, die eine automatisierte statistische Auswertung im Sinne der Fragestellungen ermöglichen würden, sind in der bundeswei</w:t>
      </w:r>
      <w:r w:rsidR="0057765F">
        <w:t>t einheitlich geführten Polizei</w:t>
      </w:r>
      <w:r>
        <w:t>lichen Kriminalstatistik (PKS) nicht vorhanden.</w:t>
      </w:r>
    </w:p>
    <w:p w:rsidR="00013B61" w:rsidRDefault="00013B61" w:rsidP="00013B61">
      <w:pPr>
        <w:pStyle w:val="LTAntwortRessortText"/>
      </w:pPr>
      <w:r>
        <w:t>Insofern müsste eine umfangreiche manuelle (Einzel-)A</w:t>
      </w:r>
      <w:r w:rsidR="0057765F">
        <w:t>uswertung von Akten und Datenbe</w:t>
      </w:r>
      <w:r>
        <w:t>stände bei allen bayerischen Landespolizeipräsidien sowie</w:t>
      </w:r>
      <w:r w:rsidR="0057765F">
        <w:t xml:space="preserve"> dem Bayerischen Landeskriminal</w:t>
      </w:r>
      <w:r>
        <w:t>amt erfolgen. Dies würde zu einem erheblichen zeitlichen und personellen Aufwand führen und ist überdies in Anbetracht der zur Verfügung stehenden Zeit f</w:t>
      </w:r>
      <w:r w:rsidR="0057765F">
        <w:t>ür die Beantwortung der hier ge</w:t>
      </w:r>
      <w:r>
        <w:t>genständlichen Anfrage zum Plenum nicht leistbar.</w:t>
      </w:r>
    </w:p>
    <w:p w:rsidR="00013B61" w:rsidRDefault="00013B61" w:rsidP="00013B61">
      <w:pPr>
        <w:pStyle w:val="LTAntwortRessortText"/>
      </w:pPr>
      <w:r>
        <w:t>Mangels statistischer Daten können die Fragen daher mit v</w:t>
      </w:r>
      <w:r w:rsidR="0057765F">
        <w:t>ertretbarem Aufwand nicht beant</w:t>
      </w:r>
      <w:r>
        <w:t xml:space="preserve">wortet werden. Auch unter Berücksichtigung der Bedeutung </w:t>
      </w:r>
      <w:r w:rsidR="000A1A99">
        <w:t>des sich aus Art. 13 Abs. 2, 16</w:t>
      </w:r>
      <w:r>
        <w:t xml:space="preserve">a Abs. 1 und 2 S. 1 </w:t>
      </w:r>
      <w:r w:rsidR="000A1A99">
        <w:t xml:space="preserve">Bayerische Verfassung </w:t>
      </w:r>
      <w:r>
        <w:t>ergebenden parlamentarischen Fragerechts der Abgeordneten des Landtags kann daher ein</w:t>
      </w:r>
      <w:r w:rsidR="000A1A99">
        <w:t>e Auswertung von Einzelakten u. </w:t>
      </w:r>
      <w:r>
        <w:t>ä. nicht erfolgen.</w:t>
      </w:r>
    </w:p>
    <w:p w:rsidR="00013B61" w:rsidRDefault="00013B61">
      <w:bookmarkStart w:id="16" w:name="Frage_Nr_7_Ende"/>
      <w:bookmarkEnd w:id="1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8699B" w:rsidTr="0078699B">
        <w:tc>
          <w:tcPr>
            <w:tcW w:w="1840" w:type="dxa"/>
          </w:tcPr>
          <w:p w:rsidR="0078699B" w:rsidRDefault="0078699B" w:rsidP="0078699B">
            <w:pPr>
              <w:pStyle w:val="LTAnfrageInitiator"/>
            </w:pPr>
            <w:r>
              <w:lastRenderedPageBreak/>
              <w:t>Abgeordneter</w:t>
            </w:r>
            <w:r>
              <w:rPr>
                <w:b/>
              </w:rPr>
              <w:br/>
              <w:t>Roland</w:t>
            </w:r>
            <w:r>
              <w:rPr>
                <w:b/>
              </w:rPr>
              <w:br/>
              <w:t>Magerl</w:t>
            </w:r>
            <w:r>
              <w:rPr>
                <w:b/>
              </w:rPr>
              <w:br/>
            </w:r>
            <w:r>
              <w:t>(AfD)</w:t>
            </w:r>
            <w:bookmarkStart w:id="17" w:name="Frage_Nr_8"/>
            <w:bookmarkEnd w:id="17"/>
          </w:p>
        </w:tc>
        <w:tc>
          <w:tcPr>
            <w:tcW w:w="5776" w:type="dxa"/>
          </w:tcPr>
          <w:p w:rsidR="0078699B" w:rsidRPr="00D0635E" w:rsidRDefault="0078699B" w:rsidP="00D0635E">
            <w:pPr>
              <w:pStyle w:val="LTAnfrageText"/>
            </w:pPr>
            <w:r w:rsidRPr="00D0635E">
              <w:t>Ich frage die Staatsregierung, wie viele Interhospitaltransporte waren in den Jahren 2020 und 2021 vonnöten (aufgeschlüsselt nach Woche), wie viele dieser Transporte betrafen COVID-19-Patienten und wie viele zusätzliche ITW-/Interhospitaltransfer-Kapazitäten (ITW = Intensivtransportwagen) wurden seit 2020 geschaffen (aufgeschlüsselt nach Zeitraum, Ort und Umfang der Erweiterung)?</w:t>
            </w:r>
          </w:p>
        </w:tc>
        <w:tc>
          <w:tcPr>
            <w:tcW w:w="5776"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Unter Interhospitaltransporten versteht man die Verlegung v</w:t>
      </w:r>
      <w:r w:rsidR="0057765F">
        <w:t>on Patienten zwischen zwei Kran</w:t>
      </w:r>
      <w:r>
        <w:t>kenhäusern mit oder ohne Arztbegleitung. Hierfür stehen je nach Schwere der Erkrankung des Patienten Krankentransportwagen, Rettungstransportwagen sowie Verlegungseinsatzfahrzeuge und Intensivtransportwagen zur Verfügung. Bei intensivmedizinisch betreuten Patienten ist ein Transport durch Rettungstransportwagen und Intensivtranspo</w:t>
      </w:r>
      <w:r w:rsidR="0057765F">
        <w:t>rtwagen (v.</w:t>
      </w:r>
      <w:r w:rsidR="000A1A99">
        <w:t> </w:t>
      </w:r>
      <w:r w:rsidR="0057765F">
        <w:t>a. bei Beatmung) mög</w:t>
      </w:r>
      <w:r>
        <w:t>lich. Für arztbegleitete Interhospitaltransporte gibt es im öffentlichen Rettungsdienst bayernweit in der Regelversorgung zehn Verlegungseinsatzfahrzeuge, sechs Intensivtransportwagen und vier Intensivtransporthubschrauber.</w:t>
      </w:r>
    </w:p>
    <w:p w:rsidR="00013B61" w:rsidRDefault="00013B61" w:rsidP="00013B61">
      <w:pPr>
        <w:pStyle w:val="LTAntwortRessortText"/>
      </w:pPr>
      <w:r>
        <w:t>Die Anzahl der Patiententransporte zwischen den Krankenhäusern liegt dem Staatsministerium des Innern, für Sport und Integration nicht vor.</w:t>
      </w:r>
    </w:p>
    <w:p w:rsidR="00013B61" w:rsidRDefault="00013B61" w:rsidP="00013B61">
      <w:pPr>
        <w:pStyle w:val="LTAntwortRessortText"/>
      </w:pPr>
      <w:r>
        <w:t xml:space="preserve">Die Anzahl der Intensivtransportwagen in der öffentlichen Vorhaltung ist in </w:t>
      </w:r>
      <w:r w:rsidR="000A1A99">
        <w:t xml:space="preserve">den Jahren 2020 und 2021 gleich </w:t>
      </w:r>
      <w:r>
        <w:t>geblieben. Bedingt durch die Herausforderungen der Pandemie wurden jedoch ab März 2020 zur Unterstützung der arztbegleiteten Verle</w:t>
      </w:r>
      <w:r w:rsidR="0057765F">
        <w:t>gung von Patienten in jedem Ret</w:t>
      </w:r>
      <w:r w:rsidR="000A1A99">
        <w:t>tungsdienstbereich –</w:t>
      </w:r>
      <w:r>
        <w:t xml:space="preserve"> </w:t>
      </w:r>
      <w:r w:rsidR="000A1A99">
        <w:t>also insgesamt 26-fach –</w:t>
      </w:r>
      <w:r>
        <w:t xml:space="preserve"> jeweils ein Rettungstransportwagen medizintechnisch zu einem Verlegungs-Rettungstransportwagen aufgerüstet, um auf diese Weise au</w:t>
      </w:r>
      <w:r w:rsidR="000A1A99">
        <w:t>ch intensiv behandelte COVID-19-</w:t>
      </w:r>
      <w:r>
        <w:t>Patienten fachgerecht versorgen und transportieren zu können.</w:t>
      </w:r>
    </w:p>
    <w:p w:rsidR="00013B61" w:rsidRDefault="00013B61" w:rsidP="00013B61">
      <w:pPr>
        <w:pStyle w:val="LTAntwortRessortText"/>
      </w:pPr>
      <w:r>
        <w:t xml:space="preserve">Schließlich wurde ab April 2020 ein Pool sonstiger in Bayern </w:t>
      </w:r>
      <w:r w:rsidR="0057765F">
        <w:t>vorhandener, aber durch die Pan</w:t>
      </w:r>
      <w:r>
        <w:t>demie nicht genutzter (</w:t>
      </w:r>
      <w:r w:rsidR="004A5D9A">
        <w:t>z. B.</w:t>
      </w:r>
      <w:r>
        <w:t xml:space="preserve"> wegen des Ausfalls von Auslandsrückholungen) Einsatzmi</w:t>
      </w:r>
      <w:r w:rsidR="0057765F">
        <w:t>ttel an</w:t>
      </w:r>
      <w:r>
        <w:t>gelegt und der Disposition der Integrierten Leitstelle Nürnberg unterstellt. Diese Einsatzmittel sind bayernweit verteilt und können bei Bedarf abgerufen werden. Aktuell befinden sich im Pool fünf Intensivtransportwagen (davon ein Großraum-Intensiv</w:t>
      </w:r>
      <w:r w:rsidR="0057765F">
        <w:t>transportwagen), vier Verle</w:t>
      </w:r>
      <w:r>
        <w:t>gungsrettungswagen und drei Intensivtransporthubschrauber. Zudem besteht die Möglichkeit, bei Bedarf auf außerhalb Bayerns stationierte Einsatzmittel zurückzugreifen. Dabei handelt es sich um drei Intensivtransporthubschrauber und zwei Großraum-Intensivtransportwagen</w:t>
      </w:r>
      <w:r w:rsidR="008D1A94">
        <w:t>.</w:t>
      </w:r>
    </w:p>
    <w:p w:rsidR="00013B61" w:rsidRDefault="00013B61">
      <w:bookmarkStart w:id="18" w:name="Frage_Nr_8_Ende"/>
      <w:bookmarkEnd w:id="1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78699B" w:rsidTr="0078699B">
        <w:tc>
          <w:tcPr>
            <w:tcW w:w="1860" w:type="dxa"/>
          </w:tcPr>
          <w:p w:rsidR="0078699B" w:rsidRDefault="0078699B" w:rsidP="0078699B">
            <w:pPr>
              <w:pStyle w:val="LTAnfrageInitiator"/>
            </w:pPr>
            <w:r>
              <w:lastRenderedPageBreak/>
              <w:t>Abgeordneter</w:t>
            </w:r>
            <w:r>
              <w:rPr>
                <w:b/>
              </w:rPr>
              <w:br/>
              <w:t>Christoph</w:t>
            </w:r>
            <w:r>
              <w:rPr>
                <w:b/>
              </w:rPr>
              <w:br/>
              <w:t>Maier</w:t>
            </w:r>
            <w:r>
              <w:rPr>
                <w:b/>
              </w:rPr>
              <w:br/>
            </w:r>
            <w:r>
              <w:t>(AfD)</w:t>
            </w:r>
            <w:bookmarkStart w:id="19" w:name="Frage_Nr_9"/>
            <w:bookmarkEnd w:id="19"/>
          </w:p>
        </w:tc>
        <w:tc>
          <w:tcPr>
            <w:tcW w:w="5756" w:type="dxa"/>
          </w:tcPr>
          <w:p w:rsidR="0078699B" w:rsidRPr="00D0635E" w:rsidRDefault="0078699B" w:rsidP="00D0635E">
            <w:pPr>
              <w:pStyle w:val="LTAnfrageText"/>
            </w:pPr>
            <w:r w:rsidRPr="00D0635E">
              <w:t>Vor dem Hintergrund der Tatsache, dass es Teilen der Verwaltung offenbar nicht bekannt ist, dass es grundsätzlich möglich ist, auch bei einer gelben bzw. roten „Coronaampel“ unter Beachtung der übrigen allgemeinen Vorschriften §§ 1 bis 6 Bayerische Infektionsschutzmaßnahmenverordnung (BayIfSMVO) sowie der speziellen Vorschriften wie § 8 BayIfSMVO politische Veranstaltungen ohne 3G oder strengere Einschränkungen abzuhalten, da die Privilegierungen des § 3 Abs. 3 BayIfSMVO nicht durch die gelbe bzw. rote „Coronaampel“ gemäß §§ 16, 17, 17a BayIfSMVO aufgehoben werden, frage ich die Staatsregierung, ob sie diese Rechtsansicht zur Privilegierung von politischen Veranstaltungen hinsichtlich der Zugangsbeschränkungen teilt und wenn dem nicht so ist, in welchen Punkten weicht die Rechtsansicht der Staatsregierung von der oben dargestellten ab und ob die Staatsregierung auch bei zukünftigen Verordnungen im Zusammenhang mit der Coronapandemie das momentane Schutzniveau von politischen Veranstaltungen gewährleisten wird?</w:t>
            </w:r>
          </w:p>
        </w:tc>
        <w:tc>
          <w:tcPr>
            <w:tcW w:w="5756" w:type="dxa"/>
          </w:tcPr>
          <w:p w:rsidR="0078699B" w:rsidRDefault="0078699B" w:rsidP="0078699B">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In Bezug auf Zugangsbeschränkungen (2G+, 2G und 3G) nac</w:t>
      </w:r>
      <w:r w:rsidR="0057765F">
        <w:t>h der nunmehr geltenden 15. Bay</w:t>
      </w:r>
      <w:r>
        <w:t xml:space="preserve">erischen Infektionsschutzmaßnahmenverordnung (15. BayIfSMV) zu </w:t>
      </w:r>
      <w:r w:rsidR="00E832CF">
        <w:t>„</w:t>
      </w:r>
      <w:r w:rsidR="0057765F">
        <w:t>politischen Veranstal</w:t>
      </w:r>
      <w:r>
        <w:t>tungen</w:t>
      </w:r>
      <w:r w:rsidR="00E832CF">
        <w:t>“</w:t>
      </w:r>
      <w:r>
        <w:t xml:space="preserve"> stellt sich die Rechtslage derzeit wie folgt dar:</w:t>
      </w:r>
    </w:p>
    <w:p w:rsidR="00013B61" w:rsidRDefault="00013B61" w:rsidP="00013B61">
      <w:pPr>
        <w:pStyle w:val="LTAntwortRessortText"/>
      </w:pPr>
      <w:r>
        <w:t>Für Versammlungen nach Art. 8 des Grundgesetzes (GG) gilt die 2G+-Regelung nach § 4 der 15. BayIfSMV nicht (§ 4 Abs. 8 der 15. BayIfSMV). Für Versammlungen in geschlossenen Räumen ist jedoch § 9 Abs. 2 der 15. BayIfSMV zu beachten.</w:t>
      </w:r>
    </w:p>
    <w:p w:rsidR="00013B61" w:rsidRDefault="00013B61" w:rsidP="00013B61">
      <w:pPr>
        <w:pStyle w:val="LTAntwortRessortText"/>
      </w:pPr>
      <w:r>
        <w:t>Bei Durchführung einer Versammlung in einer Gast</w:t>
      </w:r>
      <w:r w:rsidR="000A1A99">
        <w:t>ronomie, darf der Veranstalter –</w:t>
      </w:r>
      <w:r>
        <w:t xml:space="preserve"> trotz der (grundsätzlich) für die Gastronomie an</w:t>
      </w:r>
      <w:r w:rsidR="000A1A99">
        <w:t>wendbaren Regelung des § 5 Abs. </w:t>
      </w:r>
      <w:r>
        <w:t>1 Nr. 1 der</w:t>
      </w:r>
      <w:r w:rsidR="004E36BE">
        <w:t xml:space="preserve"> </w:t>
      </w:r>
      <w:r w:rsidR="000A1A99">
        <w:t>15. BayIfSMV (2G-Regel) –</w:t>
      </w:r>
      <w:r>
        <w:t xml:space="preserve"> bereits aufgrund von § 9 Abs. 2 Halbsatz 2 der 15. BayIfSMV auch eine Versammlungsdurchführung ohne Beachtung der 2G-Regel wählen.</w:t>
      </w:r>
    </w:p>
    <w:p w:rsidR="00013B61" w:rsidRDefault="00013B61" w:rsidP="00013B61">
      <w:pPr>
        <w:pStyle w:val="LTAntwortRessortText"/>
      </w:pPr>
      <w:r>
        <w:t>Ob in einer Gastronomie Versammlungen nach Art. 8 GG oder Veranstaltungen von Parteien und Wählervereinigungen unter diesen Voraussetzungen durchgeführt werden dürfen oder ob in einem konkreten Betrieb strengere Anforderungen zu beac</w:t>
      </w:r>
      <w:r w:rsidR="0057765F">
        <w:t>hten sind, obliegt der Entschei</w:t>
      </w:r>
      <w:r>
        <w:t>dung des Betreibers im Rahmen seines Hausrechts.</w:t>
      </w:r>
    </w:p>
    <w:p w:rsidR="00013B61" w:rsidRDefault="00013B61" w:rsidP="00013B61">
      <w:pPr>
        <w:pStyle w:val="LTAntwortRessortText"/>
      </w:pPr>
      <w:r>
        <w:t>Überschreitet in einem Landkreis oder in einer kreisfreien Stadt die 7-Tage-Inzidenz den Wert von 1000, bleiben gemäß § 15 Abs. 1 Nr. 1 Buchstabe a der 15. BayIfSMV die grundrechtlich geschützten Versammlungen im Sinne des Art. 8 GG weiterhi</w:t>
      </w:r>
      <w:r w:rsidR="0057765F">
        <w:t>n zulässig. Die Durchführung ei</w:t>
      </w:r>
      <w:r>
        <w:t>ner Versammlung in den geschlossenen Räumen eines Gastronomiebetriebs kommt allerdings dann wegen deren weitreichender Untersagung nach § 15 Abs. 1 Nr. 1 Buchstabe c der 15. BayIfSMV grundsätzlich nicht mehr in Betracht. Sonst</w:t>
      </w:r>
      <w:r w:rsidR="000A1A99">
        <w:t>ige Versammlungen und Veranstaltungen sind untersagt (§ </w:t>
      </w:r>
      <w:r>
        <w:t>15 Abs. 1 Nr. 1 Halbsatz 1 der 15. BayIfSMV).</w:t>
      </w:r>
    </w:p>
    <w:p w:rsidR="00013B61" w:rsidRDefault="00013B61" w:rsidP="00013B61">
      <w:pPr>
        <w:pStyle w:val="LTAntwortRessortText"/>
      </w:pPr>
      <w:r>
        <w:t>Weitergehende oder ergänzende Anordnungen der für den Vo</w:t>
      </w:r>
      <w:r w:rsidR="0057765F">
        <w:t>llzug des Infektionsschutzgeset</w:t>
      </w:r>
      <w:r>
        <w:t>zes zuständigen Behörden zu den Bestimmungen der 15. Bay</w:t>
      </w:r>
      <w:r w:rsidR="0057765F">
        <w:t xml:space="preserve">IfSMV </w:t>
      </w:r>
      <w:r w:rsidR="0057765F">
        <w:lastRenderedPageBreak/>
        <w:t>oder der auf ihrer Grundl</w:t>
      </w:r>
      <w:r>
        <w:t>age erlassenen Infektionsschutzkonzepte bleiben jedoch unberührt (§ 16 Abs. 1 der 15. BayIfSMV).</w:t>
      </w:r>
    </w:p>
    <w:p w:rsidR="00013B61" w:rsidRDefault="00013B61" w:rsidP="00013B61">
      <w:pPr>
        <w:pStyle w:val="LTAntwortRessortText"/>
      </w:pPr>
      <w:r>
        <w:t xml:space="preserve">Vor dem Hintergrund der </w:t>
      </w:r>
      <w:r w:rsidR="0057765F">
        <w:t>mittlerweile landesweit erhöhten</w:t>
      </w:r>
      <w:r>
        <w:t xml:space="preserve"> Belastung des Gesundheitssystems werden die bestehenden Regelungen fortlaufend evaluiert und infektionsschutzrechtlich erforderliche Anpassungen intensiv geprüft.</w:t>
      </w:r>
    </w:p>
    <w:p w:rsidR="00013B61" w:rsidRDefault="00013B61">
      <w:bookmarkStart w:id="20" w:name="Frage_Nr_9_Ende"/>
      <w:bookmarkEnd w:id="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D5B75" w:rsidTr="00DD5B75">
        <w:tc>
          <w:tcPr>
            <w:tcW w:w="1854" w:type="dxa"/>
          </w:tcPr>
          <w:p w:rsidR="00DD5B75" w:rsidRDefault="00DD5B75" w:rsidP="00DD5B75">
            <w:pPr>
              <w:pStyle w:val="LTAnfrageInitiator"/>
            </w:pPr>
            <w:r>
              <w:lastRenderedPageBreak/>
              <w:t>Abgeordnete</w:t>
            </w:r>
            <w:r>
              <w:rPr>
                <w:b/>
              </w:rPr>
              <w:br/>
              <w:t>Ruth</w:t>
            </w:r>
            <w:r>
              <w:rPr>
                <w:b/>
              </w:rPr>
              <w:br/>
              <w:t>Müller</w:t>
            </w:r>
            <w:r>
              <w:rPr>
                <w:b/>
              </w:rPr>
              <w:br/>
            </w:r>
            <w:r>
              <w:t>(SPD)</w:t>
            </w:r>
            <w:bookmarkStart w:id="21" w:name="Frage_Nr_10"/>
            <w:bookmarkEnd w:id="21"/>
          </w:p>
        </w:tc>
        <w:tc>
          <w:tcPr>
            <w:tcW w:w="5762" w:type="dxa"/>
          </w:tcPr>
          <w:p w:rsidR="00DD5B75" w:rsidRPr="00D0635E" w:rsidRDefault="00DD5B75" w:rsidP="00D0635E">
            <w:pPr>
              <w:pStyle w:val="LTAnfrageText"/>
            </w:pPr>
            <w:r w:rsidRPr="00D0635E">
              <w:t>Ich frage die Staatsregierung, wie viele Fälle häuslicher Gewalt und sexualisierter Gewalt in den Jahren 2017 bis 2021 gemeldet wurden, wie sich die Anzahl der Morde an Frauen in Bayern entwickelt hat und wie sich die jeweiligen Taten auf die einzelnen Altersgruppen verteilen (bitte aufgeschlüsselt nach Jahren, Regierungsbezirken, Landkreisen und kreisfreien Städten angeben)?</w:t>
            </w:r>
          </w:p>
        </w:tc>
        <w:tc>
          <w:tcPr>
            <w:tcW w:w="5762"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 xml:space="preserve">Nach der jährlichen Sonderauswertung </w:t>
      </w:r>
      <w:r w:rsidR="00E832CF">
        <w:t>„</w:t>
      </w:r>
      <w:r>
        <w:t>Häusliche Gewalt</w:t>
      </w:r>
      <w:r w:rsidR="00E832CF">
        <w:t>“</w:t>
      </w:r>
      <w:r>
        <w:t xml:space="preserve"> des Landes</w:t>
      </w:r>
      <w:r w:rsidR="000A1A99">
        <w:t>kriminal</w:t>
      </w:r>
      <w:r>
        <w:t xml:space="preserve">amts wurde in den vergangenen Jahren nachfolgende </w:t>
      </w:r>
      <w:r w:rsidRPr="00095D4C">
        <w:rPr>
          <w:u w:val="single"/>
        </w:rPr>
        <w:t xml:space="preserve">Anzahl an Fällen </w:t>
      </w:r>
      <w:r w:rsidR="00E832CF" w:rsidRPr="00095D4C">
        <w:rPr>
          <w:u w:val="single"/>
        </w:rPr>
        <w:t>„</w:t>
      </w:r>
      <w:r w:rsidR="0057765F" w:rsidRPr="00095D4C">
        <w:rPr>
          <w:u w:val="single"/>
        </w:rPr>
        <w:t>Häuslicher Gewalt“</w:t>
      </w:r>
      <w:r>
        <w:t xml:space="preserve"> durch die Bayerische Polizei erfasst:</w:t>
      </w:r>
    </w:p>
    <w:p w:rsidR="00013B61" w:rsidRDefault="00013B61" w:rsidP="00013B61">
      <w:pPr>
        <w:pStyle w:val="LTAntwortRessortText"/>
      </w:pPr>
      <w:r>
        <w:t>2020: 20</w:t>
      </w:r>
      <w:r w:rsidR="000A1A99">
        <w:t> </w:t>
      </w:r>
      <w:r>
        <w:t>234 Fälle</w:t>
      </w:r>
    </w:p>
    <w:p w:rsidR="00013B61" w:rsidRDefault="000A1A99" w:rsidP="00261217">
      <w:pPr>
        <w:pStyle w:val="LTAntwortRessortText"/>
        <w:spacing w:before="0"/>
      </w:pPr>
      <w:r>
        <w:t>2019: 20 </w:t>
      </w:r>
      <w:r w:rsidR="00013B61">
        <w:t>045 Fälle</w:t>
      </w:r>
    </w:p>
    <w:p w:rsidR="00013B61" w:rsidRDefault="00013B61" w:rsidP="00261217">
      <w:pPr>
        <w:pStyle w:val="LTAntwortRessortText"/>
        <w:spacing w:before="0"/>
      </w:pPr>
      <w:r>
        <w:t>2018: 20</w:t>
      </w:r>
      <w:r w:rsidR="000A1A99">
        <w:t> </w:t>
      </w:r>
      <w:r>
        <w:t>213 Fälle</w:t>
      </w:r>
    </w:p>
    <w:p w:rsidR="00013B61" w:rsidRDefault="00013B61" w:rsidP="00261217">
      <w:pPr>
        <w:pStyle w:val="LTAntwortRessortText"/>
        <w:spacing w:before="0"/>
      </w:pPr>
      <w:r>
        <w:t>2017: 19</w:t>
      </w:r>
      <w:r w:rsidR="000A1A99">
        <w:t> </w:t>
      </w:r>
      <w:r>
        <w:t>673 Fälle.</w:t>
      </w:r>
    </w:p>
    <w:p w:rsidR="00013B61" w:rsidRDefault="00013B61" w:rsidP="00013B61">
      <w:pPr>
        <w:pStyle w:val="LTAntwortRessortText"/>
      </w:pPr>
      <w:r>
        <w:t>Aussagen zum laufenden Jahr 2021 können nicht getroffen werden. Im Rahmen der aktuellen Lagedarstellung des Phänomenbereichs Häusliche Gewalt kann aktuell jedoch kein Anstieg der polizeilich bekannt gewordenen Fälle im Bereich der Häuslichen Gewalt im Vergleich zu den Vorjahren festgestellt werden.</w:t>
      </w:r>
    </w:p>
    <w:p w:rsidR="00013B61" w:rsidRDefault="00013B61" w:rsidP="00013B61">
      <w:pPr>
        <w:pStyle w:val="LTAntwortRessortText"/>
      </w:pPr>
      <w:r>
        <w:t xml:space="preserve">Eine Auswertung von Tätern und Opfern nach Altersgruppen erfolgt im Rahmen der Sonderauswertung </w:t>
      </w:r>
      <w:r w:rsidR="00E832CF">
        <w:t>„</w:t>
      </w:r>
      <w:r>
        <w:t>Häusliche Gewalt</w:t>
      </w:r>
      <w:r w:rsidR="00E832CF">
        <w:t>“</w:t>
      </w:r>
      <w:r>
        <w:t xml:space="preserve"> nicht.</w:t>
      </w:r>
    </w:p>
    <w:p w:rsidR="00013B61" w:rsidRDefault="00013B61" w:rsidP="00013B61">
      <w:pPr>
        <w:pStyle w:val="LTAntwortRessortText"/>
      </w:pPr>
      <w:r>
        <w:t xml:space="preserve">In diesem Zusammenhang ist darauf hinzuweisen, dass als Datenquelle für die Zahlen zu </w:t>
      </w:r>
      <w:r w:rsidR="00E832CF">
        <w:t>„</w:t>
      </w:r>
      <w:r>
        <w:t>Häuslicher Gewalt</w:t>
      </w:r>
      <w:r w:rsidR="00E832CF">
        <w:t>“</w:t>
      </w:r>
      <w:r>
        <w:t xml:space="preserve"> nicht die Polizeiliche Kriminalstatistik (PKS) dient. Vielmehr erfolgt die</w:t>
      </w:r>
      <w:r w:rsidR="004E36BE">
        <w:t xml:space="preserve"> </w:t>
      </w:r>
      <w:r>
        <w:t xml:space="preserve">jährliche tiefergehende Sonderauswertung </w:t>
      </w:r>
      <w:r w:rsidR="00E832CF">
        <w:t>„</w:t>
      </w:r>
      <w:r>
        <w:t>Häusliche Gewalt</w:t>
      </w:r>
      <w:r w:rsidR="00E832CF">
        <w:t>“</w:t>
      </w:r>
      <w:r w:rsidR="0057765F">
        <w:t xml:space="preserve"> aus dem Datenbestand des poli</w:t>
      </w:r>
      <w:r>
        <w:t>zeilichen Vorgangsverwaltungssystems. Dieses System basie</w:t>
      </w:r>
      <w:r w:rsidR="0057765F">
        <w:t>rt grundsätzlich auf einem dyna</w:t>
      </w:r>
      <w:r>
        <w:t>mischen Datenbestand. Auswertungen und Analysen geben dami</w:t>
      </w:r>
      <w:r w:rsidR="0057765F">
        <w:t>t stets nur den aktuellen Erfas</w:t>
      </w:r>
      <w:r>
        <w:t>sungsstand zum Zeitpunkt der Abfrage wieder, der sich auch auf rückwirkende Zeiträume durch laufende Ermittlungen und Qualitätssicherungsmaßnahmen kontinuierlich ändern kann. Gleichwohl lassen sich anhand der jeweiligen Ergebnisse Tendenzen feststellen und zueinander in ein Verhältnis setzen.</w:t>
      </w:r>
    </w:p>
    <w:p w:rsidR="00013B61" w:rsidRDefault="00013B61" w:rsidP="00013B61">
      <w:pPr>
        <w:pStyle w:val="LTAntwortRessortText"/>
      </w:pPr>
      <w:r>
        <w:t xml:space="preserve">Dabei umfasst </w:t>
      </w:r>
      <w:r w:rsidR="00E832CF">
        <w:t>„</w:t>
      </w:r>
      <w:r>
        <w:t>Häusliche Gewalt</w:t>
      </w:r>
      <w:r w:rsidR="00E832CF">
        <w:t>“</w:t>
      </w:r>
      <w:r>
        <w:t xml:space="preserve"> bei der Bayerischen Polizei gemäß Definition alle Fälle von physischer und psychischer Gewalt innerhalb von ehelich</w:t>
      </w:r>
      <w:r w:rsidR="0057765F">
        <w:t>en oder nichtehelichen Lebensge</w:t>
      </w:r>
      <w:r>
        <w:t xml:space="preserve">meinschaften. Insbesondere fallen darunter Nötigungs-, Bedrohungs- und Körperverletzungsdelikte, auch wenn sie sich nach einer Trennung ereignen, aber noch im direkten Bezug zur früheren Lebensgemeinschaft stehen. Denn gerade in oder kurz nach Trennungssituationen werden häufig Gewalttätigkeiten oder Einschüchterungen als Druckmittel benutzt. </w:t>
      </w:r>
      <w:r w:rsidR="00E832CF">
        <w:t>„</w:t>
      </w:r>
      <w:r>
        <w:t>Häusliche Gewalt</w:t>
      </w:r>
      <w:r w:rsidR="00E832CF">
        <w:t>“</w:t>
      </w:r>
      <w:r>
        <w:t xml:space="preserve"> umfasst also gemäß Definition nicht unmittelbar alle Fälle von Gewalt in der Familie, sondern ausschließlich (Ex-)Partnergewalt.</w:t>
      </w:r>
    </w:p>
    <w:p w:rsidR="00013B61" w:rsidRDefault="00013B61" w:rsidP="00013B61">
      <w:pPr>
        <w:pStyle w:val="LTAntwortRessortText"/>
      </w:pPr>
      <w:r w:rsidRPr="00095D4C">
        <w:rPr>
          <w:u w:val="single"/>
        </w:rPr>
        <w:t>Zur Entwicklung von sexualisierter Gewalt in den Jahren 2017 bis 2020</w:t>
      </w:r>
      <w:r>
        <w:t xml:space="preserve"> sind die Daten aus der </w:t>
      </w:r>
      <w:r w:rsidR="000A1A99">
        <w:t xml:space="preserve">PKS </w:t>
      </w:r>
      <w:r>
        <w:t>aus der anliegenden Tabelle (Anlage 1</w:t>
      </w:r>
      <w:r w:rsidR="000A1A99" w:rsidRPr="000A1A99">
        <w:rPr>
          <w:rStyle w:val="LTHyperlinkZchn"/>
          <w:b w:val="0"/>
        </w:rPr>
        <w:t>*</w:t>
      </w:r>
      <w:r w:rsidRPr="000A1A99">
        <w:rPr>
          <w:rStyle w:val="LTHyperlinkZchn"/>
          <w:b w:val="0"/>
        </w:rPr>
        <w:t>)</w:t>
      </w:r>
      <w:r>
        <w:t xml:space="preserve"> zu entnehmen. Eine Darstellung der Regionalverteilung der Sexualdelikte ist in der für die Beantwortung der Plenumsanfrage zur Verfügung stehenden Zeit nicht möglich.</w:t>
      </w:r>
    </w:p>
    <w:p w:rsidR="00013B61" w:rsidRDefault="00013B61" w:rsidP="00013B61">
      <w:pPr>
        <w:pStyle w:val="LTAntwortRessortText"/>
      </w:pPr>
      <w:r>
        <w:lastRenderedPageBreak/>
        <w:t xml:space="preserve">In diesem Zusammenhang ist zu beachten, dass durch das Fünfzigste Gesetz zur </w:t>
      </w:r>
      <w:r w:rsidR="000A1A99">
        <w:t>Änderung des Strafgesetzbuches –</w:t>
      </w:r>
      <w:r>
        <w:t xml:space="preserve"> Verbesserung des Schutzes der sexuellen Selbstbestimmung vom 04.1</w:t>
      </w:r>
      <w:r w:rsidR="000A1A99">
        <w:t>1.2016 –</w:t>
      </w:r>
      <w:r>
        <w:t xml:space="preserve"> das Sexualstrafrecht umfangreich novelliert wurde. So wurden </w:t>
      </w:r>
      <w:r w:rsidR="004A5D9A">
        <w:t>z. B.</w:t>
      </w:r>
      <w:r w:rsidR="0057765F">
        <w:t xml:space="preserve"> Tathandlun</w:t>
      </w:r>
      <w:r>
        <w:t>gen, die bisher lediglich den Tatbestand der Beleidigung erfüll</w:t>
      </w:r>
      <w:r w:rsidR="0057765F">
        <w:t>ten, neu geschaffenen Tatbestän</w:t>
      </w:r>
      <w:r>
        <w:t>den im Bereich der Sexualstraftaten zugeordnet. Neben diesen Änderungen wurden weitere Tatbestände geschaffen, um bisher straflose Handlungen zu sanktionieren.</w:t>
      </w:r>
    </w:p>
    <w:p w:rsidR="00013B61" w:rsidRDefault="00013B61" w:rsidP="00095D4C">
      <w:pPr>
        <w:pStyle w:val="LTAntwortRessortText"/>
        <w:spacing w:before="0"/>
      </w:pPr>
      <w:r>
        <w:t>Im Zuge der Rechtsänderung wurden zum 01.01.2017 neue PKS-Deliktsschlüssel eingeführt und die Erfassungsvorgaben für die PKS zum 01.01.2018 angepasst, sodass eine vollständige statistische Vergleichbarkeit erst ab dem Berichtsjahr 2018 mit den Folgejahren möglich ist.</w:t>
      </w:r>
    </w:p>
    <w:p w:rsidR="00013B61" w:rsidRDefault="00013B61" w:rsidP="00013B61">
      <w:pPr>
        <w:pStyle w:val="LTAntwortRessortText"/>
      </w:pPr>
      <w:r w:rsidRPr="00095D4C">
        <w:rPr>
          <w:u w:val="single"/>
        </w:rPr>
        <w:t>Die Entwicklung der Morde an Frauen in Bayern von 2017 bi</w:t>
      </w:r>
      <w:r w:rsidR="0057765F" w:rsidRPr="00095D4C">
        <w:rPr>
          <w:u w:val="single"/>
        </w:rPr>
        <w:t>s 2020</w:t>
      </w:r>
      <w:r w:rsidR="0057765F">
        <w:t xml:space="preserve"> und die entsprechende Re</w:t>
      </w:r>
      <w:r>
        <w:t xml:space="preserve">gionalverteilung der Fälle sind aus </w:t>
      </w:r>
      <w:r w:rsidR="000A1A99">
        <w:t>der anliegenden Tabelle (Anlage </w:t>
      </w:r>
      <w:r>
        <w:t>2</w:t>
      </w:r>
      <w:r w:rsidR="000A1A99" w:rsidRPr="000A1A99">
        <w:rPr>
          <w:rStyle w:val="LTHyperlinkZchn"/>
          <w:b w:val="0"/>
        </w:rPr>
        <w:t>*</w:t>
      </w:r>
      <w:r w:rsidRPr="000A1A99">
        <w:rPr>
          <w:rStyle w:val="LTHyperlinkZchn"/>
          <w:b w:val="0"/>
        </w:rPr>
        <w:t>)</w:t>
      </w:r>
      <w:r>
        <w:t xml:space="preserve"> zu entnehmen. Auf die</w:t>
      </w:r>
      <w:r w:rsidR="004E36BE">
        <w:t xml:space="preserve"> </w:t>
      </w:r>
      <w:r>
        <w:t>Angaben von 0-Werten wird in der Tabelle verzichtet. Die Da</w:t>
      </w:r>
      <w:r w:rsidR="0057765F">
        <w:t>ten zur Altersverteilung der Op</w:t>
      </w:r>
      <w:r>
        <w:t>fer sind aus der Tabelle in Anlage 3</w:t>
      </w:r>
      <w:r w:rsidR="000A1A99" w:rsidRPr="000A1A99">
        <w:rPr>
          <w:rStyle w:val="LTHyperlinkZchn"/>
          <w:b w:val="0"/>
        </w:rPr>
        <w:t>*)</w:t>
      </w:r>
      <w:r>
        <w:t xml:space="preserve"> zu entnehmen.</w:t>
      </w:r>
    </w:p>
    <w:p w:rsidR="00013B61" w:rsidRDefault="00013B61" w:rsidP="00013B61">
      <w:pPr>
        <w:pStyle w:val="LTAntwortRessortText"/>
      </w:pPr>
      <w:r>
        <w:t>Die Polizeiliche Kriminalstatistik lässt jedoch keine Rücksch</w:t>
      </w:r>
      <w:r w:rsidR="0057765F">
        <w:t>lüsse auf die Motivation des Tä</w:t>
      </w:r>
      <w:r>
        <w:t>ters zur Tatausführung zu.</w:t>
      </w:r>
    </w:p>
    <w:p w:rsidR="00013B61" w:rsidRDefault="00013B61" w:rsidP="00013B61">
      <w:pPr>
        <w:pStyle w:val="LTAntwortRessortText"/>
      </w:pPr>
    </w:p>
    <w:p w:rsidR="00013B61" w:rsidRDefault="0076476E" w:rsidP="00013B61">
      <w:pPr>
        <w:pStyle w:val="LTAntwortRessortText"/>
      </w:pPr>
      <w:r>
        <w:t xml:space="preserve">*) Von einem Abdruck wurde abgesehen. Die Anlage 1 ist als pdf-Dokument </w:t>
      </w:r>
      <w:hyperlink r:id="rId13" w:history="1">
        <w:r w:rsidRPr="006A33A0">
          <w:rPr>
            <w:rStyle w:val="LTHyperlinkZchn"/>
            <w:b w:val="0"/>
          </w:rPr>
          <w:t>hier</w:t>
        </w:r>
      </w:hyperlink>
      <w:r>
        <w:t xml:space="preserve"> einsehbar.</w:t>
      </w:r>
    </w:p>
    <w:p w:rsidR="0076476E" w:rsidRDefault="0076476E" w:rsidP="00013B61">
      <w:pPr>
        <w:pStyle w:val="LTAntwortRessortText"/>
      </w:pPr>
      <w:r>
        <w:t xml:space="preserve">*) Von einem Abdruck wurde abgesehen. Die Anlage 2 ist als pdf-Dokument </w:t>
      </w:r>
      <w:hyperlink r:id="rId14" w:history="1">
        <w:r w:rsidRPr="005C756F">
          <w:rPr>
            <w:rStyle w:val="LTHyperlinkZchn"/>
            <w:b w:val="0"/>
          </w:rPr>
          <w:t>hier</w:t>
        </w:r>
      </w:hyperlink>
      <w:r>
        <w:t xml:space="preserve"> einsehbar.</w:t>
      </w:r>
    </w:p>
    <w:p w:rsidR="0076476E" w:rsidRDefault="0076476E" w:rsidP="00013B61">
      <w:pPr>
        <w:pStyle w:val="LTAntwortRessortText"/>
      </w:pPr>
      <w:r>
        <w:t xml:space="preserve">*) Von einem Abdruck wurde abgesehen. Die Anlage 3 ist als pdf-Dokument </w:t>
      </w:r>
      <w:hyperlink r:id="rId15" w:history="1">
        <w:r w:rsidRPr="006A33A0">
          <w:rPr>
            <w:rStyle w:val="LTHyperlinkZchn"/>
            <w:b w:val="0"/>
          </w:rPr>
          <w:t>hier</w:t>
        </w:r>
      </w:hyperlink>
      <w:r>
        <w:t xml:space="preserve"> einsehbar.</w:t>
      </w:r>
    </w:p>
    <w:p w:rsidR="00013B61" w:rsidRDefault="00013B61">
      <w:bookmarkStart w:id="22" w:name="Frage_Nr_10_Ende"/>
      <w:bookmarkEnd w:id="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D5B75" w:rsidTr="00DD5B75">
        <w:tc>
          <w:tcPr>
            <w:tcW w:w="1854" w:type="dxa"/>
          </w:tcPr>
          <w:p w:rsidR="00DD5B75" w:rsidRDefault="00DD5B75" w:rsidP="00DD5B75">
            <w:pPr>
              <w:pStyle w:val="LTAnfrageInitiator"/>
            </w:pPr>
            <w:r>
              <w:lastRenderedPageBreak/>
              <w:t>Abgeordneter</w:t>
            </w:r>
            <w:r>
              <w:rPr>
                <w:b/>
              </w:rPr>
              <w:br/>
              <w:t>Florian</w:t>
            </w:r>
            <w:r>
              <w:rPr>
                <w:b/>
              </w:rPr>
              <w:br/>
              <w:t>Ritter</w:t>
            </w:r>
            <w:r>
              <w:rPr>
                <w:b/>
              </w:rPr>
              <w:br/>
            </w:r>
            <w:r>
              <w:t>(SPD)</w:t>
            </w:r>
            <w:bookmarkStart w:id="23" w:name="Frage_Nr_11"/>
            <w:bookmarkEnd w:id="23"/>
          </w:p>
        </w:tc>
        <w:tc>
          <w:tcPr>
            <w:tcW w:w="5762" w:type="dxa"/>
          </w:tcPr>
          <w:p w:rsidR="00DD5B75" w:rsidRPr="00D0635E" w:rsidRDefault="00DD5B75" w:rsidP="000A1A99">
            <w:pPr>
              <w:pStyle w:val="LTAnfrageText"/>
            </w:pPr>
            <w:r w:rsidRPr="00D0635E">
              <w:t>Vor dem Hintergrund einer nicht vorher angezeigten aber beworbenen Versammlung am Sonntag am Platz der Opfer des Nationalsozialismus in München, abgehalten von bayerischen Coronaleugnern, zu deren Grundnarrativ es seit März 2020 gehört, sie stünden im Kampf gegen eine vermeintliche neue Diktatur, was dazu führt, dass sie sich selbst mit Widerstandkämpfern und Opfern des NS-Regimes gleichsetzen (Weiße Rose, gelbe Sterne) und handelnde Politiker mit Massenmördern gleichsetzen („Södolf“-Darstellungen, „Ermächtigungsgesetz“), was die realen Opfer der Nazi-Zeit, insbesondere die ermordeten Juden, verhöhnt und die Verbrechen mindestens in politischer Art und Weise, wenn nicht sogar strafrechtlicher, verharmlost, frage ich die Staatsregierung, ob der Polizei München die zurückhaltende Vergabe des Platzes für politische Versammlungen durch die Stadt München bekannt war, warum die Versammlung vor dem Hintergrund der politischen Ausrichtung der Querdenker-Szene und der Möglichkeiten des Art 15. Abs.</w:t>
            </w:r>
            <w:r w:rsidR="000A1A99">
              <w:t> </w:t>
            </w:r>
            <w:r w:rsidRPr="00D0635E">
              <w:t xml:space="preserve">2 Bayerisches Versammlungsgesetz (BayVersG) nicht untersagt oder verlegt wurde und wie die Staatsregierung gedenkt, zukünftig eine Verhöhnung der Opfer des NS-Regimes aus der Querdenker-Szene durch nicht angezeigte „Spontanversammlungen“ an dem Gedenken gewidmeten Orten zu verhindern?  </w:t>
            </w:r>
          </w:p>
        </w:tc>
        <w:tc>
          <w:tcPr>
            <w:tcW w:w="5762"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Das Kreisverwaltungsreferat München ist in Abstimmung mit dem Polizeipräsidium München vor entsprechenden Versammlungen sehr darauf bedacht, Veranstalterinnen und Veranstalter hinsichtlich der hohen Bedeutung des Erinnerungsortes des Pla</w:t>
      </w:r>
      <w:r w:rsidR="0057765F">
        <w:t>tzes der Opfer des Nationalsozi</w:t>
      </w:r>
      <w:r>
        <w:t>alismus zu sensibilisieren. In vielen Fällen gelingt so ein kooperativer Wechse</w:t>
      </w:r>
      <w:r w:rsidR="0057765F">
        <w:t>l der Versamm</w:t>
      </w:r>
      <w:r>
        <w:t>lungsörtlichkeit. Dem Polizeipräsidium München sind insofer</w:t>
      </w:r>
      <w:r w:rsidR="0057765F">
        <w:t>n sowohl die grundsätzlichen Er</w:t>
      </w:r>
      <w:r>
        <w:t>wägungen der Stadt München als auch die Sensibilität der Thematik hinreichend bekannt.</w:t>
      </w:r>
    </w:p>
    <w:p w:rsidR="00013B61" w:rsidRDefault="00013B61" w:rsidP="00013B61">
      <w:pPr>
        <w:pStyle w:val="LTAntwortRessortText"/>
      </w:pPr>
      <w:r>
        <w:t>Zur hier gegenständlichen Versammlung ist anzumerken, dass das Polizeipräsidium München bei der Auswertung sozialer Medien feststellte, dass am späten Samstagabend für den nächsten</w:t>
      </w:r>
      <w:r w:rsidR="004E36BE">
        <w:t xml:space="preserve"> </w:t>
      </w:r>
      <w:r>
        <w:t>Morgen zur Teilnahme an einer sich fortbewegenden Eilversammlung zur Erinnerung an einen zuvor verstorbenen Aktivisten der Querdenker-Szene aufgerufen wurde.</w:t>
      </w:r>
    </w:p>
    <w:p w:rsidR="00013B61" w:rsidRDefault="00013B61" w:rsidP="00013B61">
      <w:pPr>
        <w:pStyle w:val="LTAntwortRessortText"/>
      </w:pPr>
      <w:r>
        <w:t>Die Versammlung war zu diesem Zeitpunkt formell noch nicht angezeigt. Erst als sich am nächsten Tag bestätigte, dass sich auch tatsächlich Teilnehm</w:t>
      </w:r>
      <w:r w:rsidR="0057765F">
        <w:t>er am Platz der Opfer des Natio</w:t>
      </w:r>
      <w:r>
        <w:t>nalsozialismus sammelten, wurde die Eilversammlung vor Ort</w:t>
      </w:r>
      <w:r w:rsidR="0057765F">
        <w:t xml:space="preserve"> gegenüber den eingesetzten Po</w:t>
      </w:r>
      <w:r>
        <w:t>lizeikräften angezeigt. Die Versammlungsteilnehmer samm</w:t>
      </w:r>
      <w:r w:rsidR="000A1A99">
        <w:t>elten sich am 21.11.2021, um 11.</w:t>
      </w:r>
      <w:r>
        <w:t>11 Uhr, am Platz der Opfer des Nationalsozialismus und beg</w:t>
      </w:r>
      <w:r w:rsidR="0057765F">
        <w:t>annen nach dem Verlesen der Ver</w:t>
      </w:r>
      <w:r>
        <w:t>sammlungsauflagen bereits um 11</w:t>
      </w:r>
      <w:r w:rsidR="000A1A99">
        <w:t>.</w:t>
      </w:r>
      <w:r>
        <w:t>18 Uhr die sich fortbewegende Versammlung. Der vor Ort erstellte Auflagenbescheid des Polizeipräsidiums München beinhaltete unter anderem das Verbot des Tragens des Davidsterns sowie das Verbot der Verwendung von Reichskriegsflaggen. Entsprechende Auflagenverstöße wurden während der lau</w:t>
      </w:r>
      <w:r w:rsidR="0057765F">
        <w:t>fenden Versammlung nicht festge</w:t>
      </w:r>
      <w:r>
        <w:t>stellt.</w:t>
      </w:r>
    </w:p>
    <w:p w:rsidR="00013B61" w:rsidRDefault="00013B61" w:rsidP="00013B61">
      <w:pPr>
        <w:pStyle w:val="LTAntwortRessortText"/>
      </w:pPr>
      <w:r>
        <w:lastRenderedPageBreak/>
        <w:t>Dem Polizeipräsidium München lagen zu diesem Zeitpunkt keine erkennbaren Umstände vor, dass durch die o.</w:t>
      </w:r>
      <w:r w:rsidR="000A1A99">
        <w:t> </w:t>
      </w:r>
      <w:r>
        <w:t>g. Versammlung am Platz der Opfer des Nati</w:t>
      </w:r>
      <w:r w:rsidR="0057765F">
        <w:t>onalsozialismus eine Beeinträch</w:t>
      </w:r>
      <w:r>
        <w:t>tigung der Würde der Opfer der Nationalsozialistischen Gewa</w:t>
      </w:r>
      <w:r w:rsidR="0057765F">
        <w:t>lt- und Willkürherrschaft zu be</w:t>
      </w:r>
      <w:r>
        <w:t>sorgen stand. Eine versammlungsrechtliche Beschränkung</w:t>
      </w:r>
      <w:r w:rsidR="0057765F">
        <w:t xml:space="preserve"> zum Zwecke der örtlichen Verle</w:t>
      </w:r>
      <w:r>
        <w:t>gung der Versammlung wäre insofern nicht zulässig gewesen.</w:t>
      </w:r>
    </w:p>
    <w:p w:rsidR="00013B61" w:rsidRDefault="00013B61" w:rsidP="00013B61">
      <w:pPr>
        <w:pStyle w:val="LTAntwortRessortText"/>
      </w:pPr>
      <w:r>
        <w:t>Spontanversammlungen finden ihrem Charakter entsprechend kurzfristig und deshalb ohne vorherige Anzeige bei der zuständigen Versammlungsbehörde statt; vgl. Art. 13 Abs. 4 des Bayerischen Versammlungsgesetz (BayVersG). Damit entfällt für die Versammlungsbehörde die Möglichkeit, im Vorfeld durch Bescheid etwaige v</w:t>
      </w:r>
      <w:r w:rsidR="0057765F">
        <w:t>ersammlungsbeschränkende Maßnah</w:t>
      </w:r>
      <w:r>
        <w:t>men gemäß Art. 15 BayVersG zu erlassen. Spontanversammlungen werden daher primär von der Polizei vor Ort begleitet, die im Einzelfall über beschränkende Maßnahmen, die Verlegung oder Auflösung der Versammlung entscheidet; vgl. Art. 24 Abs. 2 Satz 2 BayVersG.</w:t>
      </w:r>
    </w:p>
    <w:p w:rsidR="00013B61" w:rsidRDefault="00013B61" w:rsidP="00013B61">
      <w:pPr>
        <w:pStyle w:val="LTAntwortRessortText"/>
      </w:pPr>
      <w:r>
        <w:t>Grundsätzlich gilt auch für Spontanversammlungen, dass die Versammlungsf</w:t>
      </w:r>
      <w:r w:rsidR="000A1A99">
        <w:t>reiheit auch die Wahl des Orts –</w:t>
      </w:r>
      <w:r>
        <w:t xml:space="preserve"> unabhängig vom Motiv oder Thema der Versammlung - schützt und daher der Veranstalter über den Ort entscheidet. Allerdings kann eine Versammlung gemäß Art. 15 Abs. 2 BayVersG insbesondere dann beschränkt oder verboten werden, wenn</w:t>
      </w:r>
    </w:p>
    <w:p w:rsidR="00013B61" w:rsidRDefault="00013B61" w:rsidP="0076476E">
      <w:pPr>
        <w:pStyle w:val="LTAntwortRessortText"/>
        <w:numPr>
          <w:ilvl w:val="0"/>
          <w:numId w:val="27"/>
        </w:numPr>
        <w:spacing w:before="0"/>
        <w:ind w:left="697" w:hanging="357"/>
      </w:pPr>
      <w:r>
        <w:t>die Versammlung nach den erkennbaren Umständen an einem Ort stattfinden soll, dem ein an die nationalsozialistische Gewalt- und Willkürherrschaf</w:t>
      </w:r>
      <w:r w:rsidR="0057765F">
        <w:t>t erinnernder Sinngehalt mit ge</w:t>
      </w:r>
      <w:r>
        <w:t>wichtiger Symbolkraft zukommt, und durch sie eine Beeinträchtigung der Würde der Opfer zu besorgen ist oder die unmittelbare Gefahr einer erheblichen Verletzung grundlegender sozialer oder ethischer Anschauungen besteht oder</w:t>
      </w:r>
    </w:p>
    <w:p w:rsidR="00013B61" w:rsidRDefault="00013B61" w:rsidP="0076476E">
      <w:pPr>
        <w:pStyle w:val="LTAntwortRessortText"/>
        <w:numPr>
          <w:ilvl w:val="0"/>
          <w:numId w:val="27"/>
        </w:numPr>
        <w:spacing w:before="0"/>
        <w:ind w:left="697" w:hanging="357"/>
      </w:pPr>
      <w:r>
        <w:t>durch die Versammlung die nationalsozialistische Gewalt- und Willkürherrschaft gebilligt, verherrlicht, gerechtfertigt oder verharmlost wird und dad</w:t>
      </w:r>
      <w:r w:rsidR="0057765F">
        <w:t>urch die unmittelbare Gefahr ei</w:t>
      </w:r>
      <w:r>
        <w:t>ner Beeinträchtigung der Würde der Opfer besteht.</w:t>
      </w:r>
    </w:p>
    <w:p w:rsidR="00013B61" w:rsidRDefault="00013B61" w:rsidP="00013B61">
      <w:pPr>
        <w:pStyle w:val="LTAntwortRessortText"/>
      </w:pPr>
      <w:r>
        <w:t>Von dieser Möglichkeit wird bei Vorliegen der rechtlichen V</w:t>
      </w:r>
      <w:r w:rsidR="0057765F">
        <w:t>oraussetzungen durch die zustän</w:t>
      </w:r>
      <w:r>
        <w:t>digen Behörden im Sinne des Art. 24 Abs. 2 BayVersG entsprechend Gebrauch gemacht.</w:t>
      </w:r>
    </w:p>
    <w:p w:rsidR="00013B61" w:rsidRDefault="00013B61">
      <w:bookmarkStart w:id="24" w:name="Frage_Nr_11_Ende"/>
      <w:bookmarkEnd w:id="2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DD5B75" w:rsidTr="00DD5B75">
        <w:tc>
          <w:tcPr>
            <w:tcW w:w="1856" w:type="dxa"/>
          </w:tcPr>
          <w:p w:rsidR="00DD5B75" w:rsidRDefault="00DD5B75" w:rsidP="00DD5B75">
            <w:pPr>
              <w:pStyle w:val="LTAnfrageInitiator"/>
            </w:pPr>
            <w:r>
              <w:lastRenderedPageBreak/>
              <w:t>Abgeordneter</w:t>
            </w:r>
            <w:r>
              <w:rPr>
                <w:b/>
              </w:rPr>
              <w:br/>
              <w:t>Jan</w:t>
            </w:r>
            <w:r>
              <w:rPr>
                <w:b/>
              </w:rPr>
              <w:br/>
              <w:t>Schiffers</w:t>
            </w:r>
            <w:r>
              <w:rPr>
                <w:b/>
              </w:rPr>
              <w:br/>
            </w:r>
            <w:r>
              <w:t>(AfD)</w:t>
            </w:r>
            <w:bookmarkStart w:id="25" w:name="Frage_Nr_12"/>
            <w:bookmarkEnd w:id="25"/>
          </w:p>
        </w:tc>
        <w:tc>
          <w:tcPr>
            <w:tcW w:w="5760" w:type="dxa"/>
          </w:tcPr>
          <w:p w:rsidR="00DD5B75" w:rsidRPr="00D0635E" w:rsidRDefault="00DD5B75" w:rsidP="00A625E5">
            <w:pPr>
              <w:pStyle w:val="LTAnfrageText"/>
            </w:pPr>
            <w:r w:rsidRPr="00D0635E">
              <w:t>Ich frage die Staatsregierung, mit welchen konkreten Maßnahmen ist es gelungen, bei den aktuell steigenden Coronazahlen derzeit 1 122 Menschen (15.11.2021) im A</w:t>
            </w:r>
            <w:r w:rsidR="00A625E5">
              <w:t>NKER-Z</w:t>
            </w:r>
            <w:r w:rsidRPr="00D0635E">
              <w:t>entrum Bamberg unter Beachtung der geltenden Hygieneregelungen unterzubringen, während im April 2021 bei einer Belegung mit 925 Menschen (Stand 12.04.2021) bei deutlichen niedrigerem Infektionsgeschehen laut Auskunft des Staatsministeriums des Innern, für Sport und Integration aus Infektionsschutzgründen sämtliche Gebäude benutzt werden und sämtliche räumlichen Kapazitäten ausgeschöpft werden mussten, wie hoch ist der Anteil der geimpften Personen im Ankerzentrum Bamberg (bitte nach Alter und Impfstatus aufschlüsseln) und bei welcher Belegungszahl sind aufgrund des aktuellen Impfgeschehens die Kapazitäten des Ankerzentrum Bamberg erschöpft?</w:t>
            </w:r>
          </w:p>
        </w:tc>
        <w:tc>
          <w:tcPr>
            <w:tcW w:w="5760"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Oberstes Gebot aller Maßnahmen ist der Schutz der Gesundheit und die Infektionsprävention in allen bayerischen Asylunte</w:t>
      </w:r>
      <w:r w:rsidR="000A1A99">
        <w:t>rkünften. Dies gilt auch für den</w:t>
      </w:r>
      <w:r>
        <w:t xml:space="preserve"> ANKER Oberfranken.</w:t>
      </w:r>
    </w:p>
    <w:p w:rsidR="00013B61" w:rsidRDefault="00013B61" w:rsidP="00013B61">
      <w:pPr>
        <w:pStyle w:val="LTAntwortRessortText"/>
      </w:pPr>
      <w:r>
        <w:t>Die Staatsregierung setzt dabei auf drei Säulen:</w:t>
      </w:r>
    </w:p>
    <w:p w:rsidR="00013B61" w:rsidRDefault="00013B61" w:rsidP="00013B61">
      <w:pPr>
        <w:pStyle w:val="LTAntwortRessortText"/>
      </w:pPr>
      <w:r w:rsidRPr="0018475D">
        <w:rPr>
          <w:b/>
        </w:rPr>
        <w:t>Prävention:</w:t>
      </w:r>
      <w:r>
        <w:t xml:space="preserve"> Einer Ausbreitung von COVID-19 soll durch hohe Hygienestandards vorgebeugt werden. Diesem Ziel dient auch eine hohe Anzahl von Test</w:t>
      </w:r>
      <w:r w:rsidR="000A1A99">
        <w:t>ungen zur Aufdeckung des Dunkel</w:t>
      </w:r>
      <w:r>
        <w:t xml:space="preserve">felds und damit verbunden möglichst die Vermeidung eines unterkannten </w:t>
      </w:r>
      <w:r w:rsidR="00E832CF">
        <w:t>„</w:t>
      </w:r>
      <w:r>
        <w:t>Einschleppens</w:t>
      </w:r>
      <w:r w:rsidR="00E832CF">
        <w:t>“</w:t>
      </w:r>
      <w:r>
        <w:t xml:space="preserve"> des Virus, eine entzerrte Belegung und Versorgung sowie die </w:t>
      </w:r>
      <w:r w:rsidR="008D4D2C">
        <w:t>Gewährleistung ausreichenden Ab</w:t>
      </w:r>
      <w:r>
        <w:t>stands in den Unterkünften und auf den Gemeinschaftsfläch</w:t>
      </w:r>
      <w:r w:rsidR="008D4D2C">
        <w:t>en. Auch werden Vulnerable best</w:t>
      </w:r>
      <w:r>
        <w:t>möglich durch die Möglichkeit einer separaten Unterbringung und Versorgung in gesonderten Unterkünften oder Unterkunftsbereichen geschützt.</w:t>
      </w:r>
    </w:p>
    <w:p w:rsidR="00013B61" w:rsidRDefault="00013B61" w:rsidP="0018475D">
      <w:pPr>
        <w:pStyle w:val="LTAntwortRessortText"/>
        <w:spacing w:before="0"/>
      </w:pPr>
      <w:r>
        <w:t>In diesem Zusammenhang werden alle Neuzugänge im ANK</w:t>
      </w:r>
      <w:r w:rsidR="000A1A99">
        <w:t>ER</w:t>
      </w:r>
      <w:r w:rsidR="00454DC2">
        <w:t>-Zentrum</w:t>
      </w:r>
      <w:r w:rsidR="000A1A99">
        <w:t xml:space="preserve"> seit dem 27.02.</w:t>
      </w:r>
      <w:r w:rsidR="008D4D2C">
        <w:t>2020 ge</w:t>
      </w:r>
      <w:r>
        <w:t>testet. Weiterhin erfolgen Tests vor Verlegungen innerhalb der ANKER</w:t>
      </w:r>
      <w:r w:rsidR="00454DC2">
        <w:t>-Zentren</w:t>
      </w:r>
      <w:r>
        <w:t>, vor Weiterleitungen in andere ANKER</w:t>
      </w:r>
      <w:r w:rsidR="00454DC2">
        <w:t>-Zentren</w:t>
      </w:r>
      <w:r>
        <w:t xml:space="preserve"> (innerhalb Bayerns und in andere Län</w:t>
      </w:r>
      <w:r w:rsidR="004E36BE">
        <w:t>der), vor Zuweisungen in die An</w:t>
      </w:r>
      <w:r>
        <w:t>schlussunterbringung und Umverteilungen innerhalb der An</w:t>
      </w:r>
      <w:r w:rsidR="008D4D2C">
        <w:t>schlussunterbringung. Zudem wer</w:t>
      </w:r>
      <w:r>
        <w:t xml:space="preserve">den Testungen im Rahmen jedes Besuches im Ärztezentrum </w:t>
      </w:r>
      <w:r w:rsidR="008D4D2C">
        <w:t>angeboten. Insgesamt wurden bislang über 165 </w:t>
      </w:r>
      <w:r w:rsidR="000A1A99">
        <w:t>539 Tests (Stand 19.11.</w:t>
      </w:r>
      <w:r>
        <w:t>2021) durchgeführt.</w:t>
      </w:r>
    </w:p>
    <w:p w:rsidR="00013B61" w:rsidRDefault="00013B61" w:rsidP="00013B61">
      <w:pPr>
        <w:pStyle w:val="LTAntwortRessortText"/>
      </w:pPr>
      <w:r w:rsidRPr="0018475D">
        <w:rPr>
          <w:b/>
        </w:rPr>
        <w:t>Intervention:</w:t>
      </w:r>
      <w:r>
        <w:t xml:space="preserve"> Durch schnelles und konsequentes Vorgehen werden Ausbruchgeschehen so gut als möglich eingedämmt und Infektionsketten unterbrochen.</w:t>
      </w:r>
    </w:p>
    <w:p w:rsidR="00013B61" w:rsidRDefault="00013B61" w:rsidP="00013B61">
      <w:pPr>
        <w:pStyle w:val="LTAntwortRessortText"/>
      </w:pPr>
      <w:r w:rsidRPr="0018475D">
        <w:rPr>
          <w:b/>
        </w:rPr>
        <w:t>Information:</w:t>
      </w:r>
      <w:r>
        <w:t xml:space="preserve"> Alle Untergebrachten werden fortlaufend über geltende Hygienemaßnahmen und Verordnungen bzw. die erforderlichen Maßnahmen zur eige</w:t>
      </w:r>
      <w:r w:rsidR="008D4D2C">
        <w:t>nverantwortlichen Einhaltung in</w:t>
      </w:r>
      <w:r>
        <w:t>formiert. Dies gilt auch für gezielte Informationsangebote zur Impfung.</w:t>
      </w:r>
    </w:p>
    <w:p w:rsidR="00013B61" w:rsidRDefault="00013B61" w:rsidP="00013B61">
      <w:pPr>
        <w:pStyle w:val="LTAntwortRessortText"/>
      </w:pPr>
      <w:r>
        <w:t xml:space="preserve">Insgesamt zeigt sich bei allen Maßnahmen ein hohes Maß an Kooperationsbereitschaft und eine eigenverantwortliche und gewissenhafte Einhaltung der </w:t>
      </w:r>
      <w:r w:rsidR="008D4D2C">
        <w:t>Maßnahmen zum Schutz der Gesund</w:t>
      </w:r>
      <w:r>
        <w:t>heit aller in den Unterkünften untergebrachten Personen und dort eingesetzten Mitarbeiterinnen und Mitarbeiter.</w:t>
      </w:r>
    </w:p>
    <w:p w:rsidR="00013B61" w:rsidRDefault="00013B61" w:rsidP="00013B61">
      <w:pPr>
        <w:pStyle w:val="LTAntwortRessortText"/>
      </w:pPr>
      <w:r>
        <w:lastRenderedPageBreak/>
        <w:t>Ziel der Bayerischen Unterkunftsverwaltung ist eine unter Infektionsschutzaspekten zu jedem Zeitpunkt bestmögliche, entzerrte Belegung. Zudem hängt die</w:t>
      </w:r>
      <w:r w:rsidR="008D4D2C">
        <w:t xml:space="preserve"> Belegungssituation des jeweili</w:t>
      </w:r>
      <w:r>
        <w:t>gen ANKER</w:t>
      </w:r>
      <w:r w:rsidR="00A64D48">
        <w:t>-Zentrums</w:t>
      </w:r>
      <w:r>
        <w:t xml:space="preserve"> maßgeblich vom aktuellen Zugangsgeschehen ab. Aufgrund eines Anstiegs der Zugangszahlen in der zweiten Jahreshälfte des Jahres 2021 </w:t>
      </w:r>
      <w:r w:rsidR="008D4D2C">
        <w:t>liegt auch in der ANKER-Einrich</w:t>
      </w:r>
      <w:r>
        <w:t>tung Oberfranken eine im Vergleich zu April 2021 erhöhte Belegung vor. Des Weiteren wirken sich Faktoren wie ein vermehrter Zugang von Familien auf die Belegungsstruktur im ANKER aus. Da Familienmitglieder aufgrund des Familienstatus e</w:t>
      </w:r>
      <w:r w:rsidR="008D4D2C">
        <w:t>infacher zusammen in Zimmern un</w:t>
      </w:r>
      <w:r>
        <w:t>tergebracht werden können, ist auch eine höhere Belegung als im April 2021</w:t>
      </w:r>
      <w:r w:rsidR="008D4D2C">
        <w:t xml:space="preserve"> möglich. Wie be</w:t>
      </w:r>
      <w:r>
        <w:t>reits im April 2021 werden sämtliche bewohnbare Gebä</w:t>
      </w:r>
      <w:r w:rsidR="008D4D2C">
        <w:t>ude im ANKER Oberfranken zur Un</w:t>
      </w:r>
      <w:r>
        <w:t>terbringung von Asylbewerbern genutzt. Ferner wurde jede</w:t>
      </w:r>
      <w:r w:rsidR="000A1A99">
        <w:t>m Bewohner der bayerischen Asyl</w:t>
      </w:r>
      <w:r>
        <w:t>unterkünfte seit Mai 2021 mindestens einmal ein Impfangebot unterbreitet. Diese Angebote werden fortlaufend wiederholt. Daher ist insgesamt von eine</w:t>
      </w:r>
      <w:r w:rsidR="008D4D2C">
        <w:t>m höheren Schutzgrad bei den Be</w:t>
      </w:r>
      <w:r>
        <w:t>wohnern auszugehen.</w:t>
      </w:r>
    </w:p>
    <w:p w:rsidR="00013B61" w:rsidRDefault="00013B61" w:rsidP="00013B61">
      <w:pPr>
        <w:pStyle w:val="LTAntwortRessortText"/>
      </w:pPr>
      <w:r>
        <w:t>Eine Aussage dazu, wie hoch der Anteil der aktuell im ANKER Oberfranken untergebrachten Personen, die eine Impfung erhalten haben, ist, kann mangels Vorliegens aller notwendigen Daten in statistisch auswertbarer Form nicht getroffen werden. Die Impfungen werden durch das Impfzentrum Bamberg durchgeführt. Aus Datenschutzgründen erfolgt nur eine Information</w:t>
      </w:r>
      <w:r w:rsidR="004E36BE">
        <w:t xml:space="preserve"> </w:t>
      </w:r>
      <w:r>
        <w:t>über die Anzahl der insgesamt durchgeführten Impfungen, ni</w:t>
      </w:r>
      <w:r w:rsidR="008D4D2C">
        <w:t>cht jedoch zu den konkreten Per</w:t>
      </w:r>
      <w:r>
        <w:t>sonen. Insbesondere in Impfzentren oder bei Hausärzten unabhängig von den Impfangeboten erfolgte Impfungen entziehen sich der Kenntnis der Staatsregierung.</w:t>
      </w:r>
    </w:p>
    <w:p w:rsidR="00013B61" w:rsidRDefault="00013B61" w:rsidP="00013B61">
      <w:pPr>
        <w:pStyle w:val="LTAntwortRessortText"/>
      </w:pPr>
      <w:r>
        <w:t>Gemessen an der regelmäßig belegbaren Bettenkapazität von 1</w:t>
      </w:r>
      <w:r w:rsidR="000A1A99">
        <w:t> </w:t>
      </w:r>
      <w:r>
        <w:t xml:space="preserve">500 Personen ist der ANKER Oberfranken aktuell zu 81,6 </w:t>
      </w:r>
      <w:r w:rsidR="004A5D9A">
        <w:t>Prozent</w:t>
      </w:r>
      <w:r>
        <w:t xml:space="preserve"> ausgelastet. Eine unter Infek</w:t>
      </w:r>
      <w:r w:rsidR="008D4D2C">
        <w:t>tionsschutzgesichtspunkten ange</w:t>
      </w:r>
      <w:r>
        <w:t xml:space="preserve">messene Belegung ist somit noch ohne </w:t>
      </w:r>
      <w:r w:rsidR="000A1A99">
        <w:t>weiteres</w:t>
      </w:r>
      <w:r>
        <w:t xml:space="preserve"> möglich.</w:t>
      </w:r>
    </w:p>
    <w:p w:rsidR="00013B61" w:rsidRDefault="00013B61">
      <w:bookmarkStart w:id="26" w:name="Frage_Nr_12_Ende"/>
      <w:bookmarkEnd w:id="2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DD5B75" w:rsidTr="00DD5B75">
        <w:tc>
          <w:tcPr>
            <w:tcW w:w="1894" w:type="dxa"/>
          </w:tcPr>
          <w:p w:rsidR="00DD5B75" w:rsidRDefault="00DD5B75" w:rsidP="00DD5B75">
            <w:pPr>
              <w:pStyle w:val="LTAnfrageInitiator"/>
            </w:pPr>
            <w:r>
              <w:lastRenderedPageBreak/>
              <w:t>Abgeordnete</w:t>
            </w:r>
            <w:r>
              <w:rPr>
                <w:b/>
              </w:rPr>
              <w:br/>
              <w:t>Katharina</w:t>
            </w:r>
            <w:r>
              <w:rPr>
                <w:b/>
              </w:rPr>
              <w:br/>
              <w:t>Schulze</w:t>
            </w:r>
            <w:r>
              <w:rPr>
                <w:b/>
              </w:rPr>
              <w:br/>
            </w:r>
            <w:r>
              <w:t>(BÜNDNIS 90/DIE GRÜNEN)</w:t>
            </w:r>
            <w:bookmarkStart w:id="27" w:name="Frage_Nr_13"/>
            <w:bookmarkEnd w:id="27"/>
          </w:p>
        </w:tc>
        <w:tc>
          <w:tcPr>
            <w:tcW w:w="5722" w:type="dxa"/>
          </w:tcPr>
          <w:p w:rsidR="00DD5B75" w:rsidRPr="00D0635E" w:rsidRDefault="00DD5B75" w:rsidP="00D0635E">
            <w:pPr>
              <w:pStyle w:val="LTAnfrageText"/>
            </w:pPr>
            <w:r w:rsidRPr="00D0635E">
              <w:t>Ich frage die Staatsregierung, wie viele Personen die bayerischen Sicherheitsbehörden zum Stichtag 31.10.2021 dem Milieu der sogenannten Reichsbürger bzw. Selbstverwalter zuordnen, wie sich dieses Personenpotenzial nach Landkreisen, kreisfreien Städten und Bezirken aufschlüsseln lässt und wie viele „Reichsbürger“ bzw. „Selbstverwalter“ dem rechtsextremen Spektrum zugerechnet werden?</w:t>
            </w:r>
          </w:p>
        </w:tc>
        <w:tc>
          <w:tcPr>
            <w:tcW w:w="5722"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E63618">
      <w:pPr>
        <w:pStyle w:val="LTAntwortRessortText"/>
      </w:pPr>
      <w:r>
        <w:t xml:space="preserve">Eine Beauskunftung im Sinne der Fragestellung </w:t>
      </w:r>
      <w:r w:rsidR="00E832CF">
        <w:t>„</w:t>
      </w:r>
      <w:r>
        <w:t>zum Stichtag 31.10.2021</w:t>
      </w:r>
      <w:r w:rsidR="00E832CF">
        <w:t>“</w:t>
      </w:r>
      <w:r>
        <w:t xml:space="preserve"> ist nicht möglich, da die Zahl der polizeilich bekannten und tatsächlich identifizierten sog. </w:t>
      </w:r>
      <w:r w:rsidR="00E832CF">
        <w:t>„</w:t>
      </w:r>
      <w:r w:rsidR="00E63618">
        <w:t>Reichsbürger/Selbst</w:t>
      </w:r>
      <w:r>
        <w:t>verwalter</w:t>
      </w:r>
      <w:r w:rsidR="00E832CF">
        <w:t>“</w:t>
      </w:r>
      <w:r>
        <w:t xml:space="preserve"> quartalsweise erhoben wird.</w:t>
      </w:r>
    </w:p>
    <w:p w:rsidR="00013B61" w:rsidRDefault="00013B61" w:rsidP="00013B61">
      <w:pPr>
        <w:pStyle w:val="LTAntwortRessortText"/>
      </w:pPr>
      <w:r>
        <w:t>Dem Bayerischen Landeskriminalamt (BLKA) liegen mit Stand 30.09.202</w:t>
      </w:r>
      <w:r w:rsidR="00E63618">
        <w:t>1 Erkenntnisse über insgesamt 4 </w:t>
      </w:r>
      <w:r>
        <w:t xml:space="preserve">381 in Bayern polizeilich bekannte und tatsächlich identifizierte sog. </w:t>
      </w:r>
      <w:r w:rsidR="00E832CF">
        <w:t>„</w:t>
      </w:r>
      <w:r w:rsidR="008D4D2C">
        <w:t>Reichsbür</w:t>
      </w:r>
      <w:r>
        <w:t>ger/Selbstverwalter</w:t>
      </w:r>
      <w:r w:rsidR="00E832CF">
        <w:t>“</w:t>
      </w:r>
      <w:r>
        <w:t xml:space="preserve"> vor. Eine Aufgliederung nach Landkreisen</w:t>
      </w:r>
      <w:r w:rsidR="008D4D2C">
        <w:t>, kreisfreien Städten und Bezir</w:t>
      </w:r>
      <w:r>
        <w:t xml:space="preserve">ken erfolgt bei der Bayerischen Polizei nicht. Ersatzweise </w:t>
      </w:r>
      <w:r w:rsidR="008D4D2C">
        <w:t>wird nachfolgend eine Aufgliede</w:t>
      </w:r>
      <w:r>
        <w:t xml:space="preserve">rung über die Anzahl tatsächlich identifizierter </w:t>
      </w:r>
      <w:r w:rsidR="00E832CF">
        <w:t>„</w:t>
      </w:r>
      <w:r>
        <w:t>Reichsbürger/Selbstverwalter</w:t>
      </w:r>
      <w:r w:rsidR="00E832CF">
        <w:t>“</w:t>
      </w:r>
      <w:r>
        <w:t xml:space="preserve"> zum Stichtag 30.09.2021 nach Polizeipräsidien vorgenommen:</w:t>
      </w:r>
    </w:p>
    <w:p w:rsidR="00013B61" w:rsidRDefault="00013B61" w:rsidP="00013B61">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0"/>
        <w:gridCol w:w="10"/>
        <w:gridCol w:w="3525"/>
        <w:gridCol w:w="10"/>
      </w:tblGrid>
      <w:tr w:rsidR="005D19D8" w:rsidTr="00E63618">
        <w:trPr>
          <w:trHeight w:val="1242"/>
        </w:trPr>
        <w:tc>
          <w:tcPr>
            <w:tcW w:w="3400" w:type="dxa"/>
            <w:gridSpan w:val="2"/>
          </w:tcPr>
          <w:p w:rsidR="005D19D8" w:rsidRPr="00E63618" w:rsidRDefault="00E47AE3" w:rsidP="00E47AE3">
            <w:pPr>
              <w:pStyle w:val="TableParagraph"/>
              <w:ind w:left="107"/>
              <w:rPr>
                <w:rFonts w:ascii="Arial" w:hAnsi="Arial" w:cs="Arial"/>
                <w:sz w:val="18"/>
                <w:szCs w:val="20"/>
              </w:rPr>
            </w:pPr>
            <w:r>
              <w:rPr>
                <w:rFonts w:ascii="Arial" w:hAnsi="Arial" w:cs="Arial"/>
                <w:sz w:val="18"/>
                <w:szCs w:val="20"/>
              </w:rPr>
              <w:t>Polizeipräsidium (PP)</w:t>
            </w:r>
          </w:p>
        </w:tc>
        <w:tc>
          <w:tcPr>
            <w:tcW w:w="3535" w:type="dxa"/>
            <w:gridSpan w:val="2"/>
          </w:tcPr>
          <w:p w:rsidR="005D19D8" w:rsidRPr="00E63618" w:rsidRDefault="005D19D8" w:rsidP="004F22A0">
            <w:pPr>
              <w:pStyle w:val="TableParagraph"/>
              <w:ind w:left="107"/>
              <w:rPr>
                <w:rFonts w:ascii="Arial" w:hAnsi="Arial" w:cs="Arial"/>
                <w:sz w:val="18"/>
                <w:szCs w:val="20"/>
              </w:rPr>
            </w:pPr>
            <w:r w:rsidRPr="00E63618">
              <w:rPr>
                <w:rFonts w:ascii="Arial" w:hAnsi="Arial" w:cs="Arial"/>
                <w:sz w:val="18"/>
                <w:szCs w:val="20"/>
              </w:rPr>
              <w:t>Anzahl tatsächlich identifizierter</w:t>
            </w:r>
          </w:p>
          <w:p w:rsidR="005D19D8" w:rsidRPr="00E63618" w:rsidRDefault="005D19D8" w:rsidP="004F22A0">
            <w:pPr>
              <w:pStyle w:val="TableParagraph"/>
              <w:spacing w:before="5" w:line="410" w:lineRule="atLeast"/>
              <w:ind w:left="107" w:right="335"/>
              <w:rPr>
                <w:rFonts w:ascii="Arial" w:hAnsi="Arial" w:cs="Arial"/>
                <w:sz w:val="18"/>
                <w:szCs w:val="20"/>
              </w:rPr>
            </w:pPr>
            <w:r w:rsidRPr="00E63618">
              <w:rPr>
                <w:rFonts w:ascii="Arial" w:hAnsi="Arial" w:cs="Arial"/>
                <w:sz w:val="18"/>
                <w:szCs w:val="20"/>
              </w:rPr>
              <w:t>„Reichsbürger/Selbstverwalter“ zum Stichtag 30.09.2021</w:t>
            </w:r>
          </w:p>
        </w:tc>
      </w:tr>
      <w:tr w:rsidR="005D19D8" w:rsidTr="00E63618">
        <w:trPr>
          <w:trHeight w:val="412"/>
        </w:trPr>
        <w:tc>
          <w:tcPr>
            <w:tcW w:w="3400" w:type="dxa"/>
            <w:gridSpan w:val="2"/>
            <w:tcBorders>
              <w:bottom w:val="single" w:sz="4" w:space="0" w:color="000000"/>
            </w:tcBorders>
          </w:tcPr>
          <w:p w:rsidR="005D19D8" w:rsidRPr="00E63618" w:rsidRDefault="005D19D8" w:rsidP="004F22A0">
            <w:pPr>
              <w:pStyle w:val="TableParagraph"/>
              <w:rPr>
                <w:rFonts w:ascii="Arial" w:hAnsi="Arial" w:cs="Arial"/>
                <w:sz w:val="18"/>
                <w:szCs w:val="20"/>
              </w:rPr>
            </w:pPr>
            <w:r w:rsidRPr="00E63618">
              <w:rPr>
                <w:rFonts w:ascii="Arial" w:hAnsi="Arial" w:cs="Arial"/>
                <w:sz w:val="18"/>
                <w:szCs w:val="20"/>
              </w:rPr>
              <w:t>PP Oberbayern Nord</w:t>
            </w:r>
          </w:p>
        </w:tc>
        <w:tc>
          <w:tcPr>
            <w:tcW w:w="3535" w:type="dxa"/>
            <w:gridSpan w:val="2"/>
            <w:tcBorders>
              <w:bottom w:val="single" w:sz="4" w:space="0" w:color="000000"/>
            </w:tcBorders>
          </w:tcPr>
          <w:p w:rsidR="005D19D8" w:rsidRPr="00E63618" w:rsidRDefault="005D19D8" w:rsidP="005D19D8">
            <w:pPr>
              <w:pStyle w:val="TableParagraph"/>
              <w:ind w:left="107"/>
              <w:jc w:val="center"/>
              <w:rPr>
                <w:rFonts w:ascii="Arial" w:hAnsi="Arial" w:cs="Arial"/>
                <w:sz w:val="18"/>
                <w:szCs w:val="20"/>
              </w:rPr>
            </w:pPr>
            <w:r w:rsidRPr="00E63618">
              <w:rPr>
                <w:rFonts w:ascii="Arial" w:hAnsi="Arial" w:cs="Arial"/>
                <w:sz w:val="18"/>
                <w:szCs w:val="20"/>
              </w:rPr>
              <w:t>480</w:t>
            </w:r>
          </w:p>
        </w:tc>
      </w:tr>
      <w:tr w:rsidR="005D19D8" w:rsidTr="00E63618">
        <w:trPr>
          <w:trHeight w:val="415"/>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spacing w:line="273" w:lineRule="exact"/>
              <w:rPr>
                <w:rFonts w:ascii="Arial" w:hAnsi="Arial" w:cs="Arial"/>
                <w:sz w:val="18"/>
                <w:szCs w:val="20"/>
              </w:rPr>
            </w:pPr>
            <w:r w:rsidRPr="00E63618">
              <w:rPr>
                <w:rFonts w:ascii="Arial" w:hAnsi="Arial" w:cs="Arial"/>
                <w:sz w:val="18"/>
                <w:szCs w:val="20"/>
              </w:rPr>
              <w:t>PP Oberbayern Süd</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spacing w:line="273" w:lineRule="exact"/>
              <w:ind w:left="112"/>
              <w:jc w:val="center"/>
              <w:rPr>
                <w:rFonts w:ascii="Arial" w:hAnsi="Arial" w:cs="Arial"/>
                <w:sz w:val="18"/>
                <w:szCs w:val="20"/>
              </w:rPr>
            </w:pPr>
            <w:r w:rsidRPr="00E63618">
              <w:rPr>
                <w:rFonts w:ascii="Arial" w:hAnsi="Arial" w:cs="Arial"/>
                <w:sz w:val="18"/>
                <w:szCs w:val="20"/>
              </w:rPr>
              <w:t>816</w:t>
            </w:r>
          </w:p>
        </w:tc>
      </w:tr>
      <w:tr w:rsidR="005D19D8" w:rsidTr="00E63618">
        <w:trPr>
          <w:trHeight w:val="414"/>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rPr>
                <w:rFonts w:ascii="Arial" w:hAnsi="Arial" w:cs="Arial"/>
                <w:sz w:val="18"/>
                <w:szCs w:val="20"/>
              </w:rPr>
            </w:pPr>
            <w:r w:rsidRPr="00E63618">
              <w:rPr>
                <w:rFonts w:ascii="Arial" w:hAnsi="Arial" w:cs="Arial"/>
                <w:sz w:val="18"/>
                <w:szCs w:val="20"/>
              </w:rPr>
              <w:t>PP München</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ind w:left="112"/>
              <w:jc w:val="center"/>
              <w:rPr>
                <w:rFonts w:ascii="Arial" w:hAnsi="Arial" w:cs="Arial"/>
                <w:sz w:val="18"/>
                <w:szCs w:val="20"/>
              </w:rPr>
            </w:pPr>
            <w:r w:rsidRPr="00E63618">
              <w:rPr>
                <w:rFonts w:ascii="Arial" w:hAnsi="Arial" w:cs="Arial"/>
                <w:sz w:val="18"/>
                <w:szCs w:val="20"/>
              </w:rPr>
              <w:t>407</w:t>
            </w:r>
          </w:p>
        </w:tc>
      </w:tr>
      <w:tr w:rsidR="005D19D8" w:rsidTr="00E63618">
        <w:trPr>
          <w:trHeight w:val="412"/>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rPr>
                <w:rFonts w:ascii="Arial" w:hAnsi="Arial" w:cs="Arial"/>
                <w:sz w:val="18"/>
                <w:szCs w:val="20"/>
              </w:rPr>
            </w:pPr>
            <w:r w:rsidRPr="00E63618">
              <w:rPr>
                <w:rFonts w:ascii="Arial" w:hAnsi="Arial" w:cs="Arial"/>
                <w:sz w:val="18"/>
                <w:szCs w:val="20"/>
              </w:rPr>
              <w:t>PP Niederbayern</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ind w:left="112"/>
              <w:jc w:val="center"/>
              <w:rPr>
                <w:rFonts w:ascii="Arial" w:hAnsi="Arial" w:cs="Arial"/>
                <w:sz w:val="18"/>
                <w:szCs w:val="20"/>
              </w:rPr>
            </w:pPr>
            <w:r w:rsidRPr="00E63618">
              <w:rPr>
                <w:rFonts w:ascii="Arial" w:hAnsi="Arial" w:cs="Arial"/>
                <w:sz w:val="18"/>
                <w:szCs w:val="20"/>
              </w:rPr>
              <w:t>470</w:t>
            </w:r>
          </w:p>
        </w:tc>
      </w:tr>
      <w:tr w:rsidR="005D19D8" w:rsidTr="00E63618">
        <w:trPr>
          <w:trHeight w:val="414"/>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spacing w:line="273" w:lineRule="exact"/>
              <w:rPr>
                <w:rFonts w:ascii="Arial" w:hAnsi="Arial" w:cs="Arial"/>
                <w:sz w:val="18"/>
                <w:szCs w:val="20"/>
              </w:rPr>
            </w:pPr>
            <w:r w:rsidRPr="00E63618">
              <w:rPr>
                <w:rFonts w:ascii="Arial" w:hAnsi="Arial" w:cs="Arial"/>
                <w:sz w:val="18"/>
                <w:szCs w:val="20"/>
              </w:rPr>
              <w:t>PP Oberpfalz</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spacing w:line="273" w:lineRule="exact"/>
              <w:ind w:left="112"/>
              <w:jc w:val="center"/>
              <w:rPr>
                <w:rFonts w:ascii="Arial" w:hAnsi="Arial" w:cs="Arial"/>
                <w:sz w:val="18"/>
                <w:szCs w:val="20"/>
              </w:rPr>
            </w:pPr>
            <w:r w:rsidRPr="00E63618">
              <w:rPr>
                <w:rFonts w:ascii="Arial" w:hAnsi="Arial" w:cs="Arial"/>
                <w:sz w:val="18"/>
                <w:szCs w:val="20"/>
              </w:rPr>
              <w:t>246</w:t>
            </w:r>
          </w:p>
        </w:tc>
      </w:tr>
      <w:tr w:rsidR="005D19D8" w:rsidTr="00E63618">
        <w:trPr>
          <w:trHeight w:val="414"/>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rPr>
                <w:rFonts w:ascii="Arial" w:hAnsi="Arial" w:cs="Arial"/>
                <w:sz w:val="18"/>
                <w:szCs w:val="20"/>
              </w:rPr>
            </w:pPr>
            <w:r w:rsidRPr="00E63618">
              <w:rPr>
                <w:rFonts w:ascii="Arial" w:hAnsi="Arial" w:cs="Arial"/>
                <w:sz w:val="18"/>
                <w:szCs w:val="20"/>
              </w:rPr>
              <w:t>PP Oberfranken</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ind w:left="112"/>
              <w:jc w:val="center"/>
              <w:rPr>
                <w:rFonts w:ascii="Arial" w:hAnsi="Arial" w:cs="Arial"/>
                <w:sz w:val="18"/>
                <w:szCs w:val="20"/>
              </w:rPr>
            </w:pPr>
            <w:r w:rsidRPr="00E63618">
              <w:rPr>
                <w:rFonts w:ascii="Arial" w:hAnsi="Arial" w:cs="Arial"/>
                <w:sz w:val="18"/>
                <w:szCs w:val="20"/>
              </w:rPr>
              <w:t>437</w:t>
            </w:r>
          </w:p>
        </w:tc>
      </w:tr>
      <w:tr w:rsidR="005D19D8" w:rsidTr="00E63618">
        <w:trPr>
          <w:trHeight w:val="414"/>
        </w:trPr>
        <w:tc>
          <w:tcPr>
            <w:tcW w:w="3400"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4F22A0">
            <w:pPr>
              <w:pStyle w:val="TableParagraph"/>
              <w:rPr>
                <w:rFonts w:ascii="Arial" w:hAnsi="Arial" w:cs="Arial"/>
                <w:sz w:val="18"/>
                <w:szCs w:val="20"/>
              </w:rPr>
            </w:pPr>
            <w:r w:rsidRPr="00E63618">
              <w:rPr>
                <w:rFonts w:ascii="Arial" w:hAnsi="Arial" w:cs="Arial"/>
                <w:sz w:val="18"/>
                <w:szCs w:val="20"/>
              </w:rPr>
              <w:t>PP Mittelfranken</w:t>
            </w:r>
          </w:p>
        </w:tc>
        <w:tc>
          <w:tcPr>
            <w:tcW w:w="3535" w:type="dxa"/>
            <w:gridSpan w:val="2"/>
            <w:tcBorders>
              <w:top w:val="single" w:sz="4" w:space="0" w:color="000000"/>
              <w:left w:val="single" w:sz="4" w:space="0" w:color="000000"/>
              <w:bottom w:val="single" w:sz="4" w:space="0" w:color="000000"/>
              <w:right w:val="single" w:sz="4" w:space="0" w:color="000000"/>
            </w:tcBorders>
          </w:tcPr>
          <w:p w:rsidR="005D19D8" w:rsidRPr="00E63618" w:rsidRDefault="005D19D8" w:rsidP="005D19D8">
            <w:pPr>
              <w:pStyle w:val="TableParagraph"/>
              <w:ind w:left="112"/>
              <w:jc w:val="center"/>
              <w:rPr>
                <w:rFonts w:ascii="Arial" w:hAnsi="Arial" w:cs="Arial"/>
                <w:sz w:val="18"/>
                <w:szCs w:val="20"/>
              </w:rPr>
            </w:pPr>
            <w:r w:rsidRPr="00E63618">
              <w:rPr>
                <w:rFonts w:ascii="Arial" w:hAnsi="Arial" w:cs="Arial"/>
                <w:sz w:val="18"/>
                <w:szCs w:val="20"/>
              </w:rPr>
              <w:t>590</w:t>
            </w:r>
          </w:p>
        </w:tc>
      </w:tr>
      <w:tr w:rsidR="005D19D8" w:rsidTr="00E63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12"/>
        </w:trPr>
        <w:tc>
          <w:tcPr>
            <w:tcW w:w="3390" w:type="dxa"/>
          </w:tcPr>
          <w:p w:rsidR="005D19D8" w:rsidRPr="00E63618" w:rsidRDefault="005D19D8" w:rsidP="004F22A0">
            <w:pPr>
              <w:pStyle w:val="TableParagraph"/>
              <w:spacing w:line="265" w:lineRule="exact"/>
              <w:ind w:left="7"/>
              <w:rPr>
                <w:rFonts w:ascii="Arial" w:hAnsi="Arial" w:cs="Arial"/>
                <w:sz w:val="18"/>
                <w:szCs w:val="20"/>
              </w:rPr>
            </w:pPr>
            <w:r w:rsidRPr="00E63618">
              <w:rPr>
                <w:rFonts w:ascii="Arial" w:hAnsi="Arial" w:cs="Arial"/>
                <w:sz w:val="18"/>
                <w:szCs w:val="20"/>
              </w:rPr>
              <w:t>PP Unterfranken</w:t>
            </w:r>
          </w:p>
        </w:tc>
        <w:tc>
          <w:tcPr>
            <w:tcW w:w="3535" w:type="dxa"/>
            <w:gridSpan w:val="2"/>
          </w:tcPr>
          <w:p w:rsidR="005D19D8" w:rsidRPr="00E63618" w:rsidRDefault="005D19D8" w:rsidP="005D19D8">
            <w:pPr>
              <w:pStyle w:val="TableParagraph"/>
              <w:spacing w:line="265" w:lineRule="exact"/>
              <w:ind w:left="107"/>
              <w:jc w:val="center"/>
              <w:rPr>
                <w:rFonts w:ascii="Arial" w:hAnsi="Arial" w:cs="Arial"/>
                <w:sz w:val="18"/>
                <w:szCs w:val="20"/>
              </w:rPr>
            </w:pPr>
            <w:r w:rsidRPr="00E63618">
              <w:rPr>
                <w:rFonts w:ascii="Arial" w:hAnsi="Arial" w:cs="Arial"/>
                <w:sz w:val="18"/>
                <w:szCs w:val="20"/>
              </w:rPr>
              <w:t>455</w:t>
            </w:r>
          </w:p>
        </w:tc>
      </w:tr>
      <w:tr w:rsidR="005D19D8" w:rsidTr="00E63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14"/>
        </w:trPr>
        <w:tc>
          <w:tcPr>
            <w:tcW w:w="3390" w:type="dxa"/>
          </w:tcPr>
          <w:p w:rsidR="005D19D8" w:rsidRPr="00E63618" w:rsidRDefault="005D19D8" w:rsidP="004F22A0">
            <w:pPr>
              <w:pStyle w:val="TableParagraph"/>
              <w:spacing w:line="268" w:lineRule="exact"/>
              <w:ind w:left="7"/>
              <w:rPr>
                <w:rFonts w:ascii="Arial" w:hAnsi="Arial" w:cs="Arial"/>
                <w:sz w:val="18"/>
                <w:szCs w:val="20"/>
              </w:rPr>
            </w:pPr>
            <w:r w:rsidRPr="00E63618">
              <w:rPr>
                <w:rFonts w:ascii="Arial" w:hAnsi="Arial" w:cs="Arial"/>
                <w:sz w:val="18"/>
                <w:szCs w:val="20"/>
              </w:rPr>
              <w:t>PP Schwaben Nord</w:t>
            </w:r>
          </w:p>
        </w:tc>
        <w:tc>
          <w:tcPr>
            <w:tcW w:w="3535" w:type="dxa"/>
            <w:gridSpan w:val="2"/>
          </w:tcPr>
          <w:p w:rsidR="005D19D8" w:rsidRPr="00E63618" w:rsidRDefault="005D19D8" w:rsidP="005D19D8">
            <w:pPr>
              <w:pStyle w:val="TableParagraph"/>
              <w:spacing w:line="268" w:lineRule="exact"/>
              <w:ind w:left="107"/>
              <w:jc w:val="center"/>
              <w:rPr>
                <w:rFonts w:ascii="Arial" w:hAnsi="Arial" w:cs="Arial"/>
                <w:sz w:val="18"/>
                <w:szCs w:val="20"/>
              </w:rPr>
            </w:pPr>
            <w:r w:rsidRPr="00E63618">
              <w:rPr>
                <w:rFonts w:ascii="Arial" w:hAnsi="Arial" w:cs="Arial"/>
                <w:sz w:val="18"/>
                <w:szCs w:val="20"/>
              </w:rPr>
              <w:t>226</w:t>
            </w:r>
          </w:p>
        </w:tc>
      </w:tr>
      <w:tr w:rsidR="005D19D8" w:rsidTr="00E63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15"/>
        </w:trPr>
        <w:tc>
          <w:tcPr>
            <w:tcW w:w="3390" w:type="dxa"/>
          </w:tcPr>
          <w:p w:rsidR="005D19D8" w:rsidRPr="00E63618" w:rsidRDefault="005D19D8" w:rsidP="004F22A0">
            <w:pPr>
              <w:pStyle w:val="TableParagraph"/>
              <w:spacing w:line="266" w:lineRule="exact"/>
              <w:ind w:left="7"/>
              <w:rPr>
                <w:rFonts w:ascii="Arial" w:hAnsi="Arial" w:cs="Arial"/>
                <w:sz w:val="18"/>
                <w:szCs w:val="20"/>
              </w:rPr>
            </w:pPr>
            <w:r w:rsidRPr="00E63618">
              <w:rPr>
                <w:rFonts w:ascii="Arial" w:hAnsi="Arial" w:cs="Arial"/>
                <w:sz w:val="18"/>
                <w:szCs w:val="20"/>
              </w:rPr>
              <w:t>PP Schwaben Süd/West</w:t>
            </w:r>
          </w:p>
        </w:tc>
        <w:tc>
          <w:tcPr>
            <w:tcW w:w="3535" w:type="dxa"/>
            <w:gridSpan w:val="2"/>
          </w:tcPr>
          <w:p w:rsidR="005D19D8" w:rsidRPr="00E63618" w:rsidRDefault="005D19D8" w:rsidP="005D19D8">
            <w:pPr>
              <w:pStyle w:val="TableParagraph"/>
              <w:spacing w:line="266" w:lineRule="exact"/>
              <w:ind w:left="107"/>
              <w:jc w:val="center"/>
              <w:rPr>
                <w:rFonts w:ascii="Arial" w:hAnsi="Arial" w:cs="Arial"/>
                <w:sz w:val="18"/>
                <w:szCs w:val="20"/>
              </w:rPr>
            </w:pPr>
            <w:r w:rsidRPr="00E63618">
              <w:rPr>
                <w:rFonts w:ascii="Arial" w:hAnsi="Arial" w:cs="Arial"/>
                <w:sz w:val="18"/>
                <w:szCs w:val="20"/>
              </w:rPr>
              <w:t>254</w:t>
            </w:r>
          </w:p>
        </w:tc>
      </w:tr>
    </w:tbl>
    <w:p w:rsidR="00013B61" w:rsidRDefault="00013B61" w:rsidP="00E47AE3">
      <w:pPr>
        <w:pStyle w:val="LTAntwortRessortText"/>
        <w:spacing w:before="40" w:after="40"/>
      </w:pPr>
      <w:r>
        <w:t>Die Zahl der Reichsbürger in Bayern, die auch in rechtsextremistischen</w:t>
      </w:r>
      <w:r w:rsidR="004E36BE">
        <w:t xml:space="preserve"> </w:t>
      </w:r>
      <w:r>
        <w:t>Zusammenhängen bekanntgeworden sind, beläuft sich auf ca. 100 Personen. Dabei handelt es sich vorwiegend um Einzelpersonen, die keinen Strukturen zugerechnet werden können und durch ihre Aktivitäten im virtuellen Raum Ideologieelemente aus beiden Phänomenbereichen vertreten.</w:t>
      </w:r>
      <w:bookmarkStart w:id="28" w:name="Frage_Nr_13_Ende"/>
      <w:bookmarkEnd w:id="28"/>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DD5B75" w:rsidTr="00DD5B75">
        <w:tc>
          <w:tcPr>
            <w:tcW w:w="1877" w:type="dxa"/>
          </w:tcPr>
          <w:p w:rsidR="00DD5B75" w:rsidRDefault="00DD5B75" w:rsidP="00DD5B75">
            <w:pPr>
              <w:pStyle w:val="LTAnfrageInitiator"/>
            </w:pPr>
            <w:r>
              <w:lastRenderedPageBreak/>
              <w:t>Abgeordneter</w:t>
            </w:r>
            <w:r>
              <w:rPr>
                <w:b/>
              </w:rPr>
              <w:br/>
              <w:t>Stefan</w:t>
            </w:r>
            <w:r>
              <w:rPr>
                <w:b/>
              </w:rPr>
              <w:br/>
              <w:t>Schuster</w:t>
            </w:r>
            <w:r>
              <w:rPr>
                <w:b/>
              </w:rPr>
              <w:br/>
            </w:r>
            <w:r>
              <w:t>(SPD)</w:t>
            </w:r>
            <w:bookmarkStart w:id="29" w:name="Frage_Nr_14"/>
            <w:bookmarkEnd w:id="29"/>
          </w:p>
        </w:tc>
        <w:tc>
          <w:tcPr>
            <w:tcW w:w="5739" w:type="dxa"/>
          </w:tcPr>
          <w:p w:rsidR="00DD5B75" w:rsidRPr="00D0635E" w:rsidRDefault="00DD5B75" w:rsidP="00D0635E">
            <w:pPr>
              <w:pStyle w:val="LTAnfrageText"/>
            </w:pPr>
            <w:r w:rsidRPr="00D0635E">
              <w:t>Ich frage die Staatsregierung, wie oft es in den letzten zwei Jahren Störungen bei den Notrufnummern 112 und/oder 110 gab, aufgrund derer Notrufe nicht möglich waren, was waren die Gründe für die Störungen und was unternimmt die Staatsregierung dagegen?</w:t>
            </w:r>
          </w:p>
        </w:tc>
        <w:tc>
          <w:tcPr>
            <w:tcW w:w="5739"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Nach vorliegenden Erkenntnissen kam es seit November 2019 bei den Notrufnummern 112 und 110 zu folgenden Störungen.</w:t>
      </w:r>
    </w:p>
    <w:p w:rsidR="00013B61" w:rsidRDefault="00013B61" w:rsidP="00013B61">
      <w:pPr>
        <w:pStyle w:val="LTAntwortRessortText"/>
      </w:pPr>
      <w:r>
        <w:t xml:space="preserve">Polizei Notruf 110: </w:t>
      </w:r>
      <w:r w:rsidR="005D19D8">
        <w:tab/>
      </w:r>
      <w:r w:rsidR="005D19D8">
        <w:tab/>
      </w:r>
      <w:r>
        <w:t>4 Störungen</w:t>
      </w:r>
    </w:p>
    <w:p w:rsidR="00013B61" w:rsidRDefault="00013B61" w:rsidP="005D19D8">
      <w:pPr>
        <w:pStyle w:val="LTAntwortRessortText"/>
        <w:spacing w:before="0"/>
      </w:pPr>
      <w:r>
        <w:t xml:space="preserve">Notruf 112: </w:t>
      </w:r>
      <w:r w:rsidR="005D19D8">
        <w:tab/>
      </w:r>
      <w:r w:rsidR="005D19D8">
        <w:tab/>
      </w:r>
      <w:r w:rsidR="005D19D8">
        <w:tab/>
      </w:r>
      <w:r>
        <w:t>6 Störungen</w:t>
      </w:r>
    </w:p>
    <w:p w:rsidR="00013B61" w:rsidRDefault="00013B61" w:rsidP="00013B61">
      <w:pPr>
        <w:pStyle w:val="LTAntwortRessortText"/>
      </w:pPr>
      <w:r>
        <w:t>Eine Störung ist dabei nicht gleichbedeutend mit einem flä</w:t>
      </w:r>
      <w:r w:rsidR="008D4D2C">
        <w:t>chendeckenden vollständigen Aus</w:t>
      </w:r>
      <w:r>
        <w:t>fall der jeweiligen Notrufnummer. So kamen beispielsweise Gespräche beim ersten Anruf nicht zustande; die Leitstelle konnte aber zurückrufen und damit</w:t>
      </w:r>
      <w:r w:rsidR="008D4D2C">
        <w:t xml:space="preserve"> den Notruf aufnehmen. Die Leit</w:t>
      </w:r>
      <w:r>
        <w:t>stellen waren auch unterschiedlich von einer Störung betroffen.</w:t>
      </w:r>
    </w:p>
    <w:p w:rsidR="00013B61" w:rsidRDefault="00013B61" w:rsidP="00013B61">
      <w:pPr>
        <w:pStyle w:val="LTAntwortRessortText"/>
      </w:pPr>
      <w:r>
        <w:t>Die Störungen hatten verschiedene Ursachen, die jeweils überwiegend im Verantwortungsb</w:t>
      </w:r>
      <w:r w:rsidR="008D4D2C">
        <w:t>e</w:t>
      </w:r>
      <w:r>
        <w:t>reich der Telekommunikationsanbieter lagen. Die Einsatzzentralen als auch die Integrierten Leitstellen selbst verfügen über redundant ausgeführte Notruf-</w:t>
      </w:r>
      <w:r w:rsidR="008D4D2C">
        <w:t>Anschlüsse und sog. Ersatzabfra</w:t>
      </w:r>
      <w:r>
        <w:t>gestellen, auf die bei einer Störung umgeleitet werden kann.</w:t>
      </w:r>
    </w:p>
    <w:p w:rsidR="00013B61" w:rsidRDefault="00013B61" w:rsidP="00013B61">
      <w:pPr>
        <w:pStyle w:val="LTAntwortRessortText"/>
      </w:pPr>
      <w:r>
        <w:t xml:space="preserve">Für die Bürgerinnen und Bürger ist es jedoch unerheblich, wo genau die Ursache für eine nicht erfolgreiche Notrufwahl liegt. Aus diesem Grund werden in Kürze die größten Netzbetreiber durch das Staatsministerium des Innern, für Sport und Integration auf Vorstandsebene auf die gesetzlichen und vertraglichen Pflichten hingewiesen und </w:t>
      </w:r>
      <w:r w:rsidR="008D4D2C">
        <w:t>die umgehende und dauerhafte Be</w:t>
      </w:r>
      <w:r>
        <w:t>seitigung der Störungsursachen gefordert.</w:t>
      </w:r>
    </w:p>
    <w:p w:rsidR="00013B61" w:rsidRDefault="00013B61">
      <w:bookmarkStart w:id="30" w:name="Frage_Nr_14_Ende"/>
      <w:bookmarkEnd w:id="3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DD5B75" w:rsidTr="00DD5B75">
        <w:tc>
          <w:tcPr>
            <w:tcW w:w="1896" w:type="dxa"/>
          </w:tcPr>
          <w:p w:rsidR="00DD5B75" w:rsidRDefault="00DD5B75" w:rsidP="00DD5B75">
            <w:pPr>
              <w:pStyle w:val="LTAnfrageInitiator"/>
            </w:pPr>
            <w:r>
              <w:lastRenderedPageBreak/>
              <w:t>Abgeordneter</w:t>
            </w:r>
            <w:r>
              <w:rPr>
                <w:b/>
              </w:rPr>
              <w:br/>
              <w:t>Christoph</w:t>
            </w:r>
            <w:r>
              <w:rPr>
                <w:b/>
              </w:rPr>
              <w:br/>
              <w:t>Skutella</w:t>
            </w:r>
            <w:r>
              <w:rPr>
                <w:b/>
              </w:rPr>
              <w:br/>
            </w:r>
            <w:r>
              <w:t>(FDP)</w:t>
            </w:r>
            <w:bookmarkStart w:id="31" w:name="Frage_Nr_15"/>
            <w:bookmarkEnd w:id="31"/>
          </w:p>
        </w:tc>
        <w:tc>
          <w:tcPr>
            <w:tcW w:w="5720" w:type="dxa"/>
          </w:tcPr>
          <w:p w:rsidR="00DD5B75" w:rsidRPr="00D0635E" w:rsidRDefault="00DD5B75" w:rsidP="00D0635E">
            <w:pPr>
              <w:pStyle w:val="LTAnfrageText"/>
            </w:pPr>
            <w:r w:rsidRPr="00D0635E">
              <w:t>Ich frage die Staatsregierung, wann haben sich Vertreter des Staatsministeriums des Innern, für Sport und Integration zwischen 2018 bis heute mit dem russischen Generalkonsul, Sergey Ganzha, getroffen, wer hat an diesen Gesprächen ebenfalls teilgenommen und worüber wurde bei diesen Terminen gesprochen?</w:t>
            </w:r>
          </w:p>
        </w:tc>
        <w:tc>
          <w:tcPr>
            <w:tcW w:w="5720" w:type="dxa"/>
          </w:tcPr>
          <w:p w:rsidR="00DD5B75" w:rsidRDefault="00DD5B75" w:rsidP="00DD5B75">
            <w:pPr>
              <w:pStyle w:val="LTAnfrageText"/>
            </w:pPr>
          </w:p>
        </w:tc>
      </w:tr>
    </w:tbl>
    <w:p w:rsidR="00013B61" w:rsidRDefault="00013B61" w:rsidP="00013B61">
      <w:pPr>
        <w:pStyle w:val="LTUeberschrAntwortRessort"/>
      </w:pPr>
      <w:r>
        <w:t>Antwort des Staatsministeriums des Innern, für Sport und Integration</w:t>
      </w:r>
    </w:p>
    <w:p w:rsidR="00013B61" w:rsidRDefault="00013B61" w:rsidP="00013B61">
      <w:pPr>
        <w:pStyle w:val="LTAntwortRessortText"/>
      </w:pPr>
      <w:r>
        <w:t>Im Zeitraum von 2018 bis heute haben keine Gesprächstermine</w:t>
      </w:r>
      <w:r w:rsidR="008D4D2C">
        <w:t xml:space="preserve"> von Vertretern des Staatsminis</w:t>
      </w:r>
      <w:r>
        <w:t>teriums des Innern, für Sport und Integration mit Herrn Generalkonsul Ganzha stattgefunden.</w:t>
      </w:r>
    </w:p>
    <w:p w:rsidR="00013B61" w:rsidRDefault="00013B61">
      <w:bookmarkStart w:id="32" w:name="Frage_Nr_15_Ende"/>
      <w:bookmarkEnd w:id="32"/>
      <w:r>
        <w:br w:type="page"/>
      </w:r>
    </w:p>
    <w:p w:rsidR="00013B61" w:rsidRDefault="00013B61" w:rsidP="00013B61">
      <w:pPr>
        <w:pStyle w:val="LTUeberschrRessort"/>
      </w:pPr>
      <w:r>
        <w:lastRenderedPageBreak/>
        <w:t>Geschäftsbereich des Staatsministeriums für Wohnen, Bau und Verkehr</w:t>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9E5CCA" w:rsidTr="009E5CCA">
        <w:tc>
          <w:tcPr>
            <w:tcW w:w="1867" w:type="dxa"/>
          </w:tcPr>
          <w:p w:rsidR="009E5CCA" w:rsidRDefault="009E5CCA" w:rsidP="009E5CCA">
            <w:pPr>
              <w:pStyle w:val="LTAnfrageInitiator"/>
            </w:pPr>
            <w:r>
              <w:t>Abgeordneter</w:t>
            </w:r>
            <w:r>
              <w:rPr>
                <w:b/>
              </w:rPr>
              <w:br/>
              <w:t>Michael</w:t>
            </w:r>
            <w:r>
              <w:rPr>
                <w:b/>
              </w:rPr>
              <w:br/>
              <w:t>Busch</w:t>
            </w:r>
            <w:r>
              <w:rPr>
                <w:b/>
              </w:rPr>
              <w:br/>
            </w:r>
            <w:r>
              <w:t>(SPD)</w:t>
            </w:r>
            <w:bookmarkStart w:id="33" w:name="Frage_Nr_16"/>
            <w:bookmarkEnd w:id="33"/>
          </w:p>
        </w:tc>
        <w:tc>
          <w:tcPr>
            <w:tcW w:w="5749" w:type="dxa"/>
          </w:tcPr>
          <w:p w:rsidR="009E5CCA" w:rsidRPr="00D0635E" w:rsidRDefault="009E5CCA" w:rsidP="00D0635E">
            <w:pPr>
              <w:pStyle w:val="LTAnfrageText"/>
            </w:pPr>
            <w:r w:rsidRPr="00D0635E">
              <w:t>Ich frage die Staatsregierung bezugnehmend auf die Ankündigung von Ministerpräsident Dr. Markus Söder in seiner Regierungserklärung vom 21.07.2021, die 10H-Regelung reformieren zu wollen (u. a. Ausnahmetatbestände bei Repowering, in Staatswäldern, bei Vorrangflächen und vorbelasteten Gebieten), welche Schritte seit der Regierungserklärung hinsichtlich der angekündigten Anpassung der 10H-Regelung unternommen wurden, in welchen Gesetzesgrundlagen die genannten Ausnahmeregelungen konkret verankert werden sollen und bis wann mit der Umsetzung der Ausnahmen zu rechnen ist?</w:t>
            </w:r>
          </w:p>
        </w:tc>
        <w:tc>
          <w:tcPr>
            <w:tcW w:w="5749" w:type="dxa"/>
          </w:tcPr>
          <w:p w:rsidR="009E5CCA" w:rsidRDefault="009E5CCA" w:rsidP="009E5CCA">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Gemäß der bestehenden Regelung in Art. 82 Abs. 1 Bayerische Bauordnung sind Windenergieanlagen im Außenbereich baupla</w:t>
      </w:r>
      <w:r w:rsidR="008D4D2C">
        <w:t>nungsrechtlich nur dann privile</w:t>
      </w:r>
      <w:r>
        <w:t>giert, wenn sie einen Mindestabstand vom 10-fachen ihrer Höhe zur geschützten Wohnbebauung einhalten (10H-Regelung). D</w:t>
      </w:r>
      <w:r w:rsidR="008D4D2C">
        <w:t>ie Einführung von Ausnahmetatbe</w:t>
      </w:r>
      <w:r>
        <w:t>ständen würde eine Änderung der Regelungen in der Bayerischen Bauordnung bedürfen.</w:t>
      </w:r>
    </w:p>
    <w:p w:rsidR="00013B61" w:rsidRDefault="00013B61" w:rsidP="00013B61">
      <w:pPr>
        <w:pStyle w:val="LTAntwortRessortText"/>
      </w:pPr>
      <w:r>
        <w:t>Die bestehende Regelung beruht auf einer Länderöffnungsklausel</w:t>
      </w:r>
      <w:r w:rsidR="00E47AE3">
        <w:t xml:space="preserve"> im Baugesetz-buch (§ 249 Abs.</w:t>
      </w:r>
      <w:r>
        <w:t xml:space="preserve"> 3), bei welchem es sich um Bundesrecht handelt. Im Koalitionsvertrag zwischen SPD, Bündnis 90/DIE GRÜNEN und FDP auf Bundesebene ist die Formulierung enthalten, </w:t>
      </w:r>
      <w:r w:rsidR="00E832CF" w:rsidRPr="007A362B">
        <w:rPr>
          <w:i/>
        </w:rPr>
        <w:t>„</w:t>
      </w:r>
      <w:r w:rsidRPr="007A362B">
        <w:rPr>
          <w:i/>
        </w:rPr>
        <w:t>...Für die Wind</w:t>
      </w:r>
      <w:r w:rsidR="008D4D2C" w:rsidRPr="007A362B">
        <w:rPr>
          <w:i/>
        </w:rPr>
        <w:t>energie an Land sollen zwei Pro</w:t>
      </w:r>
      <w:r w:rsidRPr="007A362B">
        <w:rPr>
          <w:i/>
        </w:rPr>
        <w:t>zent der Landesflächen ausgewiesen werden. D</w:t>
      </w:r>
      <w:r w:rsidR="008D4D2C" w:rsidRPr="007A362B">
        <w:rPr>
          <w:i/>
        </w:rPr>
        <w:t>ie nähere Ausgestaltung des Flä</w:t>
      </w:r>
      <w:r w:rsidRPr="007A362B">
        <w:rPr>
          <w:i/>
        </w:rPr>
        <w:t>chenziels erfolgt im Baugesetzbuch</w:t>
      </w:r>
      <w:r w:rsidR="00E832CF" w:rsidRPr="007A362B">
        <w:rPr>
          <w:i/>
        </w:rPr>
        <w:t>“</w:t>
      </w:r>
      <w:r w:rsidRPr="007A362B">
        <w:rPr>
          <w:i/>
        </w:rPr>
        <w:t>.</w:t>
      </w:r>
    </w:p>
    <w:p w:rsidR="00013B61" w:rsidRDefault="00013B61" w:rsidP="00013B61">
      <w:pPr>
        <w:pStyle w:val="LTAntwortRessortText"/>
      </w:pPr>
      <w:r>
        <w:t xml:space="preserve">Momentan ist unklar, wie dies rechtlich konkret umgesetzt werden soll. Wenn es auf Bundesebene </w:t>
      </w:r>
      <w:r w:rsidR="00E47AE3">
        <w:t>zu einer Gesetzesnovelle kommt –</w:t>
      </w:r>
      <w:r>
        <w:t xml:space="preserve"> und in diese Richtung gehen die vorstehend zitierten Äußerungen im Koalitionsvertrag der neuen Bu</w:t>
      </w:r>
      <w:r w:rsidR="008D4D2C">
        <w:t>ndesre</w:t>
      </w:r>
      <w:r w:rsidR="00E47AE3">
        <w:t xml:space="preserve">gierung – </w:t>
      </w:r>
      <w:r>
        <w:t>, dann muss von Seiten der Länder zunächst abgewartet werden, welche Möglichkeiten der Landesgesetzgebung danach bestehen.</w:t>
      </w:r>
    </w:p>
    <w:p w:rsidR="00013B61" w:rsidRDefault="00013B61" w:rsidP="00013B61">
      <w:pPr>
        <w:pStyle w:val="LTAntwortRessortText"/>
      </w:pPr>
      <w:r>
        <w:t>Dieser Prozess kann nicht vorweggenommen werden.</w:t>
      </w:r>
    </w:p>
    <w:p w:rsidR="00013B61" w:rsidRDefault="00013B61">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E5CCA" w:rsidTr="009E5CCA">
        <w:tc>
          <w:tcPr>
            <w:tcW w:w="1883" w:type="dxa"/>
          </w:tcPr>
          <w:p w:rsidR="009E5CCA" w:rsidRDefault="009E5CCA" w:rsidP="009E5CCA">
            <w:pPr>
              <w:pStyle w:val="LTAnfrageInitiator"/>
            </w:pPr>
            <w:r>
              <w:lastRenderedPageBreak/>
              <w:t>Abgeordneter</w:t>
            </w:r>
            <w:r>
              <w:rPr>
                <w:b/>
              </w:rPr>
              <w:br/>
              <w:t>Patrick</w:t>
            </w:r>
            <w:r>
              <w:rPr>
                <w:b/>
              </w:rPr>
              <w:br/>
              <w:t>Friedl</w:t>
            </w:r>
            <w:r>
              <w:rPr>
                <w:b/>
              </w:rPr>
              <w:br/>
            </w:r>
            <w:r>
              <w:t>(BÜNDNIS 90/DIE GRÜNEN)</w:t>
            </w:r>
            <w:bookmarkStart w:id="35" w:name="Frage_Nr_17"/>
            <w:bookmarkEnd w:id="35"/>
          </w:p>
        </w:tc>
        <w:tc>
          <w:tcPr>
            <w:tcW w:w="5733" w:type="dxa"/>
          </w:tcPr>
          <w:p w:rsidR="009E5CCA" w:rsidRPr="00D0635E" w:rsidRDefault="009E5CCA" w:rsidP="00D0635E">
            <w:pPr>
              <w:pStyle w:val="LTAnfrageText"/>
            </w:pPr>
            <w:r w:rsidRPr="00D0635E">
              <w:t xml:space="preserve">Bezugnehmend auf den „Bericht über die Begrünung von Gebäudefassaden und -dächern“ des Staatsministeriums für Wohnen, Bau und Verkehr vom 17.08.2020 frage ich die Staatsregierung, inwieweit ist die in der Stellungnahme der Staatsregierung zum Volksbegehren „Artenvielfalt und Naturschönheit in Bayern – Rettet die Bienen!“ von der Staatsregierung angekündigte Verpflichtung zur Begrünung staatlicher Gebäude und Flächen, sofern sie dafür geeignet sind, über die im Bericht vom August 2020 erwähnten Projekte hinaus umgesetzt worden, wo wurden bzw. werden noch im Jahr 2021 an staatlichen Gebäuden begrünte Flachdächer errichtet, Fassadenbegrünung angebracht oder fassadenintegrierte Nistkästen eingebaut und wo wurden bzw. werden im Jahr 2021 so genannte „Schottergärten“ auf staatlichen Liegenschaften in echte Gärten und begrünte Flächen umgewandelt (bitte jeweils unter Angabe von Ort und Größe der Dach-, Fassaden- bzw. Gartenfläche)? </w:t>
            </w:r>
          </w:p>
        </w:tc>
        <w:tc>
          <w:tcPr>
            <w:tcW w:w="5733" w:type="dxa"/>
          </w:tcPr>
          <w:p w:rsidR="009E5CCA" w:rsidRDefault="009E5CCA" w:rsidP="009E5CCA">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 xml:space="preserve">Der zum </w:t>
      </w:r>
      <w:r w:rsidR="00E47AE3">
        <w:t>01.08.</w:t>
      </w:r>
      <w:r>
        <w:t>2019 erfolgten Änderung d</w:t>
      </w:r>
      <w:r w:rsidR="00E47AE3">
        <w:t>er Bayerischen Bauordnung (Art. </w:t>
      </w:r>
      <w:r>
        <w:t>7 Abs. 2 Satz 1), wonach im Eigentum des Freistaats stehende Gebäude und ihre zugehörigen Freiflächen vorbehaltlich der bestehenden baurechtlichen, satzungsrechtlichen, denkmalschützenden oder sonstige</w:t>
      </w:r>
      <w:r w:rsidR="005B258D">
        <w:t>n rechtlichen Festlegungen ange</w:t>
      </w:r>
      <w:r>
        <w:t>messen begrünt oder bepflanzt werden sollen, wird</w:t>
      </w:r>
      <w:r w:rsidR="005B258D">
        <w:t xml:space="preserve"> bei jeder der über 180 staatli</w:t>
      </w:r>
      <w:r>
        <w:t xml:space="preserve">chen Baumaßnahmen, die seit dem </w:t>
      </w:r>
      <w:r w:rsidR="00E47AE3">
        <w:t>01.08.</w:t>
      </w:r>
      <w:r>
        <w:t>2019 genehmigt wurden, jeweils in angemessenem Umfang Rechnung getragen.</w:t>
      </w:r>
    </w:p>
    <w:p w:rsidR="00013B61" w:rsidRDefault="00013B61" w:rsidP="00013B61">
      <w:pPr>
        <w:pStyle w:val="LTAntwortRessortText"/>
      </w:pPr>
      <w:r>
        <w:t xml:space="preserve">Zur Umsetzung des </w:t>
      </w:r>
      <w:r w:rsidR="00E832CF">
        <w:t>„</w:t>
      </w:r>
      <w:r>
        <w:t>Maßnahmenkatalogs zur Artenvielfalt und Naturschönheit</w:t>
      </w:r>
      <w:r w:rsidR="00E832CF">
        <w:t>“</w:t>
      </w:r>
      <w:r>
        <w:t xml:space="preserve"> konnten in den Jahren 2020 und 2021 mit d</w:t>
      </w:r>
      <w:r w:rsidR="008D4D2C">
        <w:t>en zur Verfügung stehenden Haus</w:t>
      </w:r>
      <w:r>
        <w:t>haltsmitteln aus der Klimaschutzoffensive auf Veranlassung der jeweiligen Grundbesitzbewirtschaftenden Dienststellen bisher folgende 30 Maßnahmen an staatlichen Gebäuden und Grundstücken zur Begrünung und Verbesserung der Artenvielfalt finanziert werden:</w:t>
      </w:r>
    </w:p>
    <w:p w:rsidR="00013B61" w:rsidRDefault="00013B61" w:rsidP="008D2075">
      <w:pPr>
        <w:pStyle w:val="LTAntwortRessortText"/>
        <w:numPr>
          <w:ilvl w:val="0"/>
          <w:numId w:val="28"/>
        </w:numPr>
        <w:spacing w:before="0"/>
        <w:ind w:left="697" w:hanging="357"/>
      </w:pPr>
      <w:r w:rsidRPr="00212C68">
        <w:rPr>
          <w:b/>
        </w:rPr>
        <w:t>Zentrum Bayern Familie und Soziales Schwaben:</w:t>
      </w:r>
      <w:r w:rsidR="00E47AE3">
        <w:rPr>
          <w:b/>
        </w:rPr>
        <w:tab/>
      </w:r>
      <w:r>
        <w:t xml:space="preserve"> </w:t>
      </w:r>
      <w:r w:rsidR="00E47AE3">
        <w:br/>
      </w:r>
      <w:r>
        <w:t>Flachdachsanierung mit Gründach, Fassadenbegrünung, Bepflanzung des Gebäudeumfelds</w:t>
      </w:r>
    </w:p>
    <w:p w:rsidR="00013B61" w:rsidRDefault="00E47AE3" w:rsidP="008D2075">
      <w:pPr>
        <w:pStyle w:val="LTAntwortRessortText"/>
        <w:numPr>
          <w:ilvl w:val="0"/>
          <w:numId w:val="28"/>
        </w:numPr>
        <w:spacing w:before="0"/>
        <w:ind w:left="697" w:hanging="357"/>
      </w:pPr>
      <w:r>
        <w:rPr>
          <w:b/>
        </w:rPr>
        <w:t>Landesamt für Maß und Gewicht –</w:t>
      </w:r>
      <w:r w:rsidR="00013B61" w:rsidRPr="00212C68">
        <w:rPr>
          <w:b/>
        </w:rPr>
        <w:t xml:space="preserve"> Eichamt Bamberg:</w:t>
      </w:r>
      <w:r w:rsidR="00013B61">
        <w:t xml:space="preserve"> </w:t>
      </w:r>
      <w:r>
        <w:tab/>
      </w:r>
      <w:r>
        <w:br/>
      </w:r>
      <w:r w:rsidR="00013B61">
        <w:t>Sanierung des Feuchtbiotops an einem Regenwasser-Sickerbecken</w:t>
      </w:r>
    </w:p>
    <w:p w:rsidR="00013B61" w:rsidRDefault="00E47AE3" w:rsidP="008D2075">
      <w:pPr>
        <w:pStyle w:val="LTAntwortRessortText"/>
        <w:numPr>
          <w:ilvl w:val="0"/>
          <w:numId w:val="28"/>
        </w:numPr>
        <w:spacing w:before="0"/>
        <w:ind w:left="697" w:hanging="357"/>
      </w:pPr>
      <w:r>
        <w:rPr>
          <w:b/>
        </w:rPr>
        <w:t>Staatliches Bauamt Erlangen</w:t>
      </w:r>
      <w:r w:rsidR="005B258D">
        <w:rPr>
          <w:b/>
        </w:rPr>
        <w:t>-</w:t>
      </w:r>
      <w:r w:rsidR="00013B61" w:rsidRPr="00212C68">
        <w:rPr>
          <w:b/>
        </w:rPr>
        <w:t>Nürnbe</w:t>
      </w:r>
      <w:r w:rsidR="008D4D2C" w:rsidRPr="00212C68">
        <w:rPr>
          <w:b/>
        </w:rPr>
        <w:t>rg:</w:t>
      </w:r>
      <w:r w:rsidR="008D4D2C">
        <w:t xml:space="preserve"> </w:t>
      </w:r>
      <w:r>
        <w:tab/>
      </w:r>
      <w:r>
        <w:br/>
      </w:r>
      <w:r w:rsidR="008D4D2C">
        <w:t>Verbesserung der Biodiversi</w:t>
      </w:r>
      <w:r w:rsidR="00013B61">
        <w:t>tät in den Außenanlagen nach Abschluss der Kanalsanierung</w:t>
      </w:r>
    </w:p>
    <w:p w:rsidR="00013B61" w:rsidRDefault="00E47AE3" w:rsidP="008D2075">
      <w:pPr>
        <w:pStyle w:val="LTAntwortRessortText"/>
        <w:numPr>
          <w:ilvl w:val="0"/>
          <w:numId w:val="28"/>
        </w:numPr>
        <w:spacing w:before="0"/>
        <w:ind w:left="697" w:hanging="357"/>
      </w:pPr>
      <w:r>
        <w:rPr>
          <w:b/>
        </w:rPr>
        <w:t>Staatliches Bauamt Freising –</w:t>
      </w:r>
      <w:r w:rsidR="00013B61" w:rsidRPr="00212C68">
        <w:rPr>
          <w:b/>
        </w:rPr>
        <w:t xml:space="preserve"> Straßenmeisterei Riem und Standort Winzererstraße München:</w:t>
      </w:r>
      <w:r w:rsidR="00013B61">
        <w:t xml:space="preserve"> </w:t>
      </w:r>
      <w:r>
        <w:tab/>
      </w:r>
      <w:r>
        <w:br/>
      </w:r>
      <w:r w:rsidR="00013B61">
        <w:t>Gebäudebegrünung und Herstellung von Quartieren und Nisthilfen</w:t>
      </w:r>
    </w:p>
    <w:p w:rsidR="00013B61" w:rsidRDefault="00013B61" w:rsidP="008D2075">
      <w:pPr>
        <w:pStyle w:val="LTAntwortRessortText"/>
        <w:numPr>
          <w:ilvl w:val="0"/>
          <w:numId w:val="28"/>
        </w:numPr>
        <w:spacing w:before="0"/>
        <w:ind w:left="697" w:hanging="357"/>
      </w:pPr>
      <w:r w:rsidRPr="00212C68">
        <w:rPr>
          <w:b/>
        </w:rPr>
        <w:t>Amt für Digitalisierung, Breitban</w:t>
      </w:r>
      <w:r w:rsidR="008D4D2C" w:rsidRPr="00212C68">
        <w:rPr>
          <w:b/>
        </w:rPr>
        <w:t>d und Vermessung Kempten:</w:t>
      </w:r>
      <w:r w:rsidR="008D4D2C">
        <w:t xml:space="preserve"> </w:t>
      </w:r>
      <w:r w:rsidR="00E47AE3">
        <w:tab/>
      </w:r>
      <w:r w:rsidR="00E47AE3">
        <w:br/>
      </w:r>
      <w:r w:rsidR="008D4D2C">
        <w:t>Fassa</w:t>
      </w:r>
      <w:r>
        <w:t>den- und Dachbegrünung des Nebengebäudes in denkmalgeschüt</w:t>
      </w:r>
      <w:r w:rsidR="008D4D2C">
        <w:t>ztem Um</w:t>
      </w:r>
      <w:r>
        <w:t>feld</w:t>
      </w:r>
    </w:p>
    <w:p w:rsidR="00013B61" w:rsidRDefault="00013B61" w:rsidP="008D2075">
      <w:pPr>
        <w:pStyle w:val="LTAntwortRessortText"/>
        <w:numPr>
          <w:ilvl w:val="0"/>
          <w:numId w:val="28"/>
        </w:numPr>
        <w:spacing w:before="0"/>
        <w:ind w:left="697" w:hanging="357"/>
      </w:pPr>
      <w:r w:rsidRPr="00212C68">
        <w:rPr>
          <w:b/>
        </w:rPr>
        <w:t>Staatliches Bauamt Krumbach:</w:t>
      </w:r>
      <w:r>
        <w:t xml:space="preserve"> </w:t>
      </w:r>
      <w:r w:rsidR="00E47AE3">
        <w:tab/>
      </w:r>
      <w:r w:rsidR="00E47AE3">
        <w:br/>
      </w:r>
      <w:r>
        <w:t>Begr</w:t>
      </w:r>
      <w:r w:rsidR="008D4D2C">
        <w:t>ünung auf Flachdächern mit Nach</w:t>
      </w:r>
      <w:r>
        <w:t xml:space="preserve">rüstung einer </w:t>
      </w:r>
      <w:r w:rsidR="00F54E1D">
        <w:t>Photovoltaikanlage (</w:t>
      </w:r>
      <w:r>
        <w:t>PV-</w:t>
      </w:r>
      <w:r>
        <w:lastRenderedPageBreak/>
        <w:t>Anlage</w:t>
      </w:r>
      <w:r w:rsidR="00F54E1D">
        <w:t>)</w:t>
      </w:r>
      <w:r>
        <w:t>, Fassadenbegrü</w:t>
      </w:r>
      <w:r w:rsidR="008D4D2C">
        <w:t>nung in Pflanztrögen und an Per</w:t>
      </w:r>
      <w:r>
        <w:t>golen, Nisthilfen am Gebäude und in Außenanlagen</w:t>
      </w:r>
    </w:p>
    <w:p w:rsidR="00013B61" w:rsidRDefault="00013B61" w:rsidP="008D2075">
      <w:pPr>
        <w:pStyle w:val="LTAntwortRessortText"/>
        <w:numPr>
          <w:ilvl w:val="0"/>
          <w:numId w:val="28"/>
        </w:numPr>
        <w:spacing w:before="0"/>
        <w:ind w:left="697" w:hanging="357"/>
      </w:pPr>
      <w:r w:rsidRPr="00212C68">
        <w:rPr>
          <w:b/>
        </w:rPr>
        <w:t>Staatliches Bauamt München 1:</w:t>
      </w:r>
      <w:r>
        <w:t xml:space="preserve"> Fassadenbegrünung mit Rankpflanzen, Trockenmauer als Insektenhotel</w:t>
      </w:r>
    </w:p>
    <w:p w:rsidR="00013B61" w:rsidRDefault="00013B61" w:rsidP="008D2075">
      <w:pPr>
        <w:pStyle w:val="LTAntwortRessortText"/>
        <w:numPr>
          <w:ilvl w:val="0"/>
          <w:numId w:val="28"/>
        </w:numPr>
        <w:spacing w:before="0"/>
        <w:ind w:left="697" w:hanging="357"/>
      </w:pPr>
      <w:r w:rsidRPr="00212C68">
        <w:rPr>
          <w:b/>
        </w:rPr>
        <w:t>Universität Regensburg:</w:t>
      </w:r>
      <w:r>
        <w:t xml:space="preserve"> Aufwertung von Mikrostandorten und Fassaden auf dem Universitätscampus als ökologische Trittsteine, Gründach mit Biodiversitätsinseln nach Sanierung von Flachdachflächen</w:t>
      </w:r>
    </w:p>
    <w:p w:rsidR="00013B61" w:rsidRDefault="00013B61" w:rsidP="008D2075">
      <w:pPr>
        <w:pStyle w:val="LTAntwortRessortText"/>
        <w:numPr>
          <w:ilvl w:val="0"/>
          <w:numId w:val="28"/>
        </w:numPr>
        <w:spacing w:before="0"/>
        <w:ind w:left="697" w:hanging="357"/>
      </w:pPr>
      <w:r w:rsidRPr="00212C68">
        <w:rPr>
          <w:b/>
        </w:rPr>
        <w:t>Universität Würzburg:</w:t>
      </w:r>
      <w:r>
        <w:t xml:space="preserve"> Gründach mit Bio</w:t>
      </w:r>
      <w:r w:rsidR="008D4D2C">
        <w:t>diversitätsinseln nach energeti</w:t>
      </w:r>
      <w:r>
        <w:t>scher Sanierung von Flachdachflächen</w:t>
      </w:r>
    </w:p>
    <w:p w:rsidR="00013B61" w:rsidRDefault="00013B61" w:rsidP="008D2075">
      <w:pPr>
        <w:pStyle w:val="LTAntwortRessortText"/>
        <w:numPr>
          <w:ilvl w:val="0"/>
          <w:numId w:val="28"/>
        </w:numPr>
        <w:spacing w:before="0"/>
        <w:ind w:left="697" w:hanging="357"/>
      </w:pPr>
      <w:r w:rsidRPr="00212C68">
        <w:rPr>
          <w:b/>
        </w:rPr>
        <w:t>Polizeiinspektion Dinkelsbühl:</w:t>
      </w:r>
      <w:r>
        <w:t xml:space="preserve"> Begrünung auf bestehendem Flachdach mit Biodiversitätsinseln</w:t>
      </w:r>
    </w:p>
    <w:p w:rsidR="00013B61" w:rsidRDefault="00013B61" w:rsidP="008D2075">
      <w:pPr>
        <w:pStyle w:val="LTAntwortRessortText"/>
        <w:numPr>
          <w:ilvl w:val="0"/>
          <w:numId w:val="28"/>
        </w:numPr>
        <w:spacing w:before="0"/>
        <w:ind w:left="697" w:hanging="357"/>
      </w:pPr>
      <w:r w:rsidRPr="00212C68">
        <w:rPr>
          <w:b/>
        </w:rPr>
        <w:t>Hochschule Weihenstephan-Triesdorf:</w:t>
      </w:r>
      <w:r>
        <w:t xml:space="preserve"> Begrünung auf bestehendem Flachdach</w:t>
      </w:r>
    </w:p>
    <w:p w:rsidR="00013B61" w:rsidRDefault="00013B61" w:rsidP="008D2075">
      <w:pPr>
        <w:pStyle w:val="LTAntwortRessortText"/>
        <w:numPr>
          <w:ilvl w:val="0"/>
          <w:numId w:val="28"/>
        </w:numPr>
        <w:spacing w:before="0"/>
        <w:ind w:left="697" w:hanging="357"/>
      </w:pPr>
      <w:r w:rsidRPr="00212C68">
        <w:rPr>
          <w:b/>
        </w:rPr>
        <w:t>Amtsgericht Hersbruck:</w:t>
      </w:r>
      <w:r>
        <w:t xml:space="preserve"> Aufwertun</w:t>
      </w:r>
      <w:r w:rsidR="008D4D2C">
        <w:t>g der Außenanlagen am denkmalge</w:t>
      </w:r>
      <w:r>
        <w:t>schützten Schloss Hersbruck</w:t>
      </w:r>
    </w:p>
    <w:p w:rsidR="00013B61" w:rsidRDefault="00013B61" w:rsidP="008D2075">
      <w:pPr>
        <w:pStyle w:val="LTAntwortRessortText"/>
        <w:numPr>
          <w:ilvl w:val="0"/>
          <w:numId w:val="28"/>
        </w:numPr>
        <w:spacing w:before="0"/>
        <w:ind w:left="697" w:hanging="357"/>
      </w:pPr>
      <w:r w:rsidRPr="00212C68">
        <w:rPr>
          <w:b/>
        </w:rPr>
        <w:t>Polizeigebäude Füssen, Günzburg, Lindenberg, Marktoberdorf, Neu-Ulm, Pfronten, Weißenhorn:</w:t>
      </w:r>
      <w:r>
        <w:t xml:space="preserve"> jeweils Aufwertung der Außenanlagen</w:t>
      </w:r>
    </w:p>
    <w:p w:rsidR="00013B61" w:rsidRDefault="00013B61" w:rsidP="008D2075">
      <w:pPr>
        <w:pStyle w:val="LTAntwortRessortText"/>
        <w:numPr>
          <w:ilvl w:val="0"/>
          <w:numId w:val="28"/>
        </w:numPr>
        <w:spacing w:before="0"/>
        <w:ind w:left="697" w:hanging="357"/>
      </w:pPr>
      <w:r w:rsidRPr="00212C68">
        <w:rPr>
          <w:b/>
        </w:rPr>
        <w:t>StBA Kempten Ämtergebäude:</w:t>
      </w:r>
      <w:r>
        <w:t xml:space="preserve"> </w:t>
      </w:r>
      <w:r w:rsidR="00E47AE3">
        <w:tab/>
      </w:r>
      <w:r w:rsidR="00E47AE3">
        <w:br/>
      </w:r>
      <w:r>
        <w:t>Aufwertung der Außenanlagen</w:t>
      </w:r>
    </w:p>
    <w:p w:rsidR="00013B61" w:rsidRDefault="00013B61" w:rsidP="008D2075">
      <w:pPr>
        <w:pStyle w:val="LTAntwortRessortText"/>
        <w:numPr>
          <w:ilvl w:val="0"/>
          <w:numId w:val="28"/>
        </w:numPr>
        <w:spacing w:before="0"/>
        <w:ind w:left="697" w:hanging="357"/>
      </w:pPr>
      <w:r w:rsidRPr="003435A5">
        <w:rPr>
          <w:b/>
        </w:rPr>
        <w:t>Zentrum Bayern Familie und Soziales Niederbayern:</w:t>
      </w:r>
      <w:r>
        <w:t xml:space="preserve"> </w:t>
      </w:r>
      <w:r w:rsidR="00E47AE3">
        <w:tab/>
      </w:r>
      <w:r w:rsidR="00E47AE3">
        <w:br/>
      </w:r>
      <w:r>
        <w:t>Gründach mit Biodiversitätsinseln nach Sanierung von Flachdachflächen</w:t>
      </w:r>
    </w:p>
    <w:p w:rsidR="00013B61" w:rsidRDefault="00013B61" w:rsidP="008D2075">
      <w:pPr>
        <w:pStyle w:val="LTAntwortRessortText"/>
        <w:numPr>
          <w:ilvl w:val="0"/>
          <w:numId w:val="28"/>
        </w:numPr>
        <w:spacing w:before="0"/>
        <w:ind w:left="697" w:hanging="357"/>
      </w:pPr>
      <w:r w:rsidRPr="00E42C77">
        <w:rPr>
          <w:b/>
        </w:rPr>
        <w:t>Bayerisches Staatsministerium für Ar</w:t>
      </w:r>
      <w:r w:rsidR="008D4D2C" w:rsidRPr="00E42C77">
        <w:rPr>
          <w:b/>
        </w:rPr>
        <w:t>beit, Familie und Soziales:</w:t>
      </w:r>
      <w:r w:rsidR="008D4D2C">
        <w:t xml:space="preserve"> </w:t>
      </w:r>
      <w:r w:rsidR="00E47AE3">
        <w:tab/>
      </w:r>
      <w:r w:rsidR="00E47AE3">
        <w:br/>
      </w:r>
      <w:r w:rsidR="008D4D2C">
        <w:t>Neu</w:t>
      </w:r>
      <w:r>
        <w:t>gestaltung der Freianlagen</w:t>
      </w:r>
    </w:p>
    <w:p w:rsidR="00013B61" w:rsidRDefault="00013B61" w:rsidP="008D2075">
      <w:pPr>
        <w:pStyle w:val="LTAntwortRessortText"/>
        <w:numPr>
          <w:ilvl w:val="0"/>
          <w:numId w:val="28"/>
        </w:numPr>
        <w:spacing w:before="0"/>
        <w:ind w:left="697" w:hanging="357"/>
      </w:pPr>
      <w:r w:rsidRPr="00E42C77">
        <w:rPr>
          <w:b/>
        </w:rPr>
        <w:t>Bayerisches Landeskriminalamt München:</w:t>
      </w:r>
      <w:r>
        <w:t xml:space="preserve"> </w:t>
      </w:r>
      <w:r w:rsidR="00E47AE3">
        <w:tab/>
      </w:r>
      <w:r w:rsidR="00E47AE3">
        <w:br/>
      </w:r>
      <w:r>
        <w:t>Gründach mit Biodiversitätsinseln nach Sanierung von Flachdachfl</w:t>
      </w:r>
      <w:r w:rsidR="008D4D2C">
        <w:t>ächen, Aufwertung der Außenanla</w:t>
      </w:r>
      <w:r>
        <w:t>gen</w:t>
      </w:r>
    </w:p>
    <w:p w:rsidR="00013B61" w:rsidRDefault="00013B61" w:rsidP="008D2075">
      <w:pPr>
        <w:pStyle w:val="LTAntwortRessortText"/>
        <w:numPr>
          <w:ilvl w:val="0"/>
          <w:numId w:val="28"/>
        </w:numPr>
        <w:spacing w:before="0"/>
        <w:ind w:left="697" w:hanging="357"/>
      </w:pPr>
      <w:r w:rsidRPr="00E42C77">
        <w:rPr>
          <w:b/>
        </w:rPr>
        <w:t>Regierung von Oberbayern:</w:t>
      </w:r>
      <w:r>
        <w:t xml:space="preserve"> </w:t>
      </w:r>
      <w:r w:rsidR="00E47AE3">
        <w:tab/>
      </w:r>
      <w:r w:rsidR="00E47AE3">
        <w:br/>
      </w:r>
      <w:r>
        <w:t xml:space="preserve">Ergänzung </w:t>
      </w:r>
      <w:r w:rsidR="008D4D2C">
        <w:t>der Freianlagen, Pergola mit Be</w:t>
      </w:r>
      <w:r>
        <w:t>rankung</w:t>
      </w:r>
    </w:p>
    <w:p w:rsidR="00013B61" w:rsidRDefault="00013B61" w:rsidP="008D2075">
      <w:pPr>
        <w:pStyle w:val="LTAntwortRessortText"/>
        <w:numPr>
          <w:ilvl w:val="0"/>
          <w:numId w:val="28"/>
        </w:numPr>
        <w:spacing w:before="0"/>
        <w:ind w:left="697" w:hanging="357"/>
      </w:pPr>
      <w:r w:rsidRPr="00E42C77">
        <w:rPr>
          <w:b/>
        </w:rPr>
        <w:t>Amtsgericht Straubing:</w:t>
      </w:r>
      <w:r>
        <w:t xml:space="preserve"> </w:t>
      </w:r>
      <w:r w:rsidR="00E47AE3">
        <w:tab/>
      </w:r>
      <w:r w:rsidR="00E47AE3">
        <w:br/>
      </w:r>
      <w:r>
        <w:t>Verbesserung d</w:t>
      </w:r>
      <w:r w:rsidR="008D4D2C">
        <w:t>er Biodiversität in den Außenan</w:t>
      </w:r>
      <w:r>
        <w:t>lagen nach Abschluss der Kanalsanierung</w:t>
      </w:r>
    </w:p>
    <w:p w:rsidR="00013B61" w:rsidRDefault="00013B61" w:rsidP="008D2075">
      <w:pPr>
        <w:pStyle w:val="LTAntwortRessortText"/>
        <w:numPr>
          <w:ilvl w:val="0"/>
          <w:numId w:val="28"/>
        </w:numPr>
        <w:spacing w:before="0"/>
        <w:ind w:left="697" w:hanging="357"/>
      </w:pPr>
      <w:r w:rsidRPr="00F6609F">
        <w:rPr>
          <w:b/>
        </w:rPr>
        <w:t>Zentrum Bayern Familie und Soziales Oberpfalz:</w:t>
      </w:r>
      <w:r w:rsidR="00E47AE3">
        <w:t xml:space="preserve"> </w:t>
      </w:r>
      <w:r w:rsidR="00E47AE3">
        <w:tab/>
      </w:r>
      <w:r w:rsidR="00E47AE3">
        <w:br/>
        <w:t>Gründach mit Bio</w:t>
      </w:r>
      <w:r>
        <w:t>diversitätsinseln nach Sanierung von Flachdachflächen</w:t>
      </w:r>
    </w:p>
    <w:p w:rsidR="00013B61" w:rsidRDefault="00013B61" w:rsidP="008D2075">
      <w:pPr>
        <w:pStyle w:val="LTAntwortRessortText"/>
        <w:numPr>
          <w:ilvl w:val="0"/>
          <w:numId w:val="28"/>
        </w:numPr>
        <w:spacing w:before="0"/>
        <w:ind w:left="697" w:hanging="357"/>
      </w:pPr>
      <w:r w:rsidRPr="00F6609F">
        <w:rPr>
          <w:b/>
        </w:rPr>
        <w:t>Justizvollzugsanstalt Regensburg:</w:t>
      </w:r>
      <w:r>
        <w:t xml:space="preserve"> </w:t>
      </w:r>
      <w:r w:rsidR="00E47AE3">
        <w:tab/>
      </w:r>
      <w:r w:rsidR="00E47AE3">
        <w:br/>
      </w:r>
      <w:r w:rsidR="00F6609F">
        <w:t>Begrünung auf bestehendem Flach</w:t>
      </w:r>
      <w:r>
        <w:t>dach</w:t>
      </w:r>
    </w:p>
    <w:p w:rsidR="00013B61" w:rsidRDefault="00013B61" w:rsidP="008D2075">
      <w:pPr>
        <w:pStyle w:val="LTAntwortRessortText"/>
        <w:numPr>
          <w:ilvl w:val="0"/>
          <w:numId w:val="28"/>
        </w:numPr>
        <w:spacing w:before="0"/>
        <w:ind w:left="697" w:hanging="357"/>
      </w:pPr>
      <w:r w:rsidRPr="00F6609F">
        <w:rPr>
          <w:b/>
        </w:rPr>
        <w:t>Polizeipräsidium Unterfranken Würzburg:</w:t>
      </w:r>
      <w:r w:rsidR="00F6609F">
        <w:t xml:space="preserve"> </w:t>
      </w:r>
      <w:r w:rsidR="00E47AE3">
        <w:tab/>
      </w:r>
      <w:r w:rsidR="00E47AE3">
        <w:br/>
      </w:r>
      <w:r w:rsidR="00F6609F">
        <w:t>Begrünung an einer Fahr</w:t>
      </w:r>
      <w:r>
        <w:t>radüberdachung und Fassade</w:t>
      </w:r>
    </w:p>
    <w:p w:rsidR="00013B61" w:rsidRDefault="00013B61" w:rsidP="00013B61">
      <w:pPr>
        <w:pStyle w:val="LTAntwortRessortText"/>
      </w:pPr>
      <w:r>
        <w:t xml:space="preserve">Die in den Jahren 2020 und 2021 zur Verfügung stehenden Haushaltsmittel sind ausgeschöpft und über die Ressortministerien den für die Umsetzung zuständigen Staatlichen Bauämtern zur Bewirtschaftung </w:t>
      </w:r>
      <w:r w:rsidR="00F6609F">
        <w:t>zugewiesen. Ein Teil der Maßnah</w:t>
      </w:r>
      <w:r>
        <w:t>men befindet sich noch in Ausführung und kann witterungsbedingt erst im Jahr 2022 abgeschlossen werden. Weitere, zum Teil bereits angemeldete Maßnahmen können in Abhängigkeit von den zur Verfügung stehenden Haushaltsmitteln erst nach Verabschiedung des Haushalts 2022 beauftragt werden.</w:t>
      </w:r>
    </w:p>
    <w:p w:rsidR="00013B61" w:rsidRDefault="00013B61" w:rsidP="00013B61">
      <w:pPr>
        <w:pStyle w:val="LTAntwortRessortText"/>
      </w:pPr>
      <w:r>
        <w:t>Angaben zum Umfang oder der genauen Fläche der jeweiligen Begrünungsmaß-nahme konnten in der für die Beantwortung d</w:t>
      </w:r>
      <w:r w:rsidR="00E47AE3">
        <w:t>er Anfrage zur Verfügung stehen</w:t>
      </w:r>
      <w:r>
        <w:t>den Zeit nicht ermittelt werden. Zu weiteren Begrünungsmaßnahmen, die von den Grundbesitzbewirtschaftenden Dienststellen der Ressorts gegebenenfalls in eigener Zuständigkeit veranlasst wurden, liegen dem Staatsministerium für Wohnen, Bau und Verkehr keine Kenntnisse vor.</w:t>
      </w:r>
    </w:p>
    <w:p w:rsidR="00013B61" w:rsidRDefault="00013B61">
      <w:bookmarkStart w:id="36" w:name="Frage_Nr_17_Ende"/>
      <w:bookmarkEnd w:id="3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9E5CCA" w:rsidTr="009E5CCA">
        <w:tc>
          <w:tcPr>
            <w:tcW w:w="1900" w:type="dxa"/>
          </w:tcPr>
          <w:p w:rsidR="009E5CCA" w:rsidRDefault="009E5CCA" w:rsidP="009E5CCA">
            <w:pPr>
              <w:pStyle w:val="LTAnfrageInitiator"/>
            </w:pPr>
            <w:r>
              <w:lastRenderedPageBreak/>
              <w:t>Abgeordneter</w:t>
            </w:r>
            <w:r>
              <w:rPr>
                <w:b/>
              </w:rPr>
              <w:br/>
              <w:t>Christian</w:t>
            </w:r>
            <w:r>
              <w:rPr>
                <w:b/>
              </w:rPr>
              <w:br/>
              <w:t>Hierneis</w:t>
            </w:r>
            <w:r>
              <w:rPr>
                <w:b/>
              </w:rPr>
              <w:br/>
            </w:r>
            <w:r>
              <w:t>(BÜNDNIS 90/DIE GRÜNEN)</w:t>
            </w:r>
            <w:bookmarkStart w:id="37" w:name="Frage_Nr_18"/>
            <w:bookmarkEnd w:id="37"/>
          </w:p>
        </w:tc>
        <w:tc>
          <w:tcPr>
            <w:tcW w:w="5716" w:type="dxa"/>
          </w:tcPr>
          <w:p w:rsidR="009E5CCA" w:rsidRPr="00D0635E" w:rsidRDefault="009E5CCA" w:rsidP="00D0635E">
            <w:pPr>
              <w:pStyle w:val="LTAnfrageText"/>
            </w:pPr>
            <w:r w:rsidRPr="00D0635E">
              <w:t xml:space="preserve">Ich frage die Staatsregierung, aus welchen konkreten Gründen wurden und werden im letzten und diesem Jahr und in der nächsten Zeit Bäume auf dem Gelände der Neuen Pinakothek gefällt werden (bitte für jeden Baum – unabhängig von der Größe – den konkreten Grund zur Fällung angeben), wie sind die Genehmigungsverfahren hierfür abgelaufen (bitte beteiligte Behörden und Gremien – z. B. Bezirksausschuss – nennen und Genehmigungsanträge und erteilte Genehmigungen im Wortlaut darlegen) und welche Ersatz- und Ausgleichsmaßnahmen für die Fällungen sind vorgesehen (bitte konkrete Ersatzpflanzungen mit Zeitpunkt und Ort der Ersatzpflanzung angeben)? </w:t>
            </w:r>
          </w:p>
        </w:tc>
        <w:tc>
          <w:tcPr>
            <w:tcW w:w="5716" w:type="dxa"/>
          </w:tcPr>
          <w:p w:rsidR="009E5CCA" w:rsidRDefault="009E5CCA" w:rsidP="009E5CCA">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Auf dem Gelände müssen 20 Bäume aufgrund geringer Vitalität und Krankheit gefällt werden. Um die erforderlichen Flächen für die Baustelleneinrichtung (</w:t>
      </w:r>
      <w:r w:rsidR="004A5D9A">
        <w:t>u. a.</w:t>
      </w:r>
      <w:r>
        <w:t xml:space="preserve"> Gerüststellung) und Tiefbauarbeiten (</w:t>
      </w:r>
      <w:r w:rsidR="004A5D9A">
        <w:t>u. a.</w:t>
      </w:r>
      <w:r>
        <w:t xml:space="preserve"> barrie</w:t>
      </w:r>
      <w:r w:rsidR="00E47AE3">
        <w:t>refreier Haupteingang) zu schaf</w:t>
      </w:r>
      <w:r>
        <w:t xml:space="preserve">fen, bedarf es der Fällung weiterer 20 Bäume. </w:t>
      </w:r>
      <w:r w:rsidR="00E47AE3">
        <w:t>Gemäß Masterplan für das Kunsta</w:t>
      </w:r>
      <w:r>
        <w:t>real, der in enger Abstimmung zwischen Vert</w:t>
      </w:r>
      <w:r w:rsidR="00E47AE3">
        <w:t>retern der Landeshauptstadt Mün</w:t>
      </w:r>
      <w:r>
        <w:t>chen und dem Freistaat entwickelt und Anfan</w:t>
      </w:r>
      <w:r w:rsidR="00E47AE3">
        <w:t>g 2018 dem Ausschuss für Wissen</w:t>
      </w:r>
      <w:r>
        <w:t>schaft und Kunst sowie dem Bezirksausschuss Maxvorstadt vorgestellt wurde, sollen Blickbeziehungen gestärkt und Durchbl</w:t>
      </w:r>
      <w:r w:rsidR="00E47AE3">
        <w:t>icke geschaffen werden. Dies be</w:t>
      </w:r>
      <w:r>
        <w:t>gründet die Fällung weiterer vier Bäume.</w:t>
      </w:r>
    </w:p>
    <w:p w:rsidR="00013B61" w:rsidRDefault="00013B61" w:rsidP="00013B61">
      <w:pPr>
        <w:pStyle w:val="LTAntwortRessortText"/>
      </w:pPr>
      <w:r>
        <w:t>Die auf dem Gelände der Neuen Pinakothek</w:t>
      </w:r>
      <w:r w:rsidR="00E47AE3">
        <w:t xml:space="preserve"> verbleibenden Bäume werden wäh</w:t>
      </w:r>
      <w:r>
        <w:t xml:space="preserve">rend der Bauzeit entsprechend den Vorgaben </w:t>
      </w:r>
      <w:r w:rsidR="00E47AE3">
        <w:t>der Landeshauptstadt München ge</w:t>
      </w:r>
      <w:r>
        <w:t>schützt. Für den gesamten Baumbestand li</w:t>
      </w:r>
      <w:r w:rsidR="00E47AE3">
        <w:t>egen Baumgutachten sowie Abstim</w:t>
      </w:r>
      <w:r>
        <w:t>mungen zum Artenschutz vor. Eine Umweltbaubegleitung stellt sicher, dass durch die Tiefbauarbeiten kein Schaden am Wurzelwerk entsteht.</w:t>
      </w:r>
    </w:p>
    <w:p w:rsidR="00013B61" w:rsidRDefault="00013B61" w:rsidP="00013B61">
      <w:pPr>
        <w:pStyle w:val="LTAntwortRessortText"/>
      </w:pPr>
      <w:r>
        <w:t>Bisher wurden 34 Bäume gefällt. Anfang 2022 werden die übrigen zehn Bäume gefällt. Von den 44 zu fällenden Bäumen be</w:t>
      </w:r>
      <w:r w:rsidR="00E47AE3">
        <w:t>steht für 40 Bäume eine Genehmi</w:t>
      </w:r>
      <w:r>
        <w:t>gungspflicht. Vier Fällungen sind genehmigungsfrei.</w:t>
      </w:r>
    </w:p>
    <w:p w:rsidR="00013B61" w:rsidRDefault="00013B61" w:rsidP="00013B61">
      <w:pPr>
        <w:pStyle w:val="LTAntwortRessortText"/>
      </w:pPr>
      <w:r>
        <w:t>Im Rahmen des Zustimmungsverfahrens wurden die Fällgenehmigungen durch die Untere Naturschutzbehörde erteilt. Der entsprechende Bescheid vom Referat für Stadtplanung und Bauordnung liegt mit Datum vom 11</w:t>
      </w:r>
      <w:r w:rsidR="00E47AE3">
        <w:t>.11.</w:t>
      </w:r>
      <w:r>
        <w:t>2020 vor. Eine Beteiligung des Bezirksausschusses erfolg</w:t>
      </w:r>
      <w:r w:rsidR="00E47AE3">
        <w:t>t in der Regel im Rahmen des Ge</w:t>
      </w:r>
      <w:r>
        <w:t>nehmigungsprozesses durch die Landeshauptstadt München.</w:t>
      </w:r>
    </w:p>
    <w:p w:rsidR="00013B61" w:rsidRDefault="00013B61" w:rsidP="00013B61">
      <w:pPr>
        <w:pStyle w:val="LTAntwortRessortText"/>
      </w:pPr>
      <w:r>
        <w:t>Die Untere Naturschutzbehörde fordert 60 Ersatzpflanzungen auf dem Gelände der Neuen Pinakothek. Die Ersatzpflanzungen werden vorgenommen, sobald der Fortgang der Arbeiten dies ermöglicht. Die Ersatzpflanzungen sollen sich an den Vorgaben des Masterplans Kunstareal orientieren.</w:t>
      </w:r>
    </w:p>
    <w:p w:rsidR="00013B61" w:rsidRDefault="00013B61">
      <w:bookmarkStart w:id="38" w:name="Frage_Nr_18_Ende"/>
      <w:bookmarkEnd w:id="3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9E5CCA" w:rsidTr="009E5CCA">
        <w:tc>
          <w:tcPr>
            <w:tcW w:w="1875" w:type="dxa"/>
          </w:tcPr>
          <w:p w:rsidR="009E5CCA" w:rsidRDefault="009E5CCA" w:rsidP="009E5CCA">
            <w:pPr>
              <w:pStyle w:val="LTAnfrageInitiator"/>
            </w:pPr>
            <w:r>
              <w:lastRenderedPageBreak/>
              <w:t>Abgeordneter</w:t>
            </w:r>
            <w:r>
              <w:rPr>
                <w:b/>
              </w:rPr>
              <w:br/>
              <w:t>Sebastian</w:t>
            </w:r>
            <w:r>
              <w:rPr>
                <w:b/>
              </w:rPr>
              <w:br/>
              <w:t>Körber</w:t>
            </w:r>
            <w:r>
              <w:rPr>
                <w:b/>
              </w:rPr>
              <w:br/>
            </w:r>
            <w:r>
              <w:t>(FDP)</w:t>
            </w:r>
            <w:bookmarkStart w:id="39" w:name="Frage_Nr_19"/>
            <w:bookmarkEnd w:id="39"/>
          </w:p>
        </w:tc>
        <w:tc>
          <w:tcPr>
            <w:tcW w:w="5741" w:type="dxa"/>
          </w:tcPr>
          <w:p w:rsidR="009E5CCA" w:rsidRPr="00D0635E" w:rsidRDefault="009E5CCA" w:rsidP="007A0F8F">
            <w:pPr>
              <w:pStyle w:val="LTAnfrageText"/>
            </w:pPr>
            <w:r w:rsidRPr="00D0635E">
              <w:t>Ich frage die Staatsregierung, inwiefern sie jemals Anstrengungen unternahm, nebst der S-Bahn-Anbindung (Daseinsvorsorge), einen Shuttlebus/Expressbus zwischen Flughafen Mün</w:t>
            </w:r>
            <w:r w:rsidR="007A0F8F">
              <w:softHyphen/>
            </w:r>
            <w:r w:rsidRPr="00D0635E">
              <w:t xml:space="preserve">chen und der Landeshauptstadt München einzuführen (bitte um Darlegung, der dazu angestellten Überlegungen angestoßenen Prozesse), warum ein solcher mit Implementierung in den </w:t>
            </w:r>
            <w:r w:rsidR="007A0F8F">
              <w:t>ö</w:t>
            </w:r>
            <w:r w:rsidRPr="00D0635E">
              <w:t>ffentlichen Nahverkehr nie umgesetzt wurde (bitte auf eine mögliche zu starke Kannibalisierung zulasten eines Parallelverkehrs eingehen), wobei die Lufthansa vor Jahren einen privaten Shuttle einführte und inwiefern sieht die Staatsregierung bei der Einführung eines öffentlichen Shuttles rechtliche Herausforderungen?</w:t>
            </w:r>
          </w:p>
        </w:tc>
        <w:tc>
          <w:tcPr>
            <w:tcW w:w="5741" w:type="dxa"/>
          </w:tcPr>
          <w:p w:rsidR="009E5CCA" w:rsidRDefault="009E5CCA" w:rsidP="009E5CCA">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Die Gestaltung und Planung des allgemeinen öff</w:t>
      </w:r>
      <w:r w:rsidR="00E47AE3">
        <w:t>entlichen Personen</w:t>
      </w:r>
      <w:r w:rsidR="007A0F8F">
        <w:t>nah</w:t>
      </w:r>
      <w:r w:rsidR="00E47AE3">
        <w:t>verkehrs (all</w:t>
      </w:r>
      <w:r>
        <w:t>gemeiner ÖPNV) ist eine Aufgabe der Landk</w:t>
      </w:r>
      <w:r w:rsidR="00E47AE3">
        <w:t>reise und Städte im eigenen Wir</w:t>
      </w:r>
      <w:r>
        <w:t>kungskreis. Die Planung eines Busshuttles zw</w:t>
      </w:r>
      <w:r w:rsidR="00E47AE3">
        <w:t>ischen der Landeshauptstadt Mün</w:t>
      </w:r>
      <w:r>
        <w:t>chen und dem Flughafen München obliegt daher der Landeshauptstadt und den Landkreisen München, Erding und Freising und somit nicht dem Freistaat.</w:t>
      </w:r>
    </w:p>
    <w:p w:rsidR="00013B61" w:rsidRDefault="00013B61" w:rsidP="00013B61">
      <w:pPr>
        <w:pStyle w:val="LTAntwortRessortText"/>
      </w:pPr>
      <w:r>
        <w:t>Bei einer Linie zwischen der Landeshauptsta</w:t>
      </w:r>
      <w:r w:rsidR="00E47AE3">
        <w:t>dt München und dem Flughafen wä</w:t>
      </w:r>
      <w:r>
        <w:t>re aber der bundesgesetzliche Vorrang der Eigenw</w:t>
      </w:r>
      <w:r w:rsidR="00E47AE3">
        <w:t>irtschaftlichkeit nach § 8 Abs. </w:t>
      </w:r>
      <w:r>
        <w:t>4 Satz 1 des Personenbeförderungsgesetzes zu beachten. Seit den 1990er Jahren betreibt die Autobus Oberbayern GmbH in Kooperation mit der Lufthansa einen eigenwirtschaftlichen und unternehmerischen Linienverkehr zwischen dem Hauptbahnhof München über die Haltestelle</w:t>
      </w:r>
      <w:r w:rsidR="002970B9">
        <w:t xml:space="preserve"> Nordfriedhof zum Flughafen Mün</w:t>
      </w:r>
      <w:r>
        <w:t>chen. Zudem verkehrt zu Messetagen ein eigenwirtschaftlicher Messeshuttle der Autobus Oberbayern GmbH zwischen der Messestadt Riem und dem Flughafen München.</w:t>
      </w:r>
    </w:p>
    <w:p w:rsidR="00013B61" w:rsidRDefault="00013B61" w:rsidP="00013B61">
      <w:pPr>
        <w:pStyle w:val="LTAntwortRessortText"/>
      </w:pPr>
      <w:r>
        <w:t>Genehmigungsvoraussetzung für einen weiteren Linienverkehr zwischen der Landeshauptstadt München und dem Flughafen München ist, dass dieser nicht gegen die öffentlichen Verkehrsinteressen verstößt. Ein solcher Verstoß ist regelmäßig gegeben, wenn der Verkehr mit den</w:t>
      </w:r>
      <w:r w:rsidR="00E47AE3">
        <w:t xml:space="preserve"> vorhandenen Verkehrsmitteln be</w:t>
      </w:r>
      <w:r>
        <w:t xml:space="preserve">friedigend bedient werden kann. Neben der vorhandenen oben genannten eigenwirtschaftlichen Liniengenehmigung ist hierbei </w:t>
      </w:r>
      <w:r w:rsidR="00E47AE3">
        <w:t>auch die S-Bahn zu berücksichti</w:t>
      </w:r>
      <w:r>
        <w:t>gen. Ob ein weiterer Linienverkehr zwischen Landeshauptstadt und Flughafen genehmigungsfähig wäre, hängt insbesondere von der Linienführung und den Haltestellen ab. Eine pauschale Aussage ist insbesondere aufgrund der Größe des Stadtgebietes München nicht möglich und kann nur anhand des Einzelfalls und einer Gesamtbetrachtung (Tarif, Taktung, Barrierefreiheit etc.) erfolgen</w:t>
      </w:r>
      <w:r w:rsidR="002970B9">
        <w:t>.</w:t>
      </w:r>
    </w:p>
    <w:p w:rsidR="00013B61" w:rsidRDefault="00013B61">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E5CCA" w:rsidTr="009E5CCA">
        <w:tc>
          <w:tcPr>
            <w:tcW w:w="1883" w:type="dxa"/>
          </w:tcPr>
          <w:p w:rsidR="009E5CCA" w:rsidRDefault="009E5CCA" w:rsidP="009E5CCA">
            <w:pPr>
              <w:pStyle w:val="LTAnfrageInitiator"/>
            </w:pPr>
            <w:r>
              <w:lastRenderedPageBreak/>
              <w:t>Abgeordneter</w:t>
            </w:r>
            <w:r>
              <w:rPr>
                <w:b/>
              </w:rPr>
              <w:br/>
              <w:t>Florian</w:t>
            </w:r>
            <w:r>
              <w:rPr>
                <w:b/>
              </w:rPr>
              <w:br/>
              <w:t>Siekmann</w:t>
            </w:r>
            <w:r>
              <w:rPr>
                <w:b/>
              </w:rPr>
              <w:br/>
            </w:r>
            <w:r>
              <w:t>(BÜNDNIS 90/DIE GRÜNEN)</w:t>
            </w:r>
            <w:bookmarkStart w:id="41" w:name="Frage_Nr_20"/>
            <w:bookmarkEnd w:id="41"/>
          </w:p>
        </w:tc>
        <w:tc>
          <w:tcPr>
            <w:tcW w:w="5733" w:type="dxa"/>
          </w:tcPr>
          <w:p w:rsidR="009E5CCA" w:rsidRPr="00D0635E" w:rsidRDefault="009E5CCA" w:rsidP="00D0635E">
            <w:pPr>
              <w:pStyle w:val="LTAnfrageText"/>
            </w:pPr>
            <w:r w:rsidRPr="00D0635E">
              <w:t>Ich frage die Staatsregierung, inwiefern hat der Rechtsanwalt Alfred Sauter bei der Vertretung von Mandanten in Verwaltungsangelegenheiten gegenüber der Staatsregierung oder nachgelagerten Behörden auf seine Mitgliedschaft im Landtag hingewiesen und wie lautete Alfred Sauters E-Mail-Adresse inklusive Signatur (genauer Wortlaut) bei der Korrespondenz mit der Staatskanzlei (15.12.2020) zum Thema GNA Biosolutions</w:t>
            </w:r>
            <w:r w:rsidRPr="0026647F">
              <w:rPr>
                <w:vertAlign w:val="superscript"/>
              </w:rPr>
              <w:footnoteReference w:id="1"/>
            </w:r>
            <w:r w:rsidRPr="00D0635E">
              <w:t xml:space="preserve"> und bei der Korrespondenz mit der Immobilien Freistaat Bayern (IMBY), Regionalvertretung Augsburg, bzw. dem Staatsministerium für Wohnen, Bau und Verkehr im Zuge der Anbahnung und Mietvertragsverhandlung zum Objekt Ladehöfe am Augsburger Hauptbahnhof?</w:t>
            </w:r>
          </w:p>
        </w:tc>
        <w:tc>
          <w:tcPr>
            <w:tcW w:w="5733" w:type="dxa"/>
          </w:tcPr>
          <w:p w:rsidR="009E5CCA" w:rsidRDefault="009E5CCA" w:rsidP="009E5CCA">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Herr Rechtsanwalt Alfred Sauter hat bei der Korrespondenz mit der Immobilien Freistaat Bayern (IMBY), Regionalvertretung A</w:t>
      </w:r>
      <w:r w:rsidR="00714048">
        <w:t>ugsburg, bzw. dem Staatsministe</w:t>
      </w:r>
      <w:r>
        <w:t>rium für Wohnen, Bau und Verkehr im Zuge der Anbahnung und Mietvertragsverhandlung zum Objekt Ladehöfe am Augsburger Hauptbahnhof nicht auf seine Mitgliedschaft im Landtag hingewiesen. Er verwendete die E-Mail-Adresse und Signatur der Rechtsanwaltskanzlei Sauter und Wurm und versicherte anwaltlich ordnungsgemäße Bevollmächtigung:</w:t>
      </w:r>
    </w:p>
    <w:p w:rsidR="00013B61" w:rsidRDefault="00E832CF" w:rsidP="00013B61">
      <w:pPr>
        <w:pStyle w:val="LTAntwortRessortText"/>
      </w:pPr>
      <w:r>
        <w:t>„</w:t>
      </w:r>
      <w:r w:rsidR="00013B61">
        <w:t>Alfred Sauter</w:t>
      </w:r>
    </w:p>
    <w:p w:rsidR="00013B61" w:rsidRDefault="00013B61" w:rsidP="00260BD1">
      <w:pPr>
        <w:pStyle w:val="LTAntwortRessortText"/>
        <w:spacing w:before="0"/>
      </w:pPr>
      <w:r>
        <w:t>Rechtsanwalt</w:t>
      </w:r>
    </w:p>
    <w:p w:rsidR="00013B61" w:rsidRDefault="00013B61" w:rsidP="00013B61">
      <w:pPr>
        <w:pStyle w:val="LTAntwortRessortText"/>
      </w:pPr>
      <w:r>
        <w:t>________________________________________</w:t>
      </w:r>
    </w:p>
    <w:p w:rsidR="00013B61" w:rsidRDefault="00013B61" w:rsidP="00013B61">
      <w:pPr>
        <w:pStyle w:val="LTAntwortRessortText"/>
      </w:pPr>
      <w:r>
        <w:t>Sauter &amp; Wurm</w:t>
      </w:r>
    </w:p>
    <w:p w:rsidR="00013B61" w:rsidRDefault="00013B61" w:rsidP="00260BD1">
      <w:pPr>
        <w:pStyle w:val="LTAntwortRessortText"/>
        <w:spacing w:before="0"/>
      </w:pPr>
      <w:r>
        <w:t>Rechtsanwälte</w:t>
      </w:r>
    </w:p>
    <w:p w:rsidR="00013B61" w:rsidRDefault="00013B61" w:rsidP="00260BD1">
      <w:pPr>
        <w:pStyle w:val="LTAntwortRessortText"/>
        <w:spacing w:before="0"/>
      </w:pPr>
      <w:r>
        <w:t>Arabellastraße 19a - 81925 München</w:t>
      </w:r>
    </w:p>
    <w:p w:rsidR="00013B61" w:rsidRDefault="00013B61" w:rsidP="00260BD1">
      <w:pPr>
        <w:pStyle w:val="LTAntwortRessortText"/>
      </w:pPr>
      <w:r>
        <w:t>Telefon:</w:t>
      </w:r>
    </w:p>
    <w:p w:rsidR="00013B61" w:rsidRDefault="00013B61" w:rsidP="00260BD1">
      <w:pPr>
        <w:pStyle w:val="LTAntwortRessortText"/>
        <w:spacing w:before="0"/>
      </w:pPr>
      <w:r>
        <w:t>mobil:</w:t>
      </w:r>
    </w:p>
    <w:p w:rsidR="00013B61" w:rsidRDefault="00013B61" w:rsidP="00260BD1">
      <w:pPr>
        <w:pStyle w:val="LTAntwortRessortText"/>
        <w:spacing w:before="0"/>
      </w:pPr>
      <w:r>
        <w:t>Fax:</w:t>
      </w:r>
    </w:p>
    <w:p w:rsidR="00013B61" w:rsidRDefault="00013B61" w:rsidP="00260BD1">
      <w:pPr>
        <w:pStyle w:val="LTAntwortRessortText"/>
      </w:pPr>
      <w:r>
        <w:t>E-Mail: alfred.sauter@sauterwurm.de</w:t>
      </w:r>
    </w:p>
    <w:p w:rsidR="00013B61" w:rsidRDefault="00013B61" w:rsidP="00260BD1">
      <w:pPr>
        <w:pStyle w:val="LTAntwortRessortText"/>
        <w:spacing w:before="0"/>
      </w:pPr>
      <w:r>
        <w:t>www.sauterwurm.de</w:t>
      </w:r>
      <w:r w:rsidR="00E832CF">
        <w:t>“</w:t>
      </w:r>
    </w:p>
    <w:p w:rsidR="00013B61" w:rsidRDefault="00013B61" w:rsidP="00013B61">
      <w:pPr>
        <w:pStyle w:val="LTAntwortRessortText"/>
      </w:pPr>
      <w:r>
        <w:t xml:space="preserve">Innerhalb der zur Beantwortung der Anfrage </w:t>
      </w:r>
      <w:r w:rsidR="00714048">
        <w:t>zum Plenum zur Verfügung stehen</w:t>
      </w:r>
      <w:r>
        <w:t>den Zeit ist eine Überprüfung weiterer Vorgänge, in denen Herr Rechtsanwalt Sauter Mandanten in Verwaltungsangelegenheiten vertreten hat, im Hinblick auf die Frage, ob Herr Rechtsanwalt Sauter auf sein</w:t>
      </w:r>
      <w:r w:rsidR="004943A4">
        <w:t>e Mitgliedschaft im Landtag hin</w:t>
      </w:r>
      <w:r>
        <w:t>gewiesen hat, nicht möglich.</w:t>
      </w:r>
    </w:p>
    <w:p w:rsidR="00013B61" w:rsidRDefault="00013B61" w:rsidP="00013B61">
      <w:pPr>
        <w:pStyle w:val="LTAntwortRessortText"/>
      </w:pPr>
      <w:r>
        <w:t>Die in Bezug genommene E-Mail von MdL Sauter an die Staatskanzlei ging am 15.12.2020 ein. Die Absenderadresse war alfred.sauter@sauter-wurm.de.</w:t>
      </w:r>
    </w:p>
    <w:p w:rsidR="001D1274" w:rsidRDefault="001D1274" w:rsidP="00013B61">
      <w:pPr>
        <w:pStyle w:val="LTAntwortRessortText"/>
      </w:pPr>
    </w:p>
    <w:p w:rsidR="00013B61" w:rsidRDefault="00013B61" w:rsidP="00013B61">
      <w:pPr>
        <w:pStyle w:val="LTAntwortRessortText"/>
      </w:pPr>
      <w:r>
        <w:lastRenderedPageBreak/>
        <w:t>Die Signatur lautete:</w:t>
      </w:r>
    </w:p>
    <w:p w:rsidR="00013B61" w:rsidRDefault="00013B61" w:rsidP="00260BD1">
      <w:pPr>
        <w:pStyle w:val="LTAntwortRessortText"/>
        <w:spacing w:before="0"/>
      </w:pPr>
      <w:r>
        <w:t>Alfred Sauter; MdL</w:t>
      </w:r>
    </w:p>
    <w:p w:rsidR="00013B61" w:rsidRDefault="00013B61" w:rsidP="00260BD1">
      <w:pPr>
        <w:pStyle w:val="LTAntwortRessortText"/>
        <w:spacing w:before="0"/>
      </w:pPr>
      <w:r>
        <w:t>Maximilianeum - 81627 München</w:t>
      </w:r>
    </w:p>
    <w:p w:rsidR="00013B61" w:rsidRDefault="00013B61" w:rsidP="00260BD1">
      <w:pPr>
        <w:pStyle w:val="LTAntwortRessortText"/>
        <w:spacing w:before="0"/>
      </w:pPr>
      <w:r>
        <w:t>Telefon: +49(0)89 41 26 28 84</w:t>
      </w:r>
    </w:p>
    <w:p w:rsidR="00013B61" w:rsidRDefault="00013B61" w:rsidP="00260BD1">
      <w:pPr>
        <w:pStyle w:val="LTAntwortRessortText"/>
        <w:spacing w:before="0"/>
      </w:pPr>
      <w:r>
        <w:t>mobil: +49(0)170 2 70 88 04</w:t>
      </w:r>
    </w:p>
    <w:p w:rsidR="00013B61" w:rsidRDefault="00013B61" w:rsidP="00260BD1">
      <w:pPr>
        <w:pStyle w:val="LTAntwortRessortText"/>
        <w:spacing w:before="0"/>
      </w:pPr>
      <w:r>
        <w:t>Fax: +49(0)89 41 26 18 84</w:t>
      </w:r>
    </w:p>
    <w:p w:rsidR="00013B61" w:rsidRDefault="00013B61" w:rsidP="00260BD1">
      <w:pPr>
        <w:pStyle w:val="LTAntwortRessortText"/>
        <w:spacing w:before="0"/>
      </w:pPr>
      <w:r>
        <w:t>E-Mail: alfred.sauter@csu-landtag.de</w:t>
      </w:r>
    </w:p>
    <w:p w:rsidR="00013B61" w:rsidRPr="001D1274" w:rsidRDefault="008A35F1" w:rsidP="001D1274">
      <w:pPr>
        <w:pStyle w:val="LTHyperlink"/>
        <w:ind w:left="340"/>
        <w:rPr>
          <w:b w:val="0"/>
        </w:rPr>
      </w:pPr>
      <w:hyperlink r:id="rId16" w:history="1">
        <w:r w:rsidR="001D1274" w:rsidRPr="001D1274">
          <w:rPr>
            <w:rStyle w:val="Hyperlink"/>
            <w:b w:val="0"/>
            <w:color w:val="0000FF"/>
            <w:u w:val="single"/>
          </w:rPr>
          <w:t>https://</w:t>
        </w:r>
        <w:r w:rsidR="00013B61" w:rsidRPr="001D1274">
          <w:rPr>
            <w:rStyle w:val="Hyperlink"/>
            <w:b w:val="0"/>
            <w:color w:val="0000FF"/>
            <w:u w:val="single"/>
          </w:rPr>
          <w:t>www.alfred-sauter.de</w:t>
        </w:r>
      </w:hyperlink>
    </w:p>
    <w:p w:rsidR="00013B61" w:rsidRDefault="00013B61">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Ursula</w:t>
            </w:r>
            <w:r>
              <w:rPr>
                <w:b/>
              </w:rPr>
              <w:br/>
              <w:t>Sowa</w:t>
            </w:r>
            <w:r>
              <w:rPr>
                <w:b/>
              </w:rPr>
              <w:br/>
            </w:r>
            <w:r>
              <w:t>(BÜNDNIS 90/DIE GRÜNEN)</w:t>
            </w:r>
            <w:bookmarkStart w:id="43" w:name="Frage_Nr_21"/>
            <w:bookmarkEnd w:id="43"/>
          </w:p>
        </w:tc>
        <w:tc>
          <w:tcPr>
            <w:tcW w:w="5733" w:type="dxa"/>
          </w:tcPr>
          <w:p w:rsidR="0049313C" w:rsidRPr="00D0635E" w:rsidRDefault="0049313C" w:rsidP="00D0635E">
            <w:pPr>
              <w:pStyle w:val="LTAnfrageText"/>
            </w:pPr>
            <w:r w:rsidRPr="00D0635E">
              <w:t>Vor dem Hintergrund, dass seit Jahresbeginn 2021 in Bayern für 61 356 Wohnungen Baugenehmigungen erteilt oder Genehmigungsfreistellungsverfahren abgeschlossen wurden, frage ich die Staatsregierung, wie viele der Wohnungen werden sozial gefördert?</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Wohnen, Bau und Verkehr</w:t>
      </w:r>
    </w:p>
    <w:p w:rsidR="00013B61" w:rsidRDefault="00013B61" w:rsidP="00013B61">
      <w:pPr>
        <w:pStyle w:val="LTAntwortRessortText"/>
      </w:pPr>
      <w:r>
        <w:t>Üblicherweise werden die Zahlen der in der s</w:t>
      </w:r>
      <w:r w:rsidR="001D1274">
        <w:t>taatlichen Wohnraumförderung ge</w:t>
      </w:r>
      <w:r>
        <w:t>förderten Wohnungen und Heimplätze jeweils zum Jahresende festgestellt. Nach vorläufigen Meldungen wurden im Zeitraum bis zum 30</w:t>
      </w:r>
      <w:r w:rsidR="001D1274">
        <w:t>.09.</w:t>
      </w:r>
      <w:r>
        <w:t>2021 insge</w:t>
      </w:r>
      <w:r w:rsidR="001D1274">
        <w:t>samt 5 </w:t>
      </w:r>
      <w:r>
        <w:t>135 Wohnungen gefördert.</w:t>
      </w:r>
    </w:p>
    <w:p w:rsidR="00013B61" w:rsidRDefault="00013B61">
      <w:bookmarkStart w:id="44" w:name="Frage_Nr_21_Ende"/>
      <w:bookmarkEnd w:id="44"/>
      <w:r>
        <w:br w:type="page"/>
      </w:r>
    </w:p>
    <w:p w:rsidR="00013B61" w:rsidRDefault="00013B61" w:rsidP="00013B61">
      <w:pPr>
        <w:pStyle w:val="LTUeberschrRessort"/>
      </w:pPr>
      <w:r>
        <w:lastRenderedPageBreak/>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t>Abgeordneter</w:t>
            </w:r>
            <w:r>
              <w:rPr>
                <w:b/>
              </w:rPr>
              <w:br/>
              <w:t>Jürgen</w:t>
            </w:r>
            <w:r>
              <w:rPr>
                <w:b/>
              </w:rPr>
              <w:br/>
              <w:t>Mistol</w:t>
            </w:r>
            <w:r>
              <w:rPr>
                <w:b/>
              </w:rPr>
              <w:br/>
            </w:r>
            <w:r>
              <w:t>(BÜNDNIS 90/DIE GRÜNEN)</w:t>
            </w:r>
            <w:bookmarkStart w:id="45" w:name="Frage_Nr_22"/>
            <w:bookmarkEnd w:id="45"/>
          </w:p>
        </w:tc>
        <w:tc>
          <w:tcPr>
            <w:tcW w:w="5733" w:type="dxa"/>
          </w:tcPr>
          <w:p w:rsidR="0049313C" w:rsidRPr="00D0635E" w:rsidRDefault="0049313C" w:rsidP="00D0635E">
            <w:pPr>
              <w:pStyle w:val="LTAnfrageText"/>
            </w:pPr>
            <w:r w:rsidRPr="00D0635E">
              <w:t>Nachdem die aktuell geltende Mieterschutzverordnung (MiSchuV) mit Ablauf des 31. Dezember 2021 außer Kraft tritt, frage ich die Staatsregierung, ob die in Aussicht gestellte Verlängerung der Mieterschutzverordnung nahtlos an deren Ablauf anknüpfen wird, ob die Fortschreibung des Gutachtens zur Identifizierung von Gebieten mit angespannten Wohnungsmärkten vorliegt und inwiefern sich der örtliche Anwendungsbereich der bundesrechtlichen Mieterschutzvorschriften dadurch im Vergleich zur geltenden Fassung verändern wird?</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der Justiz</w:t>
      </w:r>
    </w:p>
    <w:p w:rsidR="00013B61" w:rsidRDefault="00013B61" w:rsidP="00013B61">
      <w:pPr>
        <w:pStyle w:val="LTAntwortRessortText"/>
      </w:pPr>
      <w:r>
        <w:t xml:space="preserve">Nach den aktuellen Planungen soll die neue </w:t>
      </w:r>
      <w:r w:rsidR="001D1274">
        <w:t>Mieterschutzverordnung am 1. Ja</w:t>
      </w:r>
      <w:r>
        <w:t>nuar 2022 und somit nahtlos mit dem Ablauf der geltenden Verordnung in Kraft treten. Eine entsprechende Ministerratsvorlage samt Verordnungsentwurf befindet sich derzeit in der Ressortabstimmung.</w:t>
      </w:r>
    </w:p>
    <w:p w:rsidR="00013B61" w:rsidRDefault="00013B61" w:rsidP="00013B61">
      <w:pPr>
        <w:pStyle w:val="LTAntwortRessortText"/>
      </w:pPr>
      <w:r>
        <w:t>Die Fortschreibung des Gutachtens zur Identi</w:t>
      </w:r>
      <w:r w:rsidR="001D1274">
        <w:t>fizierung von Gebieten mit ange</w:t>
      </w:r>
      <w:r>
        <w:t>spannten Wohnungsmärkten in Bayern liegt vor und kann auf der Internetseite des Staatsministeriums der Justiz (</w:t>
      </w:r>
      <w:hyperlink r:id="rId17" w:history="1">
        <w:r w:rsidR="001D1274" w:rsidRPr="001D1274">
          <w:rPr>
            <w:rStyle w:val="LTHyperlinkZchn"/>
            <w:b w:val="0"/>
          </w:rPr>
          <w:t>https://</w:t>
        </w:r>
        <w:r w:rsidRPr="001D1274">
          <w:rPr>
            <w:rStyle w:val="LTHyperlinkZchn"/>
            <w:b w:val="0"/>
          </w:rPr>
          <w:t>www.justiz.bayern.de/ministerium/gesetzgebung/</w:t>
        </w:r>
      </w:hyperlink>
      <w:r>
        <w:t xml:space="preserve">) abgerufen werden. Aufgrund der Ergebnisse der Fortschreibung und der durchgeführten Anhörung der Städte und Gemeinden, Kommunalen Spitzenverbände sowie Mieter- und Eigentümerverbände ist nach </w:t>
      </w:r>
      <w:r w:rsidR="001D1274">
        <w:t>derzeitigem Stand davon auszuge</w:t>
      </w:r>
      <w:r>
        <w:t>hen, dass sich die Gebietskulisse der neuen Mieterschutzverordnung gegenüber der geltenden Verordnung vergrößern wird. In der geltenden Verordnung werden insgesamt 162 Städte und Gemeinden als Gebiete mit angespanntem Wohnungsmarkt ausgewiesen. Die Gebietskulisse des aktu</w:t>
      </w:r>
      <w:r w:rsidR="001D1274">
        <w:t>ellen Entwurfs der neuen Verord</w:t>
      </w:r>
      <w:r>
        <w:t>nung umfasst 203 Städte und Gemeinden.</w:t>
      </w:r>
    </w:p>
    <w:p w:rsidR="00013B61" w:rsidRDefault="00013B61">
      <w:bookmarkStart w:id="46" w:name="Frage_Nr_22_Ende"/>
      <w:bookmarkEnd w:id="46"/>
      <w:r>
        <w:br w:type="page"/>
      </w:r>
    </w:p>
    <w:p w:rsidR="00013B61" w:rsidRDefault="00013B61" w:rsidP="00013B61">
      <w:pPr>
        <w:pStyle w:val="LTUeberschrRessort"/>
      </w:pPr>
      <w:r>
        <w:lastRenderedPageBreak/>
        <w:t>Geschäftsbereich des Staatsministeriums für Unterricht und Kultus</w:t>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49313C" w:rsidTr="0049313C">
        <w:tc>
          <w:tcPr>
            <w:tcW w:w="1869" w:type="dxa"/>
          </w:tcPr>
          <w:p w:rsidR="0049313C" w:rsidRDefault="0049313C" w:rsidP="0049313C">
            <w:pPr>
              <w:pStyle w:val="LTAnfrageInitiator"/>
            </w:pPr>
            <w:r>
              <w:t>Abgeordneter</w:t>
            </w:r>
            <w:r>
              <w:rPr>
                <w:b/>
              </w:rPr>
              <w:br/>
              <w:t>Markus</w:t>
            </w:r>
            <w:r>
              <w:rPr>
                <w:b/>
              </w:rPr>
              <w:br/>
              <w:t>Bayerbach</w:t>
            </w:r>
            <w:r>
              <w:rPr>
                <w:b/>
              </w:rPr>
              <w:br/>
            </w:r>
            <w:r>
              <w:t>(AfD)</w:t>
            </w:r>
            <w:bookmarkStart w:id="47" w:name="Frage_Nr_23"/>
            <w:bookmarkEnd w:id="47"/>
          </w:p>
        </w:tc>
        <w:tc>
          <w:tcPr>
            <w:tcW w:w="5747" w:type="dxa"/>
          </w:tcPr>
          <w:p w:rsidR="0049313C" w:rsidRPr="00D0635E" w:rsidRDefault="0049313C" w:rsidP="00D0635E">
            <w:pPr>
              <w:pStyle w:val="LTAnfrageText"/>
            </w:pPr>
            <w:r w:rsidRPr="00D0635E">
              <w:t>Ich frage die Staatsregierung, wie soll bezüglich der pandemiebedingt entstandenen schulischen Wissenslücken und allgemein vorhandenen gravierenden Leistungsminderungen im Einzelfall eines Schülers hinsichtlich der Erwartung (Gesamtbild aller erzielten Leistungen) gewichtet/beurteilt werden, ob Wissenslücken geschlossen werden können (Erreichung des Bildungsziels), um eine Prognose über das Bestehen der Probezeit oder die Wiederholung der Jahrgangsstufe abzugeben, wenn grundsätzlich bekannt und anerkannt ist, dass die Schließung der Wissenslücken mindestens zwei Schuljahre benötigen wird, anhand welcher Kriterien soll ein Klassenlehrer bei diesen insgesamt ungemein diffizilen Bedingungen im pandemiebedingten Schulalltag im Einvernehmen mit den übrigen in der Klasse unterrichtenden Lehrern (Lehrerkonferenz) entscheiden, ob und wie lange die Probezeit um längstens zwei Monate ausgeweitet wird und alsdann schlussendlich, ob die Probezeit bestanden wird oder nicht und warum wurde bei Grundschülern nicht auch die Regelung zum Übertritt an weiterführende Schulen, also der 4. Jahrgangsstufe in die 5. Jahrgangsstufe, flexibilisiert?</w:t>
            </w:r>
          </w:p>
        </w:tc>
        <w:tc>
          <w:tcPr>
            <w:tcW w:w="5747"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Die gesamte Schulgemeinschaft ist sich bewusst, dass die letzten beiden Schuljahre</w:t>
      </w:r>
      <w:r w:rsidR="002970B9">
        <w:t xml:space="preserve"> </w:t>
      </w:r>
      <w:r>
        <w:t>pandemiebedingt nicht immer einfach waren. Es wurden daher vielfältige Maßnahmen</w:t>
      </w:r>
      <w:r w:rsidR="002970B9">
        <w:t xml:space="preserve"> </w:t>
      </w:r>
      <w:r>
        <w:t xml:space="preserve">zum Umgang mit den Beeinträchtigungen durch die </w:t>
      </w:r>
      <w:r w:rsidR="004A5D9A">
        <w:t>Coronapandemie</w:t>
      </w:r>
      <w:r>
        <w:t xml:space="preserve"> ergriffen,</w:t>
      </w:r>
      <w:r w:rsidR="002970B9">
        <w:t xml:space="preserve"> </w:t>
      </w:r>
      <w:r>
        <w:t>insbesondere auch mit Blick auf das Thema Lernen und das Erreichen von Lernzielen.</w:t>
      </w:r>
      <w:r w:rsidR="005B6C45">
        <w:t xml:space="preserve"> </w:t>
      </w:r>
      <w:r>
        <w:t xml:space="preserve">So werden </w:t>
      </w:r>
      <w:r w:rsidR="004A5D9A">
        <w:t>u. a.</w:t>
      </w:r>
      <w:r>
        <w:t xml:space="preserve"> Förderkurse im Rahmen des Förderprogramms </w:t>
      </w:r>
      <w:r w:rsidR="00E832CF">
        <w:t>„</w:t>
      </w:r>
      <w:r>
        <w:t>gemeinsam.Brücken.bauen</w:t>
      </w:r>
      <w:r w:rsidR="00E832CF">
        <w:t>“</w:t>
      </w:r>
      <w:r>
        <w:t xml:space="preserve"> angeboten. Im ersten Schulhalbjahr 2021/2022 wird eine Förderung</w:t>
      </w:r>
      <w:r w:rsidR="00A04B19">
        <w:t xml:space="preserve"> </w:t>
      </w:r>
      <w:r w:rsidR="004A5D9A">
        <w:t>u. a.</w:t>
      </w:r>
      <w:r>
        <w:t xml:space="preserve"> mit Schwerpunkt auf Begleitung der </w:t>
      </w:r>
      <w:r w:rsidR="00E832CF">
        <w:t>„</w:t>
      </w:r>
      <w:r>
        <w:t>Vorrücker auf Probe</w:t>
      </w:r>
      <w:r w:rsidR="00E832CF">
        <w:t>“</w:t>
      </w:r>
      <w:r>
        <w:t xml:space="preserve"> durchgeführt.</w:t>
      </w:r>
    </w:p>
    <w:p w:rsidR="00013B61" w:rsidRDefault="00013B61" w:rsidP="00013B61">
      <w:pPr>
        <w:pStyle w:val="LTAntwortRessortText"/>
      </w:pPr>
      <w:r>
        <w:t>Die Probezeit dauert je nach Schulart und Rechtsgrundlage, nach der das Vorrücken</w:t>
      </w:r>
      <w:r w:rsidR="00A04B19">
        <w:t xml:space="preserve"> </w:t>
      </w:r>
      <w:r>
        <w:t>auf Probe gewährt wird, grundsätzlich bis zum 15. Dezember des jeweiligen Schuljahres</w:t>
      </w:r>
      <w:r w:rsidR="00A04B19">
        <w:t xml:space="preserve"> </w:t>
      </w:r>
      <w:r>
        <w:t>und kann von der Lehrerkonferenz in besonderen Fällen um höchstens zwei</w:t>
      </w:r>
      <w:r w:rsidR="00A04B19">
        <w:t xml:space="preserve"> </w:t>
      </w:r>
      <w:r>
        <w:t>Monate verlängert werden (vgl. hierzu etwa § 3</w:t>
      </w:r>
      <w:r w:rsidR="001D1274">
        <w:t>1 Abs. 3 Gymnasialschulordnung –</w:t>
      </w:r>
      <w:r w:rsidR="00A04B19">
        <w:t xml:space="preserve"> </w:t>
      </w:r>
      <w:r>
        <w:t>GSO). Ob eine auf Probe vorgerückte Schülerin bzw. ein auf Probe vorgerückter</w:t>
      </w:r>
      <w:r w:rsidR="00A04B19">
        <w:t xml:space="preserve"> </w:t>
      </w:r>
      <w:r>
        <w:t>Schüler die Probezeit bestanden hat oder zurückverwiesen wird, entscheidet die</w:t>
      </w:r>
      <w:r w:rsidR="00A04B19">
        <w:t xml:space="preserve"> </w:t>
      </w:r>
      <w:r>
        <w:t>Lehrerkonferenz auf der Grundlage einer Empfehlung der Klassenkonferenz nach</w:t>
      </w:r>
      <w:r w:rsidR="00A04B19">
        <w:t xml:space="preserve"> </w:t>
      </w:r>
      <w:r>
        <w:t>dem Gesamtbild aller erzielten Leistungen (vg</w:t>
      </w:r>
      <w:r w:rsidR="001D1274">
        <w:t>l. hierzu etwa § 26 Abs. 3 Satz </w:t>
      </w:r>
      <w:r>
        <w:t>3 Realschulordnung</w:t>
      </w:r>
      <w:r w:rsidR="00A04B19">
        <w:t xml:space="preserve"> </w:t>
      </w:r>
      <w:r>
        <w:t>[RSO] oder § 31 Abs. 3 Satz 2 GSO).</w:t>
      </w:r>
    </w:p>
    <w:p w:rsidR="00013B61" w:rsidRDefault="00013B61" w:rsidP="00013B61">
      <w:pPr>
        <w:pStyle w:val="LTAntwortRessortText"/>
      </w:pPr>
      <w:r>
        <w:t>Aus pädagogischer Sicht ist darüber hinaus festzuhalten: Die Feststellung des Lernstands</w:t>
      </w:r>
      <w:r w:rsidR="00A04B19">
        <w:t xml:space="preserve"> </w:t>
      </w:r>
      <w:r>
        <w:t>einer Schülerin bzw. eines Schülers gehört grundsätzlich zu den pädagogischen</w:t>
      </w:r>
      <w:r w:rsidR="00A04B19">
        <w:t xml:space="preserve"> </w:t>
      </w:r>
      <w:r>
        <w:t>Aufgaben jeder Lehrkraft. Gerade mit Blick auf die zum Teil regionalen und</w:t>
      </w:r>
      <w:r w:rsidR="00A04B19">
        <w:t xml:space="preserve"> </w:t>
      </w:r>
      <w:r>
        <w:t xml:space="preserve">schul- bzw. auch klassenspezifischen Auswirkungen der </w:t>
      </w:r>
      <w:r w:rsidR="004A5D9A">
        <w:t>Coronapandemie</w:t>
      </w:r>
      <w:r>
        <w:t xml:space="preserve"> ist es</w:t>
      </w:r>
      <w:r w:rsidR="00A04B19">
        <w:t xml:space="preserve"> </w:t>
      </w:r>
      <w:r>
        <w:t>wichtig, die jeweilige Situation vor Ort und die individuelle Situation der einzelnen</w:t>
      </w:r>
      <w:r w:rsidR="00A04B19">
        <w:t xml:space="preserve"> </w:t>
      </w:r>
      <w:r>
        <w:t>Schülerin bzw. des einzelnen Schülers zu betrachten und zu analysieren.</w:t>
      </w:r>
    </w:p>
    <w:p w:rsidR="00013B61" w:rsidRDefault="00013B61" w:rsidP="005B6C45">
      <w:pPr>
        <w:pStyle w:val="LTAntwortRessortText"/>
        <w:spacing w:before="0"/>
      </w:pPr>
      <w:r>
        <w:t>Dabei ist die Aufgabe der Lehrkräfte einerseits, den Leistungsanspruch der jeweiligen</w:t>
      </w:r>
      <w:r w:rsidR="00A04B19">
        <w:t xml:space="preserve"> </w:t>
      </w:r>
      <w:r>
        <w:t>Schulart umzusetzen, und andererseits, die Bedürfnisse der einzelnen Schülerin</w:t>
      </w:r>
      <w:r w:rsidR="00A04B19">
        <w:t xml:space="preserve"> </w:t>
      </w:r>
      <w:r>
        <w:t>oder des einzelnen Schülers im Blick zu behalten. Das Staatsministerium</w:t>
      </w:r>
      <w:r w:rsidR="00A04B19">
        <w:t xml:space="preserve"> </w:t>
      </w:r>
      <w:r>
        <w:t xml:space="preserve">für </w:t>
      </w:r>
      <w:r>
        <w:lastRenderedPageBreak/>
        <w:t>Unterricht und Kultus hat die Lehrkräfte zuletzt mit Schreiben vom 16.11.2021</w:t>
      </w:r>
      <w:r w:rsidR="00A04B19">
        <w:t xml:space="preserve"> </w:t>
      </w:r>
      <w:r w:rsidR="001D1274">
        <w:t>(Az. </w:t>
      </w:r>
      <w:r>
        <w:t>ZS.4-BS4363.0/1015) bekräftigt, die ihnen diesbezüglich zur Verfügungen stehenden</w:t>
      </w:r>
      <w:r w:rsidR="00A04B19">
        <w:t xml:space="preserve"> </w:t>
      </w:r>
      <w:r>
        <w:t>pädagogischen und schulrechtlichen Spielräume auch und gerade im aktuell</w:t>
      </w:r>
      <w:r w:rsidR="00A04B19">
        <w:t xml:space="preserve"> </w:t>
      </w:r>
      <w:r>
        <w:t>stattfindenden Präsenzunterricht zu nutzen. Dazu zählen beispielsweise Schwerpunktsetzungen</w:t>
      </w:r>
      <w:r w:rsidR="00A04B19">
        <w:t xml:space="preserve"> </w:t>
      </w:r>
      <w:r>
        <w:t>im Lehrplan, um situationsangepassten Unterricht erteilen zu können,</w:t>
      </w:r>
      <w:r w:rsidR="00A04B19">
        <w:t xml:space="preserve"> </w:t>
      </w:r>
      <w:r>
        <w:t>oder auch Einzelfallentscheidungen, die notwendig werden, um auf die individuellen</w:t>
      </w:r>
      <w:r w:rsidR="00A04B19">
        <w:t xml:space="preserve"> </w:t>
      </w:r>
      <w:r>
        <w:t>oder organisatorischen Bedürfnisse einer Lerngruppe einzugehen. Damit können</w:t>
      </w:r>
      <w:r w:rsidR="00A04B19">
        <w:t xml:space="preserve"> </w:t>
      </w:r>
      <w:r>
        <w:t>passgenaue Lösungen für die individuellen pädagogischen Bedarfe der Schülerinnen</w:t>
      </w:r>
      <w:r w:rsidR="00A04B19">
        <w:t xml:space="preserve"> </w:t>
      </w:r>
      <w:r>
        <w:t>und Schüler vor Ort gefunden werden.</w:t>
      </w:r>
    </w:p>
    <w:p w:rsidR="00013B61" w:rsidRDefault="00013B61" w:rsidP="00013B61">
      <w:pPr>
        <w:pStyle w:val="LTAntwortRessortText"/>
      </w:pPr>
      <w:r>
        <w:t>Ein Vorrücken auf Probe ist beim Übertritt von J</w:t>
      </w:r>
      <w:r w:rsidR="001D1274">
        <w:t>ahrgangstufe 4 nach Jahrgangsstufe </w:t>
      </w:r>
      <w:r>
        <w:t>5 nicht vorgesehen.</w:t>
      </w:r>
    </w:p>
    <w:p w:rsidR="00013B61" w:rsidRDefault="00013B61" w:rsidP="005B6C45">
      <w:pPr>
        <w:pStyle w:val="LTAntwortRessortText"/>
        <w:spacing w:before="0"/>
      </w:pPr>
      <w:r>
        <w:t>Eine Probezeit wäre für viele Kinder weitaus belastender, da sich die endgültige Entscheidung</w:t>
      </w:r>
      <w:r w:rsidR="00A04B19">
        <w:t xml:space="preserve"> </w:t>
      </w:r>
      <w:r>
        <w:t>über die Aufnahme am Gymnasium oder der Realschule durch das Erfordernis</w:t>
      </w:r>
      <w:r w:rsidR="00A04B19">
        <w:t xml:space="preserve"> </w:t>
      </w:r>
      <w:r>
        <w:t>des Bestehens der Probezeit verzögert und am Ende dazu führen kann, dass</w:t>
      </w:r>
      <w:r w:rsidR="00A04B19">
        <w:t xml:space="preserve"> </w:t>
      </w:r>
      <w:r>
        <w:t>ein Kind nach wenigen Monaten das Gymnasium oder die Realschule wieder verlassen</w:t>
      </w:r>
      <w:r w:rsidR="00A04B19">
        <w:t xml:space="preserve"> </w:t>
      </w:r>
      <w:r>
        <w:t>und ein weiteres Mal die Schule wechseln müsste.</w:t>
      </w:r>
    </w:p>
    <w:p w:rsidR="00013B61" w:rsidRDefault="00013B61" w:rsidP="00013B61">
      <w:pPr>
        <w:pStyle w:val="LTAntwortRessortText"/>
      </w:pPr>
      <w:r>
        <w:t>Aufgrund der Pandemiesituation wurden jedoch auch im Schuljahr 2020/2021 erforderliche</w:t>
      </w:r>
      <w:r w:rsidR="00A04B19">
        <w:t xml:space="preserve"> </w:t>
      </w:r>
      <w:r>
        <w:t>Anpassungen hinsichtlich der Übertrittsregelungen vorgenommen. Durch</w:t>
      </w:r>
      <w:r w:rsidR="00A04B19">
        <w:t xml:space="preserve"> </w:t>
      </w:r>
      <w:r>
        <w:t>deutlich weniger Proben und flexible Regelungen wurden die Schülerinnen und</w:t>
      </w:r>
      <w:r w:rsidR="00A04B19">
        <w:t xml:space="preserve"> </w:t>
      </w:r>
      <w:r>
        <w:t>Schüler entlastet und die Schulen konnten differenziert auf die jeweilige Situation in</w:t>
      </w:r>
      <w:r w:rsidR="00A04B19">
        <w:t xml:space="preserve"> </w:t>
      </w:r>
      <w:r>
        <w:t>der Klasse reagieren. Ziel dieser Maßnahme war es, den zum Teil empfundenen</w:t>
      </w:r>
      <w:r w:rsidR="00A04B19">
        <w:t xml:space="preserve"> </w:t>
      </w:r>
      <w:r>
        <w:t>Leistungsdruck im Übertrittsverfahren angesichts der gegebenen Situation auch im</w:t>
      </w:r>
      <w:r w:rsidR="00A04B19">
        <w:t xml:space="preserve"> </w:t>
      </w:r>
      <w:r>
        <w:t>vergangenen Schuljahr zu reduzieren und eine Ballung von Leistungsnachweisen zu</w:t>
      </w:r>
      <w:r w:rsidR="00A04B19">
        <w:t xml:space="preserve"> </w:t>
      </w:r>
      <w:r>
        <w:t>vermeide</w:t>
      </w:r>
      <w:r w:rsidR="001D1274">
        <w:t>n. Gegenstand von Proben waren – wie sonst auch –</w:t>
      </w:r>
      <w:r>
        <w:t xml:space="preserve"> nur Inhalte, die zuvor</w:t>
      </w:r>
      <w:r w:rsidR="00A04B19">
        <w:t xml:space="preserve"> </w:t>
      </w:r>
      <w:r>
        <w:t>an der Grundschule erarbeitet und gesichert waren.</w:t>
      </w:r>
    </w:p>
    <w:p w:rsidR="00013B61" w:rsidRDefault="00013B61" w:rsidP="00013B61">
      <w:pPr>
        <w:pStyle w:val="LTAntwortRessortText"/>
      </w:pPr>
      <w:r>
        <w:t>Schülerinnen und Schüler, die im Übertrittszeugnis der Jahrgangsstufe 4 keine entsprechende</w:t>
      </w:r>
      <w:r w:rsidR="00A04B19">
        <w:t xml:space="preserve"> </w:t>
      </w:r>
      <w:r>
        <w:t>Schullaufbahnempfehlung für die gewünschte weiterführende Schulart</w:t>
      </w:r>
      <w:r w:rsidR="00A04B19">
        <w:t xml:space="preserve"> </w:t>
      </w:r>
      <w:r>
        <w:t>erhalten haben, konnten auch im vergangenen Schuljahr auf Antrag der Erziehungsberechtigten</w:t>
      </w:r>
      <w:r w:rsidR="00A04B19">
        <w:t xml:space="preserve"> </w:t>
      </w:r>
      <w:r>
        <w:t>unabhängig von den in der Grundschule erreichten Noten am Probeunterricht</w:t>
      </w:r>
      <w:r w:rsidR="00A04B19">
        <w:t xml:space="preserve"> </w:t>
      </w:r>
      <w:r>
        <w:t>des Gymnasiums bzw. der Realschule teilnehmen. Dieser ermöglichte eine</w:t>
      </w:r>
      <w:r w:rsidR="00A04B19">
        <w:t xml:space="preserve"> </w:t>
      </w:r>
      <w:r>
        <w:t>valide Einschätzung dahingehend, ob basierend auf den in der Grundschule erworbenen</w:t>
      </w:r>
      <w:r w:rsidR="00A04B19">
        <w:t xml:space="preserve"> </w:t>
      </w:r>
      <w:r>
        <w:t>Kenntnissen und Kompetenzen ein erfolgreicher Übertritt auf eine Realschule</w:t>
      </w:r>
      <w:r w:rsidR="00A04B19">
        <w:t xml:space="preserve"> </w:t>
      </w:r>
      <w:r>
        <w:t>bzw. ein Gymnasium möglich erschien, verbunden mit dem Ziel, spätere Misserfolgserlebnisse</w:t>
      </w:r>
      <w:r w:rsidR="00A04B19">
        <w:t xml:space="preserve"> </w:t>
      </w:r>
      <w:r>
        <w:t>zu vermeiden.</w:t>
      </w:r>
    </w:p>
    <w:p w:rsidR="00013B61" w:rsidRDefault="00013B61" w:rsidP="00013B61">
      <w:pPr>
        <w:pStyle w:val="LTAntwortRessortText"/>
      </w:pPr>
      <w:r>
        <w:t>Darüber hinaus wurden die Aufgaben des Probeunterrichts an die veränderten Rahmenbedingungen</w:t>
      </w:r>
      <w:r w:rsidR="00A04B19">
        <w:t xml:space="preserve"> </w:t>
      </w:r>
      <w:r>
        <w:t>angepasst. Wurde ein im Probeunterricht geprüfter Inhalt bis dahin</w:t>
      </w:r>
      <w:r w:rsidR="00A04B19">
        <w:t xml:space="preserve"> </w:t>
      </w:r>
      <w:r>
        <w:t>nicht in der Grundschule erarbeitet und gesichert, konnten Schülerinnen und Schüler</w:t>
      </w:r>
      <w:r w:rsidR="00A04B19">
        <w:t xml:space="preserve"> </w:t>
      </w:r>
      <w:r>
        <w:t>bzw. deren Eltern einen entsprechenden Hinweis an die Lehrkräfte der weiterführenden</w:t>
      </w:r>
      <w:r w:rsidR="00A04B19">
        <w:t xml:space="preserve"> </w:t>
      </w:r>
      <w:r>
        <w:t>Schulen geben. Darüber hinaus erhielten die Grundschulen am jeweiligen Tag</w:t>
      </w:r>
      <w:r w:rsidR="00A04B19">
        <w:t xml:space="preserve"> </w:t>
      </w:r>
      <w:r>
        <w:t>des Probeunterricht</w:t>
      </w:r>
      <w:r w:rsidR="001D1274">
        <w:t>s Einblicke in die Aufgaben, so</w:t>
      </w:r>
      <w:r>
        <w:t>dass die jeweilige Schulleitung</w:t>
      </w:r>
      <w:r w:rsidR="00A04B19">
        <w:t xml:space="preserve"> </w:t>
      </w:r>
      <w:r>
        <w:t>die betreffende weiterführende Schule über ggf. noch nicht erarbeitete Inhalte unmittelbar</w:t>
      </w:r>
      <w:r w:rsidR="00A04B19">
        <w:t xml:space="preserve"> </w:t>
      </w:r>
      <w:r>
        <w:t>informieren konnte. Betroffene Aufgaben gingen in den genannten Fällen nicht</w:t>
      </w:r>
      <w:r w:rsidR="00A04B19">
        <w:t xml:space="preserve"> </w:t>
      </w:r>
      <w:r>
        <w:t>zum Nachteil der Schülerin oder des Schülers in die Bewertung ein.</w:t>
      </w:r>
    </w:p>
    <w:p w:rsidR="00013B61" w:rsidRDefault="00013B61">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Kerstin</w:t>
            </w:r>
            <w:r>
              <w:rPr>
                <w:b/>
              </w:rPr>
              <w:br/>
              <w:t>Celina</w:t>
            </w:r>
            <w:r>
              <w:rPr>
                <w:b/>
              </w:rPr>
              <w:br/>
            </w:r>
            <w:r>
              <w:t>(BÜNDNIS 90/DIE GRÜNEN)</w:t>
            </w:r>
            <w:bookmarkStart w:id="49" w:name="Frage_Nr_24"/>
            <w:bookmarkEnd w:id="49"/>
          </w:p>
        </w:tc>
        <w:tc>
          <w:tcPr>
            <w:tcW w:w="5733" w:type="dxa"/>
          </w:tcPr>
          <w:p w:rsidR="0049313C" w:rsidRPr="00D0635E" w:rsidRDefault="0049313C" w:rsidP="00D0635E">
            <w:pPr>
              <w:pStyle w:val="LTAnfrageText"/>
            </w:pPr>
            <w:r w:rsidRPr="00D0635E">
              <w:t xml:space="preserve">Angesichts der Empfehlungen der Ständigen Impfkommission (STIKO) für eine Impfung für alle Kinder und Jugendlichen zwischen 12 und 17 Jahren und der Aufforderung an die Schulen, impfwilligen Schülerinnen und Schülern nach Unterrichtsbeginn im Schuljahr 2021/2022 durch den Einsatz mobiler Impfteams ein Impfangebot zu unterbreiten, frage ich die Staatsregierung, wie viele Schulen es in Unterfranken gibt (bitte nach Stadt/Landkreis und Schulart aufschlüsseln), wie viele davon bislang von mobilen Impfteams aufgesucht wurden (bitte nach Stadt/Landkreis und Schulart aufschlüsseln) und wie viele darüber hinaus bereits einen festen Termin für den Besuch eines mobilen Impfteams vereinbart haben (bitte nach Stadt/Landkreis und Schulart aufschlüsseln)? </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Der beiliegenden Tabelle</w:t>
      </w:r>
      <w:r w:rsidR="00395F52" w:rsidRPr="00395F52">
        <w:rPr>
          <w:rStyle w:val="LTHyperlinkZchn"/>
          <w:b w:val="0"/>
        </w:rPr>
        <w:t>*)</w:t>
      </w:r>
      <w:r>
        <w:t xml:space="preserve"> ist die Anzahl der Schulen im Regierungsbezirk Unterfranken</w:t>
      </w:r>
      <w:r w:rsidR="00965CBC">
        <w:t xml:space="preserve"> </w:t>
      </w:r>
      <w:r>
        <w:t>im Schuljahr 2020/2021 in Aufgliederungen nach den einzelnen Schularten und</w:t>
      </w:r>
      <w:r w:rsidR="00965CBC">
        <w:t xml:space="preserve"> </w:t>
      </w:r>
      <w:r>
        <w:t>Kreisen zu entnehmen.</w:t>
      </w:r>
    </w:p>
    <w:p w:rsidR="00013B61" w:rsidRDefault="00013B61" w:rsidP="00013B61">
      <w:pPr>
        <w:pStyle w:val="LTAntwortRessortText"/>
      </w:pPr>
      <w:r>
        <w:t>Eine entsprechende Rückfrage beim Staatsministerium für Gesundheit und Pflege</w:t>
      </w:r>
      <w:r w:rsidR="00965CBC">
        <w:t xml:space="preserve"> </w:t>
      </w:r>
      <w:r>
        <w:t>(StMGP) hat ergeben, dass sich die Anzahl der durchgeführten Impfaktionen in Zusammenarbeit</w:t>
      </w:r>
      <w:r w:rsidR="00965CBC">
        <w:t xml:space="preserve"> </w:t>
      </w:r>
      <w:r>
        <w:t>mit Schulen in den Städten und Landkreisen Unterfrankens wie folgt</w:t>
      </w:r>
      <w:r w:rsidR="00965CBC">
        <w:t xml:space="preserve"> </w:t>
      </w:r>
      <w:r>
        <w:t>verteilt:</w:t>
      </w:r>
    </w:p>
    <w:p w:rsidR="00013B61" w:rsidRDefault="00013B61" w:rsidP="00013B61">
      <w:pPr>
        <w:pStyle w:val="LTAntwortRessortText"/>
      </w:pPr>
    </w:p>
    <w:tbl>
      <w:tblPr>
        <w:tblStyle w:val="TableNormal"/>
        <w:tblW w:w="75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843"/>
        <w:gridCol w:w="1852"/>
        <w:gridCol w:w="870"/>
        <w:gridCol w:w="1684"/>
        <w:gridCol w:w="712"/>
      </w:tblGrid>
      <w:tr w:rsidR="005B6C45" w:rsidTr="005B6C45">
        <w:trPr>
          <w:trHeight w:val="251"/>
        </w:trPr>
        <w:tc>
          <w:tcPr>
            <w:tcW w:w="1546" w:type="dxa"/>
          </w:tcPr>
          <w:p w:rsidR="005B6C45" w:rsidRPr="005B6C45" w:rsidRDefault="005B6C45" w:rsidP="004F22A0">
            <w:pPr>
              <w:pStyle w:val="TableParagraph"/>
              <w:rPr>
                <w:rFonts w:ascii="Arial" w:hAnsi="Arial" w:cs="Arial"/>
                <w:sz w:val="18"/>
                <w:szCs w:val="18"/>
              </w:rPr>
            </w:pPr>
            <w:r w:rsidRPr="005B6C45">
              <w:rPr>
                <w:rFonts w:ascii="Arial" w:hAnsi="Arial" w:cs="Arial"/>
                <w:sz w:val="18"/>
                <w:szCs w:val="18"/>
              </w:rPr>
              <w:t>Aschaffenburg</w:t>
            </w:r>
          </w:p>
        </w:tc>
        <w:tc>
          <w:tcPr>
            <w:tcW w:w="843" w:type="dxa"/>
          </w:tcPr>
          <w:p w:rsidR="005B6C45" w:rsidRPr="005B6C45" w:rsidRDefault="005B6C45" w:rsidP="005B6C45">
            <w:pPr>
              <w:pStyle w:val="TableParagraph"/>
              <w:jc w:val="center"/>
              <w:rPr>
                <w:rFonts w:ascii="Arial" w:hAnsi="Arial" w:cs="Arial"/>
                <w:sz w:val="18"/>
                <w:szCs w:val="18"/>
              </w:rPr>
            </w:pPr>
            <w:r w:rsidRPr="005B6C45">
              <w:rPr>
                <w:rFonts w:ascii="Arial" w:hAnsi="Arial" w:cs="Arial"/>
                <w:sz w:val="18"/>
                <w:szCs w:val="18"/>
              </w:rPr>
              <w:t>9</w:t>
            </w:r>
          </w:p>
        </w:tc>
        <w:tc>
          <w:tcPr>
            <w:tcW w:w="1852" w:type="dxa"/>
          </w:tcPr>
          <w:p w:rsidR="005B6C45" w:rsidRPr="005B6C45" w:rsidRDefault="005B6C45" w:rsidP="004F22A0">
            <w:pPr>
              <w:pStyle w:val="TableParagraph"/>
              <w:rPr>
                <w:rFonts w:ascii="Arial" w:hAnsi="Arial" w:cs="Arial"/>
                <w:sz w:val="18"/>
                <w:szCs w:val="18"/>
              </w:rPr>
            </w:pPr>
            <w:r w:rsidRPr="005B6C45">
              <w:rPr>
                <w:rFonts w:ascii="Arial" w:hAnsi="Arial" w:cs="Arial"/>
                <w:sz w:val="18"/>
                <w:szCs w:val="18"/>
              </w:rPr>
              <w:t>Kitzingen</w:t>
            </w:r>
          </w:p>
        </w:tc>
        <w:tc>
          <w:tcPr>
            <w:tcW w:w="870" w:type="dxa"/>
          </w:tcPr>
          <w:p w:rsidR="005B6C45" w:rsidRPr="005B6C45" w:rsidRDefault="005B6C45" w:rsidP="005B6C45">
            <w:pPr>
              <w:pStyle w:val="TableParagraph"/>
              <w:ind w:left="105"/>
              <w:jc w:val="center"/>
              <w:rPr>
                <w:rFonts w:ascii="Arial" w:hAnsi="Arial" w:cs="Arial"/>
                <w:sz w:val="18"/>
                <w:szCs w:val="18"/>
              </w:rPr>
            </w:pPr>
            <w:r w:rsidRPr="005B6C45">
              <w:rPr>
                <w:rFonts w:ascii="Arial" w:hAnsi="Arial" w:cs="Arial"/>
                <w:sz w:val="18"/>
                <w:szCs w:val="18"/>
              </w:rPr>
              <w:t>4</w:t>
            </w:r>
          </w:p>
        </w:tc>
        <w:tc>
          <w:tcPr>
            <w:tcW w:w="1684" w:type="dxa"/>
          </w:tcPr>
          <w:p w:rsidR="005B6C45" w:rsidRPr="005B6C45" w:rsidRDefault="005B6C45" w:rsidP="004F22A0">
            <w:pPr>
              <w:pStyle w:val="TableParagraph"/>
              <w:ind w:left="102"/>
              <w:rPr>
                <w:rFonts w:ascii="Arial" w:hAnsi="Arial" w:cs="Arial"/>
                <w:sz w:val="18"/>
                <w:szCs w:val="18"/>
              </w:rPr>
            </w:pPr>
            <w:r w:rsidRPr="005B6C45">
              <w:rPr>
                <w:rFonts w:ascii="Arial" w:hAnsi="Arial" w:cs="Arial"/>
                <w:sz w:val="18"/>
                <w:szCs w:val="18"/>
              </w:rPr>
              <w:t>Rhön-Grabfeld</w:t>
            </w:r>
          </w:p>
        </w:tc>
        <w:tc>
          <w:tcPr>
            <w:tcW w:w="712" w:type="dxa"/>
          </w:tcPr>
          <w:p w:rsidR="005B6C45" w:rsidRPr="005B6C45" w:rsidRDefault="005B6C45" w:rsidP="005B6C45">
            <w:pPr>
              <w:pStyle w:val="TableParagraph"/>
              <w:ind w:left="103"/>
              <w:jc w:val="center"/>
              <w:rPr>
                <w:rFonts w:ascii="Arial" w:hAnsi="Arial" w:cs="Arial"/>
                <w:sz w:val="18"/>
                <w:szCs w:val="18"/>
              </w:rPr>
            </w:pPr>
            <w:r w:rsidRPr="005B6C45">
              <w:rPr>
                <w:rFonts w:ascii="Arial" w:hAnsi="Arial" w:cs="Arial"/>
                <w:sz w:val="18"/>
                <w:szCs w:val="18"/>
              </w:rPr>
              <w:t>3</w:t>
            </w:r>
          </w:p>
        </w:tc>
      </w:tr>
      <w:tr w:rsidR="005B6C45" w:rsidTr="005B6C45">
        <w:trPr>
          <w:trHeight w:val="253"/>
        </w:trPr>
        <w:tc>
          <w:tcPr>
            <w:tcW w:w="1546" w:type="dxa"/>
          </w:tcPr>
          <w:p w:rsidR="005B6C45" w:rsidRPr="005B6C45" w:rsidRDefault="005B6C45" w:rsidP="004F22A0">
            <w:pPr>
              <w:pStyle w:val="TableParagraph"/>
              <w:spacing w:line="234" w:lineRule="exact"/>
              <w:rPr>
                <w:rFonts w:ascii="Arial" w:hAnsi="Arial" w:cs="Arial"/>
                <w:sz w:val="18"/>
                <w:szCs w:val="18"/>
              </w:rPr>
            </w:pPr>
            <w:r w:rsidRPr="005B6C45">
              <w:rPr>
                <w:rFonts w:ascii="Arial" w:hAnsi="Arial" w:cs="Arial"/>
                <w:sz w:val="18"/>
                <w:szCs w:val="18"/>
              </w:rPr>
              <w:t>Bad Kissingen</w:t>
            </w:r>
          </w:p>
        </w:tc>
        <w:tc>
          <w:tcPr>
            <w:tcW w:w="843" w:type="dxa"/>
          </w:tcPr>
          <w:p w:rsidR="005B6C45" w:rsidRPr="005B6C45" w:rsidRDefault="005B6C45" w:rsidP="005B6C45">
            <w:pPr>
              <w:pStyle w:val="TableParagraph"/>
              <w:spacing w:line="234" w:lineRule="exact"/>
              <w:jc w:val="center"/>
              <w:rPr>
                <w:rFonts w:ascii="Arial" w:hAnsi="Arial" w:cs="Arial"/>
                <w:sz w:val="18"/>
                <w:szCs w:val="18"/>
              </w:rPr>
            </w:pPr>
            <w:r w:rsidRPr="005B6C45">
              <w:rPr>
                <w:rFonts w:ascii="Arial" w:hAnsi="Arial" w:cs="Arial"/>
                <w:sz w:val="18"/>
                <w:szCs w:val="18"/>
              </w:rPr>
              <w:t>5</w:t>
            </w:r>
          </w:p>
        </w:tc>
        <w:tc>
          <w:tcPr>
            <w:tcW w:w="1852" w:type="dxa"/>
          </w:tcPr>
          <w:p w:rsidR="005B6C45" w:rsidRPr="005B6C45" w:rsidRDefault="005B6C45" w:rsidP="004F22A0">
            <w:pPr>
              <w:pStyle w:val="TableParagraph"/>
              <w:spacing w:line="234" w:lineRule="exact"/>
              <w:rPr>
                <w:rFonts w:ascii="Arial" w:hAnsi="Arial" w:cs="Arial"/>
                <w:sz w:val="18"/>
                <w:szCs w:val="18"/>
              </w:rPr>
            </w:pPr>
            <w:r w:rsidRPr="005B6C45">
              <w:rPr>
                <w:rFonts w:ascii="Arial" w:hAnsi="Arial" w:cs="Arial"/>
                <w:sz w:val="18"/>
                <w:szCs w:val="18"/>
              </w:rPr>
              <w:t>Main-Spessart</w:t>
            </w:r>
          </w:p>
        </w:tc>
        <w:tc>
          <w:tcPr>
            <w:tcW w:w="870" w:type="dxa"/>
          </w:tcPr>
          <w:p w:rsidR="005B6C45" w:rsidRPr="005B6C45" w:rsidRDefault="005B6C45" w:rsidP="005B6C45">
            <w:pPr>
              <w:pStyle w:val="TableParagraph"/>
              <w:spacing w:line="234" w:lineRule="exact"/>
              <w:ind w:left="105"/>
              <w:jc w:val="center"/>
              <w:rPr>
                <w:rFonts w:ascii="Arial" w:hAnsi="Arial" w:cs="Arial"/>
                <w:sz w:val="18"/>
                <w:szCs w:val="18"/>
              </w:rPr>
            </w:pPr>
            <w:r w:rsidRPr="005B6C45">
              <w:rPr>
                <w:rFonts w:ascii="Arial" w:hAnsi="Arial" w:cs="Arial"/>
                <w:sz w:val="18"/>
                <w:szCs w:val="18"/>
              </w:rPr>
              <w:t>5</w:t>
            </w:r>
          </w:p>
        </w:tc>
        <w:tc>
          <w:tcPr>
            <w:tcW w:w="1684" w:type="dxa"/>
          </w:tcPr>
          <w:p w:rsidR="005B6C45" w:rsidRPr="005B6C45" w:rsidRDefault="005B6C45" w:rsidP="004F22A0">
            <w:pPr>
              <w:pStyle w:val="TableParagraph"/>
              <w:spacing w:line="234" w:lineRule="exact"/>
              <w:ind w:left="102"/>
              <w:rPr>
                <w:rFonts w:ascii="Arial" w:hAnsi="Arial" w:cs="Arial"/>
                <w:sz w:val="18"/>
                <w:szCs w:val="18"/>
              </w:rPr>
            </w:pPr>
            <w:r w:rsidRPr="005B6C45">
              <w:rPr>
                <w:rFonts w:ascii="Arial" w:hAnsi="Arial" w:cs="Arial"/>
                <w:sz w:val="18"/>
                <w:szCs w:val="18"/>
              </w:rPr>
              <w:t>Schweinfurt</w:t>
            </w:r>
          </w:p>
        </w:tc>
        <w:tc>
          <w:tcPr>
            <w:tcW w:w="712" w:type="dxa"/>
          </w:tcPr>
          <w:p w:rsidR="005B6C45" w:rsidRPr="005B6C45" w:rsidRDefault="005B6C45" w:rsidP="005B6C45">
            <w:pPr>
              <w:pStyle w:val="TableParagraph"/>
              <w:spacing w:line="234" w:lineRule="exact"/>
              <w:ind w:left="103"/>
              <w:jc w:val="center"/>
              <w:rPr>
                <w:rFonts w:ascii="Arial" w:hAnsi="Arial" w:cs="Arial"/>
                <w:sz w:val="18"/>
                <w:szCs w:val="18"/>
              </w:rPr>
            </w:pPr>
            <w:r w:rsidRPr="005B6C45">
              <w:rPr>
                <w:rFonts w:ascii="Arial" w:hAnsi="Arial" w:cs="Arial"/>
                <w:sz w:val="18"/>
                <w:szCs w:val="18"/>
              </w:rPr>
              <w:t>12</w:t>
            </w:r>
          </w:p>
        </w:tc>
      </w:tr>
      <w:tr w:rsidR="005B6C45" w:rsidTr="005B6C45">
        <w:trPr>
          <w:trHeight w:val="251"/>
        </w:trPr>
        <w:tc>
          <w:tcPr>
            <w:tcW w:w="1546" w:type="dxa"/>
          </w:tcPr>
          <w:p w:rsidR="005B6C45" w:rsidRPr="005B6C45" w:rsidRDefault="005B6C45" w:rsidP="004F22A0">
            <w:pPr>
              <w:pStyle w:val="TableParagraph"/>
              <w:rPr>
                <w:rFonts w:ascii="Arial" w:hAnsi="Arial" w:cs="Arial"/>
                <w:sz w:val="18"/>
                <w:szCs w:val="18"/>
              </w:rPr>
            </w:pPr>
            <w:r w:rsidRPr="005B6C45">
              <w:rPr>
                <w:rFonts w:ascii="Arial" w:hAnsi="Arial" w:cs="Arial"/>
                <w:sz w:val="18"/>
                <w:szCs w:val="18"/>
              </w:rPr>
              <w:t>Haßberge</w:t>
            </w:r>
          </w:p>
        </w:tc>
        <w:tc>
          <w:tcPr>
            <w:tcW w:w="843" w:type="dxa"/>
          </w:tcPr>
          <w:p w:rsidR="005B6C45" w:rsidRPr="005B6C45" w:rsidRDefault="005B6C45" w:rsidP="005B6C45">
            <w:pPr>
              <w:pStyle w:val="TableParagraph"/>
              <w:jc w:val="center"/>
              <w:rPr>
                <w:rFonts w:ascii="Arial" w:hAnsi="Arial" w:cs="Arial"/>
                <w:sz w:val="18"/>
                <w:szCs w:val="18"/>
              </w:rPr>
            </w:pPr>
            <w:r w:rsidRPr="005B6C45">
              <w:rPr>
                <w:rFonts w:ascii="Arial" w:hAnsi="Arial" w:cs="Arial"/>
                <w:sz w:val="18"/>
                <w:szCs w:val="18"/>
              </w:rPr>
              <w:t>5</w:t>
            </w:r>
          </w:p>
        </w:tc>
        <w:tc>
          <w:tcPr>
            <w:tcW w:w="1852" w:type="dxa"/>
          </w:tcPr>
          <w:p w:rsidR="005B6C45" w:rsidRPr="005B6C45" w:rsidRDefault="005B6C45" w:rsidP="004F22A0">
            <w:pPr>
              <w:pStyle w:val="TableParagraph"/>
              <w:rPr>
                <w:rFonts w:ascii="Arial" w:hAnsi="Arial" w:cs="Arial"/>
                <w:sz w:val="18"/>
                <w:szCs w:val="18"/>
              </w:rPr>
            </w:pPr>
            <w:r w:rsidRPr="005B6C45">
              <w:rPr>
                <w:rFonts w:ascii="Arial" w:hAnsi="Arial" w:cs="Arial"/>
                <w:sz w:val="18"/>
                <w:szCs w:val="18"/>
              </w:rPr>
              <w:t>Miltenberg</w:t>
            </w:r>
          </w:p>
        </w:tc>
        <w:tc>
          <w:tcPr>
            <w:tcW w:w="870" w:type="dxa"/>
          </w:tcPr>
          <w:p w:rsidR="005B6C45" w:rsidRPr="005B6C45" w:rsidRDefault="005B6C45" w:rsidP="005B6C45">
            <w:pPr>
              <w:pStyle w:val="TableParagraph"/>
              <w:ind w:left="105"/>
              <w:jc w:val="center"/>
              <w:rPr>
                <w:rFonts w:ascii="Arial" w:hAnsi="Arial" w:cs="Arial"/>
                <w:sz w:val="18"/>
                <w:szCs w:val="18"/>
              </w:rPr>
            </w:pPr>
            <w:r w:rsidRPr="005B6C45">
              <w:rPr>
                <w:rFonts w:ascii="Arial" w:hAnsi="Arial" w:cs="Arial"/>
                <w:sz w:val="18"/>
                <w:szCs w:val="18"/>
              </w:rPr>
              <w:t>24</w:t>
            </w:r>
          </w:p>
        </w:tc>
        <w:tc>
          <w:tcPr>
            <w:tcW w:w="1684" w:type="dxa"/>
          </w:tcPr>
          <w:p w:rsidR="005B6C45" w:rsidRPr="005B6C45" w:rsidRDefault="005B6C45" w:rsidP="004F22A0">
            <w:pPr>
              <w:pStyle w:val="TableParagraph"/>
              <w:ind w:left="102"/>
              <w:rPr>
                <w:rFonts w:ascii="Arial" w:hAnsi="Arial" w:cs="Arial"/>
                <w:sz w:val="18"/>
                <w:szCs w:val="18"/>
              </w:rPr>
            </w:pPr>
            <w:r w:rsidRPr="005B6C45">
              <w:rPr>
                <w:rFonts w:ascii="Arial" w:hAnsi="Arial" w:cs="Arial"/>
                <w:sz w:val="18"/>
                <w:szCs w:val="18"/>
              </w:rPr>
              <w:t>Würzburg</w:t>
            </w:r>
          </w:p>
        </w:tc>
        <w:tc>
          <w:tcPr>
            <w:tcW w:w="712" w:type="dxa"/>
          </w:tcPr>
          <w:p w:rsidR="005B6C45" w:rsidRPr="005B6C45" w:rsidRDefault="005B6C45" w:rsidP="005B6C45">
            <w:pPr>
              <w:pStyle w:val="TableParagraph"/>
              <w:ind w:left="103"/>
              <w:jc w:val="center"/>
              <w:rPr>
                <w:rFonts w:ascii="Arial" w:hAnsi="Arial" w:cs="Arial"/>
                <w:sz w:val="18"/>
                <w:szCs w:val="18"/>
              </w:rPr>
            </w:pPr>
            <w:r w:rsidRPr="005B6C45">
              <w:rPr>
                <w:rFonts w:ascii="Arial" w:hAnsi="Arial" w:cs="Arial"/>
                <w:sz w:val="18"/>
                <w:szCs w:val="18"/>
              </w:rPr>
              <w:t>20</w:t>
            </w:r>
          </w:p>
        </w:tc>
      </w:tr>
    </w:tbl>
    <w:p w:rsidR="00013B61" w:rsidRDefault="00013B61" w:rsidP="00013B61">
      <w:pPr>
        <w:pStyle w:val="LTAntwortRessortText"/>
      </w:pPr>
      <w:r>
        <w:t>Solche Impfaktionen können entweder im Impfzentrum durch Zuweisung bestimmter</w:t>
      </w:r>
      <w:r w:rsidR="00965CBC">
        <w:t xml:space="preserve"> </w:t>
      </w:r>
      <w:r>
        <w:t>Terminslots für Sammelimpfungen erfolgen oder durch den Einsatz mobiler Impfteams</w:t>
      </w:r>
      <w:r w:rsidR="00965CBC">
        <w:t xml:space="preserve"> </w:t>
      </w:r>
      <w:r>
        <w:t>in/bei den Räumlichkeiten der Schule, gegebenenfalls auch durch Impfbusse.</w:t>
      </w:r>
      <w:r w:rsidR="005B6C45">
        <w:t xml:space="preserve"> </w:t>
      </w:r>
      <w:r>
        <w:t>Hierfür kommt es auf die Gegebenheiten vor Ort an (zur Verfügung stehende Räumlichkeiten,</w:t>
      </w:r>
      <w:r w:rsidR="00965CBC">
        <w:t xml:space="preserve"> </w:t>
      </w:r>
      <w:r>
        <w:t>voraussichtliche Anzahl der Impfinteressenten, Entfernung des Impfzentrums</w:t>
      </w:r>
      <w:r w:rsidR="00965CBC">
        <w:t xml:space="preserve"> </w:t>
      </w:r>
      <w:r>
        <w:t>vom Schulort, personelle Aufstellung und Kapazitäten des Impfzentrums). Ob</w:t>
      </w:r>
      <w:r w:rsidR="00965CBC">
        <w:t xml:space="preserve"> </w:t>
      </w:r>
      <w:r>
        <w:t>und welche Art von Reihenimpfungen angeboten werden, obliegt daher der individuellen</w:t>
      </w:r>
      <w:r w:rsidR="00965CBC">
        <w:t xml:space="preserve"> </w:t>
      </w:r>
      <w:r>
        <w:t>Abstimmung zwischen den Schulen und den Impfzentren vor Ort im Einzelfall.</w:t>
      </w:r>
    </w:p>
    <w:p w:rsidR="00013B61" w:rsidRDefault="00013B61" w:rsidP="00013B61">
      <w:pPr>
        <w:pStyle w:val="LTAntwortRessortText"/>
      </w:pPr>
      <w:r>
        <w:t>Erkenntnisse darüber, welche einzelnen Schulen von mobilen Impfteams besucht</w:t>
      </w:r>
      <w:r w:rsidR="00965CBC">
        <w:t xml:space="preserve"> </w:t>
      </w:r>
      <w:r>
        <w:t>wurden oder besucht werden sollen, liegen beim StMGP nicht vor. Für die Impfstrategie</w:t>
      </w:r>
      <w:r w:rsidR="00965CBC">
        <w:t xml:space="preserve"> </w:t>
      </w:r>
      <w:r>
        <w:t>ist lediglich die Gesamtzahl der Aktionen und der in diesem Rahmen geimpften</w:t>
      </w:r>
      <w:r w:rsidR="00965CBC">
        <w:t xml:space="preserve"> </w:t>
      </w:r>
      <w:r>
        <w:t>Schülerinnen und Schüler maßgeblich.</w:t>
      </w:r>
    </w:p>
    <w:p w:rsidR="00013B61" w:rsidRDefault="00013B61" w:rsidP="00013B61">
      <w:pPr>
        <w:pStyle w:val="LTAntwortRessortText"/>
      </w:pPr>
      <w:r>
        <w:t>Eine solche Abfrage war in der Kürze der Zeit und mit Blick auf den für die Schulen</w:t>
      </w:r>
      <w:r w:rsidR="00965CBC">
        <w:t xml:space="preserve"> </w:t>
      </w:r>
      <w:r>
        <w:t>damit verbundenen erheblichen Verwaltungsaufwand auch durch das Staatsministerium</w:t>
      </w:r>
      <w:r w:rsidR="00965CBC">
        <w:t xml:space="preserve"> </w:t>
      </w:r>
      <w:r>
        <w:t>für Unterricht und Kultus nicht möglich.</w:t>
      </w:r>
    </w:p>
    <w:p w:rsidR="00013B61" w:rsidRDefault="005B6C45" w:rsidP="00541994">
      <w:pPr>
        <w:pStyle w:val="LTAntwortRessortText"/>
      </w:pPr>
      <w:r>
        <w:t xml:space="preserve">*) Von einem Abdruck wurde abgesehen. </w:t>
      </w:r>
      <w:r w:rsidR="00395F52">
        <w:t>Die Anlage</w:t>
      </w:r>
      <w:r>
        <w:t xml:space="preserve"> ist als pdf-Dokument </w:t>
      </w:r>
      <w:hyperlink r:id="rId18" w:history="1">
        <w:r w:rsidRPr="009110B1">
          <w:rPr>
            <w:rStyle w:val="LTHyperlinkZchn"/>
            <w:b w:val="0"/>
          </w:rPr>
          <w:t>hier</w:t>
        </w:r>
      </w:hyperlink>
      <w:r>
        <w:t xml:space="preserve"> einsehbar.</w:t>
      </w:r>
      <w:bookmarkStart w:id="50" w:name="Frage_Nr_24_Ende"/>
      <w:bookmarkEnd w:id="50"/>
      <w:r w:rsidR="00013B61">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Abgeordneter</w:t>
            </w:r>
            <w:r>
              <w:rPr>
                <w:b/>
              </w:rPr>
              <w:br/>
              <w:t>Maximilian</w:t>
            </w:r>
            <w:r>
              <w:rPr>
                <w:b/>
              </w:rPr>
              <w:br/>
              <w:t>Deisenhofer</w:t>
            </w:r>
            <w:r>
              <w:rPr>
                <w:b/>
              </w:rPr>
              <w:br/>
            </w:r>
            <w:r>
              <w:t>(BÜNDNIS 90/DIE GRÜNEN)</w:t>
            </w:r>
            <w:bookmarkStart w:id="51" w:name="Frage_Nr_25"/>
            <w:bookmarkEnd w:id="51"/>
          </w:p>
        </w:tc>
        <w:tc>
          <w:tcPr>
            <w:tcW w:w="5733" w:type="dxa"/>
          </w:tcPr>
          <w:p w:rsidR="0049313C" w:rsidRPr="00D0635E" w:rsidRDefault="0049313C" w:rsidP="00D0635E">
            <w:pPr>
              <w:pStyle w:val="LTAnfrageText"/>
            </w:pPr>
            <w:r w:rsidRPr="00D0635E">
              <w:t>Ich frage die Staatsregierung, wie viele sogenannte e-Sessions zur Fortbildung von Lehrkräften im Bereich digitaler Bildung haben seit März 2020 stattgefunden, wie viele verschiedene Lehrkräfte (Einzelpersonen) haben das Angebot wahrgenommen (bitte in absoluten Zahlen und Prozent angeben) und wie bewertet die Staatsregierung eine Weiterbildungspflicht zu Digitaler Bildung?</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rsidRPr="00142F06">
        <w:rPr>
          <w:spacing w:val="-2"/>
        </w:rPr>
        <w:t>An der im August 2020 gegründeten Stabsstelle Medien.Pädagogik.Didaktik.</w:t>
      </w:r>
      <w:r w:rsidR="000C0237" w:rsidRPr="00142F06">
        <w:rPr>
          <w:spacing w:val="-2"/>
        </w:rPr>
        <w:t>|</w:t>
      </w:r>
      <w:r w:rsidR="00142F06" w:rsidRPr="00142F06">
        <w:rPr>
          <w:spacing w:val="-2"/>
        </w:rPr>
        <w:t> </w:t>
      </w:r>
      <w:r w:rsidRPr="00142F06">
        <w:rPr>
          <w:spacing w:val="-2"/>
        </w:rPr>
        <w:t>eSessions</w:t>
      </w:r>
      <w:r w:rsidR="00762CD5">
        <w:t xml:space="preserve"> </w:t>
      </w:r>
      <w:r w:rsidR="00395F52">
        <w:t>zentral –</w:t>
      </w:r>
      <w:r>
        <w:t xml:space="preserve"> regional der Akademie für Lehrerfortbildung und Personalführung</w:t>
      </w:r>
      <w:r w:rsidR="00762CD5">
        <w:t xml:space="preserve"> </w:t>
      </w:r>
      <w:r>
        <w:t>(ALP) Dillingen konnten seit September 2020 bis einschließlich Freitag, den</w:t>
      </w:r>
      <w:r w:rsidR="00762CD5">
        <w:t xml:space="preserve"> </w:t>
      </w:r>
      <w:r w:rsidR="00395F52">
        <w:t>19.11.2021, 1 </w:t>
      </w:r>
      <w:r>
        <w:t>476 eSessions mit 203</w:t>
      </w:r>
      <w:r w:rsidR="00395F52">
        <w:t> 411 Teilnahmen durch 46 </w:t>
      </w:r>
      <w:r>
        <w:t>902 Lehrkräfte verzeichnet</w:t>
      </w:r>
      <w:r w:rsidR="00762CD5">
        <w:t xml:space="preserve"> </w:t>
      </w:r>
      <w:r>
        <w:t>werden. Eine Beantwortung in Bezug auf alle eSession-Angebote der Staatlichen</w:t>
      </w:r>
      <w:r w:rsidR="00762CD5">
        <w:t xml:space="preserve"> </w:t>
      </w:r>
      <w:r>
        <w:t>Lehrerfortbildung zu Digitaler Bildung ist im Rahmen der gegebenen Frist nicht</w:t>
      </w:r>
      <w:r w:rsidR="00762CD5">
        <w:t xml:space="preserve"> </w:t>
      </w:r>
      <w:r>
        <w:t>möglich.</w:t>
      </w:r>
    </w:p>
    <w:p w:rsidR="00013B61" w:rsidRDefault="00013B61" w:rsidP="00013B61">
      <w:pPr>
        <w:pStyle w:val="LTAntwortRessortText"/>
      </w:pPr>
      <w:r>
        <w:t xml:space="preserve">Für staatliche Lehrkräfte besteht eine Fortbildungspflicht als </w:t>
      </w:r>
      <w:r w:rsidR="00E832CF">
        <w:t>„</w:t>
      </w:r>
      <w:r>
        <w:t>Allgemeine Dienstpflicht</w:t>
      </w:r>
      <w:r w:rsidR="00762CD5">
        <w:t xml:space="preserve"> </w:t>
      </w:r>
      <w:r>
        <w:t>der Lehrkraft</w:t>
      </w:r>
      <w:r w:rsidR="00E832CF">
        <w:t>“</w:t>
      </w:r>
      <w:r>
        <w:t>. Diese ist in Art. 20 Abs. 2 Bayerisches Lehrerbildungsgesetz</w:t>
      </w:r>
      <w:r w:rsidR="00762CD5">
        <w:t xml:space="preserve"> </w:t>
      </w:r>
      <w:r>
        <w:t xml:space="preserve">(BayLBG) in Verbindung mit § 9 Abs. 2 der Lehrerdienstordnung (LDO) und der </w:t>
      </w:r>
      <w:r w:rsidR="00395F52">
        <w:t>K</w:t>
      </w:r>
      <w:r>
        <w:t>ultusministeriellen</w:t>
      </w:r>
      <w:r w:rsidR="00762CD5">
        <w:t xml:space="preserve"> </w:t>
      </w:r>
      <w:r>
        <w:t>Bekanntmachung (KMBek) zur Lehrerfortbildung in Bayern (KWMBl</w:t>
      </w:r>
      <w:r w:rsidR="00762CD5">
        <w:t xml:space="preserve"> </w:t>
      </w:r>
      <w:r>
        <w:t>I Nr. 16/2002, S. 260-263) geregelt und umfasst alle Bereiche der dienstlichen Tätigkeit,</w:t>
      </w:r>
      <w:r w:rsidR="00762CD5">
        <w:t xml:space="preserve"> </w:t>
      </w:r>
      <w:r>
        <w:t>somit auch den Bereich der digitalen Bildung.</w:t>
      </w:r>
    </w:p>
    <w:p w:rsidR="00013B61" w:rsidRDefault="00013B61">
      <w:bookmarkStart w:id="52" w:name="Frage_Nr_25_Ende"/>
      <w:bookmarkEnd w:id="52"/>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49313C" w:rsidTr="0049313C">
        <w:tc>
          <w:tcPr>
            <w:tcW w:w="1905" w:type="dxa"/>
          </w:tcPr>
          <w:p w:rsidR="0049313C" w:rsidRDefault="0049313C" w:rsidP="0049313C">
            <w:pPr>
              <w:pStyle w:val="LTAnfrageInitiator"/>
            </w:pPr>
            <w:r>
              <w:lastRenderedPageBreak/>
              <w:t>Abgeordneter</w:t>
            </w:r>
            <w:r>
              <w:rPr>
                <w:b/>
              </w:rPr>
              <w:br/>
              <w:t>Matthias</w:t>
            </w:r>
            <w:r>
              <w:rPr>
                <w:b/>
              </w:rPr>
              <w:br/>
              <w:t>Fischbach</w:t>
            </w:r>
            <w:r>
              <w:rPr>
                <w:b/>
              </w:rPr>
              <w:br/>
            </w:r>
            <w:r>
              <w:t>(FDP)</w:t>
            </w:r>
            <w:bookmarkStart w:id="53" w:name="Frage_Nr_26"/>
            <w:bookmarkEnd w:id="53"/>
          </w:p>
        </w:tc>
        <w:tc>
          <w:tcPr>
            <w:tcW w:w="5711" w:type="dxa"/>
          </w:tcPr>
          <w:p w:rsidR="0049313C" w:rsidRPr="00D0635E" w:rsidRDefault="0049313C" w:rsidP="00D0635E">
            <w:pPr>
              <w:pStyle w:val="LTAnfrageText"/>
            </w:pPr>
            <w:r w:rsidRPr="00D0635E">
              <w:t>Aufgrund mehrerer kritischer Berichte zum Personaleinsatz im Rahmen des Förderprogramms „gemeinsam.Brücken.bauen“ frage ich die Staatsregierung, welche Struktur weist der Personaleinsatz im Verlauf der Umsetzung von „gemeinsam.Brücken.bauen“ an den Schulen in Bayern auf (bitte auf die Anzahl der Beschäftigten aufgeschlüsselt nach Anstellungsverhältnis im Zeitverlauf eingehen und möglichst nach Monaten untergliedern), gibt es einen Bearbeitungsstau bezüglich dieses Personaleinsatzes in den personalverwaltenden Stellen (Landesamt für Schule bzw. Regierung), sodass Personal faktisch bereits in den Schulen eingesetzt wird, aber noch nicht alle formellen bzw. rechtlichen Grundlagen dafür geschaffen worden sind (bitte anhand der mittleren Bearbeitungsdauer und der Anzahl anhängiger Anträge bzw. Anstellungsverfahren aufgeschlüsselt nach den einzelnen Bezirksregierungen und dem Landesamt für Schule darstellen) und welche Folgen hat ein entsprechender Arbeitseinsatz ohne komplett abgeschlossenem Anstellungsprozess für die Betroffenen (bitte insbesondere auf Auszahlungen bzw. Entlohnungen, Meldung und Versicherungsstatus bei Unfall-, Arbeitslosen-, Kranken-, Renten- und Pflegeversicherung sowie weitere rechtliche und praktische Folgen eingehen)?</w:t>
            </w:r>
          </w:p>
        </w:tc>
        <w:tc>
          <w:tcPr>
            <w:tcW w:w="5711"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Die Vertragsausfertigung der Anstellungsverträge der Unterstützungskräfte im Rahmen</w:t>
      </w:r>
      <w:r w:rsidR="00583E8C">
        <w:t xml:space="preserve"> </w:t>
      </w:r>
      <w:r>
        <w:t xml:space="preserve">von </w:t>
      </w:r>
      <w:r w:rsidR="00E832CF">
        <w:t>„</w:t>
      </w:r>
      <w:r>
        <w:t>gemeinsam.Brücken.bauen</w:t>
      </w:r>
      <w:r w:rsidR="00E832CF">
        <w:t>“</w:t>
      </w:r>
      <w:r>
        <w:t xml:space="preserve"> fällt im Bereich der Realschulen, Gymnasien</w:t>
      </w:r>
      <w:r w:rsidR="00583E8C">
        <w:t xml:space="preserve"> </w:t>
      </w:r>
      <w:r>
        <w:t>sowie der Beruflichen Oberschulen in den Zuständigkeitsbereich des Landesamts für</w:t>
      </w:r>
      <w:r w:rsidR="00583E8C">
        <w:t xml:space="preserve"> </w:t>
      </w:r>
      <w:r>
        <w:t>Schule bzw. im Bereich der sonstigen Schularten in den Zuständigkeitsbereich der</w:t>
      </w:r>
      <w:r w:rsidR="00583E8C">
        <w:t xml:space="preserve"> </w:t>
      </w:r>
      <w:r>
        <w:t>Regierungen. Zur Beantwortung der Frage, wie viele Beschäftigte im Rahmen von</w:t>
      </w:r>
      <w:r w:rsidR="00583E8C">
        <w:t xml:space="preserve"> </w:t>
      </w:r>
      <w:r w:rsidR="00E832CF">
        <w:t>„</w:t>
      </w:r>
      <w:r>
        <w:t>gemeinsam.Brücken.bauen</w:t>
      </w:r>
      <w:r w:rsidR="00E832CF">
        <w:t>“</w:t>
      </w:r>
      <w:r>
        <w:t xml:space="preserve"> an den Schulen aufgeschlüsselt nach Anstellungsverhältnis</w:t>
      </w:r>
      <w:r w:rsidR="00583E8C">
        <w:t xml:space="preserve"> </w:t>
      </w:r>
      <w:r>
        <w:t>sowie in Aufgliederung nach den einzelnen Monaten tätig sind bzw. waren,</w:t>
      </w:r>
      <w:r w:rsidR="00583E8C">
        <w:t xml:space="preserve"> </w:t>
      </w:r>
      <w:r>
        <w:t xml:space="preserve">wäre daher eine Befragung aller </w:t>
      </w:r>
      <w:r w:rsidR="000B7898">
        <w:t>Regierungen sowie des Landesamt</w:t>
      </w:r>
      <w:r>
        <w:t>s für Schule erforderlich.</w:t>
      </w:r>
    </w:p>
    <w:p w:rsidR="00013B61" w:rsidRDefault="00013B61" w:rsidP="000A634A">
      <w:pPr>
        <w:pStyle w:val="LTAntwortRessortText"/>
        <w:spacing w:before="0"/>
      </w:pPr>
      <w:r>
        <w:t>Dies ist in der Kürze der Zeit, die für die Beantwortung dieser Anfrage zum</w:t>
      </w:r>
      <w:r w:rsidR="00583E8C">
        <w:t xml:space="preserve"> </w:t>
      </w:r>
      <w:r>
        <w:t>Plenum zur Verfügung steht, nicht darstellbar.</w:t>
      </w:r>
    </w:p>
    <w:p w:rsidR="00013B61" w:rsidRDefault="00013B61" w:rsidP="000A634A">
      <w:pPr>
        <w:pStyle w:val="LTAntwortRessortText"/>
        <w:spacing w:before="0"/>
      </w:pPr>
      <w:r>
        <w:t>Aufgrund der hohen Anzahl von Einstellungen zum selben Zeitpunkt bzw. Zeitraum</w:t>
      </w:r>
      <w:r w:rsidR="00583E8C">
        <w:t xml:space="preserve"> </w:t>
      </w:r>
      <w:r>
        <w:t>war es nicht möglich, alle Verträge gleichzeitig und kurzfristig auszufertigen. In diesem</w:t>
      </w:r>
      <w:r w:rsidR="00583E8C">
        <w:t xml:space="preserve"> </w:t>
      </w:r>
      <w:r>
        <w:t>Zusammenhang haben jedoch die Regierungen bzw. das Landesamt für Schule</w:t>
      </w:r>
      <w:r w:rsidR="00583E8C">
        <w:t xml:space="preserve"> </w:t>
      </w:r>
      <w:r w:rsidR="00395F52">
        <w:t>–</w:t>
      </w:r>
      <w:r>
        <w:t xml:space="preserve"> sofern alle erforderlichen Unterlagen seitens der Betroffenen vorgelegt wurden </w:t>
      </w:r>
      <w:r w:rsidR="00395F52">
        <w:t>–</w:t>
      </w:r>
      <w:r w:rsidR="00583E8C">
        <w:t xml:space="preserve"> </w:t>
      </w:r>
      <w:r>
        <w:t>zumindest versucht, die Fälle soweit vorzubereiten, dass Abschlagszahlungen erfolgen</w:t>
      </w:r>
      <w:r w:rsidR="00583E8C">
        <w:t xml:space="preserve"> </w:t>
      </w:r>
      <w:r>
        <w:t>konnten</w:t>
      </w:r>
      <w:r w:rsidR="00395F52">
        <w:t>. Zudem ist es in Einzelfällen –</w:t>
      </w:r>
      <w:r>
        <w:t xml:space="preserve"> ebenfalls aus Gründen der Vielzahl der</w:t>
      </w:r>
      <w:r w:rsidR="00583E8C">
        <w:t xml:space="preserve"> </w:t>
      </w:r>
      <w:r>
        <w:t xml:space="preserve">zu bearbeitenden Einzelfälle </w:t>
      </w:r>
      <w:r w:rsidR="000B7898">
        <w:t>–</w:t>
      </w:r>
      <w:r>
        <w:t xml:space="preserve"> auch bei den zuständigen Landesämtern der Finanzen</w:t>
      </w:r>
      <w:r w:rsidR="00583E8C">
        <w:t xml:space="preserve"> </w:t>
      </w:r>
      <w:r>
        <w:t>zu Verzögerungen bei der Abwicklung und Auszahlung gekommen. Zur Beantwortung</w:t>
      </w:r>
      <w:r w:rsidR="00583E8C">
        <w:t xml:space="preserve"> </w:t>
      </w:r>
      <w:r>
        <w:t>der Frage nach der Anzahl dieser Fälle sowie nach der mittleren Bearbeitungsdauer</w:t>
      </w:r>
      <w:r w:rsidR="00583E8C">
        <w:t xml:space="preserve"> </w:t>
      </w:r>
      <w:r>
        <w:t>wäre ebenfalls eine Befragung aller Regierungen sowie des Landesamts</w:t>
      </w:r>
      <w:r w:rsidR="00583E8C">
        <w:t xml:space="preserve"> </w:t>
      </w:r>
      <w:r>
        <w:t>für Schule erforderlich. Dies ist in der Kürze der Zeit, die für die Beantwortung</w:t>
      </w:r>
      <w:r w:rsidR="00583E8C">
        <w:t xml:space="preserve"> </w:t>
      </w:r>
      <w:r>
        <w:t>dieser Anfrage zum Plenum zur Verfügung steht, nicht darstellbar. Darüber hinaus</w:t>
      </w:r>
      <w:r w:rsidR="00583E8C">
        <w:t xml:space="preserve"> </w:t>
      </w:r>
      <w:r>
        <w:t>wäre eine solche Abfrage bei den Regierungen bzw. beim Landesamt für Schule mit</w:t>
      </w:r>
      <w:r w:rsidR="00583E8C">
        <w:t xml:space="preserve"> </w:t>
      </w:r>
      <w:r>
        <w:t>einem sehr hohen zusätzlichen Verwaltungsaufwand verbunden, sodass die dringenden</w:t>
      </w:r>
      <w:r w:rsidR="00583E8C">
        <w:t xml:space="preserve"> </w:t>
      </w:r>
      <w:r>
        <w:t>weiter erforderlichen Arbeiten im Zusammenhang mit Vertragsabwicklungen</w:t>
      </w:r>
      <w:r w:rsidR="00583E8C">
        <w:t xml:space="preserve"> </w:t>
      </w:r>
      <w:r w:rsidR="00395F52">
        <w:t>nicht weiter</w:t>
      </w:r>
      <w:r>
        <w:t>verfolgt werden könnten.</w:t>
      </w:r>
    </w:p>
    <w:p w:rsidR="00013B61" w:rsidRDefault="00013B61" w:rsidP="000A634A">
      <w:pPr>
        <w:pStyle w:val="LTAntwortRessortText"/>
        <w:spacing w:before="0"/>
      </w:pPr>
      <w:r>
        <w:lastRenderedPageBreak/>
        <w:t>Ein Arbeitseinsatz ohne komplett abgeschlossenen Anstellungsprozess kann dazu</w:t>
      </w:r>
      <w:r w:rsidR="00583E8C">
        <w:t xml:space="preserve"> </w:t>
      </w:r>
      <w:r>
        <w:t>führen, dass zunächst kein oder kein vollständiges Arbeitsentgelt gezahlt wird. Die</w:t>
      </w:r>
      <w:r w:rsidR="00583E8C">
        <w:t xml:space="preserve"> </w:t>
      </w:r>
      <w:r>
        <w:t>personalverwaltenden Stellen sind jedoch bemüht, in möglichst vielen Fällen Abschlagszahlungen</w:t>
      </w:r>
      <w:r w:rsidR="00583E8C">
        <w:t xml:space="preserve"> </w:t>
      </w:r>
      <w:r>
        <w:t>zu leisten. Dies kommt insbesondere bei Beschäftigten in Betracht,</w:t>
      </w:r>
      <w:r w:rsidR="00583E8C">
        <w:t xml:space="preserve"> </w:t>
      </w:r>
      <w:r>
        <w:t>die bereits zuvor als Aushilfslehrkraft befristet beschäftigt waren, da in diesen</w:t>
      </w:r>
      <w:r w:rsidR="00583E8C">
        <w:t xml:space="preserve"> </w:t>
      </w:r>
      <w:r>
        <w:t>Fällen weniger Unterlagen benötigt werden und der Anstellungsprozess vereinfacht</w:t>
      </w:r>
      <w:r w:rsidR="00583E8C">
        <w:t xml:space="preserve"> </w:t>
      </w:r>
      <w:r>
        <w:t>abgewickelt werden kann. Neben der sehr großen Zahl von Einstellungen, die zu</w:t>
      </w:r>
      <w:r w:rsidR="00583E8C">
        <w:t xml:space="preserve"> </w:t>
      </w:r>
      <w:r>
        <w:t xml:space="preserve">Schuljahresbeginn vorzunehmen sind, können auch externe Faktoren, wie </w:t>
      </w:r>
      <w:r w:rsidR="004A5D9A">
        <w:t>z. B.</w:t>
      </w:r>
      <w:r>
        <w:t xml:space="preserve"> unvollständige</w:t>
      </w:r>
      <w:r w:rsidR="00583E8C">
        <w:t xml:space="preserve"> </w:t>
      </w:r>
      <w:r>
        <w:t>Unterlagen, zu einer Verzögerung des Anstellungsprozesses bzw. zu einer</w:t>
      </w:r>
      <w:r w:rsidR="00583E8C">
        <w:t xml:space="preserve"> </w:t>
      </w:r>
      <w:r>
        <w:t>fehlenden Entgeltzahlung führen.</w:t>
      </w:r>
    </w:p>
    <w:p w:rsidR="00013B61" w:rsidRDefault="00013B61" w:rsidP="000A634A">
      <w:pPr>
        <w:pStyle w:val="LTAntwortRessortText"/>
        <w:spacing w:before="0"/>
      </w:pPr>
      <w:r>
        <w:t>Die Lohnabrechnung selbst wird durch das Landesamt für Finanzen vorgenommen.</w:t>
      </w:r>
    </w:p>
    <w:p w:rsidR="00013B61" w:rsidRDefault="00013B61" w:rsidP="000A634A">
      <w:pPr>
        <w:pStyle w:val="LTAntwortRessortText"/>
        <w:spacing w:before="0"/>
      </w:pPr>
      <w:r>
        <w:t>Die Anmeldung zur Kranken-, Renten-, Pflege- und Arbeitslosenversicherung erfolgt</w:t>
      </w:r>
      <w:r w:rsidR="00583E8C">
        <w:t xml:space="preserve"> </w:t>
      </w:r>
      <w:r w:rsidR="00395F52">
        <w:t>–</w:t>
      </w:r>
      <w:r>
        <w:t xml:space="preserve"> wen</w:t>
      </w:r>
      <w:r w:rsidR="00395F52">
        <w:t>n Versicherungspflicht besteht –</w:t>
      </w:r>
      <w:r>
        <w:t xml:space="preserve"> rückwirkend ab dem Beschäftigungsbeginn.</w:t>
      </w:r>
    </w:p>
    <w:p w:rsidR="00013B61" w:rsidRDefault="00013B61" w:rsidP="000A634A">
      <w:pPr>
        <w:pStyle w:val="LTAntwortRessortText"/>
        <w:spacing w:before="0"/>
      </w:pPr>
      <w:r>
        <w:t>Davon unabhängig besteht (ohne Anmeldung) Unfallversicherungsschutz ebenfalls</w:t>
      </w:r>
      <w:r w:rsidR="00583E8C">
        <w:t xml:space="preserve"> </w:t>
      </w:r>
      <w:r>
        <w:t>ab dem Beschäftigungsbeginn.</w:t>
      </w:r>
    </w:p>
    <w:p w:rsidR="00013B61" w:rsidRDefault="00013B61">
      <w:bookmarkStart w:id="54" w:name="Frage_Nr_26_Ende"/>
      <w:bookmarkEnd w:id="5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49313C" w:rsidTr="0049313C">
        <w:tc>
          <w:tcPr>
            <w:tcW w:w="1896" w:type="dxa"/>
          </w:tcPr>
          <w:p w:rsidR="0049313C" w:rsidRDefault="0049313C" w:rsidP="0049313C">
            <w:pPr>
              <w:pStyle w:val="LTAnfrageInitiator"/>
            </w:pPr>
            <w:r>
              <w:lastRenderedPageBreak/>
              <w:t>Abgeordneter</w:t>
            </w:r>
            <w:r>
              <w:rPr>
                <w:b/>
              </w:rPr>
              <w:br/>
              <w:t>Thomas</w:t>
            </w:r>
            <w:r>
              <w:rPr>
                <w:b/>
              </w:rPr>
              <w:br/>
              <w:t>Gehring</w:t>
            </w:r>
            <w:r>
              <w:rPr>
                <w:b/>
              </w:rPr>
              <w:br/>
            </w:r>
            <w:r>
              <w:t>(BÜNDNIS 90/DIE GRÜNEN)</w:t>
            </w:r>
            <w:bookmarkStart w:id="55" w:name="Frage_Nr_27"/>
            <w:bookmarkEnd w:id="55"/>
          </w:p>
        </w:tc>
        <w:tc>
          <w:tcPr>
            <w:tcW w:w="5720" w:type="dxa"/>
          </w:tcPr>
          <w:p w:rsidR="0049313C" w:rsidRPr="00D0635E" w:rsidRDefault="0049313C" w:rsidP="00D0635E">
            <w:pPr>
              <w:pStyle w:val="LTAnfrageText"/>
            </w:pPr>
            <w:r w:rsidRPr="00D0635E">
              <w:t xml:space="preserve">Ich frage die Staatsregierung, wie erklärt sie, dass befristet angestellte Lehrkräfte, Dritt- und Aushilfskräfte, Teamlehrkräfte, ebenso wie diejenigen, die während der Sommerferien bei der sogenannten Sommerschule gearbeitet haben, teilweise sehr verspätet oder noch gar nicht ihr Gehalt bekommen haben, welche Maßnahmen wird die Staatsregierung ergreifen, um diese Kräfte jetzt und in Zukunft zeitnah zu bezahlen und warum werden Vorschläge wie z. B. personelle Veränderungen in den Bezirksregierungen, Vereinfachungen im Erfassungssystem, Verträge zu Arbeitsbeginn oder Verlängerung der befristeten Ein-Jahres-Verträge nicht umgesetzt? </w:t>
            </w:r>
          </w:p>
        </w:tc>
        <w:tc>
          <w:tcPr>
            <w:tcW w:w="5720"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Die Vertragsausfertigung der Arbeitsverträge der genannten Personengruppen fällt</w:t>
      </w:r>
      <w:r w:rsidR="008B34C8">
        <w:t xml:space="preserve"> </w:t>
      </w:r>
      <w:r>
        <w:t>im Bereich der Realschulen, Gymnasien sowie der Beruflichen Oberschulen in den</w:t>
      </w:r>
      <w:r w:rsidR="008B34C8">
        <w:t xml:space="preserve"> </w:t>
      </w:r>
      <w:r>
        <w:t>Zuständigkeitsbereich des Landesamts für Schule bzw. im Bereich der sonstigen</w:t>
      </w:r>
      <w:r w:rsidR="008B34C8">
        <w:t xml:space="preserve"> </w:t>
      </w:r>
      <w:r>
        <w:t>Schularten in den Zuständigkeitsbereich der Regierungen.</w:t>
      </w:r>
    </w:p>
    <w:p w:rsidR="00013B61" w:rsidRDefault="00013B61" w:rsidP="00013B61">
      <w:pPr>
        <w:pStyle w:val="LTAntwortRessortText"/>
      </w:pPr>
      <w:r>
        <w:t>Angesichts der sehr großen Zahl von zum Schuljahresbeginn zu erstellenden Arbeitsverträgen</w:t>
      </w:r>
      <w:r w:rsidR="008B34C8">
        <w:t xml:space="preserve"> </w:t>
      </w:r>
      <w:r>
        <w:t>stellt dies für die zuständigen personalverwaltenden Stellen jedes</w:t>
      </w:r>
      <w:r w:rsidR="008B34C8">
        <w:t xml:space="preserve"> </w:t>
      </w:r>
      <w:r>
        <w:t>Jahr eine große Herausforderung dar, die nur sukzessive bewältigt werden kann.</w:t>
      </w:r>
      <w:r w:rsidR="00F661BD">
        <w:t xml:space="preserve"> </w:t>
      </w:r>
      <w:r>
        <w:t>Durch die Fülle der den Unterricht ergänzenden Maßnahmen hat sich die Situation,</w:t>
      </w:r>
      <w:r w:rsidR="008B34C8">
        <w:t xml:space="preserve"> </w:t>
      </w:r>
      <w:r>
        <w:t>alle Verträge gleichzeitig und kurzfristig auszufertigen, dieses Jahr noch verschärft.</w:t>
      </w:r>
      <w:r w:rsidR="00F661BD">
        <w:t xml:space="preserve"> </w:t>
      </w:r>
      <w:r>
        <w:t xml:space="preserve">Die personalverwaltenden Stellen haben jedoch dafür gesorgt </w:t>
      </w:r>
      <w:r w:rsidR="00473B93">
        <w:t>–</w:t>
      </w:r>
      <w:r>
        <w:t xml:space="preserve"> sofern alle erforderlichen</w:t>
      </w:r>
      <w:r w:rsidR="008B34C8">
        <w:t xml:space="preserve"> </w:t>
      </w:r>
      <w:r>
        <w:t xml:space="preserve">Unterlagen seitens der Betroffenen vorgelegt wurden </w:t>
      </w:r>
      <w:r w:rsidR="00473B93">
        <w:t>–</w:t>
      </w:r>
      <w:r>
        <w:t xml:space="preserve"> die Fälle soweit vorzubereiten,</w:t>
      </w:r>
      <w:r w:rsidR="008B34C8">
        <w:t xml:space="preserve"> </w:t>
      </w:r>
      <w:r>
        <w:t>dass Abschlagszahlungen erfolgen konnten. Bedauerlicherweise ist es in</w:t>
      </w:r>
      <w:r w:rsidR="008B34C8">
        <w:t xml:space="preserve"> </w:t>
      </w:r>
      <w:r w:rsidR="00395F52">
        <w:t>Einzelfällen –</w:t>
      </w:r>
      <w:r>
        <w:t xml:space="preserve"> ebenfalls aus Gründen der Vielzahl de</w:t>
      </w:r>
      <w:r w:rsidR="00395F52">
        <w:t>r zu bearbeitenden Einzelfälle –</w:t>
      </w:r>
      <w:r w:rsidR="008B34C8">
        <w:t xml:space="preserve"> </w:t>
      </w:r>
      <w:r>
        <w:t>auch bei den zuständigen Landesämtern der Finanzen zu Verzögerungen bei der</w:t>
      </w:r>
      <w:r w:rsidR="008B34C8">
        <w:t xml:space="preserve"> </w:t>
      </w:r>
      <w:r>
        <w:t>Abwicklung und Auszahlung gekommen.</w:t>
      </w:r>
    </w:p>
    <w:p w:rsidR="00013B61" w:rsidRDefault="00013B61" w:rsidP="00013B61">
      <w:pPr>
        <w:pStyle w:val="LTAntwortRessortText"/>
      </w:pPr>
      <w:r>
        <w:t>Zur Verstärkung der Personalressourcen der zuständigen personalverwaltenden</w:t>
      </w:r>
      <w:r w:rsidR="00D70564">
        <w:t xml:space="preserve"> </w:t>
      </w:r>
      <w:r>
        <w:t>Stellen wurden durch das Staatsministerium für Unterricht und Kultus Mittel zur Verfügung</w:t>
      </w:r>
      <w:r w:rsidR="00D70564">
        <w:t xml:space="preserve"> </w:t>
      </w:r>
      <w:r>
        <w:t>gestellt, um zur Bewältigung der Arbeitsspitzen befristet zusätzliches Personal</w:t>
      </w:r>
      <w:r w:rsidR="00D70564">
        <w:t xml:space="preserve"> </w:t>
      </w:r>
      <w:r>
        <w:t>einzustellen.</w:t>
      </w:r>
    </w:p>
    <w:p w:rsidR="00013B61" w:rsidRDefault="00013B61" w:rsidP="00013B61">
      <w:pPr>
        <w:pStyle w:val="LTAntwortRessortText"/>
      </w:pPr>
      <w:r>
        <w:t>Vorschläge zur Beschleunigung bzw. Vereinfachung der sonstigen Verfahren werden</w:t>
      </w:r>
      <w:r w:rsidR="00D70564">
        <w:t xml:space="preserve"> </w:t>
      </w:r>
      <w:r>
        <w:t>kontinuierlich geprüft und nach Möglichkeit umgesetzt. Auch darüber hinaus streben</w:t>
      </w:r>
      <w:r w:rsidR="00D70564">
        <w:t xml:space="preserve"> </w:t>
      </w:r>
      <w:r>
        <w:t>die personalverwaltenden Stellen stets an, Prozesse effizienter auszugestalten und</w:t>
      </w:r>
      <w:r w:rsidR="00D70564">
        <w:t xml:space="preserve"> </w:t>
      </w:r>
      <w:r>
        <w:t>dadurch zu verbessern. Dies führt beispielsweise dazu, dass bei Weiterbeschäftigungen,</w:t>
      </w:r>
      <w:r w:rsidR="00D70564">
        <w:t xml:space="preserve"> </w:t>
      </w:r>
      <w:r>
        <w:t>also bei Verlängerungen von befristet abgeschlossenen Arbeitsverträgen, geringere</w:t>
      </w:r>
      <w:r w:rsidR="00D70564">
        <w:t xml:space="preserve"> </w:t>
      </w:r>
      <w:r>
        <w:t>Anforderungen an die vorzulegenden Unterlagen gestellt, Auszahlungen schneller</w:t>
      </w:r>
      <w:r w:rsidR="00D70564">
        <w:t xml:space="preserve"> </w:t>
      </w:r>
      <w:r>
        <w:t>veranlasst und Verträge einfacher erstellt werden können.</w:t>
      </w:r>
    </w:p>
    <w:p w:rsidR="00013B61" w:rsidRDefault="00013B61">
      <w:bookmarkStart w:id="56" w:name="Frage_Nr_27_Ende"/>
      <w:bookmarkEnd w:id="56"/>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49313C" w:rsidTr="0049313C">
        <w:tc>
          <w:tcPr>
            <w:tcW w:w="1846" w:type="dxa"/>
          </w:tcPr>
          <w:p w:rsidR="0049313C" w:rsidRDefault="0049313C" w:rsidP="0049313C">
            <w:pPr>
              <w:pStyle w:val="LTAnfrageInitiator"/>
            </w:pPr>
            <w:r>
              <w:lastRenderedPageBreak/>
              <w:t>Abgeordneter</w:t>
            </w:r>
            <w:r>
              <w:rPr>
                <w:b/>
              </w:rPr>
              <w:br/>
              <w:t>Ralf</w:t>
            </w:r>
            <w:r>
              <w:rPr>
                <w:b/>
              </w:rPr>
              <w:br/>
              <w:t>Stadler</w:t>
            </w:r>
            <w:r>
              <w:rPr>
                <w:b/>
              </w:rPr>
              <w:br/>
            </w:r>
            <w:r>
              <w:t>(AfD)</w:t>
            </w:r>
            <w:bookmarkStart w:id="57" w:name="Frage_Nr_28"/>
            <w:bookmarkEnd w:id="57"/>
          </w:p>
        </w:tc>
        <w:tc>
          <w:tcPr>
            <w:tcW w:w="5770" w:type="dxa"/>
          </w:tcPr>
          <w:p w:rsidR="0049313C" w:rsidRPr="00D0635E" w:rsidRDefault="0049313C" w:rsidP="00D0635E">
            <w:pPr>
              <w:pStyle w:val="LTAnfrageText"/>
            </w:pPr>
            <w:r w:rsidRPr="00D0635E">
              <w:t>Nachdem der Bayerische Jugendring (BJR) mit einem Budget von 5 Mio. Euro bayernweit 2021 in den Pfingst-, Sommer- und den Herbstferien zusätzliche Ferienangebote mit freizeitpädagogischer Ausrichtung koordinierte, um die Sozialkompetenz von Kindern wie Jugendlichen zu fördern, frage ich die Staatsregierung, in welchem Umfang sind die Fördermittel (5 Mio. Euro) vom BJR und dabei von seinen Mitgliedsorganisationen im Jahre 2021 ausgeschöpft worden (bitte unter genauer Angabe des Geldbetrags und hierbei jeweils tabellarisch aufgelistet und aufgeschlüsselt nach Pfingstferien, Sommerferien und Herbstferien und dabei jeweils nach der Art der einzelnen freizeitpädagogischen Fördermaßmaßnahmen/-veranstaltungen sowie den veranstaltenden Vereinen), wie viele freizeitpädagogische Fördermaßmaßnahmen/-veranstaltungen wurden beim BJR und seinen Mitgliedsorganisationen im Jahre 2021 beantragt und dann auch tatsächlich durchgeführt (bitte unter genauer Angabe aller einzelnen Veranstaltungen (beantragte und tatsächlich durchgeführte) und hierbei jeweils tabellarisch aufgelistet und aufgeschlüsselt nach Art der förderpädagogischen Maßnahme, der Dauer (1 Woche, 2 Wochen) der Teilnehmerzahl derselben und dabei den jeweils veranstaltenden Vereinen) und bis zu welchem Stichtag haben der BJR und seine Mitgliedsorganisationen nicht verbrauchte Fördermittel an das Staatsministerium für Unterricht und Kultus zurückzuzahlen (inkl. Informationen über eine eventuelle Prüfung durch den Bayerischen Obersten Rechnungshof entsprechend 91 Bayerische Haushaltsordnung – BayHO)?</w:t>
            </w:r>
          </w:p>
        </w:tc>
        <w:tc>
          <w:tcPr>
            <w:tcW w:w="5770" w:type="dxa"/>
          </w:tcPr>
          <w:p w:rsidR="0049313C" w:rsidRDefault="0049313C" w:rsidP="0049313C">
            <w:pPr>
              <w:pStyle w:val="LTAnfrageText"/>
              <w:spacing w:before="0"/>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Derzeit sind noch keine Angaben möglich, da der Verwendungsnachweis über die</w:t>
      </w:r>
      <w:r w:rsidR="001745CF">
        <w:t xml:space="preserve"> </w:t>
      </w:r>
      <w:r>
        <w:t>zur Verfügung gestellten Fördermittel für das Jahr 2021 noch nicht vorliegt. Die Verwendung</w:t>
      </w:r>
      <w:r w:rsidR="001745CF">
        <w:t xml:space="preserve"> </w:t>
      </w:r>
      <w:r>
        <w:t>der Zuwendung ist laut Zuwendungsbescheid vom 14.</w:t>
      </w:r>
      <w:r w:rsidR="00395F52">
        <w:t>0</w:t>
      </w:r>
      <w:r>
        <w:t>4.2021 bis spätestens</w:t>
      </w:r>
      <w:r w:rsidR="001745CF">
        <w:t xml:space="preserve"> </w:t>
      </w:r>
      <w:r>
        <w:t>30.06.2022 im Rahmen eines Gesamtverwendungsnachweises zu belegen. Der</w:t>
      </w:r>
      <w:r w:rsidR="001745CF">
        <w:t xml:space="preserve"> </w:t>
      </w:r>
      <w:r>
        <w:t>tatsächlich entstandene und zu finanzierende Fehlbedarf des Zuwendungsempfängers</w:t>
      </w:r>
      <w:r w:rsidR="001745CF">
        <w:t xml:space="preserve"> </w:t>
      </w:r>
      <w:r>
        <w:t>kann erst nach erfolgter Verwendungsnachweisprüfung festgestellt werden.</w:t>
      </w:r>
      <w:r w:rsidR="003255CC">
        <w:t xml:space="preserve"> </w:t>
      </w:r>
      <w:r>
        <w:t>Nach Vorlage und Prüfung des Verwendungsnachweises kann dem BJR mitgeteilt</w:t>
      </w:r>
      <w:r w:rsidR="001745CF">
        <w:t xml:space="preserve"> </w:t>
      </w:r>
      <w:r>
        <w:t>werden, ob bzw. welche Summe ggf. an den Freistaat Bayern zurückzuzahlen ist.</w:t>
      </w:r>
    </w:p>
    <w:p w:rsidR="00013B61" w:rsidRDefault="00013B61" w:rsidP="00013B61">
      <w:pPr>
        <w:pStyle w:val="LTAntwortRessortText"/>
      </w:pPr>
      <w:r>
        <w:t>Mit übermitteltem Zuwendungsbescheid wurde der BJR auch darüber informiert,</w:t>
      </w:r>
      <w:r w:rsidR="001745CF">
        <w:t xml:space="preserve"> </w:t>
      </w:r>
      <w:r>
        <w:t>dass der Oberste Rechnungshof berechtigt ist, bei den Zuwendungsempfängern zu</w:t>
      </w:r>
      <w:r w:rsidR="001745CF">
        <w:t xml:space="preserve"> </w:t>
      </w:r>
      <w:r>
        <w:t>prüfen (Art. 91 BayHO).</w:t>
      </w:r>
    </w:p>
    <w:p w:rsidR="00013B61" w:rsidRDefault="00013B61">
      <w:bookmarkStart w:id="58" w:name="Frage_Nr_28_Ende"/>
      <w:bookmarkEnd w:id="5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49313C" w:rsidTr="0049313C">
        <w:tc>
          <w:tcPr>
            <w:tcW w:w="1862" w:type="dxa"/>
          </w:tcPr>
          <w:p w:rsidR="0049313C" w:rsidRDefault="0049313C" w:rsidP="0049313C">
            <w:pPr>
              <w:pStyle w:val="LTAnfrageInitiator"/>
            </w:pPr>
            <w:r>
              <w:lastRenderedPageBreak/>
              <w:t>Abgeordnete</w:t>
            </w:r>
            <w:r>
              <w:rPr>
                <w:b/>
              </w:rPr>
              <w:br/>
              <w:t>Dr. Simone</w:t>
            </w:r>
            <w:r>
              <w:rPr>
                <w:b/>
              </w:rPr>
              <w:br/>
              <w:t>Strohmayr</w:t>
            </w:r>
            <w:r>
              <w:rPr>
                <w:b/>
              </w:rPr>
              <w:br/>
            </w:r>
            <w:r>
              <w:t>(SPD)</w:t>
            </w:r>
            <w:bookmarkStart w:id="59" w:name="Frage_Nr_29"/>
            <w:bookmarkEnd w:id="59"/>
          </w:p>
        </w:tc>
        <w:tc>
          <w:tcPr>
            <w:tcW w:w="5754" w:type="dxa"/>
          </w:tcPr>
          <w:p w:rsidR="0049313C" w:rsidRPr="00D0635E" w:rsidRDefault="0049313C" w:rsidP="00D0635E">
            <w:pPr>
              <w:pStyle w:val="LTAnfrageText"/>
            </w:pPr>
            <w:r w:rsidRPr="00D0635E">
              <w:t xml:space="preserve">Ich frage die Staatsregierung, wie viele Schulen (bitte jeweils auch prozentual im Vergleich zur Gesamtzahl der bayerischen Schulen angeben) in Schwaben eine Anbindung mit einer Geschwindigkeit von nur 16 Mbit/s oder weniger haben, wie viele Schulen in Schwaben keine Unterrichtsräume mit LAN haben (bitte jeweils aufgeschlüsselt nach Landkreisen und kreisfreien Städten angeben)? </w:t>
            </w:r>
          </w:p>
        </w:tc>
        <w:tc>
          <w:tcPr>
            <w:tcW w:w="5754" w:type="dxa"/>
          </w:tcPr>
          <w:p w:rsidR="0049313C" w:rsidRDefault="0049313C" w:rsidP="0049313C">
            <w:pPr>
              <w:pStyle w:val="LTAnfrageText"/>
            </w:pPr>
          </w:p>
        </w:tc>
      </w:tr>
    </w:tbl>
    <w:p w:rsidR="00013B61" w:rsidRDefault="00013B61" w:rsidP="0041704C">
      <w:pPr>
        <w:pStyle w:val="LTUeberschrAntwortRessort"/>
        <w:spacing w:before="200"/>
      </w:pPr>
      <w:r>
        <w:t>Antwort des Staatsministeriums für Unterricht und Kultus</w:t>
      </w:r>
    </w:p>
    <w:p w:rsidR="00013B61" w:rsidRDefault="00013B61" w:rsidP="00013B61">
      <w:pPr>
        <w:pStyle w:val="LTAntwortRessortText"/>
      </w:pPr>
      <w:r>
        <w:t>Nach Kenntnis der Staatsregierung haben alle Schulen im Regierungsbezirk</w:t>
      </w:r>
      <w:r w:rsidR="001745CF">
        <w:t xml:space="preserve"> </w:t>
      </w:r>
      <w:r>
        <w:t xml:space="preserve">Schwaben (100 </w:t>
      </w:r>
      <w:r w:rsidR="004A5D9A">
        <w:t>Prozent</w:t>
      </w:r>
      <w:r>
        <w:t>) Zugang zu Bandbreiten von mehr als 16 Mbit/s. Die Träger</w:t>
      </w:r>
      <w:r w:rsidR="001745CF">
        <w:t xml:space="preserve"> </w:t>
      </w:r>
      <w:r>
        <w:t>der Schulen entscheiden in eigener Verantwortung, welche Bandbreiten gebucht werden.</w:t>
      </w:r>
    </w:p>
    <w:p w:rsidR="00013B61" w:rsidRDefault="00013B61" w:rsidP="0041704C">
      <w:pPr>
        <w:pStyle w:val="LTAntwortRessortText"/>
        <w:spacing w:before="120"/>
      </w:pPr>
      <w:r>
        <w:t>Gemäß der regelmäßig von der Akademie für Lehrerfortbildung und Personalführung</w:t>
      </w:r>
      <w:r w:rsidR="001745CF">
        <w:t xml:space="preserve"> </w:t>
      </w:r>
      <w:r>
        <w:t>(ALP) Dillingen durchgeführten Umfrage zur IT-Ausstattung der Schulen (Stand</w:t>
      </w:r>
      <w:r w:rsidR="001745CF">
        <w:t xml:space="preserve"> </w:t>
      </w:r>
      <w:r>
        <w:t xml:space="preserve">02.08.2021) verfügen im Regierungsbezirk Schwaben 859 Schulen (99 </w:t>
      </w:r>
      <w:r w:rsidR="004A5D9A">
        <w:t>Prozent</w:t>
      </w:r>
      <w:r>
        <w:t>) in den Unterrichträumen</w:t>
      </w:r>
      <w:r w:rsidR="001745CF">
        <w:t xml:space="preserve"> </w:t>
      </w:r>
      <w:r>
        <w:t>über eine Internetverbindung durch WLAN oder LAN, 68 Schulen (8</w:t>
      </w:r>
      <w:r w:rsidR="001745CF">
        <w:t xml:space="preserve"> </w:t>
      </w:r>
      <w:r>
        <w:t>Prozent) verfügen in den Unterrichtsräumen nicht über LAN, 238 Schulen</w:t>
      </w:r>
      <w:r w:rsidR="001745CF">
        <w:t xml:space="preserve"> </w:t>
      </w:r>
      <w:r>
        <w:t>(27 Prozent) nicht über WLAN. Die Aufgliederung der genannten Daten nach Landkreisen</w:t>
      </w:r>
      <w:r w:rsidR="001745CF">
        <w:t xml:space="preserve"> </w:t>
      </w:r>
      <w:r>
        <w:t>und kreisfreien Städten in Schwaben kann nachfolgender Tabelle entnommen</w:t>
      </w:r>
      <w:r w:rsidR="001745CF">
        <w:t xml:space="preserve"> </w:t>
      </w:r>
      <w:r>
        <w:t>werden:</w:t>
      </w:r>
      <w:r w:rsidR="00CB09CD">
        <w:tab/>
      </w:r>
    </w:p>
    <w:tbl>
      <w:tblPr>
        <w:tblStyle w:val="TableNormal"/>
        <w:tblW w:w="4818" w:type="pct"/>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850"/>
        <w:gridCol w:w="1638"/>
        <w:gridCol w:w="847"/>
        <w:gridCol w:w="793"/>
        <w:gridCol w:w="878"/>
        <w:gridCol w:w="744"/>
        <w:gridCol w:w="878"/>
        <w:gridCol w:w="738"/>
      </w:tblGrid>
      <w:tr w:rsidR="00CB09CD" w:rsidRPr="00CB09CD" w:rsidTr="0041704C">
        <w:trPr>
          <w:trHeight w:val="688"/>
        </w:trPr>
        <w:tc>
          <w:tcPr>
            <w:tcW w:w="577" w:type="pct"/>
          </w:tcPr>
          <w:p w:rsidR="00CB09CD" w:rsidRPr="00B95276" w:rsidRDefault="00CB09CD" w:rsidP="004F22A0">
            <w:pPr>
              <w:pStyle w:val="TableParagraph"/>
              <w:spacing w:line="240" w:lineRule="auto"/>
              <w:ind w:left="0"/>
              <w:rPr>
                <w:rFonts w:ascii="Arial" w:hAnsi="Arial" w:cs="Arial"/>
                <w:sz w:val="16"/>
                <w:szCs w:val="16"/>
              </w:rPr>
            </w:pPr>
          </w:p>
        </w:tc>
        <w:tc>
          <w:tcPr>
            <w:tcW w:w="1112" w:type="pct"/>
          </w:tcPr>
          <w:p w:rsidR="00CB09CD" w:rsidRPr="00B95276" w:rsidRDefault="00CB09CD" w:rsidP="004F22A0">
            <w:pPr>
              <w:pStyle w:val="TableParagraph"/>
              <w:spacing w:line="240" w:lineRule="auto"/>
              <w:ind w:left="0"/>
              <w:rPr>
                <w:rFonts w:ascii="Arial" w:hAnsi="Arial" w:cs="Arial"/>
                <w:sz w:val="16"/>
                <w:szCs w:val="16"/>
              </w:rPr>
            </w:pPr>
          </w:p>
        </w:tc>
        <w:tc>
          <w:tcPr>
            <w:tcW w:w="1113" w:type="pct"/>
            <w:gridSpan w:val="2"/>
          </w:tcPr>
          <w:p w:rsidR="00CB09CD" w:rsidRPr="00B95276" w:rsidRDefault="00CB09CD" w:rsidP="004F22A0">
            <w:pPr>
              <w:pStyle w:val="TableParagraph"/>
              <w:spacing w:line="227" w:lineRule="exact"/>
              <w:ind w:left="106"/>
              <w:rPr>
                <w:rFonts w:ascii="Arial" w:hAnsi="Arial" w:cs="Arial"/>
                <w:b/>
                <w:sz w:val="16"/>
                <w:szCs w:val="16"/>
              </w:rPr>
            </w:pPr>
            <w:r w:rsidRPr="00B95276">
              <w:rPr>
                <w:rFonts w:ascii="Arial" w:hAnsi="Arial" w:cs="Arial"/>
                <w:b/>
                <w:sz w:val="16"/>
                <w:szCs w:val="16"/>
              </w:rPr>
              <w:t>Schulen mit</w:t>
            </w:r>
          </w:p>
          <w:p w:rsidR="00CB09CD" w:rsidRPr="00B95276" w:rsidRDefault="00CB09CD" w:rsidP="004F22A0">
            <w:pPr>
              <w:pStyle w:val="TableParagraph"/>
              <w:spacing w:before="115" w:line="240" w:lineRule="auto"/>
              <w:ind w:left="106"/>
              <w:rPr>
                <w:rFonts w:ascii="Arial" w:hAnsi="Arial" w:cs="Arial"/>
                <w:b/>
                <w:sz w:val="16"/>
                <w:szCs w:val="16"/>
              </w:rPr>
            </w:pPr>
            <w:r w:rsidRPr="00B95276">
              <w:rPr>
                <w:rFonts w:ascii="Arial" w:hAnsi="Arial" w:cs="Arial"/>
                <w:b/>
                <w:sz w:val="16"/>
                <w:szCs w:val="16"/>
              </w:rPr>
              <w:t>LAN / WLAN</w:t>
            </w:r>
          </w:p>
        </w:tc>
        <w:tc>
          <w:tcPr>
            <w:tcW w:w="1101" w:type="pct"/>
            <w:gridSpan w:val="2"/>
          </w:tcPr>
          <w:p w:rsidR="00CB09CD" w:rsidRPr="00B95276" w:rsidRDefault="00CB09CD" w:rsidP="004F22A0">
            <w:pPr>
              <w:pStyle w:val="TableParagraph"/>
              <w:spacing w:line="227" w:lineRule="exact"/>
              <w:ind w:left="104"/>
              <w:rPr>
                <w:rFonts w:ascii="Arial" w:hAnsi="Arial" w:cs="Arial"/>
                <w:b/>
                <w:sz w:val="16"/>
                <w:szCs w:val="16"/>
              </w:rPr>
            </w:pPr>
            <w:r w:rsidRPr="00B95276">
              <w:rPr>
                <w:rFonts w:ascii="Arial" w:hAnsi="Arial" w:cs="Arial"/>
                <w:b/>
                <w:sz w:val="16"/>
                <w:szCs w:val="16"/>
              </w:rPr>
              <w:t>Schulen ohne</w:t>
            </w:r>
          </w:p>
          <w:p w:rsidR="00CB09CD" w:rsidRPr="00B95276" w:rsidRDefault="00CB09CD" w:rsidP="004F22A0">
            <w:pPr>
              <w:pStyle w:val="TableParagraph"/>
              <w:spacing w:before="115" w:line="240" w:lineRule="auto"/>
              <w:ind w:left="104"/>
              <w:rPr>
                <w:rFonts w:ascii="Arial" w:hAnsi="Arial" w:cs="Arial"/>
                <w:b/>
                <w:sz w:val="16"/>
                <w:szCs w:val="16"/>
              </w:rPr>
            </w:pPr>
            <w:r w:rsidRPr="00B95276">
              <w:rPr>
                <w:rFonts w:ascii="Arial" w:hAnsi="Arial" w:cs="Arial"/>
                <w:b/>
                <w:sz w:val="16"/>
                <w:szCs w:val="16"/>
              </w:rPr>
              <w:t>LAN</w:t>
            </w:r>
          </w:p>
        </w:tc>
        <w:tc>
          <w:tcPr>
            <w:tcW w:w="1097" w:type="pct"/>
            <w:gridSpan w:val="2"/>
          </w:tcPr>
          <w:p w:rsidR="00CB09CD" w:rsidRPr="00B95276" w:rsidRDefault="00CB09CD" w:rsidP="004F22A0">
            <w:pPr>
              <w:pStyle w:val="TableParagraph"/>
              <w:spacing w:line="227" w:lineRule="exact"/>
              <w:ind w:left="101"/>
              <w:rPr>
                <w:rFonts w:ascii="Arial" w:hAnsi="Arial" w:cs="Arial"/>
                <w:b/>
                <w:sz w:val="16"/>
                <w:szCs w:val="16"/>
              </w:rPr>
            </w:pPr>
            <w:r w:rsidRPr="00B95276">
              <w:rPr>
                <w:rFonts w:ascii="Arial" w:hAnsi="Arial" w:cs="Arial"/>
                <w:b/>
                <w:sz w:val="16"/>
                <w:szCs w:val="16"/>
              </w:rPr>
              <w:t>Schulen ohne</w:t>
            </w:r>
          </w:p>
          <w:p w:rsidR="00CB09CD" w:rsidRPr="00B95276" w:rsidRDefault="00CB09CD" w:rsidP="004F22A0">
            <w:pPr>
              <w:pStyle w:val="TableParagraph"/>
              <w:spacing w:before="115" w:line="240" w:lineRule="auto"/>
              <w:ind w:left="101"/>
              <w:rPr>
                <w:rFonts w:ascii="Arial" w:hAnsi="Arial" w:cs="Arial"/>
                <w:b/>
                <w:sz w:val="16"/>
                <w:szCs w:val="16"/>
              </w:rPr>
            </w:pPr>
            <w:r w:rsidRPr="00B95276">
              <w:rPr>
                <w:rFonts w:ascii="Arial" w:hAnsi="Arial" w:cs="Arial"/>
                <w:b/>
                <w:sz w:val="16"/>
                <w:szCs w:val="16"/>
              </w:rPr>
              <w:t>WLAN</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40" w:lineRule="auto"/>
              <w:rPr>
                <w:rFonts w:ascii="Arial" w:hAnsi="Arial" w:cs="Arial"/>
                <w:b/>
                <w:sz w:val="16"/>
                <w:szCs w:val="16"/>
              </w:rPr>
            </w:pPr>
            <w:r w:rsidRPr="00B95276">
              <w:rPr>
                <w:rFonts w:ascii="Arial" w:hAnsi="Arial" w:cs="Arial"/>
                <w:b/>
                <w:sz w:val="16"/>
                <w:szCs w:val="16"/>
              </w:rPr>
              <w:t>GKZ</w:t>
            </w:r>
          </w:p>
        </w:tc>
        <w:tc>
          <w:tcPr>
            <w:tcW w:w="1112" w:type="pct"/>
            <w:shd w:val="clear" w:color="auto" w:fill="F1F1F1"/>
          </w:tcPr>
          <w:p w:rsidR="00CB09CD" w:rsidRPr="00B95276" w:rsidRDefault="00CB09CD" w:rsidP="004F22A0">
            <w:pPr>
              <w:pStyle w:val="TableParagraph"/>
              <w:spacing w:before="2" w:line="240" w:lineRule="auto"/>
              <w:rPr>
                <w:rFonts w:ascii="Arial" w:hAnsi="Arial" w:cs="Arial"/>
                <w:sz w:val="16"/>
                <w:szCs w:val="16"/>
              </w:rPr>
            </w:pPr>
            <w:r w:rsidRPr="00B95276">
              <w:rPr>
                <w:rFonts w:ascii="Arial" w:hAnsi="Arial" w:cs="Arial"/>
                <w:sz w:val="16"/>
                <w:szCs w:val="16"/>
              </w:rPr>
              <w:t>Kreis</w:t>
            </w:r>
          </w:p>
        </w:tc>
        <w:tc>
          <w:tcPr>
            <w:tcW w:w="575" w:type="pct"/>
            <w:shd w:val="clear" w:color="auto" w:fill="F1F1F1"/>
          </w:tcPr>
          <w:p w:rsidR="00CB09CD" w:rsidRPr="00B95276" w:rsidRDefault="00CB09CD" w:rsidP="004F22A0">
            <w:pPr>
              <w:pStyle w:val="TableParagraph"/>
              <w:spacing w:before="2" w:line="240" w:lineRule="auto"/>
              <w:ind w:left="106"/>
              <w:rPr>
                <w:rFonts w:ascii="Arial" w:hAnsi="Arial" w:cs="Arial"/>
                <w:sz w:val="16"/>
                <w:szCs w:val="16"/>
              </w:rPr>
            </w:pPr>
            <w:r w:rsidRPr="00B95276">
              <w:rPr>
                <w:rFonts w:ascii="Arial" w:hAnsi="Arial" w:cs="Arial"/>
                <w:sz w:val="16"/>
                <w:szCs w:val="16"/>
              </w:rPr>
              <w:t>Anzahl</w:t>
            </w:r>
          </w:p>
        </w:tc>
        <w:tc>
          <w:tcPr>
            <w:tcW w:w="538" w:type="pct"/>
            <w:shd w:val="clear" w:color="auto" w:fill="F1F1F1"/>
          </w:tcPr>
          <w:p w:rsidR="00CB09CD" w:rsidRPr="00B95276" w:rsidRDefault="00CB09CD" w:rsidP="004F22A0">
            <w:pPr>
              <w:pStyle w:val="TableParagraph"/>
              <w:spacing w:before="2" w:line="240" w:lineRule="auto"/>
              <w:ind w:left="105"/>
              <w:rPr>
                <w:rFonts w:ascii="Arial" w:hAnsi="Arial" w:cs="Arial"/>
                <w:sz w:val="16"/>
                <w:szCs w:val="16"/>
              </w:rPr>
            </w:pPr>
            <w:r w:rsidRPr="00B95276">
              <w:rPr>
                <w:rFonts w:ascii="Arial" w:hAnsi="Arial" w:cs="Arial"/>
                <w:sz w:val="16"/>
                <w:szCs w:val="16"/>
              </w:rPr>
              <w:t>Anteil</w:t>
            </w:r>
            <w:r w:rsidR="00B95276" w:rsidRPr="00B95276">
              <w:rPr>
                <w:rFonts w:ascii="Arial" w:hAnsi="Arial" w:cs="Arial"/>
                <w:sz w:val="16"/>
                <w:szCs w:val="16"/>
              </w:rPr>
              <w:br/>
              <w:t xml:space="preserve">in </w:t>
            </w:r>
            <w:r w:rsidR="00B95276" w:rsidRPr="00B95276">
              <w:rPr>
                <w:rFonts w:ascii="Arial" w:hAnsi="Arial" w:cs="Arial"/>
                <w:sz w:val="16"/>
                <w:szCs w:val="16"/>
              </w:rPr>
              <w:br/>
              <w:t>Prozent</w:t>
            </w:r>
          </w:p>
        </w:tc>
        <w:tc>
          <w:tcPr>
            <w:tcW w:w="596" w:type="pct"/>
            <w:shd w:val="clear" w:color="auto" w:fill="F1F1F1"/>
          </w:tcPr>
          <w:p w:rsidR="00CB09CD" w:rsidRPr="00B95276" w:rsidRDefault="00CB09CD" w:rsidP="004F22A0">
            <w:pPr>
              <w:pStyle w:val="TableParagraph"/>
              <w:spacing w:before="2" w:line="240" w:lineRule="auto"/>
              <w:ind w:left="104"/>
              <w:rPr>
                <w:rFonts w:ascii="Arial" w:hAnsi="Arial" w:cs="Arial"/>
                <w:sz w:val="16"/>
                <w:szCs w:val="16"/>
              </w:rPr>
            </w:pPr>
            <w:r w:rsidRPr="00B95276">
              <w:rPr>
                <w:rFonts w:ascii="Arial" w:hAnsi="Arial" w:cs="Arial"/>
                <w:sz w:val="16"/>
                <w:szCs w:val="16"/>
              </w:rPr>
              <w:t>Anzahl</w:t>
            </w:r>
          </w:p>
        </w:tc>
        <w:tc>
          <w:tcPr>
            <w:tcW w:w="505" w:type="pct"/>
            <w:shd w:val="clear" w:color="auto" w:fill="F1F1F1"/>
          </w:tcPr>
          <w:p w:rsidR="00CB09CD" w:rsidRPr="00B95276" w:rsidRDefault="00CB09CD" w:rsidP="004F22A0">
            <w:pPr>
              <w:pStyle w:val="TableParagraph"/>
              <w:spacing w:before="2" w:line="240" w:lineRule="auto"/>
              <w:ind w:left="102"/>
              <w:rPr>
                <w:rFonts w:ascii="Arial" w:hAnsi="Arial" w:cs="Arial"/>
                <w:sz w:val="16"/>
                <w:szCs w:val="16"/>
              </w:rPr>
            </w:pPr>
            <w:r w:rsidRPr="00B95276">
              <w:rPr>
                <w:rFonts w:ascii="Arial" w:hAnsi="Arial" w:cs="Arial"/>
                <w:sz w:val="16"/>
                <w:szCs w:val="16"/>
              </w:rPr>
              <w:t>Anteil</w:t>
            </w:r>
            <w:r w:rsidR="00B95276" w:rsidRPr="00B95276">
              <w:rPr>
                <w:rFonts w:ascii="Arial" w:hAnsi="Arial" w:cs="Arial"/>
                <w:sz w:val="16"/>
                <w:szCs w:val="16"/>
              </w:rPr>
              <w:br/>
              <w:t>in</w:t>
            </w:r>
            <w:r w:rsidR="00B95276" w:rsidRPr="00B95276">
              <w:rPr>
                <w:rFonts w:ascii="Arial" w:hAnsi="Arial" w:cs="Arial"/>
                <w:sz w:val="16"/>
                <w:szCs w:val="16"/>
              </w:rPr>
              <w:br/>
              <w:t>Prozent</w:t>
            </w:r>
          </w:p>
        </w:tc>
        <w:tc>
          <w:tcPr>
            <w:tcW w:w="596" w:type="pct"/>
            <w:shd w:val="clear" w:color="auto" w:fill="F1F1F1"/>
          </w:tcPr>
          <w:p w:rsidR="00CB09CD" w:rsidRPr="00B95276" w:rsidRDefault="00CB09CD" w:rsidP="004F22A0">
            <w:pPr>
              <w:pStyle w:val="TableParagraph"/>
              <w:spacing w:before="2" w:line="240" w:lineRule="auto"/>
              <w:ind w:left="101"/>
              <w:rPr>
                <w:rFonts w:ascii="Arial" w:hAnsi="Arial" w:cs="Arial"/>
                <w:sz w:val="16"/>
                <w:szCs w:val="16"/>
              </w:rPr>
            </w:pPr>
            <w:r w:rsidRPr="00B95276">
              <w:rPr>
                <w:rFonts w:ascii="Arial" w:hAnsi="Arial" w:cs="Arial"/>
                <w:sz w:val="16"/>
                <w:szCs w:val="16"/>
              </w:rPr>
              <w:t>Anzahl</w:t>
            </w:r>
          </w:p>
        </w:tc>
        <w:tc>
          <w:tcPr>
            <w:tcW w:w="501" w:type="pct"/>
            <w:shd w:val="clear" w:color="auto" w:fill="F1F1F1"/>
          </w:tcPr>
          <w:p w:rsidR="00CB09CD" w:rsidRPr="00B95276" w:rsidRDefault="00CB09CD" w:rsidP="004F22A0">
            <w:pPr>
              <w:pStyle w:val="TableParagraph"/>
              <w:spacing w:before="2" w:line="240" w:lineRule="auto"/>
              <w:ind w:left="97"/>
              <w:rPr>
                <w:rFonts w:ascii="Arial" w:hAnsi="Arial" w:cs="Arial"/>
                <w:sz w:val="16"/>
                <w:szCs w:val="16"/>
              </w:rPr>
            </w:pPr>
            <w:r w:rsidRPr="00B95276">
              <w:rPr>
                <w:rFonts w:ascii="Arial" w:hAnsi="Arial" w:cs="Arial"/>
                <w:sz w:val="16"/>
                <w:szCs w:val="16"/>
              </w:rPr>
              <w:t>Anteil</w:t>
            </w:r>
            <w:r w:rsidR="00B95276" w:rsidRPr="00B95276">
              <w:rPr>
                <w:rFonts w:ascii="Arial" w:hAnsi="Arial" w:cs="Arial"/>
                <w:sz w:val="16"/>
                <w:szCs w:val="16"/>
              </w:rPr>
              <w:br/>
              <w:t xml:space="preserve">in </w:t>
            </w:r>
            <w:r w:rsidR="00B95276" w:rsidRPr="00B95276">
              <w:rPr>
                <w:rFonts w:ascii="Arial" w:hAnsi="Arial" w:cs="Arial"/>
                <w:sz w:val="16"/>
                <w:szCs w:val="16"/>
              </w:rPr>
              <w:br/>
              <w:t>Prozent</w:t>
            </w:r>
          </w:p>
        </w:tc>
      </w:tr>
      <w:tr w:rsidR="00CB09CD" w:rsidRPr="00CB09CD" w:rsidTr="0041704C">
        <w:trPr>
          <w:trHeight w:val="345"/>
        </w:trPr>
        <w:tc>
          <w:tcPr>
            <w:tcW w:w="577" w:type="pct"/>
          </w:tcPr>
          <w:p w:rsidR="00CB09CD" w:rsidRPr="00B95276" w:rsidRDefault="00CB09CD" w:rsidP="004F22A0">
            <w:pPr>
              <w:pStyle w:val="TableParagraph"/>
              <w:rPr>
                <w:rFonts w:ascii="Arial" w:hAnsi="Arial" w:cs="Arial"/>
                <w:b/>
                <w:sz w:val="16"/>
                <w:szCs w:val="16"/>
              </w:rPr>
            </w:pPr>
            <w:r w:rsidRPr="00B95276">
              <w:rPr>
                <w:rFonts w:ascii="Arial" w:hAnsi="Arial" w:cs="Arial"/>
                <w:b/>
                <w:sz w:val="16"/>
                <w:szCs w:val="16"/>
              </w:rPr>
              <w:t>700</w:t>
            </w:r>
          </w:p>
        </w:tc>
        <w:tc>
          <w:tcPr>
            <w:tcW w:w="1112" w:type="pct"/>
          </w:tcPr>
          <w:p w:rsidR="00CB09CD" w:rsidRPr="00B95276" w:rsidRDefault="00CB09CD" w:rsidP="004F22A0">
            <w:pPr>
              <w:pStyle w:val="TableParagraph"/>
              <w:spacing w:before="2" w:line="240" w:lineRule="auto"/>
              <w:rPr>
                <w:rFonts w:ascii="Arial" w:hAnsi="Arial" w:cs="Arial"/>
                <w:sz w:val="16"/>
                <w:szCs w:val="16"/>
              </w:rPr>
            </w:pPr>
            <w:r w:rsidRPr="00B95276">
              <w:rPr>
                <w:rFonts w:ascii="Arial" w:hAnsi="Arial" w:cs="Arial"/>
                <w:sz w:val="16"/>
                <w:szCs w:val="16"/>
              </w:rPr>
              <w:t>Schwaben</w:t>
            </w:r>
          </w:p>
        </w:tc>
        <w:tc>
          <w:tcPr>
            <w:tcW w:w="575" w:type="pct"/>
          </w:tcPr>
          <w:p w:rsidR="00CB09CD" w:rsidRPr="00B95276" w:rsidRDefault="00CB09CD" w:rsidP="00B95276">
            <w:pPr>
              <w:pStyle w:val="TableParagraph"/>
              <w:spacing w:before="2" w:line="240" w:lineRule="auto"/>
              <w:ind w:left="106"/>
              <w:jc w:val="center"/>
              <w:rPr>
                <w:rFonts w:ascii="Arial" w:hAnsi="Arial" w:cs="Arial"/>
                <w:sz w:val="16"/>
                <w:szCs w:val="16"/>
              </w:rPr>
            </w:pPr>
            <w:r w:rsidRPr="00B95276">
              <w:rPr>
                <w:rFonts w:ascii="Arial" w:hAnsi="Arial" w:cs="Arial"/>
                <w:sz w:val="16"/>
                <w:szCs w:val="16"/>
              </w:rPr>
              <w:t>859</w:t>
            </w:r>
          </w:p>
        </w:tc>
        <w:tc>
          <w:tcPr>
            <w:tcW w:w="538" w:type="pct"/>
          </w:tcPr>
          <w:p w:rsidR="00CB09CD" w:rsidRPr="00B95276" w:rsidRDefault="00CB09CD" w:rsidP="00B95276">
            <w:pPr>
              <w:pStyle w:val="TableParagraph"/>
              <w:spacing w:before="2" w:line="240" w:lineRule="auto"/>
              <w:ind w:left="105"/>
              <w:jc w:val="center"/>
              <w:rPr>
                <w:rFonts w:ascii="Arial" w:hAnsi="Arial" w:cs="Arial"/>
                <w:sz w:val="16"/>
                <w:szCs w:val="16"/>
              </w:rPr>
            </w:pPr>
            <w:r w:rsidRPr="00B95276">
              <w:rPr>
                <w:rFonts w:ascii="Arial" w:hAnsi="Arial" w:cs="Arial"/>
                <w:sz w:val="16"/>
                <w:szCs w:val="16"/>
              </w:rPr>
              <w:t>99</w:t>
            </w:r>
          </w:p>
        </w:tc>
        <w:tc>
          <w:tcPr>
            <w:tcW w:w="596" w:type="pct"/>
          </w:tcPr>
          <w:p w:rsidR="00CB09CD" w:rsidRPr="00B95276" w:rsidRDefault="00CB09CD" w:rsidP="00B95276">
            <w:pPr>
              <w:pStyle w:val="TableParagraph"/>
              <w:spacing w:before="2" w:line="240" w:lineRule="auto"/>
              <w:ind w:left="104"/>
              <w:jc w:val="center"/>
              <w:rPr>
                <w:rFonts w:ascii="Arial" w:hAnsi="Arial" w:cs="Arial"/>
                <w:sz w:val="16"/>
                <w:szCs w:val="16"/>
              </w:rPr>
            </w:pPr>
            <w:r w:rsidRPr="00B95276">
              <w:rPr>
                <w:rFonts w:ascii="Arial" w:hAnsi="Arial" w:cs="Arial"/>
                <w:sz w:val="16"/>
                <w:szCs w:val="16"/>
              </w:rPr>
              <w:t>68</w:t>
            </w:r>
          </w:p>
        </w:tc>
        <w:tc>
          <w:tcPr>
            <w:tcW w:w="505" w:type="pct"/>
          </w:tcPr>
          <w:p w:rsidR="00CB09CD" w:rsidRPr="00B95276" w:rsidRDefault="00CB09CD" w:rsidP="00B95276">
            <w:pPr>
              <w:pStyle w:val="TableParagraph"/>
              <w:spacing w:before="2" w:line="240" w:lineRule="auto"/>
              <w:ind w:left="102"/>
              <w:jc w:val="center"/>
              <w:rPr>
                <w:rFonts w:ascii="Arial" w:hAnsi="Arial" w:cs="Arial"/>
                <w:sz w:val="16"/>
                <w:szCs w:val="16"/>
              </w:rPr>
            </w:pPr>
            <w:r w:rsidRPr="00B95276">
              <w:rPr>
                <w:rFonts w:ascii="Arial" w:hAnsi="Arial" w:cs="Arial"/>
                <w:sz w:val="16"/>
                <w:szCs w:val="16"/>
              </w:rPr>
              <w:t>8</w:t>
            </w:r>
          </w:p>
        </w:tc>
        <w:tc>
          <w:tcPr>
            <w:tcW w:w="596" w:type="pct"/>
          </w:tcPr>
          <w:p w:rsidR="00CB09CD" w:rsidRPr="00B95276" w:rsidRDefault="00CB09CD" w:rsidP="00B95276">
            <w:pPr>
              <w:pStyle w:val="TableParagraph"/>
              <w:spacing w:before="2" w:line="240" w:lineRule="auto"/>
              <w:ind w:left="101"/>
              <w:jc w:val="center"/>
              <w:rPr>
                <w:rFonts w:ascii="Arial" w:hAnsi="Arial" w:cs="Arial"/>
                <w:sz w:val="16"/>
                <w:szCs w:val="16"/>
              </w:rPr>
            </w:pPr>
            <w:r w:rsidRPr="00B95276">
              <w:rPr>
                <w:rFonts w:ascii="Arial" w:hAnsi="Arial" w:cs="Arial"/>
                <w:sz w:val="16"/>
                <w:szCs w:val="16"/>
              </w:rPr>
              <w:t>238</w:t>
            </w:r>
          </w:p>
        </w:tc>
        <w:tc>
          <w:tcPr>
            <w:tcW w:w="501" w:type="pct"/>
          </w:tcPr>
          <w:p w:rsidR="00CB09CD" w:rsidRPr="00B95276" w:rsidRDefault="00CB09CD" w:rsidP="00B95276">
            <w:pPr>
              <w:pStyle w:val="TableParagraph"/>
              <w:spacing w:before="2" w:line="240" w:lineRule="auto"/>
              <w:ind w:left="97"/>
              <w:jc w:val="center"/>
              <w:rPr>
                <w:rFonts w:ascii="Arial" w:hAnsi="Arial" w:cs="Arial"/>
                <w:sz w:val="16"/>
                <w:szCs w:val="16"/>
              </w:rPr>
            </w:pPr>
            <w:r w:rsidRPr="00B95276">
              <w:rPr>
                <w:rFonts w:ascii="Arial" w:hAnsi="Arial" w:cs="Arial"/>
                <w:sz w:val="16"/>
                <w:szCs w:val="16"/>
              </w:rPr>
              <w:t>27</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761</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Augsburg/Stadt</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122</w:t>
            </w:r>
          </w:p>
        </w:tc>
        <w:tc>
          <w:tcPr>
            <w:tcW w:w="538" w:type="pct"/>
            <w:shd w:val="clear" w:color="auto" w:fill="F1F1F1"/>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97</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sz w:val="16"/>
                <w:szCs w:val="16"/>
              </w:rPr>
              <w:t>12</w:t>
            </w:r>
          </w:p>
        </w:tc>
        <w:tc>
          <w:tcPr>
            <w:tcW w:w="505" w:type="pct"/>
            <w:shd w:val="clear" w:color="auto" w:fill="F1F1F1"/>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10</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53</w:t>
            </w:r>
          </w:p>
        </w:tc>
        <w:tc>
          <w:tcPr>
            <w:tcW w:w="501" w:type="pct"/>
            <w:shd w:val="clear" w:color="auto" w:fill="F1F1F1"/>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42</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762</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Kaufbeuren</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29</w:t>
            </w:r>
          </w:p>
        </w:tc>
        <w:tc>
          <w:tcPr>
            <w:tcW w:w="538" w:type="pct"/>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1</w:t>
            </w:r>
          </w:p>
        </w:tc>
        <w:tc>
          <w:tcPr>
            <w:tcW w:w="505" w:type="pct"/>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3</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w w:val="99"/>
                <w:sz w:val="16"/>
                <w:szCs w:val="16"/>
              </w:rPr>
              <w:t>2</w:t>
            </w:r>
          </w:p>
        </w:tc>
        <w:tc>
          <w:tcPr>
            <w:tcW w:w="501" w:type="pct"/>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7</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763</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Kempten (Allgäu)</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53</w:t>
            </w:r>
          </w:p>
        </w:tc>
        <w:tc>
          <w:tcPr>
            <w:tcW w:w="538" w:type="pct"/>
            <w:shd w:val="clear" w:color="auto" w:fill="F1F1F1"/>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4</w:t>
            </w:r>
          </w:p>
        </w:tc>
        <w:tc>
          <w:tcPr>
            <w:tcW w:w="505" w:type="pct"/>
            <w:shd w:val="clear" w:color="auto" w:fill="F1F1F1"/>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8</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11</w:t>
            </w:r>
          </w:p>
        </w:tc>
        <w:tc>
          <w:tcPr>
            <w:tcW w:w="501" w:type="pct"/>
            <w:shd w:val="clear" w:color="auto" w:fill="F1F1F1"/>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21</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764</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Memmingen</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32</w:t>
            </w:r>
          </w:p>
        </w:tc>
        <w:tc>
          <w:tcPr>
            <w:tcW w:w="538" w:type="pct"/>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1</w:t>
            </w:r>
          </w:p>
        </w:tc>
        <w:tc>
          <w:tcPr>
            <w:tcW w:w="505" w:type="pct"/>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3</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13</w:t>
            </w:r>
          </w:p>
        </w:tc>
        <w:tc>
          <w:tcPr>
            <w:tcW w:w="501" w:type="pct"/>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41</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771</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Aichach-Friedberg</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54</w:t>
            </w:r>
          </w:p>
        </w:tc>
        <w:tc>
          <w:tcPr>
            <w:tcW w:w="538" w:type="pct"/>
            <w:shd w:val="clear" w:color="auto" w:fill="F1F1F1"/>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96</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3</w:t>
            </w:r>
          </w:p>
        </w:tc>
        <w:tc>
          <w:tcPr>
            <w:tcW w:w="505" w:type="pct"/>
            <w:shd w:val="clear" w:color="auto" w:fill="F1F1F1"/>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5</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28</w:t>
            </w:r>
          </w:p>
        </w:tc>
        <w:tc>
          <w:tcPr>
            <w:tcW w:w="501" w:type="pct"/>
            <w:shd w:val="clear" w:color="auto" w:fill="F1F1F1"/>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50</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772</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Augsburg/Land</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92</w:t>
            </w:r>
          </w:p>
        </w:tc>
        <w:tc>
          <w:tcPr>
            <w:tcW w:w="538" w:type="pct"/>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9</w:t>
            </w:r>
          </w:p>
        </w:tc>
        <w:tc>
          <w:tcPr>
            <w:tcW w:w="505" w:type="pct"/>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10</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17</w:t>
            </w:r>
          </w:p>
        </w:tc>
        <w:tc>
          <w:tcPr>
            <w:tcW w:w="501" w:type="pct"/>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18</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773</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Dillingen a. d. Donau</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48</w:t>
            </w:r>
          </w:p>
        </w:tc>
        <w:tc>
          <w:tcPr>
            <w:tcW w:w="538" w:type="pct"/>
            <w:shd w:val="clear" w:color="auto" w:fill="F1F1F1"/>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3</w:t>
            </w:r>
          </w:p>
        </w:tc>
        <w:tc>
          <w:tcPr>
            <w:tcW w:w="505" w:type="pct"/>
            <w:shd w:val="clear" w:color="auto" w:fill="F1F1F1"/>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6</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11</w:t>
            </w:r>
          </w:p>
        </w:tc>
        <w:tc>
          <w:tcPr>
            <w:tcW w:w="501" w:type="pct"/>
            <w:shd w:val="clear" w:color="auto" w:fill="F1F1F1"/>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23</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774</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Günzburg</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71</w:t>
            </w:r>
          </w:p>
        </w:tc>
        <w:tc>
          <w:tcPr>
            <w:tcW w:w="538" w:type="pct"/>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1</w:t>
            </w:r>
          </w:p>
        </w:tc>
        <w:tc>
          <w:tcPr>
            <w:tcW w:w="505" w:type="pct"/>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1</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19</w:t>
            </w:r>
          </w:p>
        </w:tc>
        <w:tc>
          <w:tcPr>
            <w:tcW w:w="501" w:type="pct"/>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27</w:t>
            </w:r>
          </w:p>
        </w:tc>
      </w:tr>
      <w:tr w:rsidR="00CB09CD" w:rsidRPr="00CB09CD" w:rsidTr="0041704C">
        <w:trPr>
          <w:trHeight w:val="342"/>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775</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Neu-Ulm</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71</w:t>
            </w:r>
          </w:p>
        </w:tc>
        <w:tc>
          <w:tcPr>
            <w:tcW w:w="538" w:type="pct"/>
            <w:shd w:val="clear" w:color="auto" w:fill="F1F1F1"/>
          </w:tcPr>
          <w:p w:rsidR="00CB09CD" w:rsidRPr="00B95276" w:rsidRDefault="00CB09CD" w:rsidP="00B95276">
            <w:pPr>
              <w:pStyle w:val="TableParagraph"/>
              <w:ind w:left="105"/>
              <w:jc w:val="center"/>
              <w:rPr>
                <w:rFonts w:ascii="Arial" w:hAnsi="Arial" w:cs="Arial"/>
                <w:sz w:val="16"/>
                <w:szCs w:val="16"/>
              </w:rPr>
            </w:pPr>
            <w:r w:rsidRPr="00B95276">
              <w:rPr>
                <w:rFonts w:ascii="Arial" w:hAnsi="Arial" w:cs="Arial"/>
                <w:sz w:val="16"/>
                <w:szCs w:val="16"/>
              </w:rPr>
              <w:t>100</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B95276">
              <w:rPr>
                <w:rFonts w:ascii="Arial" w:hAnsi="Arial" w:cs="Arial"/>
                <w:w w:val="99"/>
                <w:sz w:val="16"/>
                <w:szCs w:val="16"/>
              </w:rPr>
              <w:t>8</w:t>
            </w:r>
          </w:p>
        </w:tc>
        <w:tc>
          <w:tcPr>
            <w:tcW w:w="505" w:type="pct"/>
            <w:shd w:val="clear" w:color="auto" w:fill="F1F1F1"/>
          </w:tcPr>
          <w:p w:rsidR="00CB09CD" w:rsidRPr="00B95276" w:rsidRDefault="00CB09CD" w:rsidP="00B95276">
            <w:pPr>
              <w:pStyle w:val="TableParagraph"/>
              <w:ind w:left="102"/>
              <w:jc w:val="center"/>
              <w:rPr>
                <w:rFonts w:ascii="Arial" w:hAnsi="Arial" w:cs="Arial"/>
                <w:sz w:val="16"/>
                <w:szCs w:val="16"/>
              </w:rPr>
            </w:pPr>
            <w:r w:rsidRPr="00B95276">
              <w:rPr>
                <w:rFonts w:ascii="Arial" w:hAnsi="Arial" w:cs="Arial"/>
                <w:sz w:val="16"/>
                <w:szCs w:val="16"/>
              </w:rPr>
              <w:t>11</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17</w:t>
            </w:r>
          </w:p>
        </w:tc>
        <w:tc>
          <w:tcPr>
            <w:tcW w:w="501" w:type="pct"/>
            <w:shd w:val="clear" w:color="auto" w:fill="F1F1F1"/>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24</w:t>
            </w:r>
          </w:p>
        </w:tc>
      </w:tr>
      <w:tr w:rsidR="00CB09CD" w:rsidRPr="00CB09CD" w:rsidTr="0041704C">
        <w:trPr>
          <w:trHeight w:val="345"/>
        </w:trPr>
        <w:tc>
          <w:tcPr>
            <w:tcW w:w="577" w:type="pct"/>
          </w:tcPr>
          <w:p w:rsidR="00CB09CD" w:rsidRPr="00B95276" w:rsidRDefault="00CB09CD" w:rsidP="004F22A0">
            <w:pPr>
              <w:pStyle w:val="TableParagraph"/>
              <w:rPr>
                <w:rFonts w:ascii="Arial" w:hAnsi="Arial" w:cs="Arial"/>
                <w:b/>
                <w:sz w:val="16"/>
                <w:szCs w:val="16"/>
              </w:rPr>
            </w:pPr>
            <w:r w:rsidRPr="00B95276">
              <w:rPr>
                <w:rFonts w:ascii="Arial" w:hAnsi="Arial" w:cs="Arial"/>
                <w:b/>
                <w:sz w:val="16"/>
                <w:szCs w:val="16"/>
              </w:rPr>
              <w:t>776</w:t>
            </w:r>
          </w:p>
        </w:tc>
        <w:tc>
          <w:tcPr>
            <w:tcW w:w="1112" w:type="pct"/>
          </w:tcPr>
          <w:p w:rsidR="00CB09CD" w:rsidRPr="00B95276" w:rsidRDefault="00CB09CD" w:rsidP="004F22A0">
            <w:pPr>
              <w:pStyle w:val="TableParagraph"/>
              <w:spacing w:before="2" w:line="240" w:lineRule="auto"/>
              <w:rPr>
                <w:rFonts w:ascii="Arial" w:hAnsi="Arial" w:cs="Arial"/>
                <w:sz w:val="16"/>
                <w:szCs w:val="16"/>
              </w:rPr>
            </w:pPr>
            <w:r w:rsidRPr="00B95276">
              <w:rPr>
                <w:rFonts w:ascii="Arial" w:hAnsi="Arial" w:cs="Arial"/>
                <w:sz w:val="16"/>
                <w:szCs w:val="16"/>
              </w:rPr>
              <w:t>Lindau (Bodensee)</w:t>
            </w:r>
          </w:p>
        </w:tc>
        <w:tc>
          <w:tcPr>
            <w:tcW w:w="575" w:type="pct"/>
          </w:tcPr>
          <w:p w:rsidR="00CB09CD" w:rsidRPr="00B95276" w:rsidRDefault="00CB09CD" w:rsidP="00B95276">
            <w:pPr>
              <w:pStyle w:val="TableParagraph"/>
              <w:spacing w:before="2" w:line="240" w:lineRule="auto"/>
              <w:ind w:left="106"/>
              <w:jc w:val="center"/>
              <w:rPr>
                <w:rFonts w:ascii="Arial" w:hAnsi="Arial" w:cs="Arial"/>
                <w:sz w:val="16"/>
                <w:szCs w:val="16"/>
              </w:rPr>
            </w:pPr>
            <w:r w:rsidRPr="00B95276">
              <w:rPr>
                <w:rFonts w:ascii="Arial" w:hAnsi="Arial" w:cs="Arial"/>
                <w:sz w:val="16"/>
                <w:szCs w:val="16"/>
              </w:rPr>
              <w:t>37</w:t>
            </w:r>
          </w:p>
        </w:tc>
        <w:tc>
          <w:tcPr>
            <w:tcW w:w="538" w:type="pct"/>
          </w:tcPr>
          <w:p w:rsidR="00CB09CD" w:rsidRPr="00B95276" w:rsidRDefault="00CB09CD" w:rsidP="00B95276">
            <w:pPr>
              <w:pStyle w:val="TableParagraph"/>
              <w:spacing w:before="2" w:line="240" w:lineRule="auto"/>
              <w:ind w:left="105"/>
              <w:jc w:val="center"/>
              <w:rPr>
                <w:rFonts w:ascii="Arial" w:hAnsi="Arial" w:cs="Arial"/>
                <w:sz w:val="16"/>
                <w:szCs w:val="16"/>
              </w:rPr>
            </w:pPr>
            <w:r w:rsidRPr="00B95276">
              <w:rPr>
                <w:rFonts w:ascii="Arial" w:hAnsi="Arial" w:cs="Arial"/>
                <w:sz w:val="16"/>
                <w:szCs w:val="16"/>
              </w:rPr>
              <w:t>95</w:t>
            </w:r>
          </w:p>
        </w:tc>
        <w:tc>
          <w:tcPr>
            <w:tcW w:w="596" w:type="pct"/>
          </w:tcPr>
          <w:p w:rsidR="00CB09CD" w:rsidRPr="00B95276" w:rsidRDefault="00CB09CD" w:rsidP="00B95276">
            <w:pPr>
              <w:pStyle w:val="TableParagraph"/>
              <w:spacing w:before="2" w:line="240" w:lineRule="auto"/>
              <w:ind w:left="104"/>
              <w:jc w:val="center"/>
              <w:rPr>
                <w:rFonts w:ascii="Arial" w:hAnsi="Arial" w:cs="Arial"/>
                <w:sz w:val="16"/>
                <w:szCs w:val="16"/>
              </w:rPr>
            </w:pPr>
            <w:r w:rsidRPr="00B95276">
              <w:rPr>
                <w:rFonts w:ascii="Arial" w:hAnsi="Arial" w:cs="Arial"/>
                <w:w w:val="99"/>
                <w:sz w:val="16"/>
                <w:szCs w:val="16"/>
              </w:rPr>
              <w:t>6</w:t>
            </w:r>
          </w:p>
        </w:tc>
        <w:tc>
          <w:tcPr>
            <w:tcW w:w="505" w:type="pct"/>
          </w:tcPr>
          <w:p w:rsidR="00CB09CD" w:rsidRPr="00B95276" w:rsidRDefault="00CB09CD" w:rsidP="00B95276">
            <w:pPr>
              <w:pStyle w:val="TableParagraph"/>
              <w:spacing w:before="2" w:line="240" w:lineRule="auto"/>
              <w:ind w:left="102"/>
              <w:jc w:val="center"/>
              <w:rPr>
                <w:rFonts w:ascii="Arial" w:hAnsi="Arial" w:cs="Arial"/>
                <w:sz w:val="16"/>
                <w:szCs w:val="16"/>
              </w:rPr>
            </w:pPr>
            <w:r w:rsidRPr="00B95276">
              <w:rPr>
                <w:rFonts w:ascii="Arial" w:hAnsi="Arial" w:cs="Arial"/>
                <w:sz w:val="16"/>
                <w:szCs w:val="16"/>
              </w:rPr>
              <w:t>15</w:t>
            </w:r>
          </w:p>
        </w:tc>
        <w:tc>
          <w:tcPr>
            <w:tcW w:w="596" w:type="pct"/>
          </w:tcPr>
          <w:p w:rsidR="00CB09CD" w:rsidRPr="00B95276" w:rsidRDefault="00CB09CD" w:rsidP="00B95276">
            <w:pPr>
              <w:pStyle w:val="TableParagraph"/>
              <w:spacing w:before="2" w:line="240" w:lineRule="auto"/>
              <w:ind w:left="101"/>
              <w:jc w:val="center"/>
              <w:rPr>
                <w:rFonts w:ascii="Arial" w:hAnsi="Arial" w:cs="Arial"/>
                <w:sz w:val="16"/>
                <w:szCs w:val="16"/>
              </w:rPr>
            </w:pPr>
            <w:r w:rsidRPr="00B95276">
              <w:rPr>
                <w:rFonts w:ascii="Arial" w:hAnsi="Arial" w:cs="Arial"/>
                <w:w w:val="99"/>
                <w:sz w:val="16"/>
                <w:szCs w:val="16"/>
              </w:rPr>
              <w:t>8</w:t>
            </w:r>
          </w:p>
        </w:tc>
        <w:tc>
          <w:tcPr>
            <w:tcW w:w="501" w:type="pct"/>
          </w:tcPr>
          <w:p w:rsidR="00CB09CD" w:rsidRPr="00B95276" w:rsidRDefault="00CB09CD" w:rsidP="00B95276">
            <w:pPr>
              <w:pStyle w:val="TableParagraph"/>
              <w:spacing w:before="2" w:line="240" w:lineRule="auto"/>
              <w:ind w:left="97"/>
              <w:jc w:val="center"/>
              <w:rPr>
                <w:rFonts w:ascii="Arial" w:hAnsi="Arial" w:cs="Arial"/>
                <w:sz w:val="16"/>
                <w:szCs w:val="16"/>
              </w:rPr>
            </w:pPr>
            <w:r w:rsidRPr="00B95276">
              <w:rPr>
                <w:rFonts w:ascii="Arial" w:hAnsi="Arial" w:cs="Arial"/>
                <w:sz w:val="16"/>
                <w:szCs w:val="16"/>
              </w:rPr>
              <w:t>21</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777</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Ostallgäu</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53</w:t>
            </w:r>
          </w:p>
        </w:tc>
        <w:tc>
          <w:tcPr>
            <w:tcW w:w="538" w:type="pct"/>
            <w:shd w:val="clear" w:color="auto" w:fill="F1F1F1"/>
          </w:tcPr>
          <w:p w:rsidR="00CB09CD" w:rsidRPr="00B95276" w:rsidRDefault="00B95276" w:rsidP="00B95276">
            <w:pPr>
              <w:pStyle w:val="TableParagraph"/>
              <w:ind w:left="105"/>
              <w:jc w:val="center"/>
              <w:rPr>
                <w:rFonts w:ascii="Arial" w:hAnsi="Arial" w:cs="Arial"/>
                <w:sz w:val="16"/>
                <w:szCs w:val="16"/>
              </w:rPr>
            </w:pPr>
            <w:r>
              <w:rPr>
                <w:rFonts w:ascii="Arial" w:hAnsi="Arial" w:cs="Arial"/>
                <w:sz w:val="16"/>
                <w:szCs w:val="16"/>
              </w:rPr>
              <w:t>96</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41704C">
              <w:rPr>
                <w:rFonts w:ascii="Arial" w:hAnsi="Arial" w:cs="Arial"/>
                <w:sz w:val="16"/>
                <w:szCs w:val="16"/>
              </w:rPr>
              <w:t>7</w:t>
            </w:r>
          </w:p>
        </w:tc>
        <w:tc>
          <w:tcPr>
            <w:tcW w:w="505" w:type="pct"/>
            <w:shd w:val="clear" w:color="auto" w:fill="F1F1F1"/>
          </w:tcPr>
          <w:p w:rsidR="00CB09CD" w:rsidRPr="00B95276" w:rsidRDefault="00B95276" w:rsidP="00B95276">
            <w:pPr>
              <w:pStyle w:val="TableParagraph"/>
              <w:ind w:left="102"/>
              <w:jc w:val="center"/>
              <w:rPr>
                <w:rFonts w:ascii="Arial" w:hAnsi="Arial" w:cs="Arial"/>
                <w:sz w:val="16"/>
                <w:szCs w:val="16"/>
              </w:rPr>
            </w:pPr>
            <w:r>
              <w:rPr>
                <w:rFonts w:ascii="Arial" w:hAnsi="Arial" w:cs="Arial"/>
                <w:sz w:val="16"/>
                <w:szCs w:val="16"/>
              </w:rPr>
              <w:t>13</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16</w:t>
            </w:r>
          </w:p>
        </w:tc>
        <w:tc>
          <w:tcPr>
            <w:tcW w:w="501" w:type="pct"/>
            <w:shd w:val="clear" w:color="auto" w:fill="F1F1F1"/>
          </w:tcPr>
          <w:p w:rsidR="00CB09CD" w:rsidRPr="00B95276" w:rsidRDefault="00B95276" w:rsidP="00B95276">
            <w:pPr>
              <w:pStyle w:val="TableParagraph"/>
              <w:ind w:left="97"/>
              <w:jc w:val="center"/>
              <w:rPr>
                <w:rFonts w:ascii="Arial" w:hAnsi="Arial" w:cs="Arial"/>
                <w:sz w:val="16"/>
                <w:szCs w:val="16"/>
              </w:rPr>
            </w:pPr>
            <w:r>
              <w:rPr>
                <w:rFonts w:ascii="Arial" w:hAnsi="Arial" w:cs="Arial"/>
                <w:sz w:val="16"/>
                <w:szCs w:val="16"/>
              </w:rPr>
              <w:t>29</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778</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Unterallgäu</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61</w:t>
            </w:r>
          </w:p>
        </w:tc>
        <w:tc>
          <w:tcPr>
            <w:tcW w:w="538" w:type="pct"/>
          </w:tcPr>
          <w:p w:rsidR="00CB09CD" w:rsidRPr="00B95276" w:rsidRDefault="00B95276" w:rsidP="00B95276">
            <w:pPr>
              <w:pStyle w:val="TableParagraph"/>
              <w:ind w:left="105"/>
              <w:jc w:val="center"/>
              <w:rPr>
                <w:rFonts w:ascii="Arial" w:hAnsi="Arial" w:cs="Arial"/>
                <w:sz w:val="16"/>
                <w:szCs w:val="16"/>
              </w:rPr>
            </w:pPr>
            <w:r>
              <w:rPr>
                <w:rFonts w:ascii="Arial" w:hAnsi="Arial" w:cs="Arial"/>
                <w:sz w:val="16"/>
                <w:szCs w:val="16"/>
              </w:rPr>
              <w:t>98</w:t>
            </w:r>
          </w:p>
        </w:tc>
        <w:tc>
          <w:tcPr>
            <w:tcW w:w="596" w:type="pct"/>
          </w:tcPr>
          <w:p w:rsidR="00CB09CD" w:rsidRPr="00B95276" w:rsidRDefault="00CB09CD" w:rsidP="00B95276">
            <w:pPr>
              <w:pStyle w:val="TableParagraph"/>
              <w:ind w:left="104"/>
              <w:jc w:val="center"/>
              <w:rPr>
                <w:rFonts w:ascii="Arial" w:hAnsi="Arial" w:cs="Arial"/>
                <w:sz w:val="16"/>
                <w:szCs w:val="16"/>
              </w:rPr>
            </w:pPr>
            <w:r w:rsidRPr="0041704C">
              <w:rPr>
                <w:rFonts w:ascii="Arial" w:hAnsi="Arial" w:cs="Arial"/>
                <w:sz w:val="16"/>
                <w:szCs w:val="16"/>
              </w:rPr>
              <w:t>5</w:t>
            </w:r>
          </w:p>
        </w:tc>
        <w:tc>
          <w:tcPr>
            <w:tcW w:w="505" w:type="pct"/>
          </w:tcPr>
          <w:p w:rsidR="00CB09CD" w:rsidRPr="00B95276" w:rsidRDefault="00B95276" w:rsidP="00B95276">
            <w:pPr>
              <w:pStyle w:val="TableParagraph"/>
              <w:ind w:left="102"/>
              <w:jc w:val="center"/>
              <w:rPr>
                <w:rFonts w:ascii="Arial" w:hAnsi="Arial" w:cs="Arial"/>
                <w:sz w:val="16"/>
                <w:szCs w:val="16"/>
              </w:rPr>
            </w:pPr>
            <w:r>
              <w:rPr>
                <w:rFonts w:ascii="Arial" w:hAnsi="Arial" w:cs="Arial"/>
                <w:sz w:val="16"/>
                <w:szCs w:val="16"/>
              </w:rPr>
              <w:t>8</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16</w:t>
            </w:r>
          </w:p>
        </w:tc>
        <w:tc>
          <w:tcPr>
            <w:tcW w:w="501" w:type="pct"/>
          </w:tcPr>
          <w:p w:rsidR="00CB09CD" w:rsidRPr="00B95276" w:rsidRDefault="00CB09CD" w:rsidP="00B95276">
            <w:pPr>
              <w:pStyle w:val="TableParagraph"/>
              <w:ind w:left="97"/>
              <w:jc w:val="center"/>
              <w:rPr>
                <w:rFonts w:ascii="Arial" w:hAnsi="Arial" w:cs="Arial"/>
                <w:sz w:val="16"/>
                <w:szCs w:val="16"/>
              </w:rPr>
            </w:pPr>
            <w:r w:rsidRPr="00B95276">
              <w:rPr>
                <w:rFonts w:ascii="Arial" w:hAnsi="Arial" w:cs="Arial"/>
                <w:sz w:val="16"/>
                <w:szCs w:val="16"/>
              </w:rPr>
              <w:t>2</w:t>
            </w:r>
            <w:r w:rsidR="00B95276">
              <w:rPr>
                <w:rFonts w:ascii="Arial" w:hAnsi="Arial" w:cs="Arial"/>
                <w:sz w:val="16"/>
                <w:szCs w:val="16"/>
              </w:rPr>
              <w:t>6</w:t>
            </w:r>
          </w:p>
        </w:tc>
      </w:tr>
      <w:tr w:rsidR="00CB09CD" w:rsidRPr="00CB09CD" w:rsidTr="0041704C">
        <w:trPr>
          <w:trHeight w:val="345"/>
        </w:trPr>
        <w:tc>
          <w:tcPr>
            <w:tcW w:w="577" w:type="pct"/>
            <w:shd w:val="clear" w:color="auto" w:fill="F1F1F1"/>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779</w:t>
            </w:r>
          </w:p>
        </w:tc>
        <w:tc>
          <w:tcPr>
            <w:tcW w:w="1112" w:type="pct"/>
            <w:shd w:val="clear" w:color="auto" w:fill="F1F1F1"/>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Donau-Ries</w:t>
            </w:r>
          </w:p>
        </w:tc>
        <w:tc>
          <w:tcPr>
            <w:tcW w:w="575" w:type="pct"/>
            <w:shd w:val="clear" w:color="auto" w:fill="F1F1F1"/>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72</w:t>
            </w:r>
          </w:p>
        </w:tc>
        <w:tc>
          <w:tcPr>
            <w:tcW w:w="538" w:type="pct"/>
            <w:shd w:val="clear" w:color="auto" w:fill="F1F1F1"/>
          </w:tcPr>
          <w:p w:rsidR="00CB09CD" w:rsidRPr="00B95276" w:rsidRDefault="00B95276" w:rsidP="00B95276">
            <w:pPr>
              <w:pStyle w:val="TableParagraph"/>
              <w:ind w:left="105"/>
              <w:jc w:val="center"/>
              <w:rPr>
                <w:rFonts w:ascii="Arial" w:hAnsi="Arial" w:cs="Arial"/>
                <w:sz w:val="16"/>
                <w:szCs w:val="16"/>
              </w:rPr>
            </w:pPr>
            <w:r>
              <w:rPr>
                <w:rFonts w:ascii="Arial" w:hAnsi="Arial" w:cs="Arial"/>
                <w:sz w:val="16"/>
                <w:szCs w:val="16"/>
              </w:rPr>
              <w:t>99</w:t>
            </w:r>
          </w:p>
        </w:tc>
        <w:tc>
          <w:tcPr>
            <w:tcW w:w="596" w:type="pct"/>
            <w:shd w:val="clear" w:color="auto" w:fill="F1F1F1"/>
          </w:tcPr>
          <w:p w:rsidR="00CB09CD" w:rsidRPr="00B95276" w:rsidRDefault="00CB09CD" w:rsidP="00B95276">
            <w:pPr>
              <w:pStyle w:val="TableParagraph"/>
              <w:ind w:left="104"/>
              <w:jc w:val="center"/>
              <w:rPr>
                <w:rFonts w:ascii="Arial" w:hAnsi="Arial" w:cs="Arial"/>
                <w:sz w:val="16"/>
                <w:szCs w:val="16"/>
              </w:rPr>
            </w:pPr>
            <w:r w:rsidRPr="0041704C">
              <w:rPr>
                <w:rFonts w:ascii="Arial" w:hAnsi="Arial" w:cs="Arial"/>
                <w:sz w:val="16"/>
                <w:szCs w:val="16"/>
              </w:rPr>
              <w:t>4</w:t>
            </w:r>
          </w:p>
        </w:tc>
        <w:tc>
          <w:tcPr>
            <w:tcW w:w="505" w:type="pct"/>
            <w:shd w:val="clear" w:color="auto" w:fill="F1F1F1"/>
          </w:tcPr>
          <w:p w:rsidR="00CB09CD" w:rsidRPr="00B95276" w:rsidRDefault="00B95276" w:rsidP="00B95276">
            <w:pPr>
              <w:pStyle w:val="TableParagraph"/>
              <w:ind w:left="102"/>
              <w:jc w:val="center"/>
              <w:rPr>
                <w:rFonts w:ascii="Arial" w:hAnsi="Arial" w:cs="Arial"/>
                <w:sz w:val="16"/>
                <w:szCs w:val="16"/>
              </w:rPr>
            </w:pPr>
            <w:r>
              <w:rPr>
                <w:rFonts w:ascii="Arial" w:hAnsi="Arial" w:cs="Arial"/>
                <w:sz w:val="16"/>
                <w:szCs w:val="16"/>
              </w:rPr>
              <w:t>5</w:t>
            </w:r>
          </w:p>
        </w:tc>
        <w:tc>
          <w:tcPr>
            <w:tcW w:w="596" w:type="pct"/>
            <w:shd w:val="clear" w:color="auto" w:fill="F1F1F1"/>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11</w:t>
            </w:r>
          </w:p>
        </w:tc>
        <w:tc>
          <w:tcPr>
            <w:tcW w:w="501" w:type="pct"/>
            <w:shd w:val="clear" w:color="auto" w:fill="F1F1F1"/>
          </w:tcPr>
          <w:p w:rsidR="00CB09CD" w:rsidRPr="00B95276" w:rsidRDefault="00B95276" w:rsidP="00B95276">
            <w:pPr>
              <w:pStyle w:val="TableParagraph"/>
              <w:ind w:left="97"/>
              <w:jc w:val="center"/>
              <w:rPr>
                <w:rFonts w:ascii="Arial" w:hAnsi="Arial" w:cs="Arial"/>
                <w:sz w:val="16"/>
                <w:szCs w:val="16"/>
              </w:rPr>
            </w:pPr>
            <w:r>
              <w:rPr>
                <w:rFonts w:ascii="Arial" w:hAnsi="Arial" w:cs="Arial"/>
                <w:sz w:val="16"/>
                <w:szCs w:val="16"/>
              </w:rPr>
              <w:t>15</w:t>
            </w:r>
          </w:p>
        </w:tc>
      </w:tr>
      <w:tr w:rsidR="00CB09CD" w:rsidRPr="00CB09CD" w:rsidTr="0041704C">
        <w:trPr>
          <w:trHeight w:val="345"/>
        </w:trPr>
        <w:tc>
          <w:tcPr>
            <w:tcW w:w="577" w:type="pct"/>
          </w:tcPr>
          <w:p w:rsidR="00CB09CD" w:rsidRPr="00B95276" w:rsidRDefault="00CB09CD" w:rsidP="004F22A0">
            <w:pPr>
              <w:pStyle w:val="TableParagraph"/>
              <w:spacing w:line="227" w:lineRule="exact"/>
              <w:rPr>
                <w:rFonts w:ascii="Arial" w:hAnsi="Arial" w:cs="Arial"/>
                <w:b/>
                <w:sz w:val="16"/>
                <w:szCs w:val="16"/>
              </w:rPr>
            </w:pPr>
            <w:r w:rsidRPr="00B95276">
              <w:rPr>
                <w:rFonts w:ascii="Arial" w:hAnsi="Arial" w:cs="Arial"/>
                <w:b/>
                <w:sz w:val="16"/>
                <w:szCs w:val="16"/>
              </w:rPr>
              <w:t>780</w:t>
            </w:r>
          </w:p>
        </w:tc>
        <w:tc>
          <w:tcPr>
            <w:tcW w:w="1112" w:type="pct"/>
          </w:tcPr>
          <w:p w:rsidR="00CB09CD" w:rsidRPr="00B95276" w:rsidRDefault="00CB09CD" w:rsidP="004F22A0">
            <w:pPr>
              <w:pStyle w:val="TableParagraph"/>
              <w:rPr>
                <w:rFonts w:ascii="Arial" w:hAnsi="Arial" w:cs="Arial"/>
                <w:sz w:val="16"/>
                <w:szCs w:val="16"/>
              </w:rPr>
            </w:pPr>
            <w:r w:rsidRPr="00B95276">
              <w:rPr>
                <w:rFonts w:ascii="Arial" w:hAnsi="Arial" w:cs="Arial"/>
                <w:sz w:val="16"/>
                <w:szCs w:val="16"/>
              </w:rPr>
              <w:t>Oberallgäu</w:t>
            </w:r>
          </w:p>
        </w:tc>
        <w:tc>
          <w:tcPr>
            <w:tcW w:w="575" w:type="pct"/>
          </w:tcPr>
          <w:p w:rsidR="00CB09CD" w:rsidRPr="00B95276" w:rsidRDefault="00CB09CD" w:rsidP="00B95276">
            <w:pPr>
              <w:pStyle w:val="TableParagraph"/>
              <w:ind w:left="106"/>
              <w:jc w:val="center"/>
              <w:rPr>
                <w:rFonts w:ascii="Arial" w:hAnsi="Arial" w:cs="Arial"/>
                <w:sz w:val="16"/>
                <w:szCs w:val="16"/>
              </w:rPr>
            </w:pPr>
            <w:r w:rsidRPr="00B95276">
              <w:rPr>
                <w:rFonts w:ascii="Arial" w:hAnsi="Arial" w:cs="Arial"/>
                <w:sz w:val="16"/>
                <w:szCs w:val="16"/>
              </w:rPr>
              <w:t>64</w:t>
            </w:r>
          </w:p>
        </w:tc>
        <w:tc>
          <w:tcPr>
            <w:tcW w:w="538" w:type="pct"/>
          </w:tcPr>
          <w:p w:rsidR="00CB09CD" w:rsidRPr="00B95276" w:rsidRDefault="00B95276" w:rsidP="00B95276">
            <w:pPr>
              <w:pStyle w:val="TableParagraph"/>
              <w:ind w:left="105"/>
              <w:jc w:val="center"/>
              <w:rPr>
                <w:rFonts w:ascii="Arial" w:hAnsi="Arial" w:cs="Arial"/>
                <w:sz w:val="16"/>
                <w:szCs w:val="16"/>
              </w:rPr>
            </w:pPr>
            <w:r>
              <w:rPr>
                <w:rFonts w:ascii="Arial" w:hAnsi="Arial" w:cs="Arial"/>
                <w:sz w:val="16"/>
                <w:szCs w:val="16"/>
              </w:rPr>
              <w:t>100</w:t>
            </w:r>
          </w:p>
        </w:tc>
        <w:tc>
          <w:tcPr>
            <w:tcW w:w="596" w:type="pct"/>
          </w:tcPr>
          <w:p w:rsidR="00CB09CD" w:rsidRPr="00B95276" w:rsidRDefault="00CB09CD" w:rsidP="00B95276">
            <w:pPr>
              <w:pStyle w:val="TableParagraph"/>
              <w:ind w:left="104"/>
              <w:jc w:val="center"/>
              <w:rPr>
                <w:rFonts w:ascii="Arial" w:hAnsi="Arial" w:cs="Arial"/>
                <w:sz w:val="16"/>
                <w:szCs w:val="16"/>
              </w:rPr>
            </w:pPr>
            <w:r w:rsidRPr="0041704C">
              <w:rPr>
                <w:rFonts w:ascii="Arial" w:hAnsi="Arial" w:cs="Arial"/>
                <w:sz w:val="16"/>
                <w:szCs w:val="16"/>
              </w:rPr>
              <w:t>4</w:t>
            </w:r>
          </w:p>
        </w:tc>
        <w:tc>
          <w:tcPr>
            <w:tcW w:w="505" w:type="pct"/>
          </w:tcPr>
          <w:p w:rsidR="00CB09CD" w:rsidRPr="00B95276" w:rsidRDefault="00B95276" w:rsidP="00B95276">
            <w:pPr>
              <w:pStyle w:val="TableParagraph"/>
              <w:ind w:left="102"/>
              <w:jc w:val="center"/>
              <w:rPr>
                <w:rFonts w:ascii="Arial" w:hAnsi="Arial" w:cs="Arial"/>
                <w:sz w:val="16"/>
                <w:szCs w:val="16"/>
              </w:rPr>
            </w:pPr>
            <w:r>
              <w:rPr>
                <w:rFonts w:ascii="Arial" w:hAnsi="Arial" w:cs="Arial"/>
                <w:sz w:val="16"/>
                <w:szCs w:val="16"/>
              </w:rPr>
              <w:t>6</w:t>
            </w:r>
          </w:p>
        </w:tc>
        <w:tc>
          <w:tcPr>
            <w:tcW w:w="596" w:type="pct"/>
          </w:tcPr>
          <w:p w:rsidR="00CB09CD" w:rsidRPr="00B95276" w:rsidRDefault="00CB09CD" w:rsidP="00B95276">
            <w:pPr>
              <w:pStyle w:val="TableParagraph"/>
              <w:ind w:left="101"/>
              <w:jc w:val="center"/>
              <w:rPr>
                <w:rFonts w:ascii="Arial" w:hAnsi="Arial" w:cs="Arial"/>
                <w:sz w:val="16"/>
                <w:szCs w:val="16"/>
              </w:rPr>
            </w:pPr>
            <w:r w:rsidRPr="00B95276">
              <w:rPr>
                <w:rFonts w:ascii="Arial" w:hAnsi="Arial" w:cs="Arial"/>
                <w:sz w:val="16"/>
                <w:szCs w:val="16"/>
              </w:rPr>
              <w:t>16</w:t>
            </w:r>
          </w:p>
        </w:tc>
        <w:tc>
          <w:tcPr>
            <w:tcW w:w="501" w:type="pct"/>
          </w:tcPr>
          <w:p w:rsidR="00CB09CD" w:rsidRPr="00B95276" w:rsidRDefault="00B95276" w:rsidP="00B95276">
            <w:pPr>
              <w:pStyle w:val="TableParagraph"/>
              <w:ind w:left="97"/>
              <w:jc w:val="center"/>
              <w:rPr>
                <w:rFonts w:ascii="Arial" w:hAnsi="Arial" w:cs="Arial"/>
                <w:sz w:val="16"/>
                <w:szCs w:val="16"/>
              </w:rPr>
            </w:pPr>
            <w:r>
              <w:rPr>
                <w:rFonts w:ascii="Arial" w:hAnsi="Arial" w:cs="Arial"/>
                <w:sz w:val="16"/>
                <w:szCs w:val="16"/>
              </w:rPr>
              <w:t>25</w:t>
            </w:r>
          </w:p>
        </w:tc>
      </w:tr>
    </w:tbl>
    <w:p w:rsidR="00013B61" w:rsidRPr="00CB09CD" w:rsidRDefault="00013B61">
      <w:pPr>
        <w:rPr>
          <w:sz w:val="16"/>
          <w:szCs w:val="16"/>
        </w:rPr>
      </w:pPr>
      <w:bookmarkStart w:id="60" w:name="Frage_Nr_29_Ende"/>
      <w:bookmarkEnd w:id="60"/>
      <w:r w:rsidRPr="00CB09CD">
        <w:rPr>
          <w:sz w:val="16"/>
          <w:szCs w:val="16"/>
        </w:rP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Gabriele</w:t>
            </w:r>
            <w:r>
              <w:rPr>
                <w:b/>
              </w:rPr>
              <w:br/>
              <w:t>Triebel</w:t>
            </w:r>
            <w:r>
              <w:rPr>
                <w:b/>
              </w:rPr>
              <w:br/>
            </w:r>
            <w:r>
              <w:t>(BÜNDNIS 90/DIE GRÜNEN)</w:t>
            </w:r>
            <w:bookmarkStart w:id="61" w:name="Frage_Nr_30"/>
            <w:bookmarkEnd w:id="61"/>
          </w:p>
        </w:tc>
        <w:tc>
          <w:tcPr>
            <w:tcW w:w="5733" w:type="dxa"/>
          </w:tcPr>
          <w:p w:rsidR="0049313C" w:rsidRPr="00D0635E" w:rsidRDefault="0049313C" w:rsidP="00D0635E">
            <w:pPr>
              <w:pStyle w:val="LTAnfrageText"/>
            </w:pPr>
            <w:r w:rsidRPr="00D0635E">
              <w:t>Nachdem Schülerinnen und Schüler in Bayern regelmäßig Coronatests machen müssen, wenn sie nicht geimpft oder genesen sind und Masken tragen, ansonsten dürfen sie die Schule nicht betreten, es jedoch einige Schülerinnen und Schüler gibt, die sowohl Tests als auch Maskentragen verweigern und im Zuge dessen dem Unterricht fernbleiben und die Staatsregierung dem nun eine Androhung von Bußgeldern entgegengesetzt hat und damit den Schulleitungen gemäß Art. 119 Bayerisches Erziehungs- und Unterrichtswesensgesetz (BayEUG) Rechtssicherheit gegeben hat, frage ich die Staatsregierung, wie viele Ordnungswidrigkeiten wurden durch die Verletzung der Schulpflicht („Schulschwänzen“) gemäß Art. 119 BayEUG bisher angezeigt und wie viele Bußgeldbescheide wurden in welcher Höhe bisher erlassen (bitte aufschlüsseln nach Regierungsbezirken und Schularten)?</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Unterricht und Kultus</w:t>
      </w:r>
    </w:p>
    <w:p w:rsidR="00013B61" w:rsidRDefault="00013B61" w:rsidP="00013B61">
      <w:pPr>
        <w:pStyle w:val="LTAntwortRessortText"/>
      </w:pPr>
      <w:r>
        <w:t xml:space="preserve">Zur Sanktionierung einer Schulpflichtverletzung kommen </w:t>
      </w:r>
      <w:r w:rsidR="00463285">
        <w:t>–</w:t>
      </w:r>
      <w:r>
        <w:t xml:space="preserve"> unter Berücksichtigung</w:t>
      </w:r>
      <w:r w:rsidR="00A568D6">
        <w:t xml:space="preserve"> </w:t>
      </w:r>
      <w:r>
        <w:t xml:space="preserve">der Umstände des jeweiligen Einzelfalls </w:t>
      </w:r>
      <w:r w:rsidR="00463285">
        <w:t>–</w:t>
      </w:r>
      <w:r>
        <w:t xml:space="preserve"> die üblichen schulrechtlichen Instrumentarien</w:t>
      </w:r>
      <w:r w:rsidR="00A568D6">
        <w:t xml:space="preserve"> </w:t>
      </w:r>
      <w:r>
        <w:t>in Betracht, wie etwa Erziehungs- und Ordnungsmaßnahmen nach Art. 86 ff.</w:t>
      </w:r>
      <w:r w:rsidR="00A568D6">
        <w:t xml:space="preserve"> </w:t>
      </w:r>
      <w:r w:rsidR="008067F2" w:rsidRPr="008067F2">
        <w:t>Bayerisches Gesetz über das Erziehungs- und Unterrichtswesen</w:t>
      </w:r>
      <w:r w:rsidR="008067F2">
        <w:t xml:space="preserve"> (</w:t>
      </w:r>
      <w:r>
        <w:t>BayEUG</w:t>
      </w:r>
      <w:r w:rsidR="008067F2">
        <w:t>)</w:t>
      </w:r>
      <w:r>
        <w:t>. Auch hier gilt, dass alle Maßnahmen nach dem Grundsatz der Verhältnismäßigkeit</w:t>
      </w:r>
      <w:r w:rsidR="00A568D6">
        <w:t xml:space="preserve"> </w:t>
      </w:r>
      <w:r>
        <w:t>(vgl. Art. 86 Abs. 1 Satz 4 BayEUG), in Würdigung des jeweiligen Einzelfalls</w:t>
      </w:r>
      <w:r w:rsidR="00A568D6">
        <w:t xml:space="preserve"> </w:t>
      </w:r>
      <w:r>
        <w:t>und entsprechend der übergeordneten Zielsetzung der Maßnahme (Teilnahme</w:t>
      </w:r>
      <w:r w:rsidR="00A568D6">
        <w:t xml:space="preserve"> </w:t>
      </w:r>
      <w:r>
        <w:t>am Präsenzunterricht) auszuwählen sind. Zudem kann eine Schulpflichtverletzung</w:t>
      </w:r>
      <w:r w:rsidR="00A568D6">
        <w:t xml:space="preserve"> </w:t>
      </w:r>
      <w:r>
        <w:t>als Ordnungswidrigkeit nach Art. 119 Abs. 1 Nr. 2 und 4 BayEUG sowohl gegenüber</w:t>
      </w:r>
      <w:r w:rsidR="00A568D6">
        <w:t xml:space="preserve"> </w:t>
      </w:r>
      <w:r>
        <w:t>Schülerinnen und Schülern als auch gegenüber deren Erziehungsberechtigten durch</w:t>
      </w:r>
      <w:r w:rsidR="00A568D6">
        <w:t xml:space="preserve"> </w:t>
      </w:r>
      <w:r>
        <w:t>die örtlich zuständigen Kreisverwaltungsbehörden geahndet werden.</w:t>
      </w:r>
    </w:p>
    <w:p w:rsidR="00013B61" w:rsidRDefault="00013B61" w:rsidP="00013B61">
      <w:pPr>
        <w:pStyle w:val="LTAntwortRessortText"/>
      </w:pPr>
      <w:r>
        <w:t xml:space="preserve">Die Ausführungen </w:t>
      </w:r>
      <w:r w:rsidR="00C03216">
        <w:t>–</w:t>
      </w:r>
      <w:r>
        <w:t xml:space="preserve"> insbesondere zu den zur Verfügung stehenden Ahndungsmöglichkeiten</w:t>
      </w:r>
      <w:r w:rsidR="00A568D6">
        <w:t xml:space="preserve"> </w:t>
      </w:r>
      <w:r w:rsidR="00CE0660">
        <w:t>–</w:t>
      </w:r>
      <w:r>
        <w:t xml:space="preserve"> gelten für die im Schulgebäude gemäß §§ 13 Abs. 1 in Verbindung mit §</w:t>
      </w:r>
      <w:r w:rsidR="00CE0660">
        <w:t> </w:t>
      </w:r>
      <w:r>
        <w:t xml:space="preserve">2 der </w:t>
      </w:r>
      <w:r w:rsidR="00026227" w:rsidRPr="00026227">
        <w:t>Vierzehnte</w:t>
      </w:r>
      <w:r w:rsidR="00026227">
        <w:t>n</w:t>
      </w:r>
      <w:r w:rsidR="00026227" w:rsidRPr="00026227">
        <w:t xml:space="preserve"> Bayerische</w:t>
      </w:r>
      <w:r w:rsidR="00084C87">
        <w:t>n</w:t>
      </w:r>
      <w:r w:rsidR="00026227" w:rsidRPr="00026227">
        <w:t xml:space="preserve"> Infektionsschutzmaßnahmenverordnung </w:t>
      </w:r>
      <w:r w:rsidR="00026227">
        <w:t>(</w:t>
      </w:r>
      <w:r>
        <w:t>14. BayIfSMV</w:t>
      </w:r>
      <w:r w:rsidR="00026227">
        <w:t>)</w:t>
      </w:r>
      <w:r>
        <w:t xml:space="preserve"> bestehende Maskenpflicht entsprechend.</w:t>
      </w:r>
    </w:p>
    <w:p w:rsidR="00013B61" w:rsidRDefault="00013B61" w:rsidP="00013B61">
      <w:pPr>
        <w:pStyle w:val="LTAntwortRessortText"/>
      </w:pPr>
      <w:r>
        <w:t>Der Staatsregierung liegt keine systematische Erfassung und Auswertung dahingehend</w:t>
      </w:r>
      <w:r w:rsidR="00A568D6">
        <w:t xml:space="preserve"> </w:t>
      </w:r>
      <w:r>
        <w:t>vor, wie viele mutmaßliche Schulpflichtverletzungen in oben dargelegtem Zusammenhang</w:t>
      </w:r>
      <w:r w:rsidR="00A568D6">
        <w:t xml:space="preserve"> </w:t>
      </w:r>
      <w:r>
        <w:t>von den Schulleitungen bei den Kreisverwaltungsbehörden bisher zur</w:t>
      </w:r>
      <w:r w:rsidR="007B709A">
        <w:t xml:space="preserve"> </w:t>
      </w:r>
      <w:r>
        <w:t>Anzeige gebracht und/oder wie viele Bußgeldbescheide (in einer bestimmten Höhe)</w:t>
      </w:r>
      <w:r w:rsidR="007B709A">
        <w:t xml:space="preserve"> </w:t>
      </w:r>
      <w:r>
        <w:t>von den zuständigen Behörden auf dieser Grundlage erlassen wurden. Auf eine Abfrage</w:t>
      </w:r>
      <w:r w:rsidR="007B709A">
        <w:t xml:space="preserve"> </w:t>
      </w:r>
      <w:r>
        <w:t>bei den einzelnen Schulen, Schulaufsichts- und Kreisverwaltungsbehörden</w:t>
      </w:r>
      <w:r w:rsidR="007B709A">
        <w:t xml:space="preserve"> </w:t>
      </w:r>
      <w:r>
        <w:t>wurde aufgrund des damit verbundenen Verwaltungsa</w:t>
      </w:r>
      <w:r w:rsidR="00CE0660">
        <w:t>ufwands für diese –</w:t>
      </w:r>
      <w:r>
        <w:t xml:space="preserve"> gerade im</w:t>
      </w:r>
      <w:r w:rsidR="007B709A">
        <w:t xml:space="preserve"> </w:t>
      </w:r>
      <w:r>
        <w:t>Hinblick auf die erhebliche Be</w:t>
      </w:r>
      <w:r w:rsidR="00CE0660">
        <w:t>anspruchung in dieser Pandemie –</w:t>
      </w:r>
      <w:r>
        <w:t xml:space="preserve"> verzichtet und wäre</w:t>
      </w:r>
      <w:r w:rsidR="007B709A">
        <w:t xml:space="preserve"> </w:t>
      </w:r>
      <w:r>
        <w:t>in der kurzen Fristsetzung auch nicht möglich gewesen.</w:t>
      </w:r>
    </w:p>
    <w:p w:rsidR="00013B61" w:rsidRDefault="00013B61">
      <w:bookmarkStart w:id="62" w:name="Frage_Nr_30_Ende"/>
      <w:bookmarkEnd w:id="62"/>
      <w:r>
        <w:br w:type="page"/>
      </w:r>
    </w:p>
    <w:p w:rsidR="00013B61" w:rsidRDefault="00013B61" w:rsidP="00013B61">
      <w:pPr>
        <w:pStyle w:val="LTUeberschrRessort"/>
      </w:pPr>
      <w:r>
        <w:lastRenderedPageBreak/>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9313C" w:rsidTr="0049313C">
        <w:tc>
          <w:tcPr>
            <w:tcW w:w="1852" w:type="dxa"/>
          </w:tcPr>
          <w:p w:rsidR="0049313C" w:rsidRDefault="0049313C" w:rsidP="0049313C">
            <w:pPr>
              <w:pStyle w:val="LTAnfrageInitiator"/>
            </w:pPr>
            <w:r>
              <w:t>Abgeordneter</w:t>
            </w:r>
            <w:r>
              <w:rPr>
                <w:b/>
              </w:rPr>
              <w:br/>
              <w:t>Dr. Wolfgang</w:t>
            </w:r>
            <w:r>
              <w:rPr>
                <w:b/>
              </w:rPr>
              <w:br/>
              <w:t>Heubisch</w:t>
            </w:r>
            <w:r>
              <w:rPr>
                <w:b/>
              </w:rPr>
              <w:br/>
            </w:r>
            <w:r>
              <w:t>(FDP)</w:t>
            </w:r>
            <w:bookmarkStart w:id="63" w:name="Frage_Nr_31"/>
            <w:bookmarkEnd w:id="63"/>
          </w:p>
        </w:tc>
        <w:tc>
          <w:tcPr>
            <w:tcW w:w="5764" w:type="dxa"/>
          </w:tcPr>
          <w:p w:rsidR="0049313C" w:rsidRPr="00D0635E" w:rsidRDefault="0049313C" w:rsidP="00D0635E">
            <w:pPr>
              <w:pStyle w:val="LTAnfrageText"/>
            </w:pPr>
            <w:r w:rsidRPr="00D0635E">
              <w:t>Vor dem Hintergrund der wegen stark steigender Inzidenzen drohenden neuerlichen Einschränkungen für Kunst, Kultur und Kinos, der Schließung von Clubs, der Einführung von 2G+ sowie einer – kaum wirtschaftlichen – Zuschauer-Maximalauslastung von 25 Prozent, frage ich die Staatsregierung, welche der bestehenden Hilfsprogramme (z. B. Soloselbstständigenprogramm, Spielstätten- und Veranstalterprogramm) für die Betroffenen fortgeführt werden sollen, wie lange diese fortgeführt werden sollen (bitte Höhe des finanziellen Umfangs angeben) und welcher weiterer Handlungsbedarf hinsichtlich der Stabilisierung von Kunst, Kultur, Kinos und Clubs während der Coronapandemie erforderlich ist?</w:t>
            </w:r>
          </w:p>
        </w:tc>
        <w:tc>
          <w:tcPr>
            <w:tcW w:w="5764" w:type="dxa"/>
          </w:tcPr>
          <w:p w:rsidR="0049313C" w:rsidRDefault="0049313C" w:rsidP="0049313C">
            <w:pPr>
              <w:pStyle w:val="LTAnfrageText"/>
            </w:pPr>
          </w:p>
        </w:tc>
      </w:tr>
    </w:tbl>
    <w:p w:rsidR="00013B61" w:rsidRDefault="00013B61" w:rsidP="00013B61">
      <w:pPr>
        <w:pStyle w:val="LTUeberschrAntwortRessort"/>
      </w:pPr>
      <w:r>
        <w:t>Antwort des Staatsministeriums für Wissenschaft und Kunst</w:t>
      </w:r>
    </w:p>
    <w:p w:rsidR="00013B61" w:rsidRDefault="00013B61" w:rsidP="00013B61">
      <w:pPr>
        <w:pStyle w:val="LTAntwortRessortText"/>
      </w:pPr>
      <w:r>
        <w:t>Das Staatsministerium für Wissenschaft und Kuns</w:t>
      </w:r>
      <w:r w:rsidR="00CE0660">
        <w:t>t beantwortet die Anfrage in Ab</w:t>
      </w:r>
      <w:r>
        <w:t xml:space="preserve">stimmung mit dem Staatsministerium für Wirtschaft, Landesentwicklung und Energie sowie dem Staatsministerium für Digitales </w:t>
      </w:r>
      <w:r w:rsidR="00CE0660">
        <w:t xml:space="preserve">(StMD) </w:t>
      </w:r>
      <w:r>
        <w:t>wie folgt:</w:t>
      </w:r>
    </w:p>
    <w:p w:rsidR="002A77AD" w:rsidRDefault="00013B61" w:rsidP="00013B61">
      <w:pPr>
        <w:pStyle w:val="LTAntwortRessortText"/>
      </w:pPr>
      <w:r>
        <w:t>Die Staatsregierung hat beschlossen</w:t>
      </w:r>
      <w:r w:rsidR="00CE0660">
        <w:t>, die bisherigen Unterstützungs</w:t>
      </w:r>
      <w:r>
        <w:t xml:space="preserve">maßnahmen für Kunst- und Kulturschaffende fortzuführen, um die lebendige Kulturlandschaft in Bayern angesichts der andauernden Pandemie zu erhalten. </w:t>
      </w:r>
    </w:p>
    <w:p w:rsidR="002A77AD" w:rsidRDefault="00013B61" w:rsidP="00013B61">
      <w:pPr>
        <w:pStyle w:val="LTAntwortRessortText"/>
      </w:pPr>
      <w:r>
        <w:t xml:space="preserve">Folgende Programme werden bis zum </w:t>
      </w:r>
      <w:r w:rsidR="00CE0660">
        <w:t>31.</w:t>
      </w:r>
      <w:r w:rsidR="00B141F3">
        <w:t>03.</w:t>
      </w:r>
      <w:r>
        <w:t xml:space="preserve">2022 verlängert: Das Hilfsprogramm für soloselbstständige Künstlerinnen und Künstler </w:t>
      </w:r>
      <w:r w:rsidR="00CE0660">
        <w:t>sowie Angehörige kulturnaher Be</w:t>
      </w:r>
      <w:r>
        <w:t>rufe, das Stipendienprogramm zur Unterstützung von Künstlerinnen und Künstlern in der Anfangsphase ihres professionellen Schaffens, d</w:t>
      </w:r>
      <w:r w:rsidR="00CE0660">
        <w:t>as Spielstätten- und Veranstalt</w:t>
      </w:r>
      <w:r>
        <w:t>erprogramm und das Hilfsprogramm für die Laien</w:t>
      </w:r>
      <w:r w:rsidR="00CE0660">
        <w:t>musik. Die Verlängerung der Pro</w:t>
      </w:r>
      <w:r>
        <w:t xml:space="preserve">gramme steht damit im Einklang mit der Verlängerung der Bundeswirtschaftshilfen. </w:t>
      </w:r>
    </w:p>
    <w:p w:rsidR="00013B61" w:rsidRDefault="00013B61" w:rsidP="00013B61">
      <w:pPr>
        <w:pStyle w:val="LTAntwortRessortText"/>
      </w:pPr>
      <w:r>
        <w:t xml:space="preserve">Auch die Unterstützung der staatlichen Kultureinrichtungen und der nichtstaatlichen institutionellen Förderempfänger wird im Jahr 2022 fortgesetzt. Außerdem werden Mittel für die Weiterführung der Internetplattform </w:t>
      </w:r>
      <w:r w:rsidR="00E832CF">
        <w:t>„</w:t>
      </w:r>
      <w:r>
        <w:t>Bayern spielt</w:t>
      </w:r>
      <w:r w:rsidR="00E832CF">
        <w:t>“</w:t>
      </w:r>
      <w:r>
        <w:t>, ein Service- und Beratungsangebot für die Branche, zur Verfügung gestellt.</w:t>
      </w:r>
    </w:p>
    <w:p w:rsidR="00013B61" w:rsidRDefault="00013B61" w:rsidP="00013B61">
      <w:pPr>
        <w:pStyle w:val="LTAntwortRessortText"/>
      </w:pPr>
      <w:r>
        <w:t>Damit wird ein deutliches Zeichen gesetzt, dass die Staatsregierung alles daransetzt, die bayerische Kulturlandschaft weiter zu stabilisier</w:t>
      </w:r>
      <w:r w:rsidR="00CE0660">
        <w:t>en und durch die anhaltende Kri</w:t>
      </w:r>
      <w:r>
        <w:t>se zu lotsen.</w:t>
      </w:r>
    </w:p>
    <w:p w:rsidR="00013B61" w:rsidRDefault="00013B61" w:rsidP="00013B61">
      <w:pPr>
        <w:pStyle w:val="LTAntwortRessortText"/>
      </w:pPr>
      <w:r>
        <w:t>Angesichts der unsicheren, nicht vorhersehbaren pandemischen Lage lässt sich der finanzielle Bedarf für die Fortsetzung der Program</w:t>
      </w:r>
      <w:r w:rsidR="00CE0660">
        <w:t>me aktuell noch nicht seriös ab</w:t>
      </w:r>
      <w:r>
        <w:t>schätzen.</w:t>
      </w:r>
    </w:p>
    <w:p w:rsidR="00013B61" w:rsidRDefault="00013B61" w:rsidP="00013B61">
      <w:pPr>
        <w:pStyle w:val="LTAntwortRessortText"/>
      </w:pPr>
      <w:r>
        <w:t>Darüber hinaus stehen betroffenen Unternehmen und Selbstständigen umfassende Hilfsprogramme zur Verfügung. Der Bund steht hierbei</w:t>
      </w:r>
      <w:r w:rsidR="00CE0660">
        <w:t xml:space="preserve"> in der Pflicht, für einen ange</w:t>
      </w:r>
      <w:r>
        <w:t>messenen Ausgleich der Corona</w:t>
      </w:r>
      <w:r w:rsidR="00B141F3">
        <w:t>m</w:t>
      </w:r>
      <w:r>
        <w:t>aßnahmen auf Grundlage des Infektionsschutzgesetzes zu sorgen.</w:t>
      </w:r>
    </w:p>
    <w:p w:rsidR="00013B61" w:rsidRDefault="00013B61" w:rsidP="00013B61">
      <w:pPr>
        <w:pStyle w:val="LTAntwortRessortText"/>
      </w:pPr>
      <w:r>
        <w:lastRenderedPageBreak/>
        <w:t>Die Überbrückungshilfe III Plus soll nach dem Beschluss der Bundeskanzlerin und der Ministerpräsidenten vom 18.</w:t>
      </w:r>
      <w:r w:rsidR="00F64934">
        <w:t>11.</w:t>
      </w:r>
      <w:r>
        <w:t>2021 bis 31.</w:t>
      </w:r>
      <w:r w:rsidR="00F64934">
        <w:t>03.</w:t>
      </w:r>
      <w:r>
        <w:t>2022 verlängert werden. Dieses Vorgehen ermöglicht den Unternehmen eine rasche Antragstellung und Auszahlung, denn das Hilfsprogramm der Überbrückungshilfen existiert bereits. Die I</w:t>
      </w:r>
      <w:r w:rsidR="00CE0660">
        <w:t>ndustrie- und Handelskammer</w:t>
      </w:r>
      <w:r>
        <w:t xml:space="preserve"> für München und Oberbayern steht als zentrale</w:t>
      </w:r>
      <w:r w:rsidR="00CE0660">
        <w:t xml:space="preserve"> Bewilligungsstelle der Überbrü</w:t>
      </w:r>
      <w:r>
        <w:t>ckungshilfen für Bayern bereit.</w:t>
      </w:r>
    </w:p>
    <w:p w:rsidR="00013B61" w:rsidRDefault="00013B61" w:rsidP="00013B61">
      <w:pPr>
        <w:pStyle w:val="LTAntwortRessortText"/>
      </w:pPr>
      <w:r>
        <w:t>Von der Verlängerung der Überbrückungshilfen ist auch die Neustarthilfe umfasst, die Soloselbstständigen zugutekommt. Soloselbstständige, deren wirtschaftliche Tätigkeit im Förderzeitraum pandemiebedingt eingeschränkt ist, die aber nur geringe betriebliche Fixkosten haben, können die Neustarthilfe von bis zu 4.500 Euro pro Quartal beantragen. Die Förderhöhe beträgt 50 Pr</w:t>
      </w:r>
      <w:r w:rsidR="00CE0660">
        <w:t>ozent eines sechsmonatigen Refe</w:t>
      </w:r>
      <w:r>
        <w:t>renzumsatzes, der auf Basis des Jahresumsatzes 2019 berechnet wird.</w:t>
      </w:r>
    </w:p>
    <w:p w:rsidR="00013B61" w:rsidRDefault="00013B61" w:rsidP="00013B61">
      <w:pPr>
        <w:pStyle w:val="LTAntwortRessortText"/>
      </w:pPr>
      <w:r>
        <w:t>Die Staatsregierung setzt sich gegenüber dem Bund mit konstruktiven Vorschlägen für Verbesserungen ein. So sollten besonders betroffene Branchen wie die Nacht-gastronomie zusätzliche Unterstützung im Rahmen der Überbrückungshilfe erhalten. Ziel der Staatsregierung ist, betroffenen Unternehmen und Selbstständigen rasch Liquidität zu verschaffen und Ausgleich für die Einschränkungen der notwendigen Infektionsschutzmaßnahmen zu ermöglichen.</w:t>
      </w:r>
    </w:p>
    <w:p w:rsidR="00013B61" w:rsidRDefault="00013B61" w:rsidP="00013B61">
      <w:pPr>
        <w:pStyle w:val="LTAntwortRessortText"/>
      </w:pPr>
      <w:r>
        <w:t>Die bayerischen Kino-Anlaufhilfen, die in zwei Phase</w:t>
      </w:r>
      <w:r w:rsidR="00CE0660">
        <w:t xml:space="preserve">n, vom </w:t>
      </w:r>
      <w:r w:rsidR="00CC0E6B">
        <w:t>0</w:t>
      </w:r>
      <w:r w:rsidR="00CE0660">
        <w:t>1.</w:t>
      </w:r>
      <w:r w:rsidR="00CC0E6B">
        <w:t>07.</w:t>
      </w:r>
      <w:r w:rsidR="00CE0660">
        <w:t>2020 bis zum 30.</w:t>
      </w:r>
      <w:r w:rsidR="00CC0E6B">
        <w:t>06.</w:t>
      </w:r>
      <w:r>
        <w:t>2021 gewährt wurden, waren ein wichtiger Fakto</w:t>
      </w:r>
      <w:r w:rsidR="00CC0E6B">
        <w:t>r zur Stabilisierung der bayeri</w:t>
      </w:r>
      <w:r>
        <w:t>schen Kinolandschaft in der Pandemielage, da hierdurch den bayerischen Kinos akute und vor allem schnelle Liquiditätshilfen gewährt werden konnten. Dies hat pandemiebedingte Kinoschließungen abgewendet.</w:t>
      </w:r>
    </w:p>
    <w:p w:rsidR="00013B61" w:rsidRDefault="00013B61" w:rsidP="00013B61">
      <w:pPr>
        <w:pStyle w:val="LTAntwortRessortText"/>
      </w:pPr>
      <w:r>
        <w:t xml:space="preserve">Zum </w:t>
      </w:r>
      <w:r w:rsidR="00D13628">
        <w:t>0</w:t>
      </w:r>
      <w:r>
        <w:t>1.</w:t>
      </w:r>
      <w:r w:rsidR="00D13628">
        <w:t>07.</w:t>
      </w:r>
      <w:r>
        <w:t>2021 startete der Sonderfonds des Bundes für Kulturveranstaltungen mit einem Budget von 2,5 Mrd. Euro, wobei Kinobetreiber grundsätzlich monatlich bis zu 500.000 Euro je Kinospielstätte beanspruchen dürfen. Gleichzeitig sollen allerdings Landesmittel, die als Corona-Hilfsmittel zur Verfügung gestellt werden, im Rahmen des Sonderfonds angerechnet werden. Um einer</w:t>
      </w:r>
      <w:r w:rsidR="00CE0660">
        <w:t xml:space="preserve"> solchen Benachteiligung bayeri</w:t>
      </w:r>
      <w:r>
        <w:t>scher Finanzmittel vorzubeugen, wurden die bayerischen Kino-Anlaufhilfen nicht weiterverlängert. Der Bund hat darüber hinaus angekündigt, die sog. Überbrüc</w:t>
      </w:r>
      <w:r w:rsidR="00140235">
        <w:t>kungshilfe III-Plus bis zum 31.03.</w:t>
      </w:r>
      <w:r>
        <w:t>2022 zu verlängern, wovon</w:t>
      </w:r>
      <w:r w:rsidR="00CE0660">
        <w:t xml:space="preserve"> auch die Kinobetriebe als wirt</w:t>
      </w:r>
      <w:r>
        <w:t xml:space="preserve">schaftliche Unternehmen profitieren können. Zu diesem Zweck sowie in Fragen der praktischen Umsetzung der Corona-Auflagen steht das zuständige </w:t>
      </w:r>
      <w:r w:rsidR="00CE0660">
        <w:t xml:space="preserve">StMD </w:t>
      </w:r>
      <w:r>
        <w:t>in einem ständigen fachlichen Austa</w:t>
      </w:r>
      <w:r w:rsidR="00CE0660">
        <w:t>usch mit den einschlägigen Kino</w:t>
      </w:r>
      <w:r>
        <w:t>verbänden sowie den Kinobetreibern.</w:t>
      </w:r>
    </w:p>
    <w:p w:rsidR="00013B61" w:rsidRDefault="00013B61">
      <w:bookmarkStart w:id="64" w:name="Frage_Nr_31_Ende"/>
      <w:bookmarkEnd w:id="6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9313C" w:rsidTr="0049313C">
        <w:tc>
          <w:tcPr>
            <w:tcW w:w="1852" w:type="dxa"/>
          </w:tcPr>
          <w:p w:rsidR="0049313C" w:rsidRDefault="0049313C" w:rsidP="0049313C">
            <w:pPr>
              <w:pStyle w:val="LTAnfrageInitiator"/>
            </w:pPr>
            <w:r>
              <w:lastRenderedPageBreak/>
              <w:t>Abgeordneter</w:t>
            </w:r>
            <w:r>
              <w:rPr>
                <w:b/>
              </w:rPr>
              <w:br/>
              <w:t>Dr. Helmut</w:t>
            </w:r>
            <w:r>
              <w:rPr>
                <w:b/>
              </w:rPr>
              <w:br/>
              <w:t>Kaltenhauser</w:t>
            </w:r>
            <w:r>
              <w:rPr>
                <w:b/>
              </w:rPr>
              <w:br/>
            </w:r>
            <w:r>
              <w:t>(FDP)</w:t>
            </w:r>
            <w:bookmarkStart w:id="65" w:name="Frage_Nr_32"/>
            <w:bookmarkEnd w:id="65"/>
          </w:p>
        </w:tc>
        <w:tc>
          <w:tcPr>
            <w:tcW w:w="5764" w:type="dxa"/>
          </w:tcPr>
          <w:p w:rsidR="0049313C" w:rsidRPr="00D0635E" w:rsidRDefault="0049313C" w:rsidP="00D0635E">
            <w:pPr>
              <w:pStyle w:val="LTAnfrageText"/>
            </w:pPr>
            <w:r w:rsidRPr="00D0635E">
              <w:t>Ich frage die Staatsregierung, auf welche Kunstwerke sich die Zusage des Staatsministers für Wissenschaft und Kunst, Bernd Sibler, am Rande einer Ausstellungseröffnung in Aschaffenburg am 15.10.2021, „Wir holen die Kunst aus den Depots und bringen sie dorthin, wo sie hingehört. Und das ist keine bloße Absichtserklärung, das ist eine feste Zusage“ bezogen hat, wieweit entsprechende Planungen gediehen sind und inwieweit die Staatsregierung beabsichtigt, Kunstwerke, die im Zuge des Reichsdeputationshauptschlusses von 1 803 nach München transportiert worden sind, nach Franken zurückzugeben?</w:t>
            </w:r>
          </w:p>
        </w:tc>
        <w:tc>
          <w:tcPr>
            <w:tcW w:w="5764" w:type="dxa"/>
          </w:tcPr>
          <w:p w:rsidR="0049313C" w:rsidRDefault="0049313C" w:rsidP="0049313C">
            <w:pPr>
              <w:pStyle w:val="LTAnfrageText"/>
            </w:pPr>
          </w:p>
        </w:tc>
      </w:tr>
    </w:tbl>
    <w:p w:rsidR="00013B61" w:rsidRDefault="00013B61" w:rsidP="00013B61">
      <w:pPr>
        <w:pStyle w:val="LTUeberschrAntwortRessort"/>
      </w:pPr>
      <w:r>
        <w:t>Antwort des Staatsministeriums für Wissenschaft und Kunst</w:t>
      </w:r>
    </w:p>
    <w:p w:rsidR="00013B61" w:rsidRDefault="00013B61" w:rsidP="00013B61">
      <w:pPr>
        <w:pStyle w:val="LTAntwortRessortText"/>
      </w:pPr>
      <w:r>
        <w:t xml:space="preserve">Die Anfrage nimmt Bezug auf eine Äußerung von Herrn Staatsminister </w:t>
      </w:r>
      <w:r w:rsidR="00CE0660">
        <w:t xml:space="preserve">Bernd </w:t>
      </w:r>
      <w:r>
        <w:t xml:space="preserve">Sibler am Rande der Eröffnung der Ausstellung des KirchnerHAUS Museums Aschaffenburg </w:t>
      </w:r>
      <w:r w:rsidR="00E832CF">
        <w:t>„</w:t>
      </w:r>
      <w:r>
        <w:t>Kirchners Badende. Einheit von Mensch und Natur</w:t>
      </w:r>
      <w:r w:rsidR="00E832CF">
        <w:t>“</w:t>
      </w:r>
      <w:r>
        <w:t xml:space="preserve"> am 15.10.2021.</w:t>
      </w:r>
    </w:p>
    <w:p w:rsidR="00013B61" w:rsidRDefault="00013B61" w:rsidP="00013B61">
      <w:pPr>
        <w:pStyle w:val="LTAntwortRessortText"/>
      </w:pPr>
      <w:r>
        <w:t>Die Leiterin des KirchnerHAUS Museums berichtete Herrn Staatsminister bei diesem Anlass über das Projekt einer weiteren Ausstellung mit Werken Ernst Ludwig Kirchners in Aschaffenburg und äußerte den Wunsch, hierfür einige Werke aus dem Bestand der Bayerischen Staatsgemäldesammlungen auszuleihen.</w:t>
      </w:r>
    </w:p>
    <w:p w:rsidR="00013B61" w:rsidRDefault="00013B61" w:rsidP="002A77AD">
      <w:pPr>
        <w:pStyle w:val="LTAntwortRessortText"/>
        <w:spacing w:before="0"/>
      </w:pPr>
      <w:r>
        <w:t>Die Äußerungen von Herrn Staatsminister am Rande der genannten Veranstaltung bezogen sich auf seine grundsätzliche Unterstützung für diese Ausstellungsidee des KirchnerHAUS Museums.</w:t>
      </w:r>
    </w:p>
    <w:p w:rsidR="00013B61" w:rsidRDefault="00013B61" w:rsidP="00013B61">
      <w:pPr>
        <w:pStyle w:val="LTAntwortRessortText"/>
      </w:pPr>
      <w:r>
        <w:t>Nach Auskunft der Bayerischen Staatsgemäldesammlungen erarbeitet das Kirch-nerHAUS derzeit noch die nähere Konzeption für das Ausstellungsprojekt. Mit den Staatsgemäldesammlungen wurde vereinbart, dass diesen zu gegebener Zeit eine Leihanfrage zur wohlwollenden Prüfung übermittelt wird.</w:t>
      </w:r>
    </w:p>
    <w:p w:rsidR="00013B61" w:rsidRDefault="00013B61">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Verena</w:t>
            </w:r>
            <w:r>
              <w:rPr>
                <w:b/>
              </w:rPr>
              <w:br/>
              <w:t>Osgyan</w:t>
            </w:r>
            <w:r>
              <w:rPr>
                <w:b/>
              </w:rPr>
              <w:br/>
            </w:r>
            <w:r>
              <w:t>(BÜNDNIS 90/DIE GRÜNEN)</w:t>
            </w:r>
            <w:bookmarkStart w:id="67" w:name="Frage_Nr_33"/>
            <w:bookmarkEnd w:id="67"/>
          </w:p>
        </w:tc>
        <w:tc>
          <w:tcPr>
            <w:tcW w:w="5733" w:type="dxa"/>
          </w:tcPr>
          <w:p w:rsidR="0049313C" w:rsidRPr="00D0635E" w:rsidRDefault="0049313C" w:rsidP="00D0635E">
            <w:pPr>
              <w:pStyle w:val="LTAnfrageText"/>
            </w:pPr>
            <w:r w:rsidRPr="00D0635E">
              <w:t xml:space="preserve">Ich frage die Staatsregierung, wie in der Praxis die Einhaltung der 2G-Regelung an den bayerischen Hochschulen und Universitäten lückenlos kontrolliert und dokumentiert werden soll, ob alle Lehrveranstaltungen (zusätzlich) digital angeboten werden können und ob aufgrund der Umstellung auf 2G auch eine Verlängerung der Prüfungsfristen sowie der individuellen Regelstudienzeit erfolgt?  </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Wissenschaft und Kunst</w:t>
      </w:r>
    </w:p>
    <w:p w:rsidR="00013B61" w:rsidRDefault="00013B61" w:rsidP="00013B61">
      <w:pPr>
        <w:pStyle w:val="LTAntwortRessortText"/>
      </w:pPr>
      <w:r>
        <w:t>Auf die Frage zur Einhaltung der 2G-Regelung einschließlich deren Kontrolle und Dokumentation an den bayerischen Hochschulen kann wie folgt geantwortet werden: Das Staatsministerium steht wie bisher mit den Hochschulen des Freistaates fortlaufend in engem Austausch und informiert diese unmittelbar über neue Entwicklungen und die für den Hochschulbetrieb geltenden Regelungen zur Bewältigung der</w:t>
      </w:r>
      <w:r w:rsidR="007B709A">
        <w:t xml:space="preserve"> </w:t>
      </w:r>
      <w:r>
        <w:t>COVID-19-Pandemie, um sie bestmöglich bei der weiteren Umsetzung dieser Regelungen zu unterstützen. Aus dem bisherigen Austausch des Staatsministeriums mit den Hochschulen geht das klare Gesamtbild hervo</w:t>
      </w:r>
      <w:r w:rsidR="00CE0660">
        <w:t>r, dass der Vollzug und die Kon</w:t>
      </w:r>
      <w:r>
        <w:t>trolle der geltenden infektionsschutzrechtlichen Zugangsregelungen durch die Hochschulen des Freistaates von dem gemeinsamen Le</w:t>
      </w:r>
      <w:r w:rsidR="00CE0660">
        <w:t>itgedanken geprägt sind, die um</w:t>
      </w:r>
      <w:r>
        <w:t>fassende Einhaltung der Zugangsregelungen im Interesse des Infektions- und Gesundheitsschutzes möglichst praktikabel und verlä</w:t>
      </w:r>
      <w:r w:rsidR="00CE0660">
        <w:t>sslich sicherzustellen. Entspre</w:t>
      </w:r>
      <w:r>
        <w:t xml:space="preserve">chend sieht die 15. </w:t>
      </w:r>
      <w:r w:rsidR="00CE0660">
        <w:t xml:space="preserve">Bayerische Infektionsschutzmaßnahmenverordnung (15. </w:t>
      </w:r>
      <w:r>
        <w:t>BayIfSMV</w:t>
      </w:r>
      <w:r w:rsidR="00CE0660">
        <w:t>)</w:t>
      </w:r>
      <w:r>
        <w:t xml:space="preserve"> wirksame Zugangskon</w:t>
      </w:r>
      <w:r w:rsidR="00CE0660">
        <w:t>trollen samt Identitätsfeststel</w:t>
      </w:r>
      <w:r>
        <w:t>lung vor.</w:t>
      </w:r>
    </w:p>
    <w:p w:rsidR="00013B61" w:rsidRDefault="00013B61" w:rsidP="00013B61">
      <w:pPr>
        <w:pStyle w:val="LTAntwortRessortText"/>
      </w:pPr>
      <w:r>
        <w:t>Die Frage nach dem digitalen Lehrangebot kann wie folgt beantwortet werden: Die digitale Studierbarkeit ist bei Geltung der 2G-Regel zu gewährleisten, was aber nicht bedeutet, dass jede Lehrveranstaltung identisch in digitaler Form zugänglich zu machen ist. Entscheidend ist hier, dass die Hochschulen im Rahmen des Machbaren geeignete Angebote zum Erreichen der Lernziele und einer chancengleichen Prüfungsvorbereitung zur Verfügung stellen. Die Hochschulen des Freistaates können hierzu auf das während der COVID-19-Pandemie auf- und ausgebaute, tragfähige und bewährte Instrumentarium digitaler Lehr- und Lernkonzepte zurückgreifen.</w:t>
      </w:r>
    </w:p>
    <w:p w:rsidR="00013B61" w:rsidRDefault="00013B61" w:rsidP="00013B61">
      <w:pPr>
        <w:pStyle w:val="LTAntwortRessortText"/>
      </w:pPr>
      <w:r>
        <w:t xml:space="preserve">Auf die Frage zur Verlängerung prüfungsrechtlicher Regeltermine und Fristen sowie der individuellen Regelstudienzeit kann wie folgt </w:t>
      </w:r>
      <w:r w:rsidR="00CE0660">
        <w:t>geantwortet werden: Vor dem Hin</w:t>
      </w:r>
      <w:r>
        <w:t>tergrund der jüngsten Entwicklungen in der COVID-19-Pandemie bereitet das Staatsministerium gegenwärtig alles Notwendige vor, um eine Erstreckung der hochschulrechtlichen Bestimmungen zur Bewältigung dieser Pandemie auf das Wintersemester 2021/2022 möglichst zeitnah in ein Gesetzgebungsverfahren einbringen zu können. Auf den Aspekt der Planungs- und Rechtssicherheit für die Studierenden wird dabei besonderes Gewicht gelegt.</w:t>
      </w:r>
    </w:p>
    <w:p w:rsidR="00013B61" w:rsidRDefault="00013B61">
      <w:bookmarkStart w:id="68" w:name="Frage_Nr_33_Ende"/>
      <w:bookmarkEnd w:id="68"/>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49313C" w:rsidTr="0049313C">
        <w:tc>
          <w:tcPr>
            <w:tcW w:w="1873" w:type="dxa"/>
          </w:tcPr>
          <w:p w:rsidR="0049313C" w:rsidRDefault="0049313C" w:rsidP="0049313C">
            <w:pPr>
              <w:pStyle w:val="LTAnfrageInitiator"/>
            </w:pPr>
            <w:r>
              <w:lastRenderedPageBreak/>
              <w:t>Abgeordneter</w:t>
            </w:r>
            <w:r>
              <w:rPr>
                <w:b/>
              </w:rPr>
              <w:br/>
              <w:t>Arif</w:t>
            </w:r>
            <w:r>
              <w:rPr>
                <w:b/>
              </w:rPr>
              <w:br/>
              <w:t>Ta</w:t>
            </w:r>
            <w:r>
              <w:rPr>
                <w:rFonts w:cs="Arial"/>
                <w:b/>
              </w:rPr>
              <w:t>ş</w:t>
            </w:r>
            <w:r>
              <w:rPr>
                <w:b/>
              </w:rPr>
              <w:t>delen</w:t>
            </w:r>
            <w:r>
              <w:rPr>
                <w:b/>
              </w:rPr>
              <w:br/>
            </w:r>
            <w:r>
              <w:t>(SPD)</w:t>
            </w:r>
            <w:bookmarkStart w:id="69" w:name="Frage_Nr_34"/>
            <w:bookmarkEnd w:id="69"/>
          </w:p>
        </w:tc>
        <w:tc>
          <w:tcPr>
            <w:tcW w:w="5743" w:type="dxa"/>
          </w:tcPr>
          <w:p w:rsidR="0049313C" w:rsidRPr="00D0635E" w:rsidRDefault="0049313C" w:rsidP="00D0635E">
            <w:pPr>
              <w:pStyle w:val="LTAnfrageText"/>
            </w:pPr>
            <w:r w:rsidRPr="00D0635E">
              <w:t>Ich frage die Staatsregierung, welche Informationen sie zu den Grabungen des Bayerischen Landesamts für Denkmalpflege im Altdorfer Gewerbegebiet „An der Westtangente“ bezüglich der Funde des Landesamts, der Sicherung dieser Funde, den weiteren Ermittlungen und deren zeitlichen Ablauf hat?</w:t>
            </w:r>
          </w:p>
        </w:tc>
        <w:tc>
          <w:tcPr>
            <w:tcW w:w="5743" w:type="dxa"/>
          </w:tcPr>
          <w:p w:rsidR="0049313C" w:rsidRDefault="0049313C" w:rsidP="0049313C">
            <w:pPr>
              <w:pStyle w:val="LTAnfrageText"/>
            </w:pPr>
          </w:p>
        </w:tc>
      </w:tr>
    </w:tbl>
    <w:p w:rsidR="00013B61" w:rsidRDefault="00013B61" w:rsidP="00013B61">
      <w:pPr>
        <w:pStyle w:val="LTUeberschrAntwortRessort"/>
      </w:pPr>
      <w:r>
        <w:t>Antwort des Staatsministeriums für Wissenschaft und Kunst</w:t>
      </w:r>
    </w:p>
    <w:p w:rsidR="00013B61" w:rsidRDefault="002A77AD" w:rsidP="00013B61">
      <w:pPr>
        <w:pStyle w:val="LTAntwortRessortText"/>
      </w:pPr>
      <w:r>
        <w:t xml:space="preserve">Hierzu hat das </w:t>
      </w:r>
      <w:r w:rsidR="00013B61">
        <w:t>Landesamt für Denk</w:t>
      </w:r>
      <w:r w:rsidR="00CE0660">
        <w:t>malpflege (BLfD) folgenden Sach</w:t>
      </w:r>
      <w:r w:rsidR="00013B61">
        <w:t>stand mitgeteilt:</w:t>
      </w:r>
    </w:p>
    <w:p w:rsidR="00013B61" w:rsidRDefault="00013B61" w:rsidP="00013B61">
      <w:pPr>
        <w:pStyle w:val="LTAntwortRessortText"/>
      </w:pPr>
      <w:r>
        <w:t xml:space="preserve">Im Zuge der Bauleitplanung wies das BLfD erstmals im August 2017 und zuletzt im März 2020 auf die Vermutung von Bodendenkmälern im Bereich des Gewerbegebietes der Stadt Altdorf b. Nürnberg hin (Bpl. Nr. 51 </w:t>
      </w:r>
      <w:r w:rsidR="00E832CF">
        <w:t>„</w:t>
      </w:r>
      <w:r>
        <w:t>An der Westtangente</w:t>
      </w:r>
      <w:r w:rsidR="00E832CF">
        <w:t>“</w:t>
      </w:r>
      <w:r w:rsidR="00CE0660">
        <w:t>). Ausschlag</w:t>
      </w:r>
      <w:r>
        <w:t>gebend dafür war die unmittelbare Nähe zu mehreren bekannten Bodendenkmälern. Die für Bodeneingriffe deshalb erforderliche denkmalrechtliche Erlaubnis wurde bei der zuständigen Unteren Denkmalschutzbehörde beantragt und am 22.09.2020 erteilt.</w:t>
      </w:r>
    </w:p>
    <w:p w:rsidR="00013B61" w:rsidRDefault="00013B61" w:rsidP="002A77AD">
      <w:pPr>
        <w:pStyle w:val="LTAntwortRessortText"/>
        <w:spacing w:before="0"/>
      </w:pPr>
      <w:r>
        <w:t>Im November 2020 wurden bei Voruntersuchungen 89 Befunde auf dem insgesamt 7</w:t>
      </w:r>
      <w:r w:rsidR="00696A7F">
        <w:t> </w:t>
      </w:r>
      <w:r>
        <w:t>ha großen Plangebiet festgestellt. Die Arbeiten wurden daraufhin unterbrochen. Die Gründe dafür sind dem BLfD nicht bekannt. Ab dem 05.10.2021 wurden die archäologischen Arbeiten wieder aufgenommen.</w:t>
      </w:r>
    </w:p>
    <w:p w:rsidR="00013B61" w:rsidRDefault="00013B61" w:rsidP="00013B61">
      <w:pPr>
        <w:pStyle w:val="LTAntwortRessortText"/>
      </w:pPr>
      <w:r>
        <w:t xml:space="preserve">Bereits nach Abschluss der Voruntersuchungen und zuletzt am 09.03.2021 hat das BLfD den Erlaubnisinhaber über die Zwischenergebnisse informiert und zur weiteren Vorgehensweise aus fachlicher Sicht beraten. Hierzu zählen insbesondere Ausgrabungs- und Dokumentationsarbeiten im Hallenbereich mit tieferen Bodeneingriffen, aber auch Möglichkeiten der Eingriffsminimierung </w:t>
      </w:r>
      <w:r w:rsidR="00696A7F">
        <w:t>bzw. für eine sogenannte konser</w:t>
      </w:r>
      <w:r>
        <w:t>vatorische Überdeckung in großen Teilen der übrigen Fläche. Der Vorhabenträger veranlasste nach Mitteilung des BLfD eine geophysikalische Prospektion im Frühjahr</w:t>
      </w:r>
      <w:r w:rsidR="007B709A">
        <w:t xml:space="preserve"> </w:t>
      </w:r>
      <w:r>
        <w:t>2021 sowie weitere Sondierungen durch die von ihm beauftragte Grabungsfirma. Beides geschah ohne Abstimmung mit dem BLfD.</w:t>
      </w:r>
    </w:p>
    <w:p w:rsidR="00013B61" w:rsidRDefault="00013B61" w:rsidP="00013B61">
      <w:pPr>
        <w:pStyle w:val="LTAntwortRessortText"/>
      </w:pPr>
      <w:r>
        <w:t>Bei den Sondierungen wurden weitere, zumeist locker gestreute Siedlungsbefunde im nördlichen Drittel des Areals sowie ein spätbronzezeitliches Grab erfass</w:t>
      </w:r>
      <w:r w:rsidR="00696A7F">
        <w:t>t und ge</w:t>
      </w:r>
      <w:r>
        <w:t>borgen. Weitere Strukturen zeichnen sich unter einer kolluvialen Überdeckung ab. Da für deren fachgerechte Ausgrabung und Dokumentation mit einem erheblichen und derzeit nicht abschätzbaren Aufwand gerechnet werden muss, fand am 29.10.2021 ein weiterer Beratungstermin vor Ort mit Vertretern des BLfD und der Unteren Denkmalschutzbehörde statt.</w:t>
      </w:r>
    </w:p>
    <w:p w:rsidR="00013B61" w:rsidRDefault="00013B61" w:rsidP="00013B61">
      <w:pPr>
        <w:pStyle w:val="LTAntwortRessortText"/>
      </w:pPr>
      <w:r>
        <w:t>Dem Vorhabenträger wurden dabei nochmals alternative Lösungen in Form einer sog. konservatorischen Überdeckung empfohlen. Dabei wird, verbunden mit dem Verzicht auf tiefgreifende Bodeneingriffe, oberhalb des Befundhorizontes eine Schicht aus Sand, Geovlies und Schotter eingebr</w:t>
      </w:r>
      <w:r w:rsidR="00696A7F">
        <w:t>acht. Auf archäologische Ausgra</w:t>
      </w:r>
      <w:r>
        <w:t>bungen kann in den überdeckten Teilflächen anschließend weitgehend verzichtet werden. Die vorhandenen Bodendenkmäler bleiben</w:t>
      </w:r>
      <w:r w:rsidR="00696A7F">
        <w:t xml:space="preserve"> erhalten. Für den Bauherrn bie</w:t>
      </w:r>
      <w:r>
        <w:t>tet diese Vorgehensweise erhebliche Zeit- und Kost</w:t>
      </w:r>
      <w:r w:rsidR="00696A7F">
        <w:t>envorteile sowie Planungssicher</w:t>
      </w:r>
      <w:r>
        <w:t>heit.</w:t>
      </w:r>
    </w:p>
    <w:p w:rsidR="00013B61" w:rsidRDefault="00013B61" w:rsidP="00013B61">
      <w:pPr>
        <w:pStyle w:val="LTAntwortRessortText"/>
      </w:pPr>
      <w:r>
        <w:t>Wo tiefere Bodeneingriffe bauseitig unvermeidbar sind (</w:t>
      </w:r>
      <w:r w:rsidR="004A5D9A">
        <w:t>z. B.</w:t>
      </w:r>
      <w:r>
        <w:t xml:space="preserve"> Hallenbereich) wird eine flächige Ausgrabung im Bauumgriff erforderlich. Aus denkmalfachlicher Sicht </w:t>
      </w:r>
      <w:r>
        <w:lastRenderedPageBreak/>
        <w:t>sollte hier ein Bereich mit möglichst wenigen Befunden gewählt werden. Ein diesbezügliches Abstimmungsgespräch ist noch für die laufende Kalenderwoche 47 terminiert. Nach Auskunft der Bauherren ist der geplante Baubeginn zum Mai 2022 angesetzt. Bei Berücksichtigung der o.</w:t>
      </w:r>
      <w:r w:rsidR="00696A7F">
        <w:t> </w:t>
      </w:r>
      <w:r>
        <w:t xml:space="preserve">g. Empfehlungen erscheint aus Sicht des BLfD eine Realisierung dieses Vorhabens möglich, zumal der </w:t>
      </w:r>
      <w:r w:rsidR="00696A7F">
        <w:t>vorhandene Sandboden archäologi</w:t>
      </w:r>
      <w:r>
        <w:t>sche Arbeiten vor Ort auch bei niedrigen Temperaturen im Winter erlaubt.</w:t>
      </w:r>
    </w:p>
    <w:p w:rsidR="00013B61" w:rsidRDefault="00013B61" w:rsidP="002A77AD">
      <w:pPr>
        <w:pStyle w:val="LTAntwortRessortText"/>
        <w:spacing w:before="0"/>
      </w:pPr>
      <w:r>
        <w:t>Voraussetzung dafür ist die enge Abstimmung aller weiteren Maßnahmen vor Ort mit der Fachbehörde. Die Mitarbeiterinnen und Mitarbei</w:t>
      </w:r>
      <w:r w:rsidR="00696A7F">
        <w:t>ter des BLfD (Dienststelle Nürn</w:t>
      </w:r>
      <w:r>
        <w:t>berg) stehen dafür weiterhin gerne zur Verfügung.</w:t>
      </w:r>
    </w:p>
    <w:p w:rsidR="00013B61" w:rsidRDefault="00013B61">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Dr. Sabine</w:t>
            </w:r>
            <w:r>
              <w:rPr>
                <w:b/>
              </w:rPr>
              <w:br/>
              <w:t>Weigand</w:t>
            </w:r>
            <w:r>
              <w:rPr>
                <w:b/>
              </w:rPr>
              <w:br/>
            </w:r>
            <w:r>
              <w:t>(BÜNDNIS 90/DIE GRÜNEN)</w:t>
            </w:r>
            <w:bookmarkStart w:id="71" w:name="Frage_Nr_35"/>
            <w:bookmarkEnd w:id="71"/>
          </w:p>
        </w:tc>
        <w:tc>
          <w:tcPr>
            <w:tcW w:w="5733" w:type="dxa"/>
          </w:tcPr>
          <w:p w:rsidR="0049313C" w:rsidRPr="00D0635E" w:rsidRDefault="0049313C" w:rsidP="00D0635E">
            <w:pPr>
              <w:pStyle w:val="LTAnfrageText"/>
            </w:pPr>
            <w:r w:rsidRPr="00D0635E">
              <w:t>Ich frage die Staatsregierung, aus welchen Gründen wurde der Förderbereich „Denkmalpflege“ beim Kulturfonds Bayern abgeschafft, wie viele Mittel wurden in den letzten drei Jahren vor Aussetzung für Denkmale ausgeschüttet und auf wessen Veranlassung wurde der Förderbereich herausgenommen?</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Wissenschaft und Kunst</w:t>
      </w:r>
    </w:p>
    <w:p w:rsidR="00013B61" w:rsidRDefault="00013B61" w:rsidP="00013B61">
      <w:pPr>
        <w:pStyle w:val="LTAntwortRessortText"/>
      </w:pPr>
      <w:r>
        <w:t>Das St</w:t>
      </w:r>
      <w:r w:rsidR="00696A7F">
        <w:t>aatsministerium für Wissenschaft und Kunst (St</w:t>
      </w:r>
      <w:r>
        <w:t>MWK</w:t>
      </w:r>
      <w:r w:rsidR="00696A7F">
        <w:t>)</w:t>
      </w:r>
      <w:r>
        <w:t xml:space="preserve"> hat sowohl dem Ministerrat als auch den Landtagsausschüssen (Wissenschaft und Kunst sowie Staatshaushalt und Finanzfragen) mit </w:t>
      </w:r>
      <w:r w:rsidR="00696A7F">
        <w:t>Vorlage des Vertei</w:t>
      </w:r>
      <w:r>
        <w:t xml:space="preserve">lungsvorschlags für den Kulturfonds 2018 vorgeschlagen, ab 2019 den Förderbereich </w:t>
      </w:r>
      <w:r w:rsidR="00E832CF">
        <w:t>„</w:t>
      </w:r>
      <w:r>
        <w:t>Denkmalpflege</w:t>
      </w:r>
      <w:r w:rsidR="00E832CF">
        <w:t>“</w:t>
      </w:r>
      <w:r>
        <w:t xml:space="preserve"> aus dem Kulturfonds herauszunehmen und nur noch Fortführungsmaßnahmen (Altfälle) abzufinanzieren. Weder der Ministerrat noch der Landtag haben hiergegen Einwände erhoben.</w:t>
      </w:r>
    </w:p>
    <w:p w:rsidR="00013B61" w:rsidRDefault="00013B61" w:rsidP="00013B61">
      <w:pPr>
        <w:pStyle w:val="LTAntwortRessortText"/>
      </w:pPr>
      <w:r>
        <w:t>Dem Vorschlag lag insbesondere folgende Ent</w:t>
      </w:r>
      <w:r w:rsidR="00696A7F">
        <w:t>wicklung zugrunde: Die Rahmenbe</w:t>
      </w:r>
      <w:r>
        <w:t xml:space="preserve">dingungen im Bereich der Denkmalförderung hatten sich zwischenzeitlich nachhaltig verändert. Die finanziellen Möglichkeiten für Zuteilungen aus dem Kulturfonds hatten mit den Jahren deutlich abgenommen und waren damit auch für den Denkmalbereich rückläufig. Zugleich hatte der Bund seine Förderungen in der Denkmalpflege stark ausgeweitet. Die Auflage von (neuen) Denkmalschutzsonderprogrammen und Investitionsförderungen des Bundes nach </w:t>
      </w:r>
      <w:r w:rsidR="00872692">
        <w:t xml:space="preserve">den </w:t>
      </w:r>
      <w:r w:rsidR="00872692" w:rsidRPr="00872692">
        <w:t xml:space="preserve">Richtlinien für die Durchführung von Zuwendungsbaumaßnahmen </w:t>
      </w:r>
      <w:r w:rsidR="00872692">
        <w:t>(</w:t>
      </w:r>
      <w:r>
        <w:t>RZBau</w:t>
      </w:r>
      <w:r w:rsidR="00872692">
        <w:t>)</w:t>
      </w:r>
      <w:r>
        <w:t xml:space="preserve"> führten zu einem höheren Fördervolumen, aber auch zu immer komplexer werdende</w:t>
      </w:r>
      <w:r w:rsidR="00696A7F">
        <w:t>n Verfahren in der Gesamtabstim</w:t>
      </w:r>
      <w:r>
        <w:t>mung von Großmaßnahmen. Die gestiegene Förderung des Bundes deckte dabei den bisherigen Einsatzbereich des Kulturfonds in der Denkmalförderung nahezu identisch ab (</w:t>
      </w:r>
      <w:r w:rsidRPr="00E31F6B">
        <w:rPr>
          <w:u w:val="single"/>
        </w:rPr>
        <w:t>Bund:</w:t>
      </w:r>
      <w:r>
        <w:t xml:space="preserve"> </w:t>
      </w:r>
      <w:r w:rsidR="00E832CF">
        <w:t>„</w:t>
      </w:r>
      <w:r>
        <w:t>national bedeutsame Baudenkmäler</w:t>
      </w:r>
      <w:r w:rsidR="00E832CF">
        <w:t>“</w:t>
      </w:r>
      <w:r>
        <w:t xml:space="preserve">, </w:t>
      </w:r>
      <w:r w:rsidR="00E832CF">
        <w:t>„</w:t>
      </w:r>
      <w:r>
        <w:t>Förderung der substanz-erhaltenden Maßnahmen</w:t>
      </w:r>
      <w:r w:rsidR="00E832CF">
        <w:t>“</w:t>
      </w:r>
      <w:r>
        <w:t xml:space="preserve">; </w:t>
      </w:r>
      <w:r w:rsidRPr="00E31F6B">
        <w:rPr>
          <w:u w:val="single"/>
        </w:rPr>
        <w:t>Kulturfonds:</w:t>
      </w:r>
      <w:r>
        <w:t xml:space="preserve"> </w:t>
      </w:r>
      <w:r w:rsidR="00E832CF">
        <w:t>„</w:t>
      </w:r>
      <w:r>
        <w:t>herausragende Baudenkmäler</w:t>
      </w:r>
      <w:r w:rsidR="00E832CF">
        <w:t>“</w:t>
      </w:r>
      <w:r>
        <w:t xml:space="preserve">, </w:t>
      </w:r>
      <w:r w:rsidR="00E832CF">
        <w:t>„</w:t>
      </w:r>
      <w:r>
        <w:t>Förderung des substanzerhaltenden Kostenaufwands</w:t>
      </w:r>
      <w:r w:rsidR="00E832CF">
        <w:t>“</w:t>
      </w:r>
      <w:r>
        <w:t xml:space="preserve">). Dies </w:t>
      </w:r>
      <w:r w:rsidR="005D1170">
        <w:t>führte in der Praxis auch zu Ab</w:t>
      </w:r>
      <w:r>
        <w:t>grenzungsproblemen (Verbot der Doppelförderung). Da ein effektiver Einsatz von Mitteln des Kulturfonds im Bereich von Großbaumaßnahmen an herausragenden Denkmälern unter den geschilderten Rahmenbedingungen hera</w:t>
      </w:r>
      <w:r w:rsidR="007B709A">
        <w:t>usfordernd war, wa</w:t>
      </w:r>
      <w:r w:rsidR="005D1170">
        <w:t>ren im Kulturfonds – Förderbereich Denkmalpflege –</w:t>
      </w:r>
      <w:r>
        <w:t xml:space="preserve"> auch die Anzahl der Neu-Anträge im Ergebnis rückläufig.</w:t>
      </w:r>
    </w:p>
    <w:p w:rsidR="00013B61" w:rsidRDefault="00013B61" w:rsidP="00013B61">
      <w:pPr>
        <w:pStyle w:val="LTAntwortRessortText"/>
      </w:pPr>
      <w:r>
        <w:t>Auf diese grundlegend geänderten Rahmenbedingungen, die bislang fortgelten, hat das StMWK reagiert. Durch den Wegfall des Förderbereichs Denkmalpflege kann auf dieser Grundlage für andere Förderbereiche aus dem Kulturfonds, die ihrerseits nicht über entsprechend neu hinzugekommene externe Förderinstrumente verfügen, eine dringend benötigte Erhöhung der Zuteilungsquoten für die Realisierung der dortigen Projekte ermöglicht werden.</w:t>
      </w:r>
    </w:p>
    <w:p w:rsidR="00013B61" w:rsidRDefault="00013B61" w:rsidP="00013B61">
      <w:pPr>
        <w:pStyle w:val="LTAntwortRessortText"/>
      </w:pPr>
      <w:r>
        <w:t xml:space="preserve">Aus dem Förderbereich </w:t>
      </w:r>
      <w:r w:rsidR="00E832CF">
        <w:t>„</w:t>
      </w:r>
      <w:r>
        <w:t>Denkmalpflege</w:t>
      </w:r>
      <w:r w:rsidR="00E832CF">
        <w:t>“</w:t>
      </w:r>
      <w:r>
        <w:t xml:space="preserve"> des Kulturfonds wurden im Jahr 2016 Mittel in Höhe von 370 Tsd. </w:t>
      </w:r>
      <w:r w:rsidR="00BE0711">
        <w:t>Euro</w:t>
      </w:r>
      <w:r>
        <w:t xml:space="preserve"> (davon 100 Tsd. </w:t>
      </w:r>
      <w:r w:rsidR="00BE0711">
        <w:t>Euro</w:t>
      </w:r>
      <w:r>
        <w:t xml:space="preserve"> für ne</w:t>
      </w:r>
      <w:r w:rsidR="005D1170">
        <w:t>ue Maßnahmen), im Jahr 2017 Mitt</w:t>
      </w:r>
      <w:r>
        <w:t xml:space="preserve">el in Höhe von 125 Tsd. </w:t>
      </w:r>
      <w:r w:rsidR="00BE0711">
        <w:t>Euro</w:t>
      </w:r>
      <w:r>
        <w:t xml:space="preserve"> (davon 25 Tsd. </w:t>
      </w:r>
      <w:r w:rsidR="00BE0711">
        <w:t>Euro</w:t>
      </w:r>
      <w:r>
        <w:t xml:space="preserve"> für neue Maßnahmen) und im Jahr 2018 Mittel in Höhe von 265 Tsd. </w:t>
      </w:r>
      <w:r w:rsidR="00BE0711">
        <w:t>Euro</w:t>
      </w:r>
      <w:r>
        <w:t xml:space="preserve"> (davon 140 Tsd. </w:t>
      </w:r>
      <w:r w:rsidR="00BE0711">
        <w:t>Euro</w:t>
      </w:r>
      <w:r>
        <w:t xml:space="preserve"> für neue Maßnahmen) bewilligt.</w:t>
      </w:r>
    </w:p>
    <w:p w:rsidR="00013B61" w:rsidRDefault="00013B61">
      <w:bookmarkStart w:id="72" w:name="Frage_Nr_35_Ende"/>
      <w:bookmarkEnd w:id="72"/>
      <w:r>
        <w:br w:type="page"/>
      </w:r>
    </w:p>
    <w:p w:rsidR="00013B61" w:rsidRDefault="00013B61" w:rsidP="00013B61">
      <w:pPr>
        <w:pStyle w:val="LTUeberschrRessort"/>
      </w:pPr>
      <w:r>
        <w:lastRenderedPageBreak/>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t>Abgeordneter</w:t>
            </w:r>
            <w:r>
              <w:rPr>
                <w:b/>
              </w:rPr>
              <w:br/>
              <w:t>Johannes</w:t>
            </w:r>
            <w:r>
              <w:rPr>
                <w:b/>
              </w:rPr>
              <w:br/>
              <w:t>Becher</w:t>
            </w:r>
            <w:r>
              <w:rPr>
                <w:b/>
              </w:rPr>
              <w:br/>
            </w:r>
            <w:r>
              <w:t>(BÜNDNIS 90/DIE GRÜNEN)</w:t>
            </w:r>
            <w:bookmarkStart w:id="73" w:name="Frage_Nr_36"/>
            <w:bookmarkEnd w:id="73"/>
          </w:p>
        </w:tc>
        <w:tc>
          <w:tcPr>
            <w:tcW w:w="5733" w:type="dxa"/>
          </w:tcPr>
          <w:p w:rsidR="0049313C" w:rsidRPr="00D0635E" w:rsidRDefault="0049313C" w:rsidP="00D0635E">
            <w:pPr>
              <w:pStyle w:val="LTAnfrageText"/>
            </w:pPr>
            <w:r w:rsidRPr="00D0635E">
              <w:t xml:space="preserve">Ich frage die Staatsregierung, liegt mit Blick auf den geplanten Bau einer Eventhalle auf dem Gelände des Flughafen München bereits ein Verkehrsgutachten vor, wenn ja, welche Prognosen werden darin bezüglich des zu erwartenden zusätzlichen Verkehrsaufkommens aufgestellt (bitte aufschlüsseln nach Anreise mit Flugzeug/motorisierter Individualverkehr/ÖPNV) und wann ist die Veröffentlichung des Gutachtens geplant? </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der Finanzen und für Heimat</w:t>
      </w:r>
    </w:p>
    <w:p w:rsidR="00013B61" w:rsidRDefault="00013B61" w:rsidP="00013B61">
      <w:pPr>
        <w:pStyle w:val="LTAntwortRessortText"/>
      </w:pPr>
      <w:r>
        <w:t>Auf Grundlage von Informationen der Flughafen München GmbH kann zur Frage mitgeteilt werden, dass für die gepla</w:t>
      </w:r>
      <w:r w:rsidR="005D1170">
        <w:t>nte Multifunktionsarena am Flug</w:t>
      </w:r>
      <w:r>
        <w:t>hafen München ein privates Verkehrsgutachten vorliegt, das vom Investor SWMUNICH Real Estate GmbH in Auftra</w:t>
      </w:r>
      <w:r w:rsidR="005D1170">
        <w:t>g gegeben wurde. Mit dessen Ein</w:t>
      </w:r>
      <w:r>
        <w:t>verständnis können hierzu folgende Informationen übermittelt werden:</w:t>
      </w:r>
    </w:p>
    <w:p w:rsidR="00013B61" w:rsidRDefault="00013B61" w:rsidP="00013B61">
      <w:pPr>
        <w:pStyle w:val="LTAntwortRessortText"/>
      </w:pPr>
      <w:r>
        <w:t>Das Verkehrsgutachten gliedert sich in zwei Verkehrsuntersuchungen, zum einen zum Öffentlichen Verkehr (ÖV) und zum anderen zum Motorisierten Individualverkehr (MIV).</w:t>
      </w:r>
    </w:p>
    <w:p w:rsidR="00013B61" w:rsidRDefault="00013B61" w:rsidP="00013B61">
      <w:pPr>
        <w:pStyle w:val="LTAntwortRessortText"/>
      </w:pPr>
      <w:r>
        <w:t>Zu Grunde gelegt wurden konservative Anna</w:t>
      </w:r>
      <w:r w:rsidR="005D1170">
        <w:t>hmen eines Bewertungsszena</w:t>
      </w:r>
      <w:r>
        <w:t>rios</w:t>
      </w:r>
      <w:r w:rsidR="005D1170">
        <w:t xml:space="preserve"> einer Großveranstaltung mit 20 </w:t>
      </w:r>
      <w:r>
        <w:t>000 Besuchern an einem Donnerstag außerhalb der Ferienzeit, da bei diesem Szenario die stärkste Belastung der Verkehrsinfrastruktur durch Überlagerun</w:t>
      </w:r>
      <w:r w:rsidR="005D1170">
        <w:t>g des höchsten flughafenspezifi</w:t>
      </w:r>
      <w:r>
        <w:t>schen Verkehrsaufkommens mit den Arenaverkehren zu erwarten ist.</w:t>
      </w:r>
    </w:p>
    <w:p w:rsidR="00013B61" w:rsidRDefault="00013B61" w:rsidP="00013B61">
      <w:pPr>
        <w:pStyle w:val="LTAntwortRessortText"/>
      </w:pPr>
      <w:r>
        <w:t>Für das veranstaltungsbezogene zusätzlich erwartete Verkehrsaufkommen ergibt sich dabei für das Prognosejahr 2027</w:t>
      </w:r>
      <w:r w:rsidR="005D1170">
        <w:t xml:space="preserve"> folgender durchschnittliche Mo</w:t>
      </w:r>
      <w:r>
        <w:t>dal Split:</w:t>
      </w:r>
    </w:p>
    <w:p w:rsidR="00013B61" w:rsidRDefault="00013B61" w:rsidP="00E31F6B">
      <w:pPr>
        <w:pStyle w:val="LTAntwortRessortText"/>
        <w:numPr>
          <w:ilvl w:val="0"/>
          <w:numId w:val="29"/>
        </w:numPr>
        <w:spacing w:before="0"/>
        <w:ind w:left="697" w:hanging="357"/>
      </w:pPr>
      <w:r>
        <w:t xml:space="preserve">ÖV: </w:t>
      </w:r>
      <w:r w:rsidR="005D1170">
        <w:tab/>
      </w:r>
      <w:r w:rsidR="005D1170">
        <w:tab/>
      </w:r>
      <w:r w:rsidR="005D1170">
        <w:tab/>
      </w:r>
      <w:r>
        <w:t xml:space="preserve">rd. 31,7 </w:t>
      </w:r>
      <w:r w:rsidR="004A5D9A">
        <w:t>Prozent</w:t>
      </w:r>
    </w:p>
    <w:p w:rsidR="00013B61" w:rsidRDefault="00013B61" w:rsidP="00E31F6B">
      <w:pPr>
        <w:pStyle w:val="LTAntwortRessortText"/>
        <w:numPr>
          <w:ilvl w:val="0"/>
          <w:numId w:val="29"/>
        </w:numPr>
        <w:spacing w:before="0"/>
        <w:ind w:left="697" w:hanging="357"/>
      </w:pPr>
      <w:r>
        <w:t xml:space="preserve">MIV: </w:t>
      </w:r>
      <w:r w:rsidR="005D1170">
        <w:tab/>
      </w:r>
      <w:r w:rsidR="005D1170">
        <w:tab/>
      </w:r>
      <w:r w:rsidR="005D1170">
        <w:tab/>
      </w:r>
      <w:r>
        <w:t xml:space="preserve">rd. 60,8 </w:t>
      </w:r>
      <w:r w:rsidR="004A5D9A">
        <w:t>Prozent</w:t>
      </w:r>
    </w:p>
    <w:p w:rsidR="00013B61" w:rsidRDefault="005D1170" w:rsidP="00E31F6B">
      <w:pPr>
        <w:pStyle w:val="LTAntwortRessortText"/>
        <w:numPr>
          <w:ilvl w:val="0"/>
          <w:numId w:val="29"/>
        </w:numPr>
        <w:spacing w:before="0"/>
        <w:ind w:left="697" w:hanging="357"/>
      </w:pPr>
      <w:r>
        <w:t>Flugzeug/</w:t>
      </w:r>
      <w:r w:rsidR="00013B61">
        <w:t xml:space="preserve">Sonstige: </w:t>
      </w:r>
      <w:r>
        <w:tab/>
      </w:r>
      <w:r w:rsidR="00013B61">
        <w:t xml:space="preserve">rd. 7,5 </w:t>
      </w:r>
      <w:r w:rsidR="004A5D9A">
        <w:t>Prozent</w:t>
      </w:r>
    </w:p>
    <w:p w:rsidR="00013B61" w:rsidRDefault="00013B61" w:rsidP="00013B61">
      <w:pPr>
        <w:pStyle w:val="LTAntwortRessortText"/>
      </w:pPr>
      <w:r>
        <w:t>Mit einer Verbesserung des öffentlichen Verkehrsangebotes wird bis zum Jahr 2035 ein leichter Anstieg des Öffentlichen Verkehrs erwartet.</w:t>
      </w:r>
    </w:p>
    <w:p w:rsidR="00013B61" w:rsidRDefault="00013B61" w:rsidP="00013B61">
      <w:pPr>
        <w:pStyle w:val="LTAntwortRessortText"/>
      </w:pPr>
      <w:r>
        <w:t>Um bei der Kapazitätsberechnung auf der sicheren Seite zu liegen, werden in den Teilgutachten noch konservativere Annahmen in Bezug auf den jeweils betrachteten Verkehrsanteil getroffen.</w:t>
      </w:r>
    </w:p>
    <w:p w:rsidR="00013B61" w:rsidRDefault="00013B61" w:rsidP="00013B61">
      <w:pPr>
        <w:pStyle w:val="LTAntwortRessortText"/>
      </w:pPr>
      <w:r>
        <w:t>Die Planung einer etwaigen Veröffentlichung des Verkehrsgutachtens obliegt dem privaten Investor als Auftraggeber.</w:t>
      </w:r>
    </w:p>
    <w:p w:rsidR="00013B61" w:rsidRDefault="00013B61">
      <w:bookmarkStart w:id="74" w:name="Frage_Nr_36_Ende"/>
      <w:bookmarkEnd w:id="7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9313C" w:rsidTr="0049313C">
        <w:tc>
          <w:tcPr>
            <w:tcW w:w="1852" w:type="dxa"/>
          </w:tcPr>
          <w:p w:rsidR="0049313C" w:rsidRDefault="0049313C" w:rsidP="0049313C">
            <w:pPr>
              <w:pStyle w:val="LTAnfrageInitiator"/>
            </w:pPr>
            <w:r>
              <w:lastRenderedPageBreak/>
              <w:t>Abgeordneter</w:t>
            </w:r>
            <w:r>
              <w:rPr>
                <w:b/>
              </w:rPr>
              <w:br/>
              <w:t>Martin</w:t>
            </w:r>
            <w:r>
              <w:rPr>
                <w:b/>
              </w:rPr>
              <w:br/>
              <w:t>Hagen</w:t>
            </w:r>
            <w:r>
              <w:rPr>
                <w:b/>
              </w:rPr>
              <w:br/>
            </w:r>
            <w:r>
              <w:t>(FDP)</w:t>
            </w:r>
            <w:bookmarkStart w:id="75" w:name="Frage_Nr_37"/>
            <w:bookmarkEnd w:id="75"/>
          </w:p>
        </w:tc>
        <w:tc>
          <w:tcPr>
            <w:tcW w:w="5764" w:type="dxa"/>
          </w:tcPr>
          <w:p w:rsidR="0049313C" w:rsidRPr="00D0635E" w:rsidRDefault="0049313C" w:rsidP="00B136E1">
            <w:pPr>
              <w:pStyle w:val="LTAnfrageText"/>
            </w:pPr>
            <w:r w:rsidRPr="00D0635E">
              <w:t xml:space="preserve">Ich frage die Staatsregierung, in welchem Geschäftsbereich der Beamte des </w:t>
            </w:r>
            <w:r w:rsidR="00B136E1">
              <w:t>B</w:t>
            </w:r>
            <w:r w:rsidRPr="00D0635E">
              <w:t>ayerischen Landesamts für Steuern, der für die Betriebsprüfung bei Wirecard zuständig war und seine Erkenntnisse in einem Bericht an das für Wirecard zuständige Finanzamt München weitergab, noch beim Landesamt für Steuern beschäftigt ist, wer an einem Treffen am 24.01.2020 zwischen diesem Betriebsprüfer und der Vertreterin der Staatsanwaltschaft ebenfalls teilgenommen hat und welche Treffen dieser Betriebsprüfer nach dem 24.01.2020 mit Vertretern der Staatsanwaltschaft hatte?</w:t>
            </w:r>
          </w:p>
        </w:tc>
        <w:tc>
          <w:tcPr>
            <w:tcW w:w="5764" w:type="dxa"/>
          </w:tcPr>
          <w:p w:rsidR="0049313C" w:rsidRDefault="0049313C" w:rsidP="0049313C">
            <w:pPr>
              <w:pStyle w:val="LTAnfrageText"/>
            </w:pPr>
          </w:p>
        </w:tc>
      </w:tr>
    </w:tbl>
    <w:p w:rsidR="00013B61" w:rsidRDefault="00013B61" w:rsidP="00013B61">
      <w:pPr>
        <w:pStyle w:val="LTUeberschrAntwortRessort"/>
      </w:pPr>
      <w:r>
        <w:t>Antwort des Staatsministeriums der Finanzen und für Heimat</w:t>
      </w:r>
    </w:p>
    <w:p w:rsidR="00013B61" w:rsidRDefault="00013B61" w:rsidP="00013B61">
      <w:pPr>
        <w:pStyle w:val="LTAntwortRessortText"/>
      </w:pPr>
      <w:r>
        <w:t>Der Beamte wird unverändert im Bayerisc</w:t>
      </w:r>
      <w:r w:rsidR="00817063">
        <w:t>hen Landesamt für Steuern einge</w:t>
      </w:r>
      <w:r>
        <w:t>setzt. Hinsichtlich der Teilnehmer an einem Treffen am 24.01.2020 wird auf die Antwort auf die Schriftliche Anfrage des Abgeordneten Dr. Helmut Kaltenhauser, FDP, vom 15.03.2021 (Drs. 18/15491) verwiesen. Nach Auskunft des Landesamtes für Steuern haben nach dem 24.01.2020 keine weiteren Treffen des Beamten mit der Staatsanwaltschaft München I im Zusammenhang mit Wirecard stattgefunden.</w:t>
      </w:r>
    </w:p>
    <w:p w:rsidR="00013B61" w:rsidRDefault="00013B61">
      <w:bookmarkStart w:id="76" w:name="Frage_Nr_37_Ende"/>
      <w:bookmarkEnd w:id="7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Gisela</w:t>
            </w:r>
            <w:r>
              <w:rPr>
                <w:b/>
              </w:rPr>
              <w:br/>
              <w:t>Sengl</w:t>
            </w:r>
            <w:r>
              <w:rPr>
                <w:b/>
              </w:rPr>
              <w:br/>
            </w:r>
            <w:r>
              <w:t>(BÜNDNIS 90/DIE GRÜNEN)</w:t>
            </w:r>
            <w:bookmarkStart w:id="77" w:name="Frage_Nr_38"/>
            <w:bookmarkEnd w:id="77"/>
          </w:p>
        </w:tc>
        <w:tc>
          <w:tcPr>
            <w:tcW w:w="5733" w:type="dxa"/>
          </w:tcPr>
          <w:p w:rsidR="0049313C" w:rsidRPr="00D0635E" w:rsidRDefault="0049313C" w:rsidP="00D0635E">
            <w:pPr>
              <w:pStyle w:val="LTAnfrageText"/>
            </w:pPr>
            <w:r w:rsidRPr="00D0635E">
              <w:t>Ich frage die Staatsregierung, welche Gründe gibt es, dass bis jetzt in den staatlichen Brauereien „Weihenstephan“ und „Hofbräuhaus“ kein biologisch zertifiziertes Bier hergestellt und angeboten wird, wie viel Prozent der Rohstoffe, die nach dem bayerischen Reinheitsgebot für das Brauen von Bier gebraucht werden, kommen aus bayerischem Anbau (bitte aufgeteilt nach Gerste und Hopfen), und durch welche Unternehmenspolitik ergibt sich die Spitzenstellung der Biere der staatlichen Brauereien hinsichtlich des Bierpreises in Bayern?</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der Finanzen und für Heimat</w:t>
      </w:r>
      <w:r w:rsidR="007B709A">
        <w:t xml:space="preserve"> in Abstimmung mit dem Staatsministerium für Wissenschaft und Kunst</w:t>
      </w:r>
    </w:p>
    <w:p w:rsidR="00013B61" w:rsidRDefault="00013B61" w:rsidP="00013B61">
      <w:pPr>
        <w:pStyle w:val="LTAntwortRessortText"/>
      </w:pPr>
      <w:r>
        <w:t xml:space="preserve">Die Verantwortlichkeit für das operative </w:t>
      </w:r>
      <w:r w:rsidR="00817063">
        <w:t>Geschäft der beiden Staatsbraue</w:t>
      </w:r>
      <w:r>
        <w:t>reien und deren wirtschaftliche Ergebnisse ob</w:t>
      </w:r>
      <w:r w:rsidR="00817063">
        <w:t>liegt den jeweiligen Brauereidi</w:t>
      </w:r>
      <w:r>
        <w:t>rektoren. Deren Überprüfung führte zu dem Ergebnis, da</w:t>
      </w:r>
      <w:r w:rsidR="00817063">
        <w:t>ss die Produktion von Bio-Bier –</w:t>
      </w:r>
      <w:r>
        <w:t xml:space="preserve"> auch e</w:t>
      </w:r>
      <w:r w:rsidR="00817063">
        <w:t>inzelner Sorten –</w:t>
      </w:r>
      <w:r>
        <w:t xml:space="preserve"> bei beiden Staatsbrauereien wegen vielfältiger verfahrensmäßiger Vorgaben in hohem Maße unwirtschaftlich wäre.</w:t>
      </w:r>
    </w:p>
    <w:p w:rsidR="00013B61" w:rsidRDefault="00013B61" w:rsidP="00013B61">
      <w:pPr>
        <w:pStyle w:val="LTAntwortRessortText"/>
      </w:pPr>
      <w:r>
        <w:t xml:space="preserve">Rohstoffbezug 2021: Grundsätzlich kommen alle Rohstoffe zu 100 </w:t>
      </w:r>
      <w:r w:rsidR="004A5D9A">
        <w:t>Prozent</w:t>
      </w:r>
      <w:r>
        <w:t xml:space="preserve"> aus Bayern (Hopfen, Gersten- und Weizenmalz). Die einzige Ausnahme betrifft das Gerstenmalz beim Staatlichen Hofbräuhaus in München. Neben 65 </w:t>
      </w:r>
      <w:r w:rsidR="004A5D9A">
        <w:t>Prozent</w:t>
      </w:r>
      <w:r>
        <w:t xml:space="preserve"> bayerischem Malz kommen 35 </w:t>
      </w:r>
      <w:r w:rsidR="004A5D9A">
        <w:t>Prozent</w:t>
      </w:r>
      <w:r>
        <w:t xml:space="preserve"> aus</w:t>
      </w:r>
      <w:r w:rsidR="00817063">
        <w:t xml:space="preserve"> dem benachbarten Baden-Württem</w:t>
      </w:r>
      <w:r>
        <w:t>berg.</w:t>
      </w:r>
    </w:p>
    <w:p w:rsidR="00013B61" w:rsidRDefault="00013B61" w:rsidP="00013B61">
      <w:pPr>
        <w:pStyle w:val="LTAntwortRessortText"/>
      </w:pPr>
      <w:r>
        <w:t>Die Verkaufspreise für die Produkte der beiden Staatsbrauereien bewegen sich im marktüblichen Rahmen.</w:t>
      </w:r>
    </w:p>
    <w:p w:rsidR="00013B61" w:rsidRDefault="00013B61">
      <w:bookmarkStart w:id="78" w:name="Frage_Nr_38_Ende"/>
      <w:bookmarkEnd w:id="78"/>
      <w:r>
        <w:br w:type="page"/>
      </w:r>
    </w:p>
    <w:p w:rsidR="00013B61" w:rsidRDefault="00013B61" w:rsidP="00013B61">
      <w:pPr>
        <w:pStyle w:val="LTUeberschrRessort"/>
      </w:pPr>
      <w:r>
        <w:lastRenderedPageBreak/>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9313C" w:rsidTr="0049313C">
        <w:tc>
          <w:tcPr>
            <w:tcW w:w="1852" w:type="dxa"/>
          </w:tcPr>
          <w:p w:rsidR="0049313C" w:rsidRDefault="0049313C" w:rsidP="0049313C">
            <w:pPr>
              <w:pStyle w:val="LTAnfrageInitiator"/>
            </w:pPr>
            <w:r>
              <w:t>Abgeordneter</w:t>
            </w:r>
            <w:r>
              <w:rPr>
                <w:b/>
              </w:rPr>
              <w:br/>
              <w:t>Albert</w:t>
            </w:r>
            <w:r>
              <w:rPr>
                <w:b/>
              </w:rPr>
              <w:br/>
              <w:t>Duin</w:t>
            </w:r>
            <w:r>
              <w:rPr>
                <w:b/>
              </w:rPr>
              <w:br/>
            </w:r>
            <w:r>
              <w:t>(FDP)</w:t>
            </w:r>
            <w:bookmarkStart w:id="79" w:name="Frage_Nr_39"/>
            <w:bookmarkEnd w:id="79"/>
          </w:p>
        </w:tc>
        <w:tc>
          <w:tcPr>
            <w:tcW w:w="5764" w:type="dxa"/>
          </w:tcPr>
          <w:p w:rsidR="0049313C" w:rsidRPr="00D0635E" w:rsidRDefault="0049313C" w:rsidP="00D0635E">
            <w:pPr>
              <w:pStyle w:val="LTAnfrageText"/>
            </w:pPr>
            <w:r w:rsidRPr="00D0635E">
              <w:t xml:space="preserve">Vor dem Hintergrund der Beschlüsse der Staatsregierung zu „Wellenbrechern“ und Hotspotregelung frage ich die Staatsregierung, welche Hilfsprogramme kommen für die nun von Berufsverboten betroffenen Branchen (Schausteller, Nachtgastronomie etc.) in Betracht, welche Hilfsprogramme plant die Staatsregierung für die im Winter 2021/2022 ggf. weiterhin oder zusätzlich von Berufsverboten betroffenen Branchen, welche Eckpunkte sollten neue oder verlängerte und angepasste Hilfsprogramme nach Ansicht der Staatsregierung zwingend beinhalten? </w:t>
            </w:r>
          </w:p>
        </w:tc>
        <w:tc>
          <w:tcPr>
            <w:tcW w:w="5764" w:type="dxa"/>
          </w:tcPr>
          <w:p w:rsidR="0049313C" w:rsidRDefault="0049313C" w:rsidP="0049313C">
            <w:pPr>
              <w:pStyle w:val="LTAnfrageText"/>
            </w:pPr>
          </w:p>
        </w:tc>
      </w:tr>
    </w:tbl>
    <w:p w:rsidR="00013B61" w:rsidRDefault="00013B61" w:rsidP="00013B61">
      <w:pPr>
        <w:pStyle w:val="LTUeberschrAntwortRessort"/>
      </w:pPr>
      <w:r>
        <w:t>Antwort des Staatsministeriums für Wirtschaft, Landesentwicklung und Energie</w:t>
      </w:r>
    </w:p>
    <w:p w:rsidR="00013B61" w:rsidRDefault="00013B61" w:rsidP="00013B61">
      <w:pPr>
        <w:pStyle w:val="LTAntwortRessortText"/>
      </w:pPr>
      <w:r>
        <w:t>Betroffenen Unternehmen und Selbständigen stehen umfassende Hilfsprogramme zur Verfügung. Der Bund steht hierbei in der Pflicht, für einen angemessenen Ausgleich der Corona-Maßnahmen auf Grundlage des Infektionsschutzgesetzes zu sorgen.</w:t>
      </w:r>
    </w:p>
    <w:p w:rsidR="00013B61" w:rsidRDefault="00013B61" w:rsidP="00013B61">
      <w:pPr>
        <w:pStyle w:val="LTAntwortRessortText"/>
      </w:pPr>
      <w:r>
        <w:t>Die Überbrückungshilfe III Plus soll nach dem Beschluss der Bundeskanzlerin und der Ministerpräsidenten vom 18.</w:t>
      </w:r>
      <w:r w:rsidR="00B136E1">
        <w:t>11.2021 bis 31.03.</w:t>
      </w:r>
      <w:r>
        <w:t>2022 verlängert werden. Dieses Vorgehen ermöglicht den Unternehmen ei</w:t>
      </w:r>
      <w:r w:rsidR="00FF11D4">
        <w:t>ne rasche Antragstellung und Ab</w:t>
      </w:r>
      <w:r>
        <w:t>schlagszahlungen, denn das Hilfsprogramm der Überbrückungshilfen existiert bereits. Eigene Förderprogramme eines Landes müssten demgegenüber erst geschaffen und organisatorisch vorbereitet werden. Die I</w:t>
      </w:r>
      <w:r w:rsidR="00FF11D4">
        <w:t>ndustrie- und Handelskammer f</w:t>
      </w:r>
      <w:r>
        <w:t>ür München und Oberbayern steht als zentrale Bewilligungsstelle der Überbrückungshilfen für Bayern bereit.</w:t>
      </w:r>
    </w:p>
    <w:p w:rsidR="00013B61" w:rsidRDefault="00013B61" w:rsidP="00013B61">
      <w:pPr>
        <w:pStyle w:val="LTAntwortRessortText"/>
      </w:pPr>
      <w:r>
        <w:t>Unternehmen und Selbst</w:t>
      </w:r>
      <w:r w:rsidR="00FF11D4">
        <w:t>st</w:t>
      </w:r>
      <w:r>
        <w:t>ändige erhalten abhängig vom jeweiligen Umsatzeinbruch im Fördermonat bis zu 100 Prozent der betrieblichen Fixkosten erstattet. Zudem wird ein Eigenkapitalzuschuss (Aufschlag von bis zu 40 Prozent der förderfähigen Fixkosten) ausgezahlt ab einem monatlichen Umsatzeinbruch von mindestens 50 Prozent im Zeitraum November 2020 bis Dezember 2021. Für den Handel gibt es eine Sonderregelung, nach der Einzelhändler, Hersteller, Großhändler und professionelle Verwender</w:t>
      </w:r>
      <w:r w:rsidR="00FF11D4">
        <w:t xml:space="preserve"> </w:t>
      </w:r>
      <w:r>
        <w:t>(</w:t>
      </w:r>
      <w:r w:rsidR="004A5D9A">
        <w:t>z. B.</w:t>
      </w:r>
      <w:r>
        <w:t xml:space="preserve"> Standverkäufer) den Wert ihrer verderblichen W</w:t>
      </w:r>
      <w:r w:rsidR="00FF11D4">
        <w:t>are zu 100 Prozent als förderfä</w:t>
      </w:r>
      <w:r>
        <w:t>hige Fixkosten ansetzen können. Marktkaufleute, die bereits verderbliche Waren für diese Weihnachtssaison eingekauft haben, können der</w:t>
      </w:r>
      <w:r w:rsidR="00FF11D4">
        <w:t>en Wert vollständig bei den Fix</w:t>
      </w:r>
      <w:r>
        <w:t>kosten berücksichtigen. Soloselbst</w:t>
      </w:r>
      <w:r w:rsidR="00FF11D4">
        <w:t>st</w:t>
      </w:r>
      <w:r>
        <w:t>ändige können eine einmalige Betriebskostenpauschale (Neustarthilfe Plus) beantragen, wenn sie ansonsten keine Fixkosten in der Überbrückungshilfe geltend machen. Bei Erst</w:t>
      </w:r>
      <w:r w:rsidR="00FF11D4">
        <w:t>-</w:t>
      </w:r>
      <w:r>
        <w:t>antragstellung bis zum 31.</w:t>
      </w:r>
      <w:r w:rsidR="00B136E1">
        <w:t>12.</w:t>
      </w:r>
      <w:r>
        <w:t>2021 werden Abschlagszahlungen in Höhe von 50 Prozent der beantragten Förderung gewährt, bis zu 100.000 Euro für einen Monat. Unternehmen stehen diese Hilfen unabhängig davon zu, ob sie in einem sog. Hotspot-Landkreis tätig sind oder nicht.</w:t>
      </w:r>
    </w:p>
    <w:p w:rsidR="00013B61" w:rsidRDefault="00013B61" w:rsidP="00013B61">
      <w:pPr>
        <w:pStyle w:val="LTAntwortRessortText"/>
      </w:pPr>
      <w:r>
        <w:t>Spezifische Hilfen für die Kultur ergänzen die Hilfsangebote (Soloselbst</w:t>
      </w:r>
      <w:r w:rsidR="00FF11D4">
        <w:t>st</w:t>
      </w:r>
      <w:r>
        <w:t>ändigen-, Spielstätten- und Veranstalter- sowie Laienmusikhilfsprogramm).</w:t>
      </w:r>
    </w:p>
    <w:p w:rsidR="00013B61" w:rsidRDefault="00013B61" w:rsidP="00013B61">
      <w:pPr>
        <w:pStyle w:val="LTAntwortRessortText"/>
      </w:pPr>
      <w:r>
        <w:lastRenderedPageBreak/>
        <w:t>Für Unternehmen, die in anderen Hilfsprogrammen ni</w:t>
      </w:r>
      <w:r w:rsidR="00FF11D4">
        <w:t>cht berücksichtigt werden konnt</w:t>
      </w:r>
      <w:r>
        <w:t>en, steht die Bayerische Härtefallhilfe zur Verfügung.</w:t>
      </w:r>
    </w:p>
    <w:p w:rsidR="00013B61" w:rsidRDefault="00013B61" w:rsidP="00013B61">
      <w:pPr>
        <w:pStyle w:val="LTAntwortRessortText"/>
      </w:pPr>
      <w:r>
        <w:t>Die Staatsregierung setzt sich gegenüber dem Bund mit konstruktiven Vorschlägen für Verbesserungen ein. So sollten besonders betroffene Branchen wie Schausteller und Nachtgastronomie zusätzliche Unterstützung im Rahmen der Überbrückungshilfe erhalten. Ziel der Staatsregierung ist, betroffenen Unternehmen und Selbständigen rasch Liquidität zu verschaffen und Ausgleich für d</w:t>
      </w:r>
      <w:r w:rsidR="00FF11D4">
        <w:t>ie Einschränkungen der notwendi</w:t>
      </w:r>
      <w:r>
        <w:t>gen Corona-Maßnahmen zu ermöglichen.</w:t>
      </w:r>
    </w:p>
    <w:p w:rsidR="00013B61" w:rsidRDefault="00013B61">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Anne</w:t>
            </w:r>
            <w:r>
              <w:rPr>
                <w:b/>
              </w:rPr>
              <w:br/>
              <w:t>Franke</w:t>
            </w:r>
            <w:r>
              <w:rPr>
                <w:b/>
              </w:rPr>
              <w:br/>
            </w:r>
            <w:r>
              <w:t>(BÜNDNIS 90/DIE GRÜNEN)</w:t>
            </w:r>
            <w:bookmarkStart w:id="81" w:name="Frage_Nr_40"/>
            <w:bookmarkEnd w:id="81"/>
          </w:p>
        </w:tc>
        <w:tc>
          <w:tcPr>
            <w:tcW w:w="5733" w:type="dxa"/>
          </w:tcPr>
          <w:p w:rsidR="0049313C" w:rsidRPr="00D0635E" w:rsidRDefault="0049313C" w:rsidP="00D0635E">
            <w:pPr>
              <w:pStyle w:val="LTAnfrageText"/>
            </w:pPr>
            <w:r w:rsidRPr="00D0635E">
              <w:t xml:space="preserve">Ich frage die Staatsregierung bezugnehmend auf das Bayerische Luftfahrtforschungsprogramm (LuFo-Bayern), welche konkreten Gesellschaften/Unternehmungen werden gefördert, welche Mittel flossen für die einzelnen Projekte und für welche Projekte wurden Fördermittel beantragt, aber (noch) nicht genehmigt? </w:t>
            </w:r>
          </w:p>
        </w:tc>
        <w:tc>
          <w:tcPr>
            <w:tcW w:w="5733" w:type="dxa"/>
          </w:tcPr>
          <w:p w:rsidR="0049313C" w:rsidRDefault="0049313C" w:rsidP="0049313C">
            <w:pPr>
              <w:pStyle w:val="LTAnfrageText"/>
            </w:pPr>
          </w:p>
        </w:tc>
      </w:tr>
    </w:tbl>
    <w:p w:rsidR="00013B61" w:rsidRDefault="00013B61" w:rsidP="00FF11D4">
      <w:pPr>
        <w:pStyle w:val="LTUeberschrAntwortRessort"/>
        <w:spacing w:before="720"/>
      </w:pPr>
      <w:r>
        <w:t>Antwort des Staatsministeriums für Wirtschaft, Landesentwicklung und Energie</w:t>
      </w:r>
    </w:p>
    <w:p w:rsidR="00013B61" w:rsidRPr="00652762" w:rsidRDefault="007B709A" w:rsidP="00013B61">
      <w:pPr>
        <w:pStyle w:val="LTAntwortRessortText"/>
        <w:rPr>
          <w:b/>
          <w:u w:val="single"/>
        </w:rPr>
      </w:pPr>
      <w:r w:rsidRPr="00652762">
        <w:rPr>
          <w:b/>
          <w:u w:val="single"/>
        </w:rPr>
        <w:t xml:space="preserve">Auf Wunsch des Staatsministeriums erfolgt aus </w:t>
      </w:r>
      <w:r w:rsidR="00013B61" w:rsidRPr="00652762">
        <w:rPr>
          <w:b/>
          <w:u w:val="single"/>
        </w:rPr>
        <w:t>Datenschutzgründen keine Drucklegung.</w:t>
      </w:r>
    </w:p>
    <w:p w:rsidR="00013B61" w:rsidRDefault="00013B61">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313C" w:rsidTr="0049313C">
        <w:tc>
          <w:tcPr>
            <w:tcW w:w="1883" w:type="dxa"/>
          </w:tcPr>
          <w:p w:rsidR="0049313C" w:rsidRDefault="0049313C" w:rsidP="0049313C">
            <w:pPr>
              <w:pStyle w:val="LTAnfrageInitiator"/>
            </w:pPr>
            <w:r>
              <w:lastRenderedPageBreak/>
              <w:t>Abgeordnete</w:t>
            </w:r>
            <w:r>
              <w:rPr>
                <w:b/>
              </w:rPr>
              <w:br/>
              <w:t>Barbara</w:t>
            </w:r>
            <w:r>
              <w:rPr>
                <w:b/>
              </w:rPr>
              <w:br/>
              <w:t>Fuchs</w:t>
            </w:r>
            <w:r>
              <w:rPr>
                <w:b/>
              </w:rPr>
              <w:br/>
            </w:r>
            <w:r>
              <w:t>(BÜNDNIS 90/DIE GRÜNEN)</w:t>
            </w:r>
            <w:bookmarkStart w:id="83" w:name="Frage_Nr_41"/>
            <w:bookmarkEnd w:id="83"/>
          </w:p>
        </w:tc>
        <w:tc>
          <w:tcPr>
            <w:tcW w:w="5733" w:type="dxa"/>
          </w:tcPr>
          <w:p w:rsidR="0049313C" w:rsidRPr="00D0635E" w:rsidRDefault="0049313C" w:rsidP="00D0635E">
            <w:pPr>
              <w:pStyle w:val="LTAnfrageText"/>
            </w:pPr>
            <w:r w:rsidRPr="00D0635E">
              <w:t xml:space="preserve">Ich frage die Staatsregierung, wie viel der 92 Mio. Euro aus dem „Zukunftsprogramm für Augsburg“ (vgl. Pressemitteilung Staatsminister Hubert Aiwanger vom 21.12.2020) sind bereits für Projekte zugesagt worden, wie viel der 92 Mio. Euro wurden bereits konkret an Unternehmen ausgezahlt und nach welchen Kriterien erfolgt die Auswahl der förderfähigen Projekte? </w:t>
            </w:r>
          </w:p>
        </w:tc>
        <w:tc>
          <w:tcPr>
            <w:tcW w:w="5733" w:type="dxa"/>
          </w:tcPr>
          <w:p w:rsidR="0049313C" w:rsidRDefault="0049313C" w:rsidP="0049313C">
            <w:pPr>
              <w:pStyle w:val="LTAnfrageText"/>
            </w:pPr>
          </w:p>
        </w:tc>
      </w:tr>
    </w:tbl>
    <w:p w:rsidR="00013B61" w:rsidRDefault="00013B61" w:rsidP="00013B61">
      <w:pPr>
        <w:pStyle w:val="LTUeberschrAntwortRessort"/>
      </w:pPr>
      <w:r>
        <w:t>Antwort des Staatsministeriums für Wirtschaft, Landesentwicklung und Energie</w:t>
      </w:r>
      <w:r w:rsidR="007B709A">
        <w:t xml:space="preserve"> in Abstimmung mit dem Staatsministerium für Wissenschaft und Kunst</w:t>
      </w:r>
    </w:p>
    <w:p w:rsidR="00013B61" w:rsidRDefault="00013B61" w:rsidP="00013B61">
      <w:pPr>
        <w:pStyle w:val="LTAntwortRessortText"/>
      </w:pPr>
      <w:r>
        <w:t xml:space="preserve">Im Rahmen der vom Ministerrat am 14.09.2020 beschlossenen Beschleunigung und Erweiterung der Hightech Agenda Bayern (HTA plus) wurde </w:t>
      </w:r>
      <w:r w:rsidR="004A5D9A">
        <w:t>u. a.</w:t>
      </w:r>
      <w:r>
        <w:t xml:space="preserve"> das </w:t>
      </w:r>
      <w:r w:rsidR="00E832CF">
        <w:t>„</w:t>
      </w:r>
      <w:r>
        <w:t>Zukunftsprogramm für Augsburg</w:t>
      </w:r>
      <w:r w:rsidR="00E832CF">
        <w:t>“</w:t>
      </w:r>
      <w:r>
        <w:t xml:space="preserve"> aufgelegt, dessen zentraler Bestandteil ein </w:t>
      </w:r>
      <w:r w:rsidR="006B7857">
        <w:rPr>
          <w:u w:val="single"/>
        </w:rPr>
        <w:t>KI-Produktionsnetz</w:t>
      </w:r>
      <w:r w:rsidRPr="00CD3FD3">
        <w:rPr>
          <w:u w:val="single"/>
        </w:rPr>
        <w:t>werk</w:t>
      </w:r>
      <w:r>
        <w:t xml:space="preserve"> </w:t>
      </w:r>
      <w:r w:rsidR="006B7857">
        <w:t xml:space="preserve">(KI = Künstliche Intelligenz) </w:t>
      </w:r>
      <w:r>
        <w:t>ist. Durch das Produktionsnetzwerk wird der Einsatz von KI-Methoden bei Technologien und Werkstoffen in der Produktion verbessert und so dem produzierenden Gewerbe eine wesentliche Kosteneinsparung ermöglicht. Dies erhöht langfristig die Wettbewerbsfähigkeit des Hochlohnstandorts Bayern.</w:t>
      </w:r>
    </w:p>
    <w:p w:rsidR="00013B61" w:rsidRDefault="00013B61" w:rsidP="00013B61">
      <w:pPr>
        <w:pStyle w:val="LTAntwortRessortText"/>
      </w:pPr>
      <w:r>
        <w:t>Für das KI-Produktionsnetzwerk ist eine Gesamtsumme von 92 Mio. Euro vorgesehen (20 Mio. Euro in den Jahren 2021/22, 72 Mio. Euro in den Jahren 2023 bis 2025), die sich St</w:t>
      </w:r>
      <w:r w:rsidR="006B7857">
        <w:t>aatsministerium für Wirtschaft, Landesentwicklung und Energie (St</w:t>
      </w:r>
      <w:r>
        <w:t>MWi</w:t>
      </w:r>
      <w:r w:rsidR="006B7857">
        <w:t>)</w:t>
      </w:r>
      <w:r>
        <w:t xml:space="preserve"> und </w:t>
      </w:r>
      <w:r w:rsidR="006B7857">
        <w:t>Staatsministerium für Wissenschaft und Kunst (</w:t>
      </w:r>
      <w:r>
        <w:t>StMWK</w:t>
      </w:r>
      <w:r w:rsidR="006B7857">
        <w:t>)</w:t>
      </w:r>
      <w:r>
        <w:t xml:space="preserve"> hälftig teilen.</w:t>
      </w:r>
    </w:p>
    <w:p w:rsidR="00013B61" w:rsidRDefault="00013B61" w:rsidP="00013B61">
      <w:pPr>
        <w:pStyle w:val="LTAntwortRessortText"/>
      </w:pPr>
      <w:r>
        <w:t xml:space="preserve">Im Rahmen des KI-Produktionsnetzwerks Augsburg sind im StMWK für die </w:t>
      </w:r>
      <w:r w:rsidRPr="00CD3FD3">
        <w:rPr>
          <w:u w:val="single"/>
        </w:rPr>
        <w:t>Universität Augsburg</w:t>
      </w:r>
      <w:r>
        <w:t xml:space="preserve"> und die </w:t>
      </w:r>
      <w:r w:rsidRPr="00CD3FD3">
        <w:rPr>
          <w:u w:val="single"/>
        </w:rPr>
        <w:t>Hochschule für angewandte Wissenschaft Augsburg</w:t>
      </w:r>
      <w:r>
        <w:t xml:space="preserve"> insgesamt 46 Mio. Euro bis 2025 eingeplant. Aus diesen Mitteln wurden bislang für 2021 der Universität Augsburg 1,48 Mio. Euro und der Hochschule für angewandte Wissenschaft Augsburg 520.000 Euro zugewiesen, der Rest wurde jeweils in Aussicht gestellt.</w:t>
      </w:r>
    </w:p>
    <w:p w:rsidR="00013B61" w:rsidRDefault="00013B61" w:rsidP="00013B61">
      <w:pPr>
        <w:pStyle w:val="LTAntwortRessortText"/>
      </w:pPr>
      <w:r>
        <w:t>Das StMWi fördert:</w:t>
      </w:r>
    </w:p>
    <w:p w:rsidR="00013B61" w:rsidRDefault="00013B61" w:rsidP="00013B61">
      <w:pPr>
        <w:pStyle w:val="LTAntwortRessortText"/>
      </w:pPr>
      <w:r>
        <w:t xml:space="preserve">Am </w:t>
      </w:r>
      <w:r w:rsidRPr="00CD3FD3">
        <w:rPr>
          <w:u w:val="single"/>
        </w:rPr>
        <w:t>Fraunhofer IGCV</w:t>
      </w:r>
      <w:r>
        <w:t xml:space="preserve"> wird im Rahmen des KI-Produktionsnetzwerks das Vorhaben </w:t>
      </w:r>
      <w:r w:rsidR="00E832CF" w:rsidRPr="00CD3FD3">
        <w:rPr>
          <w:i/>
        </w:rPr>
        <w:t>„</w:t>
      </w:r>
      <w:r w:rsidRPr="00CD3FD3">
        <w:rPr>
          <w:i/>
        </w:rPr>
        <w:t>Entwicklung von innovativen Fertigungstechnologien und Anwendungen Künstlicher Intelligenz für den zukünftigen Wissens- und Anwendungstransfer in die produzierenden Unternehmen der Region Augsburg, Schwaben und Bayern</w:t>
      </w:r>
      <w:r w:rsidR="00E832CF" w:rsidRPr="00CD3FD3">
        <w:rPr>
          <w:i/>
        </w:rPr>
        <w:t>“</w:t>
      </w:r>
      <w:r w:rsidR="006B7857">
        <w:t xml:space="preserve"> gefördert. Das Vor</w:t>
      </w:r>
      <w:r>
        <w:t>haben gliedert sich in zwei Teilvorhaben: Zum einen werden Investitionen in Anlagentechnik des Fraunhofer IGCV am Standort Augsburg (Gesamtvolumen: 5 Mio. Euro, davon 2,2 Mio. Euro EFRE</w:t>
      </w:r>
      <w:r w:rsidR="00221EBB">
        <w:t>-</w:t>
      </w:r>
      <w:r>
        <w:t>Mittel</w:t>
      </w:r>
      <w:r w:rsidR="00221EBB">
        <w:t xml:space="preserve"> [EFRE = Europäischer Fonds für regionale Entwicklung]</w:t>
      </w:r>
      <w:r>
        <w:t xml:space="preserve"> und jeweils 1,4 Mio. Euro Landes- bzw. Bundesmittel; bewilligt durch die Regierung von Schwaben am 10.09.2021) unterstützt. Zum anderen wird ein Forschungs- und Entwicklungsprojekt mit einem Volumen von 6,6 Mio. Euro finanziert (bewilligt durch die Regierung von Schwaben am 13.08.2021).</w:t>
      </w:r>
    </w:p>
    <w:p w:rsidR="00013B61" w:rsidRDefault="00013B61" w:rsidP="00013B61">
      <w:pPr>
        <w:pStyle w:val="LTAntwortRessortText"/>
      </w:pPr>
      <w:r>
        <w:t xml:space="preserve">Für den Ausbau des </w:t>
      </w:r>
      <w:r w:rsidRPr="00CD3FD3">
        <w:rPr>
          <w:u w:val="single"/>
        </w:rPr>
        <w:t xml:space="preserve">DLR Instituts </w:t>
      </w:r>
      <w:r w:rsidR="00E832CF" w:rsidRPr="00CD3FD3">
        <w:rPr>
          <w:u w:val="single"/>
        </w:rPr>
        <w:t>„</w:t>
      </w:r>
      <w:r w:rsidRPr="00CD3FD3">
        <w:rPr>
          <w:u w:val="single"/>
        </w:rPr>
        <w:t>Zentrum für Leichtbau und Produktion</w:t>
      </w:r>
      <w:r w:rsidR="00E832CF" w:rsidRPr="00CD3FD3">
        <w:rPr>
          <w:u w:val="single"/>
        </w:rPr>
        <w:t>“</w:t>
      </w:r>
      <w:r w:rsidRPr="00CD3FD3">
        <w:rPr>
          <w:u w:val="single"/>
        </w:rPr>
        <w:t xml:space="preserve"> (ZLP)</w:t>
      </w:r>
      <w:r>
        <w:t xml:space="preserve"> in Augsburg sind im Rahmen des </w:t>
      </w:r>
      <w:r w:rsidR="00E832CF" w:rsidRPr="00CD3FD3">
        <w:rPr>
          <w:i/>
        </w:rPr>
        <w:t>„</w:t>
      </w:r>
      <w:r w:rsidRPr="00CD3FD3">
        <w:rPr>
          <w:i/>
        </w:rPr>
        <w:t>Produktionsnetzwerks Augsburg</w:t>
      </w:r>
      <w:r w:rsidR="00E832CF" w:rsidRPr="00CD3FD3">
        <w:rPr>
          <w:i/>
        </w:rPr>
        <w:t>“</w:t>
      </w:r>
      <w:r>
        <w:t xml:space="preserve"> 8 Mio. Euro vorgesehen. Es ist der Anbau einer 30-Meter Halle vorgesehen, der eine weitere Großanlage mit technologischem Alleinstellungsmerkmal (</w:t>
      </w:r>
      <w:r w:rsidR="00E832CF">
        <w:t>„</w:t>
      </w:r>
      <w:r>
        <w:t>Hokitep</w:t>
      </w:r>
      <w:r w:rsidR="00E832CF">
        <w:t>“</w:t>
      </w:r>
      <w:r>
        <w:t xml:space="preserve">: Industrie 4.0 im </w:t>
      </w:r>
      <w:r>
        <w:lastRenderedPageBreak/>
        <w:t>Luft- und Raumfahrtsektor; Kombination Mensch, mobile Cobots und Industrieroboter) beherbergen soll. Die Abwicklung erfolgt über die institutionelle Förderung des DLR e.</w:t>
      </w:r>
      <w:r w:rsidR="006B7857">
        <w:t> </w:t>
      </w:r>
      <w:r>
        <w:t>V., beginnend mit dem Zuwendungsbescheid 2021.</w:t>
      </w:r>
    </w:p>
    <w:p w:rsidR="00013B61" w:rsidRDefault="00013B61" w:rsidP="00013B61">
      <w:pPr>
        <w:pStyle w:val="LTAntwortRessortText"/>
      </w:pPr>
      <w:r>
        <w:t xml:space="preserve">Außerdem wurden Mittel für </w:t>
      </w:r>
      <w:r w:rsidRPr="00CD3FD3">
        <w:rPr>
          <w:u w:val="single"/>
        </w:rPr>
        <w:t>FuE-Projekte der Verbundforschung</w:t>
      </w:r>
      <w:r w:rsidR="006B7857">
        <w:t xml:space="preserve"> (FuE = Forschung und Entwicklung) eingeplant. Zur Be</w:t>
      </w:r>
      <w:r>
        <w:t>werbung um Fördermittel für Verbundforschungsprojekte sind im Jahr 2021 insgesamt 13 Fördercalls vom StMWi veröffentlicht worden. Die Auswahl vorgeschlagener Verbundforschungsprojekte erfolgte in einem wettbewerblichen Verfahren auf Basis von unabhängigen Sachgutachten und Jury-Sitzungen. Zentrale Auswahlkriterien sind die Neuheit, Innovationshöhe und das technische Entwicklungsrisiko des eingereichten FuE-Projektvorschlags. Es werden der Verwertungspl</w:t>
      </w:r>
      <w:r w:rsidR="006B7857">
        <w:t>an und die betriebswirtschaftli</w:t>
      </w:r>
      <w:r>
        <w:t xml:space="preserve">chen Erfolgsaussichten, die Bedeutung für Bayern und die volkswirtschaftliche Relevanz, die Angemessenheit der Planung bezüglich eingereichtem Arbeits-, Zeit- und Kostenplan sowie die Machbarkeit des Vorhabens und die fachliche Kompetenz der Partner evaluiert. Insgesamt sind im Rahmen des KI-Produktionsnetzwerks Augsburg 30 </w:t>
      </w:r>
      <w:r w:rsidR="006B7857">
        <w:t>Mio.</w:t>
      </w:r>
      <w:r>
        <w:t xml:space="preserve"> Euro für Verbundforschungsprojekte bis 2025 vorgesehen.</w:t>
      </w:r>
    </w:p>
    <w:p w:rsidR="00013B61" w:rsidRDefault="00013B61" w:rsidP="00013B61">
      <w:pPr>
        <w:pStyle w:val="LTAntwortRessortText"/>
      </w:pPr>
      <w:r>
        <w:t>Bislang wurden 15 Verbundforschungsprojekte i</w:t>
      </w:r>
      <w:r w:rsidR="006B7857">
        <w:t>m Rahmen des KI-Produktionsnetz</w:t>
      </w:r>
      <w:r>
        <w:t>werks Augsburg mit einem Gesamtvolumen von etwa</w:t>
      </w:r>
      <w:r w:rsidR="006B7857">
        <w:t>s über 13 Mio. Euro für Projekt</w:t>
      </w:r>
      <w:r>
        <w:t>laufzeiten bis 2025 unter den Auflagen der Richtl</w:t>
      </w:r>
      <w:r w:rsidR="006B7857">
        <w:t>inie des Bayerischen Verbundfor</w:t>
      </w:r>
      <w:r>
        <w:t>schungsprogramms (Förderlinie Digitalisierung) bewilligt. Weitere 12 Verbundforschungsvorhaben mit einer voraussichtlichen Zuwendungssumme in Höhe von rund 7,6 Mio. Euro befinden sich derzeit in der Qualifizierungsphase oder im Prozess der Antragsstellung.</w:t>
      </w:r>
    </w:p>
    <w:p w:rsidR="00013B61" w:rsidRDefault="00013B61" w:rsidP="00013B61">
      <w:pPr>
        <w:pStyle w:val="LTAntwortRessortText"/>
      </w:pPr>
      <w:r>
        <w:t>Nach der Verkündigung des Bayerischen Haushaltsgesetzes Anfang April 2021 und damit der formalen Verfügbarkeit der Finanzmittel wurden Verbundforschungsprojekte für die Region Augsburg zügig vorangebracht. Die ersten Förderbescheide wurden Anfang August 2021 an Verbundpartner erteilt. Da die bewilligten Projekte erst in der zweiten Jahreshälfte 2021 starteten und in der Techno</w:t>
      </w:r>
      <w:r w:rsidR="006B7857">
        <w:t>logieförderung Mittel erst nach</w:t>
      </w:r>
      <w:r>
        <w:t>schüssig abließen, wurden Finanzmittel in noch nicht nennenswerter Höhe ausgezahlt. Anfang 2022 werden weitere Förderbekanntmachungen veröffentlicht.</w:t>
      </w:r>
    </w:p>
    <w:p w:rsidR="00013B61" w:rsidRDefault="00013B61" w:rsidP="00013B61">
      <w:pPr>
        <w:pStyle w:val="LTAntwortRessortText"/>
      </w:pPr>
      <w:r>
        <w:t xml:space="preserve">Weitere Bestandteile des </w:t>
      </w:r>
      <w:r w:rsidR="00E832CF" w:rsidRPr="00CD3FD3">
        <w:rPr>
          <w:i/>
        </w:rPr>
        <w:t>„</w:t>
      </w:r>
      <w:r w:rsidRPr="00CD3FD3">
        <w:rPr>
          <w:i/>
        </w:rPr>
        <w:t>Zukunftsprogramms für Augsburg</w:t>
      </w:r>
      <w:r w:rsidR="00E832CF" w:rsidRPr="00CD3FD3">
        <w:rPr>
          <w:i/>
        </w:rPr>
        <w:t>“</w:t>
      </w:r>
      <w:r>
        <w:t xml:space="preserve"> sind Projekte im Bereich der </w:t>
      </w:r>
      <w:r w:rsidRPr="00CD3FD3">
        <w:rPr>
          <w:u w:val="single"/>
        </w:rPr>
        <w:t>Wasserstoff- sowie der Brennstoffzellentechnologie und Elektro-Antriebe</w:t>
      </w:r>
      <w:r>
        <w:t>. Hier sind rd. 2 Mio. Euro bewilligt, von denen rd. 166.000 Euro</w:t>
      </w:r>
      <w:r w:rsidR="006B7857">
        <w:t xml:space="preserve"> ausgezahlt wurden. Weitere Mit</w:t>
      </w:r>
      <w:r>
        <w:t>telabrufe sind in Bearbeitung.</w:t>
      </w:r>
    </w:p>
    <w:p w:rsidR="00013B61" w:rsidRDefault="00013B61" w:rsidP="00013B61">
      <w:pPr>
        <w:pStyle w:val="LTAntwortRessortText"/>
      </w:pPr>
      <w:r>
        <w:t xml:space="preserve">Für die Koordination und Vernetzung der regionalen Akteure und Projekte haben im Mai 2021 zwei </w:t>
      </w:r>
      <w:r w:rsidRPr="00CD3FD3">
        <w:rPr>
          <w:u w:val="single"/>
        </w:rPr>
        <w:t>Technologietransfermanager</w:t>
      </w:r>
      <w:r>
        <w:t xml:space="preserve"> ihre Arbeit aufgenommen und Räumlichkeiten im TZE-Augsburg bezogen. Bis Ende 2023 </w:t>
      </w:r>
      <w:r w:rsidR="006B7857">
        <w:t>wird die Arbeit der Technologie</w:t>
      </w:r>
      <w:r>
        <w:t>transfermanager mit rd. 1,15 Mio. Euro gefördert, von denen bisher rd. 260.000 Euro verausgabt sind.</w:t>
      </w:r>
    </w:p>
    <w:p w:rsidR="00013B61" w:rsidRDefault="00013B61">
      <w:bookmarkStart w:id="84" w:name="Frage_Nr_41_Ende"/>
      <w:bookmarkEnd w:id="84"/>
      <w:r>
        <w:br w:type="page"/>
      </w:r>
    </w:p>
    <w:tbl>
      <w:tblPr>
        <w:tblStyle w:val="Tabellenraster"/>
        <w:tblW w:w="1341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gridCol w:w="5796"/>
      </w:tblGrid>
      <w:tr w:rsidR="0049313C" w:rsidTr="0049313C">
        <w:tc>
          <w:tcPr>
            <w:tcW w:w="1820" w:type="dxa"/>
          </w:tcPr>
          <w:p w:rsidR="0049313C" w:rsidRDefault="0049313C" w:rsidP="0049313C">
            <w:pPr>
              <w:pStyle w:val="LTAnfrageInitiator"/>
            </w:pPr>
            <w:r>
              <w:lastRenderedPageBreak/>
              <w:t>Abgeordneter</w:t>
            </w:r>
            <w:r>
              <w:rPr>
                <w:b/>
              </w:rPr>
              <w:br/>
              <w:t>Gerd</w:t>
            </w:r>
            <w:r>
              <w:rPr>
                <w:b/>
              </w:rPr>
              <w:br/>
              <w:t>Mannes</w:t>
            </w:r>
            <w:r>
              <w:rPr>
                <w:b/>
              </w:rPr>
              <w:br/>
            </w:r>
            <w:r>
              <w:t>(AfD)</w:t>
            </w:r>
            <w:bookmarkStart w:id="85" w:name="Frage_Nr_42"/>
            <w:bookmarkEnd w:id="85"/>
          </w:p>
        </w:tc>
        <w:tc>
          <w:tcPr>
            <w:tcW w:w="5796" w:type="dxa"/>
          </w:tcPr>
          <w:p w:rsidR="0049313C" w:rsidRPr="00D0635E" w:rsidRDefault="0049313C" w:rsidP="00D0635E">
            <w:pPr>
              <w:pStyle w:val="LTAnfrageText"/>
            </w:pPr>
            <w:r w:rsidRPr="00D0635E">
              <w:t>Ich frage die Staatsregierung, wie hoch ist der erwartete Stromverbrauch Bayerns im Jahr 2022 und im Jahr 2023 (in TWh), wie viel dieses Stromverbrauchs soll voraussichtlich durch Stromimporte (aus dem Ausland) gedeckt werden (in TWh), und was sind die vertraglichen und technischen Garantien dafür, dass diese erwarteten und notwendigen Stromimporte auch rechtzeitig, in voller Höhe und ohne Ausfall geliefert werden?</w:t>
            </w:r>
          </w:p>
        </w:tc>
        <w:tc>
          <w:tcPr>
            <w:tcW w:w="5796" w:type="dxa"/>
          </w:tcPr>
          <w:p w:rsidR="0049313C" w:rsidRDefault="0049313C" w:rsidP="0049313C">
            <w:pPr>
              <w:pStyle w:val="LTAnfrageText"/>
            </w:pPr>
          </w:p>
        </w:tc>
      </w:tr>
    </w:tbl>
    <w:p w:rsidR="00013B61" w:rsidRDefault="00013B61" w:rsidP="00013B61">
      <w:pPr>
        <w:pStyle w:val="LTUeberschrAntwortRessort"/>
      </w:pPr>
      <w:r>
        <w:t>Antwort des Staatsministeriums für Wirtschaft, Landesentwicklung und Energie</w:t>
      </w:r>
    </w:p>
    <w:p w:rsidR="00013B61" w:rsidRDefault="006B7857" w:rsidP="00013B61">
      <w:pPr>
        <w:pStyle w:val="LTAntwortRessortText"/>
      </w:pPr>
      <w:r>
        <w:t xml:space="preserve">Die </w:t>
      </w:r>
      <w:r w:rsidR="00013B61">
        <w:t>Staatsregierung erwartet in den J</w:t>
      </w:r>
      <w:r>
        <w:t>ahren 2022 und 2023 einen Strom</w:t>
      </w:r>
      <w:r w:rsidR="00013B61">
        <w:t>verbrauch zwischen 84 und 88 TWh. Vor dem Hintergrund der Unwägbarkeiten im Zusammenhang mit dem weiteren Pandemieverlauf unterliegt die Prognose zum Stromverbrauch derzeit einer erhöhten Unsicherheit. Eine Prognose, welcher Anteil davon aus dem Ausland importiert werden wird, ist nicht möglich und wird sich aus den Beschaffungsaktivitäten der am Markt agierenden Energieversorgungsunternehmen ergeben. § 4 Abs. 2 S</w:t>
      </w:r>
      <w:r>
        <w:t>atz</w:t>
      </w:r>
      <w:r w:rsidR="00013B61">
        <w:t xml:space="preserve"> 2 der Strom-Netzzugangsverordnung (StromNZV) verpflichtet die stromhandelnden Energieversorgungsunternehmen (</w:t>
      </w:r>
      <w:r w:rsidR="00E832CF">
        <w:t>„</w:t>
      </w:r>
      <w:r>
        <w:t>Bilanzkreisverantwortli</w:t>
      </w:r>
      <w:r w:rsidR="00013B61">
        <w:t>chen</w:t>
      </w:r>
      <w:r w:rsidR="00E832CF">
        <w:t>“</w:t>
      </w:r>
      <w:r w:rsidR="00013B61">
        <w:t>) dazu, für jede Viertelstunde so viel Strom für di</w:t>
      </w:r>
      <w:r>
        <w:t>e von ihnen belieferten Verbrau</w:t>
      </w:r>
      <w:r w:rsidR="00013B61">
        <w:t>cher zu beschaffen, wie diese voraussichtlich benötigen. Abweichungen werden von den Übertragungsnetzbetreibern über vorab kontrahierte Regelenergie ausgeglichen, die den Bilanzkreisverantwortlichen verursachungsgerecht</w:t>
      </w:r>
      <w:r>
        <w:t xml:space="preserve"> in Rechnung gestellt wird (§ 6 bis </w:t>
      </w:r>
      <w:r w:rsidR="00013B61">
        <w:t>8 StromNZV), womit eine möglichst hohe Prognosegüte bei den Bil</w:t>
      </w:r>
      <w:r>
        <w:t>anzkreisver</w:t>
      </w:r>
      <w:r w:rsidR="00013B61">
        <w:t xml:space="preserve">antwortlichen angereizt wird. Für den Fall, dass die am Markt vereinbarten Stromlieferungen aufgrund von Netzengpässen technisch nicht realisierbar sind, ergreifen die Übertragungsnetzbetreiber sogenannte </w:t>
      </w:r>
      <w:r>
        <w:t>Redispatchmaßnahmen, für die u. </w:t>
      </w:r>
      <w:r w:rsidR="00013B61">
        <w:t>a. auf</w:t>
      </w:r>
      <w:r>
        <w:t xml:space="preserve"> Kraft</w:t>
      </w:r>
      <w:r w:rsidR="00013B61">
        <w:t>werke der Netzreserve (§ 13d des Energiewirtschaftsgesetzes (EnWG)) zurückgegriffen werden kann.</w:t>
      </w:r>
    </w:p>
    <w:p w:rsidR="00013B61" w:rsidRDefault="00013B61">
      <w:bookmarkStart w:id="86" w:name="Frage_Nr_42_Ende"/>
      <w:bookmarkEnd w:id="86"/>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49313C" w:rsidTr="0049313C">
        <w:tc>
          <w:tcPr>
            <w:tcW w:w="1918" w:type="dxa"/>
          </w:tcPr>
          <w:p w:rsidR="0049313C" w:rsidRDefault="0049313C" w:rsidP="0049313C">
            <w:pPr>
              <w:pStyle w:val="LTAnfrageInitiator"/>
            </w:pPr>
            <w:r>
              <w:lastRenderedPageBreak/>
              <w:t>Abgeordnete</w:t>
            </w:r>
            <w:r>
              <w:rPr>
                <w:b/>
              </w:rPr>
              <w:br/>
              <w:t>Anna</w:t>
            </w:r>
            <w:r>
              <w:rPr>
                <w:b/>
              </w:rPr>
              <w:br/>
              <w:t>Schwamberger</w:t>
            </w:r>
            <w:r>
              <w:rPr>
                <w:b/>
              </w:rPr>
              <w:br/>
            </w:r>
            <w:r>
              <w:t>(BÜNDNIS 90/DIE GRÜNEN)</w:t>
            </w:r>
            <w:bookmarkStart w:id="87" w:name="Frage_Nr_43"/>
            <w:bookmarkEnd w:id="87"/>
          </w:p>
        </w:tc>
        <w:tc>
          <w:tcPr>
            <w:tcW w:w="5698" w:type="dxa"/>
          </w:tcPr>
          <w:p w:rsidR="0049313C" w:rsidRPr="00D0635E" w:rsidRDefault="0049313C" w:rsidP="00D0635E">
            <w:pPr>
              <w:pStyle w:val="LTAnfrageText"/>
            </w:pPr>
            <w:r w:rsidRPr="00D0635E">
              <w:t xml:space="preserve">Ich frage die Staatsregierung, welche Potenzialflächen in der Oberpfalz für die von Staatsminister für Wirtschaft, Landesentwicklung und Energie Hubert Aiwanger geplanten 1 000 Windräder vorgesehen sind (bitte aufgelistet nach Landkreisen), wie die Kommunen finanziell für die Belastungen vor Ort entschädigt bzw. am Ertrag beteiligt werden und ob bereits Kontakt mit den betroffenen Kommunen aufgenommen wurde?  </w:t>
            </w:r>
          </w:p>
        </w:tc>
        <w:tc>
          <w:tcPr>
            <w:tcW w:w="5698" w:type="dxa"/>
          </w:tcPr>
          <w:p w:rsidR="0049313C" w:rsidRDefault="0049313C" w:rsidP="0049313C">
            <w:pPr>
              <w:pStyle w:val="LTAnfrageText"/>
            </w:pPr>
          </w:p>
        </w:tc>
      </w:tr>
    </w:tbl>
    <w:p w:rsidR="00013B61" w:rsidRDefault="00013B61" w:rsidP="00013B61">
      <w:pPr>
        <w:pStyle w:val="LTUeberschrAntwortRessort"/>
      </w:pPr>
      <w:r>
        <w:t>Antwort des Staatsministeriums für Wirtschaft, Landesentwicklung und Energie</w:t>
      </w:r>
    </w:p>
    <w:p w:rsidR="00013B61" w:rsidRDefault="00013B61" w:rsidP="00013B61">
      <w:pPr>
        <w:pStyle w:val="LTAntwortRessortText"/>
      </w:pPr>
      <w:r>
        <w:t>Bei der Ermittlung geeigneter Standorte in den b</w:t>
      </w:r>
      <w:r w:rsidR="006B7857">
        <w:t>ayerischen Wäldern wurde das Po</w:t>
      </w:r>
      <w:r>
        <w:t>tenzial aus umweltschutzfachlicher Sicht für Windenergie geprüft. Im Energie-Atlas Bayern wurden Gebiete mit entsprechender Windhöffigkeit und Waldgebiete für eine rein kartographische Darstellung verschnitten, um auf die Möglichkeiten aufmerksam zu machen, Windräder im Wald zu errichten. Das Kartenmaterial ist auf der Homepage des St</w:t>
      </w:r>
      <w:r w:rsidR="001B3989">
        <w:t xml:space="preserve">aatsministeriums für Wirtschaft, Landesentwicklung und Energie </w:t>
      </w:r>
      <w:r>
        <w:t xml:space="preserve">unter </w:t>
      </w:r>
      <w:hyperlink r:id="rId19" w:history="1">
        <w:r w:rsidRPr="007E7287">
          <w:rPr>
            <w:rStyle w:val="LTHyperlinkZchn"/>
            <w:b w:val="0"/>
          </w:rPr>
          <w:t>https://www.stmwi.bayern.de/windenergie-im-wald/</w:t>
        </w:r>
      </w:hyperlink>
      <w:r>
        <w:t xml:space="preserve"> öffentlich zu-gänglich. Die Karten ermöglichen eine erste Einschätzung, ob Flächen gegebenenfalls zur Windenergienutzung in Frage kommen. Dazu können unter anderem relevante Flächendarstellungen interaktiv kombiniert ein- und ausgeblendet werden.</w:t>
      </w:r>
    </w:p>
    <w:p w:rsidR="00013B61" w:rsidRDefault="00013B61" w:rsidP="00CD3FD3">
      <w:pPr>
        <w:pStyle w:val="LTAntwortRessortText"/>
        <w:spacing w:before="0"/>
      </w:pPr>
      <w:r>
        <w:t>Kommunen können gemäß § 6 des Erneuerbare-</w:t>
      </w:r>
      <w:r w:rsidR="001B3989">
        <w:t>Energien-Gesetzes – EEG 2021 fi</w:t>
      </w:r>
      <w:r>
        <w:t>nanziell von der Errichtung von Windenergieanlagen profitieren. Danach darf der Anlagenbetreiber Gemeinden, in denen eine Anlage errichtet wird, und solchen, die von der Errichtung unmittelbar betroffen sind, auf freiwilliger Basis bis zu 0,2 Cent pro erzeugter Kilowattstunde zahlen. Nicht als betroffen gelten Gemeinden, deren Gemeindegebiet sich nicht zumindest teilweise innerhalb ei</w:t>
      </w:r>
      <w:r w:rsidR="001B3989">
        <w:t>nes um die Turmmitte einer Wind</w:t>
      </w:r>
      <w:r>
        <w:t xml:space="preserve">energieanlage gelegenen Umkreises von 2,5 </w:t>
      </w:r>
      <w:r w:rsidR="001B3989">
        <w:t>km</w:t>
      </w:r>
      <w:r>
        <w:t xml:space="preserve"> befindet. Kommunen können zudem durch Verpachtung von gemeindeeigenen Flächen ebenso vom Ausbau der</w:t>
      </w:r>
      <w:r w:rsidR="007B709A">
        <w:t xml:space="preserve"> </w:t>
      </w:r>
      <w:r>
        <w:t>Windenergie profitieren wie durch Gewerbesteuere</w:t>
      </w:r>
      <w:r w:rsidR="001B3989">
        <w:t>innahmen. Aber auch durch Betei</w:t>
      </w:r>
      <w:r>
        <w:t>ligungen an Energiegenossenschaften oder durch Schaffung von Bürgerwindrädern können Kommunen und ihre Bürgerinnen und Bürger an der Wertschöpfung beteiligt werden.</w:t>
      </w:r>
    </w:p>
    <w:p w:rsidR="00013B61" w:rsidRDefault="00013B61" w:rsidP="00CD3FD3">
      <w:pPr>
        <w:pStyle w:val="LTAntwortRessortText"/>
        <w:spacing w:before="0"/>
      </w:pPr>
      <w:r>
        <w:t>Mit den rund 300 identifizierten Kommunen in Bayern, in denen vermutlich geeignete Waldflächen liegen, wurde bislang nicht gesondert Kontakt aufgenommen.</w:t>
      </w:r>
    </w:p>
    <w:p w:rsidR="00013B61" w:rsidRDefault="00013B61">
      <w:bookmarkStart w:id="88" w:name="Frage_Nr_43_Ende"/>
      <w:bookmarkEnd w:id="8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F22A0" w:rsidTr="004F22A0">
        <w:tc>
          <w:tcPr>
            <w:tcW w:w="1883" w:type="dxa"/>
          </w:tcPr>
          <w:p w:rsidR="004F22A0" w:rsidRDefault="004F22A0" w:rsidP="004F22A0">
            <w:pPr>
              <w:pStyle w:val="LTAnfrageInitiator"/>
            </w:pPr>
            <w:r>
              <w:lastRenderedPageBreak/>
              <w:t>Abgeordneter</w:t>
            </w:r>
            <w:r>
              <w:rPr>
                <w:b/>
              </w:rPr>
              <w:br/>
              <w:t>Christian</w:t>
            </w:r>
            <w:r>
              <w:rPr>
                <w:b/>
              </w:rPr>
              <w:br/>
              <w:t>Zwanziger</w:t>
            </w:r>
            <w:r>
              <w:rPr>
                <w:b/>
              </w:rPr>
              <w:br/>
            </w:r>
            <w:r>
              <w:t>(BÜNDNIS 90/DIE GRÜNEN)</w:t>
            </w:r>
            <w:bookmarkStart w:id="89" w:name="Frage_Nr_44"/>
            <w:bookmarkEnd w:id="89"/>
          </w:p>
        </w:tc>
        <w:tc>
          <w:tcPr>
            <w:tcW w:w="5733" w:type="dxa"/>
          </w:tcPr>
          <w:p w:rsidR="004F22A0" w:rsidRPr="00D0635E" w:rsidRDefault="004F22A0" w:rsidP="00D0635E">
            <w:pPr>
              <w:pStyle w:val="LTAnfrageText"/>
            </w:pPr>
            <w:r w:rsidRPr="00D0635E">
              <w:t>Ich frage die Staatsregierung, wie haben sich die Zugriffszahlen auf den Ausflugsticker für Bayern seit Veröffentlichung des Ausflugstickers 1.0 am 17.07.2020 und seit Veröffentlichung des Ausflugsticker 2.0 am 31.03.2021 entwickelt (bitte unter Aufstellung der wöchentlichen Zugriffszahlen und Unterscheidung zwischen den Tickern der einzelnen Tourismusverbände auflisten), wie bewertet die Staatsregierung den bisherigen Effekt der Maßnahmen für die Besucherinnen- bzw. Besucherlenkung in Bayern und welcher Anteil der dort eingepflegten Inhalte und Echtzeitmeldungen automatisiert eingepflegt wurden?</w:t>
            </w:r>
          </w:p>
        </w:tc>
        <w:tc>
          <w:tcPr>
            <w:tcW w:w="5733" w:type="dxa"/>
          </w:tcPr>
          <w:p w:rsidR="004F22A0" w:rsidRDefault="004F22A0" w:rsidP="004F22A0">
            <w:pPr>
              <w:pStyle w:val="LTAnfrageText"/>
            </w:pPr>
          </w:p>
        </w:tc>
      </w:tr>
    </w:tbl>
    <w:p w:rsidR="00013B61" w:rsidRDefault="00013B61" w:rsidP="00013B61">
      <w:pPr>
        <w:pStyle w:val="LTUeberschrAntwortRessort"/>
      </w:pPr>
      <w:r>
        <w:t>Antwort des Staatsministeriums für Wirtschaft, Landesentwicklung und Energie</w:t>
      </w:r>
    </w:p>
    <w:p w:rsidR="00013B61" w:rsidRDefault="00013B61" w:rsidP="00013B61">
      <w:pPr>
        <w:pStyle w:val="LTAntwortRessortText"/>
      </w:pPr>
      <w:r>
        <w:t>Für den angefragten Zeitraum stehen die wöchentlichen Zugriffszahlen für den Aus-flugsticker Bayern bis November 2020 und ab der Überarbeitung des Ausflugstickers zum 31.03.2021 zur Verfügung. Die Zahlen sind in der</w:t>
      </w:r>
      <w:r w:rsidR="001B3989">
        <w:t xml:space="preserve"> beigefügten Excel-Liste enthal</w:t>
      </w:r>
      <w:r>
        <w:t>ten.</w:t>
      </w:r>
    </w:p>
    <w:p w:rsidR="00013B61" w:rsidRDefault="00013B61" w:rsidP="00CD3FD3">
      <w:pPr>
        <w:pStyle w:val="LTAntwortRessortText"/>
        <w:spacing w:before="0"/>
      </w:pPr>
      <w:r>
        <w:t>Die Daten unterliegen jedoch einigen Einschränkunge</w:t>
      </w:r>
      <w:r w:rsidR="001B3989">
        <w:t>n. So können nur diejenigen Nut</w:t>
      </w:r>
      <w:r>
        <w:t>zer gezählt werden, welche die Einwilligung zur Erfassung ihrer Daten für statistis</w:t>
      </w:r>
      <w:r w:rsidR="001B3989">
        <w:t>che Zwecke gegeben haben –</w:t>
      </w:r>
      <w:r>
        <w:t xml:space="preserve"> dies sind in der Regel zwischen 40 bis 50 Prozent der Nutzer. Es kann daher von deutlich höheren tatsächlichen Nutzungszahlen ausgegangen werden. Die Daten der regionalen Tourismusverbände liegen nur bis November 2020 vor, weshalb ab diesem Zeitpunkt keine gesamten Zugr</w:t>
      </w:r>
      <w:r w:rsidR="001B3989">
        <w:t>iffszahlen ermittelt werden kön</w:t>
      </w:r>
      <w:r>
        <w:t>nen. Mit der Überarbeitung des Ausflugstickers Baye</w:t>
      </w:r>
      <w:r w:rsidR="001B3989">
        <w:t>rn zum 31.03.2021 liegen die Zu</w:t>
      </w:r>
      <w:r>
        <w:t xml:space="preserve">griffszahlen wieder vor, jedoch wurden mit dieser Überarbeitung die Meldungen der einzelnen </w:t>
      </w:r>
      <w:r w:rsidR="00E832CF">
        <w:t>„</w:t>
      </w:r>
      <w:r>
        <w:t>Ticker</w:t>
      </w:r>
      <w:r w:rsidR="00E832CF">
        <w:t>“</w:t>
      </w:r>
      <w:r>
        <w:t xml:space="preserve"> </w:t>
      </w:r>
      <w:r w:rsidRPr="006F38F8">
        <w:t>in</w:t>
      </w:r>
      <w:r>
        <w:t xml:space="preserve"> </w:t>
      </w:r>
      <w:r w:rsidRPr="006F38F8">
        <w:rPr>
          <w:b/>
        </w:rPr>
        <w:t>ein</w:t>
      </w:r>
      <w:r>
        <w:t xml:space="preserve"> Berichtsformat zusammenge</w:t>
      </w:r>
      <w:r w:rsidR="001B3989">
        <w:t>führt, sodass hier keine regio</w:t>
      </w:r>
      <w:r>
        <w:t>nale Differenzierung der Daten möglich ist.</w:t>
      </w:r>
    </w:p>
    <w:p w:rsidR="00013B61" w:rsidRDefault="00013B61" w:rsidP="00CD3FD3">
      <w:pPr>
        <w:pStyle w:val="LTAntwortRessortText"/>
        <w:spacing w:before="0"/>
      </w:pPr>
      <w:r>
        <w:t>Für den Ausflugsticker Bayern zeigten sich 2020 in den Sommermonaten sehr hohe Zugriffszahlen, welche im Laufe der Herbstmonate und der gleichzeitigen Ausweitung</w:t>
      </w:r>
      <w:r w:rsidR="007B709A">
        <w:t xml:space="preserve"> </w:t>
      </w:r>
      <w:r>
        <w:t>der Corona-Beschränkungen abgenommen haben. Z</w:t>
      </w:r>
      <w:r w:rsidR="001B3989">
        <w:t>um Start des überarbeiteten Aus</w:t>
      </w:r>
      <w:r>
        <w:t xml:space="preserve">flugstickers Bayern zu Ostern 2021 zeigte sich wiederum eine sehr hohe Nutzung des Ausflugstickers. Mit dem Ende der Ferien sind diese, auch wetter- und ferienbedingt, zurückgegangen. Insgesamt kann die Nutzung des überarbeiteten Ausflugstickers mit rund 2,7 </w:t>
      </w:r>
      <w:r w:rsidR="001B3989">
        <w:t>Mio.</w:t>
      </w:r>
      <w:r>
        <w:t xml:space="preserve"> registrierten Aufrufen sehr positiv bewertet werden.</w:t>
      </w:r>
    </w:p>
    <w:p w:rsidR="00013B61" w:rsidRDefault="00013B61" w:rsidP="00CD3FD3">
      <w:pPr>
        <w:pStyle w:val="LTAntwortRessortText"/>
        <w:spacing w:before="0"/>
      </w:pPr>
      <w:r>
        <w:t xml:space="preserve">Der neue Ausflugsticker Bayern wird auch in Fachkreisen sehr gut angenommen. So wurde der ADAC Tourismuspreis Bayern 2021 an den Ausflugsticker Oberbayern verliehen, welcher die Vorversion des Ausflugstickers Bayern ist. Inzwischen betreut die Bayern Tourismus Marketing GmbH (BayTM) den Ausflugsticker und entwickelt diesen kontinuierlich weiter. Die Resonanz der Tourismusverbände ist ebenfalls durchweg positiv. Das zeigt sich </w:t>
      </w:r>
      <w:r w:rsidR="004A5D9A">
        <w:t>u. a.</w:t>
      </w:r>
      <w:r>
        <w:t xml:space="preserve"> in den über 350 aktiven Melder</w:t>
      </w:r>
      <w:r w:rsidR="001B3989">
        <w:t>i</w:t>
      </w:r>
      <w:r>
        <w:t>nnen</w:t>
      </w:r>
      <w:r w:rsidR="001B3989">
        <w:t xml:space="preserve"> bzw. Melder</w:t>
      </w:r>
      <w:r>
        <w:t xml:space="preserve">. Durch regelmäßige Updates zur Weiterentwicklung des Ausflugstickers im Rahmen der Arbeitsgruppe Besucherlenkung des </w:t>
      </w:r>
      <w:r w:rsidR="00CF0CCC">
        <w:t>Staatsministeriums für Wirtschaft, Landesentwicklung und Energie</w:t>
      </w:r>
      <w:r>
        <w:t xml:space="preserve"> werden auch die anderen an der Besucherlenkung beteiligten Ressorts, Verbände und Kommunen eingebunden.</w:t>
      </w:r>
    </w:p>
    <w:p w:rsidR="00013B61" w:rsidRDefault="00013B61" w:rsidP="00CD3FD3">
      <w:pPr>
        <w:pStyle w:val="LTAntwortRessortText"/>
        <w:spacing w:before="0"/>
      </w:pPr>
      <w:r>
        <w:t xml:space="preserve">Eine Umfrage des Bayerischen Zentrums für Tourismus im April 2021 zum Thema </w:t>
      </w:r>
      <w:r w:rsidR="00E832CF">
        <w:t>„</w:t>
      </w:r>
      <w:r>
        <w:t>Bedeutung und Maßnahmen von Besucherlenkung in bayerischen Kommunen</w:t>
      </w:r>
      <w:r w:rsidR="00E832CF">
        <w:t>“</w:t>
      </w:r>
      <w:r w:rsidR="001B3989">
        <w:t xml:space="preserve"> be</w:t>
      </w:r>
      <w:r>
        <w:t xml:space="preserve">stätigt das positive Feedback. Es konnte gezeigt </w:t>
      </w:r>
      <w:r w:rsidR="001B3989">
        <w:t>werden, dass 42 Prozent der Kom</w:t>
      </w:r>
      <w:r>
        <w:t xml:space="preserve">munen, welche mindestens eine Maßnahme zur Besucherlenkung betreiben, den </w:t>
      </w:r>
      <w:r w:rsidR="00E8081D">
        <w:lastRenderedPageBreak/>
        <w:t>Aus</w:t>
      </w:r>
      <w:r>
        <w:t>flugsticker verwenden. Eine repräsentative Befragung der bayerischen Bevölkerung im Mai 2021 durch das Bayerische Zentrum für Tourismus ergab zudem, dass sieben Prozent der Befragten den Ausflugsticker bereits benutzt haben. Weitere 17 Prozent haben bereits vom Ausflugsticker gehört, ihn aber noch nicht verwendet.</w:t>
      </w:r>
    </w:p>
    <w:p w:rsidR="00013B61" w:rsidRDefault="00013B61" w:rsidP="00CD3FD3">
      <w:pPr>
        <w:pStyle w:val="LTAntwortRessortText"/>
        <w:spacing w:before="0"/>
      </w:pPr>
      <w:r>
        <w:t>Derzeit können nur wenige Auslastungsdaten vollautomatisiert in den Ausflugsticker eingespeist werden, wie etwa drei Modellparkplätze im Allgäu (</w:t>
      </w:r>
      <w:r w:rsidR="004A5D9A">
        <w:t>u. a.</w:t>
      </w:r>
      <w:r>
        <w:t xml:space="preserve"> am Alatsee), weil kaum touristisch relevante Echtzeitdaten verfügbar </w:t>
      </w:r>
      <w:r w:rsidR="001B3989">
        <w:t>sind. Die automatisierte Einbin</w:t>
      </w:r>
      <w:r>
        <w:t xml:space="preserve">dung von Echtzeitauslastungsdaten in den Ausflugsticker Bayern ist jedoch ein großes Anliegen des </w:t>
      </w:r>
      <w:r w:rsidR="001B3989">
        <w:t>Staatsministeriums für Wirtschaft, Landesentwicklung und Energie</w:t>
      </w:r>
      <w:r>
        <w:t xml:space="preserve">. Mit dem Förderprogramm </w:t>
      </w:r>
      <w:r w:rsidR="00E832CF">
        <w:t>„</w:t>
      </w:r>
      <w:r w:rsidR="001B3989">
        <w:t>Tourismus in Bayern –</w:t>
      </w:r>
      <w:r>
        <w:t xml:space="preserve"> fit für die Zukunft</w:t>
      </w:r>
      <w:r w:rsidR="00E832CF">
        <w:t>“</w:t>
      </w:r>
      <w:r>
        <w:t xml:space="preserve"> werden daher </w:t>
      </w:r>
      <w:r w:rsidR="004A5D9A">
        <w:t>u. a.</w:t>
      </w:r>
      <w:r>
        <w:t xml:space="preserve"> Maßnahmen zur Erfassung, Verarbeitung und Bereitstellung von touristisch relevanten Echtzeitauslastungsdaten unterstützt. Eine Fördervoraussetzung ist die Einbindung der Daten in den Ausflugsticker und perspektivisch in die Bayern Cloud Tourismus (BCT). Die Antragstellung ist seit dem 25.10.2021 möglich.</w:t>
      </w:r>
    </w:p>
    <w:p w:rsidR="00013B61" w:rsidRDefault="00013B61" w:rsidP="00CD3FD3">
      <w:pPr>
        <w:pStyle w:val="LTAntwortRessortText"/>
        <w:spacing w:before="0"/>
      </w:pPr>
      <w:r>
        <w:t>Die BCT ist ein weiterer wichtiger Schritt, Daten automatisiert verfügbar zu machen und die Digitalisierung im Tourismus in Bayern insgesamt weiter voranzubringen. Die BCT wird in der Kompetenzstelle Digitalisierung der BayTM umgesetzt und soll ab ca.</w:t>
      </w:r>
      <w:r w:rsidR="007B709A">
        <w:t xml:space="preserve"> </w:t>
      </w:r>
      <w:r>
        <w:t>Mitte 2022 eine durchgängige, offene digitale Dateninfrastruktur ermöglichen. Sie ist als Datendrehscheibe für Bayern zum einfachen Datenaustauch für touristische Akteure konzipiert: eine aktuelle und zentrale Aggregations- und Nutzungsplattform für alle touristisch relevanten Daten (</w:t>
      </w:r>
      <w:r w:rsidR="004A5D9A">
        <w:t>z. B.</w:t>
      </w:r>
      <w:r>
        <w:t xml:space="preserve"> Sehenswürdi</w:t>
      </w:r>
      <w:r w:rsidR="001B3989">
        <w:t>gkeiten, Touren, Gastgeber, Ver</w:t>
      </w:r>
      <w:r>
        <w:t>anstaltungen etc.) sowie Echtzeit-Informationen (</w:t>
      </w:r>
      <w:r w:rsidR="004A5D9A">
        <w:t>z. B.</w:t>
      </w:r>
      <w:r w:rsidR="001B3989">
        <w:t xml:space="preserve"> Terminänderungen bei Veran</w:t>
      </w:r>
      <w:r>
        <w:t>staltungen, aktuelle Verkehrs- und Wetterdaten etc.). Die Anwendung dieser Daten auf die digitale Besucherlenkung ist nur ein Beispiel.</w:t>
      </w:r>
    </w:p>
    <w:p w:rsidR="00013B61" w:rsidRDefault="00013B61" w:rsidP="00013B61">
      <w:pPr>
        <w:pStyle w:val="LTAntwortRessortText"/>
      </w:pPr>
    </w:p>
    <w:p w:rsidR="00013B61" w:rsidRDefault="007B709A" w:rsidP="00013B61">
      <w:pPr>
        <w:pStyle w:val="LTAntwortRessortText"/>
      </w:pPr>
      <w:r>
        <w:t>*) Von einem Abdru</w:t>
      </w:r>
      <w:r w:rsidR="007469C1">
        <w:t>ck wurde abgesehen. Die Anlage</w:t>
      </w:r>
      <w:r>
        <w:t xml:space="preserve"> ist als pdf-Dokument </w:t>
      </w:r>
      <w:hyperlink r:id="rId20" w:history="1">
        <w:r w:rsidRPr="00E85C4D">
          <w:rPr>
            <w:rStyle w:val="LTHyperlinkZchn"/>
            <w:b w:val="0"/>
          </w:rPr>
          <w:t>hier</w:t>
        </w:r>
      </w:hyperlink>
      <w:r>
        <w:t xml:space="preserve"> einsehbar.</w:t>
      </w:r>
    </w:p>
    <w:p w:rsidR="007B709A" w:rsidRDefault="007B709A" w:rsidP="00013B61">
      <w:pPr>
        <w:pStyle w:val="LTAntwortRessortText"/>
      </w:pPr>
    </w:p>
    <w:p w:rsidR="00013B61" w:rsidRDefault="00013B61">
      <w:bookmarkStart w:id="90" w:name="Frage_Nr_44_Ende"/>
      <w:bookmarkEnd w:id="90"/>
      <w:r>
        <w:br w:type="page"/>
      </w:r>
    </w:p>
    <w:p w:rsidR="00013B61" w:rsidRDefault="00013B61" w:rsidP="00013B61">
      <w:pPr>
        <w:pStyle w:val="LTUeberschrRessort"/>
      </w:pPr>
      <w:r>
        <w:lastRenderedPageBreak/>
        <w:t>Geschäftsbereich des Staatsministeriums für Umwelt und Verbraucherschutz</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4F22A0" w:rsidTr="004F22A0">
        <w:tc>
          <w:tcPr>
            <w:tcW w:w="1873" w:type="dxa"/>
          </w:tcPr>
          <w:p w:rsidR="004F22A0" w:rsidRDefault="004F22A0" w:rsidP="004F22A0">
            <w:pPr>
              <w:pStyle w:val="LTAnfrageInitiator"/>
            </w:pPr>
            <w:r>
              <w:t>Abgeordneter</w:t>
            </w:r>
            <w:r>
              <w:rPr>
                <w:b/>
              </w:rPr>
              <w:br/>
              <w:t>Horst</w:t>
            </w:r>
            <w:r>
              <w:rPr>
                <w:b/>
              </w:rPr>
              <w:br/>
              <w:t>Arnold</w:t>
            </w:r>
            <w:r>
              <w:rPr>
                <w:b/>
              </w:rPr>
              <w:br/>
            </w:r>
            <w:r>
              <w:t>(SPD)</w:t>
            </w:r>
            <w:bookmarkStart w:id="91" w:name="Frage_Nr_45"/>
            <w:bookmarkEnd w:id="91"/>
          </w:p>
        </w:tc>
        <w:tc>
          <w:tcPr>
            <w:tcW w:w="5743" w:type="dxa"/>
          </w:tcPr>
          <w:p w:rsidR="004F22A0" w:rsidRPr="00D0635E" w:rsidRDefault="004F22A0" w:rsidP="00D0635E">
            <w:pPr>
              <w:pStyle w:val="LTAnfrageText"/>
            </w:pPr>
            <w:r w:rsidRPr="00D0635E">
              <w:t>Ich frage die Staatsregierung, welche unmittelbaren Konsequenzen sie gegebenenfalls aus der Entscheidung des Oberverwaltungsgerichts (OVG) Mecklenburg-Vorpommerns vom 05.11.21 zur dortigen Landesdüngeverordnung, insbesondere im Hinblick auf den vom Ministerpräsidenten Dr. Markus Söder im Dezember 2019 bei der Landesversammlung des Bayerischen Bauernverbands (BBV) in Herrsching angekündigten Ausbau, bzw. die Bohrung weiterer Messstellen zu einem insgesamten Bestand von 1 500 derselben in Bayern und dem derzeitigen Sachstand der zwischenzeitlichen Umsetzung der Ankündigung des Ministerpräsidenten zieht?</w:t>
            </w:r>
          </w:p>
        </w:tc>
        <w:tc>
          <w:tcPr>
            <w:tcW w:w="5743" w:type="dxa"/>
          </w:tcPr>
          <w:p w:rsidR="004F22A0" w:rsidRDefault="004F22A0" w:rsidP="004F22A0">
            <w:pPr>
              <w:pStyle w:val="LTAnfrageText"/>
            </w:pPr>
          </w:p>
        </w:tc>
      </w:tr>
    </w:tbl>
    <w:p w:rsidR="00013B61" w:rsidRDefault="00013B61" w:rsidP="00013B61">
      <w:pPr>
        <w:pStyle w:val="LTUeberschrAntwortRessort"/>
      </w:pPr>
      <w:r>
        <w:t>Antwort des Staatsministeriums für Umwelt und Verbraucherschutz</w:t>
      </w:r>
    </w:p>
    <w:p w:rsidR="00013B61" w:rsidRDefault="00013B61" w:rsidP="00013B61">
      <w:pPr>
        <w:pStyle w:val="LTAntwortRessortText"/>
      </w:pPr>
      <w:r>
        <w:t xml:space="preserve">Das Oberverwaltungsgericht (OVG) Greifswald hat mit Urteil vom </w:t>
      </w:r>
      <w:r w:rsidR="00F73213">
        <w:t>21.10.</w:t>
      </w:r>
      <w:r>
        <w:t>2021 die Düngeverordnung des Landes Mecklenburg-Vorpommern vom 23. Juli 2019 und auch die geänderte Fassung vom 20. Dezember 2020 für unwirksam erklärt. Laut Pressemitteilungen des OVG Greifswald und des Ministeriums für Landwirtschaft und Umwelt</w:t>
      </w:r>
      <w:r w:rsidR="00CF0CCC">
        <w:t xml:space="preserve"> Mecklenburg-Vorpommern</w:t>
      </w:r>
      <w:r>
        <w:t xml:space="preserve"> zur Urteilsbegründung vom 12.11.2021 wird vom Gericht nicht die Eignung der vom Land zur Ausweisung der roten Gebiete einbezogenen 552 Grundwassermessstellen in Frage gestellt. Kritisiert wurde laut Urteilsbegründung lediglich die Vorgehensweise bei der Regionalisierung innerhalb der Grundwasserkörper. Laut OVG mangele es an der Durchführung des Verfahrensschrittes </w:t>
      </w:r>
      <w:r w:rsidR="00E832CF">
        <w:t>„</w:t>
      </w:r>
      <w:r>
        <w:t>Prüfung des Verfahrens auf Plausibilität</w:t>
      </w:r>
      <w:r w:rsidR="00E832CF">
        <w:t>“</w:t>
      </w:r>
      <w:r>
        <w:t xml:space="preserve"> an den vorhandenen Stützstellen.</w:t>
      </w:r>
    </w:p>
    <w:p w:rsidR="00013B61" w:rsidRDefault="00013B61" w:rsidP="00CD3FD3">
      <w:pPr>
        <w:pStyle w:val="LTAntwortRessortText"/>
        <w:spacing w:before="0"/>
      </w:pPr>
      <w:r>
        <w:t>Für den Ausbau des WRRL-Messnetzes</w:t>
      </w:r>
      <w:r w:rsidR="00CF0CCC">
        <w:t xml:space="preserve"> (WRRL = Europäische Wasserrahmenrichtlinie)</w:t>
      </w:r>
      <w:r>
        <w:t xml:space="preserve"> Grundwasser Chemie in Bayern als Hauptgrundlage für das Ausweisungsmessnetz nach der Allgemeinen Verwaltungsvorschrift zur Ausweisung von mit Nitrat belasteten und eutrophierten Gebieten (AVV GeA) werden keine Konsequenzen aus dem Urteil erwartet. Die Nachverdichtung des WRRL-Messnetzes Grundwasser Chemie erfolgt mit höchster Priorität. Bereits in 2020 konnten insgesamt 140 neue Messstellen dem Messnetz hinzugefügt werden. Für das Jahr 2021 ist mit circa 100 weiteren Messstellen zu rechnen.</w:t>
      </w:r>
    </w:p>
    <w:p w:rsidR="00013B61" w:rsidRDefault="00013B61">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F22A0" w:rsidTr="004F22A0">
        <w:tc>
          <w:tcPr>
            <w:tcW w:w="1883" w:type="dxa"/>
          </w:tcPr>
          <w:p w:rsidR="004F22A0" w:rsidRDefault="004F22A0" w:rsidP="004F22A0">
            <w:pPr>
              <w:pStyle w:val="LTAnfrageInitiator"/>
            </w:pPr>
            <w:r>
              <w:lastRenderedPageBreak/>
              <w:t>Abgeordneter</w:t>
            </w:r>
            <w:r>
              <w:rPr>
                <w:b/>
              </w:rPr>
              <w:br/>
              <w:t>Paul</w:t>
            </w:r>
            <w:r>
              <w:rPr>
                <w:b/>
              </w:rPr>
              <w:br/>
              <w:t>Knoblach</w:t>
            </w:r>
            <w:r>
              <w:rPr>
                <w:b/>
              </w:rPr>
              <w:br/>
            </w:r>
            <w:r>
              <w:t>(BÜNDNIS 90/DIE GRÜNEN)</w:t>
            </w:r>
            <w:bookmarkStart w:id="93" w:name="Frage_Nr_46"/>
            <w:bookmarkEnd w:id="93"/>
          </w:p>
        </w:tc>
        <w:tc>
          <w:tcPr>
            <w:tcW w:w="5733" w:type="dxa"/>
          </w:tcPr>
          <w:p w:rsidR="004F22A0" w:rsidRPr="00D0635E" w:rsidRDefault="004F22A0" w:rsidP="00D0635E">
            <w:pPr>
              <w:pStyle w:val="LTAnfrageText"/>
            </w:pPr>
            <w:r w:rsidRPr="00D0635E">
              <w:t>Nachdem durch den diesjährigen Einsatz von Neonicotinoiden beim Zuckerrübenanbau bei Anlieferung und Säuberung in weiterverarbeiteten Werken mit kontaminierter anhaftender Erde sowie belastetem Wasser zu rechnen ist, frage ich die Staatsregierung, wie wird mit etwaig belastetem Erdmaterial und Wasser verfahren, welche Ergebnisse gab es vor allem im Werk der Südzucker Ochsenfurt bei einer etwaigen Beprobung auf Rückstände und wohin wurde das Erdmaterial verbracht bzw. das Wasser abgeleitet?</w:t>
            </w:r>
          </w:p>
        </w:tc>
        <w:tc>
          <w:tcPr>
            <w:tcW w:w="5733" w:type="dxa"/>
          </w:tcPr>
          <w:p w:rsidR="004F22A0" w:rsidRDefault="004F22A0" w:rsidP="004F22A0">
            <w:pPr>
              <w:pStyle w:val="LTAnfrageText"/>
            </w:pPr>
          </w:p>
        </w:tc>
      </w:tr>
    </w:tbl>
    <w:p w:rsidR="00013B61" w:rsidRDefault="00013B61" w:rsidP="00013B61">
      <w:pPr>
        <w:pStyle w:val="LTUeberschrAntwortRessort"/>
      </w:pPr>
      <w:r>
        <w:t>Antwort des Staatsministeriums für Umwelt und Verbraucherschutz</w:t>
      </w:r>
    </w:p>
    <w:p w:rsidR="00013B61" w:rsidRDefault="00013B61" w:rsidP="00013B61">
      <w:pPr>
        <w:pStyle w:val="LTAntwortRessortText"/>
      </w:pPr>
      <w:r>
        <w:t>Der Bayerische Staatsanzeiger hat am 29.01.2021 die Allgemeinverfügung der Landesanstalt für Landwirtschaft (LfL) vom 19.01.2021 über Risikominderungsmaßnahmen zur Nutzung von Zuckerrübensaatgut, welches mit Thiamethoxam zur Bekämpfung von Blattläusen als Virusvektoren gem</w:t>
      </w:r>
      <w:r w:rsidR="00F73213">
        <w:t>äß Notfallzulassung nach Art. </w:t>
      </w:r>
      <w:r>
        <w:t>53 der Verordnung (EG) Nr. 1107/2009 vom 23.12.2020 behandelt wurde, veröffentlicht.</w:t>
      </w:r>
    </w:p>
    <w:p w:rsidR="00013B61" w:rsidRDefault="00013B61" w:rsidP="00013B61">
      <w:pPr>
        <w:pStyle w:val="LTAntwortRessortText"/>
      </w:pPr>
      <w:r>
        <w:t>Abwasserbelastungen in</w:t>
      </w:r>
      <w:r w:rsidR="00E26B8C">
        <w:t>f</w:t>
      </w:r>
      <w:r>
        <w:t>olge der Weiterverarbeitung von Zuckerrüben sind derzeit nicht bekannt.</w:t>
      </w:r>
      <w:r w:rsidR="00DB706C">
        <w:t xml:space="preserve"> </w:t>
      </w:r>
      <w:r>
        <w:t>Beim Waschen der Zuckerrüben fällt im Ergebnis Abwasser an, welches das mitgeschwemmte Bodenmaterial beinhaltet, das den Zuckerrüben vor dem Waschen ggf. noch anhaftete. Dieser Abwasserstrom ist einer entsprechenden Abwasserbehandlungsanlage zuzuführen. Mit den resultierenden Stoffströmen am Ende des Behandlungsprozesses hat der Anlagenbetreiber gemäß seinen Vorschriften und Auflagen zu verfahren. Im Werk der Südzucker AG, Werk Ochsenfurt wird überschüssiges Rübenwaschwasser der Abwasserbehandlungsanlage zugeführt und dort gereinigt.</w:t>
      </w:r>
    </w:p>
    <w:p w:rsidR="00013B61" w:rsidRDefault="00013B61" w:rsidP="00013B61">
      <w:pPr>
        <w:pStyle w:val="LTAntwortRessortText"/>
      </w:pPr>
      <w:r>
        <w:t>Gemäß einer vom St</w:t>
      </w:r>
      <w:r w:rsidR="00F73213">
        <w:t>aatsministerium für Ernährung, Landwirtschaft und Forsten</w:t>
      </w:r>
      <w:r>
        <w:t xml:space="preserve"> über</w:t>
      </w:r>
      <w:r w:rsidR="00F73213">
        <w:t>mittelten Selbstauskunft der Firma Südzucker vom 09.11.2021</w:t>
      </w:r>
      <w:r>
        <w:t xml:space="preserve"> werden in beprobter Erde, die mit den Zuckerrüben in die Fabriken gelangt ist, keine Rückstände des Wirkstoffs gefunden. Nur sehr vereinzelt seien Abbauprodukte in Spuren leicht über der Bestimmungsgrenze nachweisbar.</w:t>
      </w:r>
    </w:p>
    <w:p w:rsidR="00013B61" w:rsidRDefault="00013B61">
      <w:bookmarkStart w:id="94" w:name="Frage_Nr_46_Ende"/>
      <w:bookmarkEnd w:id="9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F22A0" w:rsidTr="004F22A0">
        <w:tc>
          <w:tcPr>
            <w:tcW w:w="1883" w:type="dxa"/>
          </w:tcPr>
          <w:p w:rsidR="004F22A0" w:rsidRDefault="004F22A0" w:rsidP="004F22A0">
            <w:pPr>
              <w:pStyle w:val="LTAnfrageInitiator"/>
            </w:pPr>
            <w:r>
              <w:lastRenderedPageBreak/>
              <w:t>Abgeordneter</w:t>
            </w:r>
            <w:r>
              <w:rPr>
                <w:b/>
              </w:rPr>
              <w:br/>
              <w:t>Hep</w:t>
            </w:r>
            <w:r>
              <w:rPr>
                <w:b/>
              </w:rPr>
              <w:br/>
              <w:t>Monatzeder</w:t>
            </w:r>
            <w:r>
              <w:rPr>
                <w:b/>
              </w:rPr>
              <w:br/>
            </w:r>
            <w:r>
              <w:t>(BÜNDNIS 90/DIE GRÜNEN)</w:t>
            </w:r>
            <w:bookmarkStart w:id="95" w:name="Frage_Nr_47"/>
            <w:bookmarkEnd w:id="95"/>
          </w:p>
        </w:tc>
        <w:tc>
          <w:tcPr>
            <w:tcW w:w="5733" w:type="dxa"/>
          </w:tcPr>
          <w:p w:rsidR="004F22A0" w:rsidRPr="00D0635E" w:rsidRDefault="004F22A0" w:rsidP="00D0635E">
            <w:pPr>
              <w:pStyle w:val="LTAnfrageText"/>
            </w:pPr>
            <w:r w:rsidRPr="00D0635E">
              <w:t>Ich frage die Staatsregierung, wann soll die für das 3. Quartal 2021 angekündigte überarbeitete Bayerische Nachhaltigkeitsstrategie vorgestellt werden, in welcher Form wird der Landtag an der Überarbeitung der Nachhaltigkeitsstrategie beteiligt und welche gesellschaftlichen Stakeholder werden in die Überarbeitung der Strategie einbezogen?</w:t>
            </w:r>
          </w:p>
        </w:tc>
        <w:tc>
          <w:tcPr>
            <w:tcW w:w="5733" w:type="dxa"/>
          </w:tcPr>
          <w:p w:rsidR="004F22A0" w:rsidRDefault="004F22A0" w:rsidP="004F22A0">
            <w:pPr>
              <w:pStyle w:val="LTAnfrageText"/>
            </w:pPr>
          </w:p>
        </w:tc>
      </w:tr>
    </w:tbl>
    <w:p w:rsidR="00013B61" w:rsidRDefault="00013B61" w:rsidP="00013B61">
      <w:pPr>
        <w:pStyle w:val="LTUeberschrAntwortRessort"/>
      </w:pPr>
      <w:r>
        <w:t>Antwort des Staatsministeriums für Umwelt und Verbraucherschutz</w:t>
      </w:r>
    </w:p>
    <w:p w:rsidR="00013B61" w:rsidRDefault="00013B61" w:rsidP="00013B61">
      <w:pPr>
        <w:pStyle w:val="LTAntwortRessortText"/>
      </w:pPr>
      <w:r>
        <w:t>Die Staatsregierung hat sich bereits auf die Anfrage zum Plenum des Abgeordneten Monatzeder vom 10.03.2021</w:t>
      </w:r>
      <w:r w:rsidR="00E26B8C">
        <w:t xml:space="preserve"> (Drs. 18/14726)</w:t>
      </w:r>
      <w:r>
        <w:t xml:space="preserve"> betreffend der Weiterentwicklung der Nachhaltigkeitsstrategie zum Zeitplan wie folgt geäußert:</w:t>
      </w:r>
    </w:p>
    <w:p w:rsidR="00013B61" w:rsidRPr="0099114C" w:rsidRDefault="00013B61" w:rsidP="0099114C">
      <w:pPr>
        <w:pStyle w:val="LTAntwortRessortText"/>
        <w:spacing w:before="0"/>
        <w:rPr>
          <w:i/>
        </w:rPr>
      </w:pPr>
      <w:r w:rsidRPr="0099114C">
        <w:rPr>
          <w:i/>
        </w:rPr>
        <w:t>Die Staatsregierung wird noch in der laufenden Legislaturperiode eine weiterentwickelte Nachhaltigkeitsstrategie vorlegen. Vorgesehen ist eine Behandlung im Ministerrat ab der 2. Jahreshälfte 2021. Der Ministerrat entscheidet auch über mögliche weitere Schritte.</w:t>
      </w:r>
    </w:p>
    <w:p w:rsidR="00013B61" w:rsidRDefault="00013B61" w:rsidP="00013B61">
      <w:pPr>
        <w:pStyle w:val="LTAntwortRessortText"/>
      </w:pPr>
      <w:r>
        <w:t>Dies gilt unverändert. Bedingt durch erforderliche Abstimmungen ist eine Behandlung im Ministerrat erst ab Jahresbeginn 2022 zu erwarten.</w:t>
      </w:r>
    </w:p>
    <w:p w:rsidR="00013B61" w:rsidRDefault="00013B61" w:rsidP="00013B61">
      <w:pPr>
        <w:pStyle w:val="LTAntwortRessortText"/>
      </w:pPr>
      <w:r>
        <w:t>Zur Beteiligung des Landtags und der gesellschaftlichen Beteiligung hat sich die Staatsregierung bereits auf die Schriftliche Anfrage des Abgeordneten Hep Monatze</w:t>
      </w:r>
      <w:r w:rsidR="00C451B7">
        <w:t xml:space="preserve">der vom 10.12.2020 (Drs. 18/14234) </w:t>
      </w:r>
      <w:r>
        <w:t>wie folgt geäußert:</w:t>
      </w:r>
    </w:p>
    <w:p w:rsidR="00013B61" w:rsidRPr="0099114C" w:rsidRDefault="00013B61" w:rsidP="0099114C">
      <w:pPr>
        <w:pStyle w:val="LTAntwortRessortText"/>
        <w:spacing w:before="0"/>
        <w:rPr>
          <w:i/>
        </w:rPr>
      </w:pPr>
      <w:r w:rsidRPr="0099114C">
        <w:rPr>
          <w:i/>
        </w:rPr>
        <w:t>In die Fortentwicklung der Bayerischen Nachhaltigkeitsstrategie sollen die Ergebnisse des Bürgergutachtens 2018 mit einfließen. Der Landtag wird im Rahmen seiner verfassungsmäßigen Aufgaben eingebunden.</w:t>
      </w:r>
    </w:p>
    <w:p w:rsidR="00013B61" w:rsidRDefault="00013B61" w:rsidP="00013B61">
      <w:pPr>
        <w:pStyle w:val="LTAntwortRessortText"/>
      </w:pPr>
      <w:r>
        <w:t>Auch dies gilt unverändert.</w:t>
      </w:r>
    </w:p>
    <w:p w:rsidR="00013B61" w:rsidRDefault="00013B61">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53AA" w:rsidTr="006D53AA">
        <w:tc>
          <w:tcPr>
            <w:tcW w:w="1883" w:type="dxa"/>
          </w:tcPr>
          <w:p w:rsidR="006D53AA" w:rsidRDefault="006D53AA" w:rsidP="006D53AA">
            <w:pPr>
              <w:pStyle w:val="LTAnfrageInitiator"/>
            </w:pPr>
            <w:r>
              <w:lastRenderedPageBreak/>
              <w:t>Abgeordnete</w:t>
            </w:r>
            <w:r>
              <w:rPr>
                <w:b/>
              </w:rPr>
              <w:br/>
              <w:t>Rosi</w:t>
            </w:r>
            <w:r>
              <w:rPr>
                <w:b/>
              </w:rPr>
              <w:br/>
              <w:t>Steinberger</w:t>
            </w:r>
            <w:r>
              <w:rPr>
                <w:b/>
              </w:rPr>
              <w:br/>
            </w:r>
            <w:r>
              <w:t>(BÜNDNIS 90/DIE GRÜNEN)</w:t>
            </w:r>
            <w:bookmarkStart w:id="97" w:name="Frage_Nr_48"/>
            <w:bookmarkEnd w:id="97"/>
          </w:p>
        </w:tc>
        <w:tc>
          <w:tcPr>
            <w:tcW w:w="5733" w:type="dxa"/>
          </w:tcPr>
          <w:p w:rsidR="006D53AA" w:rsidRPr="00D0635E" w:rsidRDefault="006D53AA" w:rsidP="00D0635E">
            <w:pPr>
              <w:pStyle w:val="LTAnfrageText"/>
            </w:pPr>
            <w:r w:rsidRPr="00D0635E">
              <w:t>Ich frage die Staatsregierung, welche Betriebe in Bayern haben eine Genehmigung zum Verwerten von Schlachtabfällen und wie wird die Entsorgungskette vom Schlachthof bis zum verwertenden Betrieb kontrolliert?</w:t>
            </w:r>
          </w:p>
        </w:tc>
        <w:tc>
          <w:tcPr>
            <w:tcW w:w="5733" w:type="dxa"/>
          </w:tcPr>
          <w:p w:rsidR="006D53AA" w:rsidRDefault="006D53AA" w:rsidP="006D53AA">
            <w:pPr>
              <w:pStyle w:val="LTAnfrageText"/>
            </w:pPr>
          </w:p>
        </w:tc>
      </w:tr>
    </w:tbl>
    <w:p w:rsidR="00013B61" w:rsidRDefault="00013B61" w:rsidP="00013B61">
      <w:pPr>
        <w:pStyle w:val="LTUeberschrAntwortRessort"/>
      </w:pPr>
      <w:r>
        <w:t>Antwort des Staatsministeriums für Umwelt und Verbraucherschutz</w:t>
      </w:r>
    </w:p>
    <w:p w:rsidR="00013B61" w:rsidRDefault="00BA734D" w:rsidP="00013B61">
      <w:pPr>
        <w:pStyle w:val="LTAntwortRessortText"/>
      </w:pPr>
      <w:r>
        <w:t>Schlachtabfälle sind t</w:t>
      </w:r>
      <w:r w:rsidR="00013B61">
        <w:t>ierische Nebenprodukte. Das Verwerten von Schlachtabfällen ist nicht explizit genehmigungspflichtig. Allerdings sind Betriebe, die tierische Nebenprodukte transportieren/verwerten/entsorgen grundsätzlich registrierungs- oder zulassungspflichtig. Sie werd</w:t>
      </w:r>
      <w:r w:rsidR="00F73213">
        <w:t>en zentral erfasst (Link: Bundesministerium für Ernährung und Landwirtschaft –</w:t>
      </w:r>
      <w:r w:rsidR="00013B61">
        <w:t xml:space="preserve"> Tierische Nebenprodukte</w:t>
      </w:r>
      <w:r w:rsidR="00F73213">
        <w:t xml:space="preserve"> </w:t>
      </w:r>
      <w:hyperlink r:id="rId21" w:history="1">
        <w:r w:rsidR="00F73213" w:rsidRPr="00F73213">
          <w:rPr>
            <w:rStyle w:val="LTHyperlinkZchn"/>
            <w:b w:val="0"/>
          </w:rPr>
          <w:t>https://www.bmel.de/DE/themen/tiere/tiergesundheit/tierische-nebenprodukte/tierische-nebenprodukte_node.html</w:t>
        </w:r>
      </w:hyperlink>
      <w:r w:rsidR="00013B61">
        <w:t>) und regelmäßig risikoorientiert von den Veterinärbehörden kontrolliert. Darüber hinaus wird bei den amtlichen Kontrollen am Schlac</w:t>
      </w:r>
      <w:r>
        <w:t>hthof ebenfalls der Umgang mit t</w:t>
      </w:r>
      <w:r w:rsidR="00013B61">
        <w:t>ierischen Nebenprodukten überwacht.</w:t>
      </w:r>
    </w:p>
    <w:p w:rsidR="00013B61" w:rsidRDefault="00013B61" w:rsidP="0099114C">
      <w:pPr>
        <w:pStyle w:val="LTAntwortRessortText"/>
        <w:spacing w:before="0"/>
      </w:pPr>
      <w:r>
        <w:t xml:space="preserve">Zur Sicherstellung der Rückverfolgbarkeit müssen </w:t>
      </w:r>
      <w:r w:rsidR="00BA734D">
        <w:t>t</w:t>
      </w:r>
      <w:r>
        <w:t>ierische Nebenprodukte grundsätzlich EU-weit beim Transport von einem Handelspapier begleitet werden. In Deutschland gibt es darüber hinaus die Vorgabe der zusätzlichen Dokumentation in Form einer 4. Ausfertigung des Handelspapiers für bestim</w:t>
      </w:r>
      <w:r w:rsidR="00F73213">
        <w:t>mte tierische Nebenprodukte (u. </w:t>
      </w:r>
      <w:r>
        <w:t xml:space="preserve">a. zum Beispiel Schlachtkörperteile, die als genussuntauglich abgelehnt worden sind, die aber keine Anzeichen einer auf Mensch oder Tier übertragbaren Krankheit aufweisen und solche, die von genusstauglichen Schlachtkörpern stammen), mit der der Empfänger verpflichtet wird, den Erzeuger über die Ankunft der </w:t>
      </w:r>
      <w:r w:rsidR="00BA734D">
        <w:t>t</w:t>
      </w:r>
      <w:r>
        <w:t>ierischen Nebenprodukte zu unterrichten. Dies dient der Überprüfung, dass die versendeten tierischen Nebenprodukte nicht widerrechtlich anderweitig genutzt oder umdeklariert worden sind.</w:t>
      </w:r>
      <w:r w:rsidR="0099114C">
        <w:t xml:space="preserve"> </w:t>
      </w:r>
      <w:r>
        <w:t xml:space="preserve">Die Veterinärbehörden überprüfen im Rahmen risikoorientierter Kontrollen die Handelspapiere und damit die Rückverfolgung der </w:t>
      </w:r>
      <w:r w:rsidR="00021CDD">
        <w:t>t</w:t>
      </w:r>
      <w:r>
        <w:t xml:space="preserve">ierischen Nebenprodukte sowohl in den Tierische Nebenproduktebetrieben wie auch den Betrieben, bei denen </w:t>
      </w:r>
      <w:r w:rsidR="00021CDD">
        <w:t>t</w:t>
      </w:r>
      <w:r>
        <w:t>ierische Nebenprodukte anfallen.</w:t>
      </w:r>
    </w:p>
    <w:p w:rsidR="00013B61" w:rsidRDefault="00013B61">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53AA" w:rsidTr="006D53AA">
        <w:tc>
          <w:tcPr>
            <w:tcW w:w="1883" w:type="dxa"/>
          </w:tcPr>
          <w:p w:rsidR="006D53AA" w:rsidRDefault="006D53AA" w:rsidP="006D53AA">
            <w:pPr>
              <w:pStyle w:val="LTAnfrageInitiator"/>
            </w:pPr>
            <w:r>
              <w:lastRenderedPageBreak/>
              <w:t>Abgeordneter</w:t>
            </w:r>
            <w:r>
              <w:rPr>
                <w:b/>
              </w:rPr>
              <w:br/>
              <w:t>Martin</w:t>
            </w:r>
            <w:r>
              <w:rPr>
                <w:b/>
              </w:rPr>
              <w:br/>
              <w:t>Stümpfig</w:t>
            </w:r>
            <w:r>
              <w:rPr>
                <w:b/>
              </w:rPr>
              <w:br/>
            </w:r>
            <w:r>
              <w:t>(BÜNDNIS 90/DIE GRÜNEN)</w:t>
            </w:r>
            <w:bookmarkStart w:id="99" w:name="Frage_Nr_49"/>
            <w:bookmarkEnd w:id="99"/>
          </w:p>
        </w:tc>
        <w:tc>
          <w:tcPr>
            <w:tcW w:w="5733" w:type="dxa"/>
          </w:tcPr>
          <w:p w:rsidR="006D53AA" w:rsidRPr="00D0635E" w:rsidRDefault="006D53AA" w:rsidP="00D0635E">
            <w:pPr>
              <w:pStyle w:val="LTAnfrageText"/>
            </w:pPr>
            <w:r w:rsidRPr="00D0635E">
              <w:t>Ich frage die Staatsregierung, mit welchen Haushaltsmitteln jeweils die Maßnahmen, welche in der bayerischen Klimaschutzoffensive mit Aktualisierung 15.11.2021 für die Jahre 2021 und 2022 geplant sind, wie Masterplan Geothermie, Förderprogramm BioMethKlima, Energieeffizienzfond, Energieeffizienz in Unternehmen und Energieoptimierungen in Kläranlagen, im Haushaltsplan 2022 vorgesehen sind, welche Förderprogramme für Kommunen laut Entwurf des neuen Bayerischen Klimaschutzgesetzes (BayKlimaG) in Art. 8 Abs. 1 geplant sind und weshalb die Förd</w:t>
            </w:r>
            <w:r w:rsidR="00F73213">
              <w:t>erung für Klimalotsen nach Art. </w:t>
            </w:r>
            <w:r w:rsidRPr="00D0635E">
              <w:t>8 Abs. 2 BayKlimaG nur für Landkreise möglich ist?</w:t>
            </w:r>
          </w:p>
        </w:tc>
        <w:tc>
          <w:tcPr>
            <w:tcW w:w="5733" w:type="dxa"/>
          </w:tcPr>
          <w:p w:rsidR="006D53AA" w:rsidRDefault="006D53AA" w:rsidP="006D53AA">
            <w:pPr>
              <w:pStyle w:val="LTAnfrageText"/>
            </w:pPr>
          </w:p>
        </w:tc>
      </w:tr>
    </w:tbl>
    <w:p w:rsidR="00013B61" w:rsidRDefault="00013B61" w:rsidP="00013B61">
      <w:pPr>
        <w:pStyle w:val="LTUeberschrAntwortRessort"/>
      </w:pPr>
      <w:r>
        <w:t>Antwort des Staatsministeriums für Umwelt und Verbraucherschutz</w:t>
      </w:r>
    </w:p>
    <w:p w:rsidR="00013B61" w:rsidRDefault="00013B61" w:rsidP="00013B61">
      <w:pPr>
        <w:pStyle w:val="LTAntwortRessortText"/>
      </w:pPr>
      <w:r>
        <w:t>Zur Beantwortung der Fragen wird auf die Antwort der Staatsregierung vom 26.10.2021 zur Schriftlichen Anfrage der Abgeordneten Annette Karl (SPD) vom 09.09.2021</w:t>
      </w:r>
      <w:r w:rsidR="00712604">
        <w:t xml:space="preserve"> (Drs. 18/18545)</w:t>
      </w:r>
      <w:r>
        <w:t xml:space="preserve"> verwiesen. Danach sind für Förderungen im Masterplan Geothermie ab 2021 98,8 Mio. </w:t>
      </w:r>
      <w:r w:rsidR="00BE0711">
        <w:t>Euro</w:t>
      </w:r>
      <w:r>
        <w:t xml:space="preserve"> verausgabt worden. Das Förderprogramm BioMethKlima ist ab 2022 vorgesehen. Die Einrichtung und Dotierung eines Energieeffizienzfonds ist offen. Das Sonderprogramm </w:t>
      </w:r>
      <w:r w:rsidR="00E832CF">
        <w:t>„</w:t>
      </w:r>
      <w:r>
        <w:t>Energieeffizienz und erneuerbare Energien in Unternehmen</w:t>
      </w:r>
      <w:r w:rsidR="00E832CF">
        <w:t>“</w:t>
      </w:r>
      <w:r>
        <w:t xml:space="preserve"> wird derzeit im Rahmen des EU-Programms EFRE-IWB (Europäische Fonds für regionales Entwicklungs-Programm Investitionen in Wachstum und Beschäftigung) finanziert. Zur Energieoptimierung in Kläranlagen ist zusätzlich zum umfassenden Förderprogramm </w:t>
      </w:r>
      <w:r w:rsidR="00E832CF">
        <w:t>„</w:t>
      </w:r>
      <w:r>
        <w:t>Kommunalrichtlinie</w:t>
      </w:r>
      <w:r w:rsidR="00E832CF">
        <w:t>“</w:t>
      </w:r>
      <w:r>
        <w:t xml:space="preserve"> des Bundes ein Forschungsprojekt zu </w:t>
      </w:r>
      <w:r w:rsidR="004F72E1">
        <w:t>CO</w:t>
      </w:r>
      <w:r w:rsidR="004F72E1" w:rsidRPr="004F72E1">
        <w:rPr>
          <w:vertAlign w:val="subscript"/>
        </w:rPr>
        <w:t>2</w:t>
      </w:r>
      <w:r>
        <w:t>-Einsparmöglichkeiten in Vorbereitung.</w:t>
      </w:r>
    </w:p>
    <w:p w:rsidR="00013B61" w:rsidRDefault="00013B61" w:rsidP="00145B1C">
      <w:pPr>
        <w:pStyle w:val="LTAntwortRessortText"/>
        <w:spacing w:before="0"/>
      </w:pPr>
      <w:r>
        <w:t>Der Umfang der Förderprogramme ist dem Haushaltsgesetzgeber vorbehalten.</w:t>
      </w:r>
    </w:p>
    <w:p w:rsidR="00013B61" w:rsidRDefault="00013B61" w:rsidP="00145B1C">
      <w:pPr>
        <w:pStyle w:val="LTAntwortRessortText"/>
        <w:spacing w:before="0"/>
      </w:pPr>
      <w:r>
        <w:t>Gemäß dem im Entwurf des Änderungsgesetzes zum Bayerischen Klimas</w:t>
      </w:r>
      <w:r w:rsidR="00F73213">
        <w:t>chutzgesetz vorgesehenen Art.</w:t>
      </w:r>
      <w:r>
        <w:t xml:space="preserve"> 8 (</w:t>
      </w:r>
      <w:r w:rsidR="00E832CF">
        <w:t>„</w:t>
      </w:r>
      <w:r>
        <w:t>Förderung der Kommunen</w:t>
      </w:r>
      <w:r w:rsidR="00E832CF">
        <w:t>“</w:t>
      </w:r>
      <w:r>
        <w:t>) sollen die Kommunen auf dem Weg zur Klimaneutralität mit Förderprogrammen unterstützt werden. Die in diesem Zusammenhang vorgesehene Förderung von Klimalotsen in Landkreisen zielt insbesondere darauf ab, Synergien vor Ort zu nutzen. Die Klimalotsen sollen deshalb die Klimaschutzbemühungen der Landkreiskommunen koordinieren und vernetzen.</w:t>
      </w:r>
    </w:p>
    <w:p w:rsidR="00013B61" w:rsidRDefault="00013B61">
      <w:bookmarkStart w:id="100" w:name="Frage_Nr_49_Ende"/>
      <w:bookmarkEnd w:id="100"/>
      <w:r>
        <w:br w:type="page"/>
      </w:r>
    </w:p>
    <w:p w:rsidR="00013B61" w:rsidRDefault="00013B61" w:rsidP="00013B61">
      <w:pPr>
        <w:pStyle w:val="LTUeberschrRessort"/>
      </w:pPr>
      <w:r>
        <w:lastRenderedPageBreak/>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53AA" w:rsidTr="006D53AA">
        <w:tc>
          <w:tcPr>
            <w:tcW w:w="1883" w:type="dxa"/>
          </w:tcPr>
          <w:p w:rsidR="006D53AA" w:rsidRDefault="006D53AA" w:rsidP="006D53AA">
            <w:pPr>
              <w:pStyle w:val="LTAnfrageInitiator"/>
            </w:pPr>
            <w:r>
              <w:t>Abgeordneter</w:t>
            </w:r>
            <w:r>
              <w:rPr>
                <w:b/>
              </w:rPr>
              <w:br/>
              <w:t>Ludwig</w:t>
            </w:r>
            <w:r>
              <w:rPr>
                <w:b/>
              </w:rPr>
              <w:br/>
              <w:t>Hartmann</w:t>
            </w:r>
            <w:r>
              <w:rPr>
                <w:b/>
              </w:rPr>
              <w:br/>
            </w:r>
            <w:r>
              <w:t>(BÜNDNIS 90/DIE GRÜNEN)</w:t>
            </w:r>
            <w:bookmarkStart w:id="101" w:name="Frage_Nr_50"/>
            <w:bookmarkEnd w:id="101"/>
          </w:p>
        </w:tc>
        <w:tc>
          <w:tcPr>
            <w:tcW w:w="5733" w:type="dxa"/>
          </w:tcPr>
          <w:p w:rsidR="006D53AA" w:rsidRPr="00D0635E" w:rsidRDefault="006D53AA" w:rsidP="00D0635E">
            <w:pPr>
              <w:pStyle w:val="LTAnfrageText"/>
            </w:pPr>
            <w:r w:rsidRPr="00D0635E">
              <w:t xml:space="preserve">Ich frage die Staatsregierung im Anschluss an deren Antwort auf meine Anfrage </w:t>
            </w:r>
            <w:r w:rsidR="004F72E1">
              <w:t>zum Plenum vom 27.10.2021 (Drs. </w:t>
            </w:r>
            <w:r w:rsidRPr="00D0635E">
              <w:t>18/18693), welche konkreten Auswirkungen die Erklärung der „Unentbehrlichkeit“ durch das Staatsgut Achselschwang hat, in wie vielen Fällen in den letzten zehn Jahren in Oberbayern (alternativ: im Landkreis Landsberg/Lech) trotz einer solchen Unentbehrlichkeitserklärung staatliche Grundstücke vergeben wurden und ob sich die Einschätzung betreffend der Unentbehrlichkeit der aktuell in Frage stehenden Fläche des Staatsguts Achselschwang in den letzten 20 Jahren geändert hat?</w:t>
            </w:r>
          </w:p>
        </w:tc>
        <w:tc>
          <w:tcPr>
            <w:tcW w:w="5733" w:type="dxa"/>
          </w:tcPr>
          <w:p w:rsidR="006D53AA" w:rsidRDefault="006D53AA" w:rsidP="006D53AA">
            <w:pPr>
              <w:pStyle w:val="LTAnfrageText"/>
            </w:pPr>
          </w:p>
        </w:tc>
      </w:tr>
    </w:tbl>
    <w:p w:rsidR="00013B61" w:rsidRDefault="00013B61" w:rsidP="00013B61">
      <w:pPr>
        <w:pStyle w:val="LTUeberschrAntwortRessort"/>
      </w:pPr>
      <w:r>
        <w:t>Antwort des Staatsministeriums für Ernährung, Landwirtschaft und Forsten</w:t>
      </w:r>
    </w:p>
    <w:p w:rsidR="00013B61" w:rsidRDefault="00013B61" w:rsidP="00013B61">
      <w:pPr>
        <w:pStyle w:val="LTAntwortRessortText"/>
      </w:pPr>
      <w:r>
        <w:t>Es gibt noch immer keine formale Anfrage des St</w:t>
      </w:r>
      <w:r w:rsidR="006016CA">
        <w:t>aatsministeriums für Ernährung, Landwirtschaft und Forsten (St</w:t>
      </w:r>
      <w:r>
        <w:t>MELF</w:t>
      </w:r>
      <w:r w:rsidR="006016CA">
        <w:t>)</w:t>
      </w:r>
      <w:r>
        <w:t xml:space="preserve"> an das Staatsgut Achselschwang auf Stellungnahme zur Entbehrlichkeit von Flächen des Staatsgutes Achselschwang. Die formale Anfrage erfolgt erst im Zusammenhang mit der Bauleitplanung. Diese ist noch nicht abgeschlossen, so dass noch keine Erklärung der </w:t>
      </w:r>
      <w:r w:rsidR="006016CA">
        <w:t>Bayerischen Staatsgüter (</w:t>
      </w:r>
      <w:r>
        <w:t>BaySG</w:t>
      </w:r>
      <w:r w:rsidR="006016CA">
        <w:t>)</w:t>
      </w:r>
      <w:r>
        <w:t xml:space="preserve"> zur Entbehrlichkeit notwendig war.</w:t>
      </w:r>
    </w:p>
    <w:p w:rsidR="00013B61" w:rsidRDefault="00013B61" w:rsidP="00013B61">
      <w:pPr>
        <w:pStyle w:val="LTAntwortRessortText"/>
      </w:pPr>
      <w:r>
        <w:t>Es gab in den letzten 20 Jahren in Oberbayern verschiedene offizielle und inoffizielle Anfragen nach staatlichen Grundstücken:</w:t>
      </w:r>
    </w:p>
    <w:p w:rsidR="00013B61" w:rsidRDefault="00013B61" w:rsidP="00145B1C">
      <w:pPr>
        <w:pStyle w:val="LTAntwortRessortText"/>
        <w:numPr>
          <w:ilvl w:val="0"/>
          <w:numId w:val="31"/>
        </w:numPr>
        <w:spacing w:before="0"/>
        <w:ind w:left="697" w:hanging="357"/>
      </w:pPr>
      <w:r>
        <w:t xml:space="preserve">offiziell an die Staatsregierung, StMELF oder </w:t>
      </w:r>
      <w:r w:rsidR="006016CA">
        <w:t>Immobilien Freistaat Bayern (</w:t>
      </w:r>
      <w:r>
        <w:t>IMBY</w:t>
      </w:r>
      <w:r w:rsidR="006016CA">
        <w:t>)</w:t>
      </w:r>
    </w:p>
    <w:p w:rsidR="00013B61" w:rsidRDefault="006016CA" w:rsidP="00145B1C">
      <w:pPr>
        <w:pStyle w:val="LTAntwortRessortText"/>
        <w:numPr>
          <w:ilvl w:val="0"/>
          <w:numId w:val="31"/>
        </w:numPr>
        <w:spacing w:before="0"/>
        <w:ind w:left="697" w:hanging="357"/>
      </w:pPr>
      <w:r>
        <w:t>inoffizielle Anfragen an die Landesanstalt für Landwirtschaft (LfL)</w:t>
      </w:r>
      <w:r w:rsidR="00013B61">
        <w:t>, BaySG, Staatsgüter vor Ort</w:t>
      </w:r>
    </w:p>
    <w:p w:rsidR="00013B61" w:rsidRDefault="00013B61" w:rsidP="00145B1C">
      <w:pPr>
        <w:pStyle w:val="LTAntwortRessortText"/>
        <w:spacing w:before="0"/>
      </w:pPr>
      <w:r>
        <w:t>Zu Flächenabgaben kam es in der Vergangenheit an den verschiedenen ober-bayerischen Standorten der Staatsgüter (Achselschwang, Baumannshof, Großkarolinenfeld, Grub, Osterseeon, Schwaiganger):</w:t>
      </w:r>
    </w:p>
    <w:p w:rsidR="00013B61" w:rsidRDefault="00E832CF" w:rsidP="00470785">
      <w:pPr>
        <w:pStyle w:val="LTAntwortRessortText"/>
        <w:numPr>
          <w:ilvl w:val="0"/>
          <w:numId w:val="32"/>
        </w:numPr>
        <w:spacing w:before="0"/>
        <w:ind w:left="697" w:hanging="357"/>
      </w:pPr>
      <w:r w:rsidRPr="00470785">
        <w:rPr>
          <w:b/>
        </w:rPr>
        <w:t>„</w:t>
      </w:r>
      <w:r w:rsidR="00013B61" w:rsidRPr="00470785">
        <w:rPr>
          <w:b/>
        </w:rPr>
        <w:t>Kleinflächen</w:t>
      </w:r>
      <w:r w:rsidRPr="00470785">
        <w:rPr>
          <w:b/>
        </w:rPr>
        <w:t>“</w:t>
      </w:r>
      <w:r w:rsidR="00013B61" w:rsidRPr="00470785">
        <w:rPr>
          <w:b/>
        </w:rPr>
        <w:t>:</w:t>
      </w:r>
      <w:r w:rsidR="00013B61">
        <w:t xml:space="preserve"> kleinere Bereinigungen von Flurstücken oder kleine Abtretungen im Zuge von Verkehrserschließungen (</w:t>
      </w:r>
      <w:r w:rsidR="004A5D9A">
        <w:t>z. B.</w:t>
      </w:r>
      <w:r w:rsidR="006016CA">
        <w:t xml:space="preserve"> We</w:t>
      </w:r>
      <w:r w:rsidR="00013B61">
        <w:t>gebau, Parkplätze) oder zur Errichtung von technischer Infrastruktur (</w:t>
      </w:r>
      <w:r w:rsidR="004A5D9A">
        <w:t>z. B.</w:t>
      </w:r>
      <w:r w:rsidR="00013B61">
        <w:t xml:space="preserve"> Funkmasten, Geothermie).</w:t>
      </w:r>
    </w:p>
    <w:p w:rsidR="00013B61" w:rsidRDefault="00013B61" w:rsidP="00470785">
      <w:pPr>
        <w:pStyle w:val="LTAntwortRessortText"/>
        <w:numPr>
          <w:ilvl w:val="0"/>
          <w:numId w:val="32"/>
        </w:numPr>
        <w:spacing w:before="0"/>
        <w:ind w:left="697" w:hanging="357"/>
      </w:pPr>
      <w:r w:rsidRPr="00470785">
        <w:rPr>
          <w:b/>
        </w:rPr>
        <w:t>entbehrliche Flächen:</w:t>
      </w:r>
      <w:r>
        <w:t xml:space="preserve"> Randflächen oder aufgelas</w:t>
      </w:r>
      <w:r w:rsidR="006016CA">
        <w:t>sene Altanlagen (ohne Nutzung) –</w:t>
      </w:r>
      <w:r>
        <w:t xml:space="preserve"> </w:t>
      </w:r>
      <w:r w:rsidR="004A5D9A">
        <w:t>z. B.</w:t>
      </w:r>
      <w:r>
        <w:t xml:space="preserve"> </w:t>
      </w:r>
      <w:r w:rsidR="00E832CF">
        <w:t>„</w:t>
      </w:r>
      <w:r>
        <w:t>alte Hühnerställe</w:t>
      </w:r>
      <w:r w:rsidR="00E832CF">
        <w:t>“</w:t>
      </w:r>
      <w:r w:rsidR="006016CA">
        <w:t xml:space="preserve"> in Grub für eine Polizeista</w:t>
      </w:r>
      <w:r>
        <w:t>tion</w:t>
      </w:r>
    </w:p>
    <w:p w:rsidR="00013B61" w:rsidRDefault="00E832CF" w:rsidP="00470785">
      <w:pPr>
        <w:pStyle w:val="LTAntwortRessortText"/>
        <w:numPr>
          <w:ilvl w:val="0"/>
          <w:numId w:val="32"/>
        </w:numPr>
        <w:spacing w:before="0"/>
        <w:ind w:left="697" w:hanging="357"/>
      </w:pPr>
      <w:r w:rsidRPr="00470785">
        <w:rPr>
          <w:b/>
        </w:rPr>
        <w:t>„</w:t>
      </w:r>
      <w:r w:rsidR="00013B61" w:rsidRPr="00470785">
        <w:rPr>
          <w:b/>
        </w:rPr>
        <w:t>nicht entbehrliche</w:t>
      </w:r>
      <w:r w:rsidRPr="00470785">
        <w:rPr>
          <w:b/>
        </w:rPr>
        <w:t>“</w:t>
      </w:r>
      <w:r w:rsidR="00013B61" w:rsidRPr="00470785">
        <w:rPr>
          <w:b/>
        </w:rPr>
        <w:t xml:space="preserve"> Flächen:</w:t>
      </w:r>
      <w:r w:rsidR="00013B61">
        <w:t xml:space="preserve"> aufgrund wirtschaftspolitischer Vorgaben (</w:t>
      </w:r>
      <w:r w:rsidR="004A5D9A">
        <w:t>z. B.</w:t>
      </w:r>
      <w:r w:rsidR="00013B61">
        <w:t xml:space="preserve"> Flächen für BMW und Kraus-Maffei in Gru</w:t>
      </w:r>
      <w:r w:rsidR="006016CA">
        <w:t>b): Teil</w:t>
      </w:r>
      <w:r w:rsidR="00013B61">
        <w:t>weise wurde versucht, die abgehenden Flächen durch Tauschflächen zu ersetzen.</w:t>
      </w:r>
    </w:p>
    <w:p w:rsidR="00013B61" w:rsidRDefault="00013B61" w:rsidP="00013B61">
      <w:pPr>
        <w:pStyle w:val="LTAntwortRessortText"/>
      </w:pPr>
      <w:r>
        <w:t>Eine detaillierte Aufstellung von Flächenabgängen mit und ohne Erklärung der Entbehrlichkeit liegt nicht vor. Bei der IMBY (bestehend seit 2006) sind nur tatsächlich realisierte Flächenzu- un</w:t>
      </w:r>
      <w:r w:rsidR="006016CA">
        <w:t>d Abgänge ohne Hinweise auf Ent</w:t>
      </w:r>
      <w:r>
        <w:t>behrlichkeit dokumentiert. Über Anfragen und nicht zustande gekommene Grundstückverkäufe gibt es keine belastbaren Informationen.</w:t>
      </w:r>
    </w:p>
    <w:p w:rsidR="00013B61" w:rsidRDefault="00013B61">
      <w:bookmarkStart w:id="102" w:name="Frage_Nr_50_Ende"/>
      <w:bookmarkEnd w:id="102"/>
      <w:r>
        <w:br w:type="page"/>
      </w:r>
    </w:p>
    <w:p w:rsidR="00013B61" w:rsidRDefault="00013B61" w:rsidP="00013B61">
      <w:pPr>
        <w:pStyle w:val="LTUeberschrRessort"/>
      </w:pPr>
      <w:r>
        <w:lastRenderedPageBreak/>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53AA" w:rsidTr="006D53AA">
        <w:tc>
          <w:tcPr>
            <w:tcW w:w="1883" w:type="dxa"/>
          </w:tcPr>
          <w:p w:rsidR="006D53AA" w:rsidRDefault="006D53AA" w:rsidP="006D53AA">
            <w:pPr>
              <w:pStyle w:val="LTAnfrageInitiator"/>
            </w:pPr>
            <w:r>
              <w:t>Abgeordnete</w:t>
            </w:r>
            <w:r>
              <w:rPr>
                <w:b/>
              </w:rPr>
              <w:br/>
              <w:t>Eva</w:t>
            </w:r>
            <w:r>
              <w:rPr>
                <w:b/>
              </w:rPr>
              <w:br/>
              <w:t>Lettenbauer</w:t>
            </w:r>
            <w:r>
              <w:rPr>
                <w:b/>
              </w:rPr>
              <w:br/>
            </w:r>
            <w:r>
              <w:t>(BÜNDNIS 90/DIE GRÜNEN)</w:t>
            </w:r>
            <w:bookmarkStart w:id="103" w:name="Frage_Nr_51"/>
            <w:bookmarkEnd w:id="103"/>
          </w:p>
        </w:tc>
        <w:tc>
          <w:tcPr>
            <w:tcW w:w="5733" w:type="dxa"/>
          </w:tcPr>
          <w:p w:rsidR="006D53AA" w:rsidRPr="00D0635E" w:rsidRDefault="006D53AA" w:rsidP="00D0635E">
            <w:pPr>
              <w:pStyle w:val="LTAnfrageText"/>
            </w:pPr>
            <w:r w:rsidRPr="00D0635E">
              <w:t>Ich frage die Staatsregierung, wie bewertet sie die Förderpraxis in Baden-Württemberg, wonach freie Träger der Jugendhilfe die zu erbringende, angemessene Eigenleistung (Sozialgesetzbuch Achtes Buch – SGB VIII § 74 Abs. 1 Nr. 4) in Form von Geld, Sachwerten oder geldwerten freiwilligen Leistungen erbringen können (statt wie in Bayern nur in baren Eigenmitteln, vgl. Kinder- und Jugendhilfegesetz für Baden-Württemberg – LKJHG § 7), welche Mehrkosten würde eine Übernahme dieser Regelung für die Förderung der freien Jugendhilfe nach Schätzung der Staatsregierung für Bayern ergeben und welche Vor- und Nachteile sieht die Staatsregierung insgesamt bei der baden-württembergischen Regelung?</w:t>
            </w:r>
          </w:p>
        </w:tc>
        <w:tc>
          <w:tcPr>
            <w:tcW w:w="5733" w:type="dxa"/>
          </w:tcPr>
          <w:p w:rsidR="006D53AA" w:rsidRDefault="006D53AA" w:rsidP="006D53AA">
            <w:pPr>
              <w:pStyle w:val="LTAnfrageText"/>
            </w:pPr>
          </w:p>
        </w:tc>
      </w:tr>
    </w:tbl>
    <w:p w:rsidR="00013B61" w:rsidRDefault="00013B61" w:rsidP="00013B61">
      <w:pPr>
        <w:pStyle w:val="LTUeberschrAntwortRessort"/>
      </w:pPr>
      <w:r>
        <w:t>Antwort des Staatsministeriums für Familie, Arbeit und Soziales</w:t>
      </w:r>
    </w:p>
    <w:p w:rsidR="00013B61" w:rsidRDefault="00013B61" w:rsidP="00013B61">
      <w:pPr>
        <w:pStyle w:val="LTAntwortRessortText"/>
      </w:pPr>
      <w:r>
        <w:t>Nach einer Erläuterung des Ministeriums für Soziales, Gesundheit und</w:t>
      </w:r>
      <w:r w:rsidR="003B2ACF">
        <w:t xml:space="preserve"> </w:t>
      </w:r>
      <w:r>
        <w:t>Integration des Landes Baden-Württemberg auf Fachebene zu der landesrechtlichen</w:t>
      </w:r>
      <w:r w:rsidR="003B2ACF">
        <w:t xml:space="preserve"> </w:t>
      </w:r>
      <w:r>
        <w:t xml:space="preserve">Ausgestaltung des § 74 Nr. 4 </w:t>
      </w:r>
      <w:r w:rsidR="00712604">
        <w:t>Sozialgesetzbuch – Achtes Buch (</w:t>
      </w:r>
      <w:r>
        <w:t>SGB VIII</w:t>
      </w:r>
      <w:r w:rsidR="00712604">
        <w:t>)</w:t>
      </w:r>
      <w:r>
        <w:t xml:space="preserve"> in Bezug auf Eigenleistungen</w:t>
      </w:r>
      <w:r w:rsidR="003B2ACF">
        <w:t xml:space="preserve"> </w:t>
      </w:r>
      <w:r>
        <w:t>der freien Träger regelt § 7 des Kinder- und Jugendhilfegesetzes</w:t>
      </w:r>
      <w:r w:rsidR="003B2ACF">
        <w:t xml:space="preserve"> </w:t>
      </w:r>
      <w:r>
        <w:t>des Landes Baden-Württemberg (LKJHG) nur, in welcher</w:t>
      </w:r>
      <w:r w:rsidR="003B2ACF">
        <w:t xml:space="preserve"> </w:t>
      </w:r>
      <w:r>
        <w:t>Form die angemessene Eigenleistung erbracht werden kann, nicht</w:t>
      </w:r>
      <w:r w:rsidR="003B2ACF">
        <w:t xml:space="preserve"> </w:t>
      </w:r>
      <w:r>
        <w:t>aber deren Umfang bezogen auf die einzelnen Formen. Die konkrete</w:t>
      </w:r>
      <w:r w:rsidR="003B2ACF">
        <w:t xml:space="preserve"> </w:t>
      </w:r>
      <w:r>
        <w:t>Ausgestaltung einer Förderung sei in der Praxis vom Einzelfall und</w:t>
      </w:r>
      <w:r w:rsidR="003B2ACF">
        <w:t xml:space="preserve"> </w:t>
      </w:r>
      <w:r>
        <w:t>dem zu fördernden Träger bzw. dem jeweiligen Förderprogramm abhängig.</w:t>
      </w:r>
    </w:p>
    <w:p w:rsidR="00013B61" w:rsidRDefault="00013B61" w:rsidP="00013B61">
      <w:pPr>
        <w:pStyle w:val="LTAntwortRessortText"/>
      </w:pPr>
      <w:r>
        <w:t>Die Annahme, dass in Bayern demgegenüber Eigenmittel ausschließlich</w:t>
      </w:r>
      <w:r w:rsidR="00A147CE">
        <w:t xml:space="preserve"> </w:t>
      </w:r>
      <w:r>
        <w:t xml:space="preserve">durch </w:t>
      </w:r>
      <w:r w:rsidR="00E832CF">
        <w:t>„</w:t>
      </w:r>
      <w:r>
        <w:t>bare</w:t>
      </w:r>
      <w:r w:rsidR="00E832CF">
        <w:t>“</w:t>
      </w:r>
      <w:r>
        <w:t xml:space="preserve"> Eigenmittel möglich sind, ist nicht zutreffend. Nach</w:t>
      </w:r>
      <w:r w:rsidR="00A147CE">
        <w:t xml:space="preserve"> </w:t>
      </w:r>
      <w:r>
        <w:t>den nachstehenden Änderungen haushaltsrechtlicher Vorschriften in</w:t>
      </w:r>
      <w:r w:rsidR="00A147CE">
        <w:t xml:space="preserve"> </w:t>
      </w:r>
      <w:r>
        <w:t>Bayern kann in Bayern eine entsprechende harmonische Ausgestaltung</w:t>
      </w:r>
      <w:r w:rsidR="00A147CE">
        <w:t xml:space="preserve"> </w:t>
      </w:r>
      <w:r>
        <w:t>des Eigenmitteleinsatzes im Rahmen des Verwaltungsvollzuges</w:t>
      </w:r>
      <w:r w:rsidR="00A147CE">
        <w:t xml:space="preserve"> </w:t>
      </w:r>
      <w:r>
        <w:t>der staatlichen Förderprogramme erreicht werden. Einer darüber hinaus</w:t>
      </w:r>
      <w:r w:rsidR="006016CA">
        <w:t xml:space="preserve"> </w:t>
      </w:r>
      <w:r>
        <w:t>gehenden</w:t>
      </w:r>
      <w:r w:rsidR="00A147CE">
        <w:t xml:space="preserve"> </w:t>
      </w:r>
      <w:r>
        <w:t>landesrechtlichen Ausgestaltung bedarf es deshalb</w:t>
      </w:r>
      <w:r w:rsidR="00A147CE">
        <w:t xml:space="preserve"> </w:t>
      </w:r>
      <w:r>
        <w:t>nicht.</w:t>
      </w:r>
    </w:p>
    <w:p w:rsidR="00013B61" w:rsidRDefault="00013B61" w:rsidP="00A147CE">
      <w:pPr>
        <w:pStyle w:val="LTAntwortRessortText"/>
      </w:pPr>
      <w:r>
        <w:t>Mit der zum 1. März 2021 in Kraft getretenen Änderung der Verwaltungsvorschriften</w:t>
      </w:r>
      <w:r w:rsidR="00A147CE">
        <w:t xml:space="preserve"> </w:t>
      </w:r>
      <w:r>
        <w:t>zur Bayerischen Haushaltsordnung (VV zu Art. 44</w:t>
      </w:r>
      <w:r w:rsidR="00A147CE">
        <w:t xml:space="preserve"> </w:t>
      </w:r>
      <w:r>
        <w:t>BayHO) wurde die grundsätzliche Möglichkeit, Eigenleistungen (Sachwerte,</w:t>
      </w:r>
      <w:r w:rsidR="00A147CE">
        <w:t xml:space="preserve"> </w:t>
      </w:r>
      <w:r>
        <w:t>Arbeitsleistung) als Bestandteil des Eigenanteils zu berücksichtigen,</w:t>
      </w:r>
      <w:r w:rsidR="00A147CE">
        <w:t xml:space="preserve"> </w:t>
      </w:r>
      <w:r>
        <w:t>ausdrücklich normiert. In Bayern ist, sofern sachlich erforderlich,</w:t>
      </w:r>
      <w:r w:rsidR="00A147CE">
        <w:t xml:space="preserve"> </w:t>
      </w:r>
      <w:r>
        <w:t>bereits jetzt zudem ausnahmsweise im Einzelfall eine Reduzierung des</w:t>
      </w:r>
      <w:r w:rsidR="00A147CE">
        <w:t xml:space="preserve"> </w:t>
      </w:r>
      <w:r>
        <w:t>erforderlichen Eigenmittelanteils (u.</w:t>
      </w:r>
      <w:r w:rsidR="00D17553">
        <w:t> </w:t>
      </w:r>
      <w:r>
        <w:t>U. bis auf null) möglich. Darüber</w:t>
      </w:r>
      <w:r w:rsidR="00A147CE">
        <w:t xml:space="preserve"> </w:t>
      </w:r>
      <w:r>
        <w:t>hinaus wurden durch die geänderte V</w:t>
      </w:r>
      <w:r w:rsidR="00D17553">
        <w:t>erwaltungsvorschrift</w:t>
      </w:r>
      <w:r>
        <w:t xml:space="preserve"> zu Art. 44 </w:t>
      </w:r>
      <w:r w:rsidR="00D17553">
        <w:t>Bayerische Haushaltsordnung (</w:t>
      </w:r>
      <w:r>
        <w:t>BayHO</w:t>
      </w:r>
      <w:r w:rsidR="00D17553">
        <w:t>)</w:t>
      </w:r>
      <w:r>
        <w:t xml:space="preserve"> weitere Erleichterungen</w:t>
      </w:r>
      <w:r w:rsidR="00A147CE">
        <w:t xml:space="preserve"> </w:t>
      </w:r>
      <w:r>
        <w:t xml:space="preserve">für Zuwendungsempfänger umgesetzt. So kann </w:t>
      </w:r>
      <w:r w:rsidR="004A5D9A">
        <w:t>z. B.</w:t>
      </w:r>
      <w:r>
        <w:t xml:space="preserve"> auf</w:t>
      </w:r>
      <w:r w:rsidR="00A147CE">
        <w:t xml:space="preserve"> </w:t>
      </w:r>
      <w:r>
        <w:t>die Erbringung des Eigenanteils vollständig verzichtet werden, wenn</w:t>
      </w:r>
      <w:r w:rsidR="00A147CE">
        <w:t xml:space="preserve"> </w:t>
      </w:r>
      <w:r>
        <w:t>eine staatliche Zuwendung nur bis zu einem Drittel der zuwendungsfähigen</w:t>
      </w:r>
      <w:r w:rsidR="00A147CE">
        <w:t xml:space="preserve"> </w:t>
      </w:r>
      <w:r>
        <w:t>Ausgaben reicht und im konkreten Fall Vorgaben anderer Geldgeber</w:t>
      </w:r>
      <w:r w:rsidR="00A147CE">
        <w:t xml:space="preserve"> </w:t>
      </w:r>
      <w:r>
        <w:t>(insbesondere der EU oder des Bundes) dem nicht entgegenstehen.</w:t>
      </w:r>
      <w:r w:rsidR="00F22A30">
        <w:t xml:space="preserve"> </w:t>
      </w:r>
      <w:r>
        <w:t xml:space="preserve">Damit ist nun </w:t>
      </w:r>
      <w:r w:rsidR="004A5D9A">
        <w:t>z. B.</w:t>
      </w:r>
      <w:r>
        <w:t xml:space="preserve"> im Bereich der Förderung der Erziehungsberatungsstellen</w:t>
      </w:r>
      <w:r w:rsidR="00A147CE">
        <w:t xml:space="preserve"> </w:t>
      </w:r>
      <w:r>
        <w:t>die Erbringung eines Eigenanteils hinfällig. Auch beim Förderprogramm</w:t>
      </w:r>
      <w:r w:rsidR="00A147CE">
        <w:t xml:space="preserve"> </w:t>
      </w:r>
      <w:r w:rsidR="00E832CF">
        <w:t>„</w:t>
      </w:r>
      <w:r>
        <w:t>Jugendsozialarbeit an Schulen (JaS)</w:t>
      </w:r>
      <w:r w:rsidR="00E832CF">
        <w:t>“</w:t>
      </w:r>
      <w:r>
        <w:t xml:space="preserve"> wurde mit Blick</w:t>
      </w:r>
      <w:r w:rsidR="00A147CE">
        <w:t xml:space="preserve"> </w:t>
      </w:r>
      <w:r>
        <w:t>auf die schwierige Finanzsituation einiger freier Träger ein Verzicht auf</w:t>
      </w:r>
      <w:r w:rsidR="00A147CE">
        <w:t xml:space="preserve"> </w:t>
      </w:r>
      <w:r>
        <w:t>die Erbringung eines Eigenanteils ab dem Jahr 2021 ermöglicht.</w:t>
      </w:r>
      <w:bookmarkStart w:id="104" w:name="Frage_Nr_51_Ende"/>
      <w:bookmarkEnd w:id="104"/>
      <w:r w:rsidR="00A147CE">
        <w:t xml:space="preserve"> </w:t>
      </w:r>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D53AA" w:rsidTr="006D53AA">
        <w:tc>
          <w:tcPr>
            <w:tcW w:w="1852" w:type="dxa"/>
          </w:tcPr>
          <w:p w:rsidR="006D53AA" w:rsidRDefault="006D53AA" w:rsidP="006D53AA">
            <w:pPr>
              <w:pStyle w:val="LTAnfrageInitiator"/>
            </w:pPr>
            <w:r>
              <w:lastRenderedPageBreak/>
              <w:t>Abgeordneter</w:t>
            </w:r>
            <w:r>
              <w:rPr>
                <w:b/>
              </w:rPr>
              <w:br/>
              <w:t>Helmut</w:t>
            </w:r>
            <w:r>
              <w:rPr>
                <w:b/>
              </w:rPr>
              <w:br/>
              <w:t>Markwort</w:t>
            </w:r>
            <w:r>
              <w:rPr>
                <w:b/>
              </w:rPr>
              <w:br/>
            </w:r>
            <w:r>
              <w:t>(FDP)</w:t>
            </w:r>
            <w:bookmarkStart w:id="105" w:name="Frage_Nr_52"/>
            <w:bookmarkEnd w:id="105"/>
          </w:p>
        </w:tc>
        <w:tc>
          <w:tcPr>
            <w:tcW w:w="5764" w:type="dxa"/>
          </w:tcPr>
          <w:p w:rsidR="006D53AA" w:rsidRPr="00D0635E" w:rsidRDefault="006D53AA" w:rsidP="00D0635E">
            <w:pPr>
              <w:pStyle w:val="LTAnfrageText"/>
            </w:pPr>
            <w:r w:rsidRPr="00D0635E">
              <w:t>Ich frage die Staatsregierung, bezugnehmend auf meine Anfrage zum Plenum vom 27.10.2021 (Drs. 18/18693), wie ist der aktuelle Stand ist in Bezug auf den Abschluss einer Verwaltungsvereinbarung nach §10 Gesetz über Finanzhilfen des Bundes zum Ausbau ganztätiger Bildungs- und Betreuungsangebote für Kinder im Grundschulalter (GaFinHG) zum Abruf von Basismitteln nach § 1 Abs. 2 GaFinHG zur Ganztagsförderung (bitte unter Nennung bereits erfolgter und zukünftig angesetzter Termine zwischen dem Bund und den Ländern), wie hoch sind die seit Beginn des Förderzeitraums abgerufenen Mittel für Bayern aus den „Finanzhilfen des Bundes für das Investitionsprogramm zum beschleunigten Infrastrukturausbau der Ganztagsbetreuung für Grundschulkinder“ und welche Anstrengungen hat die Staatsregierung bisher unternommen, um die bayerischen Kommunen beim Abruf der bereitgestellten Mittel aus diesem Programm bis zum Ende des Jahres 2021 zu unterstützen (bitte möglichst unter Darstellung des bislang dadurch erreichten Abrufs durch einzelne Kommunen beantworten)?</w:t>
            </w:r>
          </w:p>
        </w:tc>
        <w:tc>
          <w:tcPr>
            <w:tcW w:w="5764" w:type="dxa"/>
          </w:tcPr>
          <w:p w:rsidR="006D53AA" w:rsidRDefault="006D53AA" w:rsidP="006D53AA">
            <w:pPr>
              <w:pStyle w:val="LTAnfrageText"/>
            </w:pPr>
          </w:p>
        </w:tc>
      </w:tr>
    </w:tbl>
    <w:p w:rsidR="00013B61" w:rsidRDefault="00013B61" w:rsidP="00013B61">
      <w:pPr>
        <w:pStyle w:val="LTUeberschrAntwortRessort"/>
      </w:pPr>
      <w:r>
        <w:t>Antwort des Staatsministeriums für Familie, Arbeit und Soziales</w:t>
      </w:r>
    </w:p>
    <w:p w:rsidR="00013B61" w:rsidRDefault="00013B61" w:rsidP="00013B61">
      <w:pPr>
        <w:pStyle w:val="LTAntwortRessortText"/>
      </w:pPr>
      <w:r>
        <w:t>Zum Stand 22.11.2021 wurde seitens des Bundes noch kein Entwurf</w:t>
      </w:r>
      <w:r w:rsidR="0010746C">
        <w:t xml:space="preserve"> </w:t>
      </w:r>
      <w:r>
        <w:t>einer Verwaltungsvereinbarung nach § 10 Abs. 2 GaFinHG an die Länder</w:t>
      </w:r>
      <w:r w:rsidR="0010746C">
        <w:t xml:space="preserve"> </w:t>
      </w:r>
      <w:r>
        <w:t>übersandt. Insofern sind keine Neuerungen im Vergleich zur Antwort</w:t>
      </w:r>
      <w:r w:rsidR="0010746C">
        <w:t xml:space="preserve"> </w:t>
      </w:r>
      <w:r>
        <w:t xml:space="preserve">auf die Anfrage vom 27.10.2021 </w:t>
      </w:r>
      <w:r w:rsidR="00712604">
        <w:t xml:space="preserve">(Drs. 18/18693) </w:t>
      </w:r>
      <w:r>
        <w:t>zu verzeichnen. Ein konkreter</w:t>
      </w:r>
      <w:r w:rsidR="0010746C">
        <w:t xml:space="preserve"> </w:t>
      </w:r>
      <w:r>
        <w:t>Termin für die Übersendung des Entwurfes oder für eine gemeinsame</w:t>
      </w:r>
      <w:r w:rsidR="0010746C">
        <w:t xml:space="preserve"> </w:t>
      </w:r>
      <w:r>
        <w:t>Besprechung wurde bisher seitens des Bundes noch nicht mitgeteilt.</w:t>
      </w:r>
    </w:p>
    <w:p w:rsidR="00013B61" w:rsidRDefault="00013B61" w:rsidP="00013B61">
      <w:pPr>
        <w:pStyle w:val="LTAntwortRessortText"/>
      </w:pPr>
      <w:r>
        <w:t>Im Rahmen des Investitionsprogramms zum beschleunigten Infrastrukturausbau</w:t>
      </w:r>
      <w:r w:rsidR="0010746C">
        <w:t xml:space="preserve"> </w:t>
      </w:r>
      <w:r>
        <w:t>der Ganztagsbetreuung für Grundschulkinder wurden bisher</w:t>
      </w:r>
      <w:r w:rsidR="0010746C">
        <w:t xml:space="preserve"> </w:t>
      </w:r>
      <w:r>
        <w:t>(Stand der Meldungen aus den Regierungen zum 29.10.2021) Mittel in</w:t>
      </w:r>
      <w:r w:rsidR="0010746C">
        <w:t xml:space="preserve"> </w:t>
      </w:r>
      <w:r>
        <w:t>Höhe von 27,4 Mio. Euro durch Förderbescheid gebunden.</w:t>
      </w:r>
    </w:p>
    <w:p w:rsidR="00013B61" w:rsidRDefault="00013B61" w:rsidP="00A6044A">
      <w:pPr>
        <w:pStyle w:val="LTAntwortRessortText"/>
        <w:spacing w:before="0"/>
      </w:pPr>
      <w:r>
        <w:t>Der Freistaat Bayern hat den durch die Verwaltungsvereinbarung vom</w:t>
      </w:r>
      <w:r w:rsidR="0010746C">
        <w:t xml:space="preserve"> </w:t>
      </w:r>
      <w:r>
        <w:t>28.12.2020 mit dem Bund eingeräumten Spielraum im Rahmen der Erstellung</w:t>
      </w:r>
      <w:r w:rsidR="0010746C">
        <w:t xml:space="preserve"> </w:t>
      </w:r>
      <w:r>
        <w:t>der Landesförderrichtlinie größtmöglich genutzt und die Mittel</w:t>
      </w:r>
      <w:r w:rsidR="0010746C">
        <w:t xml:space="preserve"> </w:t>
      </w:r>
      <w:r>
        <w:t>schnellstmöglich zur Verfügung gestellt. Den Kommunen stehen in den</w:t>
      </w:r>
      <w:r w:rsidR="0010746C">
        <w:t xml:space="preserve"> </w:t>
      </w:r>
      <w:r>
        <w:t>Bezirksregierungen für die verschiedenen Fragen im Zusammenhang</w:t>
      </w:r>
      <w:r w:rsidR="0010746C">
        <w:t xml:space="preserve"> </w:t>
      </w:r>
      <w:r>
        <w:t>mit dem Förderprogramm fachkundige Ansprechpartner beratend zur</w:t>
      </w:r>
      <w:r w:rsidR="0010746C">
        <w:t xml:space="preserve"> </w:t>
      </w:r>
      <w:r>
        <w:t>Seite.</w:t>
      </w:r>
    </w:p>
    <w:p w:rsidR="00013B61" w:rsidRDefault="00013B61" w:rsidP="00A6044A">
      <w:pPr>
        <w:pStyle w:val="LTAntwortRessortText"/>
        <w:spacing w:before="0"/>
      </w:pPr>
      <w:r>
        <w:t>Die Mittel müssen durch die Zuwendungsempfänger entsprechend der</w:t>
      </w:r>
      <w:r w:rsidR="0010746C">
        <w:t xml:space="preserve"> </w:t>
      </w:r>
      <w:r>
        <w:t>bestehenden Vorgaben des Bundes bis spätestens 31.12.2021 verausgabt</w:t>
      </w:r>
      <w:r w:rsidR="0010746C">
        <w:t xml:space="preserve"> </w:t>
      </w:r>
      <w:r>
        <w:t>werden. Die Bayerische Staatsregierung unterstützt vor diesem</w:t>
      </w:r>
      <w:r w:rsidR="0010746C">
        <w:t xml:space="preserve"> </w:t>
      </w:r>
      <w:r>
        <w:t>Hintergrund Bestrebungen zur Verlängerung der Fristen für die Verausgabung</w:t>
      </w:r>
      <w:r w:rsidR="0010746C">
        <w:t xml:space="preserve"> </w:t>
      </w:r>
      <w:r>
        <w:t>und begrüßt dementsprechend den Antrag der CDU/CSU</w:t>
      </w:r>
      <w:r w:rsidR="00F1681C">
        <w:t>-</w:t>
      </w:r>
      <w:r>
        <w:t>Fraktion</w:t>
      </w:r>
      <w:r w:rsidR="0010746C">
        <w:t xml:space="preserve"> </w:t>
      </w:r>
      <w:r w:rsidR="00F1681C">
        <w:t>im Bundestag (BT-Drs. 20/83 –</w:t>
      </w:r>
      <w:r>
        <w:t xml:space="preserve"> Entwurf eines Gesetzes zur</w:t>
      </w:r>
      <w:r w:rsidR="0010746C">
        <w:t xml:space="preserve"> </w:t>
      </w:r>
      <w:r>
        <w:t>Fristverlängerung für den beschleunigten Infrastrukturausbau in der</w:t>
      </w:r>
      <w:r w:rsidR="0010746C">
        <w:t xml:space="preserve"> </w:t>
      </w:r>
      <w:r>
        <w:t>Ganztagsbetreuung für Grundschulkinder). Der Antrag wurde am</w:t>
      </w:r>
      <w:r w:rsidR="0010746C">
        <w:t xml:space="preserve"> </w:t>
      </w:r>
      <w:r>
        <w:t>18.11.2021 erstmals im Plenum des Deutschen Bundestags behandelt</w:t>
      </w:r>
    </w:p>
    <w:p w:rsidR="00013B61" w:rsidRDefault="00013B61">
      <w:bookmarkStart w:id="106" w:name="Frage_Nr_52_Ende"/>
      <w:bookmarkEnd w:id="10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C1DFC" w:rsidTr="008C1DFC">
        <w:tc>
          <w:tcPr>
            <w:tcW w:w="1854" w:type="dxa"/>
          </w:tcPr>
          <w:p w:rsidR="008C1DFC" w:rsidRDefault="008C1DFC" w:rsidP="008C1DFC">
            <w:pPr>
              <w:pStyle w:val="LTAnfrageInitiator"/>
            </w:pPr>
            <w:r>
              <w:lastRenderedPageBreak/>
              <w:t>Abgeordnete</w:t>
            </w:r>
            <w:r>
              <w:rPr>
                <w:b/>
              </w:rPr>
              <w:br/>
              <w:t>Doris</w:t>
            </w:r>
            <w:r>
              <w:rPr>
                <w:b/>
              </w:rPr>
              <w:br/>
              <w:t>Rauscher</w:t>
            </w:r>
            <w:r>
              <w:rPr>
                <w:b/>
              </w:rPr>
              <w:br/>
            </w:r>
            <w:r>
              <w:t>(SPD)</w:t>
            </w:r>
            <w:bookmarkStart w:id="107" w:name="Frage_Nr_53"/>
            <w:bookmarkEnd w:id="107"/>
          </w:p>
        </w:tc>
        <w:tc>
          <w:tcPr>
            <w:tcW w:w="5762" w:type="dxa"/>
          </w:tcPr>
          <w:p w:rsidR="008C1DFC" w:rsidRPr="00D0635E" w:rsidRDefault="008C1DFC" w:rsidP="00D0635E">
            <w:pPr>
              <w:pStyle w:val="LTAnfrageText"/>
            </w:pPr>
            <w:r w:rsidRPr="00D0635E">
              <w:t>Ich frage die Staatsregierung, wie viele Kindertageseinrichtungen in Bayern derzeit aufgrund von Coronainfektionen geschlossen sind (bitte Angabe differenziert nach anteiliger und vollständiger Schließung sowie Zahl der davon betroffenen Kinder), wie sich diese Zahl in den vergangenen fünf Wochen entwickelt hat, und wie viele Landkreise bisher PCR-Pooltests in Kitas anbieten (bitte mit Angabe der Zahl der beteiligten Kitas und Kinder sowie differenziert nach Regierungsbezirken)?</w:t>
            </w:r>
          </w:p>
        </w:tc>
        <w:tc>
          <w:tcPr>
            <w:tcW w:w="5762" w:type="dxa"/>
          </w:tcPr>
          <w:p w:rsidR="008C1DFC" w:rsidRDefault="008C1DFC" w:rsidP="008C1DFC">
            <w:pPr>
              <w:pStyle w:val="LTAnfrageText"/>
            </w:pPr>
          </w:p>
        </w:tc>
      </w:tr>
    </w:tbl>
    <w:p w:rsidR="00013B61" w:rsidRDefault="00013B61" w:rsidP="00013B61">
      <w:pPr>
        <w:pStyle w:val="LTUeberschrAntwortRessort"/>
      </w:pPr>
      <w:r>
        <w:t>Antwort des Staatsministeriums für Familie, Arbeit und Soziales</w:t>
      </w:r>
    </w:p>
    <w:p w:rsidR="00013B61" w:rsidRDefault="00013B61" w:rsidP="00013B61">
      <w:pPr>
        <w:pStyle w:val="LTAntwortRessortText"/>
      </w:pPr>
      <w:r>
        <w:t>Mit Stand vom 19.11.2021 waren insgesamt 739 Kindertageseinrichtungen</w:t>
      </w:r>
      <w:r w:rsidR="00633B88">
        <w:t xml:space="preserve"> </w:t>
      </w:r>
      <w:r>
        <w:t>(von insgesamt rund 10</w:t>
      </w:r>
      <w:r w:rsidR="00F1681C">
        <w:t> </w:t>
      </w:r>
      <w:r>
        <w:t>200) von einem Infektionsgeschehen</w:t>
      </w:r>
      <w:r w:rsidR="00633B88">
        <w:t xml:space="preserve"> </w:t>
      </w:r>
      <w:r>
        <w:t>betroffen. Davon waren 41 Kindertageseinrichtungen in Bayern vollständig</w:t>
      </w:r>
      <w:r w:rsidR="00633B88">
        <w:t xml:space="preserve"> </w:t>
      </w:r>
      <w:r>
        <w:t>geschlossen, 450 Einrichtungen teilweise und in 248 Einrichtungen</w:t>
      </w:r>
      <w:r w:rsidR="00633B88">
        <w:t xml:space="preserve"> </w:t>
      </w:r>
      <w:r>
        <w:t>waren nur einzelne Personen vom Besuch der Einrichtung ausgeschlossen.</w:t>
      </w:r>
    </w:p>
    <w:p w:rsidR="00013B61" w:rsidRDefault="00013B61" w:rsidP="001E607A">
      <w:pPr>
        <w:pStyle w:val="LTAntwortRessortText"/>
        <w:spacing w:before="0"/>
      </w:pPr>
      <w:r>
        <w:t>Zur Zahl der betroffenen Kinder ist eine abschließende</w:t>
      </w:r>
      <w:r w:rsidR="00633B88">
        <w:t xml:space="preserve"> </w:t>
      </w:r>
      <w:r>
        <w:t>Beurteilung nicht möglich. Aufgrund der Meldungen ist davon auszugehen,</w:t>
      </w:r>
      <w:r w:rsidR="00633B88">
        <w:t xml:space="preserve"> </w:t>
      </w:r>
      <w:r>
        <w:t>dass jedenfalls für mindestens 8</w:t>
      </w:r>
      <w:r w:rsidR="00F1681C">
        <w:t> </w:t>
      </w:r>
      <w:r>
        <w:t>156 Kinder zum 19.11.2021 ein</w:t>
      </w:r>
      <w:r w:rsidR="00633B88">
        <w:t xml:space="preserve"> </w:t>
      </w:r>
      <w:r>
        <w:t>Besuch der Einrichtung nicht möglich war.</w:t>
      </w:r>
    </w:p>
    <w:p w:rsidR="00013B61" w:rsidRDefault="00013B61" w:rsidP="00013B61">
      <w:pPr>
        <w:pStyle w:val="LTAntwortRessortText"/>
      </w:pPr>
      <w:r>
        <w:t>Am 12.11.2021 waren bayernweit insgesamt 342 Kitas von einem Infektionsgeschehen</w:t>
      </w:r>
      <w:r w:rsidR="00633B88">
        <w:t xml:space="preserve"> </w:t>
      </w:r>
      <w:r>
        <w:t>betroffen, am 05.11.2021 260 Kitas, am 29.10.2021</w:t>
      </w:r>
      <w:r w:rsidR="00633B88">
        <w:t xml:space="preserve"> </w:t>
      </w:r>
      <w:r>
        <w:t>274 Kitas und am 22.10.2021 206 Kitas.</w:t>
      </w:r>
    </w:p>
    <w:p w:rsidR="00013B61" w:rsidRDefault="00013B61" w:rsidP="00013B61">
      <w:pPr>
        <w:pStyle w:val="LTAntwortRessortText"/>
      </w:pPr>
      <w:r>
        <w:t xml:space="preserve">Bis zum </w:t>
      </w:r>
      <w:r w:rsidR="00F1681C">
        <w:t>19.11.</w:t>
      </w:r>
      <w:r>
        <w:t>2021 wurden noch keine Förderanträge zur</w:t>
      </w:r>
      <w:r w:rsidR="00633B88">
        <w:t xml:space="preserve"> </w:t>
      </w:r>
      <w:r>
        <w:t>Einführung von PCR-Pool-Tests bei den Regierungen gestellt. Es liegen</w:t>
      </w:r>
      <w:r w:rsidR="00BF3898">
        <w:t xml:space="preserve"> </w:t>
      </w:r>
      <w:r>
        <w:t>dem Staatsministerium für Familie, Arbeit und Soziales jedoch aus</w:t>
      </w:r>
      <w:r w:rsidR="00BF3898">
        <w:t xml:space="preserve"> </w:t>
      </w:r>
      <w:r>
        <w:t>einigen Landkreisen und kreisfreien Städten Rückmeldungen vor. Von</w:t>
      </w:r>
      <w:r w:rsidR="00BF3898">
        <w:t xml:space="preserve"> </w:t>
      </w:r>
      <w:r>
        <w:t>der Stadt Augsburg wurde zurückgemeldet, dass diese mit zwei Pilot-Kitas in das PCR-Pooling eingestiegen ist. Dem Vernehmen nach wollen</w:t>
      </w:r>
      <w:r w:rsidR="00BF3898">
        <w:t xml:space="preserve"> </w:t>
      </w:r>
      <w:r>
        <w:t>sich weitere Einrichtungen in Augsburg anschließen. Ebenso plant</w:t>
      </w:r>
      <w:r w:rsidR="00BF3898">
        <w:t xml:space="preserve"> </w:t>
      </w:r>
      <w:r>
        <w:t>auch die Stadt Nürnberg das Angebot von PCR-Pooltests in (vorerst</w:t>
      </w:r>
      <w:r w:rsidR="00BF3898">
        <w:t xml:space="preserve"> </w:t>
      </w:r>
      <w:r>
        <w:t>nur den) städtischen Kitas. Der Landkreis Donau-Ries möchte flächendeckend</w:t>
      </w:r>
      <w:r w:rsidR="00BF3898">
        <w:t xml:space="preserve"> </w:t>
      </w:r>
      <w:r>
        <w:t>PCR-Pooling anbieten. Auch Stadt und Landkreis Würzburg</w:t>
      </w:r>
      <w:r w:rsidR="00BF3898">
        <w:t xml:space="preserve"> </w:t>
      </w:r>
      <w:r>
        <w:t>haben sich für eine zügige Einführung der Pooltestungen entschieden.</w:t>
      </w:r>
    </w:p>
    <w:p w:rsidR="00013B61" w:rsidRDefault="00013B61">
      <w:bookmarkStart w:id="108" w:name="Frage_Nr_53_Ende"/>
      <w:bookmarkEnd w:id="10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8C1DFC" w:rsidTr="008C1DFC">
        <w:tc>
          <w:tcPr>
            <w:tcW w:w="1856" w:type="dxa"/>
          </w:tcPr>
          <w:p w:rsidR="008C1DFC" w:rsidRDefault="008C1DFC" w:rsidP="008C1DFC">
            <w:pPr>
              <w:pStyle w:val="LTAnfrageInitiator"/>
            </w:pPr>
            <w:r>
              <w:lastRenderedPageBreak/>
              <w:t>Abgeordnete</w:t>
            </w:r>
            <w:r>
              <w:rPr>
                <w:b/>
              </w:rPr>
              <w:br/>
              <w:t>Julika</w:t>
            </w:r>
            <w:r>
              <w:rPr>
                <w:b/>
              </w:rPr>
              <w:br/>
              <w:t>Sandt</w:t>
            </w:r>
            <w:r>
              <w:rPr>
                <w:b/>
              </w:rPr>
              <w:br/>
            </w:r>
            <w:r>
              <w:t>(FDP)</w:t>
            </w:r>
            <w:bookmarkStart w:id="109" w:name="Frage_Nr_54"/>
            <w:bookmarkEnd w:id="109"/>
          </w:p>
        </w:tc>
        <w:tc>
          <w:tcPr>
            <w:tcW w:w="5760" w:type="dxa"/>
          </w:tcPr>
          <w:p w:rsidR="008C1DFC" w:rsidRPr="00D0635E" w:rsidRDefault="008C1DFC" w:rsidP="00D0635E">
            <w:pPr>
              <w:pStyle w:val="LTAnfrageText"/>
            </w:pPr>
            <w:r w:rsidRPr="00D0635E">
              <w:t>Ich frage die Staatsregierung, wie viele Frauenhausplätze und Interventionsstellen aktuell in Bayern existieren und wie viele der Frauenhausplätze barrierefrei zugänglich sind (Zahlen für Frauenhäuser bitte nach Regierungsbezirken, Landkreisen und kreisfreien Städten, sowie nach Plätzen für Frauen und für Kinder aufschlüsseln; bei Interventionsstellen bitte um Auflistung ebenfalls von derzeit rein ehrenamtlich und ungefördert arbeitenden Interventionsstellen)?</w:t>
            </w:r>
          </w:p>
        </w:tc>
        <w:tc>
          <w:tcPr>
            <w:tcW w:w="5760" w:type="dxa"/>
          </w:tcPr>
          <w:p w:rsidR="008C1DFC" w:rsidRDefault="008C1DFC" w:rsidP="008C1DFC">
            <w:pPr>
              <w:pStyle w:val="LTAnfrageText"/>
            </w:pPr>
          </w:p>
        </w:tc>
      </w:tr>
    </w:tbl>
    <w:p w:rsidR="00013B61" w:rsidRDefault="00013B61" w:rsidP="00013B61">
      <w:pPr>
        <w:pStyle w:val="LTUeberschrAntwortRessort"/>
      </w:pPr>
      <w:r>
        <w:t>Antwort des Staatsministeriums für Familie, Arbeit und Soziales</w:t>
      </w:r>
    </w:p>
    <w:p w:rsidR="00013B61" w:rsidRPr="00D51E7D" w:rsidRDefault="00013B61" w:rsidP="00013B61">
      <w:pPr>
        <w:pStyle w:val="LTAntwortRessortText"/>
        <w:rPr>
          <w:b/>
        </w:rPr>
      </w:pPr>
      <w:r w:rsidRPr="00D51E7D">
        <w:rPr>
          <w:b/>
        </w:rPr>
        <w:t>Frauenhäuser</w:t>
      </w:r>
    </w:p>
    <w:p w:rsidR="00013B61" w:rsidRDefault="00013B61" w:rsidP="00013B61">
      <w:pPr>
        <w:pStyle w:val="LTAntwortRessortText"/>
      </w:pPr>
      <w:r>
        <w:t>In Bayern gibt es derzeit 39 staatlich geförderte Frauenhäuser mit 375</w:t>
      </w:r>
      <w:r w:rsidR="00517E8F">
        <w:t xml:space="preserve"> </w:t>
      </w:r>
      <w:r>
        <w:t>Plätzen für Frauen und mindestens 449 Plätzen für Kinder. Das Einzugsgebiet</w:t>
      </w:r>
      <w:r w:rsidR="00517E8F">
        <w:t xml:space="preserve"> </w:t>
      </w:r>
      <w:r>
        <w:t>eines Frauenhauses umfasst in der Regel mehrere Gebietskörperschaften,</w:t>
      </w:r>
      <w:r w:rsidR="00517E8F">
        <w:t xml:space="preserve"> </w:t>
      </w:r>
      <w:r>
        <w:t>sodass eine Aufteilung auf einzelne Landkreise</w:t>
      </w:r>
      <w:r w:rsidR="00517E8F">
        <w:t xml:space="preserve"> </w:t>
      </w:r>
      <w:r>
        <w:t>und kreisfreie Städte nicht möglich ist. Die Anzahl der Frauenhausplätze,</w:t>
      </w:r>
      <w:r w:rsidR="00517E8F">
        <w:t xml:space="preserve"> </w:t>
      </w:r>
      <w:r>
        <w:t>welche barrierefrei sind, ist der Staatsregierung aktuell nicht bekannt.</w:t>
      </w:r>
      <w:r w:rsidR="00517E8F">
        <w:t xml:space="preserve"> </w:t>
      </w:r>
    </w:p>
    <w:p w:rsidR="00013B61" w:rsidRDefault="00013B61" w:rsidP="00013B61">
      <w:pPr>
        <w:pStyle w:val="LTAntwortRessortText"/>
      </w:pPr>
      <w:r>
        <w:t>Das Gesamtbild kann der nachfolgenden Tabelle entnommen</w:t>
      </w:r>
      <w:r w:rsidR="00517E8F">
        <w:t xml:space="preserve"> </w:t>
      </w:r>
      <w:r>
        <w:t>werden:</w:t>
      </w:r>
    </w:p>
    <w:tbl>
      <w:tblPr>
        <w:tblStyle w:val="TableNormal"/>
        <w:tblW w:w="80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1557"/>
        <w:gridCol w:w="2551"/>
        <w:gridCol w:w="1389"/>
        <w:gridCol w:w="1134"/>
      </w:tblGrid>
      <w:tr w:rsidR="009845DB" w:rsidTr="00796499">
        <w:trPr>
          <w:trHeight w:val="506"/>
        </w:trPr>
        <w:tc>
          <w:tcPr>
            <w:tcW w:w="1420" w:type="dxa"/>
          </w:tcPr>
          <w:p w:rsidR="009845DB" w:rsidRPr="009845DB" w:rsidRDefault="009845DB" w:rsidP="004F22A0">
            <w:pPr>
              <w:pStyle w:val="TableParagraph"/>
              <w:spacing w:before="122"/>
              <w:rPr>
                <w:rFonts w:ascii="Arial" w:hAnsi="Arial" w:cs="Arial"/>
                <w:b/>
                <w:sz w:val="16"/>
              </w:rPr>
            </w:pPr>
            <w:r w:rsidRPr="009845DB">
              <w:rPr>
                <w:rFonts w:ascii="Arial" w:hAnsi="Arial" w:cs="Arial"/>
                <w:b/>
                <w:sz w:val="16"/>
              </w:rPr>
              <w:t>Frauenhaus</w:t>
            </w:r>
          </w:p>
        </w:tc>
        <w:tc>
          <w:tcPr>
            <w:tcW w:w="1557" w:type="dxa"/>
            <w:vAlign w:val="center"/>
          </w:tcPr>
          <w:p w:rsidR="009845DB" w:rsidRPr="009845DB" w:rsidRDefault="00796499" w:rsidP="00796499">
            <w:pPr>
              <w:pStyle w:val="TableParagraph"/>
              <w:spacing w:line="248" w:lineRule="exact"/>
              <w:rPr>
                <w:rFonts w:ascii="Arial" w:hAnsi="Arial" w:cs="Arial"/>
                <w:b/>
                <w:sz w:val="16"/>
              </w:rPr>
            </w:pPr>
            <w:r>
              <w:rPr>
                <w:rFonts w:ascii="Arial" w:hAnsi="Arial" w:cs="Arial"/>
                <w:b/>
                <w:sz w:val="16"/>
              </w:rPr>
              <w:t>Regierungs</w:t>
            </w:r>
            <w:r w:rsidR="009845DB" w:rsidRPr="009845DB">
              <w:rPr>
                <w:rFonts w:ascii="Arial" w:hAnsi="Arial" w:cs="Arial"/>
                <w:b/>
                <w:sz w:val="16"/>
              </w:rPr>
              <w:t>bezirk</w:t>
            </w:r>
          </w:p>
        </w:tc>
        <w:tc>
          <w:tcPr>
            <w:tcW w:w="2551" w:type="dxa"/>
          </w:tcPr>
          <w:p w:rsidR="009845DB" w:rsidRPr="009845DB" w:rsidRDefault="009845DB" w:rsidP="00796499">
            <w:pPr>
              <w:pStyle w:val="TableParagraph"/>
              <w:spacing w:before="122"/>
              <w:rPr>
                <w:rFonts w:ascii="Arial" w:hAnsi="Arial" w:cs="Arial"/>
                <w:b/>
                <w:sz w:val="16"/>
              </w:rPr>
            </w:pPr>
            <w:r w:rsidRPr="009845DB">
              <w:rPr>
                <w:rFonts w:ascii="Arial" w:hAnsi="Arial" w:cs="Arial"/>
                <w:b/>
                <w:sz w:val="16"/>
              </w:rPr>
              <w:t>Einzugsgebiet</w:t>
            </w:r>
          </w:p>
        </w:tc>
        <w:tc>
          <w:tcPr>
            <w:tcW w:w="1389" w:type="dxa"/>
            <w:vAlign w:val="center"/>
          </w:tcPr>
          <w:p w:rsidR="009845DB" w:rsidRPr="009845DB" w:rsidRDefault="00796499" w:rsidP="00796499">
            <w:pPr>
              <w:pStyle w:val="TableParagraph"/>
              <w:spacing w:line="248" w:lineRule="exact"/>
              <w:ind w:left="108"/>
              <w:rPr>
                <w:rFonts w:ascii="Arial" w:hAnsi="Arial" w:cs="Arial"/>
                <w:b/>
                <w:sz w:val="16"/>
              </w:rPr>
            </w:pPr>
            <w:r>
              <w:rPr>
                <w:rFonts w:ascii="Arial" w:hAnsi="Arial" w:cs="Arial"/>
                <w:b/>
                <w:sz w:val="16"/>
              </w:rPr>
              <w:t>Frauen</w:t>
            </w:r>
            <w:r w:rsidR="009845DB" w:rsidRPr="009845DB">
              <w:rPr>
                <w:rFonts w:ascii="Arial" w:hAnsi="Arial" w:cs="Arial"/>
                <w:b/>
                <w:sz w:val="16"/>
              </w:rPr>
              <w:t>plätze</w:t>
            </w:r>
          </w:p>
        </w:tc>
        <w:tc>
          <w:tcPr>
            <w:tcW w:w="1134" w:type="dxa"/>
            <w:vAlign w:val="center"/>
          </w:tcPr>
          <w:p w:rsidR="009845DB" w:rsidRPr="009845DB" w:rsidRDefault="009845DB" w:rsidP="00796499">
            <w:pPr>
              <w:pStyle w:val="TableParagraph"/>
              <w:spacing w:line="248" w:lineRule="exact"/>
              <w:ind w:left="108"/>
              <w:rPr>
                <w:rFonts w:ascii="Arial" w:hAnsi="Arial" w:cs="Arial"/>
                <w:b/>
                <w:sz w:val="16"/>
              </w:rPr>
            </w:pPr>
            <w:r w:rsidRPr="009845DB">
              <w:rPr>
                <w:rFonts w:ascii="Arial" w:hAnsi="Arial" w:cs="Arial"/>
                <w:b/>
                <w:sz w:val="16"/>
              </w:rPr>
              <w:t>K</w:t>
            </w:r>
            <w:r w:rsidR="00796499">
              <w:rPr>
                <w:rFonts w:ascii="Arial" w:hAnsi="Arial" w:cs="Arial"/>
                <w:b/>
                <w:sz w:val="16"/>
              </w:rPr>
              <w:t>inder</w:t>
            </w:r>
            <w:r w:rsidRPr="009845DB">
              <w:rPr>
                <w:rFonts w:ascii="Arial" w:hAnsi="Arial" w:cs="Arial"/>
                <w:b/>
                <w:sz w:val="16"/>
              </w:rPr>
              <w:t>plätze</w:t>
            </w:r>
          </w:p>
        </w:tc>
      </w:tr>
      <w:tr w:rsidR="009845DB" w:rsidTr="00343CB5">
        <w:trPr>
          <w:trHeight w:val="506"/>
        </w:trPr>
        <w:tc>
          <w:tcPr>
            <w:tcW w:w="1420" w:type="dxa"/>
            <w:vAlign w:val="center"/>
          </w:tcPr>
          <w:p w:rsidR="009845DB" w:rsidRPr="009845DB" w:rsidRDefault="009845DB" w:rsidP="00343CB5">
            <w:pPr>
              <w:pStyle w:val="TableParagraph"/>
              <w:spacing w:before="122"/>
              <w:rPr>
                <w:rFonts w:ascii="Arial" w:hAnsi="Arial" w:cs="Arial"/>
                <w:b/>
                <w:sz w:val="16"/>
              </w:rPr>
            </w:pPr>
            <w:r w:rsidRPr="009845DB">
              <w:rPr>
                <w:rFonts w:ascii="Arial" w:hAnsi="Arial" w:cs="Arial"/>
                <w:b/>
                <w:sz w:val="16"/>
              </w:rPr>
              <w:t>Burghausen</w:t>
            </w:r>
          </w:p>
        </w:tc>
        <w:tc>
          <w:tcPr>
            <w:tcW w:w="1557" w:type="dxa"/>
            <w:vAlign w:val="center"/>
          </w:tcPr>
          <w:p w:rsidR="009845DB" w:rsidRPr="009845DB" w:rsidRDefault="009845DB" w:rsidP="00343CB5">
            <w:pPr>
              <w:pStyle w:val="TableParagraph"/>
              <w:spacing w:before="124"/>
              <w:rPr>
                <w:rFonts w:ascii="Arial" w:hAnsi="Arial" w:cs="Arial"/>
                <w:sz w:val="16"/>
              </w:rPr>
            </w:pPr>
            <w:r w:rsidRPr="009845DB">
              <w:rPr>
                <w:rFonts w:ascii="Arial" w:hAnsi="Arial" w:cs="Arial"/>
                <w:sz w:val="16"/>
              </w:rPr>
              <w:t>Oberbayern</w:t>
            </w:r>
          </w:p>
        </w:tc>
        <w:tc>
          <w:tcPr>
            <w:tcW w:w="2551" w:type="dxa"/>
            <w:vAlign w:val="center"/>
          </w:tcPr>
          <w:p w:rsidR="009845DB" w:rsidRPr="009845DB" w:rsidRDefault="00796499" w:rsidP="00796499">
            <w:pPr>
              <w:pStyle w:val="TableParagraph"/>
              <w:spacing w:line="254" w:lineRule="exact"/>
              <w:ind w:right="1413"/>
              <w:rPr>
                <w:rFonts w:ascii="Arial" w:hAnsi="Arial" w:cs="Arial"/>
                <w:sz w:val="16"/>
              </w:rPr>
            </w:pPr>
            <w:r>
              <w:rPr>
                <w:rFonts w:ascii="Arial" w:hAnsi="Arial" w:cs="Arial"/>
                <w:sz w:val="16"/>
              </w:rPr>
              <w:t>Landkreis (</w:t>
            </w:r>
            <w:r w:rsidR="009845DB" w:rsidRPr="009845DB">
              <w:rPr>
                <w:rFonts w:ascii="Arial" w:hAnsi="Arial" w:cs="Arial"/>
                <w:sz w:val="16"/>
              </w:rPr>
              <w:t>Lkr.</w:t>
            </w:r>
            <w:r>
              <w:rPr>
                <w:rFonts w:ascii="Arial" w:hAnsi="Arial" w:cs="Arial"/>
                <w:sz w:val="16"/>
              </w:rPr>
              <w:t>)</w:t>
            </w:r>
            <w:r w:rsidR="009845DB" w:rsidRPr="009845DB">
              <w:rPr>
                <w:rFonts w:ascii="Arial" w:hAnsi="Arial" w:cs="Arial"/>
                <w:sz w:val="16"/>
              </w:rPr>
              <w:t xml:space="preserve"> </w:t>
            </w:r>
            <w:r>
              <w:rPr>
                <w:rFonts w:ascii="Arial" w:hAnsi="Arial" w:cs="Arial"/>
                <w:sz w:val="16"/>
              </w:rPr>
              <w:t>A</w:t>
            </w:r>
            <w:r w:rsidR="009845DB" w:rsidRPr="009845DB">
              <w:rPr>
                <w:rFonts w:ascii="Arial" w:hAnsi="Arial" w:cs="Arial"/>
                <w:sz w:val="16"/>
              </w:rPr>
              <w:t xml:space="preserve">ltötting </w:t>
            </w:r>
            <w:r>
              <w:rPr>
                <w:rFonts w:ascii="Arial" w:hAnsi="Arial" w:cs="Arial"/>
                <w:sz w:val="16"/>
              </w:rPr>
              <w:br/>
            </w:r>
            <w:r w:rsidR="009845DB" w:rsidRPr="009845DB">
              <w:rPr>
                <w:rFonts w:ascii="Arial" w:hAnsi="Arial" w:cs="Arial"/>
                <w:sz w:val="16"/>
              </w:rPr>
              <w:t>Lkr. Mühldorf</w:t>
            </w:r>
          </w:p>
        </w:tc>
        <w:tc>
          <w:tcPr>
            <w:tcW w:w="1389" w:type="dxa"/>
            <w:vAlign w:val="center"/>
          </w:tcPr>
          <w:p w:rsidR="009845DB" w:rsidRPr="009845DB" w:rsidRDefault="009845DB" w:rsidP="00343CB5">
            <w:pPr>
              <w:pStyle w:val="TableParagraph"/>
              <w:spacing w:before="124"/>
              <w:ind w:left="504"/>
              <w:rPr>
                <w:rFonts w:ascii="Arial" w:hAnsi="Arial" w:cs="Arial"/>
                <w:sz w:val="16"/>
              </w:rPr>
            </w:pPr>
            <w:r w:rsidRPr="009845DB">
              <w:rPr>
                <w:rFonts w:ascii="Arial" w:hAnsi="Arial" w:cs="Arial"/>
                <w:sz w:val="16"/>
              </w:rPr>
              <w:t>5</w:t>
            </w:r>
          </w:p>
        </w:tc>
        <w:tc>
          <w:tcPr>
            <w:tcW w:w="1134" w:type="dxa"/>
            <w:vAlign w:val="center"/>
          </w:tcPr>
          <w:p w:rsidR="009845DB" w:rsidRPr="009845DB" w:rsidRDefault="009845DB" w:rsidP="00343CB5">
            <w:pPr>
              <w:pStyle w:val="TableParagraph"/>
              <w:spacing w:before="124"/>
              <w:ind w:left="505"/>
              <w:rPr>
                <w:rFonts w:ascii="Arial" w:hAnsi="Arial" w:cs="Arial"/>
                <w:sz w:val="16"/>
              </w:rPr>
            </w:pPr>
            <w:r w:rsidRPr="009845DB">
              <w:rPr>
                <w:rFonts w:ascii="Arial" w:hAnsi="Arial" w:cs="Arial"/>
                <w:sz w:val="16"/>
              </w:rPr>
              <w:t>5</w:t>
            </w:r>
          </w:p>
        </w:tc>
      </w:tr>
      <w:tr w:rsidR="009845DB" w:rsidTr="00343CB5">
        <w:trPr>
          <w:trHeight w:val="249"/>
        </w:trPr>
        <w:tc>
          <w:tcPr>
            <w:tcW w:w="1420" w:type="dxa"/>
            <w:vAlign w:val="center"/>
          </w:tcPr>
          <w:p w:rsidR="009845DB" w:rsidRPr="009845DB" w:rsidRDefault="009845DB" w:rsidP="00343CB5">
            <w:pPr>
              <w:pStyle w:val="TableParagraph"/>
              <w:spacing w:line="230" w:lineRule="exact"/>
              <w:rPr>
                <w:rFonts w:ascii="Arial" w:hAnsi="Arial" w:cs="Arial"/>
                <w:b/>
                <w:sz w:val="16"/>
              </w:rPr>
            </w:pPr>
            <w:r w:rsidRPr="009845DB">
              <w:rPr>
                <w:rFonts w:ascii="Arial" w:hAnsi="Arial" w:cs="Arial"/>
                <w:b/>
                <w:sz w:val="16"/>
              </w:rPr>
              <w:t>Dachau</w:t>
            </w:r>
          </w:p>
        </w:tc>
        <w:tc>
          <w:tcPr>
            <w:tcW w:w="1557" w:type="dxa"/>
            <w:vAlign w:val="center"/>
          </w:tcPr>
          <w:p w:rsidR="009845DB" w:rsidRPr="009845DB" w:rsidRDefault="009845DB" w:rsidP="00343CB5">
            <w:pPr>
              <w:pStyle w:val="TableParagraph"/>
              <w:spacing w:line="230" w:lineRule="exact"/>
              <w:rPr>
                <w:rFonts w:ascii="Arial" w:hAnsi="Arial" w:cs="Arial"/>
                <w:sz w:val="16"/>
              </w:rPr>
            </w:pPr>
            <w:r w:rsidRPr="009845DB">
              <w:rPr>
                <w:rFonts w:ascii="Arial" w:hAnsi="Arial" w:cs="Arial"/>
                <w:sz w:val="16"/>
              </w:rPr>
              <w:t>Oberbayern</w:t>
            </w:r>
          </w:p>
        </w:tc>
        <w:tc>
          <w:tcPr>
            <w:tcW w:w="2551" w:type="dxa"/>
            <w:vAlign w:val="center"/>
          </w:tcPr>
          <w:p w:rsidR="009845DB" w:rsidRPr="009845DB" w:rsidRDefault="009845DB" w:rsidP="00796499">
            <w:pPr>
              <w:pStyle w:val="TableParagraph"/>
              <w:spacing w:line="230" w:lineRule="exact"/>
              <w:rPr>
                <w:rFonts w:ascii="Arial" w:hAnsi="Arial" w:cs="Arial"/>
                <w:sz w:val="16"/>
              </w:rPr>
            </w:pPr>
            <w:r w:rsidRPr="009845DB">
              <w:rPr>
                <w:rFonts w:ascii="Arial" w:hAnsi="Arial" w:cs="Arial"/>
                <w:sz w:val="16"/>
              </w:rPr>
              <w:t>Lkr. Dachau</w:t>
            </w:r>
          </w:p>
        </w:tc>
        <w:tc>
          <w:tcPr>
            <w:tcW w:w="1389" w:type="dxa"/>
            <w:vAlign w:val="center"/>
          </w:tcPr>
          <w:p w:rsidR="009845DB" w:rsidRPr="009845DB" w:rsidRDefault="009845DB" w:rsidP="00343CB5">
            <w:pPr>
              <w:pStyle w:val="TableParagraph"/>
              <w:spacing w:line="230" w:lineRule="exact"/>
              <w:ind w:left="504"/>
              <w:rPr>
                <w:rFonts w:ascii="Arial" w:hAnsi="Arial" w:cs="Arial"/>
                <w:sz w:val="16"/>
              </w:rPr>
            </w:pPr>
            <w:r w:rsidRPr="009845DB">
              <w:rPr>
                <w:rFonts w:ascii="Arial" w:hAnsi="Arial" w:cs="Arial"/>
                <w:sz w:val="16"/>
              </w:rPr>
              <w:t>5</w:t>
            </w:r>
          </w:p>
        </w:tc>
        <w:tc>
          <w:tcPr>
            <w:tcW w:w="1134" w:type="dxa"/>
            <w:vAlign w:val="center"/>
          </w:tcPr>
          <w:p w:rsidR="009845DB" w:rsidRPr="009845DB" w:rsidRDefault="009845DB" w:rsidP="00343CB5">
            <w:pPr>
              <w:pStyle w:val="TableParagraph"/>
              <w:spacing w:line="230" w:lineRule="exact"/>
              <w:ind w:left="505"/>
              <w:rPr>
                <w:rFonts w:ascii="Arial" w:hAnsi="Arial" w:cs="Arial"/>
                <w:sz w:val="16"/>
              </w:rPr>
            </w:pPr>
            <w:r w:rsidRPr="009845DB">
              <w:rPr>
                <w:rFonts w:ascii="Arial" w:hAnsi="Arial" w:cs="Arial"/>
                <w:sz w:val="16"/>
              </w:rPr>
              <w:t>6</w:t>
            </w:r>
          </w:p>
        </w:tc>
      </w:tr>
      <w:tr w:rsidR="009845DB" w:rsidTr="00343CB5">
        <w:trPr>
          <w:trHeight w:val="506"/>
        </w:trPr>
        <w:tc>
          <w:tcPr>
            <w:tcW w:w="1420" w:type="dxa"/>
            <w:vAlign w:val="center"/>
          </w:tcPr>
          <w:p w:rsidR="009845DB" w:rsidRPr="009845DB" w:rsidRDefault="009845DB" w:rsidP="00343CB5">
            <w:pPr>
              <w:pStyle w:val="TableParagraph"/>
              <w:spacing w:before="122"/>
              <w:rPr>
                <w:rFonts w:ascii="Arial" w:hAnsi="Arial" w:cs="Arial"/>
                <w:b/>
                <w:sz w:val="16"/>
              </w:rPr>
            </w:pPr>
            <w:r w:rsidRPr="009845DB">
              <w:rPr>
                <w:rFonts w:ascii="Arial" w:hAnsi="Arial" w:cs="Arial"/>
                <w:b/>
                <w:sz w:val="16"/>
              </w:rPr>
              <w:t>Erding</w:t>
            </w:r>
          </w:p>
        </w:tc>
        <w:tc>
          <w:tcPr>
            <w:tcW w:w="1557" w:type="dxa"/>
            <w:vAlign w:val="center"/>
          </w:tcPr>
          <w:p w:rsidR="009845DB" w:rsidRPr="009845DB" w:rsidRDefault="009845DB" w:rsidP="00343CB5">
            <w:pPr>
              <w:pStyle w:val="TableParagraph"/>
              <w:spacing w:before="124"/>
              <w:rPr>
                <w:rFonts w:ascii="Arial" w:hAnsi="Arial" w:cs="Arial"/>
                <w:sz w:val="16"/>
              </w:rPr>
            </w:pPr>
            <w:r w:rsidRPr="009845DB">
              <w:rPr>
                <w:rFonts w:ascii="Arial" w:hAnsi="Arial" w:cs="Arial"/>
                <w:sz w:val="16"/>
              </w:rPr>
              <w:t>Oberbayern</w:t>
            </w:r>
          </w:p>
        </w:tc>
        <w:tc>
          <w:tcPr>
            <w:tcW w:w="2551" w:type="dxa"/>
            <w:vAlign w:val="center"/>
          </w:tcPr>
          <w:p w:rsidR="009845DB" w:rsidRPr="009845DB" w:rsidRDefault="009845DB" w:rsidP="00796499">
            <w:pPr>
              <w:pStyle w:val="TableParagraph"/>
              <w:spacing w:before="4" w:line="252" w:lineRule="exact"/>
              <w:ind w:right="1271"/>
              <w:rPr>
                <w:rFonts w:ascii="Arial" w:hAnsi="Arial" w:cs="Arial"/>
                <w:sz w:val="16"/>
              </w:rPr>
            </w:pPr>
            <w:r w:rsidRPr="009845DB">
              <w:rPr>
                <w:rFonts w:ascii="Arial" w:hAnsi="Arial" w:cs="Arial"/>
                <w:sz w:val="16"/>
              </w:rPr>
              <w:t xml:space="preserve">Lkr. Erding </w:t>
            </w:r>
            <w:r w:rsidR="00796499">
              <w:rPr>
                <w:rFonts w:ascii="Arial" w:hAnsi="Arial" w:cs="Arial"/>
                <w:sz w:val="16"/>
              </w:rPr>
              <w:br/>
            </w:r>
            <w:r w:rsidRPr="009845DB">
              <w:rPr>
                <w:rFonts w:ascii="Arial" w:hAnsi="Arial" w:cs="Arial"/>
                <w:sz w:val="16"/>
              </w:rPr>
              <w:t>Lkr.</w:t>
            </w:r>
            <w:r w:rsidRPr="009845DB">
              <w:rPr>
                <w:rFonts w:ascii="Arial" w:hAnsi="Arial" w:cs="Arial"/>
                <w:spacing w:val="7"/>
                <w:sz w:val="16"/>
              </w:rPr>
              <w:t xml:space="preserve"> </w:t>
            </w:r>
            <w:r w:rsidRPr="009845DB">
              <w:rPr>
                <w:rFonts w:ascii="Arial" w:hAnsi="Arial" w:cs="Arial"/>
                <w:spacing w:val="-3"/>
                <w:sz w:val="16"/>
              </w:rPr>
              <w:t>Ebersberg</w:t>
            </w:r>
          </w:p>
        </w:tc>
        <w:tc>
          <w:tcPr>
            <w:tcW w:w="1389" w:type="dxa"/>
            <w:vAlign w:val="center"/>
          </w:tcPr>
          <w:p w:rsidR="009845DB" w:rsidRPr="009845DB" w:rsidRDefault="009845DB" w:rsidP="00343CB5">
            <w:pPr>
              <w:pStyle w:val="TableParagraph"/>
              <w:spacing w:before="124"/>
              <w:ind w:left="504"/>
              <w:rPr>
                <w:rFonts w:ascii="Arial" w:hAnsi="Arial" w:cs="Arial"/>
                <w:sz w:val="16"/>
              </w:rPr>
            </w:pPr>
            <w:r w:rsidRPr="009845DB">
              <w:rPr>
                <w:rFonts w:ascii="Arial" w:hAnsi="Arial" w:cs="Arial"/>
                <w:sz w:val="16"/>
              </w:rPr>
              <w:t>5</w:t>
            </w:r>
          </w:p>
        </w:tc>
        <w:tc>
          <w:tcPr>
            <w:tcW w:w="1134" w:type="dxa"/>
            <w:vAlign w:val="center"/>
          </w:tcPr>
          <w:p w:rsidR="009845DB" w:rsidRPr="009845DB" w:rsidRDefault="009845DB" w:rsidP="00343CB5">
            <w:pPr>
              <w:pStyle w:val="TableParagraph"/>
              <w:spacing w:before="124"/>
              <w:ind w:left="505"/>
              <w:rPr>
                <w:rFonts w:ascii="Arial" w:hAnsi="Arial" w:cs="Arial"/>
                <w:sz w:val="16"/>
              </w:rPr>
            </w:pPr>
            <w:r w:rsidRPr="009845DB">
              <w:rPr>
                <w:rFonts w:ascii="Arial" w:hAnsi="Arial" w:cs="Arial"/>
                <w:sz w:val="16"/>
              </w:rPr>
              <w:t>7</w:t>
            </w:r>
          </w:p>
        </w:tc>
      </w:tr>
      <w:tr w:rsidR="009845DB" w:rsidTr="00343CB5">
        <w:trPr>
          <w:trHeight w:val="252"/>
        </w:trPr>
        <w:tc>
          <w:tcPr>
            <w:tcW w:w="1420" w:type="dxa"/>
            <w:vAlign w:val="center"/>
          </w:tcPr>
          <w:p w:rsidR="009845DB" w:rsidRPr="009845DB" w:rsidRDefault="009845DB" w:rsidP="00343CB5">
            <w:pPr>
              <w:pStyle w:val="TableParagraph"/>
              <w:spacing w:line="232" w:lineRule="exact"/>
              <w:rPr>
                <w:rFonts w:ascii="Arial" w:hAnsi="Arial" w:cs="Arial"/>
                <w:b/>
                <w:sz w:val="16"/>
              </w:rPr>
            </w:pPr>
            <w:r w:rsidRPr="009845DB">
              <w:rPr>
                <w:rFonts w:ascii="Arial" w:hAnsi="Arial" w:cs="Arial"/>
                <w:b/>
                <w:sz w:val="16"/>
              </w:rPr>
              <w:t>Freising</w:t>
            </w:r>
          </w:p>
        </w:tc>
        <w:tc>
          <w:tcPr>
            <w:tcW w:w="1557" w:type="dxa"/>
            <w:vAlign w:val="center"/>
          </w:tcPr>
          <w:p w:rsidR="009845DB" w:rsidRPr="009845DB" w:rsidRDefault="009845DB" w:rsidP="00343CB5">
            <w:pPr>
              <w:pStyle w:val="TableParagraph"/>
              <w:spacing w:line="232" w:lineRule="exact"/>
              <w:rPr>
                <w:rFonts w:ascii="Arial" w:hAnsi="Arial" w:cs="Arial"/>
                <w:sz w:val="16"/>
              </w:rPr>
            </w:pPr>
            <w:r w:rsidRPr="009845DB">
              <w:rPr>
                <w:rFonts w:ascii="Arial" w:hAnsi="Arial" w:cs="Arial"/>
                <w:sz w:val="16"/>
              </w:rPr>
              <w:t>Oberbayern</w:t>
            </w:r>
          </w:p>
        </w:tc>
        <w:tc>
          <w:tcPr>
            <w:tcW w:w="2551" w:type="dxa"/>
            <w:vAlign w:val="center"/>
          </w:tcPr>
          <w:p w:rsidR="009845DB" w:rsidRPr="009845DB" w:rsidRDefault="009845DB" w:rsidP="00796499">
            <w:pPr>
              <w:pStyle w:val="TableParagraph"/>
              <w:spacing w:line="232" w:lineRule="exact"/>
              <w:rPr>
                <w:rFonts w:ascii="Arial" w:hAnsi="Arial" w:cs="Arial"/>
                <w:sz w:val="16"/>
              </w:rPr>
            </w:pPr>
            <w:r w:rsidRPr="009845DB">
              <w:rPr>
                <w:rFonts w:ascii="Arial" w:hAnsi="Arial" w:cs="Arial"/>
                <w:sz w:val="16"/>
              </w:rPr>
              <w:t>Lkr. Freising</w:t>
            </w:r>
          </w:p>
        </w:tc>
        <w:tc>
          <w:tcPr>
            <w:tcW w:w="1389" w:type="dxa"/>
            <w:vAlign w:val="center"/>
          </w:tcPr>
          <w:p w:rsidR="009845DB" w:rsidRPr="009845DB" w:rsidRDefault="009845DB" w:rsidP="00343CB5">
            <w:pPr>
              <w:pStyle w:val="TableParagraph"/>
              <w:spacing w:line="232" w:lineRule="exact"/>
              <w:ind w:left="504"/>
              <w:rPr>
                <w:rFonts w:ascii="Arial" w:hAnsi="Arial" w:cs="Arial"/>
                <w:sz w:val="16"/>
              </w:rPr>
            </w:pPr>
            <w:r w:rsidRPr="009845DB">
              <w:rPr>
                <w:rFonts w:ascii="Arial" w:hAnsi="Arial" w:cs="Arial"/>
                <w:sz w:val="16"/>
              </w:rPr>
              <w:t>5</w:t>
            </w:r>
          </w:p>
        </w:tc>
        <w:tc>
          <w:tcPr>
            <w:tcW w:w="1134" w:type="dxa"/>
            <w:vAlign w:val="center"/>
          </w:tcPr>
          <w:p w:rsidR="009845DB" w:rsidRPr="009845DB" w:rsidRDefault="009845DB" w:rsidP="00343CB5">
            <w:pPr>
              <w:pStyle w:val="TableParagraph"/>
              <w:spacing w:line="232" w:lineRule="exact"/>
              <w:ind w:left="505"/>
              <w:rPr>
                <w:rFonts w:ascii="Arial" w:hAnsi="Arial" w:cs="Arial"/>
                <w:sz w:val="16"/>
              </w:rPr>
            </w:pPr>
            <w:r w:rsidRPr="009845DB">
              <w:rPr>
                <w:rFonts w:ascii="Arial" w:hAnsi="Arial" w:cs="Arial"/>
                <w:sz w:val="16"/>
              </w:rPr>
              <w:t>6</w:t>
            </w:r>
          </w:p>
        </w:tc>
      </w:tr>
      <w:tr w:rsidR="00311670" w:rsidTr="00343CB5">
        <w:trPr>
          <w:trHeight w:val="506"/>
        </w:trPr>
        <w:tc>
          <w:tcPr>
            <w:tcW w:w="1420" w:type="dxa"/>
            <w:vAlign w:val="center"/>
          </w:tcPr>
          <w:p w:rsidR="00311670" w:rsidRPr="00796499" w:rsidRDefault="00796499" w:rsidP="00343CB5">
            <w:pPr>
              <w:pStyle w:val="TableParagraph"/>
              <w:spacing w:before="122"/>
              <w:rPr>
                <w:rFonts w:ascii="Arial" w:hAnsi="Arial" w:cs="Arial"/>
                <w:b/>
                <w:sz w:val="16"/>
              </w:rPr>
            </w:pPr>
            <w:r>
              <w:rPr>
                <w:rFonts w:ascii="Arial" w:hAnsi="Arial" w:cs="Arial"/>
                <w:b/>
                <w:sz w:val="16"/>
              </w:rPr>
              <w:t>Fürstenfeld</w:t>
            </w:r>
            <w:r w:rsidR="00311670" w:rsidRPr="00796499">
              <w:rPr>
                <w:rFonts w:ascii="Arial" w:hAnsi="Arial" w:cs="Arial"/>
                <w:b/>
                <w:sz w:val="16"/>
              </w:rPr>
              <w:t>bruck</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vAlign w:val="center"/>
          </w:tcPr>
          <w:p w:rsidR="00311670" w:rsidRPr="00796499" w:rsidRDefault="00311670" w:rsidP="00796499">
            <w:pPr>
              <w:pStyle w:val="TableParagraph"/>
              <w:spacing w:before="124"/>
              <w:rPr>
                <w:rFonts w:ascii="Arial" w:hAnsi="Arial" w:cs="Arial"/>
                <w:sz w:val="16"/>
              </w:rPr>
            </w:pPr>
            <w:r w:rsidRPr="00796499">
              <w:rPr>
                <w:rFonts w:ascii="Arial" w:hAnsi="Arial" w:cs="Arial"/>
                <w:sz w:val="16"/>
              </w:rPr>
              <w:t>Lkr. Fürstenfeldbruck</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6</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r>
      <w:tr w:rsidR="00311670" w:rsidTr="00343CB5">
        <w:trPr>
          <w:trHeight w:val="760"/>
        </w:trPr>
        <w:tc>
          <w:tcPr>
            <w:tcW w:w="1420" w:type="dxa"/>
            <w:vAlign w:val="center"/>
          </w:tcPr>
          <w:p w:rsidR="00311670" w:rsidRPr="00796499" w:rsidRDefault="00311670" w:rsidP="00343CB5">
            <w:pPr>
              <w:pStyle w:val="TableParagraph"/>
              <w:spacing w:before="122"/>
              <w:rPr>
                <w:rFonts w:ascii="Arial" w:hAnsi="Arial" w:cs="Arial"/>
                <w:b/>
                <w:sz w:val="16"/>
              </w:rPr>
            </w:pPr>
            <w:r w:rsidRPr="00796499">
              <w:rPr>
                <w:rFonts w:ascii="Arial" w:hAnsi="Arial" w:cs="Arial"/>
                <w:b/>
                <w:sz w:val="16"/>
              </w:rPr>
              <w:t>Ingolstadt</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vAlign w:val="center"/>
          </w:tcPr>
          <w:p w:rsidR="00311670" w:rsidRPr="00796499" w:rsidRDefault="00311670" w:rsidP="00796499">
            <w:pPr>
              <w:pStyle w:val="TableParagraph"/>
              <w:spacing w:before="124" w:line="250" w:lineRule="exact"/>
              <w:rPr>
                <w:rFonts w:ascii="Arial" w:hAnsi="Arial" w:cs="Arial"/>
                <w:sz w:val="16"/>
              </w:rPr>
            </w:pPr>
            <w:r w:rsidRPr="00796499">
              <w:rPr>
                <w:rFonts w:ascii="Arial" w:hAnsi="Arial" w:cs="Arial"/>
                <w:sz w:val="16"/>
              </w:rPr>
              <w:t>Stadt Ingolstadt</w:t>
            </w:r>
            <w:r w:rsidR="00796499">
              <w:rPr>
                <w:rFonts w:ascii="Arial" w:hAnsi="Arial" w:cs="Arial"/>
                <w:sz w:val="16"/>
              </w:rPr>
              <w:br/>
            </w:r>
            <w:r w:rsidRPr="00796499">
              <w:rPr>
                <w:rFonts w:ascii="Arial" w:hAnsi="Arial" w:cs="Arial"/>
                <w:sz w:val="16"/>
              </w:rPr>
              <w:t xml:space="preserve">Lkr. Eichstätt </w:t>
            </w:r>
            <w:r w:rsidR="00796499">
              <w:rPr>
                <w:rFonts w:ascii="Arial" w:hAnsi="Arial" w:cs="Arial"/>
                <w:sz w:val="16"/>
              </w:rPr>
              <w:br/>
            </w:r>
            <w:r w:rsidRPr="00796499">
              <w:rPr>
                <w:rFonts w:ascii="Arial" w:hAnsi="Arial" w:cs="Arial"/>
                <w:sz w:val="16"/>
              </w:rPr>
              <w:t>Lkr. Pfaffenhofen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14</w:t>
            </w:r>
          </w:p>
        </w:tc>
        <w:tc>
          <w:tcPr>
            <w:tcW w:w="1134" w:type="dxa"/>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mind. 14</w:t>
            </w:r>
          </w:p>
        </w:tc>
      </w:tr>
      <w:tr w:rsidR="00311670" w:rsidTr="00343CB5">
        <w:trPr>
          <w:trHeight w:val="506"/>
        </w:trPr>
        <w:tc>
          <w:tcPr>
            <w:tcW w:w="1420" w:type="dxa"/>
            <w:vAlign w:val="center"/>
          </w:tcPr>
          <w:p w:rsidR="00311670" w:rsidRPr="00796499" w:rsidRDefault="00311670" w:rsidP="00343CB5">
            <w:pPr>
              <w:pStyle w:val="TableParagraph"/>
              <w:spacing w:before="122"/>
              <w:rPr>
                <w:rFonts w:ascii="Arial" w:hAnsi="Arial" w:cs="Arial"/>
                <w:b/>
                <w:sz w:val="16"/>
              </w:rPr>
            </w:pPr>
            <w:r w:rsidRPr="00796499">
              <w:rPr>
                <w:rFonts w:ascii="Arial" w:hAnsi="Arial" w:cs="Arial"/>
                <w:b/>
                <w:sz w:val="16"/>
              </w:rPr>
              <w:t>München</w:t>
            </w:r>
            <w:r w:rsidR="00796499">
              <w:rPr>
                <w:rFonts w:ascii="Arial" w:hAnsi="Arial" w:cs="Arial"/>
                <w:b/>
                <w:sz w:val="16"/>
              </w:rPr>
              <w:br/>
            </w:r>
            <w:r w:rsidRPr="00796499">
              <w:rPr>
                <w:rFonts w:ascii="Arial" w:hAnsi="Arial" w:cs="Arial"/>
                <w:b/>
                <w:sz w:val="16"/>
              </w:rPr>
              <w:t>(Frauenhilfe)</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vAlign w:val="center"/>
          </w:tcPr>
          <w:p w:rsidR="00311670" w:rsidRPr="00796499" w:rsidRDefault="00311670" w:rsidP="00796499">
            <w:pPr>
              <w:pStyle w:val="TableParagraph"/>
              <w:spacing w:before="124"/>
              <w:ind w:right="385"/>
              <w:rPr>
                <w:rFonts w:ascii="Arial" w:hAnsi="Arial" w:cs="Arial"/>
                <w:sz w:val="16"/>
              </w:rPr>
            </w:pPr>
            <w:r w:rsidRPr="00796499">
              <w:rPr>
                <w:rFonts w:ascii="Arial" w:hAnsi="Arial" w:cs="Arial"/>
                <w:sz w:val="16"/>
              </w:rPr>
              <w:t>Landeshauptstadt München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45</w:t>
            </w:r>
          </w:p>
        </w:tc>
        <w:tc>
          <w:tcPr>
            <w:tcW w:w="1134" w:type="dxa"/>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60</w:t>
            </w:r>
          </w:p>
        </w:tc>
      </w:tr>
      <w:tr w:rsidR="00311670" w:rsidTr="00343CB5">
        <w:trPr>
          <w:trHeight w:val="1010"/>
        </w:trPr>
        <w:tc>
          <w:tcPr>
            <w:tcW w:w="1420" w:type="dxa"/>
            <w:vAlign w:val="center"/>
          </w:tcPr>
          <w:p w:rsidR="00311670" w:rsidRPr="00796499" w:rsidRDefault="00311670" w:rsidP="00343CB5">
            <w:pPr>
              <w:pStyle w:val="TableParagraph"/>
              <w:spacing w:before="122"/>
              <w:rPr>
                <w:rFonts w:ascii="Arial" w:hAnsi="Arial" w:cs="Arial"/>
                <w:b/>
                <w:sz w:val="16"/>
              </w:rPr>
            </w:pPr>
            <w:r w:rsidRPr="00796499">
              <w:rPr>
                <w:rFonts w:ascii="Arial" w:hAnsi="Arial" w:cs="Arial"/>
                <w:b/>
                <w:sz w:val="16"/>
              </w:rPr>
              <w:t>München</w:t>
            </w:r>
            <w:r w:rsidR="00796499">
              <w:rPr>
                <w:rFonts w:ascii="Arial" w:hAnsi="Arial" w:cs="Arial"/>
                <w:b/>
                <w:sz w:val="16"/>
              </w:rPr>
              <w:t xml:space="preserve"> (Frauen</w:t>
            </w:r>
            <w:r w:rsidR="00C1150E">
              <w:rPr>
                <w:rFonts w:ascii="Arial" w:hAnsi="Arial" w:cs="Arial"/>
                <w:b/>
                <w:sz w:val="16"/>
              </w:rPr>
              <w:br/>
            </w:r>
            <w:r w:rsidR="00796499">
              <w:rPr>
                <w:rFonts w:ascii="Arial" w:hAnsi="Arial" w:cs="Arial"/>
                <w:b/>
                <w:sz w:val="16"/>
              </w:rPr>
              <w:t>hel</w:t>
            </w:r>
            <w:r w:rsidRPr="00796499">
              <w:rPr>
                <w:rFonts w:ascii="Arial" w:hAnsi="Arial" w:cs="Arial"/>
                <w:b/>
                <w:sz w:val="16"/>
              </w:rPr>
              <w:t>fen Frauen</w:t>
            </w:r>
            <w:r w:rsidR="00C1150E">
              <w:rPr>
                <w:rFonts w:ascii="Arial" w:hAnsi="Arial" w:cs="Arial"/>
                <w:b/>
                <w:sz w:val="16"/>
              </w:rPr>
              <w:br/>
            </w:r>
            <w:r w:rsidRPr="00796499">
              <w:rPr>
                <w:rFonts w:ascii="Arial" w:hAnsi="Arial" w:cs="Arial"/>
                <w:b/>
                <w:sz w:val="16"/>
              </w:rPr>
              <w:t>e.</w:t>
            </w:r>
            <w:r w:rsidR="00796499">
              <w:rPr>
                <w:rFonts w:ascii="Arial" w:hAnsi="Arial" w:cs="Arial"/>
                <w:b/>
                <w:sz w:val="16"/>
              </w:rPr>
              <w:t> </w:t>
            </w:r>
            <w:r w:rsidRPr="00796499">
              <w:rPr>
                <w:rFonts w:ascii="Arial" w:hAnsi="Arial" w:cs="Arial"/>
                <w:b/>
                <w:sz w:val="16"/>
              </w:rPr>
              <w:t>V.)</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vAlign w:val="center"/>
          </w:tcPr>
          <w:p w:rsidR="00311670" w:rsidRPr="00796499" w:rsidRDefault="00796499" w:rsidP="00796499">
            <w:pPr>
              <w:pStyle w:val="TableParagraph"/>
              <w:spacing w:before="124"/>
              <w:rPr>
                <w:rFonts w:ascii="Arial" w:hAnsi="Arial" w:cs="Arial"/>
                <w:sz w:val="16"/>
              </w:rPr>
            </w:pPr>
            <w:r>
              <w:rPr>
                <w:rFonts w:ascii="Arial" w:hAnsi="Arial" w:cs="Arial"/>
                <w:sz w:val="16"/>
              </w:rPr>
              <w:t>Landeshauptstadt Mün</w:t>
            </w:r>
            <w:r w:rsidR="00311670" w:rsidRPr="00796499">
              <w:rPr>
                <w:rFonts w:ascii="Arial" w:hAnsi="Arial" w:cs="Arial"/>
                <w:sz w:val="16"/>
              </w:rPr>
              <w:t>chen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19</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25</w:t>
            </w:r>
          </w:p>
        </w:tc>
      </w:tr>
      <w:tr w:rsidR="00311670" w:rsidTr="00343CB5">
        <w:trPr>
          <w:trHeight w:val="506"/>
        </w:trPr>
        <w:tc>
          <w:tcPr>
            <w:tcW w:w="1420" w:type="dxa"/>
            <w:vAlign w:val="center"/>
          </w:tcPr>
          <w:p w:rsidR="00311670" w:rsidRPr="00796499" w:rsidRDefault="00311670" w:rsidP="00343CB5">
            <w:pPr>
              <w:pStyle w:val="TableParagraph"/>
              <w:spacing w:before="122"/>
              <w:rPr>
                <w:rFonts w:ascii="Arial" w:hAnsi="Arial" w:cs="Arial"/>
                <w:b/>
                <w:sz w:val="16"/>
              </w:rPr>
            </w:pPr>
            <w:r w:rsidRPr="00796499">
              <w:rPr>
                <w:rFonts w:ascii="Arial" w:hAnsi="Arial" w:cs="Arial"/>
                <w:b/>
                <w:sz w:val="16"/>
              </w:rPr>
              <w:t xml:space="preserve">München </w:t>
            </w:r>
            <w:r w:rsidR="00796499">
              <w:rPr>
                <w:rFonts w:ascii="Arial" w:hAnsi="Arial" w:cs="Arial"/>
                <w:b/>
                <w:sz w:val="16"/>
              </w:rPr>
              <w:br/>
            </w:r>
            <w:r w:rsidRPr="00796499">
              <w:rPr>
                <w:rFonts w:ascii="Arial" w:hAnsi="Arial" w:cs="Arial"/>
                <w:b/>
                <w:sz w:val="16"/>
              </w:rPr>
              <w:t>Landkreis</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vAlign w:val="center"/>
          </w:tcPr>
          <w:p w:rsidR="00311670" w:rsidRPr="00796499" w:rsidRDefault="00311670" w:rsidP="00796499">
            <w:pPr>
              <w:pStyle w:val="TableParagraph"/>
              <w:spacing w:before="124"/>
              <w:rPr>
                <w:rFonts w:ascii="Arial" w:hAnsi="Arial" w:cs="Arial"/>
                <w:sz w:val="16"/>
              </w:rPr>
            </w:pPr>
            <w:r w:rsidRPr="00796499">
              <w:rPr>
                <w:rFonts w:ascii="Arial" w:hAnsi="Arial" w:cs="Arial"/>
                <w:sz w:val="16"/>
              </w:rPr>
              <w:t>Lkr. München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10</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17</w:t>
            </w:r>
          </w:p>
        </w:tc>
      </w:tr>
      <w:tr w:rsidR="00311670" w:rsidTr="00343CB5">
        <w:trPr>
          <w:trHeight w:val="1012"/>
        </w:trPr>
        <w:tc>
          <w:tcPr>
            <w:tcW w:w="1420" w:type="dxa"/>
            <w:vAlign w:val="center"/>
          </w:tcPr>
          <w:p w:rsidR="00311670" w:rsidRPr="00796499" w:rsidRDefault="00311670" w:rsidP="00343CB5">
            <w:pPr>
              <w:pStyle w:val="TableParagraph"/>
              <w:spacing w:line="232" w:lineRule="exact"/>
              <w:rPr>
                <w:rFonts w:ascii="Arial" w:hAnsi="Arial" w:cs="Arial"/>
                <w:b/>
                <w:sz w:val="16"/>
              </w:rPr>
            </w:pPr>
            <w:r w:rsidRPr="00796499">
              <w:rPr>
                <w:rFonts w:ascii="Arial" w:hAnsi="Arial" w:cs="Arial"/>
                <w:b/>
                <w:sz w:val="16"/>
              </w:rPr>
              <w:t>Murnau</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tcPr>
          <w:p w:rsidR="00311670" w:rsidRPr="00796499" w:rsidRDefault="00C1150E" w:rsidP="00C1150E">
            <w:pPr>
              <w:pStyle w:val="TableParagraph"/>
              <w:spacing w:before="124"/>
              <w:ind w:right="301"/>
              <w:rPr>
                <w:rFonts w:ascii="Arial" w:hAnsi="Arial" w:cs="Arial"/>
                <w:sz w:val="16"/>
              </w:rPr>
            </w:pPr>
            <w:r>
              <w:rPr>
                <w:rFonts w:ascii="Arial" w:hAnsi="Arial" w:cs="Arial"/>
                <w:sz w:val="16"/>
              </w:rPr>
              <w:t>Lkr. Garmisch-Partenkir</w:t>
            </w:r>
            <w:r w:rsidR="00311670" w:rsidRPr="00796499">
              <w:rPr>
                <w:rFonts w:ascii="Arial" w:hAnsi="Arial" w:cs="Arial"/>
                <w:sz w:val="16"/>
              </w:rPr>
              <w:t>chen</w:t>
            </w:r>
            <w:r>
              <w:rPr>
                <w:rFonts w:ascii="Arial" w:hAnsi="Arial" w:cs="Arial"/>
                <w:sz w:val="16"/>
              </w:rPr>
              <w:br/>
            </w:r>
            <w:r w:rsidR="00311670" w:rsidRPr="00796499">
              <w:rPr>
                <w:rFonts w:ascii="Arial" w:hAnsi="Arial" w:cs="Arial"/>
                <w:sz w:val="16"/>
              </w:rPr>
              <w:t xml:space="preserve">Lkr. Weilheim-Schongau </w:t>
            </w:r>
            <w:r>
              <w:rPr>
                <w:rFonts w:ascii="Arial" w:hAnsi="Arial" w:cs="Arial"/>
                <w:sz w:val="16"/>
              </w:rPr>
              <w:br/>
            </w:r>
            <w:r w:rsidR="00311670" w:rsidRPr="00796499">
              <w:rPr>
                <w:rFonts w:ascii="Arial" w:hAnsi="Arial" w:cs="Arial"/>
                <w:sz w:val="16"/>
              </w:rPr>
              <w:t>Lkr. Starnberg</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5</w:t>
            </w:r>
          </w:p>
        </w:tc>
      </w:tr>
      <w:tr w:rsidR="00311670" w:rsidTr="00343CB5">
        <w:trPr>
          <w:trHeight w:val="757"/>
        </w:trPr>
        <w:tc>
          <w:tcPr>
            <w:tcW w:w="1420" w:type="dxa"/>
            <w:vAlign w:val="center"/>
          </w:tcPr>
          <w:p w:rsidR="00311670" w:rsidRPr="00796499" w:rsidRDefault="00311670" w:rsidP="00343CB5">
            <w:pPr>
              <w:pStyle w:val="TableParagraph"/>
              <w:spacing w:line="232" w:lineRule="exact"/>
              <w:rPr>
                <w:rFonts w:ascii="Arial" w:hAnsi="Arial" w:cs="Arial"/>
                <w:b/>
                <w:sz w:val="16"/>
              </w:rPr>
            </w:pPr>
            <w:r w:rsidRPr="00796499">
              <w:rPr>
                <w:rFonts w:ascii="Arial" w:hAnsi="Arial" w:cs="Arial"/>
                <w:b/>
                <w:sz w:val="16"/>
              </w:rPr>
              <w:lastRenderedPageBreak/>
              <w:t>Rosenheim</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Oberbayern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Rosenheim</w:t>
            </w:r>
            <w:r w:rsidR="00C1150E">
              <w:rPr>
                <w:rFonts w:ascii="Arial" w:hAnsi="Arial" w:cs="Arial"/>
                <w:sz w:val="16"/>
              </w:rPr>
              <w:br/>
            </w:r>
            <w:r w:rsidRPr="00796499">
              <w:rPr>
                <w:rFonts w:ascii="Arial" w:hAnsi="Arial" w:cs="Arial"/>
                <w:sz w:val="16"/>
              </w:rPr>
              <w:t xml:space="preserve">Lkr. Rosenheim </w:t>
            </w:r>
            <w:r w:rsidR="00C1150E">
              <w:rPr>
                <w:rFonts w:ascii="Arial" w:hAnsi="Arial" w:cs="Arial"/>
                <w:sz w:val="16"/>
              </w:rPr>
              <w:br/>
            </w:r>
            <w:r w:rsidRPr="00796499">
              <w:rPr>
                <w:rFonts w:ascii="Arial" w:hAnsi="Arial" w:cs="Arial"/>
                <w:sz w:val="16"/>
              </w:rPr>
              <w:t>Lkr. Traunstein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8</w:t>
            </w:r>
          </w:p>
        </w:tc>
        <w:tc>
          <w:tcPr>
            <w:tcW w:w="1134" w:type="dxa"/>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16</w:t>
            </w:r>
          </w:p>
        </w:tc>
      </w:tr>
      <w:tr w:rsidR="00311670" w:rsidTr="00343CB5">
        <w:trPr>
          <w:trHeight w:val="758"/>
        </w:trPr>
        <w:tc>
          <w:tcPr>
            <w:tcW w:w="1420" w:type="dxa"/>
            <w:vAlign w:val="center"/>
          </w:tcPr>
          <w:p w:rsidR="00311670" w:rsidRPr="00796499" w:rsidRDefault="00796499" w:rsidP="00343CB5">
            <w:pPr>
              <w:pStyle w:val="TableParagraph"/>
              <w:spacing w:line="232" w:lineRule="exact"/>
              <w:rPr>
                <w:rFonts w:ascii="Arial" w:hAnsi="Arial" w:cs="Arial"/>
                <w:b/>
                <w:sz w:val="16"/>
              </w:rPr>
            </w:pPr>
            <w:r>
              <w:rPr>
                <w:rFonts w:ascii="Arial" w:hAnsi="Arial" w:cs="Arial"/>
                <w:b/>
                <w:sz w:val="16"/>
              </w:rPr>
              <w:t>Wolfratshau</w:t>
            </w:r>
            <w:r w:rsidR="00311670" w:rsidRPr="00796499">
              <w:rPr>
                <w:rFonts w:ascii="Arial" w:hAnsi="Arial" w:cs="Arial"/>
                <w:b/>
                <w:sz w:val="16"/>
              </w:rPr>
              <w:t>sen</w:t>
            </w:r>
          </w:p>
        </w:tc>
        <w:tc>
          <w:tcPr>
            <w:tcW w:w="1557" w:type="dxa"/>
            <w:vAlign w:val="center"/>
          </w:tcPr>
          <w:p w:rsidR="00311670" w:rsidRPr="00C1150E" w:rsidRDefault="00311670" w:rsidP="00343CB5">
            <w:pPr>
              <w:pStyle w:val="TableParagraph"/>
              <w:spacing w:before="124"/>
              <w:rPr>
                <w:rFonts w:ascii="Arial" w:hAnsi="Arial" w:cs="Arial"/>
                <w:sz w:val="16"/>
              </w:rPr>
            </w:pPr>
            <w:r w:rsidRPr="00C1150E">
              <w:rPr>
                <w:rFonts w:ascii="Arial" w:hAnsi="Arial" w:cs="Arial"/>
                <w:sz w:val="16"/>
              </w:rPr>
              <w:t>Oberbayern</w:t>
            </w:r>
          </w:p>
        </w:tc>
        <w:tc>
          <w:tcPr>
            <w:tcW w:w="2551" w:type="dxa"/>
          </w:tcPr>
          <w:p w:rsidR="00311670" w:rsidRPr="00796499" w:rsidRDefault="00C1150E" w:rsidP="00C1150E">
            <w:pPr>
              <w:pStyle w:val="TableParagraph"/>
              <w:spacing w:before="124"/>
              <w:rPr>
                <w:rFonts w:ascii="Arial" w:hAnsi="Arial" w:cs="Arial"/>
                <w:sz w:val="16"/>
              </w:rPr>
            </w:pPr>
            <w:r>
              <w:rPr>
                <w:rFonts w:ascii="Arial" w:hAnsi="Arial" w:cs="Arial"/>
                <w:sz w:val="16"/>
              </w:rPr>
              <w:t>Lkr. Bad Tölz-Wolfratshau</w:t>
            </w:r>
            <w:r w:rsidR="00311670" w:rsidRPr="00796499">
              <w:rPr>
                <w:rFonts w:ascii="Arial" w:hAnsi="Arial" w:cs="Arial"/>
                <w:sz w:val="16"/>
              </w:rPr>
              <w:t>sen</w:t>
            </w:r>
            <w:r>
              <w:rPr>
                <w:rFonts w:ascii="Arial" w:hAnsi="Arial" w:cs="Arial"/>
                <w:sz w:val="16"/>
              </w:rPr>
              <w:br/>
            </w:r>
            <w:r w:rsidR="00311670" w:rsidRPr="00796499">
              <w:rPr>
                <w:rFonts w:ascii="Arial" w:hAnsi="Arial" w:cs="Arial"/>
                <w:sz w:val="16"/>
              </w:rPr>
              <w:t>Lkr. Miesbach</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r>
      <w:tr w:rsidR="00311670" w:rsidTr="00343CB5">
        <w:trPr>
          <w:trHeight w:val="1012"/>
        </w:trPr>
        <w:tc>
          <w:tcPr>
            <w:tcW w:w="1420" w:type="dxa"/>
            <w:vAlign w:val="center"/>
          </w:tcPr>
          <w:p w:rsidR="00311670" w:rsidRPr="00796499" w:rsidRDefault="00311670" w:rsidP="00343CB5">
            <w:pPr>
              <w:pStyle w:val="TableParagraph"/>
              <w:spacing w:line="232" w:lineRule="exact"/>
              <w:ind w:right="462"/>
              <w:rPr>
                <w:rFonts w:ascii="Arial" w:hAnsi="Arial" w:cs="Arial"/>
                <w:b/>
                <w:sz w:val="16"/>
              </w:rPr>
            </w:pPr>
            <w:r w:rsidRPr="00796499">
              <w:rPr>
                <w:rFonts w:ascii="Arial" w:hAnsi="Arial" w:cs="Arial"/>
                <w:b/>
                <w:sz w:val="16"/>
              </w:rPr>
              <w:t>Landshut (AWO)</w:t>
            </w:r>
          </w:p>
        </w:tc>
        <w:tc>
          <w:tcPr>
            <w:tcW w:w="1557" w:type="dxa"/>
            <w:vAlign w:val="center"/>
          </w:tcPr>
          <w:p w:rsidR="00311670" w:rsidRPr="00796499" w:rsidRDefault="00796499" w:rsidP="00343CB5">
            <w:pPr>
              <w:pStyle w:val="TableParagraph"/>
              <w:spacing w:before="124"/>
              <w:ind w:right="317"/>
              <w:rPr>
                <w:rFonts w:ascii="Arial" w:hAnsi="Arial" w:cs="Arial"/>
                <w:sz w:val="16"/>
              </w:rPr>
            </w:pPr>
            <w:r>
              <w:rPr>
                <w:rFonts w:ascii="Arial" w:hAnsi="Arial" w:cs="Arial"/>
                <w:sz w:val="16"/>
              </w:rPr>
              <w:t>Niederbay</w:t>
            </w:r>
            <w:r w:rsidR="00311670" w:rsidRPr="00796499">
              <w:rPr>
                <w:rFonts w:ascii="Arial" w:hAnsi="Arial" w:cs="Arial"/>
                <w:sz w:val="16"/>
              </w:rPr>
              <w:t>ern</w:t>
            </w:r>
          </w:p>
        </w:tc>
        <w:tc>
          <w:tcPr>
            <w:tcW w:w="2551" w:type="dxa"/>
          </w:tcPr>
          <w:p w:rsidR="00311670" w:rsidRPr="00796499" w:rsidRDefault="00311670" w:rsidP="00C1150E">
            <w:pPr>
              <w:pStyle w:val="TableParagraph"/>
              <w:spacing w:before="124"/>
              <w:ind w:right="1216"/>
              <w:rPr>
                <w:rFonts w:ascii="Arial" w:hAnsi="Arial" w:cs="Arial"/>
                <w:sz w:val="16"/>
              </w:rPr>
            </w:pPr>
            <w:r w:rsidRPr="00796499">
              <w:rPr>
                <w:rFonts w:ascii="Arial" w:hAnsi="Arial" w:cs="Arial"/>
                <w:sz w:val="16"/>
              </w:rPr>
              <w:t>Stadt Landshut Lkr. Landshut</w:t>
            </w:r>
            <w:r w:rsidR="00C1150E">
              <w:rPr>
                <w:rFonts w:ascii="Arial" w:hAnsi="Arial" w:cs="Arial"/>
                <w:sz w:val="16"/>
              </w:rPr>
              <w:br/>
            </w:r>
            <w:r w:rsidRPr="00796499">
              <w:rPr>
                <w:rFonts w:ascii="Arial" w:hAnsi="Arial" w:cs="Arial"/>
                <w:sz w:val="16"/>
              </w:rPr>
              <w:t>Lkr. Dingolfing Lkr. Rottal-Inn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r>
      <w:tr w:rsidR="00311670" w:rsidTr="00343CB5">
        <w:trPr>
          <w:trHeight w:val="1009"/>
        </w:trPr>
        <w:tc>
          <w:tcPr>
            <w:tcW w:w="1420" w:type="dxa"/>
            <w:vAlign w:val="center"/>
          </w:tcPr>
          <w:p w:rsidR="00311670" w:rsidRPr="00796499" w:rsidRDefault="00311670" w:rsidP="00343CB5">
            <w:pPr>
              <w:pStyle w:val="TableParagraph"/>
              <w:spacing w:line="232" w:lineRule="exact"/>
              <w:ind w:right="462"/>
              <w:rPr>
                <w:rFonts w:ascii="Arial" w:hAnsi="Arial" w:cs="Arial"/>
                <w:b/>
                <w:sz w:val="16"/>
              </w:rPr>
            </w:pPr>
            <w:r w:rsidRPr="00796499">
              <w:rPr>
                <w:rFonts w:ascii="Arial" w:hAnsi="Arial" w:cs="Arial"/>
                <w:b/>
                <w:sz w:val="16"/>
              </w:rPr>
              <w:t>Landshut (SkF)</w:t>
            </w:r>
          </w:p>
        </w:tc>
        <w:tc>
          <w:tcPr>
            <w:tcW w:w="1557" w:type="dxa"/>
            <w:vAlign w:val="center"/>
          </w:tcPr>
          <w:p w:rsidR="00311670" w:rsidRPr="00796499" w:rsidRDefault="00796499" w:rsidP="00343CB5">
            <w:pPr>
              <w:pStyle w:val="TableParagraph"/>
              <w:spacing w:before="124"/>
              <w:ind w:right="317"/>
              <w:rPr>
                <w:rFonts w:ascii="Arial" w:hAnsi="Arial" w:cs="Arial"/>
                <w:sz w:val="16"/>
              </w:rPr>
            </w:pPr>
            <w:r>
              <w:rPr>
                <w:rFonts w:ascii="Arial" w:hAnsi="Arial" w:cs="Arial"/>
                <w:sz w:val="16"/>
              </w:rPr>
              <w:t>Niederbay</w:t>
            </w:r>
            <w:r w:rsidR="00311670" w:rsidRPr="00796499">
              <w:rPr>
                <w:rFonts w:ascii="Arial" w:hAnsi="Arial" w:cs="Arial"/>
                <w:sz w:val="16"/>
              </w:rPr>
              <w:t>ern</w:t>
            </w:r>
          </w:p>
        </w:tc>
        <w:tc>
          <w:tcPr>
            <w:tcW w:w="2551" w:type="dxa"/>
          </w:tcPr>
          <w:p w:rsidR="00311670" w:rsidRPr="00796499" w:rsidRDefault="00311670" w:rsidP="00C1150E">
            <w:pPr>
              <w:pStyle w:val="TableParagraph"/>
              <w:spacing w:before="124"/>
              <w:ind w:right="1156"/>
              <w:rPr>
                <w:rFonts w:ascii="Arial" w:hAnsi="Arial" w:cs="Arial"/>
                <w:sz w:val="16"/>
              </w:rPr>
            </w:pPr>
            <w:r w:rsidRPr="00796499">
              <w:rPr>
                <w:rFonts w:ascii="Arial" w:hAnsi="Arial" w:cs="Arial"/>
                <w:sz w:val="16"/>
              </w:rPr>
              <w:t xml:space="preserve">Stadt Landshut Lkr. Landshut </w:t>
            </w:r>
            <w:r w:rsidR="00C1150E">
              <w:rPr>
                <w:rFonts w:ascii="Arial" w:hAnsi="Arial" w:cs="Arial"/>
                <w:sz w:val="16"/>
              </w:rPr>
              <w:br/>
            </w:r>
            <w:r w:rsidRPr="00796499">
              <w:rPr>
                <w:rFonts w:ascii="Arial" w:hAnsi="Arial" w:cs="Arial"/>
                <w:sz w:val="16"/>
              </w:rPr>
              <w:t>Lkr. Dingolfing</w:t>
            </w:r>
            <w:r w:rsidR="00C1150E">
              <w:rPr>
                <w:rFonts w:ascii="Arial" w:hAnsi="Arial" w:cs="Arial"/>
                <w:sz w:val="16"/>
              </w:rPr>
              <w:br/>
            </w:r>
            <w:r w:rsidRPr="00796499">
              <w:rPr>
                <w:rFonts w:ascii="Arial" w:hAnsi="Arial" w:cs="Arial"/>
                <w:sz w:val="16"/>
              </w:rPr>
              <w:t>Lkr. Rottal-Inn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r>
      <w:tr w:rsidR="00311670" w:rsidTr="00343CB5">
        <w:trPr>
          <w:trHeight w:val="758"/>
        </w:trPr>
        <w:tc>
          <w:tcPr>
            <w:tcW w:w="1420" w:type="dxa"/>
            <w:vAlign w:val="center"/>
          </w:tcPr>
          <w:p w:rsidR="00311670" w:rsidRPr="00796499" w:rsidRDefault="00311670" w:rsidP="00343CB5">
            <w:pPr>
              <w:pStyle w:val="TableParagraph"/>
              <w:spacing w:line="232" w:lineRule="exact"/>
              <w:rPr>
                <w:rFonts w:ascii="Arial" w:hAnsi="Arial" w:cs="Arial"/>
                <w:b/>
                <w:sz w:val="16"/>
              </w:rPr>
            </w:pPr>
            <w:r w:rsidRPr="00796499">
              <w:rPr>
                <w:rFonts w:ascii="Arial" w:hAnsi="Arial" w:cs="Arial"/>
                <w:b/>
                <w:sz w:val="16"/>
              </w:rPr>
              <w:t>Passau</w:t>
            </w:r>
          </w:p>
        </w:tc>
        <w:tc>
          <w:tcPr>
            <w:tcW w:w="1557" w:type="dxa"/>
            <w:vAlign w:val="center"/>
          </w:tcPr>
          <w:p w:rsidR="00311670" w:rsidRPr="00796499" w:rsidRDefault="00796499" w:rsidP="00343CB5">
            <w:pPr>
              <w:pStyle w:val="TableParagraph"/>
              <w:spacing w:before="124"/>
              <w:rPr>
                <w:rFonts w:ascii="Arial" w:hAnsi="Arial" w:cs="Arial"/>
                <w:sz w:val="16"/>
              </w:rPr>
            </w:pPr>
            <w:r>
              <w:rPr>
                <w:rFonts w:ascii="Arial" w:hAnsi="Arial" w:cs="Arial"/>
                <w:sz w:val="16"/>
              </w:rPr>
              <w:t>Niederbay</w:t>
            </w:r>
            <w:r w:rsidR="00311670" w:rsidRPr="00796499">
              <w:rPr>
                <w:rFonts w:ascii="Arial" w:hAnsi="Arial" w:cs="Arial"/>
                <w:sz w:val="16"/>
              </w:rPr>
              <w:t>ern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 xml:space="preserve">Stadt Passau </w:t>
            </w:r>
            <w:r w:rsidR="00C1150E">
              <w:rPr>
                <w:rFonts w:ascii="Arial" w:hAnsi="Arial" w:cs="Arial"/>
                <w:sz w:val="16"/>
              </w:rPr>
              <w:br/>
            </w:r>
            <w:r w:rsidRPr="00796499">
              <w:rPr>
                <w:rFonts w:ascii="Arial" w:hAnsi="Arial" w:cs="Arial"/>
                <w:sz w:val="16"/>
              </w:rPr>
              <w:t>Lkr. Passau</w:t>
            </w:r>
            <w:r w:rsidR="00C1150E">
              <w:rPr>
                <w:rFonts w:ascii="Arial" w:hAnsi="Arial" w:cs="Arial"/>
                <w:sz w:val="16"/>
              </w:rPr>
              <w:br/>
            </w:r>
            <w:r w:rsidRPr="00796499">
              <w:rPr>
                <w:rFonts w:ascii="Arial" w:hAnsi="Arial" w:cs="Arial"/>
                <w:sz w:val="16"/>
              </w:rPr>
              <w:t>Lkr. Freyung-Grafenau</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9</w:t>
            </w:r>
          </w:p>
        </w:tc>
        <w:tc>
          <w:tcPr>
            <w:tcW w:w="1134" w:type="dxa"/>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16</w:t>
            </w:r>
          </w:p>
        </w:tc>
      </w:tr>
      <w:tr w:rsidR="00311670" w:rsidTr="00343CB5">
        <w:trPr>
          <w:trHeight w:val="506"/>
        </w:trPr>
        <w:tc>
          <w:tcPr>
            <w:tcW w:w="1420" w:type="dxa"/>
            <w:vAlign w:val="center"/>
          </w:tcPr>
          <w:p w:rsidR="00311670" w:rsidRPr="00796499" w:rsidRDefault="00311670" w:rsidP="00343CB5">
            <w:pPr>
              <w:pStyle w:val="TableParagraph"/>
              <w:spacing w:line="232" w:lineRule="exact"/>
              <w:rPr>
                <w:rFonts w:ascii="Arial" w:hAnsi="Arial" w:cs="Arial"/>
                <w:b/>
                <w:sz w:val="16"/>
              </w:rPr>
            </w:pPr>
            <w:r w:rsidRPr="00796499">
              <w:rPr>
                <w:rFonts w:ascii="Arial" w:hAnsi="Arial" w:cs="Arial"/>
                <w:b/>
                <w:sz w:val="16"/>
              </w:rPr>
              <w:t>Straubing</w:t>
            </w:r>
          </w:p>
        </w:tc>
        <w:tc>
          <w:tcPr>
            <w:tcW w:w="1557" w:type="dxa"/>
            <w:vAlign w:val="center"/>
          </w:tcPr>
          <w:p w:rsidR="00311670" w:rsidRPr="00796499" w:rsidRDefault="00311670" w:rsidP="00343CB5">
            <w:pPr>
              <w:pStyle w:val="TableParagraph"/>
              <w:spacing w:before="124"/>
              <w:rPr>
                <w:rFonts w:ascii="Arial" w:hAnsi="Arial" w:cs="Arial"/>
                <w:sz w:val="16"/>
              </w:rPr>
            </w:pPr>
            <w:r w:rsidRPr="00796499">
              <w:rPr>
                <w:rFonts w:ascii="Arial" w:hAnsi="Arial" w:cs="Arial"/>
                <w:sz w:val="16"/>
              </w:rPr>
              <w:t>Niederbay- ern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Straubing</w:t>
            </w:r>
            <w:r w:rsidR="00C1150E">
              <w:rPr>
                <w:rFonts w:ascii="Arial" w:hAnsi="Arial" w:cs="Arial"/>
                <w:sz w:val="16"/>
              </w:rPr>
              <w:br/>
            </w:r>
            <w:r w:rsidRPr="00796499">
              <w:rPr>
                <w:rFonts w:ascii="Arial" w:hAnsi="Arial" w:cs="Arial"/>
                <w:sz w:val="16"/>
              </w:rPr>
              <w:t>Lkr. Straubing-Bogen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r>
      <w:tr w:rsidR="00311670" w:rsidTr="00007E6C">
        <w:trPr>
          <w:trHeight w:val="1262"/>
        </w:trPr>
        <w:tc>
          <w:tcPr>
            <w:tcW w:w="1420" w:type="dxa"/>
            <w:vAlign w:val="center"/>
          </w:tcPr>
          <w:p w:rsidR="00311670" w:rsidRPr="00796499" w:rsidRDefault="00311670" w:rsidP="00007E6C">
            <w:pPr>
              <w:pStyle w:val="TableParagraph"/>
              <w:spacing w:line="232" w:lineRule="exact"/>
              <w:ind w:right="168"/>
              <w:rPr>
                <w:rFonts w:ascii="Arial" w:hAnsi="Arial" w:cs="Arial"/>
                <w:b/>
                <w:sz w:val="16"/>
              </w:rPr>
            </w:pPr>
            <w:r w:rsidRPr="00796499">
              <w:rPr>
                <w:rFonts w:ascii="Arial" w:hAnsi="Arial" w:cs="Arial"/>
                <w:b/>
                <w:sz w:val="16"/>
              </w:rPr>
              <w:t>Regensburg (SkF)</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Oberpfalz</w:t>
            </w:r>
          </w:p>
        </w:tc>
        <w:tc>
          <w:tcPr>
            <w:tcW w:w="2551" w:type="dxa"/>
          </w:tcPr>
          <w:p w:rsidR="00311670" w:rsidRPr="00796499" w:rsidRDefault="00311670" w:rsidP="00C1150E">
            <w:pPr>
              <w:pStyle w:val="TableParagraph"/>
              <w:spacing w:before="124"/>
              <w:ind w:right="923"/>
              <w:rPr>
                <w:rFonts w:ascii="Arial" w:hAnsi="Arial" w:cs="Arial"/>
                <w:sz w:val="16"/>
              </w:rPr>
            </w:pPr>
            <w:r w:rsidRPr="00796499">
              <w:rPr>
                <w:rFonts w:ascii="Arial" w:hAnsi="Arial" w:cs="Arial"/>
                <w:sz w:val="16"/>
              </w:rPr>
              <w:t xml:space="preserve">Stadt Regensburg </w:t>
            </w:r>
            <w:r w:rsidR="00C1150E">
              <w:rPr>
                <w:rFonts w:ascii="Arial" w:hAnsi="Arial" w:cs="Arial"/>
                <w:sz w:val="16"/>
              </w:rPr>
              <w:br/>
            </w:r>
            <w:r w:rsidRPr="00796499">
              <w:rPr>
                <w:rFonts w:ascii="Arial" w:hAnsi="Arial" w:cs="Arial"/>
                <w:sz w:val="16"/>
              </w:rPr>
              <w:t xml:space="preserve">Lkr. Regensburg </w:t>
            </w:r>
            <w:r w:rsidR="00C1150E">
              <w:rPr>
                <w:rFonts w:ascii="Arial" w:hAnsi="Arial" w:cs="Arial"/>
                <w:sz w:val="16"/>
              </w:rPr>
              <w:br/>
            </w:r>
            <w:r w:rsidRPr="00796499">
              <w:rPr>
                <w:rFonts w:ascii="Arial" w:hAnsi="Arial" w:cs="Arial"/>
                <w:sz w:val="16"/>
              </w:rPr>
              <w:t>Lkr. Kelheim</w:t>
            </w:r>
            <w:r w:rsidR="00C1150E">
              <w:rPr>
                <w:rFonts w:ascii="Arial" w:hAnsi="Arial" w:cs="Arial"/>
                <w:sz w:val="16"/>
              </w:rPr>
              <w:br/>
            </w:r>
            <w:r w:rsidRPr="00796499">
              <w:rPr>
                <w:rFonts w:ascii="Arial" w:hAnsi="Arial" w:cs="Arial"/>
                <w:sz w:val="16"/>
              </w:rPr>
              <w:t xml:space="preserve">Lkr. Cham </w:t>
            </w:r>
            <w:r w:rsidR="00C1150E">
              <w:rPr>
                <w:rFonts w:ascii="Arial" w:hAnsi="Arial" w:cs="Arial"/>
                <w:sz w:val="16"/>
              </w:rPr>
              <w:br/>
            </w:r>
            <w:r w:rsidRPr="00796499">
              <w:rPr>
                <w:rFonts w:ascii="Arial" w:hAnsi="Arial" w:cs="Arial"/>
                <w:sz w:val="16"/>
              </w:rPr>
              <w:t xml:space="preserve">Lkr. </w:t>
            </w:r>
            <w:r w:rsidR="00796499">
              <w:rPr>
                <w:rFonts w:ascii="Arial" w:hAnsi="Arial" w:cs="Arial"/>
                <w:sz w:val="16"/>
              </w:rPr>
              <w:t>N</w:t>
            </w:r>
            <w:r w:rsidRPr="00796499">
              <w:rPr>
                <w:rFonts w:ascii="Arial" w:hAnsi="Arial" w:cs="Arial"/>
                <w:sz w:val="16"/>
              </w:rPr>
              <w:t>eumarkt</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8</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8</w:t>
            </w:r>
          </w:p>
        </w:tc>
      </w:tr>
      <w:tr w:rsidR="00311670" w:rsidTr="00007E6C">
        <w:trPr>
          <w:trHeight w:val="1259"/>
        </w:trPr>
        <w:tc>
          <w:tcPr>
            <w:tcW w:w="1420" w:type="dxa"/>
            <w:vAlign w:val="center"/>
          </w:tcPr>
          <w:p w:rsidR="00311670" w:rsidRPr="00796499" w:rsidRDefault="00796499" w:rsidP="00007E6C">
            <w:pPr>
              <w:pStyle w:val="TableParagraph"/>
              <w:spacing w:line="232" w:lineRule="exact"/>
              <w:rPr>
                <w:rFonts w:ascii="Arial" w:hAnsi="Arial" w:cs="Arial"/>
                <w:b/>
                <w:sz w:val="16"/>
              </w:rPr>
            </w:pPr>
            <w:r>
              <w:rPr>
                <w:rFonts w:ascii="Arial" w:hAnsi="Arial" w:cs="Arial"/>
                <w:b/>
                <w:sz w:val="16"/>
              </w:rPr>
              <w:t>Regensburg (Frauen hel</w:t>
            </w:r>
            <w:r w:rsidR="00311670" w:rsidRPr="00796499">
              <w:rPr>
                <w:rFonts w:ascii="Arial" w:hAnsi="Arial" w:cs="Arial"/>
                <w:b/>
                <w:sz w:val="16"/>
              </w:rPr>
              <w:t>fen Frauen e.</w:t>
            </w:r>
            <w:r w:rsidR="00C1150E">
              <w:rPr>
                <w:rFonts w:ascii="Arial" w:hAnsi="Arial" w:cs="Arial"/>
                <w:b/>
                <w:sz w:val="16"/>
              </w:rPr>
              <w:t> </w:t>
            </w:r>
            <w:r w:rsidR="00311670" w:rsidRPr="00796499">
              <w:rPr>
                <w:rFonts w:ascii="Arial" w:hAnsi="Arial" w:cs="Arial"/>
                <w:b/>
                <w:sz w:val="16"/>
              </w:rPr>
              <w:t>V.)</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Oberpfalz</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 xml:space="preserve">Stadt Regensburg </w:t>
            </w:r>
            <w:r w:rsidR="00C1150E">
              <w:rPr>
                <w:rFonts w:ascii="Arial" w:hAnsi="Arial" w:cs="Arial"/>
                <w:sz w:val="16"/>
              </w:rPr>
              <w:br/>
            </w:r>
            <w:r w:rsidRPr="00796499">
              <w:rPr>
                <w:rFonts w:ascii="Arial" w:hAnsi="Arial" w:cs="Arial"/>
                <w:sz w:val="16"/>
              </w:rPr>
              <w:t xml:space="preserve">Lkr. Regensburg </w:t>
            </w:r>
            <w:r w:rsidR="00C1150E">
              <w:rPr>
                <w:rFonts w:ascii="Arial" w:hAnsi="Arial" w:cs="Arial"/>
                <w:sz w:val="16"/>
              </w:rPr>
              <w:br/>
            </w:r>
            <w:r w:rsidRPr="00796499">
              <w:rPr>
                <w:rFonts w:ascii="Arial" w:hAnsi="Arial" w:cs="Arial"/>
                <w:sz w:val="16"/>
              </w:rPr>
              <w:t>Lkr. Kelheim</w:t>
            </w:r>
            <w:r w:rsidR="00C1150E">
              <w:rPr>
                <w:rFonts w:ascii="Arial" w:hAnsi="Arial" w:cs="Arial"/>
                <w:sz w:val="16"/>
              </w:rPr>
              <w:br/>
            </w:r>
            <w:r w:rsidRPr="00796499">
              <w:rPr>
                <w:rFonts w:ascii="Arial" w:hAnsi="Arial" w:cs="Arial"/>
                <w:sz w:val="16"/>
              </w:rPr>
              <w:t>Lkr. Cham Lkr. Neumarkt</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r>
      <w:tr w:rsidR="00311670" w:rsidTr="00007E6C">
        <w:trPr>
          <w:trHeight w:val="757"/>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Schwandorf</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Oberpfalz</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Amberg</w:t>
            </w:r>
            <w:r w:rsidR="00C1150E">
              <w:rPr>
                <w:rFonts w:ascii="Arial" w:hAnsi="Arial" w:cs="Arial"/>
                <w:sz w:val="16"/>
              </w:rPr>
              <w:br/>
            </w:r>
            <w:r w:rsidRPr="00796499">
              <w:rPr>
                <w:rFonts w:ascii="Arial" w:hAnsi="Arial" w:cs="Arial"/>
                <w:sz w:val="16"/>
              </w:rPr>
              <w:t xml:space="preserve">Lkr. Amberg-Sulzbach </w:t>
            </w:r>
            <w:r w:rsidR="00C1150E">
              <w:rPr>
                <w:rFonts w:ascii="Arial" w:hAnsi="Arial" w:cs="Arial"/>
                <w:sz w:val="16"/>
              </w:rPr>
              <w:br/>
            </w:r>
            <w:r w:rsidRPr="00796499">
              <w:rPr>
                <w:rFonts w:ascii="Arial" w:hAnsi="Arial" w:cs="Arial"/>
                <w:sz w:val="16"/>
              </w:rPr>
              <w:t>Lkr. Schwandorf</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6</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6</w:t>
            </w:r>
          </w:p>
        </w:tc>
      </w:tr>
      <w:tr w:rsidR="00311670" w:rsidTr="00007E6C">
        <w:trPr>
          <w:trHeight w:val="1012"/>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Weiden</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Oberpfalz</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Weiden</w:t>
            </w:r>
            <w:r w:rsidR="00C1150E">
              <w:rPr>
                <w:rFonts w:ascii="Arial" w:hAnsi="Arial" w:cs="Arial"/>
                <w:sz w:val="16"/>
              </w:rPr>
              <w:br/>
              <w:t>Lkr. Neustadt a. d. Wald</w:t>
            </w:r>
            <w:r w:rsidRPr="00796499">
              <w:rPr>
                <w:rFonts w:ascii="Arial" w:hAnsi="Arial" w:cs="Arial"/>
                <w:sz w:val="16"/>
              </w:rPr>
              <w:t>naab</w:t>
            </w:r>
            <w:r w:rsidR="00C1150E">
              <w:rPr>
                <w:rFonts w:ascii="Arial" w:hAnsi="Arial" w:cs="Arial"/>
                <w:sz w:val="16"/>
              </w:rPr>
              <w:br/>
            </w:r>
            <w:r w:rsidRPr="00796499">
              <w:rPr>
                <w:rFonts w:ascii="Arial" w:hAnsi="Arial" w:cs="Arial"/>
                <w:sz w:val="16"/>
              </w:rPr>
              <w:t>Lkr. Tischenreuth</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r>
      <w:tr w:rsidR="00311670" w:rsidTr="00007E6C">
        <w:trPr>
          <w:trHeight w:val="251"/>
        </w:trPr>
        <w:tc>
          <w:tcPr>
            <w:tcW w:w="1420" w:type="dxa"/>
            <w:tcBorders>
              <w:bottom w:val="nil"/>
            </w:tcBorders>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Bamberg</w:t>
            </w:r>
          </w:p>
        </w:tc>
        <w:tc>
          <w:tcPr>
            <w:tcW w:w="1557" w:type="dxa"/>
            <w:tcBorders>
              <w:bottom w:val="nil"/>
            </w:tcBorders>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Oberfranken</w:t>
            </w:r>
          </w:p>
        </w:tc>
        <w:tc>
          <w:tcPr>
            <w:tcW w:w="2551" w:type="dxa"/>
            <w:tcBorders>
              <w:bottom w:val="nil"/>
            </w:tcBorders>
          </w:tcPr>
          <w:p w:rsidR="00311670" w:rsidRPr="00796499" w:rsidRDefault="00311670" w:rsidP="00796499">
            <w:pPr>
              <w:pStyle w:val="TableParagraph"/>
              <w:spacing w:before="124"/>
              <w:rPr>
                <w:rFonts w:ascii="Arial" w:hAnsi="Arial" w:cs="Arial"/>
                <w:sz w:val="16"/>
              </w:rPr>
            </w:pPr>
            <w:r w:rsidRPr="00796499">
              <w:rPr>
                <w:rFonts w:ascii="Arial" w:hAnsi="Arial" w:cs="Arial"/>
                <w:sz w:val="16"/>
              </w:rPr>
              <w:t>Stadt Bamberg</w:t>
            </w:r>
          </w:p>
        </w:tc>
        <w:tc>
          <w:tcPr>
            <w:tcW w:w="1389" w:type="dxa"/>
            <w:tcBorders>
              <w:bottom w:val="nil"/>
            </w:tcBorders>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10</w:t>
            </w:r>
          </w:p>
        </w:tc>
        <w:tc>
          <w:tcPr>
            <w:tcW w:w="1134" w:type="dxa"/>
            <w:tcBorders>
              <w:bottom w:val="nil"/>
            </w:tcBorders>
            <w:vAlign w:val="center"/>
          </w:tcPr>
          <w:p w:rsidR="00311670" w:rsidRPr="00796499" w:rsidRDefault="00311670" w:rsidP="00343CB5">
            <w:pPr>
              <w:pStyle w:val="TableParagraph"/>
              <w:spacing w:before="124"/>
              <w:ind w:left="504" w:right="113"/>
              <w:rPr>
                <w:rFonts w:ascii="Arial" w:hAnsi="Arial" w:cs="Arial"/>
                <w:sz w:val="16"/>
              </w:rPr>
            </w:pPr>
            <w:r w:rsidRPr="00796499">
              <w:rPr>
                <w:rFonts w:ascii="Arial" w:hAnsi="Arial" w:cs="Arial"/>
                <w:sz w:val="16"/>
              </w:rPr>
              <w:t>12</w:t>
            </w:r>
          </w:p>
        </w:tc>
      </w:tr>
      <w:tr w:rsidR="00311670" w:rsidTr="00007E6C">
        <w:trPr>
          <w:trHeight w:val="506"/>
        </w:trPr>
        <w:tc>
          <w:tcPr>
            <w:tcW w:w="1420" w:type="dxa"/>
            <w:tcBorders>
              <w:top w:val="nil"/>
            </w:tcBorders>
            <w:vAlign w:val="center"/>
          </w:tcPr>
          <w:p w:rsidR="00311670" w:rsidRPr="00796499" w:rsidRDefault="00311670" w:rsidP="00007E6C">
            <w:pPr>
              <w:pStyle w:val="TableParagraph"/>
              <w:spacing w:line="232" w:lineRule="exact"/>
              <w:rPr>
                <w:rFonts w:ascii="Arial" w:hAnsi="Arial" w:cs="Arial"/>
                <w:b/>
                <w:sz w:val="16"/>
              </w:rPr>
            </w:pPr>
          </w:p>
        </w:tc>
        <w:tc>
          <w:tcPr>
            <w:tcW w:w="1557" w:type="dxa"/>
            <w:tcBorders>
              <w:top w:val="nil"/>
            </w:tcBorders>
            <w:vAlign w:val="center"/>
          </w:tcPr>
          <w:p w:rsidR="00311670" w:rsidRPr="00796499" w:rsidRDefault="00311670" w:rsidP="00007E6C">
            <w:pPr>
              <w:pStyle w:val="TableParagraph"/>
              <w:spacing w:before="124"/>
              <w:rPr>
                <w:rFonts w:ascii="Arial" w:hAnsi="Arial" w:cs="Arial"/>
                <w:sz w:val="16"/>
              </w:rPr>
            </w:pPr>
          </w:p>
        </w:tc>
        <w:tc>
          <w:tcPr>
            <w:tcW w:w="2551" w:type="dxa"/>
            <w:tcBorders>
              <w:top w:val="nil"/>
            </w:tcBorders>
          </w:tcPr>
          <w:p w:rsidR="00311670" w:rsidRPr="00796499" w:rsidRDefault="00311670" w:rsidP="008C7655">
            <w:pPr>
              <w:pStyle w:val="TableParagraph"/>
              <w:ind w:right="1230"/>
              <w:rPr>
                <w:rFonts w:ascii="Arial" w:hAnsi="Arial" w:cs="Arial"/>
                <w:sz w:val="16"/>
              </w:rPr>
            </w:pPr>
            <w:r w:rsidRPr="00796499">
              <w:rPr>
                <w:rFonts w:ascii="Arial" w:hAnsi="Arial" w:cs="Arial"/>
                <w:sz w:val="16"/>
              </w:rPr>
              <w:t xml:space="preserve">Lkr. Bamberg </w:t>
            </w:r>
            <w:r w:rsidR="00C1150E">
              <w:rPr>
                <w:rFonts w:ascii="Arial" w:hAnsi="Arial" w:cs="Arial"/>
                <w:sz w:val="16"/>
              </w:rPr>
              <w:br/>
            </w:r>
            <w:r w:rsidRPr="00796499">
              <w:rPr>
                <w:rFonts w:ascii="Arial" w:hAnsi="Arial" w:cs="Arial"/>
                <w:sz w:val="16"/>
              </w:rPr>
              <w:t>Lkr. Forchheim</w:t>
            </w:r>
          </w:p>
        </w:tc>
        <w:tc>
          <w:tcPr>
            <w:tcW w:w="1389" w:type="dxa"/>
            <w:tcBorders>
              <w:top w:val="nil"/>
            </w:tcBorders>
            <w:vAlign w:val="center"/>
          </w:tcPr>
          <w:p w:rsidR="00311670" w:rsidRPr="00796499" w:rsidRDefault="00311670" w:rsidP="00343CB5">
            <w:pPr>
              <w:pStyle w:val="TableParagraph"/>
              <w:spacing w:line="232" w:lineRule="exact"/>
              <w:rPr>
                <w:rFonts w:ascii="Arial" w:hAnsi="Arial" w:cs="Arial"/>
                <w:b/>
                <w:sz w:val="16"/>
              </w:rPr>
            </w:pPr>
          </w:p>
        </w:tc>
        <w:tc>
          <w:tcPr>
            <w:tcW w:w="1134" w:type="dxa"/>
            <w:tcBorders>
              <w:top w:val="nil"/>
            </w:tcBorders>
            <w:vAlign w:val="center"/>
          </w:tcPr>
          <w:p w:rsidR="00311670" w:rsidRPr="00796499" w:rsidRDefault="00311670" w:rsidP="00343CB5">
            <w:pPr>
              <w:pStyle w:val="TableParagraph"/>
              <w:spacing w:line="232" w:lineRule="exact"/>
              <w:rPr>
                <w:rFonts w:ascii="Arial" w:hAnsi="Arial" w:cs="Arial"/>
                <w:b/>
                <w:sz w:val="16"/>
              </w:rPr>
            </w:pPr>
          </w:p>
        </w:tc>
      </w:tr>
      <w:tr w:rsidR="00311670" w:rsidTr="00007E6C">
        <w:trPr>
          <w:trHeight w:val="758"/>
        </w:trPr>
        <w:tc>
          <w:tcPr>
            <w:tcW w:w="1420" w:type="dxa"/>
            <w:vAlign w:val="center"/>
          </w:tcPr>
          <w:p w:rsidR="00311670" w:rsidRPr="00796499" w:rsidRDefault="001F4645" w:rsidP="00007E6C">
            <w:pPr>
              <w:pStyle w:val="TableParagraph"/>
              <w:spacing w:line="232" w:lineRule="exact"/>
              <w:rPr>
                <w:rFonts w:ascii="Arial" w:hAnsi="Arial" w:cs="Arial"/>
                <w:b/>
                <w:sz w:val="16"/>
              </w:rPr>
            </w:pPr>
            <w:r>
              <w:rPr>
                <w:rFonts w:ascii="Arial" w:hAnsi="Arial" w:cs="Arial"/>
                <w:b/>
                <w:sz w:val="16"/>
              </w:rPr>
              <w:t>B</w:t>
            </w:r>
            <w:r w:rsidR="00311670" w:rsidRPr="00796499">
              <w:rPr>
                <w:rFonts w:ascii="Arial" w:hAnsi="Arial" w:cs="Arial"/>
                <w:b/>
                <w:sz w:val="16"/>
              </w:rPr>
              <w:t>ayreuth</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Oberfranken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Bayreuth</w:t>
            </w:r>
            <w:r w:rsidR="00C1150E">
              <w:rPr>
                <w:rFonts w:ascii="Arial" w:hAnsi="Arial" w:cs="Arial"/>
                <w:sz w:val="16"/>
              </w:rPr>
              <w:br/>
            </w:r>
            <w:r w:rsidRPr="00796499">
              <w:rPr>
                <w:rFonts w:ascii="Arial" w:hAnsi="Arial" w:cs="Arial"/>
                <w:sz w:val="16"/>
              </w:rPr>
              <w:t xml:space="preserve">Lkr. Bayreuth </w:t>
            </w:r>
            <w:r w:rsidR="00C1150E">
              <w:rPr>
                <w:rFonts w:ascii="Arial" w:hAnsi="Arial" w:cs="Arial"/>
                <w:sz w:val="16"/>
              </w:rPr>
              <w:br/>
            </w:r>
            <w:r w:rsidRPr="00796499">
              <w:rPr>
                <w:rFonts w:ascii="Arial" w:hAnsi="Arial" w:cs="Arial"/>
                <w:sz w:val="16"/>
              </w:rPr>
              <w:t>Lkr. Kulmbach</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10</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10</w:t>
            </w:r>
          </w:p>
        </w:tc>
      </w:tr>
      <w:tr w:rsidR="00311670" w:rsidTr="00007E6C">
        <w:trPr>
          <w:trHeight w:val="1010"/>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lastRenderedPageBreak/>
              <w:t>Coburg</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Oberfranken</w:t>
            </w:r>
          </w:p>
        </w:tc>
        <w:tc>
          <w:tcPr>
            <w:tcW w:w="2551" w:type="dxa"/>
          </w:tcPr>
          <w:p w:rsidR="00311670" w:rsidRPr="00796499" w:rsidRDefault="00311670" w:rsidP="00C1150E">
            <w:pPr>
              <w:pStyle w:val="TableParagraph"/>
              <w:spacing w:before="124"/>
              <w:ind w:right="1400"/>
              <w:rPr>
                <w:rFonts w:ascii="Arial" w:hAnsi="Arial" w:cs="Arial"/>
                <w:sz w:val="16"/>
              </w:rPr>
            </w:pPr>
            <w:r w:rsidRPr="00796499">
              <w:rPr>
                <w:rFonts w:ascii="Arial" w:hAnsi="Arial" w:cs="Arial"/>
                <w:sz w:val="16"/>
              </w:rPr>
              <w:t>Stadt Coburg Lkr. Coburg</w:t>
            </w:r>
            <w:r w:rsidR="00C1150E">
              <w:rPr>
                <w:rFonts w:ascii="Arial" w:hAnsi="Arial" w:cs="Arial"/>
                <w:sz w:val="16"/>
              </w:rPr>
              <w:br/>
            </w:r>
            <w:r w:rsidRPr="00796499">
              <w:rPr>
                <w:rFonts w:ascii="Arial" w:hAnsi="Arial" w:cs="Arial"/>
                <w:sz w:val="16"/>
              </w:rPr>
              <w:t>Lkr. Kronach</w:t>
            </w:r>
            <w:r w:rsidR="00C1150E">
              <w:rPr>
                <w:rFonts w:ascii="Arial" w:hAnsi="Arial" w:cs="Arial"/>
                <w:sz w:val="16"/>
              </w:rPr>
              <w:br/>
            </w:r>
            <w:r w:rsidRPr="00796499">
              <w:rPr>
                <w:rFonts w:ascii="Arial" w:hAnsi="Arial" w:cs="Arial"/>
                <w:sz w:val="16"/>
              </w:rPr>
              <w:t>Lkr. Lichtenfels</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r>
      <w:tr w:rsidR="00311670" w:rsidTr="00007E6C">
        <w:trPr>
          <w:trHeight w:val="760"/>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Selb</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Oberfranken</w:t>
            </w:r>
          </w:p>
        </w:tc>
        <w:tc>
          <w:tcPr>
            <w:tcW w:w="2551" w:type="dxa"/>
          </w:tcPr>
          <w:p w:rsidR="00311670" w:rsidRPr="00796499" w:rsidRDefault="00311670" w:rsidP="00C1150E">
            <w:pPr>
              <w:pStyle w:val="TableParagraph"/>
              <w:tabs>
                <w:tab w:val="left" w:pos="705"/>
              </w:tabs>
              <w:spacing w:before="124"/>
              <w:ind w:right="1779"/>
              <w:rPr>
                <w:rFonts w:ascii="Arial" w:hAnsi="Arial" w:cs="Arial"/>
                <w:sz w:val="16"/>
              </w:rPr>
            </w:pPr>
            <w:r w:rsidRPr="00796499">
              <w:rPr>
                <w:rFonts w:ascii="Arial" w:hAnsi="Arial" w:cs="Arial"/>
                <w:sz w:val="16"/>
              </w:rPr>
              <w:t>Stadt Hof Lkr. Hof</w:t>
            </w:r>
            <w:r w:rsidR="00C1150E">
              <w:rPr>
                <w:rFonts w:ascii="Arial" w:hAnsi="Arial" w:cs="Arial"/>
                <w:sz w:val="16"/>
              </w:rPr>
              <w:br/>
            </w:r>
            <w:r w:rsidRPr="00796499">
              <w:rPr>
                <w:rFonts w:ascii="Arial" w:hAnsi="Arial" w:cs="Arial"/>
                <w:sz w:val="16"/>
              </w:rPr>
              <w:t>Lkr. Wunsiedel</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7</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9</w:t>
            </w:r>
          </w:p>
        </w:tc>
      </w:tr>
      <w:tr w:rsidR="00311670" w:rsidTr="00007E6C">
        <w:trPr>
          <w:trHeight w:val="1516"/>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Ansbach</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Mittelfranken</w:t>
            </w:r>
          </w:p>
        </w:tc>
        <w:tc>
          <w:tcPr>
            <w:tcW w:w="2551" w:type="dxa"/>
          </w:tcPr>
          <w:p w:rsidR="00311670" w:rsidRPr="00796499" w:rsidRDefault="00311670" w:rsidP="00C1150E">
            <w:pPr>
              <w:pStyle w:val="TableParagraph"/>
              <w:spacing w:before="124"/>
              <w:ind w:right="981"/>
              <w:rPr>
                <w:rFonts w:ascii="Arial" w:hAnsi="Arial" w:cs="Arial"/>
                <w:sz w:val="16"/>
              </w:rPr>
            </w:pPr>
            <w:r w:rsidRPr="00796499">
              <w:rPr>
                <w:rFonts w:ascii="Arial" w:hAnsi="Arial" w:cs="Arial"/>
                <w:sz w:val="16"/>
              </w:rPr>
              <w:t xml:space="preserve">Stadt Ansbach </w:t>
            </w:r>
            <w:r w:rsidR="00C1150E">
              <w:rPr>
                <w:rFonts w:ascii="Arial" w:hAnsi="Arial" w:cs="Arial"/>
                <w:sz w:val="16"/>
              </w:rPr>
              <w:br/>
            </w:r>
            <w:r w:rsidRPr="00796499">
              <w:rPr>
                <w:rFonts w:ascii="Arial" w:hAnsi="Arial" w:cs="Arial"/>
                <w:sz w:val="16"/>
              </w:rPr>
              <w:t>Lkr. Ansbach</w:t>
            </w:r>
            <w:r w:rsidR="00C1150E">
              <w:rPr>
                <w:rFonts w:ascii="Arial" w:hAnsi="Arial" w:cs="Arial"/>
                <w:sz w:val="16"/>
              </w:rPr>
              <w:br/>
            </w:r>
            <w:r w:rsidRPr="00796499">
              <w:rPr>
                <w:rFonts w:ascii="Arial" w:hAnsi="Arial" w:cs="Arial"/>
                <w:sz w:val="16"/>
              </w:rPr>
              <w:t>Lkr. Neustadt a.d. Aisch-Bad Winds</w:t>
            </w:r>
            <w:r w:rsidR="00C1150E">
              <w:rPr>
                <w:rFonts w:ascii="Arial" w:hAnsi="Arial" w:cs="Arial"/>
                <w:sz w:val="16"/>
              </w:rPr>
              <w:t>-</w:t>
            </w:r>
            <w:r w:rsidRPr="00796499">
              <w:rPr>
                <w:rFonts w:ascii="Arial" w:hAnsi="Arial" w:cs="Arial"/>
                <w:sz w:val="16"/>
              </w:rPr>
              <w:t>heim</w:t>
            </w:r>
            <w:r w:rsidR="00C1150E">
              <w:rPr>
                <w:rFonts w:ascii="Arial" w:hAnsi="Arial" w:cs="Arial"/>
                <w:sz w:val="16"/>
              </w:rPr>
              <w:br/>
              <w:t>Lkr. Weißenburg- Gunzen</w:t>
            </w:r>
            <w:r w:rsidRPr="00796499">
              <w:rPr>
                <w:rFonts w:ascii="Arial" w:hAnsi="Arial" w:cs="Arial"/>
                <w:sz w:val="16"/>
              </w:rPr>
              <w:t>hausen</w:t>
            </w:r>
          </w:p>
        </w:tc>
        <w:tc>
          <w:tcPr>
            <w:tcW w:w="1389" w:type="dxa"/>
            <w:vAlign w:val="center"/>
          </w:tcPr>
          <w:p w:rsidR="00311670" w:rsidRPr="00796499" w:rsidRDefault="00796499" w:rsidP="00343CB5">
            <w:pPr>
              <w:pStyle w:val="TableParagraph"/>
              <w:spacing w:before="124"/>
              <w:ind w:left="504"/>
              <w:rPr>
                <w:rFonts w:ascii="Arial" w:hAnsi="Arial" w:cs="Arial"/>
                <w:sz w:val="16"/>
              </w:rPr>
            </w:pPr>
            <w:r w:rsidRPr="00796499">
              <w:rPr>
                <w:rFonts w:ascii="Arial" w:hAnsi="Arial" w:cs="Arial"/>
                <w:sz w:val="16"/>
              </w:rPr>
              <w:t>1</w:t>
            </w:r>
            <w:r w:rsidR="00311670" w:rsidRPr="00796499">
              <w:rPr>
                <w:rFonts w:ascii="Arial" w:hAnsi="Arial" w:cs="Arial"/>
                <w:sz w:val="16"/>
              </w:rPr>
              <w:t>0</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13</w:t>
            </w:r>
          </w:p>
        </w:tc>
      </w:tr>
      <w:tr w:rsidR="00311670" w:rsidTr="00007E6C">
        <w:trPr>
          <w:trHeight w:val="503"/>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Erlangen</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Mittelfranken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Erlangen</w:t>
            </w:r>
            <w:r w:rsidR="00C1150E">
              <w:rPr>
                <w:rFonts w:ascii="Arial" w:hAnsi="Arial" w:cs="Arial"/>
                <w:sz w:val="16"/>
              </w:rPr>
              <w:br/>
              <w:t>Lkr. Erlangen-</w:t>
            </w:r>
            <w:r w:rsidRPr="00796499">
              <w:rPr>
                <w:rFonts w:ascii="Arial" w:hAnsi="Arial" w:cs="Arial"/>
                <w:sz w:val="16"/>
              </w:rPr>
              <w:t>Höchstadt</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r>
      <w:tr w:rsidR="00311670" w:rsidTr="00007E6C">
        <w:trPr>
          <w:trHeight w:val="506"/>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Fürth</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Mittelfranken</w:t>
            </w:r>
          </w:p>
        </w:tc>
        <w:tc>
          <w:tcPr>
            <w:tcW w:w="2551" w:type="dxa"/>
          </w:tcPr>
          <w:p w:rsidR="00311670" w:rsidRPr="00796499" w:rsidRDefault="00311670" w:rsidP="00796499">
            <w:pPr>
              <w:pStyle w:val="TableParagraph"/>
              <w:spacing w:before="124"/>
              <w:ind w:right="1608"/>
              <w:rPr>
                <w:rFonts w:ascii="Arial" w:hAnsi="Arial" w:cs="Arial"/>
                <w:sz w:val="16"/>
              </w:rPr>
            </w:pPr>
            <w:r w:rsidRPr="00796499">
              <w:rPr>
                <w:rFonts w:ascii="Arial" w:hAnsi="Arial" w:cs="Arial"/>
                <w:sz w:val="16"/>
              </w:rPr>
              <w:t>Stadt Fürth Lkr. Fürth</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5</w:t>
            </w:r>
          </w:p>
        </w:tc>
        <w:tc>
          <w:tcPr>
            <w:tcW w:w="1134" w:type="dxa"/>
            <w:vAlign w:val="center"/>
          </w:tcPr>
          <w:p w:rsidR="00311670" w:rsidRPr="00796499" w:rsidRDefault="00311670" w:rsidP="00343CB5">
            <w:pPr>
              <w:pStyle w:val="TableParagraph"/>
              <w:spacing w:before="124"/>
              <w:ind w:left="505"/>
              <w:rPr>
                <w:rFonts w:ascii="Arial" w:hAnsi="Arial" w:cs="Arial"/>
                <w:sz w:val="16"/>
              </w:rPr>
            </w:pPr>
            <w:r w:rsidRPr="00796499">
              <w:rPr>
                <w:rFonts w:ascii="Arial" w:hAnsi="Arial" w:cs="Arial"/>
                <w:sz w:val="16"/>
              </w:rPr>
              <w:t>7</w:t>
            </w:r>
          </w:p>
        </w:tc>
      </w:tr>
      <w:tr w:rsidR="00311670" w:rsidTr="00007E6C">
        <w:trPr>
          <w:trHeight w:val="252"/>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Nürnberg</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Mittelfranken</w:t>
            </w:r>
          </w:p>
        </w:tc>
        <w:tc>
          <w:tcPr>
            <w:tcW w:w="2551" w:type="dxa"/>
          </w:tcPr>
          <w:p w:rsidR="00311670" w:rsidRPr="00796499" w:rsidRDefault="00311670" w:rsidP="00796499">
            <w:pPr>
              <w:pStyle w:val="TableParagraph"/>
              <w:spacing w:before="124"/>
              <w:rPr>
                <w:rFonts w:ascii="Arial" w:hAnsi="Arial" w:cs="Arial"/>
                <w:sz w:val="16"/>
              </w:rPr>
            </w:pPr>
            <w:r w:rsidRPr="00796499">
              <w:rPr>
                <w:rFonts w:ascii="Arial" w:hAnsi="Arial" w:cs="Arial"/>
                <w:sz w:val="16"/>
              </w:rPr>
              <w:t>Stadt Nürnberg</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21</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21</w:t>
            </w:r>
          </w:p>
        </w:tc>
      </w:tr>
      <w:tr w:rsidR="00311670" w:rsidTr="00007E6C">
        <w:trPr>
          <w:trHeight w:val="1264"/>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Schwabach</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Mittelfranken</w:t>
            </w:r>
          </w:p>
        </w:tc>
        <w:tc>
          <w:tcPr>
            <w:tcW w:w="2551" w:type="dxa"/>
          </w:tcPr>
          <w:p w:rsidR="00311670" w:rsidRPr="00796499" w:rsidRDefault="00311670" w:rsidP="00C1150E">
            <w:pPr>
              <w:pStyle w:val="TableParagraph"/>
              <w:spacing w:before="124"/>
              <w:ind w:right="984"/>
              <w:rPr>
                <w:rFonts w:ascii="Arial" w:hAnsi="Arial" w:cs="Arial"/>
                <w:sz w:val="16"/>
              </w:rPr>
            </w:pPr>
            <w:r w:rsidRPr="00796499">
              <w:rPr>
                <w:rFonts w:ascii="Arial" w:hAnsi="Arial" w:cs="Arial"/>
                <w:sz w:val="16"/>
              </w:rPr>
              <w:t>Stadt Schwabach Lkr. Roth</w:t>
            </w:r>
            <w:r w:rsidR="00C1150E">
              <w:rPr>
                <w:rFonts w:ascii="Arial" w:hAnsi="Arial" w:cs="Arial"/>
                <w:sz w:val="16"/>
              </w:rPr>
              <w:br/>
            </w:r>
            <w:r w:rsidRPr="00796499">
              <w:rPr>
                <w:rFonts w:ascii="Arial" w:hAnsi="Arial" w:cs="Arial"/>
                <w:sz w:val="16"/>
              </w:rPr>
              <w:t>Lkr. Nürnberger Land</w:t>
            </w:r>
            <w:r w:rsidR="00C1150E">
              <w:rPr>
                <w:rFonts w:ascii="Arial" w:hAnsi="Arial" w:cs="Arial"/>
                <w:sz w:val="16"/>
              </w:rPr>
              <w:br/>
              <w:t>Lkr. Weißenburg-Gunzen</w:t>
            </w:r>
            <w:r w:rsidRPr="00796499">
              <w:rPr>
                <w:rFonts w:ascii="Arial" w:hAnsi="Arial" w:cs="Arial"/>
                <w:sz w:val="16"/>
              </w:rPr>
              <w:t>hausen</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15</w:t>
            </w:r>
          </w:p>
        </w:tc>
      </w:tr>
      <w:tr w:rsidR="00311670" w:rsidTr="00007E6C">
        <w:trPr>
          <w:trHeight w:val="758"/>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Aschaffen- burg</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Unterfranken</w:t>
            </w:r>
          </w:p>
        </w:tc>
        <w:tc>
          <w:tcPr>
            <w:tcW w:w="2551" w:type="dxa"/>
          </w:tcPr>
          <w:p w:rsidR="00311670" w:rsidRPr="00796499" w:rsidRDefault="00311670" w:rsidP="00C1150E">
            <w:pPr>
              <w:pStyle w:val="TableParagraph"/>
              <w:spacing w:before="124"/>
              <w:rPr>
                <w:rFonts w:ascii="Arial" w:hAnsi="Arial" w:cs="Arial"/>
                <w:sz w:val="16"/>
              </w:rPr>
            </w:pPr>
            <w:r w:rsidRPr="00796499">
              <w:rPr>
                <w:rFonts w:ascii="Arial" w:hAnsi="Arial" w:cs="Arial"/>
                <w:sz w:val="16"/>
              </w:rPr>
              <w:t>Stadt Aschaffenburg</w:t>
            </w:r>
            <w:r w:rsidR="00C1150E">
              <w:rPr>
                <w:rFonts w:ascii="Arial" w:hAnsi="Arial" w:cs="Arial"/>
                <w:sz w:val="16"/>
              </w:rPr>
              <w:br/>
            </w:r>
            <w:r w:rsidRPr="00796499">
              <w:rPr>
                <w:rFonts w:ascii="Arial" w:hAnsi="Arial" w:cs="Arial"/>
                <w:sz w:val="16"/>
              </w:rPr>
              <w:t xml:space="preserve">Lkr. Aschaffenburg </w:t>
            </w:r>
            <w:r w:rsidR="00C1150E">
              <w:rPr>
                <w:rFonts w:ascii="Arial" w:hAnsi="Arial" w:cs="Arial"/>
                <w:sz w:val="16"/>
              </w:rPr>
              <w:br/>
            </w:r>
            <w:r w:rsidRPr="00796499">
              <w:rPr>
                <w:rFonts w:ascii="Arial" w:hAnsi="Arial" w:cs="Arial"/>
                <w:sz w:val="16"/>
              </w:rPr>
              <w:t>Lkr. Miltenberg</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11</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11</w:t>
            </w:r>
          </w:p>
        </w:tc>
      </w:tr>
      <w:tr w:rsidR="00311670" w:rsidTr="00007E6C">
        <w:trPr>
          <w:trHeight w:val="1264"/>
        </w:trPr>
        <w:tc>
          <w:tcPr>
            <w:tcW w:w="1420" w:type="dxa"/>
            <w:vAlign w:val="center"/>
          </w:tcPr>
          <w:p w:rsidR="00311670" w:rsidRPr="00796499" w:rsidRDefault="00311670" w:rsidP="00007E6C">
            <w:pPr>
              <w:pStyle w:val="TableParagraph"/>
              <w:spacing w:before="1" w:line="232" w:lineRule="exact"/>
              <w:rPr>
                <w:rFonts w:ascii="Arial" w:hAnsi="Arial" w:cs="Arial"/>
                <w:b/>
                <w:sz w:val="16"/>
              </w:rPr>
            </w:pPr>
            <w:r w:rsidRPr="00796499">
              <w:rPr>
                <w:rFonts w:ascii="Arial" w:hAnsi="Arial" w:cs="Arial"/>
                <w:b/>
                <w:sz w:val="16"/>
              </w:rPr>
              <w:t>Schweinfurt</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Unterfranken</w:t>
            </w:r>
          </w:p>
        </w:tc>
        <w:tc>
          <w:tcPr>
            <w:tcW w:w="2551" w:type="dxa"/>
          </w:tcPr>
          <w:p w:rsidR="00311670" w:rsidRPr="00796499" w:rsidRDefault="00311670" w:rsidP="00C1150E">
            <w:pPr>
              <w:pStyle w:val="TableParagraph"/>
              <w:spacing w:before="124"/>
              <w:ind w:right="841"/>
              <w:rPr>
                <w:rFonts w:ascii="Arial" w:hAnsi="Arial" w:cs="Arial"/>
                <w:sz w:val="16"/>
              </w:rPr>
            </w:pPr>
            <w:r w:rsidRPr="00796499">
              <w:rPr>
                <w:rFonts w:ascii="Arial" w:hAnsi="Arial" w:cs="Arial"/>
                <w:sz w:val="16"/>
              </w:rPr>
              <w:t xml:space="preserve">Stadt Schweinfurt </w:t>
            </w:r>
            <w:r w:rsidR="00C1150E">
              <w:rPr>
                <w:rFonts w:ascii="Arial" w:hAnsi="Arial" w:cs="Arial"/>
                <w:sz w:val="16"/>
              </w:rPr>
              <w:br/>
            </w:r>
            <w:r w:rsidRPr="00796499">
              <w:rPr>
                <w:rFonts w:ascii="Arial" w:hAnsi="Arial" w:cs="Arial"/>
                <w:sz w:val="16"/>
              </w:rPr>
              <w:t xml:space="preserve">Lkr. Bad Kissingen </w:t>
            </w:r>
            <w:r w:rsidR="00C1150E">
              <w:rPr>
                <w:rFonts w:ascii="Arial" w:hAnsi="Arial" w:cs="Arial"/>
                <w:sz w:val="16"/>
              </w:rPr>
              <w:br/>
            </w:r>
            <w:r w:rsidRPr="00796499">
              <w:rPr>
                <w:rFonts w:ascii="Arial" w:hAnsi="Arial" w:cs="Arial"/>
                <w:sz w:val="16"/>
              </w:rPr>
              <w:t xml:space="preserve">Lkr. Hassberge </w:t>
            </w:r>
            <w:r w:rsidR="00C1150E">
              <w:rPr>
                <w:rFonts w:ascii="Arial" w:hAnsi="Arial" w:cs="Arial"/>
                <w:sz w:val="16"/>
              </w:rPr>
              <w:br/>
            </w:r>
            <w:r w:rsidRPr="00796499">
              <w:rPr>
                <w:rFonts w:ascii="Arial" w:hAnsi="Arial" w:cs="Arial"/>
                <w:sz w:val="16"/>
              </w:rPr>
              <w:t>Lkr. Rhön-Grabfeld</w:t>
            </w:r>
            <w:r w:rsidR="00C1150E">
              <w:rPr>
                <w:rFonts w:ascii="Arial" w:hAnsi="Arial" w:cs="Arial"/>
                <w:sz w:val="16"/>
              </w:rPr>
              <w:br/>
            </w:r>
            <w:r w:rsidRPr="00796499">
              <w:rPr>
                <w:rFonts w:ascii="Arial" w:hAnsi="Arial" w:cs="Arial"/>
                <w:sz w:val="16"/>
              </w:rPr>
              <w:t>Lkr. Schweinfurt</w:t>
            </w:r>
          </w:p>
        </w:tc>
        <w:tc>
          <w:tcPr>
            <w:tcW w:w="1389"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c>
          <w:tcPr>
            <w:tcW w:w="1134" w:type="dxa"/>
            <w:vAlign w:val="center"/>
          </w:tcPr>
          <w:p w:rsidR="00311670" w:rsidRPr="00796499" w:rsidRDefault="00311670" w:rsidP="00343CB5">
            <w:pPr>
              <w:pStyle w:val="TableParagraph"/>
              <w:spacing w:before="124"/>
              <w:ind w:left="504"/>
              <w:rPr>
                <w:rFonts w:ascii="Arial" w:hAnsi="Arial" w:cs="Arial"/>
                <w:sz w:val="16"/>
              </w:rPr>
            </w:pPr>
            <w:r w:rsidRPr="00796499">
              <w:rPr>
                <w:rFonts w:ascii="Arial" w:hAnsi="Arial" w:cs="Arial"/>
                <w:sz w:val="16"/>
              </w:rPr>
              <w:t>12</w:t>
            </w:r>
          </w:p>
        </w:tc>
      </w:tr>
      <w:tr w:rsidR="00311670" w:rsidTr="00007E6C">
        <w:trPr>
          <w:trHeight w:val="1012"/>
        </w:trPr>
        <w:tc>
          <w:tcPr>
            <w:tcW w:w="1420" w:type="dxa"/>
            <w:vAlign w:val="center"/>
          </w:tcPr>
          <w:p w:rsidR="00311670" w:rsidRPr="00796499" w:rsidRDefault="00311670" w:rsidP="00007E6C">
            <w:pPr>
              <w:pStyle w:val="TableParagraph"/>
              <w:spacing w:line="232" w:lineRule="exact"/>
              <w:ind w:right="425"/>
              <w:rPr>
                <w:rFonts w:ascii="Arial" w:hAnsi="Arial" w:cs="Arial"/>
                <w:b/>
                <w:sz w:val="16"/>
              </w:rPr>
            </w:pPr>
            <w:r w:rsidRPr="00796499">
              <w:rPr>
                <w:rFonts w:ascii="Arial" w:hAnsi="Arial" w:cs="Arial"/>
                <w:b/>
                <w:sz w:val="16"/>
              </w:rPr>
              <w:t>Würzburg (AWO)</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Unterfranken</w:t>
            </w:r>
          </w:p>
        </w:tc>
        <w:tc>
          <w:tcPr>
            <w:tcW w:w="2551" w:type="dxa"/>
          </w:tcPr>
          <w:p w:rsidR="00311670" w:rsidRPr="00796499" w:rsidRDefault="00311670" w:rsidP="00C1150E">
            <w:pPr>
              <w:pStyle w:val="TableParagraph"/>
              <w:spacing w:before="124"/>
              <w:ind w:right="1168"/>
              <w:rPr>
                <w:rFonts w:ascii="Arial" w:hAnsi="Arial" w:cs="Arial"/>
                <w:sz w:val="16"/>
              </w:rPr>
            </w:pPr>
            <w:r w:rsidRPr="00796499">
              <w:rPr>
                <w:rFonts w:ascii="Arial" w:hAnsi="Arial" w:cs="Arial"/>
                <w:sz w:val="16"/>
              </w:rPr>
              <w:t xml:space="preserve">Stadt Würzburg Lkr. Würzburg </w:t>
            </w:r>
            <w:r w:rsidR="00C1150E">
              <w:rPr>
                <w:rFonts w:ascii="Arial" w:hAnsi="Arial" w:cs="Arial"/>
                <w:sz w:val="16"/>
              </w:rPr>
              <w:br/>
            </w:r>
            <w:r w:rsidRPr="00796499">
              <w:rPr>
                <w:rFonts w:ascii="Arial" w:hAnsi="Arial" w:cs="Arial"/>
                <w:sz w:val="16"/>
              </w:rPr>
              <w:t>Lkr. Kitzingen</w:t>
            </w:r>
            <w:r w:rsidR="00C1150E">
              <w:rPr>
                <w:rFonts w:ascii="Arial" w:hAnsi="Arial" w:cs="Arial"/>
                <w:sz w:val="16"/>
              </w:rPr>
              <w:br/>
            </w:r>
            <w:r w:rsidRPr="00796499">
              <w:rPr>
                <w:rFonts w:ascii="Arial" w:hAnsi="Arial" w:cs="Arial"/>
                <w:sz w:val="16"/>
              </w:rPr>
              <w:t>Lkr. Main-Spessart</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10</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10</w:t>
            </w:r>
          </w:p>
        </w:tc>
      </w:tr>
      <w:tr w:rsidR="00311670" w:rsidTr="00007E6C">
        <w:trPr>
          <w:trHeight w:val="1010"/>
        </w:trPr>
        <w:tc>
          <w:tcPr>
            <w:tcW w:w="1420" w:type="dxa"/>
            <w:vAlign w:val="center"/>
          </w:tcPr>
          <w:p w:rsidR="00311670" w:rsidRPr="00796499" w:rsidRDefault="00311670" w:rsidP="00007E6C">
            <w:pPr>
              <w:pStyle w:val="TableParagraph"/>
              <w:spacing w:line="232" w:lineRule="exact"/>
              <w:ind w:right="425"/>
              <w:rPr>
                <w:rFonts w:ascii="Arial" w:hAnsi="Arial" w:cs="Arial"/>
                <w:b/>
                <w:sz w:val="16"/>
              </w:rPr>
            </w:pPr>
            <w:r w:rsidRPr="00796499">
              <w:rPr>
                <w:rFonts w:ascii="Arial" w:hAnsi="Arial" w:cs="Arial"/>
                <w:b/>
                <w:sz w:val="16"/>
              </w:rPr>
              <w:t>Würzburg (SkF)</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Unterfranken</w:t>
            </w:r>
          </w:p>
        </w:tc>
        <w:tc>
          <w:tcPr>
            <w:tcW w:w="2551" w:type="dxa"/>
          </w:tcPr>
          <w:p w:rsidR="00311670" w:rsidRPr="00796499" w:rsidRDefault="00311670" w:rsidP="00E47C70">
            <w:pPr>
              <w:pStyle w:val="TableParagraph"/>
              <w:spacing w:before="124"/>
              <w:ind w:right="1168"/>
              <w:rPr>
                <w:rFonts w:ascii="Arial" w:hAnsi="Arial" w:cs="Arial"/>
                <w:sz w:val="16"/>
              </w:rPr>
            </w:pPr>
            <w:r w:rsidRPr="00796499">
              <w:rPr>
                <w:rFonts w:ascii="Arial" w:hAnsi="Arial" w:cs="Arial"/>
                <w:sz w:val="16"/>
              </w:rPr>
              <w:t xml:space="preserve">Stadt Würzburg Lkr. Würzburg </w:t>
            </w:r>
            <w:r w:rsidR="00E47C70">
              <w:rPr>
                <w:rFonts w:ascii="Arial" w:hAnsi="Arial" w:cs="Arial"/>
                <w:sz w:val="16"/>
              </w:rPr>
              <w:br/>
            </w:r>
            <w:r w:rsidRPr="00796499">
              <w:rPr>
                <w:rFonts w:ascii="Arial" w:hAnsi="Arial" w:cs="Arial"/>
                <w:sz w:val="16"/>
              </w:rPr>
              <w:t>Lkr. Kitzingen</w:t>
            </w:r>
            <w:r w:rsidR="00E47C70">
              <w:rPr>
                <w:rFonts w:ascii="Arial" w:hAnsi="Arial" w:cs="Arial"/>
                <w:sz w:val="16"/>
              </w:rPr>
              <w:br/>
            </w:r>
            <w:r w:rsidRPr="00796499">
              <w:rPr>
                <w:rFonts w:ascii="Arial" w:hAnsi="Arial" w:cs="Arial"/>
                <w:sz w:val="16"/>
              </w:rPr>
              <w:t>Lkr. Main-Spessart</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6</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6</w:t>
            </w:r>
          </w:p>
        </w:tc>
      </w:tr>
      <w:tr w:rsidR="00311670" w:rsidTr="00007E6C">
        <w:trPr>
          <w:trHeight w:val="1012"/>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lastRenderedPageBreak/>
              <w:t>Augsburg</w:t>
            </w:r>
          </w:p>
        </w:tc>
        <w:tc>
          <w:tcPr>
            <w:tcW w:w="1557" w:type="dxa"/>
            <w:vAlign w:val="center"/>
          </w:tcPr>
          <w:p w:rsidR="00311670" w:rsidRPr="00796499" w:rsidRDefault="00311670" w:rsidP="00007E6C">
            <w:pPr>
              <w:pStyle w:val="TableParagraph"/>
              <w:spacing w:before="124"/>
              <w:rPr>
                <w:rFonts w:ascii="Arial" w:hAnsi="Arial" w:cs="Arial"/>
                <w:sz w:val="16"/>
              </w:rPr>
            </w:pPr>
            <w:r w:rsidRPr="00796499">
              <w:rPr>
                <w:rFonts w:ascii="Arial" w:hAnsi="Arial" w:cs="Arial"/>
                <w:sz w:val="16"/>
              </w:rPr>
              <w:t>Schwaben</w:t>
            </w:r>
          </w:p>
        </w:tc>
        <w:tc>
          <w:tcPr>
            <w:tcW w:w="2551" w:type="dxa"/>
          </w:tcPr>
          <w:p w:rsidR="00311670" w:rsidRPr="00796499" w:rsidRDefault="00311670" w:rsidP="00E47C70">
            <w:pPr>
              <w:pStyle w:val="TableParagraph"/>
              <w:spacing w:before="124"/>
              <w:ind w:right="981"/>
              <w:rPr>
                <w:rFonts w:ascii="Arial" w:hAnsi="Arial" w:cs="Arial"/>
                <w:sz w:val="16"/>
              </w:rPr>
            </w:pPr>
            <w:r w:rsidRPr="00796499">
              <w:rPr>
                <w:rFonts w:ascii="Arial" w:hAnsi="Arial" w:cs="Arial"/>
                <w:sz w:val="16"/>
              </w:rPr>
              <w:t xml:space="preserve">Stadt Augsburg </w:t>
            </w:r>
            <w:r w:rsidR="00E47C70">
              <w:rPr>
                <w:rFonts w:ascii="Arial" w:hAnsi="Arial" w:cs="Arial"/>
                <w:sz w:val="16"/>
              </w:rPr>
              <w:br/>
            </w:r>
            <w:r w:rsidRPr="00796499">
              <w:rPr>
                <w:rFonts w:ascii="Arial" w:hAnsi="Arial" w:cs="Arial"/>
                <w:sz w:val="16"/>
              </w:rPr>
              <w:t>Lkr. Augsburg</w:t>
            </w:r>
            <w:r w:rsidR="00E47C70">
              <w:rPr>
                <w:rFonts w:ascii="Arial" w:hAnsi="Arial" w:cs="Arial"/>
                <w:sz w:val="16"/>
              </w:rPr>
              <w:br/>
            </w:r>
            <w:r w:rsidRPr="00796499">
              <w:rPr>
                <w:rFonts w:ascii="Arial" w:hAnsi="Arial" w:cs="Arial"/>
                <w:sz w:val="16"/>
              </w:rPr>
              <w:t>Lkr. Aichach-Friedberg</w:t>
            </w:r>
            <w:r w:rsidR="00E47C70">
              <w:rPr>
                <w:rFonts w:ascii="Arial" w:hAnsi="Arial" w:cs="Arial"/>
                <w:sz w:val="16"/>
              </w:rPr>
              <w:br/>
            </w:r>
            <w:r w:rsidRPr="00796499">
              <w:rPr>
                <w:rFonts w:ascii="Arial" w:hAnsi="Arial" w:cs="Arial"/>
                <w:sz w:val="16"/>
              </w:rPr>
              <w:t>Lkr. Landsberg/Lech</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21</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21</w:t>
            </w:r>
          </w:p>
        </w:tc>
      </w:tr>
      <w:tr w:rsidR="00311670" w:rsidTr="00007E6C">
        <w:trPr>
          <w:trHeight w:val="503"/>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Kaufbeuren</w:t>
            </w:r>
          </w:p>
        </w:tc>
        <w:tc>
          <w:tcPr>
            <w:tcW w:w="1557" w:type="dxa"/>
            <w:vAlign w:val="center"/>
          </w:tcPr>
          <w:p w:rsidR="00311670" w:rsidRPr="00E47C70" w:rsidRDefault="00311670" w:rsidP="00007E6C">
            <w:pPr>
              <w:pStyle w:val="TableParagraph"/>
              <w:spacing w:line="232" w:lineRule="exact"/>
              <w:rPr>
                <w:rFonts w:ascii="Arial" w:hAnsi="Arial" w:cs="Arial"/>
                <w:sz w:val="16"/>
              </w:rPr>
            </w:pPr>
            <w:r w:rsidRPr="00E47C70">
              <w:rPr>
                <w:rFonts w:ascii="Arial" w:hAnsi="Arial" w:cs="Arial"/>
                <w:sz w:val="16"/>
              </w:rPr>
              <w:t>Schwaben</w:t>
            </w:r>
          </w:p>
        </w:tc>
        <w:tc>
          <w:tcPr>
            <w:tcW w:w="2551" w:type="dxa"/>
          </w:tcPr>
          <w:p w:rsidR="00311670" w:rsidRPr="00E47C70" w:rsidRDefault="00311670" w:rsidP="00E47C70">
            <w:pPr>
              <w:pStyle w:val="TableParagraph"/>
              <w:spacing w:line="232" w:lineRule="exact"/>
              <w:rPr>
                <w:rFonts w:ascii="Arial" w:hAnsi="Arial" w:cs="Arial"/>
                <w:sz w:val="16"/>
              </w:rPr>
            </w:pPr>
            <w:r w:rsidRPr="00E47C70">
              <w:rPr>
                <w:rFonts w:ascii="Arial" w:hAnsi="Arial" w:cs="Arial"/>
                <w:sz w:val="16"/>
              </w:rPr>
              <w:t>Stadt Kaufbeuren</w:t>
            </w:r>
            <w:r w:rsidR="00E47C70">
              <w:rPr>
                <w:rFonts w:ascii="Arial" w:hAnsi="Arial" w:cs="Arial"/>
                <w:sz w:val="16"/>
              </w:rPr>
              <w:br/>
            </w:r>
            <w:r w:rsidRPr="00E47C70">
              <w:rPr>
                <w:rFonts w:ascii="Arial" w:hAnsi="Arial" w:cs="Arial"/>
                <w:sz w:val="16"/>
              </w:rPr>
              <w:t>Lkr. Ostallgäu</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5</w:t>
            </w:r>
          </w:p>
        </w:tc>
        <w:tc>
          <w:tcPr>
            <w:tcW w:w="1134" w:type="dxa"/>
            <w:vAlign w:val="center"/>
          </w:tcPr>
          <w:p w:rsidR="00311670" w:rsidRPr="00CF7018" w:rsidRDefault="00311670" w:rsidP="00343CB5">
            <w:pPr>
              <w:pStyle w:val="TableParagraph"/>
              <w:spacing w:before="124"/>
              <w:ind w:left="505"/>
              <w:rPr>
                <w:rFonts w:ascii="Arial" w:hAnsi="Arial" w:cs="Arial"/>
                <w:sz w:val="16"/>
              </w:rPr>
            </w:pPr>
            <w:r w:rsidRPr="00CF7018">
              <w:rPr>
                <w:rFonts w:ascii="Arial" w:hAnsi="Arial" w:cs="Arial"/>
                <w:sz w:val="16"/>
              </w:rPr>
              <w:t>5</w:t>
            </w:r>
          </w:p>
        </w:tc>
      </w:tr>
      <w:tr w:rsidR="00311670" w:rsidTr="00007E6C">
        <w:trPr>
          <w:trHeight w:val="506"/>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Kempten</w:t>
            </w:r>
          </w:p>
        </w:tc>
        <w:tc>
          <w:tcPr>
            <w:tcW w:w="1557" w:type="dxa"/>
            <w:vAlign w:val="center"/>
          </w:tcPr>
          <w:p w:rsidR="00311670" w:rsidRPr="00E47C70" w:rsidRDefault="00311670" w:rsidP="00007E6C">
            <w:pPr>
              <w:pStyle w:val="TableParagraph"/>
              <w:spacing w:line="232" w:lineRule="exact"/>
              <w:rPr>
                <w:rFonts w:ascii="Arial" w:hAnsi="Arial" w:cs="Arial"/>
                <w:sz w:val="16"/>
              </w:rPr>
            </w:pPr>
            <w:r w:rsidRPr="00E47C70">
              <w:rPr>
                <w:rFonts w:ascii="Arial" w:hAnsi="Arial" w:cs="Arial"/>
                <w:sz w:val="16"/>
              </w:rPr>
              <w:t>Schwaben</w:t>
            </w:r>
          </w:p>
        </w:tc>
        <w:tc>
          <w:tcPr>
            <w:tcW w:w="2551" w:type="dxa"/>
          </w:tcPr>
          <w:p w:rsidR="00311670" w:rsidRPr="00E47C70" w:rsidRDefault="00311670" w:rsidP="00796499">
            <w:pPr>
              <w:pStyle w:val="TableParagraph"/>
              <w:spacing w:line="232" w:lineRule="exact"/>
              <w:ind w:right="1192"/>
              <w:rPr>
                <w:rFonts w:ascii="Arial" w:hAnsi="Arial" w:cs="Arial"/>
                <w:sz w:val="16"/>
              </w:rPr>
            </w:pPr>
            <w:r w:rsidRPr="00E47C70">
              <w:rPr>
                <w:rFonts w:ascii="Arial" w:hAnsi="Arial" w:cs="Arial"/>
                <w:sz w:val="16"/>
              </w:rPr>
              <w:t>Stadt Kempten Lkr. Oberallgäu</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7</w:t>
            </w:r>
          </w:p>
        </w:tc>
        <w:tc>
          <w:tcPr>
            <w:tcW w:w="1134" w:type="dxa"/>
            <w:vAlign w:val="center"/>
          </w:tcPr>
          <w:p w:rsidR="00311670" w:rsidRPr="00CF7018" w:rsidRDefault="00311670" w:rsidP="00343CB5">
            <w:pPr>
              <w:pStyle w:val="TableParagraph"/>
              <w:spacing w:before="124"/>
              <w:ind w:left="505"/>
              <w:rPr>
                <w:rFonts w:ascii="Arial" w:hAnsi="Arial" w:cs="Arial"/>
                <w:sz w:val="16"/>
              </w:rPr>
            </w:pPr>
            <w:r w:rsidRPr="00CF7018">
              <w:rPr>
                <w:rFonts w:ascii="Arial" w:hAnsi="Arial" w:cs="Arial"/>
                <w:sz w:val="16"/>
              </w:rPr>
              <w:t>7</w:t>
            </w:r>
          </w:p>
        </w:tc>
      </w:tr>
      <w:tr w:rsidR="00311670" w:rsidTr="00007E6C">
        <w:trPr>
          <w:trHeight w:val="504"/>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Memmingen</w:t>
            </w:r>
          </w:p>
        </w:tc>
        <w:tc>
          <w:tcPr>
            <w:tcW w:w="1557" w:type="dxa"/>
            <w:vAlign w:val="center"/>
          </w:tcPr>
          <w:p w:rsidR="00311670" w:rsidRPr="00E47C70" w:rsidRDefault="00311670" w:rsidP="00007E6C">
            <w:pPr>
              <w:pStyle w:val="TableParagraph"/>
              <w:spacing w:line="232" w:lineRule="exact"/>
              <w:rPr>
                <w:rFonts w:ascii="Arial" w:hAnsi="Arial" w:cs="Arial"/>
                <w:sz w:val="16"/>
              </w:rPr>
            </w:pPr>
            <w:r w:rsidRPr="00E47C70">
              <w:rPr>
                <w:rFonts w:ascii="Arial" w:hAnsi="Arial" w:cs="Arial"/>
                <w:sz w:val="16"/>
              </w:rPr>
              <w:t>Schwaben</w:t>
            </w:r>
          </w:p>
        </w:tc>
        <w:tc>
          <w:tcPr>
            <w:tcW w:w="2551" w:type="dxa"/>
          </w:tcPr>
          <w:p w:rsidR="00311670" w:rsidRPr="00E47C70" w:rsidRDefault="00311670" w:rsidP="00E47C70">
            <w:pPr>
              <w:pStyle w:val="TableParagraph"/>
              <w:spacing w:line="232" w:lineRule="exact"/>
              <w:rPr>
                <w:rFonts w:ascii="Arial" w:hAnsi="Arial" w:cs="Arial"/>
                <w:sz w:val="16"/>
              </w:rPr>
            </w:pPr>
            <w:r w:rsidRPr="00E47C70">
              <w:rPr>
                <w:rFonts w:ascii="Arial" w:hAnsi="Arial" w:cs="Arial"/>
                <w:sz w:val="16"/>
              </w:rPr>
              <w:t>Stadt Memmingen</w:t>
            </w:r>
            <w:r w:rsidR="00E47C70">
              <w:rPr>
                <w:rFonts w:ascii="Arial" w:hAnsi="Arial" w:cs="Arial"/>
                <w:sz w:val="16"/>
              </w:rPr>
              <w:br/>
            </w:r>
            <w:r w:rsidRPr="00E47C70">
              <w:rPr>
                <w:rFonts w:ascii="Arial" w:hAnsi="Arial" w:cs="Arial"/>
                <w:sz w:val="16"/>
              </w:rPr>
              <w:t>Lkr. Unterallgäu</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7</w:t>
            </w:r>
          </w:p>
        </w:tc>
        <w:tc>
          <w:tcPr>
            <w:tcW w:w="1134" w:type="dxa"/>
            <w:vAlign w:val="center"/>
          </w:tcPr>
          <w:p w:rsidR="00311670" w:rsidRPr="00CF7018" w:rsidRDefault="00311670" w:rsidP="00343CB5">
            <w:pPr>
              <w:pStyle w:val="TableParagraph"/>
              <w:spacing w:before="124"/>
              <w:ind w:left="505"/>
              <w:rPr>
                <w:rFonts w:ascii="Arial" w:hAnsi="Arial" w:cs="Arial"/>
                <w:sz w:val="16"/>
              </w:rPr>
            </w:pPr>
            <w:r w:rsidRPr="00CF7018">
              <w:rPr>
                <w:rFonts w:ascii="Arial" w:hAnsi="Arial" w:cs="Arial"/>
                <w:sz w:val="16"/>
              </w:rPr>
              <w:t>9</w:t>
            </w:r>
          </w:p>
        </w:tc>
      </w:tr>
      <w:tr w:rsidR="00311670" w:rsidTr="00007E6C">
        <w:trPr>
          <w:trHeight w:val="506"/>
        </w:trPr>
        <w:tc>
          <w:tcPr>
            <w:tcW w:w="1420" w:type="dxa"/>
            <w:vAlign w:val="center"/>
          </w:tcPr>
          <w:p w:rsidR="00311670" w:rsidRPr="00796499" w:rsidRDefault="00311670" w:rsidP="00007E6C">
            <w:pPr>
              <w:pStyle w:val="TableParagraph"/>
              <w:spacing w:line="232" w:lineRule="exact"/>
              <w:rPr>
                <w:rFonts w:ascii="Arial" w:hAnsi="Arial" w:cs="Arial"/>
                <w:b/>
                <w:sz w:val="16"/>
              </w:rPr>
            </w:pPr>
            <w:r w:rsidRPr="00796499">
              <w:rPr>
                <w:rFonts w:ascii="Arial" w:hAnsi="Arial" w:cs="Arial"/>
                <w:b/>
                <w:sz w:val="16"/>
              </w:rPr>
              <w:t>Neu-Ulm</w:t>
            </w:r>
          </w:p>
        </w:tc>
        <w:tc>
          <w:tcPr>
            <w:tcW w:w="1557" w:type="dxa"/>
            <w:vAlign w:val="center"/>
          </w:tcPr>
          <w:p w:rsidR="00311670" w:rsidRPr="00E47C70" w:rsidRDefault="00311670" w:rsidP="00007E6C">
            <w:pPr>
              <w:pStyle w:val="TableParagraph"/>
              <w:spacing w:line="232" w:lineRule="exact"/>
              <w:rPr>
                <w:rFonts w:ascii="Arial" w:hAnsi="Arial" w:cs="Arial"/>
                <w:sz w:val="16"/>
              </w:rPr>
            </w:pPr>
            <w:r w:rsidRPr="00E47C70">
              <w:rPr>
                <w:rFonts w:ascii="Arial" w:hAnsi="Arial" w:cs="Arial"/>
                <w:sz w:val="16"/>
              </w:rPr>
              <w:t>Schwaben</w:t>
            </w:r>
          </w:p>
        </w:tc>
        <w:tc>
          <w:tcPr>
            <w:tcW w:w="2551" w:type="dxa"/>
          </w:tcPr>
          <w:p w:rsidR="00311670" w:rsidRPr="00E47C70" w:rsidRDefault="00311670" w:rsidP="00796499">
            <w:pPr>
              <w:pStyle w:val="TableParagraph"/>
              <w:spacing w:line="232" w:lineRule="exact"/>
              <w:ind w:right="1302"/>
              <w:rPr>
                <w:rFonts w:ascii="Arial" w:hAnsi="Arial" w:cs="Arial"/>
                <w:sz w:val="16"/>
              </w:rPr>
            </w:pPr>
            <w:r w:rsidRPr="00E47C70">
              <w:rPr>
                <w:rFonts w:ascii="Arial" w:hAnsi="Arial" w:cs="Arial"/>
                <w:sz w:val="16"/>
              </w:rPr>
              <w:t>Lkr. Neu-Ulm Lkr. Günzburg</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8</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11</w:t>
            </w:r>
          </w:p>
        </w:tc>
      </w:tr>
      <w:tr w:rsidR="00311670" w:rsidTr="00007E6C">
        <w:trPr>
          <w:trHeight w:val="758"/>
        </w:trPr>
        <w:tc>
          <w:tcPr>
            <w:tcW w:w="1420" w:type="dxa"/>
            <w:vAlign w:val="center"/>
          </w:tcPr>
          <w:p w:rsidR="00311670" w:rsidRPr="00796499" w:rsidRDefault="00796499" w:rsidP="00007E6C">
            <w:pPr>
              <w:pStyle w:val="TableParagraph"/>
              <w:spacing w:line="232" w:lineRule="exact"/>
              <w:rPr>
                <w:rFonts w:ascii="Arial" w:hAnsi="Arial" w:cs="Arial"/>
                <w:b/>
                <w:sz w:val="16"/>
              </w:rPr>
            </w:pPr>
            <w:r>
              <w:rPr>
                <w:rFonts w:ascii="Arial" w:hAnsi="Arial" w:cs="Arial"/>
                <w:b/>
                <w:sz w:val="16"/>
              </w:rPr>
              <w:t>Nordschwaben/Donau</w:t>
            </w:r>
            <w:r w:rsidR="00311670" w:rsidRPr="00796499">
              <w:rPr>
                <w:rFonts w:ascii="Arial" w:hAnsi="Arial" w:cs="Arial"/>
                <w:b/>
                <w:sz w:val="16"/>
              </w:rPr>
              <w:t>wörth</w:t>
            </w:r>
          </w:p>
        </w:tc>
        <w:tc>
          <w:tcPr>
            <w:tcW w:w="1557" w:type="dxa"/>
            <w:vAlign w:val="center"/>
          </w:tcPr>
          <w:p w:rsidR="00311670" w:rsidRPr="00E47C70" w:rsidRDefault="00311670" w:rsidP="00007E6C">
            <w:pPr>
              <w:pStyle w:val="TableParagraph"/>
              <w:spacing w:line="232" w:lineRule="exact"/>
              <w:rPr>
                <w:rFonts w:ascii="Arial" w:hAnsi="Arial" w:cs="Arial"/>
                <w:sz w:val="16"/>
              </w:rPr>
            </w:pPr>
            <w:r w:rsidRPr="00E47C70">
              <w:rPr>
                <w:rFonts w:ascii="Arial" w:hAnsi="Arial" w:cs="Arial"/>
                <w:sz w:val="16"/>
              </w:rPr>
              <w:t>Schwaben</w:t>
            </w:r>
          </w:p>
        </w:tc>
        <w:tc>
          <w:tcPr>
            <w:tcW w:w="2551" w:type="dxa"/>
          </w:tcPr>
          <w:p w:rsidR="00311670" w:rsidRPr="00E47C70" w:rsidRDefault="00311670" w:rsidP="00796499">
            <w:pPr>
              <w:pStyle w:val="TableParagraph"/>
              <w:spacing w:before="122" w:line="232" w:lineRule="exact"/>
              <w:ind w:right="1107"/>
              <w:rPr>
                <w:rFonts w:ascii="Arial" w:hAnsi="Arial" w:cs="Arial"/>
                <w:sz w:val="16"/>
              </w:rPr>
            </w:pPr>
            <w:r w:rsidRPr="00E47C70">
              <w:rPr>
                <w:rFonts w:ascii="Arial" w:hAnsi="Arial" w:cs="Arial"/>
                <w:sz w:val="16"/>
              </w:rPr>
              <w:t>Lkr. Donau-Ries Lkr. Dillingen</w:t>
            </w: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5</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10</w:t>
            </w:r>
          </w:p>
        </w:tc>
      </w:tr>
      <w:tr w:rsidR="00311670" w:rsidTr="00007E6C">
        <w:trPr>
          <w:trHeight w:val="506"/>
        </w:trPr>
        <w:tc>
          <w:tcPr>
            <w:tcW w:w="1420" w:type="dxa"/>
            <w:vAlign w:val="center"/>
          </w:tcPr>
          <w:p w:rsidR="00311670" w:rsidRPr="00796499" w:rsidRDefault="00796499" w:rsidP="00007E6C">
            <w:pPr>
              <w:pStyle w:val="TableParagraph"/>
              <w:spacing w:line="232" w:lineRule="exact"/>
              <w:rPr>
                <w:rFonts w:ascii="Arial" w:hAnsi="Arial" w:cs="Arial"/>
                <w:b/>
                <w:sz w:val="16"/>
              </w:rPr>
            </w:pPr>
            <w:r>
              <w:rPr>
                <w:rFonts w:ascii="Arial" w:hAnsi="Arial" w:cs="Arial"/>
                <w:b/>
                <w:sz w:val="16"/>
              </w:rPr>
              <w:t>Bayern ge</w:t>
            </w:r>
            <w:r w:rsidR="00311670" w:rsidRPr="00796499">
              <w:rPr>
                <w:rFonts w:ascii="Arial" w:hAnsi="Arial" w:cs="Arial"/>
                <w:b/>
                <w:sz w:val="16"/>
              </w:rPr>
              <w:t>samt</w:t>
            </w:r>
          </w:p>
        </w:tc>
        <w:tc>
          <w:tcPr>
            <w:tcW w:w="1557" w:type="dxa"/>
            <w:vAlign w:val="center"/>
          </w:tcPr>
          <w:p w:rsidR="00311670" w:rsidRPr="00E47C70" w:rsidRDefault="00311670" w:rsidP="00007E6C">
            <w:pPr>
              <w:pStyle w:val="TableParagraph"/>
              <w:spacing w:line="232" w:lineRule="exact"/>
              <w:ind w:left="0"/>
              <w:rPr>
                <w:rFonts w:ascii="Arial" w:hAnsi="Arial" w:cs="Arial"/>
                <w:sz w:val="16"/>
              </w:rPr>
            </w:pPr>
          </w:p>
        </w:tc>
        <w:tc>
          <w:tcPr>
            <w:tcW w:w="2551" w:type="dxa"/>
          </w:tcPr>
          <w:p w:rsidR="00311670" w:rsidRPr="00E47C70" w:rsidRDefault="00311670" w:rsidP="00796499">
            <w:pPr>
              <w:pStyle w:val="TableParagraph"/>
              <w:spacing w:line="232" w:lineRule="exact"/>
              <w:ind w:left="0"/>
              <w:rPr>
                <w:rFonts w:ascii="Arial" w:hAnsi="Arial" w:cs="Arial"/>
                <w:sz w:val="16"/>
              </w:rPr>
            </w:pPr>
          </w:p>
        </w:tc>
        <w:tc>
          <w:tcPr>
            <w:tcW w:w="1389"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375</w:t>
            </w:r>
          </w:p>
        </w:tc>
        <w:tc>
          <w:tcPr>
            <w:tcW w:w="1134" w:type="dxa"/>
            <w:vAlign w:val="center"/>
          </w:tcPr>
          <w:p w:rsidR="00311670" w:rsidRPr="00CF7018" w:rsidRDefault="00311670" w:rsidP="00343CB5">
            <w:pPr>
              <w:pStyle w:val="TableParagraph"/>
              <w:spacing w:before="124"/>
              <w:ind w:left="504"/>
              <w:rPr>
                <w:rFonts w:ascii="Arial" w:hAnsi="Arial" w:cs="Arial"/>
                <w:sz w:val="16"/>
              </w:rPr>
            </w:pPr>
            <w:r w:rsidRPr="00CF7018">
              <w:rPr>
                <w:rFonts w:ascii="Arial" w:hAnsi="Arial" w:cs="Arial"/>
                <w:sz w:val="16"/>
              </w:rPr>
              <w:t>Mind. 449</w:t>
            </w:r>
          </w:p>
        </w:tc>
      </w:tr>
    </w:tbl>
    <w:p w:rsidR="00013B61" w:rsidRDefault="00013B61" w:rsidP="00013B61">
      <w:pPr>
        <w:pStyle w:val="LTAntwortRessortText"/>
      </w:pPr>
      <w:r>
        <w:t>Zudem gibt es in Bayern weitere, nicht staatlich geförderte Frauenhäuser.</w:t>
      </w:r>
      <w:r w:rsidR="00007E6C">
        <w:t xml:space="preserve"> </w:t>
      </w:r>
      <w:r>
        <w:t>Erkenntnisse über die dortige Anzahl an Frauenplätzen und Kinderplätzen</w:t>
      </w:r>
      <w:r w:rsidR="00292A3A">
        <w:t xml:space="preserve"> </w:t>
      </w:r>
      <w:r>
        <w:t>liegen der Staatsregierung nicht vor.</w:t>
      </w:r>
    </w:p>
    <w:p w:rsidR="00007E6C" w:rsidRDefault="00007E6C" w:rsidP="00013B61">
      <w:pPr>
        <w:pStyle w:val="LTAntwortRessortText"/>
        <w:rPr>
          <w:b/>
        </w:rPr>
      </w:pPr>
    </w:p>
    <w:p w:rsidR="00013B61" w:rsidRPr="00311670" w:rsidRDefault="00013B61" w:rsidP="00013B61">
      <w:pPr>
        <w:pStyle w:val="LTAntwortRessortText"/>
        <w:rPr>
          <w:b/>
        </w:rPr>
      </w:pPr>
      <w:r w:rsidRPr="00311670">
        <w:rPr>
          <w:b/>
        </w:rPr>
        <w:t>Interventionsstellen</w:t>
      </w:r>
    </w:p>
    <w:p w:rsidR="00013B61" w:rsidRDefault="00013B61" w:rsidP="00013B61">
      <w:pPr>
        <w:pStyle w:val="LTAntwortRessortText"/>
      </w:pPr>
      <w:r>
        <w:t>Aktuell existieren in Bayern 29 staatlich geförderte Interventionsstellen,</w:t>
      </w:r>
      <w:r w:rsidR="00292A3A">
        <w:t xml:space="preserve"> </w:t>
      </w:r>
      <w:r>
        <w:t>darunter eine Verbund-Interventionsstelle mit drei Standorten, die den</w:t>
      </w:r>
      <w:r w:rsidR="00292A3A">
        <w:t xml:space="preserve"> </w:t>
      </w:r>
      <w:r>
        <w:t>pro-aktiven Beratungsansatz umsetzen. Staatlich geförderte Interventionsstellen</w:t>
      </w:r>
      <w:r w:rsidR="00292A3A">
        <w:t xml:space="preserve"> </w:t>
      </w:r>
      <w:r>
        <w:t>müssen mit hauptamtlichem Personal arbeiten.</w:t>
      </w:r>
    </w:p>
    <w:p w:rsidR="00013B61" w:rsidRDefault="00013B61" w:rsidP="00013B61">
      <w:pPr>
        <w:pStyle w:val="LTAntwortRessortText"/>
      </w:pPr>
      <w:r>
        <w:t>Erkenntnisse zu den nicht staatlich geförderten bzw. rein ehrenamtlich</w:t>
      </w:r>
      <w:r w:rsidR="00292A3A">
        <w:t xml:space="preserve"> </w:t>
      </w:r>
      <w:r>
        <w:t>arbeitenden Interventionsstellen liegen der Staatsregierung nicht vor.</w:t>
      </w:r>
    </w:p>
    <w:p w:rsidR="00013B61" w:rsidRDefault="00013B61">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C1DFC" w:rsidTr="008C1DFC">
        <w:tc>
          <w:tcPr>
            <w:tcW w:w="1883" w:type="dxa"/>
          </w:tcPr>
          <w:p w:rsidR="008C1DFC" w:rsidRDefault="008C1DFC" w:rsidP="008C1DFC">
            <w:pPr>
              <w:pStyle w:val="LTAnfrageInitiator"/>
            </w:pPr>
            <w:r>
              <w:lastRenderedPageBreak/>
              <w:t>Abgeordnete</w:t>
            </w:r>
            <w:r>
              <w:rPr>
                <w:b/>
              </w:rPr>
              <w:br/>
              <w:t>Stephanie</w:t>
            </w:r>
            <w:r>
              <w:rPr>
                <w:b/>
              </w:rPr>
              <w:br/>
              <w:t>Schuhknecht</w:t>
            </w:r>
            <w:r>
              <w:rPr>
                <w:b/>
              </w:rPr>
              <w:br/>
            </w:r>
            <w:r>
              <w:t>(BÜNDNIS 90/DIE GRÜNEN)</w:t>
            </w:r>
            <w:bookmarkStart w:id="111" w:name="Frage_Nr_55"/>
            <w:bookmarkEnd w:id="111"/>
          </w:p>
        </w:tc>
        <w:tc>
          <w:tcPr>
            <w:tcW w:w="5733" w:type="dxa"/>
          </w:tcPr>
          <w:p w:rsidR="008C1DFC" w:rsidRPr="00D0635E" w:rsidRDefault="008C1DFC" w:rsidP="00D0635E">
            <w:pPr>
              <w:pStyle w:val="LTAnfrageText"/>
            </w:pPr>
            <w:r w:rsidRPr="00D0635E">
              <w:t>Vor dem Hintergrund der Bekanntmachung der Staatsregierung Mitte September PCR-Lollitestungen (analog zu den Grundschulen) in Kitas zwar zu fördern, dass die Organisation und Durchführung aber eine rein kommunale Aufgabe im Rahmen der Jugendhilfe ist, frage ich die Staatsregierung, welche Kommunen erhalten bereits aktuell Förderung oder haben einen Antrag auf Förderung für eine flächendeckende Testung in ihren Kitas mittels PCR-Lollitestungen gestellt (bitte nach Regierungsbezirken und Fördersumme aufschlüsseln), ob es angedacht ist das Förderprogramm, welches am 28.02.2022 endet, zu verlängern und ob die Staatsregierung nach wie vor der Ansicht ist, dass eine reine Förderung dieser Maßnahme ohne dabei eine landesweite Koordinierung des Verwaltungsaufwands (Laborkapazitäten, Ausschreibungsverfahren usw.) durch die Staatsregierung zur Verfügung zu stellen, zu einer landesweit flächendeckenden PCR-Testung in Kitas geführt hat bzw. führt?</w:t>
            </w:r>
          </w:p>
        </w:tc>
        <w:tc>
          <w:tcPr>
            <w:tcW w:w="5733" w:type="dxa"/>
          </w:tcPr>
          <w:p w:rsidR="008C1DFC" w:rsidRDefault="008C1DFC" w:rsidP="008C1DFC">
            <w:pPr>
              <w:pStyle w:val="LTAnfrageText"/>
            </w:pPr>
          </w:p>
        </w:tc>
      </w:tr>
    </w:tbl>
    <w:p w:rsidR="00013B61" w:rsidRDefault="00013B61" w:rsidP="00013B61">
      <w:pPr>
        <w:pStyle w:val="LTUeberschrAntwortRessort"/>
      </w:pPr>
      <w:r>
        <w:t>Antwort des Staatsministeriums für Familie, Arbeit und Soziales</w:t>
      </w:r>
    </w:p>
    <w:p w:rsidR="00013B61" w:rsidRDefault="00013B61" w:rsidP="00013B61">
      <w:pPr>
        <w:pStyle w:val="LTAntwortRessortText"/>
      </w:pPr>
      <w:r>
        <w:t xml:space="preserve">Bis zum </w:t>
      </w:r>
      <w:r w:rsidR="009C4EC2">
        <w:t>19.11.</w:t>
      </w:r>
      <w:r>
        <w:t>2021 wurden noch keine Förderanträge bei den</w:t>
      </w:r>
      <w:r w:rsidR="007E0C74">
        <w:t xml:space="preserve"> </w:t>
      </w:r>
      <w:r>
        <w:t>Regierungen gestellt. Es liegen dem Staatsministerium für Familie, Arbeit</w:t>
      </w:r>
      <w:r w:rsidR="007E0C74">
        <w:t xml:space="preserve"> </w:t>
      </w:r>
      <w:r>
        <w:t>und Soziales (StMAS) jedoch aus einigen Landkreisen und kreisfreien</w:t>
      </w:r>
      <w:r w:rsidR="007E0C74">
        <w:t xml:space="preserve"> </w:t>
      </w:r>
      <w:r>
        <w:t>Städten Rückmeldungen vor. Von der Stadt Augsburg wurde zurückgemeldet,</w:t>
      </w:r>
      <w:r w:rsidR="007E0C74">
        <w:t xml:space="preserve"> </w:t>
      </w:r>
      <w:r>
        <w:t>dass diese mit zwei Pilot-Kitas in das PCR-Pooling eingestiegen</w:t>
      </w:r>
      <w:r w:rsidR="007E0C74">
        <w:t xml:space="preserve"> </w:t>
      </w:r>
      <w:r>
        <w:t>ist. Dem Vernehmen nach wollen sich weitere Einrichtungen</w:t>
      </w:r>
      <w:r w:rsidR="007E0C74">
        <w:t xml:space="preserve"> </w:t>
      </w:r>
      <w:r>
        <w:t>in Augsburg anschließen. Ebenso plant auch die Stadt Nürnberg das</w:t>
      </w:r>
      <w:r w:rsidR="007E0C74">
        <w:t xml:space="preserve"> </w:t>
      </w:r>
      <w:r>
        <w:t>Angebot von PCR-Pooltests in (vorerst nur den) städtischen Kitas. Der</w:t>
      </w:r>
      <w:r w:rsidR="007E0C74">
        <w:t xml:space="preserve"> </w:t>
      </w:r>
      <w:r>
        <w:t>Landkreis Donau-Ries möchte flächendeckend PCR-Pooling anbieten.</w:t>
      </w:r>
    </w:p>
    <w:p w:rsidR="00013B61" w:rsidRDefault="00013B61" w:rsidP="00410A6F">
      <w:pPr>
        <w:pStyle w:val="LTAntwortRessortText"/>
        <w:spacing w:before="0"/>
      </w:pPr>
      <w:r>
        <w:t>Auch Stadt und Landkreis Würzburg haben sich für eine zügige Einführung</w:t>
      </w:r>
      <w:r w:rsidR="007E0C74">
        <w:t xml:space="preserve"> </w:t>
      </w:r>
      <w:r>
        <w:t>der Pooltestungen entschieden.</w:t>
      </w:r>
    </w:p>
    <w:p w:rsidR="00013B61" w:rsidRDefault="00013B61" w:rsidP="00013B61">
      <w:pPr>
        <w:pStyle w:val="LTAntwortRessortText"/>
      </w:pPr>
      <w:r>
        <w:t>Die Staatsregierung beurteilt die Teststrategie laufend und wird zur gegebenen</w:t>
      </w:r>
      <w:r w:rsidR="007E0C74">
        <w:t xml:space="preserve"> </w:t>
      </w:r>
      <w:r>
        <w:t>Zeit über eine Verlängerung des Förderprogramms entscheiden.</w:t>
      </w:r>
    </w:p>
    <w:p w:rsidR="00013B61" w:rsidRDefault="00013B61" w:rsidP="00013B61">
      <w:pPr>
        <w:pStyle w:val="LTAntwortRessortText"/>
      </w:pPr>
      <w:r>
        <w:t>Das StMAS hat zudem das Förderprogramm für das PCR-Pooling im</w:t>
      </w:r>
      <w:r w:rsidR="007E0C74">
        <w:t xml:space="preserve"> </w:t>
      </w:r>
      <w:r>
        <w:t>Bereich der Kindertagesbetreuung mit einer Reihe von Unterstützungsmaßnahmen</w:t>
      </w:r>
      <w:r w:rsidR="007E0C74">
        <w:t xml:space="preserve"> </w:t>
      </w:r>
      <w:r>
        <w:t>flankiert. Die Landkreise und kreisfreien Städte erhalten</w:t>
      </w:r>
      <w:r w:rsidR="007E0C74">
        <w:t xml:space="preserve"> </w:t>
      </w:r>
      <w:r>
        <w:t>so für allen Phasen der Einführung von PCR-Pool-Testungen eine entsprechende</w:t>
      </w:r>
      <w:r w:rsidR="007E0C74">
        <w:t xml:space="preserve"> </w:t>
      </w:r>
      <w:r>
        <w:t>Hilfestellung, näheres dazu findet sich unter</w:t>
      </w:r>
      <w:r w:rsidR="007E0C74">
        <w:t xml:space="preserve"> </w:t>
      </w:r>
      <w:hyperlink r:id="rId22" w:history="1">
        <w:r w:rsidRPr="009C4EC2">
          <w:rPr>
            <w:rStyle w:val="LTHyperlinkZchn"/>
            <w:b w:val="0"/>
          </w:rPr>
          <w:t>https://www.stmas.bayern.de/kinderbetreuung/pcr-pool-tests/index.php</w:t>
        </w:r>
      </w:hyperlink>
      <w:r w:rsidR="009C4EC2">
        <w:rPr>
          <w:rStyle w:val="LTHyperlinkZchn"/>
          <w:b w:val="0"/>
        </w:rPr>
        <w:t>.</w:t>
      </w:r>
    </w:p>
    <w:p w:rsidR="00013B61" w:rsidRDefault="00013B61">
      <w:bookmarkStart w:id="112" w:name="Frage_Nr_55_Ende"/>
      <w:bookmarkEnd w:id="112"/>
      <w:r>
        <w:br w:type="page"/>
      </w:r>
    </w:p>
    <w:p w:rsidR="00013B61" w:rsidRDefault="00013B61" w:rsidP="00013B61">
      <w:pPr>
        <w:pStyle w:val="LTUeberschrRessort"/>
      </w:pPr>
      <w:r>
        <w:lastRenderedPageBreak/>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C1DFC" w:rsidTr="008C1DFC">
        <w:tc>
          <w:tcPr>
            <w:tcW w:w="1883" w:type="dxa"/>
          </w:tcPr>
          <w:p w:rsidR="008C1DFC" w:rsidRDefault="008C1DFC" w:rsidP="008C1DFC">
            <w:pPr>
              <w:pStyle w:val="LTAnfrageInitiator"/>
            </w:pPr>
            <w:r>
              <w:t>Abgeordneter</w:t>
            </w:r>
            <w:r>
              <w:rPr>
                <w:b/>
              </w:rPr>
              <w:br/>
              <w:t>Benjamin</w:t>
            </w:r>
            <w:r>
              <w:rPr>
                <w:b/>
              </w:rPr>
              <w:br/>
              <w:t>Adjei</w:t>
            </w:r>
            <w:r>
              <w:rPr>
                <w:b/>
              </w:rPr>
              <w:br/>
            </w:r>
            <w:r>
              <w:t>(BÜNDNIS 90/DIE GRÜNEN)</w:t>
            </w:r>
            <w:bookmarkStart w:id="113" w:name="Frage_Nr_56"/>
            <w:bookmarkEnd w:id="113"/>
          </w:p>
        </w:tc>
        <w:tc>
          <w:tcPr>
            <w:tcW w:w="5733" w:type="dxa"/>
          </w:tcPr>
          <w:p w:rsidR="008C1DFC" w:rsidRPr="00D0635E" w:rsidRDefault="008C1DFC" w:rsidP="00D0635E">
            <w:pPr>
              <w:pStyle w:val="LTAnfrageText"/>
            </w:pPr>
            <w:r w:rsidRPr="00D0635E">
              <w:t>Ich frage die Staatsregierung, wie viele der Bewohnerinnen und Bewohner von Pflege- und Altenheimen in München haben bereits eine Corona-Auffrischimpfung (Boosterimpfung) erhalten (bitte aufschlüsseln nach absoluten und relativen Zahlen), mit welchen Maßnahmen wird in München gezielt vulnerablen, älteren und bewegungseingeschränkten Personen ein niedrigschwelliges Angebot zur Auffrischimpfung unterbreitet und wie bewertet die Staatsregierung die aktuelle Angebotssituation in München, angesichts von mehrstündigen und teils erfolglosen Wartezeiten?</w:t>
            </w:r>
          </w:p>
        </w:tc>
        <w:tc>
          <w:tcPr>
            <w:tcW w:w="5733" w:type="dxa"/>
          </w:tcPr>
          <w:p w:rsidR="008C1DFC" w:rsidRDefault="008C1DFC" w:rsidP="008C1DF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Die örtlichen Impfangebote werden von den Städten bzw. Landkreisen und den Impfzentren in</w:t>
      </w:r>
      <w:r w:rsidR="00EB12AF">
        <w:t xml:space="preserve"> </w:t>
      </w:r>
      <w:r>
        <w:t>eigener Verantwortung organisiert und selbstständig durchgeführt. Gerade die Impfzentren mit den</w:t>
      </w:r>
      <w:r w:rsidR="00EB12AF">
        <w:t xml:space="preserve"> </w:t>
      </w:r>
      <w:r>
        <w:t>mobilen Impfteams bieten den Alten- und Pflegeheimen wie bereits zu Beginn der Impfkampagne</w:t>
      </w:r>
      <w:r w:rsidR="00EB12AF">
        <w:t xml:space="preserve"> </w:t>
      </w:r>
      <w:r>
        <w:t>eine niedrigschwellige Möglichkeit an, vor Ort sich impfen zu lassen.</w:t>
      </w:r>
    </w:p>
    <w:p w:rsidR="00013B61" w:rsidRDefault="00013B61" w:rsidP="00013B61">
      <w:pPr>
        <w:pStyle w:val="LTAntwortRessortText"/>
      </w:pPr>
      <w:r>
        <w:t>Auf Anfrage hat die Landeshauptstadt München zum Stand der Auffrischungsimpfungen in den</w:t>
      </w:r>
      <w:r w:rsidR="00EB12AF">
        <w:t xml:space="preserve"> </w:t>
      </w:r>
      <w:r>
        <w:t>Alten- und Pflegheimen sowie zu bestehenden niedrigschwelligen Impfangeboten Folgendes</w:t>
      </w:r>
      <w:r w:rsidR="00EB12AF">
        <w:t xml:space="preserve"> </w:t>
      </w:r>
      <w:r>
        <w:t>mitgeteilt:</w:t>
      </w:r>
    </w:p>
    <w:p w:rsidR="00013B61" w:rsidRDefault="009C4EC2" w:rsidP="00410A6F">
      <w:pPr>
        <w:pStyle w:val="LTAntwortRessortText"/>
        <w:spacing w:before="0"/>
      </w:pPr>
      <w:r>
        <w:t>Insgesamt haben bisher rund 3 </w:t>
      </w:r>
      <w:r w:rsidR="00013B61">
        <w:t>696 Bewohner von Alten- und Pflegeheimen, Senioren- und</w:t>
      </w:r>
      <w:r w:rsidR="00EB12AF">
        <w:t xml:space="preserve"> </w:t>
      </w:r>
      <w:r w:rsidR="00013B61">
        <w:t>Behinderteneinrichtungen eine Auffrischungsimpfung erhalten.</w:t>
      </w:r>
    </w:p>
    <w:p w:rsidR="00013B61" w:rsidRDefault="00013B61" w:rsidP="00410A6F">
      <w:pPr>
        <w:pStyle w:val="LTAntwortRessortText"/>
        <w:spacing w:before="0"/>
      </w:pPr>
      <w:r>
        <w:t xml:space="preserve">Seit 9. Oktober </w:t>
      </w:r>
      <w:r w:rsidR="009E2BB7">
        <w:t xml:space="preserve">2021 </w:t>
      </w:r>
      <w:r>
        <w:t xml:space="preserve">werden entsprechend der STIKO-Empfehlung </w:t>
      </w:r>
      <w:r w:rsidR="009E2BB7">
        <w:t xml:space="preserve">(STIKO = Ständige Impfkommission) </w:t>
      </w:r>
      <w:r>
        <w:t>auf Anfrage Alten- und Pflegeheime</w:t>
      </w:r>
      <w:r w:rsidR="00EB12AF">
        <w:t xml:space="preserve"> </w:t>
      </w:r>
      <w:r>
        <w:t>sowie Senioreneinrichtungen und Behinderteneinrichtungen von den mobilen Impfteams der Aicher</w:t>
      </w:r>
      <w:r w:rsidR="00EB12AF">
        <w:t xml:space="preserve"> </w:t>
      </w:r>
      <w:r>
        <w:t>Ambulanz angefahren. Alle Einrichtungen wurden angeschrieben und informiert, dass wieder mobile</w:t>
      </w:r>
      <w:r w:rsidR="00EB12AF">
        <w:t xml:space="preserve"> </w:t>
      </w:r>
      <w:r>
        <w:t>Teams angefordert werden können. Diese Anfragen wurden und werden prioritär und zeitnah durch</w:t>
      </w:r>
      <w:r w:rsidR="00EB12AF">
        <w:t xml:space="preserve"> </w:t>
      </w:r>
      <w:r>
        <w:t>das Impfzentrum bedient. Zusätzlich erfolgten Auffrischungsimpfungen in Alten- und Pflegeheimen</w:t>
      </w:r>
      <w:r w:rsidR="00EB12AF">
        <w:t xml:space="preserve"> </w:t>
      </w:r>
      <w:r>
        <w:t>durch die betreuenden Hausärzte, hierzu liegen uns keine Zahlen vor. Eine erneute telefonische</w:t>
      </w:r>
      <w:r w:rsidR="00EB12AF">
        <w:t xml:space="preserve"> </w:t>
      </w:r>
      <w:r>
        <w:t>Abfrage der Einrichtungen von letzter Woche zeigt, dass damit die Bedarfe der Alten- und</w:t>
      </w:r>
      <w:r w:rsidR="00EB12AF">
        <w:t xml:space="preserve"> </w:t>
      </w:r>
      <w:r>
        <w:t>Pflegeheime in München gut abgedeckt sind.</w:t>
      </w:r>
    </w:p>
    <w:p w:rsidR="00013B61" w:rsidRDefault="00013B61" w:rsidP="00410A6F">
      <w:pPr>
        <w:pStyle w:val="LTAntwortRessortText"/>
        <w:spacing w:before="0"/>
      </w:pPr>
      <w:r>
        <w:t>Zusätzlich hat das Impfzentrum München frühzeitig die Ansprache schwer erreichbarer Gruppen ins</w:t>
      </w:r>
      <w:r w:rsidR="00EB12AF">
        <w:t xml:space="preserve"> </w:t>
      </w:r>
      <w:r>
        <w:t>Auge gefasst und eine Vielzahl von Aktionen durchgeführt. Hierzu wurden fortlaufend Aktionen in</w:t>
      </w:r>
      <w:r w:rsidR="00EB12AF">
        <w:t xml:space="preserve"> </w:t>
      </w:r>
      <w:r>
        <w:t>entsprechenden Stadtteilen, im Sozialreferat, in Moscheen, Alten- und Servicezentren, in Kirchen</w:t>
      </w:r>
      <w:r w:rsidR="00EB12AF">
        <w:t xml:space="preserve"> </w:t>
      </w:r>
      <w:r>
        <w:t>und Sozialbürgerhäusern durchgeführt. In Zusammenarbeit mit dem Sozialreferat,</w:t>
      </w:r>
      <w:r w:rsidR="00EB12AF">
        <w:t xml:space="preserve"> </w:t>
      </w:r>
      <w:r>
        <w:t>Wohlfahrtsverbänden, MIMI (Migranten für Migranten) und Dolmetsc</w:t>
      </w:r>
      <w:r w:rsidR="00EB12AF">
        <w:t xml:space="preserve">hern ist das Gesundheitsreferat </w:t>
      </w:r>
      <w:r>
        <w:t>auf schwer erreichbare Gruppen zugegangen und hat sich intensiv um eine Erhöhung der Impfquote</w:t>
      </w:r>
      <w:r w:rsidR="00EB12AF">
        <w:t xml:space="preserve"> </w:t>
      </w:r>
      <w:r>
        <w:t xml:space="preserve">bemüht. Es erfolgten zahlreiche weitere Impfaktion, so </w:t>
      </w:r>
      <w:r w:rsidR="004A5D9A">
        <w:t>z. B.</w:t>
      </w:r>
      <w:r>
        <w:t xml:space="preserve"> für Obdachlose in St. Bonifaz,</w:t>
      </w:r>
      <w:r w:rsidR="00EB12AF">
        <w:t xml:space="preserve"> </w:t>
      </w:r>
      <w:r>
        <w:t>Impfungen in Sozialbürgerhäusern, Bahnhofsmission etc.</w:t>
      </w:r>
    </w:p>
    <w:p w:rsidR="00013B61" w:rsidRDefault="00013B61" w:rsidP="00013B61">
      <w:pPr>
        <w:pStyle w:val="LTAntwortRessortText"/>
      </w:pPr>
      <w:r>
        <w:t>Die Impfzentren können aufgrund der nun bestehenden, dringenden pandemischen Bedarfe auf die</w:t>
      </w:r>
      <w:r w:rsidR="00EB12AF">
        <w:t xml:space="preserve"> </w:t>
      </w:r>
      <w:r>
        <w:t>Reservekapazitäten zurückgreifen, die sie im Rahmen des Stand-by-Betriebs seit Oktober vorhalten.</w:t>
      </w:r>
    </w:p>
    <w:p w:rsidR="00013B61" w:rsidRDefault="00013B61" w:rsidP="00410A6F">
      <w:pPr>
        <w:pStyle w:val="LTAntwortRessortText"/>
        <w:spacing w:before="0"/>
      </w:pPr>
      <w:r>
        <w:t>Die Impfzentren nutzen die getroffenen Vorkehrungen und steigern ihre Kapazitäten, sodass</w:t>
      </w:r>
      <w:r w:rsidR="00EB12AF">
        <w:t xml:space="preserve"> </w:t>
      </w:r>
      <w:r>
        <w:t>entsprechend den örtlichen Bedarfen ein ausreichendes Angebot zur Verfügung gestellt werden</w:t>
      </w:r>
      <w:r w:rsidR="00EB12AF">
        <w:t xml:space="preserve"> </w:t>
      </w:r>
      <w:r>
        <w:t>kann.</w:t>
      </w:r>
    </w:p>
    <w:p w:rsidR="00013B61" w:rsidRDefault="00013B61">
      <w:bookmarkStart w:id="114" w:name="Frage_Nr_56_Ende"/>
      <w:bookmarkEnd w:id="114"/>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8C1DFC" w:rsidTr="008C1DFC">
        <w:tc>
          <w:tcPr>
            <w:tcW w:w="1917" w:type="dxa"/>
          </w:tcPr>
          <w:p w:rsidR="008C1DFC" w:rsidRDefault="008C1DFC" w:rsidP="008C1DFC">
            <w:pPr>
              <w:pStyle w:val="LTAnfrageInitiator"/>
            </w:pPr>
            <w:r>
              <w:lastRenderedPageBreak/>
              <w:t>Abgeordneter</w:t>
            </w:r>
            <w:r>
              <w:rPr>
                <w:b/>
              </w:rPr>
              <w:br/>
              <w:t>Franz</w:t>
            </w:r>
            <w:r>
              <w:rPr>
                <w:b/>
              </w:rPr>
              <w:br/>
              <w:t>Bergmüller</w:t>
            </w:r>
            <w:r>
              <w:rPr>
                <w:b/>
              </w:rPr>
              <w:br/>
            </w:r>
            <w:r>
              <w:t>(AfD)</w:t>
            </w:r>
            <w:bookmarkStart w:id="115" w:name="Frage_Nr_57"/>
            <w:bookmarkEnd w:id="115"/>
          </w:p>
        </w:tc>
        <w:tc>
          <w:tcPr>
            <w:tcW w:w="5699" w:type="dxa"/>
          </w:tcPr>
          <w:p w:rsidR="008C1DFC" w:rsidRPr="00D0635E" w:rsidRDefault="008C1DFC" w:rsidP="00D0635E">
            <w:pPr>
              <w:pStyle w:val="LTAnfrageText"/>
            </w:pPr>
            <w:r w:rsidRPr="00D0635E">
              <w:t>Ich frage die Staatsregierung, welche Rechtsgrundlagen sie z. B. auch mit Hilfe des Landesamts für Gesundheit und Lebensmittelsicherheit (LGL) den Krankenhäusern/Gesundheitsämtern etc. zur Verfügung stellt, die geeignet sind, die Feststellung einer Kennziffer eines in Bayern gelegenen Krankenhauses zu ermitteln, die dann in die „Hospitalisierungs-Inzidenz“ einfließt, welche Rechtsgrundlagen die Staatsregierung z. B. mit Hilfe des LGL den Krankenhäusern und/oder Gesundheitsämtern zur Verfügung stellt, die geeignet sind, die eben abgefragte „Hospitalisierungs-Inzidenz“ dann in eine „7-Tage-Hospitalisierungs-Inzidenz pro 100 000 Einwohner – Geimpfte“ und in eine „7-Tage-Hospitalisierungs-Inzidenz pro 100 000 Einwohner – Ungeimpfte“ aufzusplitten und wie gemäß dieser Vorgaben eine zweifach geimpfte Person jeweils in die Hospitalisierungs-Inzidenz einzurechnen ist in Bezug auf das Datum der erfolgten Impfung?</w:t>
            </w:r>
          </w:p>
        </w:tc>
        <w:tc>
          <w:tcPr>
            <w:tcW w:w="5699" w:type="dxa"/>
          </w:tcPr>
          <w:p w:rsidR="008C1DFC" w:rsidRDefault="008C1DFC" w:rsidP="008C1DF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 xml:space="preserve">Unklar ist, was der Fragesteller mit der </w:t>
      </w:r>
      <w:r w:rsidR="00E832CF">
        <w:t>„</w:t>
      </w:r>
      <w:r>
        <w:t>Feststellung einer Kennziffer eines in Bayern gelegenen</w:t>
      </w:r>
      <w:r w:rsidR="00923B9D">
        <w:t xml:space="preserve"> </w:t>
      </w:r>
      <w:r>
        <w:t xml:space="preserve">Krankenhauses [...], die dann in die </w:t>
      </w:r>
      <w:r w:rsidR="00E832CF">
        <w:t>„</w:t>
      </w:r>
      <w:r>
        <w:t>Hospitalisierungs-Inzidenz</w:t>
      </w:r>
      <w:r w:rsidR="00E832CF">
        <w:t>“</w:t>
      </w:r>
      <w:r>
        <w:t xml:space="preserve"> einfließt</w:t>
      </w:r>
      <w:r w:rsidR="00E832CF">
        <w:t>“</w:t>
      </w:r>
      <w:r>
        <w:t>, meint.</w:t>
      </w:r>
    </w:p>
    <w:p w:rsidR="00013B61" w:rsidRDefault="00013B61" w:rsidP="000A51A5">
      <w:pPr>
        <w:pStyle w:val="LTAntwortRessortText"/>
        <w:spacing w:before="0"/>
      </w:pPr>
      <w:r>
        <w:t>Daher können nur allgemeine Ausführungen zur Berechnung der 7-Tage-Hospitalisierungsinzidenz</w:t>
      </w:r>
      <w:r w:rsidR="00923B9D">
        <w:t xml:space="preserve"> </w:t>
      </w:r>
      <w:r>
        <w:t xml:space="preserve">erfolgen. Gemäß § 28a Abs. 3 Satz 4 Infektionsschutzgesetz (IfSG= </w:t>
      </w:r>
      <w:r w:rsidR="00E832CF">
        <w:t>„</w:t>
      </w:r>
      <w:r>
        <w:t>Rechtsgrundlage</w:t>
      </w:r>
      <w:r w:rsidR="00E832CF">
        <w:t>“</w:t>
      </w:r>
      <w:r>
        <w:t>) ist</w:t>
      </w:r>
      <w:r w:rsidR="00923B9D">
        <w:t xml:space="preserve"> </w:t>
      </w:r>
      <w:r>
        <w:t>wesentlicher Maßstab für weitergehende Schutzmaßnahmen insbesondere die Anzahl der in</w:t>
      </w:r>
      <w:r w:rsidR="00923B9D">
        <w:t xml:space="preserve"> </w:t>
      </w:r>
      <w:r>
        <w:t>Bezug auf COVID-19 in ein Krankenhaus aufgenommenen</w:t>
      </w:r>
      <w:r w:rsidR="00C474B7">
        <w:t xml:space="preserve"> Personen je 100 </w:t>
      </w:r>
      <w:r>
        <w:t>000 Einwohner</w:t>
      </w:r>
      <w:r w:rsidR="00923B9D">
        <w:t xml:space="preserve"> </w:t>
      </w:r>
      <w:r>
        <w:t>innerhalb von sieben Tagen. Dies ist die sog. 7-Tage-Hospitalisierungsinzidenz.</w:t>
      </w:r>
    </w:p>
    <w:p w:rsidR="00013B61" w:rsidRDefault="00013B61" w:rsidP="000A51A5">
      <w:pPr>
        <w:pStyle w:val="LTAntwortRessortText"/>
        <w:spacing w:before="0"/>
      </w:pPr>
      <w:r>
        <w:t>Eine Inzidenz hat immer einen Zeit- und einen Populationsbezug. Der Zeitbezug ist sieben Tage.</w:t>
      </w:r>
    </w:p>
    <w:p w:rsidR="00013B61" w:rsidRDefault="00013B61" w:rsidP="000A51A5">
      <w:pPr>
        <w:pStyle w:val="LTAntwortRessortText"/>
        <w:spacing w:before="0"/>
      </w:pPr>
      <w:r>
        <w:t>Die Population, auf die sich die 7-Tage-Hospitalisierungsinzidenz bezieht, sind die Einwohner</w:t>
      </w:r>
      <w:r w:rsidR="00923B9D">
        <w:t xml:space="preserve"> </w:t>
      </w:r>
      <w:r>
        <w:t>Bayerns insgesamt. Im Falle der 7-Tage-Hospitalisierungsinzidenz der Geimpften und der 7-Tage-Hospitalisierungsinzidenz der Ungeimpften, beziehen sich diese jeweils auf die Gesamtzahl der</w:t>
      </w:r>
      <w:r w:rsidR="00923B9D">
        <w:t xml:space="preserve"> </w:t>
      </w:r>
      <w:r>
        <w:t>Geimpften und Ungeimpften in Bayern.</w:t>
      </w:r>
    </w:p>
    <w:p w:rsidR="00013B61" w:rsidRDefault="00013B61" w:rsidP="000A51A5">
      <w:pPr>
        <w:pStyle w:val="LTAntwortRessortText"/>
        <w:spacing w:before="0"/>
      </w:pPr>
      <w:r>
        <w:t>Für die Berechnung der Hospitalisierungsinzidenz werden aktuell in Bayern im Gleichklang mit</w:t>
      </w:r>
      <w:r w:rsidR="00923B9D">
        <w:t xml:space="preserve"> </w:t>
      </w:r>
      <w:r>
        <w:t>dem Robert Koch-Institut (RKI) die durch die meldepflichtigen Personen (</w:t>
      </w:r>
      <w:r w:rsidR="004A5D9A">
        <w:t>z. B.</w:t>
      </w:r>
      <w:r>
        <w:t xml:space="preserve"> durch den</w:t>
      </w:r>
      <w:r w:rsidR="00923B9D">
        <w:t xml:space="preserve"> </w:t>
      </w:r>
      <w:r>
        <w:t>behandelnden Arzt im Krankenhaus) übermittelten Meldedaten nach I</w:t>
      </w:r>
      <w:r w:rsidR="00C474B7">
        <w:t xml:space="preserve">nfektionsschutzgesetz </w:t>
      </w:r>
      <w:r>
        <w:t>verwendet. Diese</w:t>
      </w:r>
      <w:r w:rsidR="00923B9D">
        <w:t xml:space="preserve"> </w:t>
      </w:r>
      <w:r>
        <w:t>werden nach Impfstatus unterteilt und den Bevölkerungszahlen für Geimpfte und Ungeimpfte aus</w:t>
      </w:r>
      <w:r w:rsidR="00923B9D">
        <w:t xml:space="preserve"> </w:t>
      </w:r>
      <w:r>
        <w:t>dem Digitalen Impfquotenmonitoring des R</w:t>
      </w:r>
      <w:r w:rsidR="00C474B7">
        <w:t xml:space="preserve">obert Koch-Instituts (RKI) – siehe </w:t>
      </w:r>
      <w:hyperlink r:id="rId23" w:history="1">
        <w:r w:rsidR="00923B9D" w:rsidRPr="00C474B7">
          <w:rPr>
            <w:rStyle w:val="LTHyperlinkZchn"/>
            <w:b w:val="0"/>
          </w:rPr>
          <w:t>https://www.rki.de/DE/Content/InfAZ/N/Neuartiges_Coronavirus/Daten/Impfquoten-Tab.html</w:t>
        </w:r>
      </w:hyperlink>
      <w:r w:rsidR="00923B9D">
        <w:t xml:space="preserve"> </w:t>
      </w:r>
      <w:r w:rsidR="00C474B7">
        <w:t xml:space="preserve">– </w:t>
      </w:r>
      <w:r>
        <w:t>gegenübergestellt. Auf dieser Seite des RKI zum Digitalen Impfquotenmonitoring (DIM) kann eine</w:t>
      </w:r>
      <w:r w:rsidR="00923B9D">
        <w:t xml:space="preserve"> </w:t>
      </w:r>
      <w:r>
        <w:t>Excel-Tabelle, die montags bis freitags aktualisiert wird, mit den aktuellen Impfzahlen abgerufen</w:t>
      </w:r>
      <w:r w:rsidR="00923B9D">
        <w:t xml:space="preserve"> </w:t>
      </w:r>
      <w:r>
        <w:t>werden. Aus den aktuellen Impfzahlen ergeben sich zusammen mit den Daten des Statistischen</w:t>
      </w:r>
      <w:r w:rsidR="00923B9D">
        <w:t xml:space="preserve"> </w:t>
      </w:r>
      <w:r>
        <w:t>Bundesamtes für Bayern die Grundgesamtheiten für die Berechnung der 7-Tage-Hospitalisierungsinzidenzen der Geimpften und Ungeimpften. Als geimpfte COVID-19</w:t>
      </w:r>
      <w:r w:rsidR="00C474B7">
        <w:t>-</w:t>
      </w:r>
      <w:r>
        <w:t>Fälle</w:t>
      </w:r>
      <w:r w:rsidR="00923B9D">
        <w:t xml:space="preserve"> </w:t>
      </w:r>
      <w:r>
        <w:t>werden Personen gezählt, die zum Zeitpunkt der Infektion einen vollständigen Impfschutz hatten</w:t>
      </w:r>
      <w:r w:rsidR="00923B9D">
        <w:t xml:space="preserve"> </w:t>
      </w:r>
      <w:r>
        <w:t>(abgeschlossene Impfserie, nach der mindestens 14 Tage vergangen sind). Als ungeimpfte</w:t>
      </w:r>
      <w:r w:rsidR="00923B9D">
        <w:t xml:space="preserve"> </w:t>
      </w:r>
      <w:r w:rsidR="00C474B7">
        <w:t>COVID-19-</w:t>
      </w:r>
      <w:r>
        <w:t>Fälle werden Personen gezählt, die zum Zeitpunkt der Infektion keine einzige Impfung</w:t>
      </w:r>
      <w:r w:rsidR="00923B9D">
        <w:t xml:space="preserve"> </w:t>
      </w:r>
      <w:r>
        <w:t>erhalten hatten oder bei denen keine Angabe dazu vorliegt.</w:t>
      </w:r>
    </w:p>
    <w:p w:rsidR="00013B61" w:rsidRDefault="00013B61" w:rsidP="000A51A5">
      <w:pPr>
        <w:pStyle w:val="LTAntwortRessortText"/>
        <w:spacing w:before="0"/>
      </w:pPr>
      <w:r>
        <w:lastRenderedPageBreak/>
        <w:t xml:space="preserve">Das </w:t>
      </w:r>
      <w:r w:rsidR="00C474B7">
        <w:t>LGL</w:t>
      </w:r>
      <w:r>
        <w:t xml:space="preserve"> wertet auf Basis</w:t>
      </w:r>
      <w:r w:rsidR="00923B9D">
        <w:t xml:space="preserve"> </w:t>
      </w:r>
      <w:r>
        <w:t>dieser Grundlage die Inzidenzen für ganz Bayern aus und veröffentlicht die Werte unter anderem</w:t>
      </w:r>
      <w:r w:rsidR="00923B9D">
        <w:t xml:space="preserve"> </w:t>
      </w:r>
      <w:r>
        <w:t>differenziert nach dem Impfstatus auf seiner Homepage</w:t>
      </w:r>
      <w:r w:rsidR="00923B9D">
        <w:t xml:space="preserve"> </w:t>
      </w:r>
      <w:r>
        <w:t>(</w:t>
      </w:r>
      <w:hyperlink r:id="rId24" w:history="1">
        <w:r w:rsidRPr="00C474B7">
          <w:rPr>
            <w:rStyle w:val="LTHyperlinkZchn"/>
            <w:b w:val="0"/>
          </w:rPr>
          <w:t>https://www.lgl.bayern.de/gesundheit/infektionsschutz/infektionskrankheiten_a_z/coronavirus/karte_coronavirus/index.htm#inzidenzgeimpft</w:t>
        </w:r>
      </w:hyperlink>
      <w:r>
        <w:t>).</w:t>
      </w:r>
    </w:p>
    <w:p w:rsidR="00013B61" w:rsidRDefault="00013B61">
      <w:bookmarkStart w:id="116" w:name="Frage_Nr_57_Ende"/>
      <w:bookmarkEnd w:id="116"/>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8C1DFC" w:rsidTr="008C1DFC">
        <w:tc>
          <w:tcPr>
            <w:tcW w:w="1862" w:type="dxa"/>
          </w:tcPr>
          <w:p w:rsidR="008C1DFC" w:rsidRDefault="008C1DFC" w:rsidP="008C1DFC">
            <w:pPr>
              <w:pStyle w:val="LTAnfrageInitiator"/>
            </w:pPr>
            <w:r>
              <w:lastRenderedPageBreak/>
              <w:t>Abgeordneter</w:t>
            </w:r>
            <w:r>
              <w:rPr>
                <w:b/>
              </w:rPr>
              <w:br/>
              <w:t>Florian</w:t>
            </w:r>
            <w:r>
              <w:rPr>
                <w:b/>
              </w:rPr>
              <w:br/>
              <w:t>von Brunn</w:t>
            </w:r>
            <w:r>
              <w:rPr>
                <w:b/>
              </w:rPr>
              <w:br/>
            </w:r>
            <w:r>
              <w:t>(SPD)</w:t>
            </w:r>
            <w:bookmarkStart w:id="117" w:name="Frage_Nr_58"/>
            <w:bookmarkEnd w:id="117"/>
          </w:p>
        </w:tc>
        <w:tc>
          <w:tcPr>
            <w:tcW w:w="5754" w:type="dxa"/>
          </w:tcPr>
          <w:p w:rsidR="008C1DFC" w:rsidRPr="00D0635E" w:rsidRDefault="008C1DFC" w:rsidP="00D0635E">
            <w:pPr>
              <w:pStyle w:val="LTAnfrageText"/>
            </w:pPr>
            <w:r w:rsidRPr="00D0635E">
              <w:t>Ich frage die Staatsregierung, wie viele Kinder und Jugendlichen in Bayern seit 27.01.2020 an COVID-19 erkrankt sind, wie viele Kinder und Jugendliche in Bayern unter Long Covid litten oder leiden, und wie viele Kinder und Jugendliche in Bayern seit 27.01.2020 bis heute an COVID-19 verstorben sind?</w:t>
            </w:r>
          </w:p>
        </w:tc>
        <w:tc>
          <w:tcPr>
            <w:tcW w:w="5754" w:type="dxa"/>
          </w:tcPr>
          <w:p w:rsidR="008C1DFC" w:rsidRDefault="008C1DFC" w:rsidP="008C1DF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Seit 27.01.2020 sind nach den Daten des Landesamts für Gesundheit und</w:t>
      </w:r>
      <w:r w:rsidR="00583920">
        <w:t xml:space="preserve"> </w:t>
      </w:r>
      <w:r>
        <w:t>Lebensmitte</w:t>
      </w:r>
      <w:r w:rsidR="00C474B7">
        <w:t>lsicherheit (LGL) insgesamt 207 </w:t>
      </w:r>
      <w:r>
        <w:t>533 Kinder und Jugen</w:t>
      </w:r>
      <w:r w:rsidR="00C474B7">
        <w:t>dliche in Bayern im Alter von 0 bis</w:t>
      </w:r>
      <w:r w:rsidR="00583920">
        <w:t xml:space="preserve"> </w:t>
      </w:r>
      <w:r>
        <w:t>19 Jahren an dem Coronavirus SARS-CoV</w:t>
      </w:r>
      <w:r w:rsidR="00C474B7">
        <w:t>-2 erkrankt (Stand 23.11.2021 8.</w:t>
      </w:r>
      <w:r>
        <w:t>00 Uhr). Davon sind</w:t>
      </w:r>
      <w:r w:rsidR="00583920">
        <w:t xml:space="preserve"> </w:t>
      </w:r>
      <w:r>
        <w:t>nach den Daten des LGL sechs Kinder und Jugendliche in Bayern verstorben (Stand 23.11.2021</w:t>
      </w:r>
      <w:r w:rsidR="00583920">
        <w:t xml:space="preserve"> </w:t>
      </w:r>
      <w:r>
        <w:t>8:00 Uhr).</w:t>
      </w:r>
    </w:p>
    <w:p w:rsidR="00013B61" w:rsidRDefault="00013B61" w:rsidP="000A51A5">
      <w:pPr>
        <w:pStyle w:val="LTAntwortRessortText"/>
        <w:spacing w:before="0"/>
      </w:pPr>
      <w:r>
        <w:t>Exakte Zahlen über die Anzahl der Kinder und Jugendlichen in Bayern, die unter Long Covid</w:t>
      </w:r>
      <w:r w:rsidR="00583920">
        <w:t xml:space="preserve"> </w:t>
      </w:r>
      <w:r>
        <w:t>leiden oder litten, liegen nicht vor. Einige internationale Studien gehen davon aus, dass zwischen</w:t>
      </w:r>
      <w:r w:rsidR="00583920">
        <w:t xml:space="preserve"> </w:t>
      </w:r>
      <w:r>
        <w:t xml:space="preserve">2 </w:t>
      </w:r>
      <w:r w:rsidR="004A5D9A">
        <w:t>Prozent</w:t>
      </w:r>
      <w:r>
        <w:t xml:space="preserve"> und 5 </w:t>
      </w:r>
      <w:r w:rsidR="004A5D9A">
        <w:t>Prozent</w:t>
      </w:r>
      <w:r>
        <w:t xml:space="preserve"> der an dem Coronavirus SARS-CoV-2</w:t>
      </w:r>
      <w:r w:rsidR="006D224F">
        <w:t xml:space="preserve"> </w:t>
      </w:r>
      <w:r>
        <w:t>erkrankten Kinder und Jugendlichen später</w:t>
      </w:r>
      <w:r w:rsidR="00583920">
        <w:t xml:space="preserve"> </w:t>
      </w:r>
      <w:r>
        <w:t>auch an Long Covid bzw. Post Covid leiden</w:t>
      </w:r>
      <w:r w:rsidR="00583920">
        <w:t>.</w:t>
      </w:r>
    </w:p>
    <w:p w:rsidR="00013B61" w:rsidRDefault="00013B61">
      <w:bookmarkStart w:id="118" w:name="Frage_Nr_58_Ende"/>
      <w:bookmarkEnd w:id="118"/>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8C1DFC" w:rsidTr="008C1DFC">
        <w:tc>
          <w:tcPr>
            <w:tcW w:w="1846" w:type="dxa"/>
          </w:tcPr>
          <w:p w:rsidR="008C1DFC" w:rsidRDefault="008C1DFC" w:rsidP="008C1DFC">
            <w:pPr>
              <w:pStyle w:val="LTAnfrageInitiator"/>
            </w:pPr>
            <w:r>
              <w:lastRenderedPageBreak/>
              <w:t>Abgeordnete</w:t>
            </w:r>
            <w:r>
              <w:rPr>
                <w:b/>
              </w:rPr>
              <w:br/>
              <w:t>Dr. Anne</w:t>
            </w:r>
            <w:r>
              <w:rPr>
                <w:b/>
              </w:rPr>
              <w:br/>
              <w:t>Cyron</w:t>
            </w:r>
            <w:r>
              <w:rPr>
                <w:b/>
              </w:rPr>
              <w:br/>
            </w:r>
            <w:r>
              <w:t>(AfD)</w:t>
            </w:r>
            <w:bookmarkStart w:id="119" w:name="Frage_Nr_59"/>
            <w:bookmarkEnd w:id="119"/>
          </w:p>
        </w:tc>
        <w:tc>
          <w:tcPr>
            <w:tcW w:w="5770" w:type="dxa"/>
          </w:tcPr>
          <w:p w:rsidR="008C1DFC" w:rsidRPr="00D0635E" w:rsidRDefault="008C1DFC" w:rsidP="00D0635E">
            <w:pPr>
              <w:pStyle w:val="LTAnfrageText"/>
            </w:pPr>
            <w:r w:rsidRPr="00D0635E">
              <w:t>Ich frage die Staatsregierung, wie viele Menschen in Bayern können aufgrund einer Kontraindikation keine COVID-19-Impfung erhalten, weswegen sie als impfunfähig gelten und nach welchen Kriterien liegt eine Kontraindikation bei COVID-19-Impfungen vor und können Inhabe</w:t>
            </w:r>
            <w:r w:rsidR="008C6E0D">
              <w:t>r oder Betreiber trotz der in § </w:t>
            </w:r>
            <w:r w:rsidRPr="00D0635E">
              <w:t xml:space="preserve">17 Satz 2 Nr. 2 Buchstabe b der Bayerischen Infektionsschutzmaßnahmenverordnung </w:t>
            </w:r>
            <w:r w:rsidR="008C6E0D">
              <w:t xml:space="preserve">(BayIfSMV) </w:t>
            </w:r>
            <w:r w:rsidRPr="00D0635E">
              <w:t>geregelten Ausnahmen von ihrem Hausrecht Gebrauch machen und impfunfähige Menschen abweisen?</w:t>
            </w:r>
          </w:p>
        </w:tc>
        <w:tc>
          <w:tcPr>
            <w:tcW w:w="5770" w:type="dxa"/>
          </w:tcPr>
          <w:p w:rsidR="008C1DFC" w:rsidRDefault="008C1DFC" w:rsidP="008C1DF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Für folgende Personengruppen kann grundsätzlich eine Kontraindikation für die COVID-19-Impfung bestehen:</w:t>
      </w:r>
    </w:p>
    <w:p w:rsidR="00013B61" w:rsidRDefault="00013B61" w:rsidP="00F000BB">
      <w:pPr>
        <w:pStyle w:val="LTAntwortRessortText"/>
        <w:numPr>
          <w:ilvl w:val="1"/>
          <w:numId w:val="35"/>
        </w:numPr>
        <w:spacing w:before="0"/>
        <w:ind w:left="697" w:hanging="357"/>
      </w:pPr>
      <w:r>
        <w:t>Überempfindlichkeit/Allergie gegen Impfstoffbestandteil (sehr selten, Anzahl unbekannt)</w:t>
      </w:r>
    </w:p>
    <w:p w:rsidR="00013B61" w:rsidRDefault="00013B61" w:rsidP="00F000BB">
      <w:pPr>
        <w:pStyle w:val="LTAntwortRessortText"/>
        <w:numPr>
          <w:ilvl w:val="1"/>
          <w:numId w:val="35"/>
        </w:numPr>
        <w:spacing w:before="0"/>
        <w:ind w:left="697" w:hanging="357"/>
      </w:pPr>
      <w:r>
        <w:t>Schwangere jew</w:t>
      </w:r>
      <w:r w:rsidR="008C6E0D">
        <w:t>eils im ersten Trimenon: ca. 44 </w:t>
      </w:r>
      <w:r>
        <w:t>000</w:t>
      </w:r>
    </w:p>
    <w:p w:rsidR="00013B61" w:rsidRDefault="00013B61" w:rsidP="00F000BB">
      <w:pPr>
        <w:pStyle w:val="LTAntwortRessortText"/>
        <w:numPr>
          <w:ilvl w:val="1"/>
          <w:numId w:val="35"/>
        </w:numPr>
        <w:spacing w:before="0"/>
        <w:ind w:left="697" w:hanging="357"/>
      </w:pPr>
      <w:r>
        <w:t>Zustand nach Infektion m</w:t>
      </w:r>
      <w:r w:rsidR="008C6E0D">
        <w:t>it COVID-19 in den vergangenen sechs Monaten: derzeit ca. 386 </w:t>
      </w:r>
      <w:r>
        <w:t>000</w:t>
      </w:r>
      <w:r w:rsidR="003E5335">
        <w:t xml:space="preserve"> </w:t>
      </w:r>
      <w:r>
        <w:t>(ohne Verstorbene), diese Gruppe ist aber nicht gleichzusetzen mit Fällen der</w:t>
      </w:r>
      <w:r w:rsidR="003E5335">
        <w:t xml:space="preserve"> </w:t>
      </w:r>
      <w:r>
        <w:t>Impfunfähigkeit</w:t>
      </w:r>
    </w:p>
    <w:p w:rsidR="00013B61" w:rsidRDefault="00013B61" w:rsidP="00F000BB">
      <w:pPr>
        <w:pStyle w:val="LTAntwortRessortText"/>
        <w:numPr>
          <w:ilvl w:val="1"/>
          <w:numId w:val="35"/>
        </w:numPr>
        <w:spacing w:before="0"/>
        <w:ind w:left="697" w:hanging="357"/>
      </w:pPr>
      <w:r>
        <w:t>Impfunfähigkeit auf Grund einer akuten Erkrankung: hierzu liegen der Staatsregierung</w:t>
      </w:r>
      <w:r w:rsidR="003E5335">
        <w:t xml:space="preserve"> </w:t>
      </w:r>
      <w:r>
        <w:t>keine belastbaren Zahlen vor</w:t>
      </w:r>
    </w:p>
    <w:p w:rsidR="00013B61" w:rsidRDefault="008C6E0D" w:rsidP="00F000BB">
      <w:pPr>
        <w:pStyle w:val="LTAntwortRessortText"/>
        <w:numPr>
          <w:ilvl w:val="1"/>
          <w:numId w:val="35"/>
        </w:numPr>
        <w:spacing w:before="0"/>
        <w:ind w:left="697" w:hanging="357"/>
      </w:pPr>
      <w:r>
        <w:t>Kinder unter zwölf Jahren –</w:t>
      </w:r>
      <w:r w:rsidR="00013B61">
        <w:t xml:space="preserve"> bislang</w:t>
      </w:r>
      <w:r>
        <w:t xml:space="preserve"> kein zugelassener Impfstoff: 1 470 </w:t>
      </w:r>
      <w:r w:rsidR="00013B61">
        <w:t>930 Personen</w:t>
      </w:r>
    </w:p>
    <w:p w:rsidR="00013B61" w:rsidRDefault="00013B61" w:rsidP="00F000BB">
      <w:pPr>
        <w:pStyle w:val="LTAntwortRessortText"/>
        <w:numPr>
          <w:ilvl w:val="1"/>
          <w:numId w:val="35"/>
        </w:numPr>
        <w:spacing w:before="0"/>
        <w:ind w:left="697" w:hanging="357"/>
      </w:pPr>
      <w:r>
        <w:t>Mögliche ärztlich begründete Impfunfähigkeit für Zweitimpfung bei (seltenen)</w:t>
      </w:r>
      <w:r w:rsidR="003E5335">
        <w:t xml:space="preserve"> </w:t>
      </w:r>
      <w:r>
        <w:t xml:space="preserve">Nebenwirkungen nach Erstimpfung, wie </w:t>
      </w:r>
      <w:r w:rsidR="004A5D9A">
        <w:t>z. B.</w:t>
      </w:r>
      <w:r>
        <w:t xml:space="preserve"> Anaphylaxie, Myo/Perikarditis</w:t>
      </w:r>
    </w:p>
    <w:p w:rsidR="00013B61" w:rsidRDefault="00013B61" w:rsidP="00F000BB">
      <w:pPr>
        <w:pStyle w:val="LTAntwortRessortText"/>
        <w:numPr>
          <w:ilvl w:val="1"/>
          <w:numId w:val="35"/>
        </w:numPr>
        <w:spacing w:before="0"/>
        <w:ind w:left="697" w:hanging="357"/>
      </w:pPr>
      <w:r>
        <w:t>Weitere ärztlich begründete Ausnahmen ggf. in seltenen Konstellationen möglich</w:t>
      </w:r>
    </w:p>
    <w:p w:rsidR="00013B61" w:rsidRDefault="00013B61" w:rsidP="00013B61">
      <w:pPr>
        <w:pStyle w:val="LTAntwortRessortText"/>
      </w:pPr>
      <w:r>
        <w:t xml:space="preserve">Das Hausrecht der Betreiber bzw. Veranstalter bleibt von der </w:t>
      </w:r>
      <w:r w:rsidR="00C862E9" w:rsidRPr="00C862E9">
        <w:t>Vierzehnte</w:t>
      </w:r>
      <w:r w:rsidR="00C862E9">
        <w:t>n</w:t>
      </w:r>
      <w:r w:rsidR="00C862E9" w:rsidRPr="00C862E9">
        <w:t xml:space="preserve"> Bayerische</w:t>
      </w:r>
      <w:r w:rsidR="00C862E9">
        <w:t>n</w:t>
      </w:r>
      <w:r w:rsidR="00C862E9" w:rsidRPr="00C862E9">
        <w:t xml:space="preserve"> Infektionsschutzmaßnahmenverordnung </w:t>
      </w:r>
      <w:r w:rsidR="00C862E9">
        <w:t>(</w:t>
      </w:r>
      <w:r>
        <w:t>14. BayIfSMV</w:t>
      </w:r>
      <w:r w:rsidR="00C862E9">
        <w:t>)</w:t>
      </w:r>
      <w:r>
        <w:t xml:space="preserve"> unberührt.</w:t>
      </w:r>
    </w:p>
    <w:p w:rsidR="00013B61" w:rsidRDefault="00013B61">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0F7714" w:rsidTr="000F7714">
        <w:tc>
          <w:tcPr>
            <w:tcW w:w="1840" w:type="dxa"/>
          </w:tcPr>
          <w:p w:rsidR="000F7714" w:rsidRDefault="000F7714" w:rsidP="000F7714">
            <w:pPr>
              <w:pStyle w:val="LTAnfrageInitiator"/>
            </w:pPr>
            <w:r>
              <w:lastRenderedPageBreak/>
              <w:t>Abgeordnete</w:t>
            </w:r>
            <w:r>
              <w:rPr>
                <w:b/>
              </w:rPr>
              <w:br/>
              <w:t>Katrin</w:t>
            </w:r>
            <w:r>
              <w:rPr>
                <w:b/>
              </w:rPr>
              <w:br/>
              <w:t>Ebner-Steiner</w:t>
            </w:r>
            <w:r>
              <w:rPr>
                <w:b/>
              </w:rPr>
              <w:br/>
            </w:r>
            <w:r>
              <w:t>(AfD)</w:t>
            </w:r>
            <w:bookmarkStart w:id="121" w:name="Frage_Nr_60"/>
            <w:bookmarkEnd w:id="121"/>
          </w:p>
        </w:tc>
        <w:tc>
          <w:tcPr>
            <w:tcW w:w="5776" w:type="dxa"/>
          </w:tcPr>
          <w:p w:rsidR="000F7714" w:rsidRPr="00D0635E" w:rsidRDefault="000F7714" w:rsidP="00D0635E">
            <w:pPr>
              <w:pStyle w:val="LTAnfrageText"/>
            </w:pPr>
            <w:r w:rsidRPr="00D0635E">
              <w:t xml:space="preserve">Ich frage die Staatsregierung, wie viele Intensivbetten standen zum Stichtag 01.03.2020 in bayerischen Krankenhäusern zur Verfügung, wie viele Intensivbetten hielten bayerischen Krankenhäuser zwischen dem 01.03.2020 und dem 01.11.2021 vor (bitte nach Monaten aufschlüsseln) und welche Anstrengungen hat die Staatsregierung zur Verbesserung der intensivmedizinischen Versorgung der Bevölkerung seit 01.03.2020 unternommen? </w:t>
            </w:r>
          </w:p>
        </w:tc>
        <w:tc>
          <w:tcPr>
            <w:tcW w:w="5776" w:type="dxa"/>
          </w:tcPr>
          <w:p w:rsidR="000F7714" w:rsidRDefault="000F7714" w:rsidP="000F7714">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Im Rahmen der Pandemiebekämpfung wurden zur Steuerung und Überwachung der vorhandenen</w:t>
      </w:r>
      <w:r w:rsidR="00E66382">
        <w:t xml:space="preserve"> </w:t>
      </w:r>
      <w:r>
        <w:t>Krankenhaus- und vor allem Intensivkapazitäten IT-gestützte Systeme auf Bundes- und</w:t>
      </w:r>
      <w:r w:rsidR="00E66382">
        <w:t xml:space="preserve"> </w:t>
      </w:r>
      <w:r>
        <w:t xml:space="preserve">Landesebene eingeführt. Basis dafür ist </w:t>
      </w:r>
      <w:r w:rsidR="004A5D9A">
        <w:t>u. a.</w:t>
      </w:r>
      <w:r>
        <w:t xml:space="preserve"> die DIVI-IntensivRegister-Verordnung des</w:t>
      </w:r>
      <w:r w:rsidR="00B37C4F">
        <w:t xml:space="preserve"> </w:t>
      </w:r>
      <w:r>
        <w:t>Bundesministeriums für Gesundheit (BMG) vom 10.04.2020. Die Kliniken wurden im Zuge dessen</w:t>
      </w:r>
      <w:r w:rsidR="00B37C4F">
        <w:t xml:space="preserve"> </w:t>
      </w:r>
      <w:r>
        <w:t>verpflichtet, täglich den aktuellen Stand ihrer Bettenkapazitäten, vor allem im</w:t>
      </w:r>
      <w:r w:rsidR="00B37C4F">
        <w:t xml:space="preserve"> </w:t>
      </w:r>
      <w:r>
        <w:t>intensivmedizinischen Bereich, sowie deren Belegungsgrad auf Bundesebene über das vom</w:t>
      </w:r>
      <w:r w:rsidR="00B37C4F">
        <w:t xml:space="preserve"> </w:t>
      </w:r>
      <w:r>
        <w:t>Robert Koch-Institut (RKI) und der Deutschen Interdisziplinären Vereinigung für Intensiv- und</w:t>
      </w:r>
      <w:r w:rsidR="00B37C4F">
        <w:t xml:space="preserve"> </w:t>
      </w:r>
      <w:r>
        <w:t>Notfallmedizin (DIVI) entwickelte DIVI-IntensivRegister zu melden.</w:t>
      </w:r>
    </w:p>
    <w:p w:rsidR="00013B61" w:rsidRDefault="00013B61" w:rsidP="00F000BB">
      <w:pPr>
        <w:pStyle w:val="LTAntwortRessortText"/>
        <w:spacing w:before="0"/>
      </w:pPr>
      <w:r>
        <w:t>Die öffentlich einsehbare Website der DIVI-Intensivregisters gibt Aufschluss über die verfügbaren</w:t>
      </w:r>
      <w:r w:rsidR="00B37C4F">
        <w:t xml:space="preserve"> </w:t>
      </w:r>
      <w:r>
        <w:t>Intensivbettenkapazitäten während des gesamten Pandemieverlaufs, weswegen hinsichtlich der</w:t>
      </w:r>
      <w:r w:rsidR="00B37C4F">
        <w:t xml:space="preserve"> </w:t>
      </w:r>
      <w:r>
        <w:t>Frage zur Aufschlüsselung der vorhandenen Bettenkapazitäten hierauf verwiesen wird:</w:t>
      </w:r>
    </w:p>
    <w:p w:rsidR="00013B61" w:rsidRDefault="008A35F1" w:rsidP="00F000BB">
      <w:pPr>
        <w:pStyle w:val="LTAntwortRessortText"/>
        <w:spacing w:before="0"/>
      </w:pPr>
      <w:hyperlink r:id="rId25" w:history="1">
        <w:r w:rsidR="00013B61" w:rsidRPr="00A94863">
          <w:rPr>
            <w:rStyle w:val="LTHyperlinkZchn"/>
            <w:b w:val="0"/>
          </w:rPr>
          <w:t>https://www.intensivregister.de/#/aktuelle-lage/zeitreihen</w:t>
        </w:r>
      </w:hyperlink>
      <w:r w:rsidR="00013B61">
        <w:t>.</w:t>
      </w:r>
    </w:p>
    <w:p w:rsidR="00013B61" w:rsidRDefault="00013B61" w:rsidP="00F000BB">
      <w:pPr>
        <w:pStyle w:val="LTAntwortRessortText"/>
        <w:spacing w:before="0"/>
      </w:pPr>
      <w:r>
        <w:t xml:space="preserve">Seit dem Beginn der </w:t>
      </w:r>
      <w:r w:rsidR="004A5D9A">
        <w:t>Coronapandemie</w:t>
      </w:r>
      <w:r>
        <w:t xml:space="preserve"> Anfang 2020 bemüht sich die Staatsregierung darum, die</w:t>
      </w:r>
      <w:r w:rsidR="00B37C4F">
        <w:t xml:space="preserve"> </w:t>
      </w:r>
      <w:r>
        <w:t>bayerischen Krankenhäuser bei einem Ausbau der Intensivkapazitäten zu unterstützen. Dies</w:t>
      </w:r>
      <w:r w:rsidR="00B37C4F">
        <w:t xml:space="preserve"> </w:t>
      </w:r>
      <w:r>
        <w:t>geschieht u. a. durch den Zukauf und die Auslieferung bzw. die Bezahlung von</w:t>
      </w:r>
      <w:r w:rsidR="00B37C4F">
        <w:t xml:space="preserve"> </w:t>
      </w:r>
      <w:r>
        <w:t>Beatmungsgeräten.</w:t>
      </w:r>
    </w:p>
    <w:p w:rsidR="00013B61" w:rsidRDefault="00013B61" w:rsidP="00F000BB">
      <w:pPr>
        <w:pStyle w:val="LTAntwortRessortText"/>
        <w:spacing w:before="0"/>
      </w:pPr>
      <w:r>
        <w:t xml:space="preserve">Mit Ministerratsbeschluss vom 21.07.2020 hat die </w:t>
      </w:r>
      <w:r w:rsidR="00A94863">
        <w:t>Staatsregierung u. </w:t>
      </w:r>
      <w:r>
        <w:t>a. beschlossen,</w:t>
      </w:r>
      <w:r w:rsidR="00B37C4F">
        <w:t xml:space="preserve"> </w:t>
      </w:r>
      <w:r>
        <w:t>dass auch Beatmungs- und Monitorgeräte in einem strategischen Grundstock vorgehalten werden</w:t>
      </w:r>
      <w:r w:rsidR="00B37C4F">
        <w:t xml:space="preserve"> </w:t>
      </w:r>
      <w:r>
        <w:t>sollen. Dieser soll sowohl dezentral bei den Krankenhäusern als auch zentral im Bayerischen</w:t>
      </w:r>
      <w:r w:rsidR="00B37C4F">
        <w:t xml:space="preserve"> </w:t>
      </w:r>
      <w:r>
        <w:t>Pandemiezentrallager vorgehalten werden. Der Freistaat Bayern hat in der Folge zum Aufbau der</w:t>
      </w:r>
      <w:r w:rsidR="00B37C4F">
        <w:t xml:space="preserve"> </w:t>
      </w:r>
      <w:r w:rsidR="00A94863">
        <w:t>Beatmungskapazitäten über 1 580 Beatmungsgeräte, 1 </w:t>
      </w:r>
      <w:r>
        <w:t>650 Monitorgeräte und knapp 150</w:t>
      </w:r>
      <w:r w:rsidR="00B37C4F">
        <w:t xml:space="preserve"> </w:t>
      </w:r>
      <w:r>
        <w:t>Blutgasanalysegeräte an die bayerischen Krankenhäuser zur Behandlung von COVID-19-Patienten verteilt. Außerdem haben die Krankenhäuser weitere rund 850 Beatmungsgeräte zur</w:t>
      </w:r>
      <w:r w:rsidR="00B37C4F">
        <w:t xml:space="preserve"> </w:t>
      </w:r>
      <w:r>
        <w:t>Pandemievorsorge gegen Kostenerstattung selbst beschafft. Weiterhin werden über 800</w:t>
      </w:r>
      <w:r w:rsidR="00B37C4F">
        <w:t xml:space="preserve"> </w:t>
      </w:r>
      <w:r>
        <w:t>Beatmungsgeräte, 700 Monitorgeräte und 50 Blutgasanalysegeräte im Bayerischen</w:t>
      </w:r>
      <w:r w:rsidR="00B37C4F">
        <w:t xml:space="preserve"> </w:t>
      </w:r>
      <w:r>
        <w:t>Pandemiezentrallager vorgehalten. Diese Geräte stehen als Reserve für besondere</w:t>
      </w:r>
      <w:r w:rsidR="00B37C4F">
        <w:t xml:space="preserve"> </w:t>
      </w:r>
      <w:r>
        <w:t>Ausbruchsereignisse zur Verfügung und können jederzeit von Kliniken im Bedarfsfall angefordert</w:t>
      </w:r>
      <w:r w:rsidR="00B37C4F">
        <w:t xml:space="preserve"> </w:t>
      </w:r>
      <w:r>
        <w:t>werden.</w:t>
      </w:r>
    </w:p>
    <w:p w:rsidR="00013B61" w:rsidRDefault="00013B61" w:rsidP="00F000BB">
      <w:pPr>
        <w:pStyle w:val="LTAntwortRessortText"/>
        <w:spacing w:before="0"/>
      </w:pPr>
      <w:r>
        <w:t>Für die zentrale Beschaffung von medizintechnischen Geräten (Beatmungsgeräte, Monitore,</w:t>
      </w:r>
      <w:r w:rsidR="00B37C4F">
        <w:t xml:space="preserve"> </w:t>
      </w:r>
      <w:r>
        <w:t>Blutgasanalysesysteme, CT und mobile Röntgengeräte) hat die Staatsregierung bislang rd. 73,7</w:t>
      </w:r>
      <w:r w:rsidR="00B37C4F">
        <w:t xml:space="preserve"> </w:t>
      </w:r>
      <w:r w:rsidR="00A94863">
        <w:t>Mio. EUR investiert. Die o. </w:t>
      </w:r>
      <w:r>
        <w:t>g. Beschaffungen von Beatmungsgeräten durch die Krankenhäuser hat</w:t>
      </w:r>
      <w:r w:rsidR="00B37C4F">
        <w:t xml:space="preserve"> </w:t>
      </w:r>
      <w:r>
        <w:t>die Staat</w:t>
      </w:r>
      <w:r w:rsidR="00A94863">
        <w:t>sregierung mit ca. 18,5 Mio. Euro</w:t>
      </w:r>
      <w:r>
        <w:t xml:space="preserve"> unterstützt. Ein Großteil der medizintechnischen Geräte</w:t>
      </w:r>
      <w:r w:rsidR="00B37C4F">
        <w:t xml:space="preserve"> </w:t>
      </w:r>
      <w:r>
        <w:t>wurde außerdem über den Bund bezogen. Die Finanzierung dieser Geräte ist noch nicht</w:t>
      </w:r>
      <w:r w:rsidR="00B37C4F">
        <w:t xml:space="preserve"> </w:t>
      </w:r>
      <w:r>
        <w:t>abgeschlossen, so dass sich der angegebene Betrag noch erhöhen wird.</w:t>
      </w:r>
    </w:p>
    <w:p w:rsidR="00013B61" w:rsidRDefault="00013B61" w:rsidP="00F000BB">
      <w:pPr>
        <w:pStyle w:val="LTAntwortRessortText"/>
        <w:spacing w:before="0"/>
      </w:pPr>
      <w:r>
        <w:t>Der entscheidende Faktor für die Betreibbarkeit eines Bettes ist das medizinische Fachpersonal.</w:t>
      </w:r>
    </w:p>
    <w:p w:rsidR="00013B61" w:rsidRDefault="00013B61" w:rsidP="00F000BB">
      <w:pPr>
        <w:pStyle w:val="LTAntwortRessortText"/>
        <w:spacing w:before="0"/>
      </w:pPr>
      <w:r>
        <w:lastRenderedPageBreak/>
        <w:t>Vor allem die Ermüdung und Überlastung des Krankenhauspersonals im personalintensiven</w:t>
      </w:r>
      <w:r w:rsidR="00B37C4F">
        <w:t xml:space="preserve"> </w:t>
      </w:r>
      <w:r>
        <w:t>Bereich der Intensivstationen trug bislang zu einem Rückgang der gemeldeten Kapazitäten bei.</w:t>
      </w:r>
    </w:p>
    <w:p w:rsidR="00013B61" w:rsidRDefault="00013B61" w:rsidP="00F000BB">
      <w:pPr>
        <w:pStyle w:val="LTAntwortRessortText"/>
        <w:spacing w:before="0"/>
      </w:pPr>
      <w:r>
        <w:t>Die Krankenhäuser berichten von gehäuften Krankmeldungen und sogar Kündigungen von</w:t>
      </w:r>
      <w:r w:rsidR="00B37C4F">
        <w:t xml:space="preserve"> </w:t>
      </w:r>
      <w:r>
        <w:t>Pflegerinnen und Pflegern im intensivmedizinischen Bereich. Auch die durch das Eindämmen der</w:t>
      </w:r>
      <w:r w:rsidR="00B37C4F">
        <w:t xml:space="preserve"> </w:t>
      </w:r>
      <w:r>
        <w:t>Infektionslage erhoffte Entspannungsphase für die Krankenhäuser im Sommer 2021 blieb vor</w:t>
      </w:r>
      <w:r w:rsidR="00B37C4F">
        <w:t xml:space="preserve"> </w:t>
      </w:r>
      <w:r>
        <w:t>allem insbesondere aufgrund der zu kurzen Dauer sinkender Belegung mit COVID-19-Patienten</w:t>
      </w:r>
      <w:r w:rsidR="00B37C4F">
        <w:t xml:space="preserve"> </w:t>
      </w:r>
      <w:r>
        <w:t>weitestgehend aus, zumal auch planbare Operationen nachgeholt werden mussten, die aufgrund</w:t>
      </w:r>
      <w:r w:rsidR="00B37C4F">
        <w:t xml:space="preserve"> </w:t>
      </w:r>
      <w:r>
        <w:t>der Pandemie verschoben worden waren. Seit Oktober 2021 wird ein starker Anstieg der COVID</w:t>
      </w:r>
      <w:r w:rsidR="00F80D81">
        <w:t>-</w:t>
      </w:r>
      <w:r>
        <w:t>Belegung</w:t>
      </w:r>
      <w:r w:rsidR="00B37C4F">
        <w:t xml:space="preserve"> </w:t>
      </w:r>
      <w:r>
        <w:t>wahrgenommen, was das erschöpfte Klinikpersonal erneut an die Belastungsgrenze</w:t>
      </w:r>
      <w:r w:rsidR="00B37C4F">
        <w:t xml:space="preserve"> </w:t>
      </w:r>
      <w:r>
        <w:t>bringt.</w:t>
      </w:r>
    </w:p>
    <w:p w:rsidR="00013B61" w:rsidRDefault="00013B61" w:rsidP="00F000BB">
      <w:pPr>
        <w:pStyle w:val="LTAntwortRessortText"/>
        <w:spacing w:before="0"/>
      </w:pPr>
      <w:r>
        <w:t>Da insbesondere das Pflegepersonal einen limitierenden Faktor in der Gesundheitsversorgung</w:t>
      </w:r>
      <w:r w:rsidR="00B37C4F">
        <w:t xml:space="preserve"> </w:t>
      </w:r>
      <w:r>
        <w:t>darstellt, gilt es, dieses zukünftig ausreichend und langfristig zu stärken. Der im Rahmen von</w:t>
      </w:r>
      <w:r w:rsidR="00B37C4F">
        <w:t xml:space="preserve"> </w:t>
      </w:r>
      <w:r>
        <w:t>Pflegepersonalstärkungsgesetz und der Konzertierten Aktion Pflege begonnene Prozess zur</w:t>
      </w:r>
      <w:r w:rsidR="00B37C4F">
        <w:t xml:space="preserve"> </w:t>
      </w:r>
      <w:r>
        <w:t>Steigerung der Attraktivität des Pflegeberufs ist für die Krankenpflege daher konsequent</w:t>
      </w:r>
      <w:r w:rsidR="00B37C4F">
        <w:t xml:space="preserve"> </w:t>
      </w:r>
      <w:r>
        <w:t>weiterzuführen. Gesetzgeberisch zuständig ist insoweit aber ausschließlich der Bund, bei dem sich</w:t>
      </w:r>
      <w:r w:rsidR="00B37C4F">
        <w:t xml:space="preserve"> </w:t>
      </w:r>
      <w:r>
        <w:t>der Freistaat konsequent für entsprechende Verbesserungen der Rahmenbedingungen einsetzt.</w:t>
      </w:r>
    </w:p>
    <w:p w:rsidR="00013B61" w:rsidRDefault="00013B61" w:rsidP="00013B61">
      <w:pPr>
        <w:pStyle w:val="LTAntwortRessortText"/>
      </w:pPr>
      <w:r>
        <w:t xml:space="preserve">Aufgrund der derzeit wieder stark steigenden Belastungen der Krankenhäuser durch die </w:t>
      </w:r>
      <w:r w:rsidR="004A5D9A">
        <w:t>Coronapandemie</w:t>
      </w:r>
      <w:r>
        <w:t xml:space="preserve"> hat der Ministerrat in seiner Klausurtagung am 14./15.11.2021 beschlossen, zur</w:t>
      </w:r>
      <w:r w:rsidR="00B37C4F">
        <w:t xml:space="preserve"> </w:t>
      </w:r>
      <w:r>
        <w:t>Unterstützung der bayerischen Krankenhäuser Mittel in Höhe von insgesamt 235 Mio. Euro für</w:t>
      </w:r>
      <w:r w:rsidR="00B37C4F">
        <w:t xml:space="preserve"> </w:t>
      </w:r>
      <w:r>
        <w:t>kurzfristig wirksame Maßnahmen bereit zu stellen. Hierunter fallen die Gewährung von</w:t>
      </w:r>
      <w:r w:rsidR="00B37C4F">
        <w:t xml:space="preserve"> </w:t>
      </w:r>
      <w:r>
        <w:t>Freihaltepauschalen (170 Mio. Euro), die Schaffung von Entlastungseinrichtungen (30 Mio. Euro)</w:t>
      </w:r>
      <w:r w:rsidR="00B37C4F">
        <w:t xml:space="preserve"> </w:t>
      </w:r>
      <w:r>
        <w:t>sowie eine COVID-19-Sonderzahlung für Krankenhäuser und deren Beschäftigte (35 Mio. Euro).</w:t>
      </w:r>
    </w:p>
    <w:p w:rsidR="00013B61" w:rsidRDefault="00013B61" w:rsidP="00F000BB">
      <w:pPr>
        <w:pStyle w:val="LTAntwortRessortText"/>
        <w:spacing w:before="0"/>
      </w:pPr>
      <w:r>
        <w:t>Unabhängig davon setzt sich Bayern für weitergehende finanzielle Unterstützung und</w:t>
      </w:r>
      <w:r w:rsidR="00B37C4F">
        <w:t xml:space="preserve"> </w:t>
      </w:r>
      <w:r>
        <w:t>Liquiditätshilfe für Krankenhäuser beim Bund ein. Mit dem zum 11.11.2021 festgestellten</w:t>
      </w:r>
      <w:r w:rsidR="00B37C4F">
        <w:t xml:space="preserve"> </w:t>
      </w:r>
      <w:r>
        <w:t>Katastrophenfall wurden zudem Kommunikationswege und Entscheidungsprozesse verkürzt und</w:t>
      </w:r>
      <w:r w:rsidR="00B37C4F">
        <w:t xml:space="preserve"> </w:t>
      </w:r>
      <w:r>
        <w:t>schlagkräftige Organisationsstrukturen geschaffen.</w:t>
      </w:r>
    </w:p>
    <w:p w:rsidR="00013B61" w:rsidRDefault="00013B61" w:rsidP="00F000BB">
      <w:pPr>
        <w:pStyle w:val="LTAntwortRessortText"/>
        <w:spacing w:before="0"/>
      </w:pPr>
      <w:r>
        <w:t xml:space="preserve">In der Ministerpräsidentenkonferenz am 18.11.2021 wurde weiterhin </w:t>
      </w:r>
      <w:r w:rsidR="004A5D9A">
        <w:t>u. a.</w:t>
      </w:r>
      <w:r>
        <w:t xml:space="preserve"> beschlossen, die</w:t>
      </w:r>
      <w:r w:rsidR="00B37C4F">
        <w:t xml:space="preserve"> </w:t>
      </w:r>
      <w:r>
        <w:t>gemeinsame Impfkampagne von Bund und Ländern nochmals zu verstärken, denn Impfen ist und</w:t>
      </w:r>
      <w:r w:rsidR="00B37C4F">
        <w:t xml:space="preserve"> </w:t>
      </w:r>
      <w:r>
        <w:t>bleibt gerade jetzt der Weg aus dieser Pandemie.</w:t>
      </w:r>
    </w:p>
    <w:p w:rsidR="00013B61" w:rsidRDefault="00013B61">
      <w:bookmarkStart w:id="122" w:name="Frage_Nr_60_Ende"/>
      <w:bookmarkEnd w:id="1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F7714" w:rsidTr="000F7714">
        <w:tc>
          <w:tcPr>
            <w:tcW w:w="1854" w:type="dxa"/>
          </w:tcPr>
          <w:p w:rsidR="000F7714" w:rsidRDefault="000F7714" w:rsidP="000F7714">
            <w:pPr>
              <w:pStyle w:val="LTAnfrageInitiator"/>
            </w:pPr>
            <w:r>
              <w:lastRenderedPageBreak/>
              <w:t>Abgeordneter</w:t>
            </w:r>
            <w:r>
              <w:rPr>
                <w:b/>
              </w:rPr>
              <w:br/>
              <w:t>Harald</w:t>
            </w:r>
            <w:r>
              <w:rPr>
                <w:b/>
              </w:rPr>
              <w:br/>
              <w:t>Güller</w:t>
            </w:r>
            <w:r>
              <w:rPr>
                <w:b/>
              </w:rPr>
              <w:br/>
            </w:r>
            <w:r>
              <w:t>(SPD)</w:t>
            </w:r>
            <w:bookmarkStart w:id="123" w:name="Frage_Nr_61"/>
            <w:bookmarkEnd w:id="123"/>
          </w:p>
        </w:tc>
        <w:tc>
          <w:tcPr>
            <w:tcW w:w="5762" w:type="dxa"/>
          </w:tcPr>
          <w:p w:rsidR="000F7714" w:rsidRPr="00D0635E" w:rsidRDefault="000F7714" w:rsidP="00D0635E">
            <w:pPr>
              <w:pStyle w:val="LTAnfrageText"/>
            </w:pPr>
            <w:r w:rsidRPr="00D0635E">
              <w:t>Angesichts der immensen Probleme sowohl aus organisatorischer Sicht bei bereits verkauften Tickets für Veranstaltungen nachträglich eine Begrenzung der Zuschauerzahlen umzusetzen, als auch wegen der enormen wirtschaftlichen Folgen, frage ich die Staatsregierung, welche Überlegungen konkret dazu geführt haben, gerade in den Bereichen Kultur und Sport eine Reduktion auf 25 Prozent der Plätze vorzusehen, und nicht z. B. auf 50 Prozent zu gehen oder eine Belegung im „Schachbrettmuster“ vorzusehen?</w:t>
            </w:r>
          </w:p>
        </w:tc>
        <w:tc>
          <w:tcPr>
            <w:tcW w:w="5762" w:type="dxa"/>
          </w:tcPr>
          <w:p w:rsidR="000F7714" w:rsidRDefault="000F7714" w:rsidP="000F7714">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Die Infektionslage in Bayern ist ernst, die Infektionszahlen erreichen Höchststände. Die</w:t>
      </w:r>
      <w:r w:rsidR="00607874">
        <w:t xml:space="preserve"> </w:t>
      </w:r>
      <w:r>
        <w:t>Krankenhäuser sind an der Grenze ihrer Leistungsfähigkeit. Bei ungebremster Entwicklung ist eine</w:t>
      </w:r>
      <w:r w:rsidR="00607874">
        <w:t xml:space="preserve"> </w:t>
      </w:r>
      <w:r>
        <w:t>Überlastung des Krankenhauswesens unausweichlich. Das hätte Folgen nicht nur für</w:t>
      </w:r>
      <w:r w:rsidR="00607874">
        <w:t xml:space="preserve"> </w:t>
      </w:r>
      <w:r w:rsidR="00F80D81">
        <w:t>krankenhauspflichtige COVID-19-</w:t>
      </w:r>
      <w:r>
        <w:t>Patienten, sondern auch für Menschen in gesundheitlicher Not</w:t>
      </w:r>
      <w:r w:rsidR="00607874">
        <w:t xml:space="preserve"> </w:t>
      </w:r>
      <w:r>
        <w:t>jeder Art.</w:t>
      </w:r>
    </w:p>
    <w:p w:rsidR="00013B61" w:rsidRDefault="00013B61" w:rsidP="00013B61">
      <w:pPr>
        <w:pStyle w:val="LTAntwortRessortText"/>
      </w:pPr>
      <w:r>
        <w:t>Daher sind, in Anbetracht der aktuellen hochdynamischen Infektionslage, alle im rechtlichen</w:t>
      </w:r>
      <w:r w:rsidR="00607874">
        <w:t xml:space="preserve"> </w:t>
      </w:r>
      <w:r>
        <w:t>Rahmen zur Verfügung stehenden Maßnahmen, die geeignet sind das Infektionsgeschehen</w:t>
      </w:r>
      <w:r w:rsidR="00607874">
        <w:t xml:space="preserve"> </w:t>
      </w:r>
      <w:r>
        <w:t>einzudämmen und eine weitere Überlastung des Gesundheitssystems sowie eine Triage zu</w:t>
      </w:r>
      <w:r w:rsidR="00607874">
        <w:t xml:space="preserve"> </w:t>
      </w:r>
      <w:r>
        <w:t>vermeiden, auszuschöpfen.</w:t>
      </w:r>
    </w:p>
    <w:p w:rsidR="00013B61" w:rsidRDefault="00013B61" w:rsidP="00013B61">
      <w:pPr>
        <w:pStyle w:val="LTAntwortRessortText"/>
      </w:pPr>
      <w:r>
        <w:t>Die Einh</w:t>
      </w:r>
      <w:r w:rsidR="00F80D81">
        <w:t>altung der Basismaßnahmen (AHA –</w:t>
      </w:r>
      <w:r>
        <w:t xml:space="preserve"> L</w:t>
      </w:r>
      <w:r w:rsidR="00F80D81">
        <w:t xml:space="preserve"> = Abstand wahren, auf Hygiene achten und Alltagsmaske tragen – Lüften</w:t>
      </w:r>
      <w:r>
        <w:t>) ist in möglichst allen Lebensbereichen</w:t>
      </w:r>
      <w:r w:rsidR="00607874">
        <w:t xml:space="preserve"> </w:t>
      </w:r>
      <w:r>
        <w:t>sicherzustellen. Besonders wichtig ist hierbei das Einhalten der Mindestabstände, vor allem in</w:t>
      </w:r>
      <w:r w:rsidR="00607874">
        <w:t xml:space="preserve"> </w:t>
      </w:r>
      <w:r>
        <w:t>geschlossenen Räumen. Das Coronavirus SARS-CoV-2 wird in erster Linie über Tröpfchen und</w:t>
      </w:r>
      <w:r w:rsidR="00607874">
        <w:t xml:space="preserve"> </w:t>
      </w:r>
      <w:r>
        <w:t>Aerosole übertragen, die durch die Atmung freigesetzt werden. Insbesondere in geschlossenen</w:t>
      </w:r>
      <w:r w:rsidR="00607874">
        <w:t xml:space="preserve"> </w:t>
      </w:r>
      <w:r>
        <w:t>Räumen besteht das Risiko einer Anreicherung von poten</w:t>
      </w:r>
      <w:r w:rsidR="00315DA2">
        <w:t>z</w:t>
      </w:r>
      <w:r>
        <w:t>iell virushaltigen Aerosolen und damit</w:t>
      </w:r>
      <w:r w:rsidR="00607874">
        <w:t xml:space="preserve"> </w:t>
      </w:r>
      <w:r>
        <w:t>ein erhöhtes Übertragungsrisiko. Längere Aufenthaltszeiten und die Präsenz vieler Personen in</w:t>
      </w:r>
      <w:r w:rsidR="00607874">
        <w:t xml:space="preserve"> </w:t>
      </w:r>
      <w:r>
        <w:t>Innenräumen bedingen ein erhöhtes Übertragungsrisiko. Angesichts des derzeitigen</w:t>
      </w:r>
      <w:r w:rsidR="00607874">
        <w:t xml:space="preserve"> </w:t>
      </w:r>
      <w:r>
        <w:t>hochdynamischen Infektionsgeschehens und des dadurch bedingten enormen Infektionsdrucks ist</w:t>
      </w:r>
      <w:r w:rsidR="00607874">
        <w:t xml:space="preserve"> </w:t>
      </w:r>
      <w:r>
        <w:t>auch bei Geimpften und Genesenen das Risiko einer Infektion inzwischen erhöht, weshalb auch</w:t>
      </w:r>
      <w:r w:rsidR="00607874">
        <w:t xml:space="preserve"> </w:t>
      </w:r>
      <w:r>
        <w:t>bei Umsetzung der 2G-Regelung eine Beschränkung der Personen bei größeren Veranstaltungen</w:t>
      </w:r>
      <w:r w:rsidR="00607874">
        <w:t xml:space="preserve"> </w:t>
      </w:r>
      <w:r>
        <w:t>notwendig ist.</w:t>
      </w:r>
    </w:p>
    <w:p w:rsidR="00013B61" w:rsidRDefault="00013B61" w:rsidP="00013B61">
      <w:pPr>
        <w:pStyle w:val="LTAntwortRessortText"/>
      </w:pPr>
      <w:r>
        <w:t xml:space="preserve">Durch eine deutliche Reduktion der Kapazitäten von Veranstaltungen auf 25 </w:t>
      </w:r>
      <w:r w:rsidR="004A5D9A">
        <w:t>Prozent</w:t>
      </w:r>
      <w:r>
        <w:t xml:space="preserve"> kann die</w:t>
      </w:r>
      <w:r w:rsidR="00607874">
        <w:t xml:space="preserve"> </w:t>
      </w:r>
      <w:r>
        <w:t>Einhaltung der Mindestabstände prinzipiell auch an den Orten gewährleistet werden, an denen es</w:t>
      </w:r>
      <w:r w:rsidR="00607874">
        <w:t xml:space="preserve"> </w:t>
      </w:r>
      <w:r>
        <w:t>vermehrt zu Menschenansammlungen kommen kann (Toiletten, Flure, Garderobenbereich,</w:t>
      </w:r>
      <w:r w:rsidR="00607874">
        <w:t xml:space="preserve"> </w:t>
      </w:r>
      <w:r>
        <w:t>Gastronomiebereich). Zudem ist durch die Begrenzung der Belegungsdichte das Risiko der</w:t>
      </w:r>
      <w:r w:rsidR="00607874">
        <w:t xml:space="preserve"> </w:t>
      </w:r>
      <w:r>
        <w:t>Anreicherung von poten</w:t>
      </w:r>
      <w:r w:rsidR="00F80D81">
        <w:t>z</w:t>
      </w:r>
      <w:r>
        <w:t>iell virushaltigen Aerosolen bei Sicherstellung einer</w:t>
      </w:r>
      <w:r w:rsidR="00607874">
        <w:t xml:space="preserve"> </w:t>
      </w:r>
      <w:r>
        <w:t>infektionsschutzgerechten Lüftungssituation deutlich reduziert. In etwaig dennoch vorkommenden</w:t>
      </w:r>
      <w:r w:rsidR="00607874">
        <w:t xml:space="preserve"> </w:t>
      </w:r>
      <w:r>
        <w:t>Fällen von Infektionsübertragungen ist bei Personenzahlbegrenzungen das Ausmaß eines</w:t>
      </w:r>
      <w:r w:rsidR="00607874">
        <w:t xml:space="preserve"> </w:t>
      </w:r>
      <w:r>
        <w:t>Ausbruchsgeschehens reduziert. Zudem ist eine Kontaktpersonennachverfolgung eher</w:t>
      </w:r>
      <w:r w:rsidR="00607874">
        <w:t xml:space="preserve"> </w:t>
      </w:r>
      <w:r>
        <w:t>durchführbar. Somit stellt eine deutliche Einschränkung der Auslastung ein wirksames Instrument</w:t>
      </w:r>
      <w:r w:rsidR="00607874">
        <w:t xml:space="preserve"> </w:t>
      </w:r>
      <w:r>
        <w:t xml:space="preserve">zur Reduzierung von Übertragungsrisiken dar; mit einer Reduktion um nur 50 </w:t>
      </w:r>
      <w:r w:rsidR="004A5D9A">
        <w:t>Prozent</w:t>
      </w:r>
      <w:r>
        <w:t xml:space="preserve"> kann dieses Ziel</w:t>
      </w:r>
      <w:r w:rsidR="00607874">
        <w:t xml:space="preserve"> </w:t>
      </w:r>
      <w:r>
        <w:t>derzeit nicht erreicht werden.</w:t>
      </w:r>
    </w:p>
    <w:p w:rsidR="00013B61" w:rsidRDefault="00013B61" w:rsidP="00F80D81">
      <w:pPr>
        <w:pStyle w:val="LTAntwortRessortText"/>
      </w:pPr>
      <w:r>
        <w:lastRenderedPageBreak/>
        <w:t>Sobald das Infektionsgeschehen und die Belastung der Krankenhäuser wieder reduziert werden</w:t>
      </w:r>
      <w:r w:rsidR="00607874">
        <w:t xml:space="preserve"> </w:t>
      </w:r>
      <w:r>
        <w:t>können, wird eine entsprechende Überprüfung der ohnehin bis 15.12.2021 befristeten</w:t>
      </w:r>
      <w:r w:rsidR="00607874">
        <w:t xml:space="preserve"> </w:t>
      </w:r>
      <w:r>
        <w:t>Maßnahmen erfolgen.</w:t>
      </w:r>
      <w:bookmarkStart w:id="124" w:name="Frage_Nr_61_Ende"/>
      <w:bookmarkEnd w:id="124"/>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0F7714" w:rsidTr="000F7714">
        <w:tc>
          <w:tcPr>
            <w:tcW w:w="1846" w:type="dxa"/>
          </w:tcPr>
          <w:p w:rsidR="000F7714" w:rsidRDefault="000F7714" w:rsidP="000F7714">
            <w:pPr>
              <w:pStyle w:val="LTAnfrageInitiator"/>
            </w:pPr>
            <w:r>
              <w:lastRenderedPageBreak/>
              <w:t>Abgeordneter</w:t>
            </w:r>
            <w:r>
              <w:rPr>
                <w:b/>
              </w:rPr>
              <w:br/>
              <w:t>Prof. Dr. Ingo</w:t>
            </w:r>
            <w:r>
              <w:rPr>
                <w:b/>
              </w:rPr>
              <w:br/>
              <w:t>Hahn</w:t>
            </w:r>
            <w:r>
              <w:rPr>
                <w:b/>
              </w:rPr>
              <w:br/>
            </w:r>
            <w:r>
              <w:t>(AfD)</w:t>
            </w:r>
            <w:bookmarkStart w:id="125" w:name="Frage_Nr_62"/>
            <w:bookmarkEnd w:id="125"/>
          </w:p>
        </w:tc>
        <w:tc>
          <w:tcPr>
            <w:tcW w:w="5770" w:type="dxa"/>
          </w:tcPr>
          <w:p w:rsidR="000F7714" w:rsidRPr="00D0635E" w:rsidRDefault="000F7714" w:rsidP="00D0635E">
            <w:pPr>
              <w:pStyle w:val="LTAnfrageText"/>
            </w:pPr>
            <w:r w:rsidRPr="00D0635E">
              <w:t>Ich frage die Staatsregierung, wann ist mit einer Zulassung des Impfstoffes Nuvaxovid der US-Firma Novavax in der EU frühestens zu rechnen, wird der Freistaat Bayern bei einer bedingten Marktzulassung durch die Europäische Arzneimittel-Agentur diesen Impfstoff ebenfalls zur Impfung der Bevölkerung verwenden und wie wird die relative und absolute Risikoreduktion dieses Impfstoffes im Vergleich zu den bisher verwendeten Vakzinen gegen COVID-19 eingeschätzt?</w:t>
            </w:r>
          </w:p>
        </w:tc>
        <w:tc>
          <w:tcPr>
            <w:tcW w:w="5770" w:type="dxa"/>
          </w:tcPr>
          <w:p w:rsidR="000F7714" w:rsidRDefault="000F7714" w:rsidP="000F7714">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Gemäß Angaben der in Deutschland für die Zulassung von Impfstoffen zuständigen</w:t>
      </w:r>
      <w:r w:rsidR="00607874">
        <w:t xml:space="preserve"> </w:t>
      </w:r>
      <w:r>
        <w:t>Bundesoberbehörde, dem Paul-Ehrlich-Institut (PEI), vom 17.11.2021 hat Novavax CZ AS für ihren</w:t>
      </w:r>
      <w:r w:rsidR="00607874">
        <w:t xml:space="preserve"> </w:t>
      </w:r>
      <w:r w:rsidR="00F80D81">
        <w:t>COVID-19-</w:t>
      </w:r>
      <w:r>
        <w:t>Impfstoff Nuvaxovid bei der Europäischen Arzneimittelagentur (European Medicines</w:t>
      </w:r>
      <w:r w:rsidR="00607874">
        <w:t xml:space="preserve"> </w:t>
      </w:r>
      <w:r w:rsidR="00F80D81">
        <w:t>Agency –</w:t>
      </w:r>
      <w:r>
        <w:t xml:space="preserve"> EMA) eine bedingte Zulassung beantragt. Nach Angaben des PEI wird der Ausschuss für</w:t>
      </w:r>
      <w:r w:rsidR="00607874">
        <w:t xml:space="preserve"> </w:t>
      </w:r>
      <w:r>
        <w:t>Humanarzneimittel (Committee for M</w:t>
      </w:r>
      <w:r w:rsidR="00F80D81">
        <w:t>edicinal Products for Human Use –</w:t>
      </w:r>
      <w:r>
        <w:t xml:space="preserve"> CHMP) voraussichtlich in</w:t>
      </w:r>
      <w:r w:rsidR="00607874">
        <w:t xml:space="preserve"> </w:t>
      </w:r>
      <w:r>
        <w:t>wenigen Wochen über eine mögliche Empfehlung zur Zulassung von Nuvaxovid durch die</w:t>
      </w:r>
      <w:r w:rsidR="00607874">
        <w:t xml:space="preserve"> </w:t>
      </w:r>
      <w:r>
        <w:t>Europäische Kommission entscheiden. Sobald eine Zulassung erfolgt, kann auch dieser COVID-19</w:t>
      </w:r>
      <w:r w:rsidR="00F80D81">
        <w:t>-</w:t>
      </w:r>
      <w:r>
        <w:t>Impfstoff eingesetzt werden.</w:t>
      </w:r>
    </w:p>
    <w:p w:rsidR="00013B61" w:rsidRDefault="00013B61" w:rsidP="00013B61">
      <w:pPr>
        <w:pStyle w:val="LTAntwortRessortText"/>
      </w:pPr>
      <w:r>
        <w:t xml:space="preserve">Aufgrund der Tatsache, dass derzeit kein </w:t>
      </w:r>
      <w:r w:rsidR="00E832CF">
        <w:t>„</w:t>
      </w:r>
      <w:r>
        <w:t>Totimpfstoff</w:t>
      </w:r>
      <w:r w:rsidR="00E832CF">
        <w:t>“</w:t>
      </w:r>
      <w:r>
        <w:t xml:space="preserve"> gegen COVID-19 eine Zulassung</w:t>
      </w:r>
      <w:r w:rsidR="00607874">
        <w:t xml:space="preserve"> </w:t>
      </w:r>
      <w:r>
        <w:t>besitzt und demnach noch keine finale Nutzen-Risiko-Bewertung vorliegt, kann hierzu von der</w:t>
      </w:r>
      <w:r w:rsidR="00607874">
        <w:t xml:space="preserve"> </w:t>
      </w:r>
      <w:r>
        <w:t>Staatsregierung keine Aussage getroffen werden. Für die vergleichende Einschätzung der</w:t>
      </w:r>
      <w:r w:rsidR="00607874">
        <w:t xml:space="preserve"> </w:t>
      </w:r>
      <w:r>
        <w:t>Risikoreduktion von COVID-19-Impfstoffen ist in Deutschland zudem das PEI und auf Ebene der</w:t>
      </w:r>
      <w:r w:rsidR="00607874">
        <w:t xml:space="preserve"> </w:t>
      </w:r>
      <w:r>
        <w:t>EU die EMA zuständig.</w:t>
      </w:r>
    </w:p>
    <w:p w:rsidR="00013B61" w:rsidRDefault="00013B61">
      <w:bookmarkStart w:id="126" w:name="Frage_Nr_62_Ende"/>
      <w:bookmarkEnd w:id="1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F7714" w:rsidTr="000F7714">
        <w:tc>
          <w:tcPr>
            <w:tcW w:w="1854" w:type="dxa"/>
          </w:tcPr>
          <w:p w:rsidR="000F7714" w:rsidRDefault="000F7714" w:rsidP="000F7714">
            <w:pPr>
              <w:pStyle w:val="LTAnfrageInitiator"/>
            </w:pPr>
            <w:r>
              <w:lastRenderedPageBreak/>
              <w:t>Abgeordneter</w:t>
            </w:r>
            <w:r>
              <w:rPr>
                <w:b/>
              </w:rPr>
              <w:br/>
              <w:t>Volkmar</w:t>
            </w:r>
            <w:r>
              <w:rPr>
                <w:b/>
              </w:rPr>
              <w:br/>
              <w:t>Halbleib</w:t>
            </w:r>
            <w:r>
              <w:rPr>
                <w:b/>
              </w:rPr>
              <w:br/>
            </w:r>
            <w:r>
              <w:t>(SPD)</w:t>
            </w:r>
            <w:bookmarkStart w:id="127" w:name="Frage_Nr_63"/>
            <w:bookmarkEnd w:id="127"/>
          </w:p>
        </w:tc>
        <w:tc>
          <w:tcPr>
            <w:tcW w:w="5762" w:type="dxa"/>
          </w:tcPr>
          <w:p w:rsidR="000F7714" w:rsidRPr="00D0635E" w:rsidRDefault="000F7714" w:rsidP="00D0635E">
            <w:pPr>
              <w:pStyle w:val="LTAnfrageText"/>
            </w:pPr>
            <w:r w:rsidRPr="00D0635E">
              <w:t>Im Hinblick auf die Berichterstattung des Bayerischen Rundfunks (vgl. vom 07.11.2021 „Drogen im Abwasser: Hohe Werte in Aschaffenburg und Ochsenfurt“ und vom 17.11.2021 „Speed am Main, Meth im Bayerwald: Die Bayern und ihre Drogen“), die ihre Grundlage in einer vom Bayerischen Rundfunkt beauftragten Abwasseruntersuchung durch die Technische Universität (TU) Dresden hat, frage ich die Staatsregierung, wie bewertet sie die vom BR veröffentlichten Ergebnisse von Rückständen der im Bericht genannten Drogen im Abwasser der im Bericht genannten Städte und Gemeinden im Hinblick auf die Aussagekraft für die Beurteilung der Drogensituation vor Ort, vorausgesetzt, es ist ein taugliches Instrument, wie wird die Staatsregierung das Instrument der Abwasseranalyse für die Feststellung lokaler Drogenauffälligkeiten künftig nutzen (bitte unter Angabe des Umfangs der Analyse) und welche konkreten Überlegungen hat die Staatsregierung, um in den genannten Kommunen und Regionen zu einer realistischen Einschätzung der Drogensituation vor Ort sowie zu notwendigen und wirksamen polizeilichen oder drogenpräventiven Maßnahmen des Freistaates zu kommen?</w:t>
            </w:r>
          </w:p>
        </w:tc>
        <w:tc>
          <w:tcPr>
            <w:tcW w:w="5762" w:type="dxa"/>
          </w:tcPr>
          <w:p w:rsidR="000F7714" w:rsidRDefault="000F7714" w:rsidP="000F7714">
            <w:pPr>
              <w:pStyle w:val="LTAnfrageText"/>
            </w:pPr>
          </w:p>
        </w:tc>
      </w:tr>
    </w:tbl>
    <w:p w:rsidR="00013B61" w:rsidRDefault="00013B61" w:rsidP="00013B61">
      <w:pPr>
        <w:pStyle w:val="LTUeberschrAntwortRessort"/>
      </w:pPr>
      <w:r>
        <w:t>Antwort des Staatsministeriums für Gesundheit und Pflege</w:t>
      </w:r>
      <w:r w:rsidR="00607874">
        <w:t xml:space="preserve"> in Abstimmung mit dem Staatsministerium des Innern, für Sport und Integration</w:t>
      </w:r>
    </w:p>
    <w:p w:rsidR="00013B61" w:rsidRDefault="00013B61" w:rsidP="00013B61">
      <w:pPr>
        <w:pStyle w:val="LTAntwortRessortText"/>
      </w:pPr>
      <w:r>
        <w:t>Bei den Untersuchungen von Drogen bzw. ihren Abbauprodukten im Abwasser handelt es sich um</w:t>
      </w:r>
      <w:r w:rsidR="00995945">
        <w:t xml:space="preserve"> </w:t>
      </w:r>
      <w:r>
        <w:t xml:space="preserve">Forschungsprojekte, </w:t>
      </w:r>
      <w:r w:rsidR="004A5D9A">
        <w:t>z. B.</w:t>
      </w:r>
      <w:r>
        <w:t xml:space="preserve"> der Europäischen Beobachtungsstelle für Drogen und Drogensucht</w:t>
      </w:r>
      <w:r w:rsidR="00995945">
        <w:t xml:space="preserve"> </w:t>
      </w:r>
      <w:r>
        <w:t>(EMCDDA), die Drogenfrachten normiert über einen engen Zeitraum in diesem Medium erfassen.</w:t>
      </w:r>
    </w:p>
    <w:p w:rsidR="00013B61" w:rsidRDefault="00013B61" w:rsidP="008533C8">
      <w:pPr>
        <w:pStyle w:val="LTAntwortRessortText"/>
        <w:spacing w:before="0"/>
      </w:pPr>
      <w:r>
        <w:t>Die EMCDDA sieht derartige Abwasseruntersuchungen dabei lediglich als eine ergänzende</w:t>
      </w:r>
      <w:r w:rsidR="00995945">
        <w:t xml:space="preserve"> </w:t>
      </w:r>
      <w:r>
        <w:t>Datenquelle für die Überwachung der Mengen von auf Bevölkerungsebene konsumierten illegalen</w:t>
      </w:r>
      <w:r w:rsidR="00995945">
        <w:t xml:space="preserve"> </w:t>
      </w:r>
      <w:r>
        <w:t>Drogen an. Sie können keine Informationen zur Häufigkeit des Konsums, zu den</w:t>
      </w:r>
      <w:r w:rsidR="00995945">
        <w:t xml:space="preserve"> </w:t>
      </w:r>
      <w:r>
        <w:t>Hauptkonsumentengruppen und zum Reinheitsgrad der Drogen liefern. Es bestehen außerdem</w:t>
      </w:r>
      <w:r w:rsidR="00995945">
        <w:t xml:space="preserve"> </w:t>
      </w:r>
      <w:r>
        <w:t>erhebliche Unsicherheiten im Zusammenhang mit dem Verhalten und der chemischen</w:t>
      </w:r>
      <w:r w:rsidR="00995945">
        <w:t xml:space="preserve"> </w:t>
      </w:r>
      <w:r>
        <w:t>Veränderungen der ausgewählten Biomarker im Abwassersystem, mit verschiedenen</w:t>
      </w:r>
      <w:r w:rsidR="00995945">
        <w:t xml:space="preserve"> </w:t>
      </w:r>
      <w:r>
        <w:t>Rückrechnungsmethoden und zu unterschiedlichen Ansätzen zur Schätzung der Größe der</w:t>
      </w:r>
      <w:r w:rsidR="00995945">
        <w:t xml:space="preserve"> </w:t>
      </w:r>
      <w:r>
        <w:t>untersuchten Bevölkerungsgruppe im Bereich einer Abwasserbehandlungsanlage. Die</w:t>
      </w:r>
      <w:r w:rsidR="00995945">
        <w:t xml:space="preserve"> </w:t>
      </w:r>
      <w:r>
        <w:t>Staatsregierung plant, aufgrund der vorgenannten methodischen Unsicherheiten und der</w:t>
      </w:r>
      <w:r w:rsidR="00995945">
        <w:t xml:space="preserve"> </w:t>
      </w:r>
      <w:r>
        <w:t>begrenzten Aussagekraft, daher keine regelmäßigen Abwasseruntersuchungen.</w:t>
      </w:r>
    </w:p>
    <w:p w:rsidR="00013B61" w:rsidRDefault="00013B61" w:rsidP="00013B61">
      <w:pPr>
        <w:pStyle w:val="LTAntwortRessortText"/>
      </w:pPr>
      <w:r>
        <w:t>Durch die aktive Lagearbeit der örtlichen Polizeidienststellen ist sichergestellt, dass örtliche und</w:t>
      </w:r>
      <w:r w:rsidR="00995945">
        <w:t xml:space="preserve"> </w:t>
      </w:r>
      <w:r>
        <w:t>deliktische Schwerpunkte erkannt werden und diesen konsequent entgegengewirkt werden</w:t>
      </w:r>
      <w:r w:rsidR="00995945">
        <w:t xml:space="preserve"> </w:t>
      </w:r>
      <w:r>
        <w:t>kann. In Bezug auf die kriminalpolizeiliche Suchtprävention setzt auch die Bayerische Polizei auf</w:t>
      </w:r>
      <w:r w:rsidR="00995945">
        <w:t xml:space="preserve"> </w:t>
      </w:r>
      <w:r>
        <w:t>eine Vielzahl von Maßnahmen, wobei der heutige Aufklärungsansatz unabhängig von der</w:t>
      </w:r>
      <w:r w:rsidR="00995945">
        <w:t xml:space="preserve"> </w:t>
      </w:r>
      <w:r>
        <w:t>jeweiligen Art der Droge auf eine umfassende Prävention setzt. Für Bayern besteht, auch wegen</w:t>
      </w:r>
      <w:r w:rsidR="00995945">
        <w:t xml:space="preserve"> </w:t>
      </w:r>
      <w:r>
        <w:t>dem Netz an 108 Psychosozialen Suchtberatungsstellen, eine gute Datenlage zum Drogenkonsum</w:t>
      </w:r>
      <w:r w:rsidR="00995945">
        <w:t xml:space="preserve"> </w:t>
      </w:r>
      <w:r>
        <w:t>der Bevölkerung. Auf dieser Basis werden gezielt Präventionsmaßnahmen gefördert und das</w:t>
      </w:r>
      <w:r w:rsidR="00995945">
        <w:t xml:space="preserve"> </w:t>
      </w:r>
      <w:r>
        <w:t>Suchthilfesystem konsequent und zielgruppenbezogen weiterentwickelt</w:t>
      </w:r>
      <w:r w:rsidR="001264D5">
        <w:t>.</w:t>
      </w:r>
    </w:p>
    <w:p w:rsidR="00013B61" w:rsidRDefault="00013B61">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F7714" w:rsidTr="000F7714">
        <w:tc>
          <w:tcPr>
            <w:tcW w:w="1883" w:type="dxa"/>
          </w:tcPr>
          <w:p w:rsidR="000F7714" w:rsidRDefault="000F7714" w:rsidP="000F7714">
            <w:pPr>
              <w:pStyle w:val="LTAnfrageInitiator"/>
            </w:pPr>
            <w:r>
              <w:lastRenderedPageBreak/>
              <w:t>Abgeordnete</w:t>
            </w:r>
            <w:r>
              <w:rPr>
                <w:b/>
              </w:rPr>
              <w:br/>
              <w:t>Christina</w:t>
            </w:r>
            <w:r>
              <w:rPr>
                <w:b/>
              </w:rPr>
              <w:br/>
              <w:t>Haubrich</w:t>
            </w:r>
            <w:r>
              <w:rPr>
                <w:b/>
              </w:rPr>
              <w:br/>
            </w:r>
            <w:r>
              <w:t>(BÜNDNIS 90/DIE GRÜNEN)</w:t>
            </w:r>
            <w:bookmarkStart w:id="129" w:name="Frage_Nr_64"/>
            <w:bookmarkEnd w:id="129"/>
          </w:p>
        </w:tc>
        <w:tc>
          <w:tcPr>
            <w:tcW w:w="5733" w:type="dxa"/>
          </w:tcPr>
          <w:p w:rsidR="000F7714" w:rsidRPr="00D0635E" w:rsidRDefault="000F7714" w:rsidP="00D0635E">
            <w:pPr>
              <w:pStyle w:val="LTAnfrageText"/>
            </w:pPr>
            <w:r w:rsidRPr="00D0635E">
              <w:t>Ich frage die Staatsregierung, wie viele COVID-19-Patientinnen bzw. -Patienten wurden in den letzten drei Monaten mit monoklonalen Antikörpern behandelt, wie wird die intravenöse Gabe von den bisher in der EU zugelassenen monoklonalen Antikörpern logistisch organisiert und welche Erkenntnisse und Daten hat die Staatsregierung darüber, welche Rolle diese Medikamente in Bayern spielen können, um schwere Krankheitsverläufe bei Risikopatientinnen bzw. -patienten zu vermeiden?</w:t>
            </w:r>
          </w:p>
        </w:tc>
        <w:tc>
          <w:tcPr>
            <w:tcW w:w="5733" w:type="dxa"/>
          </w:tcPr>
          <w:p w:rsidR="000F7714" w:rsidRDefault="000F7714" w:rsidP="000F7714">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En</w:t>
      </w:r>
      <w:r w:rsidR="00F80D81">
        <w:t>de Januar 2021 hat der Bund 200 </w:t>
      </w:r>
      <w:r>
        <w:t>000 Dosen von monoklonalen Antikörpern beschafft:</w:t>
      </w:r>
    </w:p>
    <w:p w:rsidR="00013B61" w:rsidRDefault="00F80D81" w:rsidP="00D054E0">
      <w:pPr>
        <w:pStyle w:val="LTAntwortRessortText"/>
        <w:numPr>
          <w:ilvl w:val="0"/>
          <w:numId w:val="36"/>
        </w:numPr>
        <w:spacing w:before="0"/>
        <w:ind w:left="697" w:hanging="357"/>
      </w:pPr>
      <w:r>
        <w:t>Casirivimab</w:t>
      </w:r>
      <w:r w:rsidR="00013B61">
        <w:t>/</w:t>
      </w:r>
      <w:r>
        <w:t>Imdevimab von Regeneron/</w:t>
      </w:r>
      <w:r w:rsidR="00013B61">
        <w:t>Roche</w:t>
      </w:r>
    </w:p>
    <w:p w:rsidR="00013B61" w:rsidRDefault="00013B61" w:rsidP="00D054E0">
      <w:pPr>
        <w:pStyle w:val="LTAntwortRessortText"/>
        <w:numPr>
          <w:ilvl w:val="0"/>
          <w:numId w:val="36"/>
        </w:numPr>
        <w:spacing w:before="0"/>
        <w:ind w:left="697" w:hanging="357"/>
      </w:pPr>
      <w:r>
        <w:t>Bamlanivimab/Etesevimab von EliLilly.</w:t>
      </w:r>
    </w:p>
    <w:p w:rsidR="00013B61" w:rsidRDefault="00013B61" w:rsidP="00D054E0">
      <w:pPr>
        <w:pStyle w:val="LTAntwortRessortText"/>
        <w:spacing w:before="0"/>
      </w:pPr>
      <w:r>
        <w:t>Seit Februar 2021 sind diese zur Behandlung von COVID-19-Patienten in Deutschland verfügbar.</w:t>
      </w:r>
    </w:p>
    <w:p w:rsidR="00013B61" w:rsidRDefault="00013B61" w:rsidP="00013B61">
      <w:pPr>
        <w:pStyle w:val="LTAntwortRessortText"/>
      </w:pPr>
      <w:r>
        <w:t>Der Staatsregierung liegen keine Erkenntnisse zu der Zahl der in den letzten drei</w:t>
      </w:r>
      <w:r w:rsidR="00995945">
        <w:t xml:space="preserve"> </w:t>
      </w:r>
      <w:r>
        <w:t>Monaten mit monoklonalen Antikörpern behandelten COVID-19-Patienten in Bayern vor. Diese</w:t>
      </w:r>
      <w:r w:rsidR="00995945">
        <w:t xml:space="preserve"> </w:t>
      </w:r>
      <w:r>
        <w:t>können in der Kürze der zur Beantwortung einer Anfrage zum Plenum zur Verfügung stehenden</w:t>
      </w:r>
      <w:r w:rsidR="00995945">
        <w:t xml:space="preserve"> </w:t>
      </w:r>
      <w:r>
        <w:t>Zeit weder über die Kassenärztliche Vereinigung Bayerns erfragt noch für den Bereich der</w:t>
      </w:r>
      <w:r w:rsidR="00995945">
        <w:t xml:space="preserve"> </w:t>
      </w:r>
      <w:r>
        <w:t>Krankenhäuser erhoben werden. Diesen obliegt die Sicherstellung der fachgerechten</w:t>
      </w:r>
      <w:r w:rsidR="00995945">
        <w:t xml:space="preserve"> </w:t>
      </w:r>
      <w:r w:rsidR="00F80D81">
        <w:t>medizinischen Behandlung –</w:t>
      </w:r>
      <w:r>
        <w:t xml:space="preserve"> einschließ</w:t>
      </w:r>
      <w:r w:rsidR="00F80D81">
        <w:t>lich des Medikamenteneinsatzes –</w:t>
      </w:r>
      <w:r>
        <w:t xml:space="preserve"> in eigener</w:t>
      </w:r>
      <w:r w:rsidR="00995945">
        <w:t xml:space="preserve"> </w:t>
      </w:r>
      <w:r>
        <w:t>Verantwortung.</w:t>
      </w:r>
    </w:p>
    <w:p w:rsidR="00013B61" w:rsidRDefault="00013B61" w:rsidP="00013B61">
      <w:pPr>
        <w:pStyle w:val="LTAntwortRessortText"/>
      </w:pPr>
      <w:r>
        <w:t>Die Verteilung der Präparate erfolgt von zentraler Stelle des Bundes an Sternapotheken,</w:t>
      </w:r>
      <w:r w:rsidR="00995945">
        <w:t xml:space="preserve"> </w:t>
      </w:r>
      <w:r>
        <w:t>anschließend an Satellitenapotheken und von dort an Ärzte und Krankenhäuser. Für Informationen</w:t>
      </w:r>
      <w:r w:rsidR="00995945">
        <w:t xml:space="preserve"> </w:t>
      </w:r>
      <w:r>
        <w:t>hierzu verweisen wir auf die Webseite des Robert Koch-Institutes</w:t>
      </w:r>
      <w:r w:rsidR="00995945">
        <w:t xml:space="preserve"> </w:t>
      </w:r>
      <w:r>
        <w:t>(</w:t>
      </w:r>
      <w:hyperlink r:id="rId26" w:history="1">
        <w:r w:rsidR="00995945" w:rsidRPr="00F80D81">
          <w:rPr>
            <w:rStyle w:val="LTHyperlinkZchn"/>
            <w:b w:val="0"/>
          </w:rPr>
          <w:t>https://www.rki.de/DE/Content/InfAZ/N/Neuartiges_Coronavirus/Therapie/Arzneimittel_Tab.html</w:t>
        </w:r>
      </w:hyperlink>
      <w:r>
        <w:t>)</w:t>
      </w:r>
      <w:r w:rsidR="00995945">
        <w:t xml:space="preserve"> </w:t>
      </w:r>
      <w:r>
        <w:t>und das entsprechende Schreiben des Bundesministeriums für Gesundheit vom 04.03.2021. Die</w:t>
      </w:r>
      <w:r w:rsidR="00995945">
        <w:t xml:space="preserve"> </w:t>
      </w:r>
      <w:r>
        <w:t>Sternapotheke für Bayern, die Apotheke des Klinikums der Universität München Campus</w:t>
      </w:r>
      <w:r w:rsidR="00995945">
        <w:t xml:space="preserve"> </w:t>
      </w:r>
      <w:r>
        <w:t>Großhadern, hat am 24.02.2021 detaillierte Informationen zur Bestellung an</w:t>
      </w:r>
      <w:r w:rsidR="00995945">
        <w:t xml:space="preserve"> </w:t>
      </w:r>
      <w:r>
        <w:t>Krankenhausapotheken und krankenhausversorgende Apotheken in Bayern versandt.</w:t>
      </w:r>
    </w:p>
    <w:p w:rsidR="00013B61" w:rsidRDefault="00013B61" w:rsidP="00013B61">
      <w:pPr>
        <w:pStyle w:val="LTAntwortRessortText"/>
      </w:pPr>
      <w:r>
        <w:t>Am 11.11.2021 hat die EMA eine Empfehlung zur Zulassung von Ronapreve (Casirivimab/Imdevimab) ausgesprochen. Die EU-Kommission ist dieser Empfehlung am 12.11.2021 gefolgt</w:t>
      </w:r>
      <w:r w:rsidR="00995945">
        <w:t xml:space="preserve"> </w:t>
      </w:r>
      <w:r>
        <w:t>und hat eine Marktzulassung für Ronapreve erteilt. An der Organisation von Bestellung, Verteilung</w:t>
      </w:r>
      <w:r w:rsidR="00995945">
        <w:t xml:space="preserve"> </w:t>
      </w:r>
      <w:r>
        <w:t>und Transport hat sich hierdurch zunächst nichts geändert.</w:t>
      </w:r>
    </w:p>
    <w:p w:rsidR="00013B61" w:rsidRDefault="00013B61">
      <w:bookmarkStart w:id="130" w:name="Frage_Nr_64_Ende"/>
      <w:bookmarkEnd w:id="13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63C89" w:rsidTr="00C63C89">
        <w:tc>
          <w:tcPr>
            <w:tcW w:w="1840" w:type="dxa"/>
          </w:tcPr>
          <w:p w:rsidR="00C63C89" w:rsidRDefault="00C63C89" w:rsidP="00C63C89">
            <w:pPr>
              <w:pStyle w:val="LTAnfrageInitiator"/>
            </w:pPr>
            <w:r>
              <w:lastRenderedPageBreak/>
              <w:t>Abgeordneter</w:t>
            </w:r>
            <w:r>
              <w:rPr>
                <w:b/>
              </w:rPr>
              <w:br/>
              <w:t>Uli</w:t>
            </w:r>
            <w:r>
              <w:rPr>
                <w:b/>
              </w:rPr>
              <w:br/>
              <w:t>Henkel</w:t>
            </w:r>
            <w:r>
              <w:rPr>
                <w:b/>
              </w:rPr>
              <w:br/>
            </w:r>
            <w:r>
              <w:t>(AfD)</w:t>
            </w:r>
            <w:bookmarkStart w:id="131" w:name="Frage_Nr_65"/>
            <w:bookmarkEnd w:id="131"/>
          </w:p>
        </w:tc>
        <w:tc>
          <w:tcPr>
            <w:tcW w:w="5776" w:type="dxa"/>
          </w:tcPr>
          <w:p w:rsidR="00C63C89" w:rsidRPr="00D0635E" w:rsidRDefault="00C63C89" w:rsidP="00D0635E">
            <w:pPr>
              <w:pStyle w:val="LTAnfrageText"/>
            </w:pPr>
            <w:r w:rsidRPr="00D0635E">
              <w:t>Ich frage die Staatsregierung, wie viele Intensivbetten wurden im Jahr 2021 abgebaut, warum wurden die Intensivbetten abgebaut und wie viel Pflegepersonal bräuchte der Freistaat, um wieder mehr Intensivbetten aufzumachen?</w:t>
            </w:r>
          </w:p>
        </w:tc>
        <w:tc>
          <w:tcPr>
            <w:tcW w:w="5776" w:type="dxa"/>
          </w:tcPr>
          <w:p w:rsidR="00C63C89" w:rsidRDefault="00C63C89" w:rsidP="00C63C89">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Wie bereits in den Antworten auf diverse Anfragen der AfD-Fraktion ausgeführt, ist festzuhalten,</w:t>
      </w:r>
      <w:r w:rsidR="00124F4A">
        <w:t xml:space="preserve"> </w:t>
      </w:r>
      <w:r>
        <w:t>dass es in Deutschland und in Bayern kein staatliches Krankenhauswesen gibt, sondern ein</w:t>
      </w:r>
      <w:r w:rsidR="00124F4A">
        <w:t xml:space="preserve"> </w:t>
      </w:r>
      <w:r>
        <w:t>trägerplurales System aus einander ergänzenden öffentlichen (in der Regel kommunalen),</w:t>
      </w:r>
      <w:r w:rsidR="00124F4A">
        <w:t xml:space="preserve"> </w:t>
      </w:r>
      <w:r>
        <w:t>freigemeinnützigen (</w:t>
      </w:r>
      <w:r w:rsidR="004A5D9A">
        <w:t>z. B.</w:t>
      </w:r>
      <w:r>
        <w:t xml:space="preserve"> kirchlichen) und privaten Krankenhäusern. Diese Krankenhäuser sind</w:t>
      </w:r>
      <w:r w:rsidR="00124F4A">
        <w:t xml:space="preserve"> </w:t>
      </w:r>
      <w:r>
        <w:t>keine nachgeordneten Behörden des Staates und auch sonst keinen Weisungen hinsichtlich ihres</w:t>
      </w:r>
      <w:r w:rsidR="00124F4A">
        <w:t xml:space="preserve"> </w:t>
      </w:r>
      <w:r>
        <w:t>Betriebsablaufs unterworfen. Entscheidungen über Schließungen bzw. einen Kapazitätsabbau</w:t>
      </w:r>
      <w:r w:rsidR="00124F4A">
        <w:t xml:space="preserve"> </w:t>
      </w:r>
      <w:r>
        <w:t>treffen ebenfalls primär die Krankenhausträger in eigener Verantwortung.</w:t>
      </w:r>
    </w:p>
    <w:p w:rsidR="00013B61" w:rsidRDefault="00013B61" w:rsidP="00D054E0">
      <w:pPr>
        <w:pStyle w:val="LTAntwortRessortText"/>
        <w:spacing w:before="0"/>
      </w:pPr>
      <w:r>
        <w:t xml:space="preserve">Seit dem Beginn der </w:t>
      </w:r>
      <w:r w:rsidR="004A5D9A">
        <w:t>Coronapandemie</w:t>
      </w:r>
      <w:r>
        <w:t xml:space="preserve"> Anfang 2020 bemüht sich die Staatsregierung darum, die</w:t>
      </w:r>
      <w:r w:rsidR="00124F4A">
        <w:t xml:space="preserve"> </w:t>
      </w:r>
      <w:r>
        <w:t>bayerischen Krankenhäuser bei einem Ausbau der Intensivkapazitäten zu unterstützen. Dies</w:t>
      </w:r>
      <w:r w:rsidR="00124F4A">
        <w:t xml:space="preserve"> </w:t>
      </w:r>
      <w:r>
        <w:t>geschieht u. a. durch den Zukauf und die Auslieferung bzw. die Bezahlung von</w:t>
      </w:r>
      <w:r w:rsidR="00124F4A">
        <w:t xml:space="preserve"> </w:t>
      </w:r>
      <w:r>
        <w:t>Beatmungsgeräten. Im Rahmen der Pandemiebekämpfung wurden zur Steuerung und</w:t>
      </w:r>
      <w:r w:rsidR="00124F4A">
        <w:t xml:space="preserve"> </w:t>
      </w:r>
      <w:r>
        <w:t>Überwachung der vorhandenen Krankenhaus- und vor allem Intensivkapazitäten IT-gestützte</w:t>
      </w:r>
      <w:r w:rsidR="00124F4A">
        <w:t xml:space="preserve"> </w:t>
      </w:r>
      <w:r>
        <w:t>Systeme auf Bundes- und Landesebene eingeführt. Basis dafür ist</w:t>
      </w:r>
      <w:r w:rsidR="00124F4A">
        <w:t xml:space="preserve"> </w:t>
      </w:r>
      <w:r w:rsidR="004A5D9A">
        <w:t>u. a.</w:t>
      </w:r>
      <w:r w:rsidR="00124F4A">
        <w:t xml:space="preserve"> die DIVI-IntensivRegister-</w:t>
      </w:r>
      <w:r>
        <w:t>Verordnung des Bundesministeriums für Gesundheit vom 10.04.2020.</w:t>
      </w:r>
    </w:p>
    <w:p w:rsidR="00013B61" w:rsidRDefault="00013B61" w:rsidP="00D054E0">
      <w:pPr>
        <w:pStyle w:val="LTAntwortRessortText"/>
        <w:spacing w:before="0"/>
      </w:pPr>
      <w:r>
        <w:t>Die Kliniken wurden im Zuge dessen verpflichtet, täglich den aktuellen Stand ihrer</w:t>
      </w:r>
      <w:r w:rsidR="00124F4A">
        <w:t xml:space="preserve"> </w:t>
      </w:r>
      <w:r>
        <w:t>Bettenkapazitäten, vor allem im intensivmedizinischen Bereich, sowie deren Belegungsgrad auf</w:t>
      </w:r>
      <w:r w:rsidR="00124F4A">
        <w:t xml:space="preserve"> </w:t>
      </w:r>
      <w:r>
        <w:t>Bundesebene über das vom Robert Koch-Institut und der Deutschen Interdisziplinären</w:t>
      </w:r>
      <w:r w:rsidR="00124F4A">
        <w:t xml:space="preserve"> </w:t>
      </w:r>
      <w:r>
        <w:t>Vereinigung für Intensiv- und Notfallmedizin (DIVI) entwickelte DIVI-IntensivRegister zu melden.</w:t>
      </w:r>
    </w:p>
    <w:p w:rsidR="00013B61" w:rsidRDefault="00013B61" w:rsidP="00D054E0">
      <w:pPr>
        <w:pStyle w:val="LTAntwortRessortText"/>
        <w:spacing w:before="0"/>
      </w:pPr>
      <w:r>
        <w:t>Richtig ist, dass die aktuellen Zahlen der verfügbaren Intensivkapazitäten unterhalb der in der</w:t>
      </w:r>
      <w:r w:rsidR="00124F4A">
        <w:t xml:space="preserve"> </w:t>
      </w:r>
      <w:r>
        <w:t>Pandemie insgesamt gemeldeten Höchstwerte liegen. Im Einzelnen ist hierbei auf die öffentlich</w:t>
      </w:r>
      <w:r w:rsidR="00124F4A">
        <w:t xml:space="preserve"> </w:t>
      </w:r>
      <w:r>
        <w:t>zugänglichen Daten des DIVI-Intensivregis</w:t>
      </w:r>
      <w:r w:rsidR="00F56219">
        <w:t>ters zu verweisen, aus denen u. </w:t>
      </w:r>
      <w:r>
        <w:t>a. auch die Entwicklung</w:t>
      </w:r>
      <w:r w:rsidR="00124F4A">
        <w:t xml:space="preserve"> </w:t>
      </w:r>
      <w:r>
        <w:t>der betriebenen Intensivbetten in Bayern abgelesen werden kann</w:t>
      </w:r>
      <w:r w:rsidR="00124F4A">
        <w:t xml:space="preserve"> </w:t>
      </w:r>
      <w:r>
        <w:t>(</w:t>
      </w:r>
      <w:hyperlink r:id="rId27" w:history="1">
        <w:r w:rsidRPr="00F56219">
          <w:rPr>
            <w:rStyle w:val="LTHyperlinkZchn"/>
            <w:b w:val="0"/>
          </w:rPr>
          <w:t>https://www.intensivregister.de/#/intensivregister</w:t>
        </w:r>
      </w:hyperlink>
      <w:r>
        <w:t>).</w:t>
      </w:r>
    </w:p>
    <w:p w:rsidR="00013B61" w:rsidRDefault="00013B61" w:rsidP="00D054E0">
      <w:pPr>
        <w:pStyle w:val="LTAntwortRessortText"/>
        <w:spacing w:before="0"/>
      </w:pPr>
      <w:r>
        <w:t>Der entscheidende Faktor für die Betreibbarkeit eines Bettes ist das medizinische Fachpersonal.</w:t>
      </w:r>
    </w:p>
    <w:p w:rsidR="00013B61" w:rsidRDefault="00013B61" w:rsidP="00D054E0">
      <w:pPr>
        <w:pStyle w:val="LTAntwortRessortText"/>
        <w:spacing w:before="0"/>
      </w:pPr>
      <w:r>
        <w:t>Vor allem die Ermüdung und Überlastung des Krankenhauspersonals im personalintensiven</w:t>
      </w:r>
      <w:r w:rsidR="00124F4A">
        <w:t xml:space="preserve"> </w:t>
      </w:r>
      <w:r>
        <w:t>Bereich der Intensivstationen trug bislang zu einem Rückgang der gemeldeten Kapazitäten bei.</w:t>
      </w:r>
    </w:p>
    <w:p w:rsidR="00013B61" w:rsidRDefault="00013B61" w:rsidP="00D054E0">
      <w:pPr>
        <w:pStyle w:val="LTAntwortRessortText"/>
        <w:spacing w:before="0"/>
      </w:pPr>
      <w:r>
        <w:t>Die Krankenhäuser berichten von gehäuften Krankmeldungen und sogar Kündigungen von</w:t>
      </w:r>
      <w:r w:rsidR="00124F4A">
        <w:t xml:space="preserve"> </w:t>
      </w:r>
      <w:r>
        <w:t>Pflegerinnen und Pflegern im intensivmedizinischen Bereich. Auch die durch das Eindämmen der</w:t>
      </w:r>
      <w:r w:rsidR="00124F4A">
        <w:t xml:space="preserve"> </w:t>
      </w:r>
      <w:r>
        <w:t>Infektionslage erhoffte Entspannungsphase für die Krankenhäuser im Sommer 2021, die vor allem</w:t>
      </w:r>
      <w:r w:rsidR="00124F4A">
        <w:t xml:space="preserve"> </w:t>
      </w:r>
      <w:r>
        <w:t>für das seit über einem Jahr stark belastete Personal von großer Bedeutung gewesen wäre, blieb,</w:t>
      </w:r>
      <w:r w:rsidR="00124F4A">
        <w:t xml:space="preserve"> </w:t>
      </w:r>
      <w:r>
        <w:t>vor allem insbesondere aufgrund der zu kurzen Dauer sinkender Belegung mit COVID-19-Patienten, weitestgehend aus, zumal auch planbare Operationen nachgeholt werden mussten, die</w:t>
      </w:r>
      <w:r w:rsidR="00124F4A">
        <w:t xml:space="preserve"> </w:t>
      </w:r>
      <w:r>
        <w:t>aufgrund der Pandemie verschoben worden waren. Seit Oktober 2021 wird ein starker Anstieg der</w:t>
      </w:r>
      <w:r w:rsidR="00124F4A">
        <w:t xml:space="preserve"> </w:t>
      </w:r>
      <w:r>
        <w:t>COVID-Belegung wahrgenommen, was das erschöpfte Klinikpersonal erneut an die</w:t>
      </w:r>
      <w:r w:rsidR="00124F4A">
        <w:t xml:space="preserve"> </w:t>
      </w:r>
      <w:r>
        <w:t>Belastungsgrenze bringt. Von einem aktiven Abbau von Bettenkapazitäten kann daher keine Rede</w:t>
      </w:r>
      <w:r w:rsidR="00124F4A">
        <w:t xml:space="preserve"> </w:t>
      </w:r>
      <w:r>
        <w:t>sein.</w:t>
      </w:r>
    </w:p>
    <w:p w:rsidR="00013B61" w:rsidRDefault="00013B61" w:rsidP="00D054E0">
      <w:pPr>
        <w:pStyle w:val="LTAntwortRessortText"/>
        <w:spacing w:before="0"/>
      </w:pPr>
      <w:r>
        <w:t>Da insbesondere das Pflegepersonal einen limitierenden Faktor in der intensivmedizinischen</w:t>
      </w:r>
      <w:r w:rsidR="00124F4A">
        <w:t xml:space="preserve"> </w:t>
      </w:r>
      <w:r>
        <w:t>Krankenhausversorgung darstellt, gilt es, dieses zukünftig ausreichend und langfristig zu stärken.</w:t>
      </w:r>
    </w:p>
    <w:p w:rsidR="00013B61" w:rsidRDefault="00013B61" w:rsidP="00D054E0">
      <w:pPr>
        <w:pStyle w:val="LTAntwortRessortText"/>
        <w:spacing w:before="0"/>
      </w:pPr>
      <w:r>
        <w:lastRenderedPageBreak/>
        <w:t>Der im Rahmen von Pflegepersonalstärkungsgesetz und der Konzertierten Aktion Pflege</w:t>
      </w:r>
      <w:r w:rsidR="00124F4A">
        <w:t xml:space="preserve"> </w:t>
      </w:r>
      <w:r>
        <w:t>begonnene Prozess zur Steigerung der Attraktivität des Pflegeberufs ist für die Krankenpflege</w:t>
      </w:r>
      <w:r w:rsidR="00124F4A">
        <w:t xml:space="preserve"> </w:t>
      </w:r>
      <w:r>
        <w:t>daher konsequent weiterzuführen. Gesetzgeberisch zuständig ist insoweit aber ausschließlich der</w:t>
      </w:r>
      <w:r w:rsidR="00124F4A">
        <w:t xml:space="preserve"> </w:t>
      </w:r>
      <w:r>
        <w:t>Bund, bei dem sich der Freistaat konsequent für entsprechende Verbesserungen der</w:t>
      </w:r>
      <w:r w:rsidR="00124F4A">
        <w:t xml:space="preserve"> </w:t>
      </w:r>
      <w:r>
        <w:t xml:space="preserve">Rahmenbedingungen, </w:t>
      </w:r>
      <w:r w:rsidR="004A5D9A">
        <w:t>u. a.</w:t>
      </w:r>
      <w:r>
        <w:t xml:space="preserve"> Verbesserung der Vergütung der Pflegekräfte sowie Entlastung des</w:t>
      </w:r>
      <w:r w:rsidR="00124F4A">
        <w:t xml:space="preserve"> </w:t>
      </w:r>
      <w:r>
        <w:t>Pflegepersonals von pflegefremden Tätigkeiten, einsetzt.</w:t>
      </w:r>
    </w:p>
    <w:p w:rsidR="00013B61" w:rsidRDefault="00013B61" w:rsidP="00D054E0">
      <w:pPr>
        <w:pStyle w:val="LTAntwortRessortText"/>
        <w:spacing w:before="0"/>
      </w:pPr>
      <w:r>
        <w:t>Allerdings sind die Krankenhausträger auch eigenverantwortlich in den Bereichen der</w:t>
      </w:r>
      <w:r w:rsidR="00124F4A">
        <w:t xml:space="preserve"> </w:t>
      </w:r>
      <w:r>
        <w:t>Personalausstattung und des Personaleinsatzes tätig. Mit Blick auf benötigte Personalkapazitäten</w:t>
      </w:r>
      <w:r w:rsidR="00124F4A">
        <w:t xml:space="preserve"> </w:t>
      </w:r>
      <w:r>
        <w:t>sind hierbei insbesondere die entsprechenden Vorgaben der Pflegepersonaluntergrenzen-Verordnung für den Intensivbereich zu berücksichtigen und einzuhalten</w:t>
      </w:r>
      <w:r w:rsidR="001D3DAB">
        <w:t>.</w:t>
      </w:r>
    </w:p>
    <w:p w:rsidR="00013B61" w:rsidRDefault="00013B61">
      <w:bookmarkStart w:id="132" w:name="Frage_Nr_65_Ende"/>
      <w:bookmarkEnd w:id="132"/>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77A7A" w:rsidTr="00C77A7A">
        <w:tc>
          <w:tcPr>
            <w:tcW w:w="1860" w:type="dxa"/>
          </w:tcPr>
          <w:p w:rsidR="00C77A7A" w:rsidRDefault="00C77A7A" w:rsidP="00C77A7A">
            <w:pPr>
              <w:pStyle w:val="LTAnfrageInitiator"/>
            </w:pPr>
            <w:r>
              <w:lastRenderedPageBreak/>
              <w:t>Abgeordneter</w:t>
            </w:r>
            <w:r>
              <w:rPr>
                <w:b/>
              </w:rPr>
              <w:br/>
              <w:t>Christian</w:t>
            </w:r>
            <w:r>
              <w:rPr>
                <w:b/>
              </w:rPr>
              <w:br/>
              <w:t>Klingen</w:t>
            </w:r>
            <w:r>
              <w:rPr>
                <w:b/>
              </w:rPr>
              <w:br/>
            </w:r>
            <w:r>
              <w:t>(AfD)</w:t>
            </w:r>
            <w:bookmarkStart w:id="133" w:name="Frage_Nr_66"/>
            <w:bookmarkEnd w:id="133"/>
          </w:p>
        </w:tc>
        <w:tc>
          <w:tcPr>
            <w:tcW w:w="5756" w:type="dxa"/>
          </w:tcPr>
          <w:p w:rsidR="00C77A7A" w:rsidRPr="00D0635E" w:rsidRDefault="00C77A7A" w:rsidP="00D0635E">
            <w:pPr>
              <w:pStyle w:val="LTAnfrageText"/>
            </w:pPr>
            <w:r w:rsidRPr="00D0635E">
              <w:t>Ich frage die Staatsregierung, bezieht sich die Wirksamkeitsabschätzung der COVID-19-Impfstoffe auf die relative Wirksamkeit oder die absolute Wirksamkeit, welche der vorgenannten Arten von Wirksamkeit stimmt nach Ansicht der Staatsregierung eher mit der Verteilung von geimpften und ungeimpften Personen bei den hospitalisierten Corona-Fällen in bayerischen Krankenhäusern überein (bitte genaue Korrelationsangabe) und welche Wirksamkeitsabschätzungen liegen der Staatsregierung hinsichtlich des Einsatzes von COVID-19 behandelnder Medikamente wie Hydroxichloroquin und Ivermectin vor (Inland wie Ausland)?</w:t>
            </w:r>
          </w:p>
        </w:tc>
        <w:tc>
          <w:tcPr>
            <w:tcW w:w="5756" w:type="dxa"/>
          </w:tcPr>
          <w:p w:rsidR="00C77A7A" w:rsidRDefault="00C77A7A" w:rsidP="00C77A7A">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Die meisten Studien geben die relative Risikoreduktion für Impfstoffe an. Die relative</w:t>
      </w:r>
      <w:r w:rsidR="00700248">
        <w:t xml:space="preserve"> </w:t>
      </w:r>
      <w:r>
        <w:t>Risikoreduktion gibt Aufschluss über die Schutzwirkung unabhängig von einem gegebenen</w:t>
      </w:r>
      <w:r w:rsidR="00700248">
        <w:t xml:space="preserve"> </w:t>
      </w:r>
      <w:r>
        <w:t>Infektionsdruck und ist somit für die Bewertung der Impfwirksamkeit die angemessene Kennziffer.</w:t>
      </w:r>
    </w:p>
    <w:p w:rsidR="00013B61" w:rsidRDefault="00013B61" w:rsidP="00013B61">
      <w:pPr>
        <w:pStyle w:val="LTAntwortRessortText"/>
      </w:pPr>
      <w:r>
        <w:t xml:space="preserve">Eine relative Risikoreduktion von 90 </w:t>
      </w:r>
      <w:r w:rsidR="004A5D9A">
        <w:t>Prozent</w:t>
      </w:r>
      <w:r>
        <w:t xml:space="preserve"> bei einem Impfstoff bedeutet demzufolge, dass die</w:t>
      </w:r>
      <w:r w:rsidR="00700248">
        <w:t xml:space="preserve"> </w:t>
      </w:r>
      <w:r>
        <w:t xml:space="preserve">Wahrscheinlichkeit zu erkranken für geimpfte Personen um 90 </w:t>
      </w:r>
      <w:r w:rsidR="004A5D9A">
        <w:t>Prozent</w:t>
      </w:r>
      <w:r>
        <w:t xml:space="preserve"> niedriger ist als für Ungeimpfte.</w:t>
      </w:r>
    </w:p>
    <w:p w:rsidR="00013B61" w:rsidRDefault="00013B61" w:rsidP="00047142">
      <w:pPr>
        <w:pStyle w:val="LTAntwortRessortText"/>
        <w:spacing w:before="0"/>
      </w:pPr>
      <w:r>
        <w:t>Oder anders gesagt, dass die Zahl der innerhalb einer bestimmten Zeit in der geimpften Gruppe</w:t>
      </w:r>
      <w:r w:rsidR="00700248">
        <w:t xml:space="preserve"> </w:t>
      </w:r>
      <w:r>
        <w:t>aufgetretenen COVID-19-Erkrankungen im Vergleich zu einer nichtgeimpften Kontrollgruppe um</w:t>
      </w:r>
      <w:r w:rsidR="00700248">
        <w:t xml:space="preserve"> </w:t>
      </w:r>
      <w:r>
        <w:t xml:space="preserve">90 </w:t>
      </w:r>
      <w:r w:rsidR="004A5D9A">
        <w:t>Prozent</w:t>
      </w:r>
      <w:r>
        <w:t xml:space="preserve"> reduziert waren (</w:t>
      </w:r>
      <w:r w:rsidR="004A5D9A">
        <w:t>z. B.</w:t>
      </w:r>
      <w:r>
        <w:t xml:space="preserve"> 10 vs. 100 Erkrankungen bei gleich großen Gruppen).</w:t>
      </w:r>
    </w:p>
    <w:p w:rsidR="00013B61" w:rsidRDefault="00013B61" w:rsidP="00013B61">
      <w:pPr>
        <w:pStyle w:val="LTAntwortRessortText"/>
      </w:pPr>
      <w:r>
        <w:t xml:space="preserve">Der Anteil </w:t>
      </w:r>
      <w:r w:rsidR="00F56219">
        <w:t>der Geimpften an den Erkrankten</w:t>
      </w:r>
      <w:r>
        <w:t>/Hospitalisierten gibt keinen Aufschluss über die</w:t>
      </w:r>
      <w:r w:rsidR="00700248">
        <w:t xml:space="preserve"> </w:t>
      </w:r>
      <w:r>
        <w:t>Wirksamkeit eines Impfstoffs. Somit ist die Frage nach einer Korrelation weder sinnvoll, noch zu</w:t>
      </w:r>
      <w:r w:rsidR="00700248">
        <w:t xml:space="preserve"> </w:t>
      </w:r>
      <w:r>
        <w:t>beantworten. Dass unter den hospitalisierten COVID-19-Fällen auch vollständig Geimpfte sind,</w:t>
      </w:r>
      <w:r w:rsidR="00700248">
        <w:t xml:space="preserve"> </w:t>
      </w:r>
      <w:r>
        <w:t>muss vor dem Hintergrund der steigenden Impfquoten gesehen werden. So steigt der Anteil der</w:t>
      </w:r>
      <w:r w:rsidR="00700248">
        <w:t xml:space="preserve"> </w:t>
      </w:r>
      <w:r>
        <w:t xml:space="preserve">Geimpften unter den Hospitalisierten zwangsläufig mit der Impfquote. Bei einer Impfquote von 0 </w:t>
      </w:r>
      <w:r w:rsidR="004A5D9A">
        <w:t>Prozent</w:t>
      </w:r>
      <w:r w:rsidR="00700248">
        <w:t xml:space="preserve"> </w:t>
      </w:r>
      <w:r>
        <w:t xml:space="preserve">wäre keiner der hospitalisierten COVID-19-Fälle geimpft, bei einer Impfquote von 100 </w:t>
      </w:r>
      <w:r w:rsidR="004A5D9A">
        <w:t>Prozent</w:t>
      </w:r>
      <w:r>
        <w:t xml:space="preserve"> wären</w:t>
      </w:r>
      <w:r w:rsidR="00700248">
        <w:t xml:space="preserve"> </w:t>
      </w:r>
      <w:r>
        <w:t xml:space="preserve">auch 100 </w:t>
      </w:r>
      <w:r w:rsidR="004A5D9A">
        <w:t>Prozent</w:t>
      </w:r>
      <w:r>
        <w:t xml:space="preserve"> der hospitalisierten COVID-19-Fälle Personen, die zuvor geimpft worden waren.</w:t>
      </w:r>
    </w:p>
    <w:p w:rsidR="00013B61" w:rsidRDefault="00013B61" w:rsidP="00013B61">
      <w:pPr>
        <w:pStyle w:val="LTAntwortRessortText"/>
      </w:pPr>
      <w:r>
        <w:t>Hydroxychloroquin und Ivermectin sind in Deutschland nicht für die Behandlung einer SARS-CoV-2-Infektion zugelassen. Die vorübergehende Zulassung von Hydroxychloroquin in den USA ist</w:t>
      </w:r>
      <w:r w:rsidR="00700248">
        <w:t xml:space="preserve"> </w:t>
      </w:r>
      <w:r>
        <w:t>widerrufen worden. Zu Ivermectin gibt es bisher keine ausreichende Studienlage. Die</w:t>
      </w:r>
      <w:r w:rsidR="00700248">
        <w:t xml:space="preserve"> </w:t>
      </w:r>
      <w:r>
        <w:t>Arbeitsgemeinschaft der Wissenschaftlichen Medi</w:t>
      </w:r>
      <w:r w:rsidR="00F56219">
        <w:t>zinischen Fachgesellschaften e. </w:t>
      </w:r>
      <w:r>
        <w:t>V. (AMWF) rät</w:t>
      </w:r>
      <w:r w:rsidR="00700248">
        <w:t xml:space="preserve"> </w:t>
      </w:r>
      <w:r>
        <w:t>in einer S-3-Leitlinie explizit vom Einsatz bei Krankenhauspatienten ab (</w:t>
      </w:r>
      <w:hyperlink r:id="rId28" w:history="1">
        <w:r w:rsidR="00907929" w:rsidRPr="00907929">
          <w:rPr>
            <w:color w:val="0000FF"/>
            <w:u w:val="single"/>
          </w:rPr>
          <w:t>113-001LGl_S3_Empfehlungen-zur-stationaeren-Therapie-von-Patienten-mit-COVID-19_2021-10_1.pdf (awmf.org)</w:t>
        </w:r>
      </w:hyperlink>
    </w:p>
    <w:p w:rsidR="00013B61" w:rsidRDefault="00013B61" w:rsidP="00013B61">
      <w:pPr>
        <w:pStyle w:val="LTAntwortRessortText"/>
      </w:pPr>
      <w:r>
        <w:t xml:space="preserve">Der Staatsregierung liegen zu einer </w:t>
      </w:r>
      <w:r w:rsidR="00E832CF">
        <w:t>„</w:t>
      </w:r>
      <w:r>
        <w:t>Effizienzbetrachtung</w:t>
      </w:r>
      <w:r w:rsidR="00E832CF">
        <w:t>“</w:t>
      </w:r>
      <w:r>
        <w:t xml:space="preserve"> bzw. </w:t>
      </w:r>
      <w:r w:rsidR="00E832CF">
        <w:t>„</w:t>
      </w:r>
      <w:r>
        <w:t>Wirksamkeitsabschätzung</w:t>
      </w:r>
      <w:r w:rsidR="00E832CF">
        <w:t>“</w:t>
      </w:r>
      <w:r>
        <w:t xml:space="preserve"> keine</w:t>
      </w:r>
      <w:r w:rsidR="00700248">
        <w:t xml:space="preserve"> </w:t>
      </w:r>
      <w:r>
        <w:t>eigenen Informationen vor. Für die Bewertung der Wirksamkeit von Arzneimitteln und Impfstoffen</w:t>
      </w:r>
      <w:r w:rsidR="00700248">
        <w:t xml:space="preserve"> </w:t>
      </w:r>
      <w:r>
        <w:t>sind in Deutschland das Bundesinstitut für Arzneimittel und Medizinprodukt (BfArM) bzw. das Paul-Ehrlich-Institut (PEI) zuständig. Auf europäischer Ebene ist die Europäische Arzneimittelbehörde</w:t>
      </w:r>
      <w:r w:rsidR="00700248">
        <w:t xml:space="preserve"> </w:t>
      </w:r>
      <w:r>
        <w:t>(EMA) hierfür verantwortlich.</w:t>
      </w:r>
    </w:p>
    <w:p w:rsidR="00013B61" w:rsidRDefault="00013B61">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33D7E" w:rsidTr="00833D7E">
        <w:tc>
          <w:tcPr>
            <w:tcW w:w="1883" w:type="dxa"/>
          </w:tcPr>
          <w:p w:rsidR="00833D7E" w:rsidRDefault="00833D7E" w:rsidP="00833D7E">
            <w:pPr>
              <w:pStyle w:val="LTAnfrageInitiator"/>
            </w:pPr>
            <w:r>
              <w:lastRenderedPageBreak/>
              <w:t>Abgeordneter</w:t>
            </w:r>
            <w:r>
              <w:rPr>
                <w:b/>
              </w:rPr>
              <w:br/>
              <w:t>Andreas</w:t>
            </w:r>
            <w:r>
              <w:rPr>
                <w:b/>
              </w:rPr>
              <w:br/>
              <w:t>Krahl</w:t>
            </w:r>
            <w:r>
              <w:rPr>
                <w:b/>
              </w:rPr>
              <w:br/>
            </w:r>
            <w:r>
              <w:t>(BÜNDNIS 90/DIE GRÜNEN)</w:t>
            </w:r>
            <w:bookmarkStart w:id="135" w:name="Frage_Nr_67"/>
            <w:bookmarkEnd w:id="135"/>
          </w:p>
        </w:tc>
        <w:tc>
          <w:tcPr>
            <w:tcW w:w="5733" w:type="dxa"/>
          </w:tcPr>
          <w:p w:rsidR="00833D7E" w:rsidRPr="00D0635E" w:rsidRDefault="00833D7E" w:rsidP="00D0635E">
            <w:pPr>
              <w:pStyle w:val="LTAnfrageText"/>
            </w:pPr>
            <w:r w:rsidRPr="00D0635E">
              <w:t xml:space="preserve">Ich frage die Staatsregierung, wie viele Personen sind derzeit beim Pflegepool Bayern zur Unterstützung der Pflege in der Pandemie der Vereinigung der Pflegenden in Bayern (VdPB) gemeldet (bitte nach Regierungsbezirk aufschlüsseln), wie viele der gemeldeten Personen verfügen über einen fachspezifischen beruflichen Hintergrund (bitte nach Berufsbildern aufschlüsseln) und wieviel Personal wurde seit der Feststellung des aktuellen Katastrophenfalls aus dem Pflegepool bereits vermittelt (bitte nach Regierungsbezirk aufschlüsseln)? </w:t>
            </w:r>
          </w:p>
        </w:tc>
        <w:tc>
          <w:tcPr>
            <w:tcW w:w="5733" w:type="dxa"/>
          </w:tcPr>
          <w:p w:rsidR="00833D7E" w:rsidRDefault="00833D7E" w:rsidP="00833D7E">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Nach Angaben der Vereinigung der Pflegenden Bayern (VdPB) können folgende Daten zum</w:t>
      </w:r>
      <w:r w:rsidR="00700248">
        <w:t xml:space="preserve"> </w:t>
      </w:r>
      <w:r>
        <w:t>Pflegepool Bayern mitgeteilt werden:</w:t>
      </w:r>
    </w:p>
    <w:p w:rsidR="00013B61" w:rsidRDefault="00F56219" w:rsidP="00013B61">
      <w:pPr>
        <w:pStyle w:val="LTAntwortRessortText"/>
      </w:pPr>
      <w:r>
        <w:t>Insgesamt sind derzeit 3 </w:t>
      </w:r>
      <w:r w:rsidR="00013B61">
        <w:t>934 Personen beim Pflegepool Bayern gemeldet (Stand: 22.11.2021).</w:t>
      </w:r>
    </w:p>
    <w:p w:rsidR="00013B61" w:rsidRDefault="00013B61" w:rsidP="00013B61">
      <w:pPr>
        <w:pStyle w:val="LTAntwortRessortText"/>
      </w:pPr>
      <w:r>
        <w:t>Davon stammen</w:t>
      </w:r>
    </w:p>
    <w:p w:rsidR="00013B61" w:rsidRDefault="00013B61" w:rsidP="004A0731">
      <w:pPr>
        <w:pStyle w:val="LTAntwortRessortText"/>
        <w:numPr>
          <w:ilvl w:val="1"/>
          <w:numId w:val="38"/>
        </w:numPr>
        <w:spacing w:before="0"/>
        <w:ind w:left="697" w:hanging="357"/>
      </w:pPr>
      <w:r>
        <w:t>738 Personen aus Mittelfranken</w:t>
      </w:r>
    </w:p>
    <w:p w:rsidR="00013B61" w:rsidRDefault="00013B61" w:rsidP="004A0731">
      <w:pPr>
        <w:pStyle w:val="LTAntwortRessortText"/>
        <w:numPr>
          <w:ilvl w:val="1"/>
          <w:numId w:val="38"/>
        </w:numPr>
        <w:spacing w:before="0"/>
        <w:ind w:left="697" w:hanging="357"/>
      </w:pPr>
      <w:r>
        <w:t>303 Personen aus Niederbayern</w:t>
      </w:r>
    </w:p>
    <w:p w:rsidR="00013B61" w:rsidRDefault="00F56219" w:rsidP="004A0731">
      <w:pPr>
        <w:pStyle w:val="LTAntwortRessortText"/>
        <w:numPr>
          <w:ilvl w:val="1"/>
          <w:numId w:val="38"/>
        </w:numPr>
        <w:spacing w:before="0"/>
        <w:ind w:left="697" w:hanging="357"/>
      </w:pPr>
      <w:r>
        <w:t>1 </w:t>
      </w:r>
      <w:r w:rsidR="00013B61">
        <w:t>454 Personen aus Oberbayern</w:t>
      </w:r>
    </w:p>
    <w:p w:rsidR="00013B61" w:rsidRDefault="00013B61" w:rsidP="004A0731">
      <w:pPr>
        <w:pStyle w:val="LTAntwortRessortText"/>
        <w:numPr>
          <w:ilvl w:val="1"/>
          <w:numId w:val="38"/>
        </w:numPr>
        <w:spacing w:before="0"/>
        <w:ind w:left="697" w:hanging="357"/>
      </w:pPr>
      <w:r>
        <w:t>266 Personen aus Oberfranken</w:t>
      </w:r>
    </w:p>
    <w:p w:rsidR="00013B61" w:rsidRDefault="00013B61" w:rsidP="004A0731">
      <w:pPr>
        <w:pStyle w:val="LTAntwortRessortText"/>
        <w:numPr>
          <w:ilvl w:val="1"/>
          <w:numId w:val="38"/>
        </w:numPr>
        <w:spacing w:before="0"/>
        <w:ind w:left="697" w:hanging="357"/>
      </w:pPr>
      <w:r>
        <w:t>315 Personen aus der Oberpfalz</w:t>
      </w:r>
    </w:p>
    <w:p w:rsidR="00013B61" w:rsidRDefault="00013B61" w:rsidP="004A0731">
      <w:pPr>
        <w:pStyle w:val="LTAntwortRessortText"/>
        <w:numPr>
          <w:ilvl w:val="1"/>
          <w:numId w:val="38"/>
        </w:numPr>
        <w:spacing w:before="0"/>
        <w:ind w:left="697" w:hanging="357"/>
      </w:pPr>
      <w:r>
        <w:t>535 Personen aus Schwaben</w:t>
      </w:r>
    </w:p>
    <w:p w:rsidR="00013B61" w:rsidRDefault="00013B61" w:rsidP="004A0731">
      <w:pPr>
        <w:pStyle w:val="LTAntwortRessortText"/>
        <w:numPr>
          <w:ilvl w:val="1"/>
          <w:numId w:val="38"/>
        </w:numPr>
        <w:spacing w:before="0"/>
        <w:ind w:left="697" w:hanging="357"/>
      </w:pPr>
      <w:r>
        <w:t>265 Personen aus Unterfranken</w:t>
      </w:r>
    </w:p>
    <w:p w:rsidR="00013B61" w:rsidRDefault="00013B61" w:rsidP="004A0731">
      <w:pPr>
        <w:pStyle w:val="LTAntwortRessortText"/>
        <w:spacing w:before="0"/>
      </w:pPr>
      <w:r>
        <w:t>Bei 58 Personen war keine Zuordnung möglich.</w:t>
      </w:r>
    </w:p>
    <w:p w:rsidR="00013B61" w:rsidRDefault="00013B61" w:rsidP="00013B61">
      <w:pPr>
        <w:pStyle w:val="LTAntwortRessortText"/>
      </w:pPr>
      <w:r>
        <w:t>Davon sind insgesamt:</w:t>
      </w:r>
    </w:p>
    <w:p w:rsidR="00013B61" w:rsidRDefault="00013B61" w:rsidP="004A0731">
      <w:pPr>
        <w:pStyle w:val="LTAntwortRessortText"/>
        <w:numPr>
          <w:ilvl w:val="1"/>
          <w:numId w:val="40"/>
        </w:numPr>
        <w:spacing w:before="0"/>
        <w:ind w:left="697" w:hanging="357"/>
      </w:pPr>
      <w:r>
        <w:t>188 Personen Pflegefachhelfer (m/w/d)</w:t>
      </w:r>
    </w:p>
    <w:p w:rsidR="00013B61" w:rsidRDefault="00F56219" w:rsidP="004A0731">
      <w:pPr>
        <w:pStyle w:val="LTAntwortRessortText"/>
        <w:numPr>
          <w:ilvl w:val="1"/>
          <w:numId w:val="40"/>
        </w:numPr>
        <w:spacing w:before="0"/>
        <w:ind w:left="697" w:hanging="357"/>
      </w:pPr>
      <w:r>
        <w:t>1 </w:t>
      </w:r>
      <w:r w:rsidR="00013B61">
        <w:t>183 Personen Pflegefachpersonen</w:t>
      </w:r>
    </w:p>
    <w:p w:rsidR="00013B61" w:rsidRDefault="00013B61" w:rsidP="004A0731">
      <w:pPr>
        <w:pStyle w:val="LTAntwortRessortText"/>
        <w:numPr>
          <w:ilvl w:val="1"/>
          <w:numId w:val="40"/>
        </w:numPr>
        <w:spacing w:before="0"/>
        <w:ind w:left="697" w:hanging="357"/>
      </w:pPr>
      <w:r>
        <w:t xml:space="preserve">162 Personen Pflegefachpersonen mit besonderen Kenntnissen im Bereich </w:t>
      </w:r>
      <w:r w:rsidR="00F56219">
        <w:br/>
      </w:r>
      <w:r>
        <w:t>Beatmung</w:t>
      </w:r>
    </w:p>
    <w:p w:rsidR="00013B61" w:rsidRDefault="00013B61" w:rsidP="004A0731">
      <w:pPr>
        <w:pStyle w:val="LTAntwortRessortText"/>
        <w:numPr>
          <w:ilvl w:val="1"/>
          <w:numId w:val="40"/>
        </w:numPr>
        <w:spacing w:before="0"/>
        <w:ind w:left="697" w:hanging="357"/>
      </w:pPr>
      <w:r>
        <w:t>137 Personen Pflegefachpersonen mit Weiterbildung Intensiv-/Anästhesie</w:t>
      </w:r>
    </w:p>
    <w:p w:rsidR="00013B61" w:rsidRDefault="00013B61" w:rsidP="004A0731">
      <w:pPr>
        <w:pStyle w:val="LTAntwortRessortText"/>
        <w:numPr>
          <w:ilvl w:val="1"/>
          <w:numId w:val="40"/>
        </w:numPr>
        <w:spacing w:before="0"/>
        <w:ind w:left="697" w:hanging="357"/>
      </w:pPr>
      <w:r>
        <w:t>528 Personen Pflegehilfskraft/langjährige Pflegeerfahrung</w:t>
      </w:r>
    </w:p>
    <w:p w:rsidR="00013B61" w:rsidRDefault="00013B61" w:rsidP="004A0731">
      <w:pPr>
        <w:pStyle w:val="LTAntwortRessortText"/>
        <w:numPr>
          <w:ilvl w:val="1"/>
          <w:numId w:val="40"/>
        </w:numPr>
        <w:spacing w:before="0"/>
        <w:ind w:left="697" w:hanging="357"/>
      </w:pPr>
      <w:r>
        <w:t>245 Personen aus anderen Ausbildungen im Gesundheitswesen</w:t>
      </w:r>
    </w:p>
    <w:p w:rsidR="00013B61" w:rsidRDefault="00013B61" w:rsidP="004A0731">
      <w:pPr>
        <w:pStyle w:val="LTAntwortRessortText"/>
        <w:numPr>
          <w:ilvl w:val="1"/>
          <w:numId w:val="40"/>
        </w:numPr>
        <w:spacing w:before="0"/>
        <w:ind w:left="697" w:hanging="357"/>
      </w:pPr>
      <w:r>
        <w:t>33 Personen Hebamme (m/w/d)</w:t>
      </w:r>
    </w:p>
    <w:p w:rsidR="00013B61" w:rsidRDefault="00013B61" w:rsidP="004A0731">
      <w:pPr>
        <w:pStyle w:val="LTAntwortRessortText"/>
        <w:numPr>
          <w:ilvl w:val="1"/>
          <w:numId w:val="40"/>
        </w:numPr>
        <w:spacing w:before="0"/>
        <w:ind w:left="697" w:hanging="357"/>
      </w:pPr>
      <w:r>
        <w:t>311 Personen aus dem Hotel- oder Gaststättengewerbe (</w:t>
      </w:r>
      <w:r w:rsidR="004A5D9A">
        <w:t>z. B.</w:t>
      </w:r>
      <w:r>
        <w:t xml:space="preserve"> hauswirtschaftliche</w:t>
      </w:r>
      <w:r w:rsidR="00700248">
        <w:t xml:space="preserve"> </w:t>
      </w:r>
      <w:r>
        <w:t>Unterstützung)</w:t>
      </w:r>
    </w:p>
    <w:p w:rsidR="00013B61" w:rsidRDefault="00013B61" w:rsidP="004A0731">
      <w:pPr>
        <w:pStyle w:val="LTAntwortRessortText"/>
        <w:numPr>
          <w:ilvl w:val="1"/>
          <w:numId w:val="42"/>
        </w:numPr>
        <w:spacing w:before="0"/>
        <w:ind w:left="697" w:hanging="357"/>
      </w:pPr>
      <w:r>
        <w:t>667 Personen Medizinische Fachangestellte (MFA)</w:t>
      </w:r>
    </w:p>
    <w:p w:rsidR="00013B61" w:rsidRDefault="00013B61" w:rsidP="004A0731">
      <w:pPr>
        <w:pStyle w:val="LTAntwortRessortText"/>
        <w:numPr>
          <w:ilvl w:val="1"/>
          <w:numId w:val="42"/>
        </w:numPr>
        <w:spacing w:before="0"/>
        <w:ind w:left="697" w:hanging="357"/>
      </w:pPr>
      <w:r>
        <w:t>265 Personen Medizinisch-technische Laboratoriumsassisten (MTLA) und</w:t>
      </w:r>
      <w:r w:rsidR="00700248">
        <w:t xml:space="preserve"> </w:t>
      </w:r>
      <w:r w:rsidR="00F56219">
        <w:br/>
      </w:r>
      <w:r>
        <w:t>Radiologieassistenten (MTRA)</w:t>
      </w:r>
    </w:p>
    <w:p w:rsidR="00013B61" w:rsidRDefault="00013B61" w:rsidP="004A0731">
      <w:pPr>
        <w:pStyle w:val="LTAntwortRessortText"/>
        <w:numPr>
          <w:ilvl w:val="1"/>
          <w:numId w:val="42"/>
        </w:numPr>
        <w:spacing w:before="0"/>
        <w:ind w:left="697" w:hanging="357"/>
      </w:pPr>
      <w:r>
        <w:t>49 Personen Notfallsanitäter (m/w/d)</w:t>
      </w:r>
    </w:p>
    <w:p w:rsidR="00013B61" w:rsidRDefault="00013B61" w:rsidP="004A0731">
      <w:pPr>
        <w:pStyle w:val="LTAntwortRessortText"/>
        <w:numPr>
          <w:ilvl w:val="1"/>
          <w:numId w:val="42"/>
        </w:numPr>
        <w:spacing w:before="0"/>
        <w:ind w:left="697" w:hanging="357"/>
      </w:pPr>
      <w:r>
        <w:t>9 Personen Operationstechnische Assistenten (OTA)</w:t>
      </w:r>
    </w:p>
    <w:p w:rsidR="00013B61" w:rsidRDefault="00013B61" w:rsidP="004A0731">
      <w:pPr>
        <w:pStyle w:val="LTAntwortRessortText"/>
        <w:numPr>
          <w:ilvl w:val="1"/>
          <w:numId w:val="42"/>
        </w:numPr>
        <w:spacing w:before="0"/>
        <w:ind w:left="697" w:hanging="357"/>
      </w:pPr>
      <w:r>
        <w:t>22 Personen Pharmazeutisch-technische Assistenten (PTA)</w:t>
      </w:r>
    </w:p>
    <w:p w:rsidR="00013B61" w:rsidRDefault="00013B61" w:rsidP="004A0731">
      <w:pPr>
        <w:pStyle w:val="LTAntwortRessortText"/>
        <w:numPr>
          <w:ilvl w:val="1"/>
          <w:numId w:val="42"/>
        </w:numPr>
        <w:spacing w:before="0"/>
        <w:ind w:left="697" w:hanging="357"/>
      </w:pPr>
      <w:r>
        <w:t>1 Person Anästhesietechnischer Assistenten (ATA)</w:t>
      </w:r>
    </w:p>
    <w:p w:rsidR="00013B61" w:rsidRDefault="00013B61" w:rsidP="004A0731">
      <w:pPr>
        <w:pStyle w:val="LTAntwortRessortText"/>
        <w:numPr>
          <w:ilvl w:val="1"/>
          <w:numId w:val="42"/>
        </w:numPr>
        <w:spacing w:before="0"/>
        <w:ind w:left="697" w:hanging="357"/>
      </w:pPr>
      <w:r>
        <w:t>134 Personen ohne Angabe</w:t>
      </w:r>
    </w:p>
    <w:p w:rsidR="00013B61" w:rsidRDefault="00013B61" w:rsidP="004A0731">
      <w:pPr>
        <w:pStyle w:val="LTAntwortRessortText"/>
      </w:pPr>
      <w:r>
        <w:t>Zu Vermittlungszahlen kann die VdPB aufgrund des erst vor kurzem ausgerufenen</w:t>
      </w:r>
      <w:r w:rsidR="00700248">
        <w:t xml:space="preserve"> </w:t>
      </w:r>
      <w:r>
        <w:t>Katastrophenfalls derzeit keine Aussagen treffen.</w:t>
      </w:r>
      <w:bookmarkStart w:id="136" w:name="Frage_Nr_67_Ende"/>
      <w:bookmarkEnd w:id="136"/>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833D7E" w:rsidTr="00833D7E">
        <w:tc>
          <w:tcPr>
            <w:tcW w:w="1909" w:type="dxa"/>
          </w:tcPr>
          <w:p w:rsidR="00833D7E" w:rsidRDefault="00833D7E" w:rsidP="00833D7E">
            <w:pPr>
              <w:pStyle w:val="LTAnfrageInitiator"/>
            </w:pPr>
            <w:r>
              <w:lastRenderedPageBreak/>
              <w:t>Abgeordnete</w:t>
            </w:r>
            <w:r>
              <w:rPr>
                <w:b/>
              </w:rPr>
              <w:br/>
              <w:t>Susanne</w:t>
            </w:r>
            <w:r>
              <w:rPr>
                <w:b/>
              </w:rPr>
              <w:br/>
              <w:t>Kurz</w:t>
            </w:r>
            <w:r>
              <w:rPr>
                <w:b/>
              </w:rPr>
              <w:br/>
            </w:r>
            <w:r>
              <w:t>(BÜNDNIS 90/DIE GRÜNEN)</w:t>
            </w:r>
            <w:bookmarkStart w:id="137" w:name="Frage_Nr_68"/>
            <w:bookmarkEnd w:id="137"/>
          </w:p>
        </w:tc>
        <w:tc>
          <w:tcPr>
            <w:tcW w:w="5707" w:type="dxa"/>
          </w:tcPr>
          <w:p w:rsidR="00833D7E" w:rsidRPr="00D0635E" w:rsidRDefault="00833D7E" w:rsidP="00D0635E">
            <w:pPr>
              <w:pStyle w:val="LTAnfrageText"/>
            </w:pPr>
            <w:r w:rsidRPr="00D0635E">
              <w:t xml:space="preserve">Ich frage die Staatsregierung, wie wird begründet, dass Jugendlichen zwischen 12 und 17 Jahren bis Ende des Jahres zwar ohne Impf- oder Genesenen-Nachweis sportliche und musikalische „Eigenaktivitäten“ gestattet sind und sie weiterhin an Theatergruppen teilnehmen dürfen, ihnen aber gleichzeitig der Besuch von „passiven“ Angeboten wie etwa Konzerten, Theaterstücken und Kinos etc. verwehrt bleibt, soweit sie nicht geimpft oder genesen sind, obwohl die Jugendlichen in der Schule regelmäßig getestet werden und z. B. die Kinos in der Mehrzahl auf Abstände zwischen den Plätzen achten und über Luftfilter verfügen, wie beurteilt sie die öffentliche Kritik von der Ständigen Impfkommission bis zum Bayerischen Jugendring (BJR) und der Katholischen Landjugendbewegung (KLJB) an der 2G-Regel für Jugendliche, dass der Impfstatus Minderjähriger nicht Maßstab für ihre gesellschaftliche Teilhabe sein darf und wie steht sie zur häufig geäußerten Meinung, dass Maßnahmen wie die 2G-Regel für Jugendliche bei passiven Aktivitäten wie Kino-, Theater- oder Konzertbesuch die Akzeptanz für die Corona-Beschränkungen insbesondere bei Jugendlichen und ihren Eltern untergräbt? </w:t>
            </w:r>
          </w:p>
        </w:tc>
        <w:tc>
          <w:tcPr>
            <w:tcW w:w="5707" w:type="dxa"/>
          </w:tcPr>
          <w:p w:rsidR="00833D7E" w:rsidRDefault="00833D7E" w:rsidP="00833D7E">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Schülerinnen und Schüler sind Teil der Pandemie. Deutschlandweit lag nach den Zahlen des Robert</w:t>
      </w:r>
      <w:r w:rsidR="00700248">
        <w:t xml:space="preserve"> </w:t>
      </w:r>
      <w:r>
        <w:t>Koch-Instituts (RKI) in der 43. Kalenderwoche die 7-Tage-I</w:t>
      </w:r>
      <w:r w:rsidR="00F56219">
        <w:t xml:space="preserve">nzidenz in der Altersgruppe zehn bis </w:t>
      </w:r>
      <w:r>
        <w:t>14 Jahre</w:t>
      </w:r>
      <w:r w:rsidR="009520AE">
        <w:t xml:space="preserve"> </w:t>
      </w:r>
      <w:r>
        <w:t>bei 353,90</w:t>
      </w:r>
      <w:r w:rsidR="00F56219">
        <w:t xml:space="preserve"> und in der Altersgruppe 15 bis</w:t>
      </w:r>
      <w:r>
        <w:t xml:space="preserve"> 19 Jahre bei 250,75. Obwohl die Infektion in diesen</w:t>
      </w:r>
      <w:r w:rsidR="009520AE">
        <w:t xml:space="preserve"> </w:t>
      </w:r>
      <w:r>
        <w:t>Altersgruppen in der Regel asymptomatisch oder mild verläuft, können nicht geimpfte Schülerinnen</w:t>
      </w:r>
      <w:r w:rsidR="009520AE">
        <w:t xml:space="preserve"> </w:t>
      </w:r>
      <w:r>
        <w:t>und Schüler zur Verbreitung ebenso beitragen wie nicht geimpfte Erwachsene. Die Ständige</w:t>
      </w:r>
      <w:r w:rsidR="009520AE">
        <w:t xml:space="preserve"> </w:t>
      </w:r>
      <w:r>
        <w:t>Impfkommissio</w:t>
      </w:r>
      <w:r w:rsidR="00F56219">
        <w:t xml:space="preserve">n (STIKO) empfiehlt für alle 12- bis </w:t>
      </w:r>
      <w:r>
        <w:t>17-Jährigen die COVID-19-Impfung mit dem mRNAImpfstoff</w:t>
      </w:r>
      <w:r w:rsidR="009520AE">
        <w:t xml:space="preserve"> </w:t>
      </w:r>
      <w:r>
        <w:t xml:space="preserve">Comirnaty von BioNTech/Pfizer. </w:t>
      </w:r>
      <w:r w:rsidR="00F56219">
        <w:t>Schülerinnen und Schüler über zwölf</w:t>
      </w:r>
      <w:r>
        <w:t xml:space="preserve"> Jahren, die noch nicht</w:t>
      </w:r>
      <w:r w:rsidR="009520AE">
        <w:t xml:space="preserve"> </w:t>
      </w:r>
      <w:r>
        <w:t>geimpft sind, können deshalb nicht von allen Maßnahmen zur Bekämpfung der Pandemie</w:t>
      </w:r>
      <w:r w:rsidR="009520AE">
        <w:t xml:space="preserve"> </w:t>
      </w:r>
      <w:r>
        <w:t>ausgenommen werden.</w:t>
      </w:r>
    </w:p>
    <w:p w:rsidR="00013B61" w:rsidRDefault="00013B61" w:rsidP="00013B61">
      <w:pPr>
        <w:pStyle w:val="LTAntwortRessortText"/>
      </w:pPr>
      <w:r>
        <w:t>Seitens der Staatsregierung wird versucht, die Einschränkungen für Jugendliche möglichst gering</w:t>
      </w:r>
      <w:r w:rsidR="009520AE">
        <w:t xml:space="preserve"> </w:t>
      </w:r>
      <w:r>
        <w:t>zu halten und ihnen einen strukturieren Alltag sowie die Inanspruchnahme des Rechts auf Bildung</w:t>
      </w:r>
      <w:r w:rsidR="009520AE">
        <w:t xml:space="preserve"> </w:t>
      </w:r>
      <w:r>
        <w:t>zu gewährleisten. Es ist zunächst das erklärte Ziel der Staatsregierung, den für die Entwicklung und</w:t>
      </w:r>
      <w:r w:rsidR="009520AE">
        <w:t xml:space="preserve"> </w:t>
      </w:r>
      <w:r>
        <w:t>die soziokulturelle Teilhabe von Kindern und Jugendlichen besonders wichtigen Besuch der Schule</w:t>
      </w:r>
      <w:r w:rsidR="009520AE">
        <w:t xml:space="preserve"> </w:t>
      </w:r>
      <w:r>
        <w:t>in Präsenz unter allen Umständen zu ermöglichen, und zwar für Geimpfte und Genesene ebenso,</w:t>
      </w:r>
      <w:r w:rsidR="009520AE">
        <w:t xml:space="preserve"> </w:t>
      </w:r>
      <w:r>
        <w:t>wie für Schülerinnen und Schüler, die noch nicht geimpft sind. Außerdem wird auch den ungeimpften</w:t>
      </w:r>
      <w:r w:rsidR="009520AE">
        <w:t xml:space="preserve"> </w:t>
      </w:r>
      <w:r>
        <w:t>Jugendlichen, die als minderjährige Schüler regelmäßigen Testungen im Rahmen des</w:t>
      </w:r>
      <w:r w:rsidR="009520AE">
        <w:t xml:space="preserve"> </w:t>
      </w:r>
      <w:r>
        <w:t>Schulbesuchs unterliegen, Raum für die persönliche Entwicklung gegeben, indem sie ihren</w:t>
      </w:r>
      <w:r w:rsidR="009520AE">
        <w:t xml:space="preserve"> </w:t>
      </w:r>
      <w:r>
        <w:t>sportlichen, schauspielerischen und musikalischen Aktivitäten weiterhin nachgehen können. Erfasst</w:t>
      </w:r>
      <w:r w:rsidR="009520AE">
        <w:t xml:space="preserve"> </w:t>
      </w:r>
      <w:r>
        <w:t xml:space="preserve">ist </w:t>
      </w:r>
      <w:r w:rsidR="00F56219">
        <w:t>damit die eigene Sportausübung – auch in Mannschaften –</w:t>
      </w:r>
      <w:r>
        <w:t xml:space="preserve"> einschließlich des Trainings sowie</w:t>
      </w:r>
      <w:r w:rsidR="009520AE">
        <w:t xml:space="preserve"> </w:t>
      </w:r>
      <w:r>
        <w:t>die eigene musikalische oder dramatisch-gestaltende, schöpferische Tätigkeit einschließlich der</w:t>
      </w:r>
      <w:r w:rsidR="009520AE">
        <w:t xml:space="preserve"> </w:t>
      </w:r>
      <w:r>
        <w:t>jeweiligen Proben. Aus Sicht der Staatsregierung ist es für die persönliche Entwicklung dahingegen</w:t>
      </w:r>
      <w:r w:rsidR="009520AE">
        <w:t xml:space="preserve"> </w:t>
      </w:r>
      <w:r>
        <w:t xml:space="preserve">nicht unabdingbar, jederzeit den Besuch von </w:t>
      </w:r>
      <w:r w:rsidR="004A5D9A">
        <w:t>z. B.</w:t>
      </w:r>
      <w:r>
        <w:t xml:space="preserve"> Kinos oder Konzerten auch für ungeimpfte</w:t>
      </w:r>
      <w:r w:rsidR="009520AE">
        <w:t xml:space="preserve"> </w:t>
      </w:r>
      <w:r>
        <w:t>Schülerinnen und Schüler zu ermöglichen, da gewichtige Gründe diesbezügliche Einschränkungen</w:t>
      </w:r>
      <w:r w:rsidR="009520AE">
        <w:t xml:space="preserve"> </w:t>
      </w:r>
      <w:r>
        <w:t>erforderlich machen. Gerade in Innenräumen besteht das Risiko einer Aerosolanreicherung. Somit</w:t>
      </w:r>
      <w:r w:rsidR="009520AE">
        <w:t xml:space="preserve"> </w:t>
      </w:r>
      <w:r>
        <w:t xml:space="preserve">ist </w:t>
      </w:r>
      <w:r>
        <w:lastRenderedPageBreak/>
        <w:t>auch bei der Einhaltung von Mindestabständen eine SARS-CoV-2-Übertragung über eine</w:t>
      </w:r>
      <w:r w:rsidR="009520AE">
        <w:t xml:space="preserve"> </w:t>
      </w:r>
      <w:r>
        <w:t xml:space="preserve">räumliche Distanz möglich. Außerdem wird beim Verzehr von Speisen, </w:t>
      </w:r>
      <w:r w:rsidR="004A5D9A">
        <w:t>z. B.</w:t>
      </w:r>
      <w:r>
        <w:t xml:space="preserve"> Popcorn im Kino, das</w:t>
      </w:r>
      <w:r w:rsidR="009520AE">
        <w:t xml:space="preserve"> </w:t>
      </w:r>
      <w:r>
        <w:t>Tragen von Masken nicht durchgängig gewährleistet.</w:t>
      </w:r>
    </w:p>
    <w:p w:rsidR="00013B61" w:rsidRDefault="00013B61" w:rsidP="00013B61">
      <w:pPr>
        <w:pStyle w:val="LTAntwortRessortText"/>
      </w:pPr>
      <w:r>
        <w:t>Den besten Schutz vor einer COVID-19-Erkrankung bietet eine Impfung, die auch für Kinder und</w:t>
      </w:r>
      <w:r w:rsidR="009520AE">
        <w:t xml:space="preserve"> </w:t>
      </w:r>
      <w:r>
        <w:t>Jugendliche ab 12 Jahren, wie oben dargestellt, seit August 2021 von der STIKO empfohlen wird.</w:t>
      </w:r>
      <w:r w:rsidR="00D5267A">
        <w:t xml:space="preserve"> </w:t>
      </w:r>
      <w:r>
        <w:t>Somit hatten die Jugendlichen ausreichend Zeit sich immunisieren zu lassen, um sich selbst und</w:t>
      </w:r>
      <w:r w:rsidR="009520AE">
        <w:t xml:space="preserve"> </w:t>
      </w:r>
      <w:r>
        <w:t>andere zu schützen.</w:t>
      </w:r>
    </w:p>
    <w:p w:rsidR="00013B61" w:rsidRDefault="00013B61" w:rsidP="00013B61">
      <w:pPr>
        <w:pStyle w:val="LTAntwortRessortText"/>
      </w:pPr>
      <w:r>
        <w:t>Äußerungen zur Untergrabung der Akzeptanz von Corona-Maßnahmen sind der Staatsregierung</w:t>
      </w:r>
      <w:r w:rsidR="009520AE">
        <w:t xml:space="preserve"> </w:t>
      </w:r>
      <w:r>
        <w:t>nicht bekannt. Vielmehr sollte im Vordergrund stehen, dass durch die Möglichkeit des Schulbesuchs</w:t>
      </w:r>
      <w:r w:rsidR="009520AE">
        <w:t xml:space="preserve"> </w:t>
      </w:r>
      <w:r>
        <w:t>ein strukturierter Alltag und das Recht auf Schulbildung tatsächlich gewährleistet wird. Die</w:t>
      </w:r>
      <w:r w:rsidR="009520AE">
        <w:t xml:space="preserve"> </w:t>
      </w:r>
      <w:r>
        <w:t>Staatsregierung evaluiert die Schutz- und Hygienemaßnahmen regelmäßig und passt diese den</w:t>
      </w:r>
      <w:r w:rsidR="00E651A5">
        <w:t xml:space="preserve"> </w:t>
      </w:r>
      <w:r>
        <w:t>Erfordernissen der jeweils aktuellen Infektionslage und Belastung des Gesundheitssystems an</w:t>
      </w:r>
    </w:p>
    <w:p w:rsidR="00013B61" w:rsidRDefault="00013B61">
      <w:bookmarkStart w:id="138" w:name="Frage_Nr_68_Ende"/>
      <w:bookmarkEnd w:id="1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33D7E" w:rsidTr="00833D7E">
        <w:tc>
          <w:tcPr>
            <w:tcW w:w="1883" w:type="dxa"/>
          </w:tcPr>
          <w:p w:rsidR="00833D7E" w:rsidRDefault="00833D7E" w:rsidP="00833D7E">
            <w:pPr>
              <w:pStyle w:val="LTAnfrageInitiator"/>
            </w:pPr>
            <w:r>
              <w:lastRenderedPageBreak/>
              <w:t>Abgeordneter</w:t>
            </w:r>
            <w:r>
              <w:rPr>
                <w:b/>
              </w:rPr>
              <w:br/>
              <w:t>Tim</w:t>
            </w:r>
            <w:r>
              <w:rPr>
                <w:b/>
              </w:rPr>
              <w:br/>
              <w:t>Pargent</w:t>
            </w:r>
            <w:r>
              <w:rPr>
                <w:b/>
              </w:rPr>
              <w:br/>
            </w:r>
            <w:r>
              <w:t>(BÜNDNIS 90/DIE GRÜNEN)</w:t>
            </w:r>
            <w:bookmarkStart w:id="139" w:name="Frage_Nr_69"/>
            <w:bookmarkEnd w:id="139"/>
          </w:p>
        </w:tc>
        <w:tc>
          <w:tcPr>
            <w:tcW w:w="5733" w:type="dxa"/>
          </w:tcPr>
          <w:p w:rsidR="00833D7E" w:rsidRPr="00D0635E" w:rsidRDefault="00833D7E" w:rsidP="00D0635E">
            <w:pPr>
              <w:pStyle w:val="LTAnfrageText"/>
            </w:pPr>
            <w:r w:rsidRPr="00D0635E">
              <w:t xml:space="preserve">Ich frage die Staatsregierung, inwiefern hat der Rechtsanwalt </w:t>
            </w:r>
            <w:r w:rsidRPr="00D0635E">
              <w:br/>
              <w:t xml:space="preserve">Alfred Sauter in direkten oder indirekten Geschäftsbeziehungen mit der Staatsregierung bzw. mit Behörden des Freistaates in schriftlicher Form auf seine Mitgliedschaft im Landtag hingewiesen, wie lautete Sauters E-Mail-Adresse inklusive Signatur (genauer Wortlaut) bei Korrespondenzen mit dem Staatsministerium der Finanzen und für Heimat im Zusammenhang mit dem möglichen Bau einer Eventhalle auf dem Gelände des Flughafen München (vgl. Schriftliche Anfrage Drs. 18/11063) und mit dem Staatsministerium für Gesundheit und Pflege im Zuge der Anbahnung und Vertragsaushandlung zum Maskenkauf bei der Lomotex GmbH &amp; Co. KG? </w:t>
            </w:r>
          </w:p>
        </w:tc>
        <w:tc>
          <w:tcPr>
            <w:tcW w:w="5733" w:type="dxa"/>
          </w:tcPr>
          <w:p w:rsidR="00833D7E" w:rsidRDefault="00833D7E" w:rsidP="00833D7E">
            <w:pPr>
              <w:pStyle w:val="LTAnfrageText"/>
            </w:pPr>
          </w:p>
        </w:tc>
      </w:tr>
    </w:tbl>
    <w:p w:rsidR="00013B61" w:rsidRDefault="00013B61" w:rsidP="00013B61">
      <w:pPr>
        <w:pStyle w:val="LTUeberschrAntwortRessort"/>
      </w:pPr>
      <w:r>
        <w:t>Antwort des Staatsministeriums für Gesundheit und Pflege</w:t>
      </w:r>
      <w:r w:rsidR="00E651A5">
        <w:t xml:space="preserve"> im Einvernehmen mit dem Staatsministerium der Finanzen und für Heimat</w:t>
      </w:r>
    </w:p>
    <w:p w:rsidR="00013B61" w:rsidRDefault="00013B61" w:rsidP="00013B61">
      <w:pPr>
        <w:pStyle w:val="LTAntwortRessortText"/>
      </w:pPr>
      <w:r>
        <w:t xml:space="preserve">Jedes Mitglied des Landtags hat das Recht, den Titel </w:t>
      </w:r>
      <w:r w:rsidR="00E832CF">
        <w:t>„</w:t>
      </w:r>
      <w:r>
        <w:t>MdL</w:t>
      </w:r>
      <w:r w:rsidR="00E832CF">
        <w:t>“</w:t>
      </w:r>
      <w:r>
        <w:t xml:space="preserve"> als amtliche Bezeichnung in seinem</w:t>
      </w:r>
      <w:r w:rsidR="00E651A5">
        <w:t xml:space="preserve"> </w:t>
      </w:r>
      <w:r>
        <w:t>Absender als Namenszusatz zu führen. Von diesem Recht hat auch Herr Rechtsanwalt Sauter</w:t>
      </w:r>
      <w:r w:rsidR="00E651A5">
        <w:t xml:space="preserve"> </w:t>
      </w:r>
      <w:r>
        <w:t>Gebrauch gemacht.</w:t>
      </w:r>
    </w:p>
    <w:p w:rsidR="00013B61" w:rsidRDefault="00013B61" w:rsidP="00013B61">
      <w:pPr>
        <w:pStyle w:val="LTAntwortRessortText"/>
      </w:pPr>
      <w:r>
        <w:t>Die im Rahmen der Korrespondenz mit dem St</w:t>
      </w:r>
      <w:r w:rsidR="00E2204C">
        <w:t>aatsministerium der Finanzen und für Heimat (St</w:t>
      </w:r>
      <w:r>
        <w:t>MFH</w:t>
      </w:r>
      <w:r w:rsidR="00E2204C">
        <w:t>)</w:t>
      </w:r>
      <w:r>
        <w:t xml:space="preserve"> zur geplanten Eventhalle am Flughafen</w:t>
      </w:r>
      <w:r w:rsidR="00E651A5">
        <w:t xml:space="preserve"> </w:t>
      </w:r>
      <w:r>
        <w:t>München von Herrn Rechtsanwalt Sauter verwendete E-Mail-Adresse und Signatur lauten:</w:t>
      </w:r>
    </w:p>
    <w:p w:rsidR="00013B61" w:rsidRDefault="00013B61" w:rsidP="00013B61">
      <w:pPr>
        <w:pStyle w:val="LTAntwortRessortText"/>
      </w:pPr>
      <w:r>
        <w:t>alfred.sauter@sauter-wurm.de</w:t>
      </w:r>
    </w:p>
    <w:p w:rsidR="00013B61" w:rsidRDefault="00013B61" w:rsidP="002741D6">
      <w:pPr>
        <w:pStyle w:val="LTAntwortRessortText"/>
        <w:spacing w:before="0"/>
      </w:pPr>
      <w:r>
        <w:t>Alfred Sauter</w:t>
      </w:r>
    </w:p>
    <w:p w:rsidR="00013B61" w:rsidRDefault="00013B61" w:rsidP="002741D6">
      <w:pPr>
        <w:pStyle w:val="LTAntwortRessortText"/>
        <w:spacing w:before="0"/>
      </w:pPr>
      <w:r>
        <w:t>Rechtsanwalt</w:t>
      </w:r>
    </w:p>
    <w:p w:rsidR="00013B61" w:rsidRDefault="00013B61" w:rsidP="002741D6">
      <w:pPr>
        <w:pStyle w:val="LTAntwortRessortText"/>
        <w:spacing w:before="0"/>
      </w:pPr>
      <w:r>
        <w:t>Sauter &amp; Wurm</w:t>
      </w:r>
    </w:p>
    <w:p w:rsidR="00013B61" w:rsidRDefault="00013B61" w:rsidP="002741D6">
      <w:pPr>
        <w:pStyle w:val="LTAntwortRessortText"/>
        <w:spacing w:before="0"/>
      </w:pPr>
      <w:r>
        <w:t>Rechtsanwälte</w:t>
      </w:r>
    </w:p>
    <w:p w:rsidR="00013B61" w:rsidRDefault="00E2204C" w:rsidP="002741D6">
      <w:pPr>
        <w:pStyle w:val="LTAntwortRessortText"/>
        <w:spacing w:before="0"/>
      </w:pPr>
      <w:r>
        <w:t>Arabellastraße 19a –</w:t>
      </w:r>
      <w:r w:rsidR="00013B61">
        <w:t xml:space="preserve"> 81925 München</w:t>
      </w:r>
    </w:p>
    <w:p w:rsidR="00013B61" w:rsidRDefault="00013B61" w:rsidP="002741D6">
      <w:pPr>
        <w:pStyle w:val="LTAntwortRessortText"/>
        <w:spacing w:before="0"/>
      </w:pPr>
      <w:r>
        <w:t>Telefon: +49(0)89 92 00 88-0</w:t>
      </w:r>
    </w:p>
    <w:p w:rsidR="00013B61" w:rsidRDefault="00013B61" w:rsidP="002741D6">
      <w:pPr>
        <w:pStyle w:val="LTAntwortRessortText"/>
        <w:spacing w:before="0"/>
      </w:pPr>
      <w:r>
        <w:t>mobil: +49(0)170 2 70 88 04</w:t>
      </w:r>
    </w:p>
    <w:p w:rsidR="00013B61" w:rsidRDefault="00013B61" w:rsidP="002741D6">
      <w:pPr>
        <w:pStyle w:val="LTAntwortRessortText"/>
        <w:spacing w:before="0"/>
      </w:pPr>
      <w:r>
        <w:t>Fax: +49(0)89 92 00 88-29</w:t>
      </w:r>
    </w:p>
    <w:p w:rsidR="00013B61" w:rsidRDefault="00013B61" w:rsidP="002741D6">
      <w:pPr>
        <w:pStyle w:val="LTAntwortRessortText"/>
        <w:spacing w:before="0"/>
      </w:pPr>
      <w:r>
        <w:t>E-Mail: alfred.sauter@sauterwurm.de</w:t>
      </w:r>
    </w:p>
    <w:p w:rsidR="00013B61" w:rsidRDefault="00013B61" w:rsidP="002741D6">
      <w:pPr>
        <w:pStyle w:val="LTAntwortRessortText"/>
        <w:spacing w:before="0"/>
      </w:pPr>
      <w:r>
        <w:t>www.sauterwurm.de</w:t>
      </w:r>
    </w:p>
    <w:p w:rsidR="00013B61" w:rsidRDefault="00013B61" w:rsidP="00013B61">
      <w:pPr>
        <w:pStyle w:val="LTAntwortRessortText"/>
      </w:pPr>
      <w:r>
        <w:t>Im Zuge der Anbahnung und Vertragsaushandlung zum Maskenkauf bei der L</w:t>
      </w:r>
      <w:r w:rsidR="00E2204C">
        <w:t>omotex</w:t>
      </w:r>
      <w:r>
        <w:t xml:space="preserve"> GmbH &amp;</w:t>
      </w:r>
      <w:r w:rsidR="00A444D6">
        <w:t xml:space="preserve"> </w:t>
      </w:r>
      <w:r>
        <w:t>Co. KG hatte Herr Alfred Sauter E-Mails an das St</w:t>
      </w:r>
      <w:r w:rsidR="00E2204C">
        <w:t>aatsministerium für Gesundheit und Pflege</w:t>
      </w:r>
      <w:r>
        <w:t xml:space="preserve"> ebenfalls ausgehend von der E-Mail-Adresse alfred.sauter@sauter-wurm.de versendet.</w:t>
      </w:r>
    </w:p>
    <w:p w:rsidR="00013B61" w:rsidRDefault="00013B61">
      <w:bookmarkStart w:id="140" w:name="Frage_Nr_69_Ende"/>
      <w:bookmarkEnd w:id="140"/>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833D7E" w:rsidTr="00833D7E">
        <w:tc>
          <w:tcPr>
            <w:tcW w:w="1842" w:type="dxa"/>
          </w:tcPr>
          <w:p w:rsidR="00833D7E" w:rsidRDefault="00833D7E" w:rsidP="00833D7E">
            <w:pPr>
              <w:pStyle w:val="LTAnfrageInitiator"/>
            </w:pPr>
            <w:r>
              <w:lastRenderedPageBreak/>
              <w:t>Abgeordneter</w:t>
            </w:r>
            <w:r>
              <w:rPr>
                <w:b/>
              </w:rPr>
              <w:br/>
              <w:t>Josef</w:t>
            </w:r>
            <w:r>
              <w:rPr>
                <w:b/>
              </w:rPr>
              <w:br/>
              <w:t>Seidl</w:t>
            </w:r>
            <w:r>
              <w:rPr>
                <w:b/>
              </w:rPr>
              <w:br/>
            </w:r>
            <w:r>
              <w:t>(AfD)</w:t>
            </w:r>
            <w:bookmarkStart w:id="141" w:name="Frage_Nr_70"/>
            <w:bookmarkEnd w:id="141"/>
          </w:p>
        </w:tc>
        <w:tc>
          <w:tcPr>
            <w:tcW w:w="5774" w:type="dxa"/>
          </w:tcPr>
          <w:p w:rsidR="00833D7E" w:rsidRPr="00D0635E" w:rsidRDefault="00833D7E" w:rsidP="00D0635E">
            <w:pPr>
              <w:pStyle w:val="LTAnfrageText"/>
            </w:pPr>
            <w:r w:rsidRPr="00D0635E">
              <w:t>Ich frage die Staatsregierung, welche Krankenhäuser in Bayern haben Ausgleichszahlungen aus der Liquiditätsreserve des Gesundheitsfonds nach § 21 Abs. 1 Krankenhausfinanzierungsgesetz (KHG) erhalten, welche Krankenhäuser in Bayern haben Ausgleichszahlungen aus der Liquiditätsreserve des Gesundheitsfonds nach § 21 Abs. 1a KHG erhalten und wie hoch waren dabei jeweils die Zahlungen?</w:t>
            </w:r>
          </w:p>
        </w:tc>
        <w:tc>
          <w:tcPr>
            <w:tcW w:w="5774" w:type="dxa"/>
          </w:tcPr>
          <w:p w:rsidR="00833D7E" w:rsidRDefault="00833D7E" w:rsidP="00833D7E">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Es wurden folgende Zahlungen aus Mitteln des Bundes insgesamt für Bayern geleistet:</w:t>
      </w:r>
    </w:p>
    <w:p w:rsidR="00013B61" w:rsidRPr="009E054A" w:rsidRDefault="00013B61" w:rsidP="009E054A">
      <w:pPr>
        <w:pStyle w:val="LTAntwortRessortText"/>
        <w:numPr>
          <w:ilvl w:val="0"/>
          <w:numId w:val="43"/>
        </w:numPr>
        <w:spacing w:before="0"/>
        <w:ind w:left="697" w:hanging="357"/>
        <w:rPr>
          <w:b/>
        </w:rPr>
      </w:pPr>
      <w:r>
        <w:t>Ausgleichszahlungen gemäß § 21 Abs. 1 KHG an 324 Krankenhäuser für den Zeitraum</w:t>
      </w:r>
      <w:r w:rsidR="00A444D6">
        <w:t xml:space="preserve"> </w:t>
      </w:r>
      <w:r>
        <w:t xml:space="preserve">vom 16.03.2020 bis 30.09.2020: </w:t>
      </w:r>
      <w:r w:rsidRPr="009E054A">
        <w:rPr>
          <w:b/>
        </w:rPr>
        <w:t>1.379.671.829,66 Euro</w:t>
      </w:r>
    </w:p>
    <w:p w:rsidR="00013B61" w:rsidRPr="009E054A" w:rsidRDefault="00013B61" w:rsidP="009E054A">
      <w:pPr>
        <w:pStyle w:val="LTAntwortRessortText"/>
        <w:numPr>
          <w:ilvl w:val="0"/>
          <w:numId w:val="43"/>
        </w:numPr>
        <w:spacing w:before="0"/>
        <w:ind w:left="697" w:hanging="357"/>
        <w:rPr>
          <w:b/>
        </w:rPr>
      </w:pPr>
      <w:r>
        <w:t>Ausgleichszahlungen gemäß § 21 Abs. 1a KHG an 187 bestimmte Krankenhäuser für den</w:t>
      </w:r>
      <w:r w:rsidR="00A444D6">
        <w:t xml:space="preserve"> </w:t>
      </w:r>
      <w:r>
        <w:t xml:space="preserve">Zeitraum vom 18.11.2020 bis 15.06.2021: </w:t>
      </w:r>
      <w:r w:rsidRPr="009E054A">
        <w:rPr>
          <w:b/>
        </w:rPr>
        <w:t>835.734.288,74 Euro</w:t>
      </w:r>
    </w:p>
    <w:p w:rsidR="00013B61" w:rsidRDefault="00013B61" w:rsidP="00013B61">
      <w:pPr>
        <w:pStyle w:val="LTAntwortRessortText"/>
      </w:pPr>
      <w:r>
        <w:t>Es wurde folgende ergänzenden Zahlungen aus Mitteln des Landes gewährt:</w:t>
      </w:r>
    </w:p>
    <w:p w:rsidR="00013B61" w:rsidRPr="009E054A" w:rsidRDefault="00013B61" w:rsidP="009E054A">
      <w:pPr>
        <w:pStyle w:val="LTAntwortRessortText"/>
        <w:numPr>
          <w:ilvl w:val="0"/>
          <w:numId w:val="44"/>
        </w:numPr>
        <w:spacing w:before="0"/>
        <w:ind w:left="697" w:hanging="357"/>
        <w:rPr>
          <w:b/>
        </w:rPr>
      </w:pPr>
      <w:r>
        <w:t>Ausgleichszahlungen an Privatkliniken vom 25.03.2020 bis spätestens zum 31.07.2020 an</w:t>
      </w:r>
      <w:r w:rsidR="00A444D6">
        <w:t xml:space="preserve"> </w:t>
      </w:r>
      <w:r>
        <w:t xml:space="preserve">47 Kliniken in Höhe von </w:t>
      </w:r>
      <w:r w:rsidRPr="009E054A">
        <w:rPr>
          <w:b/>
        </w:rPr>
        <w:t>11.901.876,95 Euro</w:t>
      </w:r>
    </w:p>
    <w:p w:rsidR="00013B61" w:rsidRPr="009E054A" w:rsidRDefault="00013B61" w:rsidP="009E054A">
      <w:pPr>
        <w:pStyle w:val="LTAntwortRessortText"/>
        <w:numPr>
          <w:ilvl w:val="0"/>
          <w:numId w:val="44"/>
        </w:numPr>
        <w:spacing w:before="0"/>
        <w:ind w:left="697" w:hanging="357"/>
        <w:rPr>
          <w:b/>
        </w:rPr>
      </w:pPr>
      <w:r>
        <w:t>Sonderzahlung für besondere Aufwände im Rahmen der stationären Behandlung von</w:t>
      </w:r>
      <w:r w:rsidR="00A444D6">
        <w:t xml:space="preserve"> </w:t>
      </w:r>
      <w:r>
        <w:t>COVID-19-Erkrankten in 248 zugelassenen Krankenhäusern vom 01.04.2020 bis zum</w:t>
      </w:r>
      <w:r w:rsidR="00A444D6">
        <w:t xml:space="preserve"> </w:t>
      </w:r>
      <w:r>
        <w:t xml:space="preserve">31.07.2020 in Höhe von </w:t>
      </w:r>
      <w:r w:rsidRPr="009E054A">
        <w:rPr>
          <w:b/>
        </w:rPr>
        <w:t>8.587.320,00 Euro</w:t>
      </w:r>
    </w:p>
    <w:p w:rsidR="00013B61" w:rsidRDefault="00013B61" w:rsidP="009E054A">
      <w:pPr>
        <w:pStyle w:val="LTAntwortRessortText"/>
        <w:spacing w:before="0"/>
      </w:pPr>
      <w:r>
        <w:t>Die Höhe der Zahlungen an einzelne Krankenhäuser unterliegt dem Betriebsgeheimnis der</w:t>
      </w:r>
      <w:r w:rsidR="00A444D6">
        <w:t xml:space="preserve"> </w:t>
      </w:r>
      <w:r>
        <w:t>jeweiligen Klinik; Auskünfte hierüber wären nur mit der ausdrücklichen Zustimmung der jeweiligen</w:t>
      </w:r>
      <w:r w:rsidR="00A444D6">
        <w:t xml:space="preserve"> </w:t>
      </w:r>
      <w:r>
        <w:t>Klinikleitung zulässig.</w:t>
      </w:r>
    </w:p>
    <w:p w:rsidR="00013B61" w:rsidRDefault="00013B61">
      <w:bookmarkStart w:id="142" w:name="Frage_Nr_70_Ende"/>
      <w:bookmarkEnd w:id="14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D2FDC" w:rsidTr="00CD2FDC">
        <w:tc>
          <w:tcPr>
            <w:tcW w:w="1840" w:type="dxa"/>
          </w:tcPr>
          <w:p w:rsidR="00CD2FDC" w:rsidRDefault="00CD2FDC" w:rsidP="00CD2FDC">
            <w:pPr>
              <w:pStyle w:val="LTAnfrageInitiator"/>
            </w:pPr>
            <w:r>
              <w:lastRenderedPageBreak/>
              <w:t>Abgeordneter</w:t>
            </w:r>
            <w:r>
              <w:rPr>
                <w:b/>
              </w:rPr>
              <w:br/>
              <w:t>Ulrich</w:t>
            </w:r>
            <w:r>
              <w:rPr>
                <w:b/>
              </w:rPr>
              <w:br/>
              <w:t>Singer</w:t>
            </w:r>
            <w:r>
              <w:rPr>
                <w:b/>
              </w:rPr>
              <w:br/>
            </w:r>
            <w:r>
              <w:t>(AfD)</w:t>
            </w:r>
            <w:bookmarkStart w:id="143" w:name="Frage_Nr_71"/>
            <w:bookmarkEnd w:id="143"/>
          </w:p>
        </w:tc>
        <w:tc>
          <w:tcPr>
            <w:tcW w:w="5776" w:type="dxa"/>
          </w:tcPr>
          <w:p w:rsidR="00CD2FDC" w:rsidRPr="00D0635E" w:rsidRDefault="00CD2FDC" w:rsidP="00D0635E">
            <w:pPr>
              <w:pStyle w:val="LTAnfrageText"/>
            </w:pPr>
            <w:r w:rsidRPr="00D0635E">
              <w:t>Ich frage die Staatsregierung, sind Inhaber, Betreiber, Veranstalter oder Anbieter in Bayern dazu verpflichtet die Impf- oder Genesenen- oder Testzertifikate von Kunden/externen Personen zu überprüfen; wenn ja, welche Bußgelder drohen den Inhabern, Betreibern, Veranstaltern oder Anbietern, wenn sie die Impf-, Genesenen- oder Testzertifikate von Kunden/externen Personen nicht überprüfen und dennoch Einlass gewähren und wie ist die Pflicht zur Überprüfung der unterschiedlichen Zertifikate von Kunden/externen Personen durch Inhaber, Betreiber, Veranstalter oder Anbieter gesetzlich geregelt?</w:t>
            </w:r>
          </w:p>
        </w:tc>
        <w:tc>
          <w:tcPr>
            <w:tcW w:w="5776" w:type="dxa"/>
          </w:tcPr>
          <w:p w:rsidR="00CD2FDC" w:rsidRDefault="00CD2FDC" w:rsidP="00CD2FD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Die Antwort erfolgt auf der Grundlage des am 23.11.2021 geltenden Rechtsstandes. Gemäß § 3</w:t>
      </w:r>
      <w:r w:rsidR="008F5580">
        <w:t xml:space="preserve"> </w:t>
      </w:r>
      <w:r>
        <w:t xml:space="preserve">Abs. 1 Satz 2 der </w:t>
      </w:r>
      <w:r w:rsidR="005A3CDB">
        <w:t>Vierzehnten</w:t>
      </w:r>
      <w:r>
        <w:t xml:space="preserve"> </w:t>
      </w:r>
      <w:r w:rsidR="00A57184">
        <w:t xml:space="preserve">Bayerischen Infektionsschutzmaßnahmenverordnung (14. </w:t>
      </w:r>
      <w:r>
        <w:t>BayIfSMV</w:t>
      </w:r>
      <w:r w:rsidR="00A57184">
        <w:t>)</w:t>
      </w:r>
      <w:r>
        <w:t xml:space="preserve"> sind Anbieter, Veranstalter und Betreiber zur Überprüfung der</w:t>
      </w:r>
      <w:r w:rsidR="008F5580">
        <w:t xml:space="preserve"> </w:t>
      </w:r>
      <w:r>
        <w:t>vorzulegenden Impf-, Genesenen- oder Testnachweise verpflichtet.</w:t>
      </w:r>
    </w:p>
    <w:p w:rsidR="00013B61" w:rsidRDefault="00013B61" w:rsidP="00013B61">
      <w:pPr>
        <w:pStyle w:val="LTAntwortRessortText"/>
      </w:pPr>
      <w:r>
        <w:t>Verstöße gegen die Corona-Maßnahmen können grundsätzlich mit einem Bußgeld bis maximal</w:t>
      </w:r>
      <w:r w:rsidR="008F5580">
        <w:t xml:space="preserve"> </w:t>
      </w:r>
      <w:r>
        <w:t>25.000 Euro geahndet werden. Um einen einheitlichen Vollzug in ganz Bayern sicherzustellen, hat</w:t>
      </w:r>
      <w:r w:rsidR="008F5580">
        <w:t xml:space="preserve"> </w:t>
      </w:r>
      <w:r>
        <w:t>das St</w:t>
      </w:r>
      <w:r w:rsidR="0082044B">
        <w:t xml:space="preserve">aatsministerium für Gesundheit und Pflege </w:t>
      </w:r>
      <w:r>
        <w:t>einen Bußgeldkatalog erlassen. Aktuell gilt der Bußgeldkatalog vom 18.10.2021 in der</w:t>
      </w:r>
      <w:r w:rsidR="008F5580">
        <w:t xml:space="preserve"> </w:t>
      </w:r>
      <w:r>
        <w:t>Fassung vom 10.11.2021 (BayMBl. Nr. 735 und 789). Dort ist für Verstöße gegen die oben genannte</w:t>
      </w:r>
      <w:r w:rsidR="008F5580">
        <w:t xml:space="preserve"> </w:t>
      </w:r>
      <w:r>
        <w:t>Pflicht des Inhabers sicherzustellen, dass Gäste, Besucher oder Nutzer der entsprechenden</w:t>
      </w:r>
      <w:r w:rsidR="008F5580">
        <w:t xml:space="preserve"> </w:t>
      </w:r>
      <w:r>
        <w:t>Einrichtungen einen erforderlichen Impf-, Genesenen- oder Testnachweis vorlegen, ein</w:t>
      </w:r>
      <w:r w:rsidR="008F5580">
        <w:t xml:space="preserve"> </w:t>
      </w:r>
      <w:r>
        <w:t>Regelbußgeldsatz in Höhe von 5.000 Euro vorgesehen (§ 19 Nr. 2 der 14. BayIfSMV; lfd. Nr. 4 des</w:t>
      </w:r>
      <w:r w:rsidR="008F5580">
        <w:t xml:space="preserve"> </w:t>
      </w:r>
      <w:r>
        <w:t xml:space="preserve">Bußgeldkatalogs </w:t>
      </w:r>
      <w:r w:rsidR="00E832CF">
        <w:t>„</w:t>
      </w:r>
      <w:r w:rsidR="004A5D9A">
        <w:t>Coronapandemie</w:t>
      </w:r>
      <w:r>
        <w:t>). Von den Regelsätzen können die mit dem Vollzug befassten</w:t>
      </w:r>
      <w:r w:rsidR="008F5580">
        <w:t xml:space="preserve"> </w:t>
      </w:r>
      <w:r>
        <w:t>Kreisverwaltungsbehörden nach oben und unten abweichen; die Vollzugsbehörden sind hieran nicht</w:t>
      </w:r>
      <w:r w:rsidR="008F5580">
        <w:t xml:space="preserve"> </w:t>
      </w:r>
      <w:r>
        <w:t>unmittelbar gebunden. Anbieter, Veranstalter und Betreiber, die mehrf</w:t>
      </w:r>
      <w:r w:rsidR="008F5580">
        <w:t>ach gegen Corona-</w:t>
      </w:r>
      <w:r>
        <w:t>Maßnahmen verstoßen, können daher nach dem Ermessen der zuständigen Vollzugsbehörde auch</w:t>
      </w:r>
      <w:r w:rsidR="008F5580">
        <w:t xml:space="preserve"> </w:t>
      </w:r>
      <w:r>
        <w:t>mit einem deutlich über dem Regelsatz liegenden Bußgeld belangt werden.</w:t>
      </w:r>
    </w:p>
    <w:p w:rsidR="00013B61" w:rsidRDefault="00013B61">
      <w:bookmarkStart w:id="144" w:name="Frage_Nr_71_Ende"/>
      <w:bookmarkEnd w:id="1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D2FDC" w:rsidTr="00CD2FDC">
        <w:tc>
          <w:tcPr>
            <w:tcW w:w="1852" w:type="dxa"/>
          </w:tcPr>
          <w:p w:rsidR="00CD2FDC" w:rsidRDefault="00CD2FDC" w:rsidP="00CD2FDC">
            <w:pPr>
              <w:pStyle w:val="LTAnfrageInitiator"/>
            </w:pPr>
            <w:r>
              <w:lastRenderedPageBreak/>
              <w:t>Abgeordneter</w:t>
            </w:r>
            <w:r>
              <w:rPr>
                <w:b/>
              </w:rPr>
              <w:br/>
              <w:t>Dr. Dominik</w:t>
            </w:r>
            <w:r>
              <w:rPr>
                <w:b/>
              </w:rPr>
              <w:br/>
              <w:t>Spitzer</w:t>
            </w:r>
            <w:r>
              <w:rPr>
                <w:b/>
              </w:rPr>
              <w:br/>
            </w:r>
            <w:r>
              <w:t>(FDP)</w:t>
            </w:r>
            <w:bookmarkStart w:id="145" w:name="Frage_Nr_72"/>
            <w:bookmarkEnd w:id="145"/>
          </w:p>
        </w:tc>
        <w:tc>
          <w:tcPr>
            <w:tcW w:w="5764" w:type="dxa"/>
          </w:tcPr>
          <w:p w:rsidR="00CD2FDC" w:rsidRPr="00D0635E" w:rsidRDefault="00CD2FDC" w:rsidP="00D0635E">
            <w:pPr>
              <w:pStyle w:val="LTAnfrageText"/>
            </w:pPr>
            <w:r w:rsidRPr="00D0635E">
              <w:t>In der Kabinettssitzung am 09.11.2021 wurde beschlossen, dass das Staatsministerium für Gesundheit und Pflege sicherstellt, dass alle Bürgerinnen und Bürger über 60 Jahre von den zuständigen Kreisverwaltungsbehörden eine direkte Information über die Wichtigkeit einer Auffrischungsimpfung erhalten, weswegen ich die Staatsregierung frage, wie viele Menschen bis zum 22.11.2021 an den jeweiligen Altersgruppen über 90 Jahre, über 80 Jahre, über 70 Jahre sowie über 60 Jahre bereits eine Information über die Bedeutung einer Auffrischungsimpfung erhalten haben (bitte dabei auch den prozentualen Anteil je Altersgruppe in Bezug auf die Gesamtzahl der Altersgruppe angeben und die Gesamtzahl der Menschen pro Altersgruppe angeben) und wie viele Menschen je Altersgruppe bereits eine Auffrischungsimpfung erhalten haben (bitte im Verhältnis zu den möglichen Impflingen je Altersgruppen angeben)?</w:t>
            </w:r>
          </w:p>
        </w:tc>
        <w:tc>
          <w:tcPr>
            <w:tcW w:w="5764" w:type="dxa"/>
          </w:tcPr>
          <w:p w:rsidR="00CD2FDC" w:rsidRDefault="00CD2FDC" w:rsidP="00CD2FD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Zur weiteren Steigerung der Bereitschaft zu Auffrischungsimpfungen sowie zur Information der</w:t>
      </w:r>
      <w:r w:rsidR="00ED1DD3">
        <w:t xml:space="preserve"> </w:t>
      </w:r>
      <w:r>
        <w:t>Bürgerinnen und Bürger wurden die Kreisverwaltungsbehörden aufgefordert, ein</w:t>
      </w:r>
      <w:r w:rsidR="00ED1DD3">
        <w:t xml:space="preserve"> </w:t>
      </w:r>
      <w:r>
        <w:t>Informationsanschreiben an alle Bürgerinnen und Bürger über 60 Jahre zum Thema</w:t>
      </w:r>
      <w:r w:rsidR="00ED1DD3">
        <w:t xml:space="preserve"> </w:t>
      </w:r>
      <w:r w:rsidR="00E832CF">
        <w:t>„</w:t>
      </w:r>
      <w:r>
        <w:t>Auffrischungsimpfung</w:t>
      </w:r>
      <w:r w:rsidR="00E832CF">
        <w:t>“</w:t>
      </w:r>
      <w:r>
        <w:t xml:space="preserve"> zu versende</w:t>
      </w:r>
      <w:r w:rsidR="0082044B">
        <w:t>n. Zu diesem Zweck hat das Staatsministerium für Gesundheit und Pflege</w:t>
      </w:r>
      <w:r>
        <w:t xml:space="preserve"> am 09.11.2021 ein</w:t>
      </w:r>
      <w:r w:rsidR="00ED1DD3">
        <w:t xml:space="preserve"> </w:t>
      </w:r>
      <w:r>
        <w:t>Musteranschreiben zur Verfügung gestellt. Die Kreisverwaltungsbehörden versenden das</w:t>
      </w:r>
      <w:r w:rsidR="00ED1DD3">
        <w:t xml:space="preserve"> </w:t>
      </w:r>
      <w:r>
        <w:t>Schreiben in eigener Verantwortung, weshalb die Anzahl der versendeten Schreiben der</w:t>
      </w:r>
      <w:r w:rsidR="00ED1DD3">
        <w:t xml:space="preserve"> </w:t>
      </w:r>
      <w:r>
        <w:t>Staatsregierung nicht bekannt ist.</w:t>
      </w:r>
    </w:p>
    <w:p w:rsidR="00013B61" w:rsidRDefault="00013B61" w:rsidP="00013B61">
      <w:pPr>
        <w:pStyle w:val="LTAntwortRessortText"/>
      </w:pPr>
      <w:r>
        <w:t xml:space="preserve">Impfzahlen liegen nur für die Altersgruppen </w:t>
      </w:r>
      <w:r w:rsidR="00E832CF">
        <w:t>„</w:t>
      </w:r>
      <w:r>
        <w:t>unter 18 Jahre</w:t>
      </w:r>
      <w:r w:rsidR="00E832CF">
        <w:t>“</w:t>
      </w:r>
      <w:r>
        <w:t xml:space="preserve">, </w:t>
      </w:r>
      <w:r w:rsidR="00E832CF">
        <w:t>„</w:t>
      </w:r>
      <w:r>
        <w:t>18 bis 59 Jahre</w:t>
      </w:r>
      <w:r w:rsidR="00E832CF">
        <w:t>“</w:t>
      </w:r>
      <w:r>
        <w:t xml:space="preserve"> sowie </w:t>
      </w:r>
      <w:r w:rsidR="00E832CF">
        <w:t>„</w:t>
      </w:r>
      <w:r>
        <w:t>60+ Jahre</w:t>
      </w:r>
      <w:r w:rsidR="00E832CF">
        <w:t>“</w:t>
      </w:r>
      <w:r w:rsidR="00ED1DD3">
        <w:t xml:space="preserve"> </w:t>
      </w:r>
      <w:r>
        <w:t>vor, da nur für diese Altersgruppen von allen Leistungserbringern täglich Daten an das RKI</w:t>
      </w:r>
      <w:r w:rsidR="00ED1DD3">
        <w:t xml:space="preserve"> </w:t>
      </w:r>
      <w:r>
        <w:t xml:space="preserve">übermittelt werden müssen, siehe § 4 Abs. 1 </w:t>
      </w:r>
      <w:r w:rsidR="0082044B">
        <w:t>Coronavirus-Impfverordnung (</w:t>
      </w:r>
      <w:r>
        <w:t>CoronaImpfV</w:t>
      </w:r>
      <w:r w:rsidR="0082044B">
        <w:t>)</w:t>
      </w:r>
      <w:r>
        <w:t>. Bis einschließlich 21.11.2021 wurden</w:t>
      </w:r>
      <w:r w:rsidR="00ED1DD3">
        <w:t xml:space="preserve"> </w:t>
      </w:r>
      <w:r w:rsidR="0082044B">
        <w:t>in Bayern 937 </w:t>
      </w:r>
      <w:r>
        <w:t>668 Auffrischungsimpfungen verabreicht, von denen rd. 588</w:t>
      </w:r>
      <w:r w:rsidR="0082044B">
        <w:t> </w:t>
      </w:r>
      <w:r>
        <w:t>000 und damit knapp</w:t>
      </w:r>
      <w:r w:rsidR="00ED1DD3">
        <w:t xml:space="preserve"> </w:t>
      </w:r>
      <w:r>
        <w:t xml:space="preserve">63 </w:t>
      </w:r>
      <w:r w:rsidR="004A5D9A">
        <w:t>Prozent</w:t>
      </w:r>
      <w:r>
        <w:t xml:space="preserve"> auf über 60</w:t>
      </w:r>
      <w:r w:rsidR="0082044B">
        <w:t>-Jährige entfallen. Für rd. 975 </w:t>
      </w:r>
      <w:r>
        <w:t>000 vollständig geimpfte Über-60-Jährige waren</w:t>
      </w:r>
      <w:r w:rsidR="00ED1DD3">
        <w:t xml:space="preserve"> </w:t>
      </w:r>
      <w:r>
        <w:t>am 21.11.2021 bereits mindestens sechs Monate seit der vollständigen Impfung vergangen.</w:t>
      </w:r>
    </w:p>
    <w:p w:rsidR="00013B61" w:rsidRDefault="00013B61" w:rsidP="002C55A0">
      <w:pPr>
        <w:pStyle w:val="LTAntwortRessortText"/>
        <w:spacing w:before="0"/>
      </w:pPr>
      <w:r>
        <w:t xml:space="preserve">Bezogen auf diese liegt die Impfquote der Auffrischungsimpfungen bei rd. 60 </w:t>
      </w:r>
      <w:r w:rsidR="004A5D9A">
        <w:t>Prozent</w:t>
      </w:r>
      <w:r>
        <w:t>.</w:t>
      </w:r>
    </w:p>
    <w:p w:rsidR="00013B61" w:rsidRDefault="00013B61">
      <w:bookmarkStart w:id="146" w:name="Frage_Nr_72_Ende"/>
      <w:bookmarkEnd w:id="1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D2FDC" w:rsidTr="00CD2FDC">
        <w:tc>
          <w:tcPr>
            <w:tcW w:w="1883" w:type="dxa"/>
          </w:tcPr>
          <w:p w:rsidR="00CD2FDC" w:rsidRDefault="00CD2FDC" w:rsidP="00CD2FDC">
            <w:pPr>
              <w:pStyle w:val="LTAnfrageInitiator"/>
            </w:pPr>
            <w:r>
              <w:lastRenderedPageBreak/>
              <w:t>Abgeordneter</w:t>
            </w:r>
            <w:r>
              <w:rPr>
                <w:b/>
              </w:rPr>
              <w:br/>
              <w:t>Hans</w:t>
            </w:r>
            <w:r>
              <w:rPr>
                <w:b/>
              </w:rPr>
              <w:br/>
              <w:t>Urban</w:t>
            </w:r>
            <w:r>
              <w:rPr>
                <w:b/>
              </w:rPr>
              <w:br/>
            </w:r>
            <w:r>
              <w:t>(BÜNDNIS 90/DIE GRÜNEN)</w:t>
            </w:r>
            <w:bookmarkStart w:id="147" w:name="Frage_Nr_73"/>
            <w:bookmarkEnd w:id="147"/>
          </w:p>
        </w:tc>
        <w:tc>
          <w:tcPr>
            <w:tcW w:w="5733" w:type="dxa"/>
          </w:tcPr>
          <w:p w:rsidR="00CD2FDC" w:rsidRPr="00D0635E" w:rsidRDefault="00CD2FDC" w:rsidP="00D0635E">
            <w:pPr>
              <w:pStyle w:val="LTAnfrageText"/>
            </w:pPr>
            <w:r w:rsidRPr="00D0635E">
              <w:t>Ich frage die Staatsregierung, sind ihr aktuelle Impfquoten der Beschäftigten in Pflegeeinrichtungen sowie Einrichtungen für Menschen mit Behinderung in Bayern bekannt, wenn nicht, wird die Staatsregierung eine Erhebung dieser Zahlen veranlassen, welche Schritte plant die Staatsregierung, um die Impfquoten der Beschäftigten in diesen Einrichtungen auf die anvisierten 80 Prozent zu bringen?</w:t>
            </w:r>
          </w:p>
        </w:tc>
        <w:tc>
          <w:tcPr>
            <w:tcW w:w="5733" w:type="dxa"/>
          </w:tcPr>
          <w:p w:rsidR="00CD2FDC" w:rsidRDefault="00CD2FDC" w:rsidP="00CD2FD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Die örtlichen Impfangebote werden von den Städten bzw. Landkreisen und den Impfzentren in</w:t>
      </w:r>
      <w:r w:rsidR="00914F59">
        <w:t xml:space="preserve"> </w:t>
      </w:r>
      <w:r>
        <w:t>eigener Verantwortung organisiert und durchgeführt. Um den bisher ungeimpften Beschäftigten</w:t>
      </w:r>
      <w:r w:rsidR="00914F59">
        <w:t xml:space="preserve"> </w:t>
      </w:r>
      <w:r>
        <w:t>möglichst unkompliziert und niederschwellig eine Impfung zu ermöglichen, wurden die Impfzentren</w:t>
      </w:r>
      <w:r w:rsidR="00914F59">
        <w:t xml:space="preserve"> </w:t>
      </w:r>
      <w:r>
        <w:t>dazu aufgefordert, im Rahmen des Besuchs mobiler Teams in den Einrichtungen für</w:t>
      </w:r>
      <w:r w:rsidR="00914F59">
        <w:t xml:space="preserve"> </w:t>
      </w:r>
      <w:r>
        <w:t>Auffrischungsimpfungen auch ungeimpften Beschäftigten eine COVID-19-Schutzimpfung</w:t>
      </w:r>
      <w:r w:rsidR="00914F59">
        <w:t xml:space="preserve"> </w:t>
      </w:r>
      <w:r>
        <w:t>anzubieten. Daneben wurden den Beschäftigten selbstverständlich auch in den Impfzentren</w:t>
      </w:r>
      <w:r w:rsidR="00914F59">
        <w:t xml:space="preserve"> </w:t>
      </w:r>
      <w:r>
        <w:t>Auffrischungsimpfungen angeboten, was laut den Rückmeldungen der Impfzentren zum</w:t>
      </w:r>
      <w:r w:rsidR="00914F59">
        <w:t xml:space="preserve"> </w:t>
      </w:r>
      <w:r w:rsidR="002F3A48">
        <w:t>19.11.2021 bisher rund 12 </w:t>
      </w:r>
      <w:r>
        <w:t>700 Beschäftigte in Anspruch genommen haben. Konkrete Zahlen</w:t>
      </w:r>
      <w:r w:rsidR="00914F59">
        <w:t xml:space="preserve"> </w:t>
      </w:r>
      <w:r>
        <w:t xml:space="preserve">liegen jedoch nicht vor, da der jeweilige Beruf, nachdem dies nicht in § 4 Abs. 1 </w:t>
      </w:r>
      <w:r w:rsidR="002F3A48">
        <w:t>Coronavirus-Impfverordnung (</w:t>
      </w:r>
      <w:r>
        <w:t>CoronaImpfV</w:t>
      </w:r>
      <w:r w:rsidR="002F3A48">
        <w:t>)</w:t>
      </w:r>
      <w:r w:rsidR="00914F59">
        <w:t xml:space="preserve"> </w:t>
      </w:r>
      <w:r>
        <w:t>vorgesehen ist, nicht zusammen mit der Impfung erfasst und gespeichert wird.</w:t>
      </w:r>
    </w:p>
    <w:p w:rsidR="00013B61" w:rsidRDefault="00013B61" w:rsidP="00013B61">
      <w:pPr>
        <w:pStyle w:val="LTAntwortRessortText"/>
      </w:pPr>
      <w:r>
        <w:t>Hinsichtlich vollstationärer Pflege- und Behinderteneinrichtungen hat die Taskforce</w:t>
      </w:r>
      <w:r w:rsidR="002F3A48">
        <w:t xml:space="preserve"> Infektiologie –</w:t>
      </w:r>
      <w:r w:rsidR="00914F59">
        <w:t xml:space="preserve"> </w:t>
      </w:r>
      <w:r>
        <w:t>Steuerungsstelle Pflege beim L</w:t>
      </w:r>
      <w:r w:rsidR="002F3A48">
        <w:t>andesamt für Gesundheit und Lebensmittelsicherheit (L</w:t>
      </w:r>
      <w:r>
        <w:t>GL</w:t>
      </w:r>
      <w:r w:rsidR="002F3A48">
        <w:t>)</w:t>
      </w:r>
      <w:r>
        <w:t xml:space="preserve"> zum Stichtag 01.11.2021 Daten erhoben, die die Einrichtungen</w:t>
      </w:r>
      <w:r w:rsidR="00914F59">
        <w:t xml:space="preserve"> </w:t>
      </w:r>
      <w:r>
        <w:t xml:space="preserve">(mangels Rechtsgrundlage) auf freiwilliger Basis melden konnten. Nach einer </w:t>
      </w:r>
      <w:r w:rsidRPr="007469C1">
        <w:rPr>
          <w:u w:val="single"/>
        </w:rPr>
        <w:t>vorläufigen</w:t>
      </w:r>
      <w:r w:rsidR="00914F59" w:rsidRPr="007469C1">
        <w:rPr>
          <w:u w:val="single"/>
        </w:rPr>
        <w:t xml:space="preserve"> </w:t>
      </w:r>
      <w:r w:rsidRPr="007469C1">
        <w:rPr>
          <w:u w:val="single"/>
        </w:rPr>
        <w:t>Auswertung</w:t>
      </w:r>
      <w:r>
        <w:t xml:space="preserve"> der repräsentativen Erhebung waren 72,4 </w:t>
      </w:r>
      <w:r w:rsidR="004A5D9A">
        <w:t>Prozent</w:t>
      </w:r>
      <w:r>
        <w:t xml:space="preserve"> der Beschäftigten in 774 teilnehmenden</w:t>
      </w:r>
      <w:r w:rsidR="00914F59">
        <w:t xml:space="preserve"> </w:t>
      </w:r>
      <w:r>
        <w:t xml:space="preserve">Pflegeeinrichtungen voll immunisiert, 15,1 </w:t>
      </w:r>
      <w:r w:rsidR="004A5D9A">
        <w:t>Prozent</w:t>
      </w:r>
      <w:r>
        <w:t xml:space="preserve"> waren ungeimpft. In 305 teilnehmenden</w:t>
      </w:r>
      <w:r w:rsidR="00DD6B38">
        <w:t xml:space="preserve"> </w:t>
      </w:r>
      <w:r>
        <w:t>Behi</w:t>
      </w:r>
      <w:r w:rsidR="002F3A48">
        <w:t>nderteneinrichtungen waren 68,2 </w:t>
      </w:r>
      <w:r w:rsidR="004A5D9A">
        <w:t>Prozent</w:t>
      </w:r>
      <w:r>
        <w:t xml:space="preserve"> der Beschäftigten voll immunisiert, 16 </w:t>
      </w:r>
      <w:r w:rsidR="004A5D9A">
        <w:t>Prozent</w:t>
      </w:r>
      <w:r>
        <w:t xml:space="preserve"> waren ungeimpft.</w:t>
      </w:r>
      <w:r w:rsidR="007469C1">
        <w:t xml:space="preserve"> </w:t>
      </w:r>
      <w:r>
        <w:t>Der verbleibende Anteil hat entweder einen Teilschutz (begonnene Impfserie und genesene</w:t>
      </w:r>
      <w:r w:rsidR="00DD6B38">
        <w:t xml:space="preserve"> </w:t>
      </w:r>
      <w:r>
        <w:t xml:space="preserve">Personen ohne Impfung [&lt;6 Monate und &gt;6 Monate]) oder einen unbekannten Status. 14,5 </w:t>
      </w:r>
      <w:r w:rsidR="004A5D9A">
        <w:t>Prozent</w:t>
      </w:r>
      <w:r>
        <w:t xml:space="preserve"> der</w:t>
      </w:r>
      <w:r w:rsidR="00DD6B38">
        <w:t xml:space="preserve"> </w:t>
      </w:r>
      <w:r>
        <w:t xml:space="preserve">Beschäftigten in Pflegeeinrichtungen und 8 </w:t>
      </w:r>
      <w:r w:rsidR="004A5D9A">
        <w:t>Prozent</w:t>
      </w:r>
      <w:r>
        <w:t xml:space="preserve"> der Beschäftigten in Behinderteneinrichtungen</w:t>
      </w:r>
      <w:r w:rsidR="00DD6B38">
        <w:t xml:space="preserve"> </w:t>
      </w:r>
      <w:r>
        <w:t>erhielten bereits eine Auffrischungsimpfung. Im Vergleich zu einer vorangegangenen</w:t>
      </w:r>
      <w:r w:rsidR="00DD6B38">
        <w:t xml:space="preserve"> </w:t>
      </w:r>
      <w:r>
        <w:t>repräsentativen Erhebung zum Stichtag 01.08.2021 ist eine maßgebliche Erhöhung der Impfquote</w:t>
      </w:r>
      <w:r w:rsidR="00DD6B38">
        <w:t xml:space="preserve"> </w:t>
      </w:r>
      <w:r>
        <w:t xml:space="preserve">festzustellen. Damals wiesen 64,6 </w:t>
      </w:r>
      <w:r w:rsidR="004A5D9A">
        <w:t>Prozent</w:t>
      </w:r>
      <w:r>
        <w:t xml:space="preserve"> der Beschäftigten in Pflegeeinrichtungen eine vollständige</w:t>
      </w:r>
      <w:r w:rsidR="00DD6B38">
        <w:t xml:space="preserve"> </w:t>
      </w:r>
      <w:r>
        <w:t xml:space="preserve">Immunisierung auf und 22,4 </w:t>
      </w:r>
      <w:r w:rsidR="004A5D9A">
        <w:t>Prozent</w:t>
      </w:r>
      <w:r>
        <w:t xml:space="preserve"> der Beschäftigten waren ungeimpft. In Behinderteneinrichtungen</w:t>
      </w:r>
      <w:r w:rsidR="00DD6B38">
        <w:t xml:space="preserve"> </w:t>
      </w:r>
      <w:r>
        <w:t xml:space="preserve">waren 56,5 </w:t>
      </w:r>
      <w:r w:rsidR="004A5D9A">
        <w:t>Prozent</w:t>
      </w:r>
      <w:r>
        <w:t xml:space="preserve"> der Beschäftigten vollständig immunisiert und 21,7 </w:t>
      </w:r>
      <w:r w:rsidR="004A5D9A">
        <w:t>Prozent</w:t>
      </w:r>
      <w:r>
        <w:t xml:space="preserve"> ungeimpft. Der Stichtag</w:t>
      </w:r>
      <w:r w:rsidR="00DD6B38">
        <w:t xml:space="preserve"> </w:t>
      </w:r>
      <w:r>
        <w:t>01.11.2021 ist von besonderer Relevanz, da vielerorts erst nach der Veröffentlichung der STIKO</w:t>
      </w:r>
      <w:r w:rsidR="002F3A48">
        <w:t>-</w:t>
      </w:r>
      <w:r>
        <w:t>Empfehlung</w:t>
      </w:r>
      <w:r w:rsidR="002F3A48">
        <w:t xml:space="preserve"> (STIKO = Ständige Impfkommission)</w:t>
      </w:r>
      <w:r w:rsidR="00DD6B38">
        <w:t xml:space="preserve"> </w:t>
      </w:r>
      <w:r>
        <w:t>am 18.10.2021 verstärkt mit der Auffrischungsimpfung begonnen wurde.</w:t>
      </w:r>
    </w:p>
    <w:p w:rsidR="00013B61" w:rsidRDefault="00013B61" w:rsidP="00013B61">
      <w:pPr>
        <w:pStyle w:val="LTAntwortRessortText"/>
      </w:pPr>
      <w:r>
        <w:t>Es wird davon ausgegangen, dass der fortschreitende Besuch mobiler Impfteams in den</w:t>
      </w:r>
      <w:r w:rsidR="00DD6B38">
        <w:t xml:space="preserve"> </w:t>
      </w:r>
      <w:r>
        <w:t>Einrichtungen als niederschwellige und effiziente Maßnahme neben den örtlichen Impfangeboten</w:t>
      </w:r>
      <w:r w:rsidR="00DD6B38">
        <w:t xml:space="preserve"> </w:t>
      </w:r>
      <w:r>
        <w:t>der Impfzentren und der teilnehmenden niedergelassenen Ärzteschaft zu einer weiteren spürbaren</w:t>
      </w:r>
      <w:r w:rsidR="00DD6B38">
        <w:t xml:space="preserve"> </w:t>
      </w:r>
      <w:r>
        <w:t>Erhöhung der Impfquote unter den Beschäftigten beitragen wird.</w:t>
      </w:r>
    </w:p>
    <w:p w:rsidR="00013B61" w:rsidRDefault="00013B61">
      <w:bookmarkStart w:id="148" w:name="Frage_Nr_73_Ende"/>
      <w:bookmarkEnd w:id="14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D2FDC" w:rsidTr="00CD2FDC">
        <w:tc>
          <w:tcPr>
            <w:tcW w:w="1854" w:type="dxa"/>
          </w:tcPr>
          <w:p w:rsidR="00CD2FDC" w:rsidRDefault="00CD2FDC" w:rsidP="00CD2FDC">
            <w:pPr>
              <w:pStyle w:val="LTAnfrageInitiator"/>
            </w:pPr>
            <w:r>
              <w:lastRenderedPageBreak/>
              <w:t>Abgeordnete</w:t>
            </w:r>
            <w:r>
              <w:rPr>
                <w:b/>
              </w:rPr>
              <w:br/>
              <w:t>Margit</w:t>
            </w:r>
            <w:r>
              <w:rPr>
                <w:b/>
              </w:rPr>
              <w:br/>
              <w:t>Wild</w:t>
            </w:r>
            <w:r>
              <w:rPr>
                <w:b/>
              </w:rPr>
              <w:br/>
            </w:r>
            <w:r>
              <w:t>(SPD)</w:t>
            </w:r>
            <w:bookmarkStart w:id="149" w:name="Frage_Nr_74"/>
            <w:bookmarkEnd w:id="149"/>
          </w:p>
        </w:tc>
        <w:tc>
          <w:tcPr>
            <w:tcW w:w="5762" w:type="dxa"/>
          </w:tcPr>
          <w:p w:rsidR="00CD2FDC" w:rsidRPr="00D0635E" w:rsidRDefault="00CD2FDC" w:rsidP="00D0635E">
            <w:pPr>
              <w:pStyle w:val="LTAnfrageText"/>
            </w:pPr>
            <w:r w:rsidRPr="00D0635E">
              <w:t>Ich frage die Staatsregierung, in welchen Kliniken in Bayern werden Schwangerschaftsabbrüche durchgeführt nach § 218a Abs. 1 und 4 Strafgesetzbuch – StGB (Beratungsregelung), nach § 218a Abs. 2 und 3 StGB (medizinische Indikation) oder nach einer rechtswidrigen Tat nach den §§ 176 bis 178 StGB (bitte Aufschlüsselung nach Indikation, nach Bezirken, Landkreisen, kreisfreien Städten und Universitätskliniken)?</w:t>
            </w:r>
          </w:p>
        </w:tc>
        <w:tc>
          <w:tcPr>
            <w:tcW w:w="5762" w:type="dxa"/>
          </w:tcPr>
          <w:p w:rsidR="00CD2FDC" w:rsidRDefault="00CD2FDC" w:rsidP="00CD2FD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In Bayern dürfen nach Art. 2 Bayerisches Schwangerenhilfeergänzungsgesetz (BaySchwHEG)</w:t>
      </w:r>
      <w:r w:rsidR="00DD6B38">
        <w:t xml:space="preserve"> </w:t>
      </w:r>
      <w:r>
        <w:t>Schwangerschaftsabbrüche nur in zugelassenen Einrichtungen vorgenommen werden; dies gilt</w:t>
      </w:r>
      <w:r w:rsidR="00DD6B38">
        <w:t xml:space="preserve"> </w:t>
      </w:r>
      <w:r>
        <w:t>nicht für Schwangerschaftsabbrüche bei medizinischer Indikation. Im Übrigen wird für die</w:t>
      </w:r>
      <w:r w:rsidR="00DD6B38">
        <w:t xml:space="preserve"> </w:t>
      </w:r>
      <w:r>
        <w:t>Zulassung nicht danach differenziert, bei welcher Indikation die Einrichtung Schwangerschaftsabbrüche</w:t>
      </w:r>
      <w:r w:rsidR="00DD6B38">
        <w:t xml:space="preserve"> </w:t>
      </w:r>
      <w:r>
        <w:t>vornimmt, so dass der Staatsregierung hierzu keine Informationen vorliegen.</w:t>
      </w:r>
    </w:p>
    <w:p w:rsidR="00013B61" w:rsidRDefault="00013B61" w:rsidP="00013B61">
      <w:pPr>
        <w:pStyle w:val="LTAntwortRessortText"/>
      </w:pPr>
      <w:r>
        <w:t xml:space="preserve">Krankenhäuser, die im Krankenhausplan mit der Fachrichtung </w:t>
      </w:r>
      <w:r w:rsidR="00E832CF">
        <w:t>„</w:t>
      </w:r>
      <w:r>
        <w:t>Gynäkologie und Geburtshilfe</w:t>
      </w:r>
      <w:r w:rsidR="00E832CF">
        <w:t>“</w:t>
      </w:r>
      <w:r w:rsidR="00DD6B38">
        <w:t xml:space="preserve"> </w:t>
      </w:r>
      <w:r>
        <w:t>aufgenommen sind oder von einem öffentlich-rechtlichen Träger betrieben werden, haben</w:t>
      </w:r>
      <w:r w:rsidR="00DD6B38">
        <w:t xml:space="preserve"> </w:t>
      </w:r>
      <w:r>
        <w:t>dementsprechend ihre Bereitschaft zur Vornahme von Schwangerschaftsabbrüchen dem</w:t>
      </w:r>
      <w:r w:rsidR="00DD6B38">
        <w:t xml:space="preserve"> </w:t>
      </w:r>
      <w:r>
        <w:t>zuständigen Gesundheitsamt anzuzeigen (Art.</w:t>
      </w:r>
      <w:r w:rsidR="002F3A48">
        <w:t> </w:t>
      </w:r>
      <w:r>
        <w:t>4 BaySchwHEG). Nach Kenntnis der</w:t>
      </w:r>
      <w:r w:rsidR="00DD6B38">
        <w:t xml:space="preserve"> </w:t>
      </w:r>
      <w:r>
        <w:t>Staatsregierung haben in Bayern 20 Krankenhäuser ihre Bereitschaft zur Vornahme von</w:t>
      </w:r>
      <w:r w:rsidR="00DD6B38">
        <w:t xml:space="preserve"> </w:t>
      </w:r>
      <w:r>
        <w:t>Schwangerschaftsabbrüchen angezeigt; davon zwei in Niederbayern, drei in Mittelfranken, drei in</w:t>
      </w:r>
      <w:r w:rsidR="00DD6B38">
        <w:t xml:space="preserve"> </w:t>
      </w:r>
      <w:r>
        <w:t>Unterfranken, eine in Oberfranken und elf in Oberbayern (Stand 15.07.2021). Ein Teil dieser</w:t>
      </w:r>
      <w:r w:rsidR="00DD6B38">
        <w:t xml:space="preserve"> </w:t>
      </w:r>
      <w:r>
        <w:t>Krankenhäuser hat nicht in die Auskunftserteilung nach Art. 6 Abs. 3 BaySchwHEG eingewilligt</w:t>
      </w:r>
      <w:r w:rsidR="00DD6B38">
        <w:t xml:space="preserve"> </w:t>
      </w:r>
      <w:r>
        <w:t>und kann daher nicht benannt werden. Im Übrigen handelt es sich um folgende Einrichtungen:</w:t>
      </w:r>
      <w:r w:rsidR="007469C1">
        <w:t xml:space="preserve"> </w:t>
      </w:r>
      <w:r>
        <w:t>Kreiskrankenhaus Erding, Klinikum Garmisch-Partenkirchen, Klinikum Ingolstadt, Klinikum</w:t>
      </w:r>
      <w:r w:rsidR="007469C1">
        <w:t xml:space="preserve"> </w:t>
      </w:r>
      <w:r>
        <w:t>Harlaching, Klinikum Schwabing, Klinikum Neuperlach, Klinikum Traunstein, Klinik Rothenburg o.</w:t>
      </w:r>
      <w:r w:rsidR="002F3A48">
        <w:t> </w:t>
      </w:r>
      <w:r>
        <w:t>d.</w:t>
      </w:r>
      <w:r w:rsidR="007469C1">
        <w:t xml:space="preserve"> </w:t>
      </w:r>
      <w:r>
        <w:t>Tauber, Klinikum Aschaffenburg, Universitätsklinikum Würzburg (Frauenklinik).</w:t>
      </w:r>
    </w:p>
    <w:p w:rsidR="00013B61" w:rsidRDefault="00013B61" w:rsidP="00013B61">
      <w:pPr>
        <w:pStyle w:val="LTAntwortRessortText"/>
      </w:pPr>
      <w:r>
        <w:t>Sonstige medizinische Einrichtungen, in denen Schwangerschaftsabbrüche vorgenommen</w:t>
      </w:r>
      <w:r w:rsidR="00DD6B38">
        <w:t xml:space="preserve"> </w:t>
      </w:r>
      <w:r>
        <w:t>werden, bedürfen in Bayern der Erlaubnis nach Art. 3 BaySchwHEG. Nach Kenntnis der</w:t>
      </w:r>
      <w:r w:rsidR="00DD6B38">
        <w:t xml:space="preserve"> </w:t>
      </w:r>
      <w:r>
        <w:t>Staatsregierung gibt es derzeit 76 solche Einrichtungen in Bayern (Stand 15.07.2021). Ob darunter</w:t>
      </w:r>
      <w:r w:rsidR="00DD6B38">
        <w:t xml:space="preserve"> </w:t>
      </w:r>
      <w:r>
        <w:t>neben Arztpraxen aktuell auch private Krankenhäuser sind, die nicht die o.</w:t>
      </w:r>
      <w:r w:rsidR="002F3A48">
        <w:t> </w:t>
      </w:r>
      <w:r>
        <w:t>g. Voraussetzungen</w:t>
      </w:r>
      <w:r w:rsidR="00DD6B38">
        <w:t xml:space="preserve"> </w:t>
      </w:r>
      <w:r>
        <w:t>erfüllen, ist der Staatsregierung nicht bekannt.</w:t>
      </w:r>
    </w:p>
    <w:p w:rsidR="00013B61" w:rsidRDefault="00013B61">
      <w:bookmarkStart w:id="150" w:name="Frage_Nr_74_Ende"/>
      <w:bookmarkEnd w:id="15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D2FDC" w:rsidTr="00CD2FDC">
        <w:tc>
          <w:tcPr>
            <w:tcW w:w="1852" w:type="dxa"/>
          </w:tcPr>
          <w:p w:rsidR="00CD2FDC" w:rsidRDefault="00CD2FDC" w:rsidP="00CD2FDC">
            <w:pPr>
              <w:pStyle w:val="LTAnfrageInitiator"/>
            </w:pPr>
            <w:r>
              <w:lastRenderedPageBreak/>
              <w:t>Abgeordneter</w:t>
            </w:r>
            <w:r>
              <w:rPr>
                <w:b/>
              </w:rPr>
              <w:br/>
              <w:t>Andreas</w:t>
            </w:r>
            <w:r>
              <w:rPr>
                <w:b/>
              </w:rPr>
              <w:br/>
              <w:t>Winhart</w:t>
            </w:r>
            <w:r>
              <w:rPr>
                <w:b/>
              </w:rPr>
              <w:br/>
            </w:r>
            <w:r>
              <w:t>(AfD)</w:t>
            </w:r>
            <w:bookmarkStart w:id="151" w:name="Frage_Nr_75"/>
            <w:bookmarkEnd w:id="151"/>
          </w:p>
        </w:tc>
        <w:tc>
          <w:tcPr>
            <w:tcW w:w="5764" w:type="dxa"/>
          </w:tcPr>
          <w:p w:rsidR="00CD2FDC" w:rsidRPr="00D0635E" w:rsidRDefault="00CD2FDC" w:rsidP="00D0635E">
            <w:pPr>
              <w:pStyle w:val="LTAnfrageText"/>
            </w:pPr>
            <w:r w:rsidRPr="00D0635E">
              <w:t xml:space="preserve">Ich frage die Staatsregierung, wie ist der aktuelle Stand der psychischen erkrankten Menschen im Gesundheitswesen im Freistaat, wie entwickelten sich die psychischen Erkrankungen von Menschen im Gesundheitswesen seit Februar 2020 und davon wie viele Angehörige von Gesundheitsberufen waren aufgrund einer psychischen Erkrankung in Behandlung? </w:t>
            </w:r>
          </w:p>
        </w:tc>
        <w:tc>
          <w:tcPr>
            <w:tcW w:w="5764" w:type="dxa"/>
          </w:tcPr>
          <w:p w:rsidR="00CD2FDC" w:rsidRDefault="00CD2FDC" w:rsidP="00CD2FDC">
            <w:pPr>
              <w:pStyle w:val="LTAnfrageText"/>
            </w:pPr>
          </w:p>
        </w:tc>
      </w:tr>
    </w:tbl>
    <w:p w:rsidR="00013B61" w:rsidRDefault="00013B61" w:rsidP="00013B61">
      <w:pPr>
        <w:pStyle w:val="LTUeberschrAntwortRessort"/>
      </w:pPr>
      <w:r>
        <w:t>Antwort des Staatsministeriums für Gesundheit und Pflege</w:t>
      </w:r>
    </w:p>
    <w:p w:rsidR="00013B61" w:rsidRDefault="00013B61" w:rsidP="00013B61">
      <w:pPr>
        <w:pStyle w:val="LTAntwortRessortText"/>
      </w:pPr>
      <w:r>
        <w:t>Daten zur Anzahl diagnostizierter psychischer Erkrankungen in Bayern differenziert nach</w:t>
      </w:r>
      <w:r w:rsidR="00DD6B38">
        <w:t xml:space="preserve"> </w:t>
      </w:r>
      <w:r>
        <w:t>Berufsgruppen liegen der Staatsregierung nicht vor. Demnach liegen weder Erkenntnisse zum</w:t>
      </w:r>
      <w:r w:rsidR="00DD6B38">
        <w:t xml:space="preserve"> </w:t>
      </w:r>
      <w:r>
        <w:t>Verlauf von psychischen Erkrankungen bei Menschen vor, die im Gesundheitswesen arbeiten,</w:t>
      </w:r>
      <w:r w:rsidR="00DD6B38">
        <w:t xml:space="preserve"> </w:t>
      </w:r>
      <w:r>
        <w:t>noch dazu, wie viele Angehörige von Gesundheitsberufen aufgrund einer psychischen Erkrankung</w:t>
      </w:r>
      <w:r w:rsidR="00DD6B38">
        <w:t xml:space="preserve"> </w:t>
      </w:r>
      <w:r>
        <w:t>in Behandlung sind.</w:t>
      </w:r>
    </w:p>
    <w:p w:rsidR="00013B61" w:rsidRDefault="00013B61">
      <w:bookmarkStart w:id="152" w:name="Frage_Nr_75_Ende"/>
      <w:bookmarkEnd w:id="152"/>
      <w:r>
        <w:br w:type="page"/>
      </w:r>
    </w:p>
    <w:p w:rsidR="00013B61" w:rsidRDefault="00013B61" w:rsidP="00013B61">
      <w:pPr>
        <w:pStyle w:val="LTUeberschrRessort"/>
      </w:pPr>
      <w:r>
        <w:lastRenderedPageBreak/>
        <w:t>Geschäftsbereich des Staatsministeriums für Digitales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D2FDC" w:rsidTr="00CD2FDC">
        <w:tc>
          <w:tcPr>
            <w:tcW w:w="1854" w:type="dxa"/>
          </w:tcPr>
          <w:p w:rsidR="00CD2FDC" w:rsidRDefault="00CD2FDC" w:rsidP="00CD2FDC">
            <w:pPr>
              <w:pStyle w:val="LTAnfrageInitiator"/>
            </w:pPr>
            <w:r>
              <w:t>Abgeordnete</w:t>
            </w:r>
            <w:r>
              <w:rPr>
                <w:b/>
              </w:rPr>
              <w:br/>
              <w:t>Annette</w:t>
            </w:r>
            <w:r>
              <w:rPr>
                <w:b/>
              </w:rPr>
              <w:br/>
              <w:t>Karl</w:t>
            </w:r>
            <w:r>
              <w:rPr>
                <w:b/>
              </w:rPr>
              <w:br/>
            </w:r>
            <w:r>
              <w:t>(SPD)</w:t>
            </w:r>
            <w:bookmarkStart w:id="153" w:name="Frage_Nr_76"/>
            <w:bookmarkEnd w:id="153"/>
          </w:p>
        </w:tc>
        <w:tc>
          <w:tcPr>
            <w:tcW w:w="5762" w:type="dxa"/>
          </w:tcPr>
          <w:p w:rsidR="00CD2FDC" w:rsidRPr="00D0635E" w:rsidRDefault="00CD2FDC" w:rsidP="00D0635E">
            <w:pPr>
              <w:pStyle w:val="LTAnfrageText"/>
            </w:pPr>
            <w:r w:rsidRPr="00D0635E">
              <w:t xml:space="preserve">Ich frage die Staatsregierung hinsichtlich des Ministerratsberichtes vom 15.11.2021, in dem sie die Bildung eines Digitalrates unter dem Vorsitz des Staatsministeriums für Digitales angekündigt hat, wann mit der Bildung des Digitalrates zu rechnen ist, wer die Mitglieder dieses Digitalrates sein werden und welche Befugnisse dieser haben wird? </w:t>
            </w:r>
          </w:p>
        </w:tc>
        <w:tc>
          <w:tcPr>
            <w:tcW w:w="5762" w:type="dxa"/>
          </w:tcPr>
          <w:p w:rsidR="00CD2FDC" w:rsidRDefault="00CD2FDC" w:rsidP="00CD2FDC">
            <w:pPr>
              <w:pStyle w:val="LTAnfrageText"/>
            </w:pPr>
          </w:p>
        </w:tc>
      </w:tr>
    </w:tbl>
    <w:p w:rsidR="00013B61" w:rsidRDefault="00013B61" w:rsidP="00013B61">
      <w:pPr>
        <w:pStyle w:val="LTUeberschrAntwortRessort"/>
      </w:pPr>
      <w:r>
        <w:t>Antwort des Staatsministeriums für Digitales</w:t>
      </w:r>
    </w:p>
    <w:p w:rsidR="00013B61" w:rsidRDefault="00013B61" w:rsidP="00013B61">
      <w:pPr>
        <w:pStyle w:val="LTAntwortRessortText"/>
      </w:pPr>
      <w:r>
        <w:t>Der Digitalrat soll so schnell wie möglich gebildet werden, um die digitale Transformation im Freistaat voranzutreiben. Die Staatskanzlei und alle Ressorts werden mindestens auf Ebene der Amtschefinnen und Amtschefs im Digitalrat vertreten sein. Aufgaben des Digitalrates werden die Lenkung und Steuerung der Digitalen Transformatio</w:t>
      </w:r>
      <w:r w:rsidR="00D157F1">
        <w:t>n und ihrer strategischen Grund</w:t>
      </w:r>
      <w:r>
        <w:t>satzfragen sein. Die konkreten Befugnisse werden derzeit ausgearbeitet.</w:t>
      </w:r>
    </w:p>
    <w:p w:rsidR="00013B61" w:rsidRDefault="00013B61" w:rsidP="00013B61">
      <w:pPr>
        <w:pStyle w:val="LTAntwortRessortText"/>
      </w:pPr>
      <w:bookmarkStart w:id="154" w:name="Frage_Nr_76_Ende"/>
      <w:bookmarkEnd w:id="154"/>
    </w:p>
    <w:sectPr w:rsidR="00013B61" w:rsidSect="00F00864">
      <w:headerReference w:type="even" r:id="rId29"/>
      <w:headerReference w:type="default" r:id="rId30"/>
      <w:footerReference w:type="default" r:id="rId31"/>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4C" w:rsidRDefault="003E314C">
      <w:r>
        <w:separator/>
      </w:r>
    </w:p>
  </w:endnote>
  <w:endnote w:type="continuationSeparator" w:id="0">
    <w:p w:rsidR="003E314C" w:rsidRDefault="003E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Default="003E314C"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Pr="009C32BE" w:rsidRDefault="003E314C"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Pr="00311533" w:rsidRDefault="003E314C"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4C" w:rsidRDefault="003E314C">
      <w:r>
        <w:separator/>
      </w:r>
    </w:p>
  </w:footnote>
  <w:footnote w:type="continuationSeparator" w:id="0">
    <w:p w:rsidR="003E314C" w:rsidRDefault="003E314C">
      <w:r>
        <w:continuationSeparator/>
      </w:r>
    </w:p>
  </w:footnote>
  <w:footnote w:id="1">
    <w:p w:rsidR="003E314C" w:rsidRDefault="003E314C" w:rsidP="004943A4">
      <w:pPr>
        <w:adjustRightInd w:val="0"/>
        <w:ind w:left="340" w:hanging="340"/>
      </w:pPr>
      <w:r>
        <w:rPr>
          <w:rStyle w:val="Funotenzeichen"/>
        </w:rPr>
        <w:footnoteRef/>
      </w:r>
      <w:r>
        <w:tab/>
      </w:r>
      <w:r w:rsidRPr="004943A4">
        <w:rPr>
          <w:rStyle w:val="LTHyperlinkZchn"/>
          <w:b w:val="0"/>
          <w:sz w:val="16"/>
        </w:rPr>
        <w:t xml:space="preserve">vgl. </w:t>
      </w:r>
      <w:hyperlink r:id="rId1" w:history="1">
        <w:r w:rsidRPr="004943A4">
          <w:rPr>
            <w:rStyle w:val="LTHyperlinkZchn"/>
            <w:b w:val="0"/>
            <w:sz w:val="16"/>
          </w:rPr>
          <w:t>https://www.sueddeutsche.de/bayern/sauter-schnelltest-csu-coronavirus-soeder-1.5254277</w:t>
        </w:r>
      </w:hyperlink>
      <w:r>
        <w:rPr>
          <w:rFonts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Default="003E314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A35F1">
      <w:fldChar w:fldCharType="begin"/>
    </w:r>
    <w:r w:rsidR="008A35F1">
      <w:instrText xml:space="preserve"> DOCVARIABLE  "Wp" \* MERGEFORMAT </w:instrText>
    </w:r>
    <w:r w:rsidR="008A35F1">
      <w:fldChar w:fldCharType="separate"/>
    </w:r>
    <w:r w:rsidR="00CC7925">
      <w:t>18</w:t>
    </w:r>
    <w:r w:rsidR="008A35F1">
      <w:fldChar w:fldCharType="end"/>
    </w:r>
    <w:r w:rsidRPr="00CA6785">
      <w:t>/</w:t>
    </w:r>
    <w:r>
      <w:rPr>
        <w:b/>
      </w:rPr>
      <w:fldChar w:fldCharType="begin"/>
    </w:r>
    <w:r>
      <w:rPr>
        <w:b/>
      </w:rPr>
      <w:instrText xml:space="preserve"> DOCVARIABLE  "Drsnr" \* MERGEFORMAT </w:instrText>
    </w:r>
    <w:r>
      <w:rPr>
        <w:b/>
      </w:rPr>
      <w:fldChar w:fldCharType="separate"/>
    </w:r>
    <w:r w:rsidR="00CC7925">
      <w:rPr>
        <w:b/>
      </w:rPr>
      <w:t>19266</w:t>
    </w:r>
    <w:r>
      <w:rPr>
        <w:b/>
      </w:rPr>
      <w:fldChar w:fldCharType="end"/>
    </w:r>
    <w:r>
      <w:tab/>
    </w:r>
    <w:r>
      <w:tab/>
    </w:r>
    <w:r w:rsidRPr="009A2D8C">
      <w:t>Bayerischer Landtag</w:t>
    </w:r>
    <w:r>
      <w:t xml:space="preserve"> -</w:t>
    </w:r>
    <w:r w:rsidR="008A35F1">
      <w:fldChar w:fldCharType="begin"/>
    </w:r>
    <w:r w:rsidR="008A35F1">
      <w:instrText xml:space="preserve"> DOCVARIABLE  "Wp" \* MERGEFORMAT </w:instrText>
    </w:r>
    <w:r w:rsidR="008A35F1">
      <w:fldChar w:fldCharType="separate"/>
    </w:r>
    <w:r w:rsidR="00CC7925">
      <w:t>18</w:t>
    </w:r>
    <w:r w:rsidR="008A35F1">
      <w:fldChar w:fldCharType="end"/>
    </w:r>
    <w:r>
      <w:t>. Wahlperiode</w:t>
    </w:r>
  </w:p>
  <w:p w:rsidR="003E314C" w:rsidRDefault="003E314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Default="003E314C"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8A35F1">
      <w:fldChar w:fldCharType="begin"/>
    </w:r>
    <w:r w:rsidR="008A35F1">
      <w:instrText xml:space="preserve"> DOCVARIABLE  "Wp" \* MERGEFORMAT </w:instrText>
    </w:r>
    <w:r w:rsidR="008A35F1">
      <w:fldChar w:fldCharType="separate"/>
    </w:r>
    <w:r w:rsidR="00CC7925">
      <w:t>18</w:t>
    </w:r>
    <w:r w:rsidR="008A35F1">
      <w:fldChar w:fldCharType="end"/>
    </w:r>
    <w:r>
      <w:t>. Wahlperiode</w:t>
    </w:r>
    <w:r>
      <w:tab/>
    </w:r>
    <w:r>
      <w:tab/>
    </w:r>
    <w:r w:rsidRPr="009A2D8C">
      <w:rPr>
        <w:b/>
      </w:rPr>
      <w:t>Drucksache</w:t>
    </w:r>
    <w:r>
      <w:rPr>
        <w:b/>
      </w:rPr>
      <w:t xml:space="preserve"> </w:t>
    </w:r>
    <w:r w:rsidR="008A35F1">
      <w:fldChar w:fldCharType="begin"/>
    </w:r>
    <w:r w:rsidR="008A35F1">
      <w:instrText xml:space="preserve"> DOCVARIABLE  "Wp" \* MERGEFORMAT </w:instrText>
    </w:r>
    <w:r w:rsidR="008A35F1">
      <w:fldChar w:fldCharType="separate"/>
    </w:r>
    <w:r w:rsidR="00CC7925">
      <w:t>18</w:t>
    </w:r>
    <w:r w:rsidR="008A35F1">
      <w:fldChar w:fldCharType="end"/>
    </w:r>
    <w:r w:rsidRPr="00CA6785">
      <w:t>/</w:t>
    </w:r>
    <w:r>
      <w:rPr>
        <w:b/>
      </w:rPr>
      <w:fldChar w:fldCharType="begin"/>
    </w:r>
    <w:r>
      <w:rPr>
        <w:b/>
      </w:rPr>
      <w:instrText xml:space="preserve"> DOCVARIABLE  "Drsnr" \* MERGEFORMAT </w:instrText>
    </w:r>
    <w:r>
      <w:rPr>
        <w:b/>
      </w:rPr>
      <w:fldChar w:fldCharType="separate"/>
    </w:r>
    <w:r w:rsidR="00CC7925">
      <w:rPr>
        <w:b/>
      </w:rPr>
      <w:t>19266</w:t>
    </w:r>
    <w:r>
      <w:rPr>
        <w:b/>
      </w:rPr>
      <w:fldChar w:fldCharType="end"/>
    </w:r>
  </w:p>
  <w:p w:rsidR="003E314C" w:rsidRPr="00C127DA" w:rsidRDefault="003E314C"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Default="003E314C"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17ADD" w:rsidRPr="00E17ADD">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17ADD">
      <w:rPr>
        <w:sz w:val="22"/>
        <w:szCs w:val="22"/>
      </w:rPr>
      <w:t>22.11.2021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17ADD" w:rsidRPr="00E17ADD">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17ADD" w:rsidRPr="00E17ADD">
      <w:rPr>
        <w:b/>
        <w:bCs/>
        <w:sz w:val="42"/>
        <w:szCs w:val="42"/>
      </w:rPr>
      <w:t>19266</w:t>
    </w:r>
    <w:r w:rsidRPr="00853926">
      <w:rPr>
        <w:b/>
        <w:sz w:val="42"/>
        <w:szCs w:val="42"/>
      </w:rPr>
      <w:fldChar w:fldCharType="end"/>
    </w:r>
  </w:p>
  <w:p w:rsidR="003E314C" w:rsidRPr="004453BF" w:rsidRDefault="003E314C"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Pr="00A44F63" w:rsidRDefault="003E314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C7925">
      <w:rPr>
        <w:rStyle w:val="Seitenzahl"/>
        <w:noProof/>
        <w:szCs w:val="20"/>
      </w:rPr>
      <w:t>99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C792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C792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C7925">
      <w:rPr>
        <w:b/>
        <w:szCs w:val="20"/>
      </w:rPr>
      <w:t>19266</w:t>
    </w:r>
    <w:r w:rsidRPr="00A44F63">
      <w:rPr>
        <w:b/>
        <w:szCs w:val="20"/>
      </w:rPr>
      <w:fldChar w:fldCharType="end"/>
    </w:r>
  </w:p>
  <w:p w:rsidR="003E314C" w:rsidRPr="00861320" w:rsidRDefault="003E314C"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4C" w:rsidRPr="00DE5B17" w:rsidRDefault="003E314C"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C792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C7925">
      <w:rPr>
        <w:b/>
        <w:szCs w:val="20"/>
      </w:rPr>
      <w:t>19266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C792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C7925">
      <w:rPr>
        <w:rStyle w:val="Seitenzahl"/>
        <w:noProof/>
        <w:szCs w:val="20"/>
      </w:rPr>
      <w:t>99</w:t>
    </w:r>
    <w:r w:rsidRPr="00DE5B17">
      <w:rPr>
        <w:rStyle w:val="Seitenzahl"/>
        <w:szCs w:val="20"/>
      </w:rPr>
      <w:fldChar w:fldCharType="end"/>
    </w:r>
  </w:p>
  <w:p w:rsidR="003E314C" w:rsidRPr="00601929" w:rsidRDefault="003E314C"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7D14"/>
    <w:multiLevelType w:val="hybridMultilevel"/>
    <w:tmpl w:val="8C806FBA"/>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8FB0B69"/>
    <w:multiLevelType w:val="hybridMultilevel"/>
    <w:tmpl w:val="FB4C1C34"/>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90D3A76"/>
    <w:multiLevelType w:val="hybridMultilevel"/>
    <w:tmpl w:val="F6A6D4F0"/>
    <w:lvl w:ilvl="0" w:tplc="C6CCF41A">
      <w:start w:val="1"/>
      <w:numFmt w:val="bullet"/>
      <w:lvlText w:val=""/>
      <w:lvlJc w:val="left"/>
      <w:pPr>
        <w:ind w:left="1060" w:hanging="360"/>
      </w:pPr>
      <w:rPr>
        <w:rFonts w:ascii="Symbol" w:hAnsi="Symbol" w:hint="default"/>
      </w:rPr>
    </w:lvl>
    <w:lvl w:ilvl="1" w:tplc="8332BE28">
      <w:start w:val="3"/>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3B57E9"/>
    <w:multiLevelType w:val="hybridMultilevel"/>
    <w:tmpl w:val="BE2042D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8A314F"/>
    <w:multiLevelType w:val="hybridMultilevel"/>
    <w:tmpl w:val="BA3E74F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222C99"/>
    <w:multiLevelType w:val="hybridMultilevel"/>
    <w:tmpl w:val="3C1695B6"/>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507168E"/>
    <w:multiLevelType w:val="hybridMultilevel"/>
    <w:tmpl w:val="F94A4B70"/>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7777C0B"/>
    <w:multiLevelType w:val="hybridMultilevel"/>
    <w:tmpl w:val="03DA275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C0C5002"/>
    <w:multiLevelType w:val="hybridMultilevel"/>
    <w:tmpl w:val="2F46E69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EB30E3E"/>
    <w:multiLevelType w:val="hybridMultilevel"/>
    <w:tmpl w:val="1A2458A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0EB4051"/>
    <w:multiLevelType w:val="hybridMultilevel"/>
    <w:tmpl w:val="643AA07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70670F4"/>
    <w:multiLevelType w:val="hybridMultilevel"/>
    <w:tmpl w:val="0BB438C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391FDD"/>
    <w:multiLevelType w:val="hybridMultilevel"/>
    <w:tmpl w:val="97DA125E"/>
    <w:lvl w:ilvl="0" w:tplc="40068430">
      <w:start w:val="1"/>
      <w:numFmt w:val="lowerLetter"/>
      <w:lvlText w:val="%1)"/>
      <w:lvlJc w:val="left"/>
      <w:pPr>
        <w:ind w:left="730" w:hanging="390"/>
      </w:pPr>
      <w:rPr>
        <w:rFonts w:hint="default"/>
        <w:b/>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0" w15:restartNumberingAfterBreak="0">
    <w:nsid w:val="5B5D3597"/>
    <w:multiLevelType w:val="hybridMultilevel"/>
    <w:tmpl w:val="B7E2D720"/>
    <w:lvl w:ilvl="0" w:tplc="45C867B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1" w15:restartNumberingAfterBreak="0">
    <w:nsid w:val="5FB3168F"/>
    <w:multiLevelType w:val="hybridMultilevel"/>
    <w:tmpl w:val="212298BA"/>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1583587"/>
    <w:multiLevelType w:val="hybridMultilevel"/>
    <w:tmpl w:val="9AE26BA2"/>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C87D8A"/>
    <w:multiLevelType w:val="hybridMultilevel"/>
    <w:tmpl w:val="D2C44942"/>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977F7D"/>
    <w:multiLevelType w:val="hybridMultilevel"/>
    <w:tmpl w:val="4B8A4D04"/>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6FBC4292"/>
    <w:multiLevelType w:val="hybridMultilevel"/>
    <w:tmpl w:val="4F0C0730"/>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78602C"/>
    <w:multiLevelType w:val="hybridMultilevel"/>
    <w:tmpl w:val="8E8AE55C"/>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40"/>
  </w:num>
  <w:num w:numId="2">
    <w:abstractNumId w:val="15"/>
  </w:num>
  <w:num w:numId="3">
    <w:abstractNumId w:val="33"/>
  </w:num>
  <w:num w:numId="4">
    <w:abstractNumId w:val="36"/>
  </w:num>
  <w:num w:numId="5">
    <w:abstractNumId w:val="35"/>
  </w:num>
  <w:num w:numId="6">
    <w:abstractNumId w:val="28"/>
  </w:num>
  <w:num w:numId="7">
    <w:abstractNumId w:val="13"/>
  </w:num>
  <w:num w:numId="8">
    <w:abstractNumId w:val="14"/>
  </w:num>
  <w:num w:numId="9">
    <w:abstractNumId w:val="37"/>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2"/>
  </w:num>
  <w:num w:numId="26">
    <w:abstractNumId w:val="30"/>
  </w:num>
  <w:num w:numId="27">
    <w:abstractNumId w:val="22"/>
  </w:num>
  <w:num w:numId="28">
    <w:abstractNumId w:val="16"/>
  </w:num>
  <w:num w:numId="29">
    <w:abstractNumId w:val="26"/>
  </w:num>
  <w:num w:numId="30">
    <w:abstractNumId w:val="23"/>
  </w:num>
  <w:num w:numId="31">
    <w:abstractNumId w:val="12"/>
  </w:num>
  <w:num w:numId="32">
    <w:abstractNumId w:val="41"/>
  </w:num>
  <w:num w:numId="33">
    <w:abstractNumId w:val="29"/>
  </w:num>
  <w:num w:numId="34">
    <w:abstractNumId w:val="39"/>
  </w:num>
  <w:num w:numId="35">
    <w:abstractNumId w:val="34"/>
  </w:num>
  <w:num w:numId="36">
    <w:abstractNumId w:val="24"/>
  </w:num>
  <w:num w:numId="37">
    <w:abstractNumId w:val="10"/>
  </w:num>
  <w:num w:numId="38">
    <w:abstractNumId w:val="38"/>
  </w:num>
  <w:num w:numId="39">
    <w:abstractNumId w:val="20"/>
  </w:num>
  <w:num w:numId="40">
    <w:abstractNumId w:val="21"/>
  </w:num>
  <w:num w:numId="41">
    <w:abstractNumId w:val="11"/>
  </w:num>
  <w:num w:numId="42">
    <w:abstractNumId w:val="31"/>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aueWTROjbXyeuBLGqzpwDAbU1cH99G7DAsBegagMDBK4cjabQWvzFPpmaC4hvl78HBJTW0lpEGn7SgWA5ZQnvQ==" w:salt="3HdJdjYONDY8sh8X9z0WfA=="/>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3.11.2021"/>
    <w:docVar w:name="Drsnr" w:val="19266"/>
    <w:docVar w:name="Eingangsdatum" w:val="22.11.2021"/>
    <w:docVar w:name="Wochendatum" w:val="22. November 2021"/>
    <w:docVar w:name="Wp" w:val="18"/>
  </w:docVars>
  <w:rsids>
    <w:rsidRoot w:val="00013B61"/>
    <w:rsid w:val="00002517"/>
    <w:rsid w:val="00006292"/>
    <w:rsid w:val="00007E6C"/>
    <w:rsid w:val="00013B61"/>
    <w:rsid w:val="00021CDD"/>
    <w:rsid w:val="00026227"/>
    <w:rsid w:val="000371B5"/>
    <w:rsid w:val="00043B70"/>
    <w:rsid w:val="00047142"/>
    <w:rsid w:val="000614E0"/>
    <w:rsid w:val="00061EB3"/>
    <w:rsid w:val="000779F7"/>
    <w:rsid w:val="00083D54"/>
    <w:rsid w:val="00084C87"/>
    <w:rsid w:val="0008617E"/>
    <w:rsid w:val="00095D4C"/>
    <w:rsid w:val="000975BF"/>
    <w:rsid w:val="00097682"/>
    <w:rsid w:val="000A1A99"/>
    <w:rsid w:val="000A5099"/>
    <w:rsid w:val="000A51A5"/>
    <w:rsid w:val="000A634A"/>
    <w:rsid w:val="000B2A68"/>
    <w:rsid w:val="000B764D"/>
    <w:rsid w:val="000B7898"/>
    <w:rsid w:val="000C0237"/>
    <w:rsid w:val="000C480A"/>
    <w:rsid w:val="000C71A5"/>
    <w:rsid w:val="000C72A9"/>
    <w:rsid w:val="000C7D5A"/>
    <w:rsid w:val="000E21D9"/>
    <w:rsid w:val="000E73CC"/>
    <w:rsid w:val="000F109F"/>
    <w:rsid w:val="000F3417"/>
    <w:rsid w:val="000F7714"/>
    <w:rsid w:val="0010746C"/>
    <w:rsid w:val="00113877"/>
    <w:rsid w:val="00114B66"/>
    <w:rsid w:val="00124F4A"/>
    <w:rsid w:val="001264D5"/>
    <w:rsid w:val="001356F0"/>
    <w:rsid w:val="00135D97"/>
    <w:rsid w:val="00136D38"/>
    <w:rsid w:val="001376A1"/>
    <w:rsid w:val="00140235"/>
    <w:rsid w:val="00141C03"/>
    <w:rsid w:val="00142F06"/>
    <w:rsid w:val="00145B1C"/>
    <w:rsid w:val="00154F5F"/>
    <w:rsid w:val="001576CA"/>
    <w:rsid w:val="001579D6"/>
    <w:rsid w:val="00163927"/>
    <w:rsid w:val="00165D18"/>
    <w:rsid w:val="001676F2"/>
    <w:rsid w:val="00171CDA"/>
    <w:rsid w:val="001745CF"/>
    <w:rsid w:val="0018475D"/>
    <w:rsid w:val="00193AB7"/>
    <w:rsid w:val="001B3989"/>
    <w:rsid w:val="001C6140"/>
    <w:rsid w:val="001D073A"/>
    <w:rsid w:val="001D1274"/>
    <w:rsid w:val="001D3DAB"/>
    <w:rsid w:val="001E298D"/>
    <w:rsid w:val="001E3461"/>
    <w:rsid w:val="001E41D1"/>
    <w:rsid w:val="001E607A"/>
    <w:rsid w:val="001F240A"/>
    <w:rsid w:val="001F3CDA"/>
    <w:rsid w:val="001F4645"/>
    <w:rsid w:val="00211F11"/>
    <w:rsid w:val="00212C68"/>
    <w:rsid w:val="00215CAA"/>
    <w:rsid w:val="00221EBB"/>
    <w:rsid w:val="00226443"/>
    <w:rsid w:val="00226E30"/>
    <w:rsid w:val="00227E77"/>
    <w:rsid w:val="002302DA"/>
    <w:rsid w:val="00231278"/>
    <w:rsid w:val="0023365B"/>
    <w:rsid w:val="00235942"/>
    <w:rsid w:val="002375B2"/>
    <w:rsid w:val="00246DE7"/>
    <w:rsid w:val="00260BD1"/>
    <w:rsid w:val="00261217"/>
    <w:rsid w:val="0026647F"/>
    <w:rsid w:val="002741D6"/>
    <w:rsid w:val="00277DD9"/>
    <w:rsid w:val="00280A32"/>
    <w:rsid w:val="00281B48"/>
    <w:rsid w:val="002822CD"/>
    <w:rsid w:val="00283D88"/>
    <w:rsid w:val="0028470E"/>
    <w:rsid w:val="00284AA1"/>
    <w:rsid w:val="00292A3A"/>
    <w:rsid w:val="00293F06"/>
    <w:rsid w:val="002970B9"/>
    <w:rsid w:val="002A77AD"/>
    <w:rsid w:val="002B27E5"/>
    <w:rsid w:val="002C55A0"/>
    <w:rsid w:val="002D2A91"/>
    <w:rsid w:val="002D53C0"/>
    <w:rsid w:val="002D5E77"/>
    <w:rsid w:val="002F214E"/>
    <w:rsid w:val="002F3A48"/>
    <w:rsid w:val="003078E2"/>
    <w:rsid w:val="00310A7B"/>
    <w:rsid w:val="00311533"/>
    <w:rsid w:val="00311670"/>
    <w:rsid w:val="0031185F"/>
    <w:rsid w:val="00315B5B"/>
    <w:rsid w:val="00315DA2"/>
    <w:rsid w:val="003220C1"/>
    <w:rsid w:val="003255CC"/>
    <w:rsid w:val="00330AC4"/>
    <w:rsid w:val="003317ED"/>
    <w:rsid w:val="003343E3"/>
    <w:rsid w:val="003435A5"/>
    <w:rsid w:val="00343CB5"/>
    <w:rsid w:val="00354E4E"/>
    <w:rsid w:val="003571B7"/>
    <w:rsid w:val="0036081C"/>
    <w:rsid w:val="00384237"/>
    <w:rsid w:val="00384BCC"/>
    <w:rsid w:val="003865DE"/>
    <w:rsid w:val="00390643"/>
    <w:rsid w:val="00390B65"/>
    <w:rsid w:val="00395F52"/>
    <w:rsid w:val="00397F3C"/>
    <w:rsid w:val="003A0B46"/>
    <w:rsid w:val="003A6DDF"/>
    <w:rsid w:val="003B09EA"/>
    <w:rsid w:val="003B10EA"/>
    <w:rsid w:val="003B21D3"/>
    <w:rsid w:val="003B2ACF"/>
    <w:rsid w:val="003B4646"/>
    <w:rsid w:val="003B7D59"/>
    <w:rsid w:val="003C3519"/>
    <w:rsid w:val="003C4151"/>
    <w:rsid w:val="003D0C37"/>
    <w:rsid w:val="003E107C"/>
    <w:rsid w:val="003E2DEE"/>
    <w:rsid w:val="003E314C"/>
    <w:rsid w:val="003E36C6"/>
    <w:rsid w:val="003E4991"/>
    <w:rsid w:val="003E5335"/>
    <w:rsid w:val="003E7E4B"/>
    <w:rsid w:val="003F467B"/>
    <w:rsid w:val="004104B6"/>
    <w:rsid w:val="00410A6F"/>
    <w:rsid w:val="004148C6"/>
    <w:rsid w:val="0041704C"/>
    <w:rsid w:val="00431F16"/>
    <w:rsid w:val="004453BF"/>
    <w:rsid w:val="00450A37"/>
    <w:rsid w:val="0045402F"/>
    <w:rsid w:val="00454DC2"/>
    <w:rsid w:val="00463285"/>
    <w:rsid w:val="00465F83"/>
    <w:rsid w:val="00470785"/>
    <w:rsid w:val="00473B93"/>
    <w:rsid w:val="00476B56"/>
    <w:rsid w:val="0049313C"/>
    <w:rsid w:val="004943A4"/>
    <w:rsid w:val="00496299"/>
    <w:rsid w:val="004A0731"/>
    <w:rsid w:val="004A0B31"/>
    <w:rsid w:val="004A31CB"/>
    <w:rsid w:val="004A5D9A"/>
    <w:rsid w:val="004B184E"/>
    <w:rsid w:val="004B5A87"/>
    <w:rsid w:val="004C13C6"/>
    <w:rsid w:val="004C1BA3"/>
    <w:rsid w:val="004C3433"/>
    <w:rsid w:val="004D4829"/>
    <w:rsid w:val="004D7B2E"/>
    <w:rsid w:val="004E1031"/>
    <w:rsid w:val="004E36BE"/>
    <w:rsid w:val="004F22A0"/>
    <w:rsid w:val="004F2494"/>
    <w:rsid w:val="004F59C0"/>
    <w:rsid w:val="004F72E1"/>
    <w:rsid w:val="00502FBE"/>
    <w:rsid w:val="00503F3C"/>
    <w:rsid w:val="005040C2"/>
    <w:rsid w:val="00517E8F"/>
    <w:rsid w:val="005321C0"/>
    <w:rsid w:val="0053309B"/>
    <w:rsid w:val="00534594"/>
    <w:rsid w:val="00541994"/>
    <w:rsid w:val="00544156"/>
    <w:rsid w:val="005517B2"/>
    <w:rsid w:val="00567084"/>
    <w:rsid w:val="0057046C"/>
    <w:rsid w:val="0057191B"/>
    <w:rsid w:val="00572482"/>
    <w:rsid w:val="0057765F"/>
    <w:rsid w:val="005833DD"/>
    <w:rsid w:val="005834A1"/>
    <w:rsid w:val="00583920"/>
    <w:rsid w:val="00583E8C"/>
    <w:rsid w:val="005878CA"/>
    <w:rsid w:val="00593818"/>
    <w:rsid w:val="005A0EEC"/>
    <w:rsid w:val="005A3CDB"/>
    <w:rsid w:val="005A5722"/>
    <w:rsid w:val="005A79EC"/>
    <w:rsid w:val="005B258D"/>
    <w:rsid w:val="005B6943"/>
    <w:rsid w:val="005B6C45"/>
    <w:rsid w:val="005C55DD"/>
    <w:rsid w:val="005C5701"/>
    <w:rsid w:val="005C756F"/>
    <w:rsid w:val="005D0F29"/>
    <w:rsid w:val="005D1170"/>
    <w:rsid w:val="005D19D8"/>
    <w:rsid w:val="005D3C42"/>
    <w:rsid w:val="005F371F"/>
    <w:rsid w:val="006016CA"/>
    <w:rsid w:val="00601929"/>
    <w:rsid w:val="00606488"/>
    <w:rsid w:val="006076A5"/>
    <w:rsid w:val="00607874"/>
    <w:rsid w:val="00610EFD"/>
    <w:rsid w:val="00611FE7"/>
    <w:rsid w:val="0062036D"/>
    <w:rsid w:val="00620B1D"/>
    <w:rsid w:val="00633B88"/>
    <w:rsid w:val="00642CB4"/>
    <w:rsid w:val="00650EDA"/>
    <w:rsid w:val="00651968"/>
    <w:rsid w:val="00652762"/>
    <w:rsid w:val="00653E6D"/>
    <w:rsid w:val="00661F4C"/>
    <w:rsid w:val="00675AED"/>
    <w:rsid w:val="0068306E"/>
    <w:rsid w:val="00696A7F"/>
    <w:rsid w:val="006A33A0"/>
    <w:rsid w:val="006B0212"/>
    <w:rsid w:val="006B1709"/>
    <w:rsid w:val="006B7754"/>
    <w:rsid w:val="006B7857"/>
    <w:rsid w:val="006C4DB6"/>
    <w:rsid w:val="006C5C31"/>
    <w:rsid w:val="006D0FD8"/>
    <w:rsid w:val="006D224F"/>
    <w:rsid w:val="006D2E83"/>
    <w:rsid w:val="006D53AA"/>
    <w:rsid w:val="006E0274"/>
    <w:rsid w:val="006E5B9D"/>
    <w:rsid w:val="006F0AB3"/>
    <w:rsid w:val="006F38F8"/>
    <w:rsid w:val="00700248"/>
    <w:rsid w:val="007061D4"/>
    <w:rsid w:val="00712604"/>
    <w:rsid w:val="00714048"/>
    <w:rsid w:val="00714C18"/>
    <w:rsid w:val="00717184"/>
    <w:rsid w:val="00720B23"/>
    <w:rsid w:val="007469C1"/>
    <w:rsid w:val="0075012C"/>
    <w:rsid w:val="0075769E"/>
    <w:rsid w:val="00760A53"/>
    <w:rsid w:val="00761779"/>
    <w:rsid w:val="00762CD5"/>
    <w:rsid w:val="0076476E"/>
    <w:rsid w:val="007649D6"/>
    <w:rsid w:val="00764C64"/>
    <w:rsid w:val="0077709E"/>
    <w:rsid w:val="00781527"/>
    <w:rsid w:val="00781FB1"/>
    <w:rsid w:val="007868AE"/>
    <w:rsid w:val="0078699B"/>
    <w:rsid w:val="00787923"/>
    <w:rsid w:val="00796499"/>
    <w:rsid w:val="00797183"/>
    <w:rsid w:val="007A0F8F"/>
    <w:rsid w:val="007A362B"/>
    <w:rsid w:val="007B0B33"/>
    <w:rsid w:val="007B709A"/>
    <w:rsid w:val="007E0C74"/>
    <w:rsid w:val="007E7287"/>
    <w:rsid w:val="00805E8A"/>
    <w:rsid w:val="008062A0"/>
    <w:rsid w:val="008067F2"/>
    <w:rsid w:val="00816C6F"/>
    <w:rsid w:val="00817063"/>
    <w:rsid w:val="0082044B"/>
    <w:rsid w:val="00825C50"/>
    <w:rsid w:val="00833D7E"/>
    <w:rsid w:val="00844005"/>
    <w:rsid w:val="00846D02"/>
    <w:rsid w:val="008533C8"/>
    <w:rsid w:val="008540E3"/>
    <w:rsid w:val="008606C1"/>
    <w:rsid w:val="00863A28"/>
    <w:rsid w:val="00863D7F"/>
    <w:rsid w:val="00872692"/>
    <w:rsid w:val="00880170"/>
    <w:rsid w:val="008803A9"/>
    <w:rsid w:val="00881163"/>
    <w:rsid w:val="008930C0"/>
    <w:rsid w:val="00897172"/>
    <w:rsid w:val="008A35F1"/>
    <w:rsid w:val="008A671A"/>
    <w:rsid w:val="008B34C8"/>
    <w:rsid w:val="008C1DFC"/>
    <w:rsid w:val="008C3EAF"/>
    <w:rsid w:val="008C6176"/>
    <w:rsid w:val="008C6E0D"/>
    <w:rsid w:val="008C7655"/>
    <w:rsid w:val="008D1A94"/>
    <w:rsid w:val="008D2075"/>
    <w:rsid w:val="008D2301"/>
    <w:rsid w:val="008D4D2C"/>
    <w:rsid w:val="008E2258"/>
    <w:rsid w:val="008E3C99"/>
    <w:rsid w:val="008E41C5"/>
    <w:rsid w:val="008E7B3B"/>
    <w:rsid w:val="008F5580"/>
    <w:rsid w:val="00907929"/>
    <w:rsid w:val="009110B1"/>
    <w:rsid w:val="0091136E"/>
    <w:rsid w:val="00911F24"/>
    <w:rsid w:val="009149D4"/>
    <w:rsid w:val="00914F59"/>
    <w:rsid w:val="009229F8"/>
    <w:rsid w:val="009234BF"/>
    <w:rsid w:val="00923B9D"/>
    <w:rsid w:val="0092602C"/>
    <w:rsid w:val="009310B8"/>
    <w:rsid w:val="00932D27"/>
    <w:rsid w:val="009520AE"/>
    <w:rsid w:val="0095379B"/>
    <w:rsid w:val="00962732"/>
    <w:rsid w:val="00965CBC"/>
    <w:rsid w:val="00966E35"/>
    <w:rsid w:val="00977682"/>
    <w:rsid w:val="00981B0B"/>
    <w:rsid w:val="00981E9C"/>
    <w:rsid w:val="009837B0"/>
    <w:rsid w:val="009845DB"/>
    <w:rsid w:val="0099114C"/>
    <w:rsid w:val="009924CE"/>
    <w:rsid w:val="00995945"/>
    <w:rsid w:val="00995D8F"/>
    <w:rsid w:val="009A2D8C"/>
    <w:rsid w:val="009A5A06"/>
    <w:rsid w:val="009B3DA8"/>
    <w:rsid w:val="009B6B5E"/>
    <w:rsid w:val="009B7205"/>
    <w:rsid w:val="009C1AC7"/>
    <w:rsid w:val="009C32BE"/>
    <w:rsid w:val="009C4EC2"/>
    <w:rsid w:val="009D5962"/>
    <w:rsid w:val="009E054A"/>
    <w:rsid w:val="009E25A3"/>
    <w:rsid w:val="009E2BB7"/>
    <w:rsid w:val="009E41B6"/>
    <w:rsid w:val="009E5CCA"/>
    <w:rsid w:val="009E6DDB"/>
    <w:rsid w:val="009F6B94"/>
    <w:rsid w:val="00A04B19"/>
    <w:rsid w:val="00A147CE"/>
    <w:rsid w:val="00A17038"/>
    <w:rsid w:val="00A2276D"/>
    <w:rsid w:val="00A25D7C"/>
    <w:rsid w:val="00A265DC"/>
    <w:rsid w:val="00A27016"/>
    <w:rsid w:val="00A3195E"/>
    <w:rsid w:val="00A3336A"/>
    <w:rsid w:val="00A42EAA"/>
    <w:rsid w:val="00A444D6"/>
    <w:rsid w:val="00A44F63"/>
    <w:rsid w:val="00A47020"/>
    <w:rsid w:val="00A5482B"/>
    <w:rsid w:val="00A568D6"/>
    <w:rsid w:val="00A57184"/>
    <w:rsid w:val="00A603C5"/>
    <w:rsid w:val="00A6044A"/>
    <w:rsid w:val="00A625E5"/>
    <w:rsid w:val="00A64D48"/>
    <w:rsid w:val="00A76D72"/>
    <w:rsid w:val="00A84172"/>
    <w:rsid w:val="00A94863"/>
    <w:rsid w:val="00A96B48"/>
    <w:rsid w:val="00AA3478"/>
    <w:rsid w:val="00AA7233"/>
    <w:rsid w:val="00AA7674"/>
    <w:rsid w:val="00AC4FC6"/>
    <w:rsid w:val="00AC5040"/>
    <w:rsid w:val="00AD7E0F"/>
    <w:rsid w:val="00AE1029"/>
    <w:rsid w:val="00AF6CC8"/>
    <w:rsid w:val="00B136E1"/>
    <w:rsid w:val="00B141F3"/>
    <w:rsid w:val="00B246BA"/>
    <w:rsid w:val="00B33065"/>
    <w:rsid w:val="00B3698E"/>
    <w:rsid w:val="00B37C4F"/>
    <w:rsid w:val="00B45132"/>
    <w:rsid w:val="00B54381"/>
    <w:rsid w:val="00B57DE6"/>
    <w:rsid w:val="00B753A4"/>
    <w:rsid w:val="00B8046D"/>
    <w:rsid w:val="00B82BE0"/>
    <w:rsid w:val="00B85638"/>
    <w:rsid w:val="00B902FE"/>
    <w:rsid w:val="00B91015"/>
    <w:rsid w:val="00B9456C"/>
    <w:rsid w:val="00B95276"/>
    <w:rsid w:val="00BA734D"/>
    <w:rsid w:val="00BA7556"/>
    <w:rsid w:val="00BA7AAC"/>
    <w:rsid w:val="00BB117A"/>
    <w:rsid w:val="00BB3E7A"/>
    <w:rsid w:val="00BB6019"/>
    <w:rsid w:val="00BC1C8F"/>
    <w:rsid w:val="00BC269C"/>
    <w:rsid w:val="00BC4D4B"/>
    <w:rsid w:val="00BD7DB0"/>
    <w:rsid w:val="00BE0711"/>
    <w:rsid w:val="00BE0A75"/>
    <w:rsid w:val="00BF3898"/>
    <w:rsid w:val="00C03216"/>
    <w:rsid w:val="00C034C9"/>
    <w:rsid w:val="00C1150E"/>
    <w:rsid w:val="00C11892"/>
    <w:rsid w:val="00C127DA"/>
    <w:rsid w:val="00C16822"/>
    <w:rsid w:val="00C20D25"/>
    <w:rsid w:val="00C238BD"/>
    <w:rsid w:val="00C31000"/>
    <w:rsid w:val="00C451B7"/>
    <w:rsid w:val="00C4558C"/>
    <w:rsid w:val="00C474B7"/>
    <w:rsid w:val="00C54C38"/>
    <w:rsid w:val="00C61BAB"/>
    <w:rsid w:val="00C63738"/>
    <w:rsid w:val="00C63C89"/>
    <w:rsid w:val="00C64946"/>
    <w:rsid w:val="00C67283"/>
    <w:rsid w:val="00C743BB"/>
    <w:rsid w:val="00C77A7A"/>
    <w:rsid w:val="00C83A7D"/>
    <w:rsid w:val="00C841E1"/>
    <w:rsid w:val="00C84F6F"/>
    <w:rsid w:val="00C862E9"/>
    <w:rsid w:val="00C95F05"/>
    <w:rsid w:val="00CA46E4"/>
    <w:rsid w:val="00CB09CD"/>
    <w:rsid w:val="00CB1499"/>
    <w:rsid w:val="00CC0E6B"/>
    <w:rsid w:val="00CC20C5"/>
    <w:rsid w:val="00CC43A0"/>
    <w:rsid w:val="00CC6B36"/>
    <w:rsid w:val="00CC77D8"/>
    <w:rsid w:val="00CC7925"/>
    <w:rsid w:val="00CC7D0D"/>
    <w:rsid w:val="00CD0110"/>
    <w:rsid w:val="00CD2FDC"/>
    <w:rsid w:val="00CD3FD3"/>
    <w:rsid w:val="00CD631D"/>
    <w:rsid w:val="00CD6B4E"/>
    <w:rsid w:val="00CE0660"/>
    <w:rsid w:val="00CE2154"/>
    <w:rsid w:val="00CE5E4F"/>
    <w:rsid w:val="00CF0CCC"/>
    <w:rsid w:val="00CF5AA4"/>
    <w:rsid w:val="00CF7018"/>
    <w:rsid w:val="00CF77F6"/>
    <w:rsid w:val="00D054E0"/>
    <w:rsid w:val="00D0623A"/>
    <w:rsid w:val="00D0635E"/>
    <w:rsid w:val="00D07F06"/>
    <w:rsid w:val="00D13628"/>
    <w:rsid w:val="00D157F1"/>
    <w:rsid w:val="00D17553"/>
    <w:rsid w:val="00D32A7D"/>
    <w:rsid w:val="00D33D48"/>
    <w:rsid w:val="00D3404D"/>
    <w:rsid w:val="00D45EB8"/>
    <w:rsid w:val="00D46E54"/>
    <w:rsid w:val="00D47CB5"/>
    <w:rsid w:val="00D51E7D"/>
    <w:rsid w:val="00D5247F"/>
    <w:rsid w:val="00D5267A"/>
    <w:rsid w:val="00D6160D"/>
    <w:rsid w:val="00D70564"/>
    <w:rsid w:val="00D82366"/>
    <w:rsid w:val="00D83DC5"/>
    <w:rsid w:val="00DA1063"/>
    <w:rsid w:val="00DA2424"/>
    <w:rsid w:val="00DA74F1"/>
    <w:rsid w:val="00DB29C5"/>
    <w:rsid w:val="00DB706C"/>
    <w:rsid w:val="00DC5B46"/>
    <w:rsid w:val="00DC6F57"/>
    <w:rsid w:val="00DD48D5"/>
    <w:rsid w:val="00DD5B75"/>
    <w:rsid w:val="00DD6B38"/>
    <w:rsid w:val="00DE3AA1"/>
    <w:rsid w:val="00DE5B17"/>
    <w:rsid w:val="00DF7A33"/>
    <w:rsid w:val="00E06311"/>
    <w:rsid w:val="00E175A9"/>
    <w:rsid w:val="00E17ADD"/>
    <w:rsid w:val="00E212C2"/>
    <w:rsid w:val="00E2204C"/>
    <w:rsid w:val="00E2431C"/>
    <w:rsid w:val="00E26B8C"/>
    <w:rsid w:val="00E31F6B"/>
    <w:rsid w:val="00E3270E"/>
    <w:rsid w:val="00E353BE"/>
    <w:rsid w:val="00E36DD0"/>
    <w:rsid w:val="00E42C77"/>
    <w:rsid w:val="00E47AE3"/>
    <w:rsid w:val="00E47C70"/>
    <w:rsid w:val="00E63618"/>
    <w:rsid w:val="00E651A5"/>
    <w:rsid w:val="00E6572C"/>
    <w:rsid w:val="00E66382"/>
    <w:rsid w:val="00E72D19"/>
    <w:rsid w:val="00E7333F"/>
    <w:rsid w:val="00E73E5A"/>
    <w:rsid w:val="00E7475C"/>
    <w:rsid w:val="00E77AC9"/>
    <w:rsid w:val="00E8081D"/>
    <w:rsid w:val="00E832CF"/>
    <w:rsid w:val="00E85C4D"/>
    <w:rsid w:val="00E960B7"/>
    <w:rsid w:val="00EB12AF"/>
    <w:rsid w:val="00EB6C16"/>
    <w:rsid w:val="00EB7CF8"/>
    <w:rsid w:val="00EC2C1B"/>
    <w:rsid w:val="00EC75D6"/>
    <w:rsid w:val="00ED1DD3"/>
    <w:rsid w:val="00ED4839"/>
    <w:rsid w:val="00ED7023"/>
    <w:rsid w:val="00EF116E"/>
    <w:rsid w:val="00EF398E"/>
    <w:rsid w:val="00EF67A7"/>
    <w:rsid w:val="00F000BB"/>
    <w:rsid w:val="00F0047B"/>
    <w:rsid w:val="00F00864"/>
    <w:rsid w:val="00F13994"/>
    <w:rsid w:val="00F1681C"/>
    <w:rsid w:val="00F22A30"/>
    <w:rsid w:val="00F23429"/>
    <w:rsid w:val="00F2663D"/>
    <w:rsid w:val="00F44D16"/>
    <w:rsid w:val="00F54E1D"/>
    <w:rsid w:val="00F56219"/>
    <w:rsid w:val="00F5653C"/>
    <w:rsid w:val="00F64934"/>
    <w:rsid w:val="00F6609F"/>
    <w:rsid w:val="00F661BD"/>
    <w:rsid w:val="00F73213"/>
    <w:rsid w:val="00F73B72"/>
    <w:rsid w:val="00F74938"/>
    <w:rsid w:val="00F769C0"/>
    <w:rsid w:val="00F76B51"/>
    <w:rsid w:val="00F80D81"/>
    <w:rsid w:val="00F827A4"/>
    <w:rsid w:val="00F9374C"/>
    <w:rsid w:val="00FA64C1"/>
    <w:rsid w:val="00FB13DD"/>
    <w:rsid w:val="00FB269D"/>
    <w:rsid w:val="00FB64A8"/>
    <w:rsid w:val="00FE0BE9"/>
    <w:rsid w:val="00FE1A91"/>
    <w:rsid w:val="00FF11D4"/>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BD7DA79-2966-4BE4-83C5-54E47BCE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5D19D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D19D8"/>
    <w:pPr>
      <w:widowControl w:val="0"/>
      <w:autoSpaceDE w:val="0"/>
      <w:autoSpaceDN w:val="0"/>
      <w:spacing w:line="270" w:lineRule="exact"/>
      <w:ind w:left="11"/>
    </w:pPr>
    <w:rPr>
      <w:rFonts w:ascii="Times New Roman" w:hAnsi="Times New Roman"/>
      <w:sz w:val="22"/>
      <w:szCs w:val="22"/>
      <w:lang w:bidi="de-DE"/>
    </w:rPr>
  </w:style>
  <w:style w:type="character" w:styleId="Funotenzeichen">
    <w:name w:val="footnote reference"/>
    <w:basedOn w:val="Absatz-Standardschriftart"/>
    <w:uiPriority w:val="99"/>
    <w:semiHidden/>
    <w:unhideWhenUsed/>
    <w:rsid w:val="009E5CC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4283">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612591236">
      <w:bodyDiv w:val="1"/>
      <w:marLeft w:val="0"/>
      <w:marRight w:val="0"/>
      <w:marTop w:val="0"/>
      <w:marBottom w:val="0"/>
      <w:divBdr>
        <w:top w:val="none" w:sz="0" w:space="0" w:color="auto"/>
        <w:left w:val="none" w:sz="0" w:space="0" w:color="auto"/>
        <w:bottom w:val="none" w:sz="0" w:space="0" w:color="auto"/>
        <w:right w:val="none" w:sz="0" w:space="0" w:color="auto"/>
      </w:divBdr>
    </w:div>
    <w:div w:id="19792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1500/0000011933_M&#252;ller_Anlage%201.pdf" TargetMode="External"/><Relationship Id="rId18" Type="http://schemas.openxmlformats.org/officeDocument/2006/relationships/hyperlink" Target="https://www.bayern.landtag.de/www/ElanTextAblage_WP18/Drucksachen/Basisdrucksachen/0000011500/0000011933_Celina_Anlage.pdf" TargetMode="External"/><Relationship Id="rId26" Type="http://schemas.openxmlformats.org/officeDocument/2006/relationships/hyperlink" Target="https://www.rki.de/DE/Content/InfAZ/N/Neuartiges_Coronavirus/Therapie/Arzneimittel_Tab.html" TargetMode="External"/><Relationship Id="rId3" Type="http://schemas.openxmlformats.org/officeDocument/2006/relationships/styles" Target="styles.xml"/><Relationship Id="rId21" Type="http://schemas.openxmlformats.org/officeDocument/2006/relationships/hyperlink" Target="https://www.bmel.de/DE/themen/tiere/tiergesundheit/tierische-nebenprodukte/tierische-nebenprodukte_nod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ustiz.bayern.de/ministerium/gesetzgebung/" TargetMode="External"/><Relationship Id="rId25" Type="http://schemas.openxmlformats.org/officeDocument/2006/relationships/hyperlink" Target="https://www.intensivregister.de/%23/aktuelle-lage/zeitreih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fred-sauter.de" TargetMode="External"/><Relationship Id="rId20" Type="http://schemas.openxmlformats.org/officeDocument/2006/relationships/hyperlink" Target="https://www.bayern.landtag.de/www/ElanTextAblage_WP18/Drucksachen/Basisdrucksachen/0000011500/0000011933_Zwanziger_Anlage.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gl.bayern.de/gesundheit/infektionsschutz/infektionskrankheiten_a_z/coronavirus/karte_coronavirus/index.htm%23inzidenzgeimpf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1500/0000011933_M&#252;ller_Anlage%203.pdf" TargetMode="External"/><Relationship Id="rId23" Type="http://schemas.openxmlformats.org/officeDocument/2006/relationships/hyperlink" Target="https://www.rki.de/DE/Content/InfAZ/N/Neuartiges_Coronavirus/Daten/Impfquoten-Tab.html" TargetMode="External"/><Relationship Id="rId28" Type="http://schemas.openxmlformats.org/officeDocument/2006/relationships/hyperlink" Target="https://www.awmf.org/uploads/tx_szleitlinien/113-001LGl_S3_Empfehlungen-zur-stationaeren-Therapie-von-Patienten-mit-COVID-19_2021-10_1.pdf" TargetMode="External"/><Relationship Id="rId10" Type="http://schemas.openxmlformats.org/officeDocument/2006/relationships/footer" Target="footer1.xml"/><Relationship Id="rId19" Type="http://schemas.openxmlformats.org/officeDocument/2006/relationships/hyperlink" Target="https://www.stmwi.bayern.de/windenergie-im-wal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1500/0000011933_M&#252;ller_Anlage%202.pdf" TargetMode="External"/><Relationship Id="rId22" Type="http://schemas.openxmlformats.org/officeDocument/2006/relationships/hyperlink" Target="https://www.stmas.bayern.de/kinderbetreuung/pcr-pool-tests/index.php" TargetMode="External"/><Relationship Id="rId27" Type="http://schemas.openxmlformats.org/officeDocument/2006/relationships/hyperlink" Target="https://www.intensivregister.de/%23/intensivregister"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sueddeutsche.de/bayern/sauter-schnelltest-csu-coronavirus-soeder-1.525427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042E-9689-425F-A364-A2383F7A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26954</Words>
  <Characters>187854</Characters>
  <Application>Microsoft Office Word</Application>
  <DocSecurity>8</DocSecurity>
  <Lines>4234</Lines>
  <Paragraphs>1231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18/19266</dc:title>
  <dc:creator>Geier, Stephanie</dc:creator>
  <cp:lastModifiedBy>Geier, Stephanie (Bay. Landtag)</cp:lastModifiedBy>
  <cp:revision>4</cp:revision>
  <cp:lastPrinted>2021-11-29T16:07:00Z</cp:lastPrinted>
  <dcterms:created xsi:type="dcterms:W3CDTF">2021-12-05T21:14:00Z</dcterms:created>
  <dcterms:modified xsi:type="dcterms:W3CDTF">2021-12-05T21:14:00Z</dcterms:modified>
</cp:coreProperties>
</file>