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B74ACE">
        <w:rPr>
          <w:b/>
        </w:rPr>
        <w:t>zur Plenarsitzung am 19.10.2021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6E5140" w:rsidP="006E5140">
            <w:pPr>
              <w:pStyle w:val="LTVerzDerFragenden"/>
            </w:pPr>
            <w:bookmarkStart w:id="1" w:name="VerzeichnisDerFragenden"/>
            <w:bookmarkEnd w:id="1"/>
            <w:r>
              <w:t>Adjei, Benjamin (BÜNDNIS 90/DIE GRÜNEN)</w:t>
            </w:r>
          </w:p>
        </w:tc>
      </w:tr>
      <w:tr w:rsidR="006E5140" w:rsidRPr="005833DD" w:rsidTr="001F3CDA">
        <w:tc>
          <w:tcPr>
            <w:tcW w:w="5000" w:type="pct"/>
          </w:tcPr>
          <w:p w:rsidR="006E5140" w:rsidRDefault="00B366F8" w:rsidP="006E5140">
            <w:pPr>
              <w:pStyle w:val="LTVerzDerFragendenFrage"/>
            </w:pPr>
            <w:hyperlink w:anchor="Frage_Nr_55" w:tooltip="Frage Nr 55" w:history="1">
              <w:r w:rsidR="006E5140">
                <w:rPr>
                  <w:rStyle w:val="Hyperlink"/>
                  <w:szCs w:val="24"/>
                </w:rPr>
                <w:t>Agrardatenraum</w:t>
              </w:r>
              <w:r w:rsidR="006E5140">
                <w:rPr>
                  <w:rStyle w:val="Hyperlink"/>
                  <w:szCs w:val="24"/>
                </w:rPr>
                <w:tab/>
                <w:t>55</w:t>
              </w:r>
            </w:hyperlink>
          </w:p>
        </w:tc>
      </w:tr>
      <w:tr w:rsidR="006E5140" w:rsidRPr="005833DD" w:rsidTr="001F3CDA">
        <w:tc>
          <w:tcPr>
            <w:tcW w:w="5000" w:type="pct"/>
          </w:tcPr>
          <w:p w:rsidR="006E5140" w:rsidRDefault="006E5140" w:rsidP="006E5140">
            <w:pPr>
              <w:pStyle w:val="LTVerzDerFragenden"/>
            </w:pPr>
            <w:r>
              <w:t>Arnold, Horst (SPD)</w:t>
            </w:r>
          </w:p>
        </w:tc>
      </w:tr>
      <w:tr w:rsidR="006E5140" w:rsidRPr="005833DD" w:rsidTr="001F3CDA">
        <w:tc>
          <w:tcPr>
            <w:tcW w:w="5000" w:type="pct"/>
          </w:tcPr>
          <w:p w:rsidR="006E5140" w:rsidRDefault="00B366F8" w:rsidP="006E5140">
            <w:pPr>
              <w:pStyle w:val="LTVerzDerFragendenFrage"/>
            </w:pPr>
            <w:hyperlink w:anchor="Frage_Nr_29" w:tooltip="Frage Nr 29" w:history="1">
              <w:r w:rsidR="006E5140">
                <w:rPr>
                  <w:rStyle w:val="Hyperlink"/>
                  <w:szCs w:val="24"/>
                </w:rPr>
                <w:t>Ermittlungsverfahren NSU-Komplex</w:t>
              </w:r>
              <w:r w:rsidR="006E5140">
                <w:rPr>
                  <w:rStyle w:val="Hyperlink"/>
                  <w:szCs w:val="24"/>
                </w:rPr>
                <w:tab/>
                <w:t>29</w:t>
              </w:r>
            </w:hyperlink>
          </w:p>
        </w:tc>
      </w:tr>
      <w:tr w:rsidR="006E5140" w:rsidRPr="005833DD" w:rsidTr="001F3CDA">
        <w:tc>
          <w:tcPr>
            <w:tcW w:w="5000" w:type="pct"/>
          </w:tcPr>
          <w:p w:rsidR="006E5140" w:rsidRDefault="006E5140" w:rsidP="006E5140">
            <w:pPr>
              <w:pStyle w:val="LTVerzDerFragenden"/>
            </w:pPr>
            <w:r>
              <w:t>Aures, Inge (SPD)</w:t>
            </w:r>
          </w:p>
        </w:tc>
      </w:tr>
      <w:tr w:rsidR="006E5140" w:rsidRPr="005833DD" w:rsidTr="001F3CDA">
        <w:tc>
          <w:tcPr>
            <w:tcW w:w="5000" w:type="pct"/>
          </w:tcPr>
          <w:p w:rsidR="006E5140" w:rsidRDefault="00B366F8" w:rsidP="006E5140">
            <w:pPr>
              <w:pStyle w:val="LTVerzDerFragendenFrage"/>
            </w:pPr>
            <w:hyperlink w:anchor="Frage_Nr_14" w:tooltip="Frage Nr 14" w:history="1">
              <w:r w:rsidR="006E5140">
                <w:rPr>
                  <w:rStyle w:val="Hyperlink"/>
                  <w:szCs w:val="24"/>
                </w:rPr>
                <w:t xml:space="preserve">Erprobung von Oberleitungs-Akku-Hybrid-Zügen auf der Bahnstrecke </w:t>
              </w:r>
              <w:r w:rsidR="00693CB1">
                <w:rPr>
                  <w:rStyle w:val="Hyperlink"/>
                  <w:szCs w:val="24"/>
                </w:rPr>
                <w:br/>
              </w:r>
              <w:r w:rsidR="00633488">
                <w:rPr>
                  <w:rStyle w:val="Hyperlink"/>
                  <w:szCs w:val="24"/>
                </w:rPr>
                <w:t>Ebern –</w:t>
              </w:r>
              <w:r w:rsidR="006E5140">
                <w:rPr>
                  <w:rStyle w:val="Hyperlink"/>
                  <w:szCs w:val="24"/>
                </w:rPr>
                <w:t xml:space="preserve"> Bamberg</w:t>
              </w:r>
              <w:r w:rsidR="006E5140">
                <w:rPr>
                  <w:rStyle w:val="Hyperlink"/>
                  <w:szCs w:val="24"/>
                </w:rPr>
                <w:tab/>
                <w:t>14</w:t>
              </w:r>
            </w:hyperlink>
          </w:p>
        </w:tc>
      </w:tr>
      <w:tr w:rsidR="006E5140" w:rsidRPr="005833DD" w:rsidTr="001F3CDA">
        <w:tc>
          <w:tcPr>
            <w:tcW w:w="5000" w:type="pct"/>
          </w:tcPr>
          <w:p w:rsidR="006E5140" w:rsidRDefault="006E5140" w:rsidP="006E5140">
            <w:pPr>
              <w:pStyle w:val="LTVerzDerFragenden"/>
            </w:pPr>
            <w:r>
              <w:t>Bayerbach, Markus (AfD)</w:t>
            </w:r>
          </w:p>
        </w:tc>
      </w:tr>
      <w:tr w:rsidR="006E5140" w:rsidRPr="005833DD" w:rsidTr="001F3CDA">
        <w:tc>
          <w:tcPr>
            <w:tcW w:w="5000" w:type="pct"/>
          </w:tcPr>
          <w:p w:rsidR="006E5140" w:rsidRDefault="00B366F8" w:rsidP="006E5140">
            <w:pPr>
              <w:pStyle w:val="LTVerzDerFragendenFrage"/>
            </w:pPr>
            <w:hyperlink w:anchor="Frage_Nr_64" w:tooltip="Frage Nr 64" w:history="1">
              <w:r w:rsidR="006E5140">
                <w:rPr>
                  <w:rStyle w:val="Hyperlink"/>
                  <w:szCs w:val="24"/>
                </w:rPr>
                <w:t>Kosten für die PCR-Lolli-Tests</w:t>
              </w:r>
              <w:r w:rsidR="006E5140">
                <w:rPr>
                  <w:rStyle w:val="Hyperlink"/>
                  <w:szCs w:val="24"/>
                </w:rPr>
                <w:tab/>
                <w:t>64</w:t>
              </w:r>
            </w:hyperlink>
          </w:p>
        </w:tc>
      </w:tr>
      <w:tr w:rsidR="006E5140" w:rsidRPr="005833DD" w:rsidTr="001F3CDA">
        <w:tc>
          <w:tcPr>
            <w:tcW w:w="5000" w:type="pct"/>
          </w:tcPr>
          <w:p w:rsidR="006E5140" w:rsidRDefault="006E5140" w:rsidP="006E5140">
            <w:pPr>
              <w:pStyle w:val="LTVerzDerFragenden"/>
            </w:pPr>
            <w:r>
              <w:t>Becher, Johannes (BÜNDNIS 90/DIE GRÜNEN)</w:t>
            </w:r>
          </w:p>
        </w:tc>
      </w:tr>
      <w:tr w:rsidR="006E5140" w:rsidRPr="005833DD" w:rsidTr="001F3CDA">
        <w:tc>
          <w:tcPr>
            <w:tcW w:w="5000" w:type="pct"/>
          </w:tcPr>
          <w:p w:rsidR="006E5140" w:rsidRDefault="00B366F8" w:rsidP="006E5140">
            <w:pPr>
              <w:pStyle w:val="LTVerzDerFragendenFrage"/>
            </w:pPr>
            <w:hyperlink w:anchor="Frage_Nr_15" w:tooltip="Frage Nr 15" w:history="1">
              <w:r w:rsidR="006E5140">
                <w:rPr>
                  <w:rStyle w:val="Hyperlink"/>
                  <w:szCs w:val="24"/>
                </w:rPr>
                <w:t>Statische Prüfung von Balkonen</w:t>
              </w:r>
              <w:r w:rsidR="006E5140">
                <w:rPr>
                  <w:rStyle w:val="Hyperlink"/>
                  <w:szCs w:val="24"/>
                </w:rPr>
                <w:tab/>
                <w:t>15</w:t>
              </w:r>
            </w:hyperlink>
          </w:p>
        </w:tc>
      </w:tr>
      <w:tr w:rsidR="006E5140" w:rsidRPr="005833DD" w:rsidTr="001F3CDA">
        <w:tc>
          <w:tcPr>
            <w:tcW w:w="5000" w:type="pct"/>
          </w:tcPr>
          <w:p w:rsidR="006E5140" w:rsidRDefault="006E5140" w:rsidP="006E5140">
            <w:pPr>
              <w:pStyle w:val="LTVerzDerFragenden"/>
            </w:pPr>
            <w:r>
              <w:t>Bergmüller, Franz (AfD)</w:t>
            </w:r>
          </w:p>
        </w:tc>
      </w:tr>
      <w:tr w:rsidR="006E5140" w:rsidRPr="005833DD" w:rsidTr="001F3CDA">
        <w:tc>
          <w:tcPr>
            <w:tcW w:w="5000" w:type="pct"/>
          </w:tcPr>
          <w:p w:rsidR="006E5140" w:rsidRDefault="00B366F8" w:rsidP="004271B4">
            <w:pPr>
              <w:pStyle w:val="LTVerzDerFragendenFrage"/>
            </w:pPr>
            <w:hyperlink w:anchor="Frage_Nr_65" w:tooltip="Frage Nr 65" w:history="1">
              <w:r w:rsidR="006E5140">
                <w:rPr>
                  <w:rStyle w:val="Hyperlink"/>
                  <w:szCs w:val="24"/>
                </w:rPr>
                <w:t xml:space="preserve">Staatlich veranlasste Injektionen von Substanzen mit unbekannter </w:t>
              </w:r>
              <w:r w:rsidR="00693CB1">
                <w:rPr>
                  <w:rStyle w:val="Hyperlink"/>
                  <w:szCs w:val="24"/>
                </w:rPr>
                <w:t xml:space="preserve">mittel- </w:t>
              </w:r>
              <w:r w:rsidR="00633488">
                <w:rPr>
                  <w:rStyle w:val="Hyperlink"/>
                  <w:szCs w:val="24"/>
                </w:rPr>
                <w:br/>
              </w:r>
              <w:r w:rsidR="00693CB1">
                <w:rPr>
                  <w:rStyle w:val="Hyperlink"/>
                  <w:szCs w:val="24"/>
                </w:rPr>
                <w:t xml:space="preserve">und </w:t>
              </w:r>
              <w:r w:rsidR="004271B4">
                <w:rPr>
                  <w:rStyle w:val="Hyperlink"/>
                  <w:szCs w:val="24"/>
                </w:rPr>
                <w:t>langfristiger Wirkung bei</w:t>
              </w:r>
              <w:r w:rsidR="006E5140">
                <w:rPr>
                  <w:rStyle w:val="Hyperlink"/>
                  <w:szCs w:val="24"/>
                </w:rPr>
                <w:t xml:space="preserve"> Kinder</w:t>
              </w:r>
              <w:r w:rsidR="004271B4">
                <w:rPr>
                  <w:rStyle w:val="Hyperlink"/>
                  <w:szCs w:val="24"/>
                </w:rPr>
                <w:t>n</w:t>
              </w:r>
              <w:r w:rsidR="006E5140">
                <w:rPr>
                  <w:rStyle w:val="Hyperlink"/>
                  <w:szCs w:val="24"/>
                </w:rPr>
                <w:t xml:space="preserve"> und Jugendliche</w:t>
              </w:r>
              <w:r w:rsidR="004271B4">
                <w:rPr>
                  <w:rStyle w:val="Hyperlink"/>
                  <w:szCs w:val="24"/>
                </w:rPr>
                <w:t>n</w:t>
              </w:r>
              <w:r w:rsidR="006E5140">
                <w:rPr>
                  <w:rStyle w:val="Hyperlink"/>
                  <w:szCs w:val="24"/>
                </w:rPr>
                <w:t xml:space="preserve"> unter 18 Jahren</w:t>
              </w:r>
              <w:r w:rsidR="006E5140">
                <w:rPr>
                  <w:rStyle w:val="Hyperlink"/>
                  <w:szCs w:val="24"/>
                </w:rPr>
                <w:tab/>
                <w:t>65</w:t>
              </w:r>
            </w:hyperlink>
          </w:p>
        </w:tc>
      </w:tr>
      <w:tr w:rsidR="006E5140" w:rsidRPr="005833DD" w:rsidTr="001F3CDA">
        <w:tc>
          <w:tcPr>
            <w:tcW w:w="5000" w:type="pct"/>
          </w:tcPr>
          <w:p w:rsidR="006E5140" w:rsidRDefault="00693CB1" w:rsidP="006E5140">
            <w:pPr>
              <w:pStyle w:val="LTVerzDerFragenden"/>
            </w:pPr>
            <w:r>
              <w:t>Bozo</w:t>
            </w:r>
            <w:r>
              <w:rPr>
                <w:rFonts w:cs="Arial"/>
              </w:rPr>
              <w:t>ğ</w:t>
            </w:r>
            <w:r w:rsidR="006E5140">
              <w:t>lu, Cemal (BÜNDNIS 90/DIE GRÜNEN)</w:t>
            </w:r>
          </w:p>
        </w:tc>
      </w:tr>
      <w:tr w:rsidR="006E5140" w:rsidRPr="005833DD" w:rsidTr="001F3CDA">
        <w:tc>
          <w:tcPr>
            <w:tcW w:w="5000" w:type="pct"/>
          </w:tcPr>
          <w:p w:rsidR="006E5140" w:rsidRDefault="00B366F8" w:rsidP="006E5140">
            <w:pPr>
              <w:pStyle w:val="LTVerzDerFragendenFrage"/>
            </w:pPr>
            <w:hyperlink w:anchor="Frage_Nr_16" w:tooltip="Frage Nr 16" w:history="1">
              <w:r w:rsidR="006E5140">
                <w:rPr>
                  <w:rStyle w:val="Hyperlink"/>
                  <w:szCs w:val="24"/>
                </w:rPr>
                <w:t>Ansiedlung des ICE-Werks</w:t>
              </w:r>
              <w:r w:rsidR="006E5140">
                <w:rPr>
                  <w:rStyle w:val="Hyperlink"/>
                  <w:szCs w:val="24"/>
                </w:rPr>
                <w:tab/>
                <w:t>16</w:t>
              </w:r>
            </w:hyperlink>
          </w:p>
        </w:tc>
      </w:tr>
      <w:tr w:rsidR="006E5140" w:rsidRPr="005833DD" w:rsidTr="001F3CDA">
        <w:tc>
          <w:tcPr>
            <w:tcW w:w="5000" w:type="pct"/>
          </w:tcPr>
          <w:p w:rsidR="006E5140" w:rsidRDefault="007A5A47" w:rsidP="007A5A47">
            <w:pPr>
              <w:pStyle w:val="LTVerzDerFragenden"/>
            </w:pPr>
            <w:r>
              <w:t xml:space="preserve">von </w:t>
            </w:r>
            <w:r w:rsidR="006E5140">
              <w:t>Brunn, Florian (SPD)</w:t>
            </w:r>
          </w:p>
        </w:tc>
      </w:tr>
      <w:tr w:rsidR="006E5140" w:rsidRPr="005833DD" w:rsidTr="001F3CDA">
        <w:tc>
          <w:tcPr>
            <w:tcW w:w="5000" w:type="pct"/>
          </w:tcPr>
          <w:p w:rsidR="006E5140" w:rsidRDefault="00B366F8" w:rsidP="006E5140">
            <w:pPr>
              <w:pStyle w:val="LTVerzDerFragendenFrage"/>
            </w:pPr>
            <w:hyperlink w:anchor="Frage_Nr_1" w:tooltip="Frage Nr 1" w:history="1">
              <w:r w:rsidR="006E5140">
                <w:rPr>
                  <w:rStyle w:val="Hyperlink"/>
                  <w:szCs w:val="24"/>
                </w:rPr>
                <w:t>Großelterntag</w:t>
              </w:r>
              <w:r w:rsidR="006E5140">
                <w:rPr>
                  <w:rStyle w:val="Hyperlink"/>
                  <w:szCs w:val="24"/>
                </w:rPr>
                <w:tab/>
                <w:t>1</w:t>
              </w:r>
            </w:hyperlink>
          </w:p>
        </w:tc>
      </w:tr>
      <w:tr w:rsidR="006E5140" w:rsidRPr="005833DD" w:rsidTr="001F3CDA">
        <w:tc>
          <w:tcPr>
            <w:tcW w:w="5000" w:type="pct"/>
          </w:tcPr>
          <w:p w:rsidR="006E5140" w:rsidRDefault="006E5140" w:rsidP="006E5140">
            <w:pPr>
              <w:pStyle w:val="LTVerzDerFragenden"/>
            </w:pPr>
            <w:r>
              <w:t>Busch, Michael (SPD)</w:t>
            </w:r>
          </w:p>
        </w:tc>
      </w:tr>
      <w:tr w:rsidR="006E5140" w:rsidRPr="005833DD" w:rsidTr="001F3CDA">
        <w:tc>
          <w:tcPr>
            <w:tcW w:w="5000" w:type="pct"/>
          </w:tcPr>
          <w:p w:rsidR="006E5140" w:rsidRDefault="00B366F8" w:rsidP="006E5140">
            <w:pPr>
              <w:pStyle w:val="LTVerzDerFragendenFrage"/>
            </w:pPr>
            <w:hyperlink w:anchor="Frage_Nr_2" w:tooltip="Frage Nr 2" w:history="1">
              <w:r w:rsidR="006E5140">
                <w:rPr>
                  <w:rStyle w:val="Hyperlink"/>
                  <w:szCs w:val="24"/>
                </w:rPr>
                <w:t>Öffentlichkeitsarbeit der Staatsregierung III</w:t>
              </w:r>
              <w:r w:rsidR="006E5140">
                <w:rPr>
                  <w:rStyle w:val="Hyperlink"/>
                  <w:szCs w:val="24"/>
                </w:rPr>
                <w:tab/>
                <w:t>2</w:t>
              </w:r>
            </w:hyperlink>
          </w:p>
        </w:tc>
      </w:tr>
      <w:tr w:rsidR="006E5140" w:rsidRPr="005833DD" w:rsidTr="001F3CDA">
        <w:tc>
          <w:tcPr>
            <w:tcW w:w="5000" w:type="pct"/>
          </w:tcPr>
          <w:p w:rsidR="006E5140" w:rsidRDefault="006E5140" w:rsidP="006E5140">
            <w:pPr>
              <w:pStyle w:val="LTVerzDerFragenden"/>
            </w:pPr>
            <w:r>
              <w:t>Celina, Kerstin (BÜNDNIS 90/DIE GRÜNEN)</w:t>
            </w:r>
          </w:p>
        </w:tc>
      </w:tr>
      <w:tr w:rsidR="006E5140" w:rsidRPr="005833DD" w:rsidTr="001F3CDA">
        <w:tc>
          <w:tcPr>
            <w:tcW w:w="5000" w:type="pct"/>
          </w:tcPr>
          <w:p w:rsidR="006E5140" w:rsidRDefault="00B366F8" w:rsidP="006E5140">
            <w:pPr>
              <w:pStyle w:val="LTVerzDerFragendenFrage"/>
            </w:pPr>
            <w:hyperlink w:anchor="Frage_Nr_44" w:tooltip="Frage Nr 44" w:history="1">
              <w:r w:rsidR="006E5140">
                <w:rPr>
                  <w:rStyle w:val="Hyperlink"/>
                  <w:szCs w:val="24"/>
                </w:rPr>
                <w:t>Barrierefreiheit des Steuerverwaltungsprogramms ELSTER</w:t>
              </w:r>
              <w:r w:rsidR="006E5140">
                <w:rPr>
                  <w:rStyle w:val="Hyperlink"/>
                  <w:szCs w:val="24"/>
                </w:rPr>
                <w:tab/>
                <w:t>44</w:t>
              </w:r>
            </w:hyperlink>
          </w:p>
        </w:tc>
      </w:tr>
      <w:tr w:rsidR="006E5140" w:rsidRPr="005833DD" w:rsidTr="001F3CDA">
        <w:tc>
          <w:tcPr>
            <w:tcW w:w="5000" w:type="pct"/>
          </w:tcPr>
          <w:p w:rsidR="006E5140" w:rsidRDefault="006E5140" w:rsidP="006E5140">
            <w:pPr>
              <w:pStyle w:val="LTVerzDerFragenden"/>
            </w:pPr>
            <w:r>
              <w:t>Dr. Cyron, Anne (AfD)</w:t>
            </w:r>
          </w:p>
        </w:tc>
      </w:tr>
      <w:tr w:rsidR="006E5140" w:rsidRPr="005833DD" w:rsidTr="001F3CDA">
        <w:tc>
          <w:tcPr>
            <w:tcW w:w="5000" w:type="pct"/>
          </w:tcPr>
          <w:p w:rsidR="006E5140" w:rsidRDefault="00B366F8" w:rsidP="006E5140">
            <w:pPr>
              <w:pStyle w:val="LTVerzDerFragendenFrage"/>
            </w:pPr>
            <w:hyperlink w:anchor="Frage_Nr_66" w:tooltip="Frage Nr 66" w:history="1">
              <w:r w:rsidR="006E5140">
                <w:rPr>
                  <w:rStyle w:val="Hyperlink"/>
                  <w:szCs w:val="24"/>
                </w:rPr>
                <w:t>Konformitätsbewertungsverfahren zu den PCR-Lolli-Tests</w:t>
              </w:r>
              <w:r w:rsidR="006E5140">
                <w:rPr>
                  <w:rStyle w:val="Hyperlink"/>
                  <w:szCs w:val="24"/>
                </w:rPr>
                <w:tab/>
                <w:t>66</w:t>
              </w:r>
            </w:hyperlink>
          </w:p>
        </w:tc>
      </w:tr>
      <w:tr w:rsidR="006E5140" w:rsidRPr="005833DD" w:rsidTr="001F3CDA">
        <w:tc>
          <w:tcPr>
            <w:tcW w:w="5000" w:type="pct"/>
          </w:tcPr>
          <w:p w:rsidR="006E5140" w:rsidRDefault="006E5140" w:rsidP="006E5140">
            <w:pPr>
              <w:pStyle w:val="LTVerzDerFragenden"/>
            </w:pPr>
            <w:r>
              <w:t>Deisenhofer, Maximilian (BÜNDNIS 90/DIE GRÜNEN)</w:t>
            </w:r>
          </w:p>
        </w:tc>
      </w:tr>
      <w:tr w:rsidR="006E5140" w:rsidRPr="005833DD" w:rsidTr="001F3CDA">
        <w:tc>
          <w:tcPr>
            <w:tcW w:w="5000" w:type="pct"/>
          </w:tcPr>
          <w:p w:rsidR="006E5140" w:rsidRDefault="00B366F8" w:rsidP="006E5140">
            <w:pPr>
              <w:pStyle w:val="LTVerzDerFragendenFrage"/>
            </w:pPr>
            <w:hyperlink w:anchor="Frage_Nr_31" w:tooltip="Frage Nr 31" w:history="1">
              <w:r w:rsidR="006E5140">
                <w:rPr>
                  <w:rStyle w:val="Hyperlink"/>
                  <w:szCs w:val="24"/>
                </w:rPr>
                <w:t xml:space="preserve">Internetversorgung an bayerischen Schulen </w:t>
              </w:r>
              <w:r w:rsidR="007A5A47">
                <w:rPr>
                  <w:rStyle w:val="Hyperlink"/>
                  <w:szCs w:val="24"/>
                </w:rPr>
                <w:t xml:space="preserve">im </w:t>
              </w:r>
              <w:r w:rsidR="006E5140">
                <w:rPr>
                  <w:rStyle w:val="Hyperlink"/>
                  <w:szCs w:val="24"/>
                </w:rPr>
                <w:t>Oktober 2021</w:t>
              </w:r>
              <w:r w:rsidR="006E5140">
                <w:rPr>
                  <w:rStyle w:val="Hyperlink"/>
                  <w:szCs w:val="24"/>
                </w:rPr>
                <w:tab/>
                <w:t>31</w:t>
              </w:r>
            </w:hyperlink>
          </w:p>
        </w:tc>
      </w:tr>
      <w:tr w:rsidR="006E5140" w:rsidRPr="005833DD" w:rsidTr="001F3CDA">
        <w:tc>
          <w:tcPr>
            <w:tcW w:w="5000" w:type="pct"/>
          </w:tcPr>
          <w:p w:rsidR="006E5140" w:rsidRDefault="006E5140" w:rsidP="006E5140">
            <w:pPr>
              <w:pStyle w:val="LTVerzDerFragenden"/>
            </w:pPr>
            <w:r>
              <w:t>Demirel, Gülseren (BÜNDNIS 90/DIE GRÜNEN)</w:t>
            </w:r>
          </w:p>
        </w:tc>
      </w:tr>
      <w:tr w:rsidR="006E5140" w:rsidRPr="005833DD" w:rsidTr="001F3CDA">
        <w:tc>
          <w:tcPr>
            <w:tcW w:w="5000" w:type="pct"/>
          </w:tcPr>
          <w:p w:rsidR="006E5140" w:rsidRDefault="00B366F8" w:rsidP="006E5140">
            <w:pPr>
              <w:pStyle w:val="LTVerzDerFragendenFrage"/>
            </w:pPr>
            <w:hyperlink w:anchor="Frage_Nr_10" w:tooltip="Frage Nr 10" w:history="1">
              <w:r w:rsidR="006E5140">
                <w:rPr>
                  <w:rStyle w:val="Hyperlink"/>
                  <w:szCs w:val="24"/>
                </w:rPr>
                <w:t xml:space="preserve">Diskriminierungsfälle im Kontext Rassismus, Antisemitismus und </w:t>
              </w:r>
              <w:r w:rsidR="00693CB1">
                <w:rPr>
                  <w:rStyle w:val="Hyperlink"/>
                  <w:szCs w:val="24"/>
                </w:rPr>
                <w:br/>
              </w:r>
              <w:r w:rsidR="006E5140">
                <w:rPr>
                  <w:rStyle w:val="Hyperlink"/>
                  <w:szCs w:val="24"/>
                </w:rPr>
                <w:t>Gruppenbezogene Menschenfeindlichkeit in Bayern</w:t>
              </w:r>
              <w:r w:rsidR="006E5140">
                <w:rPr>
                  <w:rStyle w:val="Hyperlink"/>
                  <w:szCs w:val="24"/>
                </w:rPr>
                <w:tab/>
                <w:t>10</w:t>
              </w:r>
            </w:hyperlink>
          </w:p>
        </w:tc>
      </w:tr>
      <w:tr w:rsidR="006E5140" w:rsidRPr="005833DD" w:rsidTr="001F3CDA">
        <w:tc>
          <w:tcPr>
            <w:tcW w:w="5000" w:type="pct"/>
          </w:tcPr>
          <w:p w:rsidR="006E5140" w:rsidRDefault="006E5140" w:rsidP="006E5140">
            <w:pPr>
              <w:pStyle w:val="LTVerzDerFragenden"/>
            </w:pPr>
            <w:r>
              <w:t>Duin, Albert (FDP)</w:t>
            </w:r>
          </w:p>
        </w:tc>
      </w:tr>
      <w:tr w:rsidR="006E5140" w:rsidRPr="005833DD" w:rsidTr="001F3CDA">
        <w:tc>
          <w:tcPr>
            <w:tcW w:w="5000" w:type="pct"/>
          </w:tcPr>
          <w:p w:rsidR="006E5140" w:rsidRDefault="00B366F8" w:rsidP="006E5140">
            <w:pPr>
              <w:pStyle w:val="LTVerzDerFragendenFrage"/>
            </w:pPr>
            <w:hyperlink w:anchor="Frage_Nr_47" w:tooltip="Frage Nr 47" w:history="1">
              <w:r w:rsidR="006E5140">
                <w:rPr>
                  <w:rStyle w:val="Hyperlink"/>
                  <w:szCs w:val="24"/>
                </w:rPr>
                <w:t>Bayerisches Halbleiterbündnis</w:t>
              </w:r>
              <w:r w:rsidR="006E5140">
                <w:rPr>
                  <w:rStyle w:val="Hyperlink"/>
                  <w:szCs w:val="24"/>
                </w:rPr>
                <w:tab/>
                <w:t>47</w:t>
              </w:r>
            </w:hyperlink>
          </w:p>
        </w:tc>
      </w:tr>
      <w:tr w:rsidR="006E5140" w:rsidRPr="005833DD" w:rsidTr="001F3CDA">
        <w:tc>
          <w:tcPr>
            <w:tcW w:w="5000" w:type="pct"/>
          </w:tcPr>
          <w:p w:rsidR="006E5140" w:rsidRDefault="006E5140" w:rsidP="006E5140">
            <w:pPr>
              <w:pStyle w:val="LTVerzDerFragenden"/>
            </w:pPr>
            <w:r>
              <w:t>Ebner-Steiner, Katrin (AfD)</w:t>
            </w:r>
          </w:p>
        </w:tc>
      </w:tr>
      <w:tr w:rsidR="006E5140" w:rsidRPr="005833DD" w:rsidTr="001F3CDA">
        <w:tc>
          <w:tcPr>
            <w:tcW w:w="5000" w:type="pct"/>
          </w:tcPr>
          <w:p w:rsidR="006E5140" w:rsidRDefault="00B366F8" w:rsidP="006E5140">
            <w:pPr>
              <w:pStyle w:val="LTVerzDerFragendenFrage"/>
            </w:pPr>
            <w:hyperlink w:anchor="Frage_Nr_48" w:tooltip="Frage Nr 48" w:history="1">
              <w:r w:rsidR="006E5140">
                <w:rPr>
                  <w:rStyle w:val="Hyperlink"/>
                  <w:szCs w:val="24"/>
                </w:rPr>
                <w:t>Stromabschaltungen</w:t>
              </w:r>
              <w:r w:rsidR="006E5140">
                <w:rPr>
                  <w:rStyle w:val="Hyperlink"/>
                  <w:szCs w:val="24"/>
                </w:rPr>
                <w:tab/>
                <w:t>48</w:t>
              </w:r>
            </w:hyperlink>
          </w:p>
        </w:tc>
      </w:tr>
      <w:tr w:rsidR="006E5140" w:rsidRPr="005833DD" w:rsidTr="001F3CDA">
        <w:tc>
          <w:tcPr>
            <w:tcW w:w="5000" w:type="pct"/>
          </w:tcPr>
          <w:p w:rsidR="006E5140" w:rsidRDefault="006E5140" w:rsidP="006E5140">
            <w:pPr>
              <w:pStyle w:val="LTVerzDerFragenden"/>
            </w:pPr>
            <w:r>
              <w:t>Fehlner, Martina (SPD)</w:t>
            </w:r>
          </w:p>
        </w:tc>
      </w:tr>
      <w:tr w:rsidR="006E5140" w:rsidRPr="005833DD" w:rsidTr="001F3CDA">
        <w:tc>
          <w:tcPr>
            <w:tcW w:w="5000" w:type="pct"/>
          </w:tcPr>
          <w:p w:rsidR="006E5140" w:rsidRDefault="00B366F8" w:rsidP="006E5140">
            <w:pPr>
              <w:pStyle w:val="LTVerzDerFragendenFrage"/>
            </w:pPr>
            <w:hyperlink w:anchor="Frage_Nr_56" w:tooltip="Frage Nr 56" w:history="1">
              <w:r w:rsidR="006E5140">
                <w:rPr>
                  <w:rStyle w:val="Hyperlink"/>
                  <w:szCs w:val="24"/>
                </w:rPr>
                <w:t>Zukunft der staatlichen Beförsterung im Kommunalwald</w:t>
              </w:r>
              <w:r w:rsidR="006E5140">
                <w:rPr>
                  <w:rStyle w:val="Hyperlink"/>
                  <w:szCs w:val="24"/>
                </w:rPr>
                <w:tab/>
                <w:t>56</w:t>
              </w:r>
            </w:hyperlink>
          </w:p>
        </w:tc>
      </w:tr>
      <w:tr w:rsidR="006E5140" w:rsidRPr="005833DD" w:rsidTr="001F3CDA">
        <w:tc>
          <w:tcPr>
            <w:tcW w:w="5000" w:type="pct"/>
          </w:tcPr>
          <w:p w:rsidR="006E5140" w:rsidRDefault="006E5140" w:rsidP="006E5140">
            <w:pPr>
              <w:pStyle w:val="LTVerzDerFragenden"/>
            </w:pPr>
            <w:r>
              <w:t>Fischbach, Matthias (FDP)</w:t>
            </w:r>
          </w:p>
        </w:tc>
      </w:tr>
      <w:tr w:rsidR="006E5140" w:rsidRPr="005833DD" w:rsidTr="001F3CDA">
        <w:tc>
          <w:tcPr>
            <w:tcW w:w="5000" w:type="pct"/>
          </w:tcPr>
          <w:p w:rsidR="006E5140" w:rsidRDefault="00B366F8" w:rsidP="006E5140">
            <w:pPr>
              <w:pStyle w:val="LTVerzDerFragendenFrage"/>
            </w:pPr>
            <w:hyperlink w:anchor="Frage_Nr_32" w:tooltip="Frage Nr 32" w:history="1">
              <w:r w:rsidR="006E5140">
                <w:rPr>
                  <w:rStyle w:val="Hyperlink"/>
                  <w:szCs w:val="24"/>
                </w:rPr>
                <w:t>Zukunft Wirtschaftsschulen</w:t>
              </w:r>
              <w:r w:rsidR="006E5140">
                <w:rPr>
                  <w:rStyle w:val="Hyperlink"/>
                  <w:szCs w:val="24"/>
                </w:rPr>
                <w:tab/>
                <w:t>32</w:t>
              </w:r>
            </w:hyperlink>
          </w:p>
        </w:tc>
      </w:tr>
      <w:tr w:rsidR="006E5140" w:rsidRPr="005833DD" w:rsidTr="001F3CDA">
        <w:tc>
          <w:tcPr>
            <w:tcW w:w="5000" w:type="pct"/>
          </w:tcPr>
          <w:p w:rsidR="006E5140" w:rsidRDefault="006E5140" w:rsidP="006E5140">
            <w:pPr>
              <w:pStyle w:val="LTVerzDerFragenden"/>
            </w:pPr>
            <w:r>
              <w:t>Franke, Anne (BÜNDNIS 90/DIE GRÜNEN)</w:t>
            </w:r>
          </w:p>
        </w:tc>
      </w:tr>
      <w:tr w:rsidR="006E5140" w:rsidRPr="005833DD" w:rsidTr="001F3CDA">
        <w:tc>
          <w:tcPr>
            <w:tcW w:w="5000" w:type="pct"/>
          </w:tcPr>
          <w:p w:rsidR="006E5140" w:rsidRDefault="00B366F8" w:rsidP="006E5140">
            <w:pPr>
              <w:pStyle w:val="LTVerzDerFragendenFrage"/>
            </w:pPr>
            <w:hyperlink w:anchor="Frage_Nr_33" w:tooltip="Frage Nr 33" w:history="1">
              <w:r w:rsidR="006E5140">
                <w:rPr>
                  <w:rStyle w:val="Hyperlink"/>
                  <w:szCs w:val="24"/>
                </w:rPr>
                <w:t>Ausgaben für Hochbegabtenförderung in Bayern</w:t>
              </w:r>
              <w:r w:rsidR="006E5140">
                <w:rPr>
                  <w:rStyle w:val="Hyperlink"/>
                  <w:szCs w:val="24"/>
                </w:rPr>
                <w:tab/>
                <w:t>33</w:t>
              </w:r>
            </w:hyperlink>
          </w:p>
        </w:tc>
      </w:tr>
      <w:tr w:rsidR="006E5140" w:rsidRPr="005833DD" w:rsidTr="001F3CDA">
        <w:tc>
          <w:tcPr>
            <w:tcW w:w="5000" w:type="pct"/>
          </w:tcPr>
          <w:p w:rsidR="006E5140" w:rsidRDefault="006E5140" w:rsidP="006E5140">
            <w:pPr>
              <w:pStyle w:val="LTVerzDerFragenden"/>
            </w:pPr>
            <w:r>
              <w:t>Friedl, Patrick (BÜNDNIS 90/DIE GRÜNEN)</w:t>
            </w:r>
          </w:p>
        </w:tc>
      </w:tr>
      <w:tr w:rsidR="006E5140" w:rsidRPr="005833DD" w:rsidTr="001F3CDA">
        <w:tc>
          <w:tcPr>
            <w:tcW w:w="5000" w:type="pct"/>
          </w:tcPr>
          <w:p w:rsidR="006E5140" w:rsidRDefault="00B366F8" w:rsidP="006E5140">
            <w:pPr>
              <w:pStyle w:val="LTVerzDerFragendenFrage"/>
            </w:pPr>
            <w:hyperlink w:anchor="Frage_Nr_57" w:tooltip="Frage Nr 57" w:history="1">
              <w:r w:rsidR="006E5140">
                <w:rPr>
                  <w:rStyle w:val="Hyperlink"/>
                  <w:szCs w:val="24"/>
                </w:rPr>
                <w:t>Kammmolch in Unterfranken</w:t>
              </w:r>
              <w:r w:rsidR="006E5140">
                <w:rPr>
                  <w:rStyle w:val="Hyperlink"/>
                  <w:szCs w:val="24"/>
                </w:rPr>
                <w:tab/>
                <w:t>57</w:t>
              </w:r>
            </w:hyperlink>
          </w:p>
        </w:tc>
      </w:tr>
      <w:tr w:rsidR="006E5140" w:rsidRPr="005833DD" w:rsidTr="001F3CDA">
        <w:tc>
          <w:tcPr>
            <w:tcW w:w="5000" w:type="pct"/>
          </w:tcPr>
          <w:p w:rsidR="006E5140" w:rsidRDefault="006E5140" w:rsidP="006E5140">
            <w:pPr>
              <w:pStyle w:val="LTVerzDerFragenden"/>
            </w:pPr>
            <w:r>
              <w:t>Fuchs, Barbara (BÜNDNIS 90/DIE GRÜNEN)</w:t>
            </w:r>
          </w:p>
        </w:tc>
      </w:tr>
      <w:tr w:rsidR="006E5140" w:rsidRPr="005833DD" w:rsidTr="001F3CDA">
        <w:tc>
          <w:tcPr>
            <w:tcW w:w="5000" w:type="pct"/>
          </w:tcPr>
          <w:p w:rsidR="006E5140" w:rsidRDefault="00B366F8" w:rsidP="006E5140">
            <w:pPr>
              <w:pStyle w:val="LTVerzDerFragendenFrage"/>
            </w:pPr>
            <w:hyperlink w:anchor="Frage_Nr_3" w:tooltip="Frage Nr 3" w:history="1">
              <w:r w:rsidR="006E5140">
                <w:rPr>
                  <w:rStyle w:val="Hyperlink"/>
                  <w:szCs w:val="24"/>
                </w:rPr>
                <w:t>Schreiben der Staatskanzlei zum ICE-Werk im Großraum Nürnberg</w:t>
              </w:r>
              <w:r w:rsidR="006E5140">
                <w:rPr>
                  <w:rStyle w:val="Hyperlink"/>
                  <w:szCs w:val="24"/>
                </w:rPr>
                <w:tab/>
                <w:t>3</w:t>
              </w:r>
            </w:hyperlink>
          </w:p>
        </w:tc>
      </w:tr>
      <w:tr w:rsidR="006E5140" w:rsidRPr="005833DD" w:rsidTr="001F3CDA">
        <w:tc>
          <w:tcPr>
            <w:tcW w:w="5000" w:type="pct"/>
          </w:tcPr>
          <w:p w:rsidR="006E5140" w:rsidRDefault="006E5140" w:rsidP="006E5140">
            <w:pPr>
              <w:pStyle w:val="LTVerzDerFragenden"/>
            </w:pPr>
            <w:r>
              <w:t>Güller, Harald (SPD)</w:t>
            </w:r>
          </w:p>
        </w:tc>
      </w:tr>
      <w:tr w:rsidR="006E5140" w:rsidRPr="005833DD" w:rsidTr="001F3CDA">
        <w:tc>
          <w:tcPr>
            <w:tcW w:w="5000" w:type="pct"/>
          </w:tcPr>
          <w:p w:rsidR="006E5140" w:rsidRDefault="00B366F8" w:rsidP="006E5140">
            <w:pPr>
              <w:pStyle w:val="LTVerzDerFragendenFrage"/>
            </w:pPr>
            <w:hyperlink w:anchor="Frage_Nr_4" w:tooltip="Frage Nr 4" w:history="1">
              <w:r w:rsidR="006E5140">
                <w:rPr>
                  <w:rStyle w:val="Hyperlink"/>
                  <w:szCs w:val="24"/>
                </w:rPr>
                <w:t>Kostenentwicklung der Anzeigenkampagnen des Ministerpräsidenten</w:t>
              </w:r>
              <w:r w:rsidR="006E5140">
                <w:rPr>
                  <w:rStyle w:val="Hyperlink"/>
                  <w:szCs w:val="24"/>
                </w:rPr>
                <w:tab/>
                <w:t>4</w:t>
              </w:r>
            </w:hyperlink>
          </w:p>
        </w:tc>
      </w:tr>
      <w:tr w:rsidR="006E5140" w:rsidRPr="005833DD" w:rsidTr="001F3CDA">
        <w:tc>
          <w:tcPr>
            <w:tcW w:w="5000" w:type="pct"/>
          </w:tcPr>
          <w:p w:rsidR="006E5140" w:rsidRDefault="006E5140" w:rsidP="006E5140">
            <w:pPr>
              <w:pStyle w:val="LTVerzDerFragenden"/>
            </w:pPr>
            <w:r>
              <w:t>Hagen, Martin (FDP)</w:t>
            </w:r>
          </w:p>
        </w:tc>
      </w:tr>
      <w:tr w:rsidR="006E5140" w:rsidRPr="005833DD" w:rsidTr="001F3CDA">
        <w:tc>
          <w:tcPr>
            <w:tcW w:w="5000" w:type="pct"/>
          </w:tcPr>
          <w:p w:rsidR="006E5140" w:rsidRDefault="00B366F8" w:rsidP="006E5140">
            <w:pPr>
              <w:pStyle w:val="LTVerzDerFragendenFrage"/>
            </w:pPr>
            <w:hyperlink w:anchor="Frage_Nr_11" w:tooltip="Frage Nr 11" w:history="1">
              <w:r w:rsidR="006E5140">
                <w:rPr>
                  <w:rStyle w:val="Hyperlink"/>
                  <w:szCs w:val="24"/>
                </w:rPr>
                <w:t>Transit- und Abschiebeeinrichtung</w:t>
              </w:r>
              <w:r w:rsidR="006E5140">
                <w:rPr>
                  <w:rStyle w:val="Hyperlink"/>
                  <w:szCs w:val="24"/>
                </w:rPr>
                <w:tab/>
                <w:t>11</w:t>
              </w:r>
            </w:hyperlink>
          </w:p>
        </w:tc>
      </w:tr>
      <w:tr w:rsidR="006E5140" w:rsidRPr="005833DD" w:rsidTr="001F3CDA">
        <w:tc>
          <w:tcPr>
            <w:tcW w:w="5000" w:type="pct"/>
          </w:tcPr>
          <w:p w:rsidR="006E5140" w:rsidRDefault="006E5140" w:rsidP="006E5140">
            <w:pPr>
              <w:pStyle w:val="LTVerzDerFragenden"/>
            </w:pPr>
            <w:r>
              <w:t>Halbleib, Volkmar (SPD)</w:t>
            </w:r>
          </w:p>
        </w:tc>
      </w:tr>
      <w:tr w:rsidR="006E5140" w:rsidRPr="005833DD" w:rsidTr="001F3CDA">
        <w:tc>
          <w:tcPr>
            <w:tcW w:w="5000" w:type="pct"/>
          </w:tcPr>
          <w:p w:rsidR="006E5140" w:rsidRDefault="00B366F8" w:rsidP="006E5140">
            <w:pPr>
              <w:pStyle w:val="LTVerzDerFragendenFrage"/>
            </w:pPr>
            <w:hyperlink w:anchor="Frage_Nr_39" w:tooltip="Frage Nr 39" w:history="1">
              <w:r w:rsidR="006E5140">
                <w:rPr>
                  <w:rStyle w:val="Hyperlink"/>
                  <w:szCs w:val="24"/>
                </w:rPr>
                <w:t>Wahlberechtigte für Personalratswahlen an Universitätskliniken</w:t>
              </w:r>
              <w:r w:rsidR="006E5140">
                <w:rPr>
                  <w:rStyle w:val="Hyperlink"/>
                  <w:szCs w:val="24"/>
                </w:rPr>
                <w:tab/>
                <w:t>39</w:t>
              </w:r>
            </w:hyperlink>
          </w:p>
        </w:tc>
      </w:tr>
      <w:tr w:rsidR="006E5140" w:rsidRPr="005833DD" w:rsidTr="001F3CDA">
        <w:tc>
          <w:tcPr>
            <w:tcW w:w="5000" w:type="pct"/>
          </w:tcPr>
          <w:p w:rsidR="006E5140" w:rsidRDefault="006E5140" w:rsidP="006E5140">
            <w:pPr>
              <w:pStyle w:val="LTVerzDerFragenden"/>
            </w:pPr>
            <w:r>
              <w:t>Hartmann, Ludwig (BÜNDNIS 90/DIE GRÜNEN)</w:t>
            </w:r>
          </w:p>
        </w:tc>
      </w:tr>
      <w:tr w:rsidR="006E5140" w:rsidRPr="005833DD" w:rsidTr="001F3CDA">
        <w:tc>
          <w:tcPr>
            <w:tcW w:w="5000" w:type="pct"/>
          </w:tcPr>
          <w:p w:rsidR="006E5140" w:rsidRDefault="00B366F8" w:rsidP="006E5140">
            <w:pPr>
              <w:pStyle w:val="LTVerzDerFragendenFrage"/>
            </w:pPr>
            <w:hyperlink w:anchor="Frage_Nr_58" w:tooltip="Frage Nr 58" w:history="1">
              <w:r w:rsidR="006E5140">
                <w:rPr>
                  <w:rStyle w:val="Hyperlink"/>
                  <w:szCs w:val="24"/>
                </w:rPr>
                <w:t>Flächen des Staatsguts Achselschwang</w:t>
              </w:r>
              <w:r w:rsidR="006E5140">
                <w:rPr>
                  <w:rStyle w:val="Hyperlink"/>
                  <w:szCs w:val="24"/>
                </w:rPr>
                <w:tab/>
                <w:t>58</w:t>
              </w:r>
            </w:hyperlink>
          </w:p>
        </w:tc>
      </w:tr>
      <w:tr w:rsidR="006E5140" w:rsidRPr="005833DD" w:rsidTr="001F3CDA">
        <w:tc>
          <w:tcPr>
            <w:tcW w:w="5000" w:type="pct"/>
          </w:tcPr>
          <w:p w:rsidR="006E5140" w:rsidRDefault="006E5140" w:rsidP="006E5140">
            <w:pPr>
              <w:pStyle w:val="LTVerzDerFragenden"/>
            </w:pPr>
            <w:r>
              <w:t>Haubrich, Christina (BÜNDNIS 90/DIE GRÜNEN)</w:t>
            </w:r>
          </w:p>
        </w:tc>
      </w:tr>
      <w:tr w:rsidR="006E5140" w:rsidRPr="005833DD" w:rsidTr="001F3CDA">
        <w:tc>
          <w:tcPr>
            <w:tcW w:w="5000" w:type="pct"/>
          </w:tcPr>
          <w:p w:rsidR="006E5140" w:rsidRDefault="00B366F8" w:rsidP="006E5140">
            <w:pPr>
              <w:pStyle w:val="LTVerzDerFragendenFrage"/>
            </w:pPr>
            <w:hyperlink w:anchor="Frage_Nr_67" w:tooltip="Frage Nr 67" w:history="1">
              <w:r w:rsidR="006E5140">
                <w:rPr>
                  <w:rStyle w:val="Hyperlink"/>
                  <w:szCs w:val="24"/>
                </w:rPr>
                <w:t>Belastung der Kinderintensivstationen durch Atemwegserkrankungen</w:t>
              </w:r>
              <w:r w:rsidR="006E5140">
                <w:rPr>
                  <w:rStyle w:val="Hyperlink"/>
                  <w:szCs w:val="24"/>
                </w:rPr>
                <w:tab/>
                <w:t>67</w:t>
              </w:r>
            </w:hyperlink>
          </w:p>
        </w:tc>
      </w:tr>
      <w:tr w:rsidR="006E5140" w:rsidRPr="005833DD" w:rsidTr="001F3CDA">
        <w:tc>
          <w:tcPr>
            <w:tcW w:w="5000" w:type="pct"/>
          </w:tcPr>
          <w:p w:rsidR="006E5140" w:rsidRDefault="006E5140" w:rsidP="006E5140">
            <w:pPr>
              <w:pStyle w:val="LTVerzDerFragenden"/>
            </w:pPr>
            <w:r>
              <w:t>Dr. Heubisch, Wolfgang (FDP)</w:t>
            </w:r>
          </w:p>
        </w:tc>
      </w:tr>
      <w:tr w:rsidR="006E5140" w:rsidRPr="005833DD" w:rsidTr="001F3CDA">
        <w:tc>
          <w:tcPr>
            <w:tcW w:w="5000" w:type="pct"/>
          </w:tcPr>
          <w:p w:rsidR="006E5140" w:rsidRDefault="00B366F8" w:rsidP="006E5140">
            <w:pPr>
              <w:pStyle w:val="LTVerzDerFragendenFrage"/>
            </w:pPr>
            <w:hyperlink w:anchor="Frage_Nr_40" w:tooltip="Frage Nr 40" w:history="1">
              <w:r w:rsidR="006E5140">
                <w:rPr>
                  <w:rStyle w:val="Hyperlink"/>
                  <w:szCs w:val="24"/>
                </w:rPr>
                <w:t>Klimaneutralität an den staatlichen Hochschulen</w:t>
              </w:r>
              <w:r w:rsidR="006E5140">
                <w:rPr>
                  <w:rStyle w:val="Hyperlink"/>
                  <w:szCs w:val="24"/>
                </w:rPr>
                <w:tab/>
                <w:t>40</w:t>
              </w:r>
            </w:hyperlink>
          </w:p>
        </w:tc>
      </w:tr>
      <w:tr w:rsidR="006E5140" w:rsidRPr="005833DD" w:rsidTr="001F3CDA">
        <w:tc>
          <w:tcPr>
            <w:tcW w:w="5000" w:type="pct"/>
          </w:tcPr>
          <w:p w:rsidR="006E5140" w:rsidRDefault="006E5140" w:rsidP="006E5140">
            <w:pPr>
              <w:pStyle w:val="LTVerzDerFragenden"/>
            </w:pPr>
            <w:r>
              <w:t>Hierneis, Christian (BÜNDNIS 90/DIE GRÜNEN)</w:t>
            </w:r>
          </w:p>
        </w:tc>
      </w:tr>
      <w:tr w:rsidR="006E5140" w:rsidRPr="005833DD" w:rsidTr="001F3CDA">
        <w:tc>
          <w:tcPr>
            <w:tcW w:w="5000" w:type="pct"/>
          </w:tcPr>
          <w:p w:rsidR="006E5140" w:rsidRDefault="00B366F8" w:rsidP="006E5140">
            <w:pPr>
              <w:pStyle w:val="LTVerzDerFragendenFrage"/>
            </w:pPr>
            <w:hyperlink w:anchor="Frage_Nr_17" w:tooltip="Frage Nr 17" w:history="1">
              <w:r w:rsidR="006E5140">
                <w:rPr>
                  <w:rStyle w:val="Hyperlink"/>
                  <w:szCs w:val="24"/>
                </w:rPr>
                <w:t>Lechstahlwerke Meitingen</w:t>
              </w:r>
              <w:r w:rsidR="006E5140">
                <w:rPr>
                  <w:rStyle w:val="Hyperlink"/>
                  <w:szCs w:val="24"/>
                </w:rPr>
                <w:tab/>
                <w:t>17</w:t>
              </w:r>
            </w:hyperlink>
          </w:p>
        </w:tc>
      </w:tr>
      <w:tr w:rsidR="006E5140" w:rsidRPr="005833DD" w:rsidTr="001F3CDA">
        <w:tc>
          <w:tcPr>
            <w:tcW w:w="5000" w:type="pct"/>
          </w:tcPr>
          <w:p w:rsidR="006E5140" w:rsidRDefault="006E5140" w:rsidP="006E5140">
            <w:pPr>
              <w:pStyle w:val="LTVerzDerFragenden"/>
            </w:pPr>
            <w:r>
              <w:t>Hiersemann, Alexandra (SPD)</w:t>
            </w:r>
          </w:p>
        </w:tc>
      </w:tr>
      <w:tr w:rsidR="006E5140" w:rsidRPr="005833DD" w:rsidTr="001F3CDA">
        <w:tc>
          <w:tcPr>
            <w:tcW w:w="5000" w:type="pct"/>
          </w:tcPr>
          <w:p w:rsidR="006E5140" w:rsidRDefault="00B366F8" w:rsidP="006E5140">
            <w:pPr>
              <w:pStyle w:val="LTVerzDerFragendenFrage"/>
            </w:pPr>
            <w:hyperlink w:anchor="Frage_Nr_41" w:tooltip="Frage Nr 41" w:history="1">
              <w:r w:rsidR="006E5140">
                <w:rPr>
                  <w:rStyle w:val="Hyperlink"/>
                  <w:szCs w:val="24"/>
                </w:rPr>
                <w:t>Wahlberechtigung bei Personalratswahlen</w:t>
              </w:r>
              <w:r w:rsidR="006E5140">
                <w:rPr>
                  <w:rStyle w:val="Hyperlink"/>
                  <w:szCs w:val="24"/>
                </w:rPr>
                <w:tab/>
                <w:t>41</w:t>
              </w:r>
            </w:hyperlink>
          </w:p>
        </w:tc>
      </w:tr>
      <w:tr w:rsidR="006E5140" w:rsidRPr="005833DD" w:rsidTr="001F3CDA">
        <w:tc>
          <w:tcPr>
            <w:tcW w:w="5000" w:type="pct"/>
          </w:tcPr>
          <w:p w:rsidR="006E5140" w:rsidRDefault="006E5140" w:rsidP="006E5140">
            <w:pPr>
              <w:pStyle w:val="LTVerzDerFragenden"/>
            </w:pPr>
            <w:r>
              <w:t>Dr. Kaltenhauser, Helmut (FDP)</w:t>
            </w:r>
          </w:p>
        </w:tc>
      </w:tr>
      <w:tr w:rsidR="006E5140" w:rsidRPr="005833DD" w:rsidTr="001F3CDA">
        <w:tc>
          <w:tcPr>
            <w:tcW w:w="5000" w:type="pct"/>
          </w:tcPr>
          <w:p w:rsidR="006E5140" w:rsidRDefault="00B366F8" w:rsidP="006E5140">
            <w:pPr>
              <w:pStyle w:val="LTVerzDerFragendenFrage"/>
            </w:pPr>
            <w:hyperlink w:anchor="Frage_Nr_5" w:tooltip="Frage Nr 5" w:history="1">
              <w:r w:rsidR="006E5140">
                <w:rPr>
                  <w:rStyle w:val="Hyperlink"/>
                  <w:szCs w:val="24"/>
                </w:rPr>
                <w:t>Jüngste Anzeigenkampagnen der Staatsregierung</w:t>
              </w:r>
              <w:r w:rsidR="006E5140">
                <w:rPr>
                  <w:rStyle w:val="Hyperlink"/>
                  <w:szCs w:val="24"/>
                </w:rPr>
                <w:tab/>
                <w:t>5</w:t>
              </w:r>
            </w:hyperlink>
          </w:p>
        </w:tc>
      </w:tr>
      <w:tr w:rsidR="006E5140" w:rsidRPr="005833DD" w:rsidTr="001F3CDA">
        <w:tc>
          <w:tcPr>
            <w:tcW w:w="5000" w:type="pct"/>
          </w:tcPr>
          <w:p w:rsidR="006E5140" w:rsidRDefault="006E5140" w:rsidP="006E5140">
            <w:pPr>
              <w:pStyle w:val="LTVerzDerFragenden"/>
            </w:pPr>
            <w:r>
              <w:t>Karl, Annette (SPD)</w:t>
            </w:r>
          </w:p>
        </w:tc>
      </w:tr>
      <w:tr w:rsidR="006E5140" w:rsidRPr="005833DD" w:rsidTr="001F3CDA">
        <w:tc>
          <w:tcPr>
            <w:tcW w:w="5000" w:type="pct"/>
          </w:tcPr>
          <w:p w:rsidR="006E5140" w:rsidRDefault="00B366F8" w:rsidP="006E5140">
            <w:pPr>
              <w:pStyle w:val="LTVerzDerFragendenFrage"/>
            </w:pPr>
            <w:hyperlink w:anchor="Frage_Nr_6" w:tooltip="Frage Nr 6" w:history="1">
              <w:r w:rsidR="006E5140">
                <w:rPr>
                  <w:rStyle w:val="Hyperlink"/>
                  <w:szCs w:val="24"/>
                </w:rPr>
                <w:t>Öffentlichkeitsarbeit der Staatsregierung II</w:t>
              </w:r>
              <w:r w:rsidR="006E5140">
                <w:rPr>
                  <w:rStyle w:val="Hyperlink"/>
                  <w:szCs w:val="24"/>
                </w:rPr>
                <w:tab/>
                <w:t>6</w:t>
              </w:r>
            </w:hyperlink>
          </w:p>
        </w:tc>
      </w:tr>
      <w:tr w:rsidR="006E5140" w:rsidRPr="005833DD" w:rsidTr="001F3CDA">
        <w:tc>
          <w:tcPr>
            <w:tcW w:w="5000" w:type="pct"/>
          </w:tcPr>
          <w:p w:rsidR="006E5140" w:rsidRDefault="006E5140" w:rsidP="006E5140">
            <w:pPr>
              <w:pStyle w:val="LTVerzDerFragenden"/>
            </w:pPr>
            <w:r>
              <w:t>Knoblach, Paul (BÜNDNIS 90/DIE GRÜNEN)</w:t>
            </w:r>
          </w:p>
        </w:tc>
      </w:tr>
      <w:tr w:rsidR="006E5140" w:rsidRPr="005833DD" w:rsidTr="001F3CDA">
        <w:tc>
          <w:tcPr>
            <w:tcW w:w="5000" w:type="pct"/>
          </w:tcPr>
          <w:p w:rsidR="006E5140" w:rsidRDefault="00B366F8" w:rsidP="006E5140">
            <w:pPr>
              <w:pStyle w:val="LTVerzDerFragendenFrage"/>
            </w:pPr>
            <w:hyperlink w:anchor="Frage_Nr_53" w:tooltip="Frage Nr 53" w:history="1">
              <w:r w:rsidR="006E5140">
                <w:rPr>
                  <w:rStyle w:val="Hyperlink"/>
                  <w:szCs w:val="24"/>
                </w:rPr>
                <w:t>Belastungen im Wildfleisch</w:t>
              </w:r>
              <w:r w:rsidR="006E5140">
                <w:rPr>
                  <w:rStyle w:val="Hyperlink"/>
                  <w:szCs w:val="24"/>
                </w:rPr>
                <w:tab/>
                <w:t>53</w:t>
              </w:r>
            </w:hyperlink>
          </w:p>
        </w:tc>
      </w:tr>
      <w:tr w:rsidR="006E5140" w:rsidRPr="005833DD" w:rsidTr="001F3CDA">
        <w:tc>
          <w:tcPr>
            <w:tcW w:w="5000" w:type="pct"/>
          </w:tcPr>
          <w:p w:rsidR="006E5140" w:rsidRDefault="006E5140" w:rsidP="006E5140">
            <w:pPr>
              <w:pStyle w:val="LTVerzDerFragenden"/>
            </w:pPr>
            <w:r>
              <w:t>Krahl, Andreas (BÜNDNIS 90/DIE GRÜNEN)</w:t>
            </w:r>
          </w:p>
        </w:tc>
      </w:tr>
      <w:tr w:rsidR="006E5140" w:rsidRPr="005833DD" w:rsidTr="001F3CDA">
        <w:tc>
          <w:tcPr>
            <w:tcW w:w="5000" w:type="pct"/>
          </w:tcPr>
          <w:p w:rsidR="006E5140" w:rsidRDefault="00B366F8" w:rsidP="004E3E92">
            <w:pPr>
              <w:pStyle w:val="LTVerzDerFragendenFrage"/>
            </w:pPr>
            <w:hyperlink w:anchor="Frage_Nr_68" w:tooltip="Frage Nr 68" w:history="1">
              <w:r w:rsidR="000A56F5">
                <w:rPr>
                  <w:rStyle w:val="Hyperlink"/>
                  <w:szCs w:val="24"/>
                </w:rPr>
                <w:t>Monitoringstudie der Vereinigung der Pflegenden in Bayern</w:t>
              </w:r>
              <w:r w:rsidR="006E5140">
                <w:rPr>
                  <w:rStyle w:val="Hyperlink"/>
                  <w:szCs w:val="24"/>
                </w:rPr>
                <w:tab/>
                <w:t>68</w:t>
              </w:r>
            </w:hyperlink>
          </w:p>
        </w:tc>
      </w:tr>
      <w:tr w:rsidR="006E5140" w:rsidRPr="005833DD" w:rsidTr="001F3CDA">
        <w:tc>
          <w:tcPr>
            <w:tcW w:w="5000" w:type="pct"/>
          </w:tcPr>
          <w:p w:rsidR="006E5140" w:rsidRDefault="006E5140" w:rsidP="006E5140">
            <w:pPr>
              <w:pStyle w:val="LTVerzDerFragenden"/>
            </w:pPr>
            <w:r>
              <w:t>Kraus, Nikolaus (FREIE WÄHLER)</w:t>
            </w:r>
          </w:p>
        </w:tc>
      </w:tr>
      <w:tr w:rsidR="006E5140" w:rsidRPr="005833DD" w:rsidTr="001F3CDA">
        <w:tc>
          <w:tcPr>
            <w:tcW w:w="5000" w:type="pct"/>
          </w:tcPr>
          <w:p w:rsidR="006E5140" w:rsidRDefault="00B366F8" w:rsidP="006E5140">
            <w:pPr>
              <w:pStyle w:val="LTVerzDerFragendenFrage"/>
            </w:pPr>
            <w:hyperlink w:anchor="Frage_Nr_59" w:tooltip="Frage Nr 59" w:history="1">
              <w:r w:rsidR="006E5140">
                <w:rPr>
                  <w:rStyle w:val="Hyperlink"/>
                  <w:szCs w:val="24"/>
                </w:rPr>
                <w:t>Weideschutzzäune Wolf</w:t>
              </w:r>
              <w:r w:rsidR="006E5140">
                <w:rPr>
                  <w:rStyle w:val="Hyperlink"/>
                  <w:szCs w:val="24"/>
                </w:rPr>
                <w:tab/>
                <w:t>59</w:t>
              </w:r>
            </w:hyperlink>
          </w:p>
        </w:tc>
      </w:tr>
      <w:tr w:rsidR="006E5140" w:rsidRPr="005833DD" w:rsidTr="001F3CDA">
        <w:tc>
          <w:tcPr>
            <w:tcW w:w="5000" w:type="pct"/>
          </w:tcPr>
          <w:p w:rsidR="006E5140" w:rsidRDefault="006E5140" w:rsidP="006E5140">
            <w:pPr>
              <w:pStyle w:val="LTVerzDerFragenden"/>
            </w:pPr>
            <w:r>
              <w:t>Kurz, Susanne (BÜNDNIS 90/DIE GRÜNEN)</w:t>
            </w:r>
          </w:p>
        </w:tc>
      </w:tr>
      <w:tr w:rsidR="006E5140" w:rsidRPr="005833DD" w:rsidTr="001F3CDA">
        <w:tc>
          <w:tcPr>
            <w:tcW w:w="5000" w:type="pct"/>
          </w:tcPr>
          <w:p w:rsidR="006E5140" w:rsidRDefault="00B366F8" w:rsidP="006E5140">
            <w:pPr>
              <w:pStyle w:val="LTVerzDerFragendenFrage"/>
            </w:pPr>
            <w:hyperlink w:anchor="Frage_Nr_42" w:tooltip="Frage Nr 42" w:history="1">
              <w:r w:rsidR="006E5140">
                <w:rPr>
                  <w:rStyle w:val="Hyperlink"/>
                  <w:szCs w:val="24"/>
                </w:rPr>
                <w:t>Nachhaltigkeitsplan der Staatsregierung im Kulturbereich</w:t>
              </w:r>
              <w:r w:rsidR="006E5140">
                <w:rPr>
                  <w:rStyle w:val="Hyperlink"/>
                  <w:szCs w:val="24"/>
                </w:rPr>
                <w:tab/>
                <w:t>42</w:t>
              </w:r>
            </w:hyperlink>
          </w:p>
        </w:tc>
      </w:tr>
      <w:tr w:rsidR="006E5140" w:rsidRPr="005833DD" w:rsidTr="001F3CDA">
        <w:tc>
          <w:tcPr>
            <w:tcW w:w="5000" w:type="pct"/>
          </w:tcPr>
          <w:p w:rsidR="006E5140" w:rsidRDefault="006E5140" w:rsidP="006E5140">
            <w:pPr>
              <w:pStyle w:val="LTVerzDerFragenden"/>
            </w:pPr>
            <w:r>
              <w:t>Köhler, Claudia (BÜNDNIS 90/DIE GRÜNEN)</w:t>
            </w:r>
          </w:p>
        </w:tc>
      </w:tr>
      <w:tr w:rsidR="006E5140" w:rsidRPr="005833DD" w:rsidTr="001F3CDA">
        <w:tc>
          <w:tcPr>
            <w:tcW w:w="5000" w:type="pct"/>
          </w:tcPr>
          <w:p w:rsidR="006E5140" w:rsidRDefault="00B366F8" w:rsidP="006E5140">
            <w:pPr>
              <w:pStyle w:val="LTVerzDerFragendenFrage"/>
            </w:pPr>
            <w:hyperlink w:anchor="Frage_Nr_7" w:tooltip="Frage Nr 7" w:history="1">
              <w:r w:rsidR="006E5140">
                <w:rPr>
                  <w:rStyle w:val="Hyperlink"/>
                  <w:szCs w:val="24"/>
                </w:rPr>
                <w:t>Kosten Anzeigenschaltung Großelterntag 2021</w:t>
              </w:r>
              <w:r w:rsidR="006E5140">
                <w:rPr>
                  <w:rStyle w:val="Hyperlink"/>
                  <w:szCs w:val="24"/>
                </w:rPr>
                <w:tab/>
                <w:t>7</w:t>
              </w:r>
            </w:hyperlink>
          </w:p>
        </w:tc>
      </w:tr>
      <w:tr w:rsidR="006E5140" w:rsidRPr="005833DD" w:rsidTr="001F3CDA">
        <w:tc>
          <w:tcPr>
            <w:tcW w:w="5000" w:type="pct"/>
          </w:tcPr>
          <w:p w:rsidR="006E5140" w:rsidRDefault="006E5140" w:rsidP="006E5140">
            <w:pPr>
              <w:pStyle w:val="LTVerzDerFragenden"/>
            </w:pPr>
            <w:r>
              <w:t>Körber, Sebastian (FDP)</w:t>
            </w:r>
          </w:p>
        </w:tc>
      </w:tr>
      <w:tr w:rsidR="006E5140" w:rsidRPr="005833DD" w:rsidTr="001F3CDA">
        <w:tc>
          <w:tcPr>
            <w:tcW w:w="5000" w:type="pct"/>
          </w:tcPr>
          <w:p w:rsidR="006E5140" w:rsidRDefault="00B366F8" w:rsidP="006E5140">
            <w:pPr>
              <w:pStyle w:val="LTVerzDerFragendenFrage"/>
            </w:pPr>
            <w:hyperlink w:anchor="Frage_Nr_18" w:tooltip="Frage Nr 18" w:history="1">
              <w:r w:rsidR="006E5140">
                <w:rPr>
                  <w:rStyle w:val="Hyperlink"/>
                  <w:szCs w:val="24"/>
                </w:rPr>
                <w:t>Nachfrage zur Causa Sauter</w:t>
              </w:r>
              <w:r w:rsidR="006E5140">
                <w:rPr>
                  <w:rStyle w:val="Hyperlink"/>
                  <w:szCs w:val="24"/>
                </w:rPr>
                <w:tab/>
                <w:t>18</w:t>
              </w:r>
            </w:hyperlink>
          </w:p>
        </w:tc>
      </w:tr>
      <w:tr w:rsidR="006E5140" w:rsidRPr="005833DD" w:rsidTr="001F3CDA">
        <w:tc>
          <w:tcPr>
            <w:tcW w:w="5000" w:type="pct"/>
          </w:tcPr>
          <w:p w:rsidR="006E5140" w:rsidRDefault="006E5140" w:rsidP="006E5140">
            <w:pPr>
              <w:pStyle w:val="LTVerzDerFragenden"/>
            </w:pPr>
            <w:r>
              <w:t>Lettenbauer, Eva (BÜNDNIS 90/DIE GRÜNEN)</w:t>
            </w:r>
          </w:p>
        </w:tc>
      </w:tr>
      <w:tr w:rsidR="006E5140" w:rsidRPr="005833DD" w:rsidTr="001F3CDA">
        <w:tc>
          <w:tcPr>
            <w:tcW w:w="5000" w:type="pct"/>
          </w:tcPr>
          <w:p w:rsidR="006E5140" w:rsidRDefault="00B366F8" w:rsidP="006E5140">
            <w:pPr>
              <w:pStyle w:val="LTVerzDerFragendenFrage"/>
            </w:pPr>
            <w:hyperlink w:anchor="Frage_Nr_12" w:tooltip="Frage Nr 12" w:history="1">
              <w:r w:rsidR="006E5140">
                <w:rPr>
                  <w:rStyle w:val="Hyperlink"/>
                  <w:szCs w:val="24"/>
                </w:rPr>
                <w:t>Rücknahme Vorbehalte Art. 59 Istanbul-Konvention</w:t>
              </w:r>
              <w:r w:rsidR="006E5140">
                <w:rPr>
                  <w:rStyle w:val="Hyperlink"/>
                  <w:szCs w:val="24"/>
                </w:rPr>
                <w:tab/>
                <w:t>12</w:t>
              </w:r>
            </w:hyperlink>
          </w:p>
        </w:tc>
      </w:tr>
      <w:tr w:rsidR="006E5140" w:rsidRPr="005833DD" w:rsidTr="001F3CDA">
        <w:tc>
          <w:tcPr>
            <w:tcW w:w="5000" w:type="pct"/>
          </w:tcPr>
          <w:p w:rsidR="006E5140" w:rsidRDefault="006E5140" w:rsidP="006E5140">
            <w:pPr>
              <w:pStyle w:val="LTVerzDerFragenden"/>
            </w:pPr>
            <w:r>
              <w:t>Magerl, Roland (AfD)</w:t>
            </w:r>
          </w:p>
        </w:tc>
      </w:tr>
      <w:tr w:rsidR="006E5140" w:rsidRPr="005833DD" w:rsidTr="001F3CDA">
        <w:tc>
          <w:tcPr>
            <w:tcW w:w="5000" w:type="pct"/>
          </w:tcPr>
          <w:p w:rsidR="006E5140" w:rsidRDefault="00B366F8" w:rsidP="006E5140">
            <w:pPr>
              <w:pStyle w:val="LTVerzDerFragendenFrage"/>
            </w:pPr>
            <w:hyperlink w:anchor="Frage_Nr_69" w:tooltip="Frage Nr 69" w:history="1">
              <w:r w:rsidR="006E5140">
                <w:rPr>
                  <w:rStyle w:val="Hyperlink"/>
                  <w:szCs w:val="24"/>
                </w:rPr>
                <w:t xml:space="preserve">Begutachtung der PCR-Lolli-Tests durch das Landesamt für Gesundheit </w:t>
              </w:r>
              <w:r w:rsidR="00693CB1">
                <w:rPr>
                  <w:rStyle w:val="Hyperlink"/>
                  <w:szCs w:val="24"/>
                </w:rPr>
                <w:br/>
              </w:r>
              <w:r w:rsidR="006E5140">
                <w:rPr>
                  <w:rStyle w:val="Hyperlink"/>
                  <w:szCs w:val="24"/>
                </w:rPr>
                <w:t>und Lebensmittelsicherheit</w:t>
              </w:r>
              <w:r w:rsidR="0093739F">
                <w:rPr>
                  <w:rStyle w:val="Hyperlink"/>
                  <w:szCs w:val="24"/>
                </w:rPr>
                <w:t xml:space="preserve"> (LGL)</w:t>
              </w:r>
              <w:r w:rsidR="006E5140">
                <w:rPr>
                  <w:rStyle w:val="Hyperlink"/>
                  <w:szCs w:val="24"/>
                </w:rPr>
                <w:tab/>
                <w:t>69</w:t>
              </w:r>
            </w:hyperlink>
          </w:p>
        </w:tc>
      </w:tr>
      <w:tr w:rsidR="006E5140" w:rsidRPr="005833DD" w:rsidTr="001F3CDA">
        <w:tc>
          <w:tcPr>
            <w:tcW w:w="5000" w:type="pct"/>
          </w:tcPr>
          <w:p w:rsidR="006E5140" w:rsidRDefault="006E5140" w:rsidP="006E5140">
            <w:pPr>
              <w:pStyle w:val="LTVerzDerFragenden"/>
            </w:pPr>
            <w:r>
              <w:t>Maier, Christoph (AfD)</w:t>
            </w:r>
          </w:p>
        </w:tc>
      </w:tr>
      <w:tr w:rsidR="006E5140" w:rsidRPr="005833DD" w:rsidTr="001F3CDA">
        <w:tc>
          <w:tcPr>
            <w:tcW w:w="5000" w:type="pct"/>
          </w:tcPr>
          <w:p w:rsidR="006E5140" w:rsidRDefault="00B366F8" w:rsidP="006E5140">
            <w:pPr>
              <w:pStyle w:val="LTVerzDerFragendenFrage"/>
            </w:pPr>
            <w:hyperlink w:anchor="Frage_Nr_70" w:tooltip="Frage Nr 70" w:history="1">
              <w:r w:rsidR="006E5140">
                <w:rPr>
                  <w:rStyle w:val="Hyperlink"/>
                  <w:szCs w:val="24"/>
                </w:rPr>
                <w:t xml:space="preserve">Aktuelle Corona-Maßnahmen: Missbrauch von Kontaktlisten und </w:t>
              </w:r>
              <w:r w:rsidR="00633488">
                <w:rPr>
                  <w:rStyle w:val="Hyperlink"/>
                  <w:szCs w:val="24"/>
                </w:rPr>
                <w:br/>
              </w:r>
              <w:r w:rsidR="006E5140">
                <w:rPr>
                  <w:rStyle w:val="Hyperlink"/>
                  <w:szCs w:val="24"/>
                </w:rPr>
                <w:t>Testkosten</w:t>
              </w:r>
              <w:r w:rsidR="006E5140">
                <w:rPr>
                  <w:rStyle w:val="Hyperlink"/>
                  <w:szCs w:val="24"/>
                </w:rPr>
                <w:tab/>
                <w:t>70</w:t>
              </w:r>
            </w:hyperlink>
          </w:p>
        </w:tc>
      </w:tr>
      <w:tr w:rsidR="006E5140" w:rsidRPr="005833DD" w:rsidTr="001F3CDA">
        <w:tc>
          <w:tcPr>
            <w:tcW w:w="5000" w:type="pct"/>
          </w:tcPr>
          <w:p w:rsidR="006E5140" w:rsidRDefault="006E5140" w:rsidP="006E5140">
            <w:pPr>
              <w:pStyle w:val="LTVerzDerFragenden"/>
            </w:pPr>
            <w:r>
              <w:t>Mang, Ferdinand (AfD)</w:t>
            </w:r>
          </w:p>
        </w:tc>
      </w:tr>
      <w:tr w:rsidR="006E5140" w:rsidRPr="005833DD" w:rsidTr="001F3CDA">
        <w:tc>
          <w:tcPr>
            <w:tcW w:w="5000" w:type="pct"/>
          </w:tcPr>
          <w:p w:rsidR="006E5140" w:rsidRDefault="00B366F8" w:rsidP="006E5140">
            <w:pPr>
              <w:pStyle w:val="LTVerzDerFragendenFrage"/>
            </w:pPr>
            <w:hyperlink w:anchor="Frage_Nr_49" w:tooltip="Frage Nr 49" w:history="1">
              <w:r w:rsidR="006E5140">
                <w:rPr>
                  <w:rStyle w:val="Hyperlink"/>
                  <w:szCs w:val="24"/>
                </w:rPr>
                <w:t>Inflation in Bayern</w:t>
              </w:r>
              <w:r w:rsidR="006E5140">
                <w:rPr>
                  <w:rStyle w:val="Hyperlink"/>
                  <w:szCs w:val="24"/>
                </w:rPr>
                <w:tab/>
                <w:t>49</w:t>
              </w:r>
            </w:hyperlink>
          </w:p>
        </w:tc>
      </w:tr>
      <w:tr w:rsidR="006E5140" w:rsidRPr="005833DD" w:rsidTr="001F3CDA">
        <w:tc>
          <w:tcPr>
            <w:tcW w:w="5000" w:type="pct"/>
          </w:tcPr>
          <w:p w:rsidR="006E5140" w:rsidRDefault="006E5140" w:rsidP="006E5140">
            <w:pPr>
              <w:pStyle w:val="LTVerzDerFragenden"/>
            </w:pPr>
            <w:r>
              <w:t>Markwort, Helmut (FDP)</w:t>
            </w:r>
          </w:p>
        </w:tc>
      </w:tr>
      <w:tr w:rsidR="006E5140" w:rsidRPr="005833DD" w:rsidTr="001F3CDA">
        <w:tc>
          <w:tcPr>
            <w:tcW w:w="5000" w:type="pct"/>
          </w:tcPr>
          <w:p w:rsidR="006E5140" w:rsidRDefault="00B366F8" w:rsidP="00693CB1">
            <w:pPr>
              <w:pStyle w:val="LTVerzDerFragendenFrage"/>
            </w:pPr>
            <w:hyperlink w:anchor="Frage_Nr_76" w:tooltip="Frage Nr 76" w:history="1">
              <w:r w:rsidR="006E5140">
                <w:rPr>
                  <w:rStyle w:val="Hyperlink"/>
                  <w:szCs w:val="24"/>
                </w:rPr>
                <w:t xml:space="preserve">Leitung des Bereichs Kommunikationsstrategie im </w:t>
              </w:r>
              <w:r w:rsidR="00693CB1">
                <w:rPr>
                  <w:rStyle w:val="Hyperlink"/>
                  <w:szCs w:val="24"/>
                </w:rPr>
                <w:br/>
                <w:t>Staatsministerium für Digitales</w:t>
              </w:r>
              <w:r w:rsidR="006E5140">
                <w:rPr>
                  <w:rStyle w:val="Hyperlink"/>
                  <w:szCs w:val="24"/>
                </w:rPr>
                <w:tab/>
                <w:t>76</w:t>
              </w:r>
            </w:hyperlink>
          </w:p>
        </w:tc>
      </w:tr>
      <w:tr w:rsidR="006E5140" w:rsidRPr="005833DD" w:rsidTr="001F3CDA">
        <w:tc>
          <w:tcPr>
            <w:tcW w:w="5000" w:type="pct"/>
          </w:tcPr>
          <w:p w:rsidR="006E5140" w:rsidRDefault="006E5140" w:rsidP="006E5140">
            <w:pPr>
              <w:pStyle w:val="LTVerzDerFragenden"/>
            </w:pPr>
            <w:r>
              <w:t>Mistol, Jürgen (BÜNDNIS 90/DIE GRÜNEN)</w:t>
            </w:r>
          </w:p>
        </w:tc>
      </w:tr>
      <w:tr w:rsidR="006E5140" w:rsidRPr="005833DD" w:rsidTr="001F3CDA">
        <w:tc>
          <w:tcPr>
            <w:tcW w:w="5000" w:type="pct"/>
          </w:tcPr>
          <w:p w:rsidR="006E5140" w:rsidRDefault="00B366F8" w:rsidP="006E5140">
            <w:pPr>
              <w:pStyle w:val="LTVerzDerFragendenFrage"/>
            </w:pPr>
            <w:hyperlink w:anchor="Frage_Nr_19" w:tooltip="Frage Nr 19" w:history="1">
              <w:r w:rsidR="006E5140">
                <w:rPr>
                  <w:rStyle w:val="Hyperlink"/>
                  <w:szCs w:val="24"/>
                </w:rPr>
                <w:t>ICE-Werk</w:t>
              </w:r>
              <w:r w:rsidR="006E5140">
                <w:rPr>
                  <w:rStyle w:val="Hyperlink"/>
                  <w:szCs w:val="24"/>
                </w:rPr>
                <w:tab/>
                <w:t>19</w:t>
              </w:r>
            </w:hyperlink>
          </w:p>
        </w:tc>
      </w:tr>
      <w:tr w:rsidR="006E5140" w:rsidRPr="005833DD" w:rsidTr="001F3CDA">
        <w:tc>
          <w:tcPr>
            <w:tcW w:w="5000" w:type="pct"/>
          </w:tcPr>
          <w:p w:rsidR="006E5140" w:rsidRDefault="006E5140" w:rsidP="006E5140">
            <w:pPr>
              <w:pStyle w:val="LTVerzDerFragenden"/>
            </w:pPr>
            <w:r>
              <w:t>Monatzeder, Hep (BÜNDNIS 90/DIE GRÜNEN)</w:t>
            </w:r>
          </w:p>
        </w:tc>
      </w:tr>
      <w:tr w:rsidR="006E5140" w:rsidRPr="005833DD" w:rsidTr="001F3CDA">
        <w:tc>
          <w:tcPr>
            <w:tcW w:w="5000" w:type="pct"/>
          </w:tcPr>
          <w:p w:rsidR="006E5140" w:rsidRDefault="00B366F8" w:rsidP="006E5140">
            <w:pPr>
              <w:pStyle w:val="LTVerzDerFragendenFrage"/>
            </w:pPr>
            <w:hyperlink w:anchor="Frage_Nr_8" w:tooltip="Frage Nr 8" w:history="1">
              <w:r w:rsidR="006E5140">
                <w:rPr>
                  <w:rStyle w:val="Hyperlink"/>
                  <w:szCs w:val="24"/>
                </w:rPr>
                <w:t>Mittelabfluss Entwicklungszusammenarbeit</w:t>
              </w:r>
              <w:r w:rsidR="006E5140">
                <w:rPr>
                  <w:rStyle w:val="Hyperlink"/>
                  <w:szCs w:val="24"/>
                </w:rPr>
                <w:tab/>
                <w:t>8</w:t>
              </w:r>
            </w:hyperlink>
          </w:p>
        </w:tc>
      </w:tr>
      <w:tr w:rsidR="006E5140" w:rsidRPr="005833DD" w:rsidTr="001F3CDA">
        <w:tc>
          <w:tcPr>
            <w:tcW w:w="5000" w:type="pct"/>
          </w:tcPr>
          <w:p w:rsidR="006E5140" w:rsidRDefault="006E5140" w:rsidP="006E5140">
            <w:pPr>
              <w:pStyle w:val="LTVerzDerFragenden"/>
            </w:pPr>
            <w:r>
              <w:t>Muthmann, Alexander (FDP)</w:t>
            </w:r>
          </w:p>
        </w:tc>
      </w:tr>
      <w:tr w:rsidR="006E5140" w:rsidRPr="005833DD" w:rsidTr="001F3CDA">
        <w:tc>
          <w:tcPr>
            <w:tcW w:w="5000" w:type="pct"/>
          </w:tcPr>
          <w:p w:rsidR="006E5140" w:rsidRDefault="00B366F8" w:rsidP="006E5140">
            <w:pPr>
              <w:pStyle w:val="LTVerzDerFragendenFrage"/>
            </w:pPr>
            <w:hyperlink w:anchor="Frage_Nr_34" w:tooltip="Frage Nr 34" w:history="1">
              <w:r w:rsidR="006E5140">
                <w:rPr>
                  <w:rStyle w:val="Hyperlink"/>
                  <w:szCs w:val="24"/>
                </w:rPr>
                <w:t>MINT-Netz Bayern</w:t>
              </w:r>
              <w:r w:rsidR="006E5140">
                <w:rPr>
                  <w:rStyle w:val="Hyperlink"/>
                  <w:szCs w:val="24"/>
                </w:rPr>
                <w:tab/>
                <w:t>34</w:t>
              </w:r>
            </w:hyperlink>
          </w:p>
        </w:tc>
      </w:tr>
      <w:tr w:rsidR="006E5140" w:rsidRPr="005833DD" w:rsidTr="001F3CDA">
        <w:tc>
          <w:tcPr>
            <w:tcW w:w="5000" w:type="pct"/>
          </w:tcPr>
          <w:p w:rsidR="006E5140" w:rsidRDefault="006E5140" w:rsidP="006E5140">
            <w:pPr>
              <w:pStyle w:val="LTVerzDerFragenden"/>
            </w:pPr>
            <w:r>
              <w:t>Müller, Ruth (SPD)</w:t>
            </w:r>
          </w:p>
        </w:tc>
      </w:tr>
      <w:tr w:rsidR="006E5140" w:rsidRPr="005833DD" w:rsidTr="001F3CDA">
        <w:tc>
          <w:tcPr>
            <w:tcW w:w="5000" w:type="pct"/>
          </w:tcPr>
          <w:p w:rsidR="006E5140" w:rsidRDefault="00B366F8" w:rsidP="006E5140">
            <w:pPr>
              <w:pStyle w:val="LTVerzDerFragendenFrage"/>
            </w:pPr>
            <w:hyperlink w:anchor="Frage_Nr_71" w:tooltip="Frage Nr 71" w:history="1">
              <w:r w:rsidR="006E5140">
                <w:rPr>
                  <w:rStyle w:val="Hyperlink"/>
                  <w:szCs w:val="24"/>
                </w:rPr>
                <w:t>Notfallversorgung im Krankenhaus Mainburg</w:t>
              </w:r>
              <w:r w:rsidR="006E5140">
                <w:rPr>
                  <w:rStyle w:val="Hyperlink"/>
                  <w:szCs w:val="24"/>
                </w:rPr>
                <w:tab/>
                <w:t>71</w:t>
              </w:r>
            </w:hyperlink>
          </w:p>
        </w:tc>
      </w:tr>
      <w:tr w:rsidR="006E5140" w:rsidRPr="005833DD" w:rsidTr="001F3CDA">
        <w:tc>
          <w:tcPr>
            <w:tcW w:w="5000" w:type="pct"/>
          </w:tcPr>
          <w:p w:rsidR="006E5140" w:rsidRDefault="006E5140" w:rsidP="006E5140">
            <w:pPr>
              <w:pStyle w:val="LTVerzDerFragenden"/>
            </w:pPr>
            <w:r>
              <w:t>Osgyan, Verena (BÜNDNIS 90/DIE GRÜNEN)</w:t>
            </w:r>
          </w:p>
        </w:tc>
      </w:tr>
      <w:tr w:rsidR="006E5140" w:rsidRPr="005833DD" w:rsidTr="001F3CDA">
        <w:tc>
          <w:tcPr>
            <w:tcW w:w="5000" w:type="pct"/>
          </w:tcPr>
          <w:p w:rsidR="006E5140" w:rsidRDefault="00B366F8" w:rsidP="006E5140">
            <w:pPr>
              <w:pStyle w:val="LTVerzDerFragendenFrage"/>
            </w:pPr>
            <w:hyperlink w:anchor="Frage_Nr_20" w:tooltip="Frage Nr 20" w:history="1">
              <w:r w:rsidR="006E5140">
                <w:rPr>
                  <w:rStyle w:val="Hyperlink"/>
                  <w:szCs w:val="24"/>
                </w:rPr>
                <w:t>ICE-Werk: Bestrebungen für Alternativen</w:t>
              </w:r>
              <w:r w:rsidR="006E5140">
                <w:rPr>
                  <w:rStyle w:val="Hyperlink"/>
                  <w:szCs w:val="24"/>
                </w:rPr>
                <w:tab/>
                <w:t>20</w:t>
              </w:r>
            </w:hyperlink>
          </w:p>
        </w:tc>
      </w:tr>
      <w:tr w:rsidR="006E5140" w:rsidRPr="005833DD" w:rsidTr="001F3CDA">
        <w:tc>
          <w:tcPr>
            <w:tcW w:w="5000" w:type="pct"/>
          </w:tcPr>
          <w:p w:rsidR="006E5140" w:rsidRDefault="006E5140" w:rsidP="006E5140">
            <w:pPr>
              <w:pStyle w:val="LTVerzDerFragenden"/>
            </w:pPr>
            <w:r>
              <w:t>Pargent, Tim (BÜNDNIS 90/DIE GRÜNEN)</w:t>
            </w:r>
          </w:p>
        </w:tc>
      </w:tr>
      <w:tr w:rsidR="006E5140" w:rsidRPr="005833DD" w:rsidTr="001F3CDA">
        <w:tc>
          <w:tcPr>
            <w:tcW w:w="5000" w:type="pct"/>
          </w:tcPr>
          <w:p w:rsidR="006E5140" w:rsidRDefault="00B366F8" w:rsidP="006E5140">
            <w:pPr>
              <w:pStyle w:val="LTVerzDerFragendenFrage"/>
            </w:pPr>
            <w:hyperlink w:anchor="Frage_Nr_45" w:tooltip="Frage Nr 45" w:history="1">
              <w:r w:rsidR="006E5140">
                <w:rPr>
                  <w:rStyle w:val="Hyperlink"/>
                  <w:szCs w:val="24"/>
                </w:rPr>
                <w:t xml:space="preserve">War </w:t>
              </w:r>
              <w:r w:rsidR="005C0F48">
                <w:rPr>
                  <w:rStyle w:val="Hyperlink"/>
                  <w:szCs w:val="24"/>
                </w:rPr>
                <w:t>„</w:t>
              </w:r>
              <w:r w:rsidR="006E5140">
                <w:rPr>
                  <w:rStyle w:val="Hyperlink"/>
                  <w:szCs w:val="24"/>
                </w:rPr>
                <w:t>Cum Ex zwei</w:t>
              </w:r>
              <w:r w:rsidR="005C0F48">
                <w:rPr>
                  <w:rStyle w:val="Hyperlink"/>
                  <w:szCs w:val="24"/>
                </w:rPr>
                <w:t>“</w:t>
              </w:r>
              <w:r w:rsidR="006E5140">
                <w:rPr>
                  <w:rStyle w:val="Hyperlink"/>
                  <w:szCs w:val="24"/>
                </w:rPr>
                <w:t xml:space="preserve"> den bayerischen Behörden bekannt?</w:t>
              </w:r>
              <w:r w:rsidR="006E5140">
                <w:rPr>
                  <w:rStyle w:val="Hyperlink"/>
                  <w:szCs w:val="24"/>
                </w:rPr>
                <w:tab/>
                <w:t>45</w:t>
              </w:r>
            </w:hyperlink>
          </w:p>
        </w:tc>
      </w:tr>
      <w:tr w:rsidR="006E5140" w:rsidRPr="005833DD" w:rsidTr="001F3CDA">
        <w:tc>
          <w:tcPr>
            <w:tcW w:w="5000" w:type="pct"/>
          </w:tcPr>
          <w:p w:rsidR="006E5140" w:rsidRDefault="006E5140" w:rsidP="006E5140">
            <w:pPr>
              <w:pStyle w:val="LTVerzDerFragenden"/>
            </w:pPr>
            <w:r>
              <w:t>Rauscher, Doris (SPD)</w:t>
            </w:r>
          </w:p>
        </w:tc>
      </w:tr>
      <w:tr w:rsidR="006E5140" w:rsidRPr="005833DD" w:rsidTr="001F3CDA">
        <w:tc>
          <w:tcPr>
            <w:tcW w:w="5000" w:type="pct"/>
          </w:tcPr>
          <w:p w:rsidR="006E5140" w:rsidRDefault="00B366F8" w:rsidP="006E5140">
            <w:pPr>
              <w:pStyle w:val="LTVerzDerFragendenFrage"/>
            </w:pPr>
            <w:hyperlink w:anchor="Frage_Nr_62" w:tooltip="Frage Nr 62" w:history="1">
              <w:r w:rsidR="006E5140">
                <w:rPr>
                  <w:rStyle w:val="Hyperlink"/>
                  <w:szCs w:val="24"/>
                </w:rPr>
                <w:t>Coronatests an Kindertageseinrichtungen</w:t>
              </w:r>
              <w:r w:rsidR="006E5140">
                <w:rPr>
                  <w:rStyle w:val="Hyperlink"/>
                  <w:szCs w:val="24"/>
                </w:rPr>
                <w:tab/>
                <w:t>62</w:t>
              </w:r>
            </w:hyperlink>
          </w:p>
        </w:tc>
      </w:tr>
      <w:tr w:rsidR="006E5140" w:rsidRPr="005833DD" w:rsidTr="001F3CDA">
        <w:tc>
          <w:tcPr>
            <w:tcW w:w="5000" w:type="pct"/>
          </w:tcPr>
          <w:p w:rsidR="006E5140" w:rsidRDefault="006E5140" w:rsidP="006E5140">
            <w:pPr>
              <w:pStyle w:val="LTVerzDerFragenden"/>
            </w:pPr>
            <w:r>
              <w:t>Rinderspacher, Markus (SPD)</w:t>
            </w:r>
          </w:p>
        </w:tc>
      </w:tr>
      <w:tr w:rsidR="006E5140" w:rsidRPr="005833DD" w:rsidTr="001F3CDA">
        <w:tc>
          <w:tcPr>
            <w:tcW w:w="5000" w:type="pct"/>
          </w:tcPr>
          <w:p w:rsidR="006E5140" w:rsidRDefault="00B366F8" w:rsidP="006E5140">
            <w:pPr>
              <w:pStyle w:val="LTVerzDerFragendenFrage"/>
            </w:pPr>
            <w:hyperlink w:anchor="Frage_Nr_63" w:tooltip="Frage Nr 63" w:history="1">
              <w:r w:rsidR="006E5140">
                <w:rPr>
                  <w:rStyle w:val="Hyperlink"/>
                  <w:szCs w:val="24"/>
                </w:rPr>
                <w:t>Niedriglöhne in Bayern</w:t>
              </w:r>
              <w:r w:rsidR="006E5140">
                <w:rPr>
                  <w:rStyle w:val="Hyperlink"/>
                  <w:szCs w:val="24"/>
                </w:rPr>
                <w:tab/>
                <w:t>63</w:t>
              </w:r>
            </w:hyperlink>
          </w:p>
        </w:tc>
      </w:tr>
      <w:tr w:rsidR="006E5140" w:rsidRPr="005833DD" w:rsidTr="001F3CDA">
        <w:tc>
          <w:tcPr>
            <w:tcW w:w="5000" w:type="pct"/>
          </w:tcPr>
          <w:p w:rsidR="006E5140" w:rsidRDefault="006E5140" w:rsidP="006E5140">
            <w:pPr>
              <w:pStyle w:val="LTVerzDerFragenden"/>
            </w:pPr>
            <w:r>
              <w:t>Ritter, Florian (SPD)</w:t>
            </w:r>
          </w:p>
        </w:tc>
      </w:tr>
      <w:tr w:rsidR="006E5140" w:rsidRPr="005833DD" w:rsidTr="001F3CDA">
        <w:tc>
          <w:tcPr>
            <w:tcW w:w="5000" w:type="pct"/>
          </w:tcPr>
          <w:p w:rsidR="006E5140" w:rsidRDefault="00B366F8" w:rsidP="006E5140">
            <w:pPr>
              <w:pStyle w:val="LTVerzDerFragendenFrage"/>
            </w:pPr>
            <w:hyperlink w:anchor="Frage_Nr_54" w:tooltip="Frage Nr 54" w:history="1">
              <w:r w:rsidR="006E5140">
                <w:rPr>
                  <w:rStyle w:val="Hyperlink"/>
                  <w:szCs w:val="24"/>
                </w:rPr>
                <w:t xml:space="preserve">Gesetzliche Grundlage für hoheitliche Verwahrung von Tieren durch </w:t>
              </w:r>
              <w:r w:rsidR="00633488">
                <w:rPr>
                  <w:rStyle w:val="Hyperlink"/>
                  <w:szCs w:val="24"/>
                </w:rPr>
                <w:br/>
              </w:r>
              <w:r w:rsidR="006E5140">
                <w:rPr>
                  <w:rStyle w:val="Hyperlink"/>
                  <w:szCs w:val="24"/>
                </w:rPr>
                <w:t>privaten Verein</w:t>
              </w:r>
              <w:r w:rsidR="006E5140">
                <w:rPr>
                  <w:rStyle w:val="Hyperlink"/>
                  <w:szCs w:val="24"/>
                </w:rPr>
                <w:tab/>
                <w:t>54</w:t>
              </w:r>
            </w:hyperlink>
          </w:p>
        </w:tc>
      </w:tr>
      <w:tr w:rsidR="006E5140" w:rsidRPr="005833DD" w:rsidTr="001F3CDA">
        <w:tc>
          <w:tcPr>
            <w:tcW w:w="5000" w:type="pct"/>
          </w:tcPr>
          <w:p w:rsidR="006E5140" w:rsidRDefault="006E5140" w:rsidP="006E5140">
            <w:pPr>
              <w:pStyle w:val="LTVerzDerFragenden"/>
            </w:pPr>
            <w:r>
              <w:t>Sandt, Julika (FDP)</w:t>
            </w:r>
          </w:p>
        </w:tc>
      </w:tr>
      <w:tr w:rsidR="006E5140" w:rsidRPr="005833DD" w:rsidTr="001F3CDA">
        <w:tc>
          <w:tcPr>
            <w:tcW w:w="5000" w:type="pct"/>
          </w:tcPr>
          <w:p w:rsidR="006E5140" w:rsidRDefault="00B366F8" w:rsidP="006E5140">
            <w:pPr>
              <w:pStyle w:val="LTVerzDerFragendenFrage"/>
            </w:pPr>
            <w:hyperlink w:anchor="Frage_Nr_35" w:tooltip="Frage Nr 35" w:history="1">
              <w:r w:rsidR="006E5140">
                <w:rPr>
                  <w:rStyle w:val="Hyperlink"/>
                  <w:szCs w:val="24"/>
                </w:rPr>
                <w:t>Personalsituation in der Kinderbetreuung</w:t>
              </w:r>
              <w:r w:rsidR="006E5140">
                <w:rPr>
                  <w:rStyle w:val="Hyperlink"/>
                  <w:szCs w:val="24"/>
                </w:rPr>
                <w:tab/>
                <w:t>35</w:t>
              </w:r>
            </w:hyperlink>
          </w:p>
        </w:tc>
      </w:tr>
      <w:tr w:rsidR="006E5140" w:rsidRPr="005833DD" w:rsidTr="001F3CDA">
        <w:tc>
          <w:tcPr>
            <w:tcW w:w="5000" w:type="pct"/>
          </w:tcPr>
          <w:p w:rsidR="006E5140" w:rsidRDefault="006E5140" w:rsidP="006E5140">
            <w:pPr>
              <w:pStyle w:val="LTVerzDerFragenden"/>
            </w:pPr>
            <w:r>
              <w:t>Schiffers, Jan (AfD)</w:t>
            </w:r>
          </w:p>
        </w:tc>
      </w:tr>
      <w:tr w:rsidR="006E5140" w:rsidRPr="005833DD" w:rsidTr="001F3CDA">
        <w:tc>
          <w:tcPr>
            <w:tcW w:w="5000" w:type="pct"/>
          </w:tcPr>
          <w:p w:rsidR="006E5140" w:rsidRDefault="00B366F8" w:rsidP="006E5140">
            <w:pPr>
              <w:pStyle w:val="LTVerzDerFragendenFrage"/>
            </w:pPr>
            <w:hyperlink w:anchor="Frage_Nr_21" w:tooltip="Frage Nr 21" w:history="1">
              <w:r w:rsidR="006E5140">
                <w:rPr>
                  <w:rStyle w:val="Hyperlink"/>
                  <w:szCs w:val="24"/>
                </w:rPr>
                <w:t>Bauvorhaben der BayernHeim GmbH auf den Flächen d</w:t>
              </w:r>
              <w:r w:rsidR="00633488">
                <w:rPr>
                  <w:rStyle w:val="Hyperlink"/>
                  <w:szCs w:val="24"/>
                </w:rPr>
                <w:t xml:space="preserve">er ehemaligen Röhrenseekaserne </w:t>
              </w:r>
              <w:r w:rsidR="006E5140">
                <w:rPr>
                  <w:rStyle w:val="Hyperlink"/>
                  <w:szCs w:val="24"/>
                </w:rPr>
                <w:t>an der Ludwig-Thoma-Straße in Bayreuth</w:t>
              </w:r>
              <w:r w:rsidR="006E5140">
                <w:rPr>
                  <w:rStyle w:val="Hyperlink"/>
                  <w:szCs w:val="24"/>
                </w:rPr>
                <w:tab/>
                <w:t>21</w:t>
              </w:r>
            </w:hyperlink>
          </w:p>
        </w:tc>
      </w:tr>
      <w:tr w:rsidR="006E5140" w:rsidRPr="005833DD" w:rsidTr="001F3CDA">
        <w:tc>
          <w:tcPr>
            <w:tcW w:w="5000" w:type="pct"/>
          </w:tcPr>
          <w:p w:rsidR="006E5140" w:rsidRDefault="006E5140" w:rsidP="006E5140">
            <w:pPr>
              <w:pStyle w:val="LTVerzDerFragenden"/>
            </w:pPr>
            <w:r>
              <w:t>Schuberl, Toni (BÜNDNIS 90/DIE GRÜNEN)</w:t>
            </w:r>
          </w:p>
        </w:tc>
      </w:tr>
      <w:tr w:rsidR="006E5140" w:rsidRPr="005833DD" w:rsidTr="001F3CDA">
        <w:tc>
          <w:tcPr>
            <w:tcW w:w="5000" w:type="pct"/>
          </w:tcPr>
          <w:p w:rsidR="006E5140" w:rsidRDefault="00B366F8" w:rsidP="006E5140">
            <w:pPr>
              <w:pStyle w:val="LTVerzDerFragendenFrage"/>
            </w:pPr>
            <w:hyperlink w:anchor="Frage_Nr_30" w:tooltip="Frage Nr 30" w:history="1">
              <w:r w:rsidR="006E5140">
                <w:rPr>
                  <w:rStyle w:val="Hyperlink"/>
                  <w:szCs w:val="24"/>
                </w:rPr>
                <w:t>Alleinerziehende im Justizvollzug</w:t>
              </w:r>
              <w:r w:rsidR="006E5140">
                <w:rPr>
                  <w:rStyle w:val="Hyperlink"/>
                  <w:szCs w:val="24"/>
                </w:rPr>
                <w:tab/>
                <w:t>30</w:t>
              </w:r>
            </w:hyperlink>
          </w:p>
        </w:tc>
      </w:tr>
      <w:tr w:rsidR="006E5140" w:rsidRPr="005833DD" w:rsidTr="001F3CDA">
        <w:tc>
          <w:tcPr>
            <w:tcW w:w="5000" w:type="pct"/>
          </w:tcPr>
          <w:p w:rsidR="006E5140" w:rsidRDefault="006E5140" w:rsidP="006E5140">
            <w:pPr>
              <w:pStyle w:val="LTVerzDerFragenden"/>
            </w:pPr>
            <w:r>
              <w:t>Schuhknecht, Stephanie (BÜNDNIS 90/DIE GRÜNEN)</w:t>
            </w:r>
          </w:p>
        </w:tc>
      </w:tr>
      <w:tr w:rsidR="006E5140" w:rsidRPr="005833DD" w:rsidTr="001F3CDA">
        <w:tc>
          <w:tcPr>
            <w:tcW w:w="5000" w:type="pct"/>
          </w:tcPr>
          <w:p w:rsidR="006E5140" w:rsidRDefault="00B366F8" w:rsidP="006E5140">
            <w:pPr>
              <w:pStyle w:val="LTVerzDerFragendenFrage"/>
            </w:pPr>
            <w:hyperlink w:anchor="Frage_Nr_22" w:tooltip="Frage Nr 22" w:history="1">
              <w:r w:rsidR="006E5140">
                <w:rPr>
                  <w:rStyle w:val="Hyperlink"/>
                  <w:szCs w:val="24"/>
                </w:rPr>
                <w:t>Potenzielle Standorte ICE-Werk im süddeutschen Raum</w:t>
              </w:r>
              <w:r w:rsidR="006E5140">
                <w:rPr>
                  <w:rStyle w:val="Hyperlink"/>
                  <w:szCs w:val="24"/>
                </w:rPr>
                <w:tab/>
                <w:t>22</w:t>
              </w:r>
            </w:hyperlink>
          </w:p>
        </w:tc>
      </w:tr>
      <w:tr w:rsidR="006E5140" w:rsidRPr="005833DD" w:rsidTr="001F3CDA">
        <w:tc>
          <w:tcPr>
            <w:tcW w:w="5000" w:type="pct"/>
          </w:tcPr>
          <w:p w:rsidR="006E5140" w:rsidRDefault="006E5140" w:rsidP="006E5140">
            <w:pPr>
              <w:pStyle w:val="LTVerzDerFragenden"/>
            </w:pPr>
            <w:r>
              <w:t>Schulze, Katharina (BÜNDNIS 90/DIE GRÜNEN)</w:t>
            </w:r>
          </w:p>
        </w:tc>
      </w:tr>
      <w:tr w:rsidR="006E5140" w:rsidRPr="005833DD" w:rsidTr="001F3CDA">
        <w:tc>
          <w:tcPr>
            <w:tcW w:w="5000" w:type="pct"/>
          </w:tcPr>
          <w:p w:rsidR="006E5140" w:rsidRDefault="00B366F8" w:rsidP="006E5140">
            <w:pPr>
              <w:pStyle w:val="LTVerzDerFragendenFrage"/>
            </w:pPr>
            <w:hyperlink w:anchor="Frage_Nr_72" w:tooltip="Frage Nr 72" w:history="1">
              <w:r w:rsidR="00B73A20">
                <w:rPr>
                  <w:rStyle w:val="Hyperlink"/>
                  <w:szCs w:val="24"/>
                </w:rPr>
                <w:t>Sputnik V-</w:t>
              </w:r>
              <w:r w:rsidR="006E5140">
                <w:rPr>
                  <w:rStyle w:val="Hyperlink"/>
                  <w:szCs w:val="24"/>
                </w:rPr>
                <w:t>Impfstoff</w:t>
              </w:r>
              <w:r w:rsidR="006E5140">
                <w:rPr>
                  <w:rStyle w:val="Hyperlink"/>
                  <w:szCs w:val="24"/>
                </w:rPr>
                <w:tab/>
                <w:t>72</w:t>
              </w:r>
            </w:hyperlink>
          </w:p>
        </w:tc>
      </w:tr>
      <w:tr w:rsidR="006E5140" w:rsidRPr="005833DD" w:rsidTr="001F3CDA">
        <w:tc>
          <w:tcPr>
            <w:tcW w:w="5000" w:type="pct"/>
          </w:tcPr>
          <w:p w:rsidR="006E5140" w:rsidRDefault="006E5140" w:rsidP="006E5140">
            <w:pPr>
              <w:pStyle w:val="LTVerzDerFragenden"/>
            </w:pPr>
            <w:r>
              <w:t>Schuster, Stefan (SPD)</w:t>
            </w:r>
          </w:p>
        </w:tc>
      </w:tr>
      <w:tr w:rsidR="006E5140" w:rsidRPr="005833DD" w:rsidTr="001F3CDA">
        <w:tc>
          <w:tcPr>
            <w:tcW w:w="5000" w:type="pct"/>
          </w:tcPr>
          <w:p w:rsidR="006E5140" w:rsidRDefault="00B366F8" w:rsidP="006E5140">
            <w:pPr>
              <w:pStyle w:val="LTVerzDerFragendenFrage"/>
            </w:pPr>
            <w:hyperlink w:anchor="Frage_Nr_13" w:tooltip="Frage Nr 13" w:history="1">
              <w:r w:rsidR="006E5140">
                <w:rPr>
                  <w:rStyle w:val="Hyperlink"/>
                  <w:szCs w:val="24"/>
                </w:rPr>
                <w:t>Stellenkontingent für Antragsteilzeit bei der Polizei</w:t>
              </w:r>
              <w:r w:rsidR="006E5140">
                <w:rPr>
                  <w:rStyle w:val="Hyperlink"/>
                  <w:szCs w:val="24"/>
                </w:rPr>
                <w:tab/>
                <w:t>13</w:t>
              </w:r>
            </w:hyperlink>
          </w:p>
        </w:tc>
      </w:tr>
      <w:tr w:rsidR="006E5140" w:rsidRPr="005833DD" w:rsidTr="001F3CDA">
        <w:tc>
          <w:tcPr>
            <w:tcW w:w="5000" w:type="pct"/>
          </w:tcPr>
          <w:p w:rsidR="006E5140" w:rsidRDefault="006E5140" w:rsidP="006E5140">
            <w:pPr>
              <w:pStyle w:val="LTVerzDerFragenden"/>
            </w:pPr>
            <w:r>
              <w:t>Schwamberger, Anna (BÜNDNIS 90/DIE GRÜNEN)</w:t>
            </w:r>
          </w:p>
        </w:tc>
      </w:tr>
      <w:tr w:rsidR="006E5140" w:rsidRPr="005833DD" w:rsidTr="001F3CDA">
        <w:tc>
          <w:tcPr>
            <w:tcW w:w="5000" w:type="pct"/>
          </w:tcPr>
          <w:p w:rsidR="006E5140" w:rsidRDefault="00B366F8" w:rsidP="006E5140">
            <w:pPr>
              <w:pStyle w:val="LTVerzDerFragendenFrage"/>
            </w:pPr>
            <w:hyperlink w:anchor="Frage_Nr_46" w:tooltip="Frage Nr 46" w:history="1">
              <w:r w:rsidR="00B73A20">
                <w:rPr>
                  <w:rStyle w:val="Hyperlink"/>
                  <w:szCs w:val="24"/>
                </w:rPr>
                <w:t>Reisekosten Referendarinnen und</w:t>
              </w:r>
              <w:r w:rsidR="006E5140">
                <w:rPr>
                  <w:rStyle w:val="Hyperlink"/>
                  <w:szCs w:val="24"/>
                </w:rPr>
                <w:t xml:space="preserve"> Referedare</w:t>
              </w:r>
              <w:r w:rsidR="006E5140">
                <w:rPr>
                  <w:rStyle w:val="Hyperlink"/>
                  <w:szCs w:val="24"/>
                </w:rPr>
                <w:tab/>
                <w:t>46</w:t>
              </w:r>
            </w:hyperlink>
          </w:p>
        </w:tc>
      </w:tr>
      <w:tr w:rsidR="006E5140" w:rsidRPr="005833DD" w:rsidTr="001F3CDA">
        <w:tc>
          <w:tcPr>
            <w:tcW w:w="5000" w:type="pct"/>
          </w:tcPr>
          <w:p w:rsidR="006E5140" w:rsidRDefault="006E5140" w:rsidP="006E5140">
            <w:pPr>
              <w:pStyle w:val="LTVerzDerFragenden"/>
            </w:pPr>
            <w:r>
              <w:t>Sengl, Gisela (BÜNDNIS 90/DIE GRÜNEN)</w:t>
            </w:r>
          </w:p>
        </w:tc>
      </w:tr>
      <w:tr w:rsidR="006E5140" w:rsidRPr="005833DD" w:rsidTr="001F3CDA">
        <w:tc>
          <w:tcPr>
            <w:tcW w:w="5000" w:type="pct"/>
          </w:tcPr>
          <w:p w:rsidR="006E5140" w:rsidRDefault="00B366F8" w:rsidP="006E5140">
            <w:pPr>
              <w:pStyle w:val="LTVerzDerFragendenFrage"/>
            </w:pPr>
            <w:hyperlink w:anchor="Frage_Nr_60" w:tooltip="Frage Nr 60" w:history="1">
              <w:r w:rsidR="006E5140">
                <w:rPr>
                  <w:rStyle w:val="Hyperlink"/>
                  <w:szCs w:val="24"/>
                </w:rPr>
                <w:t>Strukturelle Situation der Landwirtschaft</w:t>
              </w:r>
              <w:r w:rsidR="006E5140">
                <w:rPr>
                  <w:rStyle w:val="Hyperlink"/>
                  <w:szCs w:val="24"/>
                </w:rPr>
                <w:tab/>
                <w:t>60</w:t>
              </w:r>
            </w:hyperlink>
          </w:p>
        </w:tc>
      </w:tr>
      <w:tr w:rsidR="006E5140" w:rsidRPr="005833DD" w:rsidTr="001F3CDA">
        <w:tc>
          <w:tcPr>
            <w:tcW w:w="5000" w:type="pct"/>
          </w:tcPr>
          <w:p w:rsidR="006E5140" w:rsidRDefault="006E5140" w:rsidP="006E5140">
            <w:pPr>
              <w:pStyle w:val="LTVerzDerFragenden"/>
            </w:pPr>
            <w:r>
              <w:t>Siekmann, Florian (BÜNDNIS 90/DIE GRÜNEN)</w:t>
            </w:r>
          </w:p>
        </w:tc>
      </w:tr>
      <w:tr w:rsidR="006E5140" w:rsidRPr="005833DD" w:rsidTr="001F3CDA">
        <w:tc>
          <w:tcPr>
            <w:tcW w:w="5000" w:type="pct"/>
          </w:tcPr>
          <w:p w:rsidR="006E5140" w:rsidRDefault="00B366F8" w:rsidP="006E5140">
            <w:pPr>
              <w:pStyle w:val="LTVerzDerFragendenFrage"/>
            </w:pPr>
            <w:hyperlink w:anchor="Frage_Nr_23" w:tooltip="Frage Nr 23" w:history="1">
              <w:r w:rsidR="006E5140">
                <w:rPr>
                  <w:rStyle w:val="Hyperlink"/>
                  <w:szCs w:val="24"/>
                </w:rPr>
                <w:t>ICE-Werk im Raum Nürnberg</w:t>
              </w:r>
              <w:r w:rsidR="006E5140">
                <w:rPr>
                  <w:rStyle w:val="Hyperlink"/>
                  <w:szCs w:val="24"/>
                </w:rPr>
                <w:tab/>
                <w:t>23</w:t>
              </w:r>
            </w:hyperlink>
          </w:p>
        </w:tc>
      </w:tr>
      <w:tr w:rsidR="006E5140" w:rsidRPr="005833DD" w:rsidTr="001F3CDA">
        <w:tc>
          <w:tcPr>
            <w:tcW w:w="5000" w:type="pct"/>
          </w:tcPr>
          <w:p w:rsidR="006E5140" w:rsidRDefault="006E5140" w:rsidP="006E5140">
            <w:pPr>
              <w:pStyle w:val="LTVerzDerFragenden"/>
            </w:pPr>
            <w:r>
              <w:t>Singer, Ulrich (AfD)</w:t>
            </w:r>
          </w:p>
        </w:tc>
      </w:tr>
      <w:tr w:rsidR="006E5140" w:rsidRPr="005833DD" w:rsidTr="001F3CDA">
        <w:tc>
          <w:tcPr>
            <w:tcW w:w="5000" w:type="pct"/>
          </w:tcPr>
          <w:p w:rsidR="006E5140" w:rsidRDefault="00B366F8" w:rsidP="006E5140">
            <w:pPr>
              <w:pStyle w:val="LTVerzDerFragendenFrage"/>
            </w:pPr>
            <w:hyperlink w:anchor="Frage_Nr_73" w:tooltip="Frage Nr 73" w:history="1">
              <w:r w:rsidR="006E5140">
                <w:rPr>
                  <w:rStyle w:val="Hyperlink"/>
                  <w:szCs w:val="24"/>
                </w:rPr>
                <w:t xml:space="preserve">Konformitätsbewertungsverfahren zu den PCR-Lolli-Tests und die </w:t>
              </w:r>
              <w:r w:rsidR="00693CB1">
                <w:rPr>
                  <w:rStyle w:val="Hyperlink"/>
                  <w:szCs w:val="24"/>
                </w:rPr>
                <w:br/>
              </w:r>
              <w:r w:rsidR="006E5140">
                <w:rPr>
                  <w:rStyle w:val="Hyperlink"/>
                  <w:szCs w:val="24"/>
                </w:rPr>
                <w:t>benannte Stelle im Verfahren</w:t>
              </w:r>
              <w:r w:rsidR="006E5140">
                <w:rPr>
                  <w:rStyle w:val="Hyperlink"/>
                  <w:szCs w:val="24"/>
                </w:rPr>
                <w:tab/>
                <w:t>73</w:t>
              </w:r>
            </w:hyperlink>
          </w:p>
        </w:tc>
      </w:tr>
      <w:tr w:rsidR="006E5140" w:rsidRPr="005833DD" w:rsidTr="001F3CDA">
        <w:tc>
          <w:tcPr>
            <w:tcW w:w="5000" w:type="pct"/>
          </w:tcPr>
          <w:p w:rsidR="006E5140" w:rsidRDefault="006E5140" w:rsidP="006E5140">
            <w:pPr>
              <w:pStyle w:val="LTVerzDerFragenden"/>
            </w:pPr>
            <w:r>
              <w:t>Skutella, Christoph (FDP)</w:t>
            </w:r>
          </w:p>
        </w:tc>
      </w:tr>
      <w:tr w:rsidR="006E5140" w:rsidRPr="005833DD" w:rsidTr="001F3CDA">
        <w:tc>
          <w:tcPr>
            <w:tcW w:w="5000" w:type="pct"/>
          </w:tcPr>
          <w:p w:rsidR="006E5140" w:rsidRDefault="00B366F8" w:rsidP="006E5140">
            <w:pPr>
              <w:pStyle w:val="LTVerzDerFragendenFrage"/>
            </w:pPr>
            <w:hyperlink w:anchor="Frage_Nr_50" w:tooltip="Frage Nr 50" w:history="1">
              <w:r w:rsidR="006E5140">
                <w:rPr>
                  <w:rStyle w:val="Hyperlink"/>
                  <w:szCs w:val="24"/>
                </w:rPr>
                <w:t>Bayerische Unternehmen im europäischen und deutschen Emissionshandel</w:t>
              </w:r>
              <w:r w:rsidR="006E5140">
                <w:rPr>
                  <w:rStyle w:val="Hyperlink"/>
                  <w:szCs w:val="24"/>
                </w:rPr>
                <w:tab/>
                <w:t>50</w:t>
              </w:r>
            </w:hyperlink>
          </w:p>
        </w:tc>
      </w:tr>
      <w:tr w:rsidR="006E5140" w:rsidRPr="005833DD" w:rsidTr="001F3CDA">
        <w:tc>
          <w:tcPr>
            <w:tcW w:w="5000" w:type="pct"/>
          </w:tcPr>
          <w:p w:rsidR="006E5140" w:rsidRDefault="006E5140" w:rsidP="006E5140">
            <w:pPr>
              <w:pStyle w:val="LTVerzDerFragenden"/>
            </w:pPr>
            <w:r>
              <w:t>Sowa, Ursula (BÜNDNIS 90/DIE GRÜNEN)</w:t>
            </w:r>
          </w:p>
        </w:tc>
      </w:tr>
      <w:tr w:rsidR="006E5140" w:rsidRPr="005833DD" w:rsidTr="001F3CDA">
        <w:tc>
          <w:tcPr>
            <w:tcW w:w="5000" w:type="pct"/>
          </w:tcPr>
          <w:p w:rsidR="006E5140" w:rsidRDefault="00B366F8" w:rsidP="006E5140">
            <w:pPr>
              <w:pStyle w:val="LTVerzDerFragendenFrage"/>
            </w:pPr>
            <w:hyperlink w:anchor="Frage_Nr_24" w:tooltip="Frage Nr 24" w:history="1">
              <w:r w:rsidR="006E5140">
                <w:rPr>
                  <w:rStyle w:val="Hyperlink"/>
                  <w:szCs w:val="24"/>
                </w:rPr>
                <w:t xml:space="preserve">Sonderfonds </w:t>
              </w:r>
              <w:r w:rsidR="005C0F48">
                <w:rPr>
                  <w:rStyle w:val="Hyperlink"/>
                  <w:szCs w:val="24"/>
                </w:rPr>
                <w:t>„</w:t>
              </w:r>
              <w:r w:rsidR="006E5140">
                <w:rPr>
                  <w:rStyle w:val="Hyperlink"/>
                  <w:szCs w:val="24"/>
                </w:rPr>
                <w:t>Innenstädte beleben</w:t>
              </w:r>
              <w:r w:rsidR="005C0F48">
                <w:rPr>
                  <w:rStyle w:val="Hyperlink"/>
                  <w:szCs w:val="24"/>
                </w:rPr>
                <w:t>“</w:t>
              </w:r>
              <w:r w:rsidR="006E5140">
                <w:rPr>
                  <w:rStyle w:val="Hyperlink"/>
                  <w:szCs w:val="24"/>
                </w:rPr>
                <w:tab/>
                <w:t>24</w:t>
              </w:r>
            </w:hyperlink>
          </w:p>
        </w:tc>
      </w:tr>
      <w:tr w:rsidR="006E5140" w:rsidRPr="005833DD" w:rsidTr="001F3CDA">
        <w:tc>
          <w:tcPr>
            <w:tcW w:w="5000" w:type="pct"/>
          </w:tcPr>
          <w:p w:rsidR="006E5140" w:rsidRDefault="006E5140" w:rsidP="006E5140">
            <w:pPr>
              <w:pStyle w:val="LTVerzDerFragenden"/>
            </w:pPr>
            <w:r>
              <w:t>Dr. Spitzer, Dominik (FDP)</w:t>
            </w:r>
          </w:p>
        </w:tc>
      </w:tr>
      <w:tr w:rsidR="006E5140" w:rsidRPr="005833DD" w:rsidTr="001F3CDA">
        <w:tc>
          <w:tcPr>
            <w:tcW w:w="5000" w:type="pct"/>
          </w:tcPr>
          <w:p w:rsidR="006E5140" w:rsidRDefault="00B366F8" w:rsidP="006E5140">
            <w:pPr>
              <w:pStyle w:val="LTVerzDerFragendenFrage"/>
            </w:pPr>
            <w:hyperlink w:anchor="Frage_Nr_36" w:tooltip="Frage Nr 36" w:history="1">
              <w:r w:rsidR="006E5140">
                <w:rPr>
                  <w:rStyle w:val="Hyperlink"/>
                  <w:szCs w:val="24"/>
                </w:rPr>
                <w:t>Kompensation Reduzierung Lehrerwochenstunden Ganztag</w:t>
              </w:r>
              <w:r w:rsidR="006E5140">
                <w:rPr>
                  <w:rStyle w:val="Hyperlink"/>
                  <w:szCs w:val="24"/>
                </w:rPr>
                <w:tab/>
                <w:t>36</w:t>
              </w:r>
            </w:hyperlink>
          </w:p>
        </w:tc>
      </w:tr>
      <w:tr w:rsidR="006E5140" w:rsidRPr="005833DD" w:rsidTr="001F3CDA">
        <w:tc>
          <w:tcPr>
            <w:tcW w:w="5000" w:type="pct"/>
          </w:tcPr>
          <w:p w:rsidR="006E5140" w:rsidRDefault="006E5140" w:rsidP="006E5140">
            <w:pPr>
              <w:pStyle w:val="LTVerzDerFragenden"/>
            </w:pPr>
            <w:r>
              <w:t>Stachowitz, Diana (SPD)</w:t>
            </w:r>
          </w:p>
        </w:tc>
      </w:tr>
      <w:tr w:rsidR="006E5140" w:rsidRPr="005833DD" w:rsidTr="001F3CDA">
        <w:tc>
          <w:tcPr>
            <w:tcW w:w="5000" w:type="pct"/>
          </w:tcPr>
          <w:p w:rsidR="006E5140" w:rsidRDefault="00B366F8" w:rsidP="006E5140">
            <w:pPr>
              <w:pStyle w:val="LTVerzDerFragendenFrage"/>
            </w:pPr>
            <w:hyperlink w:anchor="Frage_Nr_74" w:tooltip="Frage Nr 74" w:history="1">
              <w:r w:rsidR="006E5140">
                <w:rPr>
                  <w:rStyle w:val="Hyperlink"/>
                  <w:szCs w:val="24"/>
                </w:rPr>
                <w:t>Finanzielle Förderung Krankenhaus in Mainburg</w:t>
              </w:r>
              <w:r w:rsidR="006E5140">
                <w:rPr>
                  <w:rStyle w:val="Hyperlink"/>
                  <w:szCs w:val="24"/>
                </w:rPr>
                <w:tab/>
                <w:t>74</w:t>
              </w:r>
            </w:hyperlink>
          </w:p>
        </w:tc>
      </w:tr>
      <w:tr w:rsidR="006E5140" w:rsidRPr="005833DD" w:rsidTr="001F3CDA">
        <w:tc>
          <w:tcPr>
            <w:tcW w:w="5000" w:type="pct"/>
          </w:tcPr>
          <w:p w:rsidR="006E5140" w:rsidRDefault="006E5140" w:rsidP="006E5140">
            <w:pPr>
              <w:pStyle w:val="LTVerzDerFragenden"/>
            </w:pPr>
            <w:r>
              <w:t>Stadler, Ralf (AfD)</w:t>
            </w:r>
          </w:p>
        </w:tc>
      </w:tr>
      <w:tr w:rsidR="006E5140" w:rsidRPr="005833DD" w:rsidTr="001F3CDA">
        <w:tc>
          <w:tcPr>
            <w:tcW w:w="5000" w:type="pct"/>
          </w:tcPr>
          <w:p w:rsidR="006E5140" w:rsidRDefault="00B366F8" w:rsidP="006E5140">
            <w:pPr>
              <w:pStyle w:val="LTVerzDerFragendenFrage"/>
            </w:pPr>
            <w:hyperlink w:anchor="Frage_Nr_51" w:tooltip="Frage Nr 51" w:history="1">
              <w:r w:rsidR="006E5140">
                <w:rPr>
                  <w:rStyle w:val="Hyperlink"/>
                  <w:szCs w:val="24"/>
                </w:rPr>
                <w:t>Kosten von Energieimporten nach Bayern</w:t>
              </w:r>
              <w:r w:rsidR="006E5140">
                <w:rPr>
                  <w:rStyle w:val="Hyperlink"/>
                  <w:szCs w:val="24"/>
                </w:rPr>
                <w:tab/>
                <w:t>51</w:t>
              </w:r>
            </w:hyperlink>
          </w:p>
        </w:tc>
      </w:tr>
      <w:tr w:rsidR="006E5140" w:rsidRPr="005833DD" w:rsidTr="001F3CDA">
        <w:tc>
          <w:tcPr>
            <w:tcW w:w="5000" w:type="pct"/>
          </w:tcPr>
          <w:p w:rsidR="006E5140" w:rsidRDefault="006E5140" w:rsidP="006E5140">
            <w:pPr>
              <w:pStyle w:val="LTVerzDerFragenden"/>
            </w:pPr>
            <w:r>
              <w:t>Steinberger, Rosi (BÜNDNIS 90/DIE GRÜNEN)</w:t>
            </w:r>
          </w:p>
        </w:tc>
      </w:tr>
      <w:tr w:rsidR="006E5140" w:rsidRPr="005833DD" w:rsidTr="001F3CDA">
        <w:tc>
          <w:tcPr>
            <w:tcW w:w="5000" w:type="pct"/>
          </w:tcPr>
          <w:p w:rsidR="006E5140" w:rsidRDefault="00B366F8" w:rsidP="006E5140">
            <w:pPr>
              <w:pStyle w:val="LTVerzDerFragendenFrage"/>
            </w:pPr>
            <w:hyperlink w:anchor="Frage_Nr_25" w:tooltip="Frage Nr 25" w:history="1">
              <w:r w:rsidR="006E5140">
                <w:rPr>
                  <w:rStyle w:val="Hyperlink"/>
                  <w:szCs w:val="24"/>
                </w:rPr>
                <w:t>ICE-Werk: Details zu IMBY-Grundstücken</w:t>
              </w:r>
              <w:r w:rsidR="006E5140">
                <w:rPr>
                  <w:rStyle w:val="Hyperlink"/>
                  <w:szCs w:val="24"/>
                </w:rPr>
                <w:tab/>
                <w:t>25</w:t>
              </w:r>
            </w:hyperlink>
          </w:p>
        </w:tc>
      </w:tr>
      <w:tr w:rsidR="006E5140" w:rsidRPr="005833DD" w:rsidTr="001F3CDA">
        <w:tc>
          <w:tcPr>
            <w:tcW w:w="5000" w:type="pct"/>
          </w:tcPr>
          <w:p w:rsidR="006E5140" w:rsidRDefault="006E5140" w:rsidP="006E5140">
            <w:pPr>
              <w:pStyle w:val="LTVerzDerFragenden"/>
            </w:pPr>
            <w:r>
              <w:t>Dr. Strohmayr, Simone (SPD)</w:t>
            </w:r>
          </w:p>
        </w:tc>
      </w:tr>
      <w:tr w:rsidR="006E5140" w:rsidRPr="005833DD" w:rsidTr="001F3CDA">
        <w:tc>
          <w:tcPr>
            <w:tcW w:w="5000" w:type="pct"/>
          </w:tcPr>
          <w:p w:rsidR="006E5140" w:rsidRDefault="00B366F8" w:rsidP="006E5140">
            <w:pPr>
              <w:pStyle w:val="LTVerzDerFragendenFrage"/>
            </w:pPr>
            <w:hyperlink w:anchor="Frage_Nr_37" w:tooltip="Frage Nr 37" w:history="1">
              <w:r w:rsidR="006E5140">
                <w:rPr>
                  <w:rStyle w:val="Hyperlink"/>
                  <w:szCs w:val="24"/>
                </w:rPr>
                <w:t>Internetanbindung an Schulen</w:t>
              </w:r>
              <w:r w:rsidR="006E5140">
                <w:rPr>
                  <w:rStyle w:val="Hyperlink"/>
                  <w:szCs w:val="24"/>
                </w:rPr>
                <w:tab/>
                <w:t>37</w:t>
              </w:r>
            </w:hyperlink>
          </w:p>
        </w:tc>
      </w:tr>
      <w:tr w:rsidR="006E5140" w:rsidRPr="005833DD" w:rsidTr="001F3CDA">
        <w:tc>
          <w:tcPr>
            <w:tcW w:w="5000" w:type="pct"/>
          </w:tcPr>
          <w:p w:rsidR="006E5140" w:rsidRDefault="006E5140" w:rsidP="006E5140">
            <w:pPr>
              <w:pStyle w:val="LTVerzDerFragenden"/>
            </w:pPr>
            <w:r>
              <w:t>Stümpfig, Martin (BÜNDNIS 90/DIE GRÜNEN)</w:t>
            </w:r>
          </w:p>
        </w:tc>
      </w:tr>
      <w:tr w:rsidR="006E5140" w:rsidRPr="005833DD" w:rsidTr="001F3CDA">
        <w:tc>
          <w:tcPr>
            <w:tcW w:w="5000" w:type="pct"/>
          </w:tcPr>
          <w:p w:rsidR="006E5140" w:rsidRDefault="00B366F8" w:rsidP="006E5140">
            <w:pPr>
              <w:pStyle w:val="LTVerzDerFragendenFrage"/>
            </w:pPr>
            <w:hyperlink w:anchor="Frage_Nr_26" w:tooltip="Frage Nr 26" w:history="1">
              <w:r w:rsidR="006E5140">
                <w:rPr>
                  <w:rStyle w:val="Hyperlink"/>
                  <w:szCs w:val="24"/>
                </w:rPr>
                <w:t>Mögliche eigene Flurstücke der Deut</w:t>
              </w:r>
              <w:r w:rsidR="00693CB1">
                <w:rPr>
                  <w:rStyle w:val="Hyperlink"/>
                  <w:szCs w:val="24"/>
                </w:rPr>
                <w:t>schen Bahn für das geplante ICE-</w:t>
              </w:r>
              <w:r w:rsidR="006E5140">
                <w:rPr>
                  <w:rStyle w:val="Hyperlink"/>
                  <w:szCs w:val="24"/>
                </w:rPr>
                <w:t xml:space="preserve">Werk </w:t>
              </w:r>
              <w:r w:rsidR="00693CB1">
                <w:rPr>
                  <w:rStyle w:val="Hyperlink"/>
                  <w:szCs w:val="24"/>
                </w:rPr>
                <w:br/>
              </w:r>
              <w:r w:rsidR="006E5140">
                <w:rPr>
                  <w:rStyle w:val="Hyperlink"/>
                  <w:szCs w:val="24"/>
                </w:rPr>
                <w:t>im Großraum Nürnberg</w:t>
              </w:r>
              <w:r w:rsidR="006E5140">
                <w:rPr>
                  <w:rStyle w:val="Hyperlink"/>
                  <w:szCs w:val="24"/>
                </w:rPr>
                <w:tab/>
                <w:t>26</w:t>
              </w:r>
            </w:hyperlink>
          </w:p>
        </w:tc>
      </w:tr>
      <w:tr w:rsidR="006E5140" w:rsidRPr="005833DD" w:rsidTr="001F3CDA">
        <w:tc>
          <w:tcPr>
            <w:tcW w:w="5000" w:type="pct"/>
          </w:tcPr>
          <w:p w:rsidR="006E5140" w:rsidRDefault="004E66D3" w:rsidP="006E5140">
            <w:pPr>
              <w:pStyle w:val="LTVerzDerFragenden"/>
            </w:pPr>
            <w:r>
              <w:t>Ta</w:t>
            </w:r>
            <w:r>
              <w:rPr>
                <w:rFonts w:cs="Arial"/>
              </w:rPr>
              <w:t>ş</w:t>
            </w:r>
            <w:r w:rsidR="006E5140">
              <w:t>delen, Arif (SPD)</w:t>
            </w:r>
          </w:p>
        </w:tc>
      </w:tr>
      <w:tr w:rsidR="006E5140" w:rsidRPr="005833DD" w:rsidTr="001F3CDA">
        <w:tc>
          <w:tcPr>
            <w:tcW w:w="5000" w:type="pct"/>
          </w:tcPr>
          <w:p w:rsidR="006E5140" w:rsidRDefault="00B366F8" w:rsidP="006E5140">
            <w:pPr>
              <w:pStyle w:val="LTVerzDerFragendenFrage"/>
            </w:pPr>
            <w:hyperlink w:anchor="Frage_Nr_52" w:tooltip="Frage Nr 52" w:history="1">
              <w:r w:rsidR="005C0F48">
                <w:rPr>
                  <w:rStyle w:val="Hyperlink"/>
                  <w:szCs w:val="24"/>
                </w:rPr>
                <w:t>„</w:t>
              </w:r>
              <w:r w:rsidR="006E5140">
                <w:rPr>
                  <w:rStyle w:val="Hyperlink"/>
                  <w:szCs w:val="24"/>
                </w:rPr>
                <w:t>Bayern lässt seinen Mittelstand nicht allein</w:t>
              </w:r>
              <w:r w:rsidR="005C0F48">
                <w:rPr>
                  <w:rStyle w:val="Hyperlink"/>
                  <w:szCs w:val="24"/>
                </w:rPr>
                <w:t>“</w:t>
              </w:r>
              <w:r w:rsidR="006E5140">
                <w:rPr>
                  <w:rStyle w:val="Hyperlink"/>
                  <w:szCs w:val="24"/>
                </w:rPr>
                <w:tab/>
                <w:t>52</w:t>
              </w:r>
            </w:hyperlink>
          </w:p>
        </w:tc>
      </w:tr>
      <w:tr w:rsidR="006E5140" w:rsidRPr="005833DD" w:rsidTr="001F3CDA">
        <w:tc>
          <w:tcPr>
            <w:tcW w:w="5000" w:type="pct"/>
          </w:tcPr>
          <w:p w:rsidR="006E5140" w:rsidRDefault="006E5140" w:rsidP="006E5140">
            <w:pPr>
              <w:pStyle w:val="LTVerzDerFragenden"/>
            </w:pPr>
            <w:r>
              <w:t>Triebel, Gabriele (BÜNDNIS 90/DIE GRÜNEN)</w:t>
            </w:r>
          </w:p>
        </w:tc>
      </w:tr>
      <w:tr w:rsidR="006E5140" w:rsidRPr="005833DD" w:rsidTr="001F3CDA">
        <w:tc>
          <w:tcPr>
            <w:tcW w:w="5000" w:type="pct"/>
          </w:tcPr>
          <w:p w:rsidR="006E5140" w:rsidRDefault="00B366F8" w:rsidP="006E5140">
            <w:pPr>
              <w:pStyle w:val="LTVerzDerFragendenFrage"/>
            </w:pPr>
            <w:hyperlink w:anchor="Frage_Nr_38" w:tooltip="Frage Nr 38" w:history="1">
              <w:r w:rsidR="006E5140">
                <w:rPr>
                  <w:rStyle w:val="Hyperlink"/>
                  <w:szCs w:val="24"/>
                </w:rPr>
                <w:t>Fortführung der Berufseinstiegsbegleitung (BerEb)</w:t>
              </w:r>
              <w:r w:rsidR="006E5140">
                <w:rPr>
                  <w:rStyle w:val="Hyperlink"/>
                  <w:szCs w:val="24"/>
                </w:rPr>
                <w:tab/>
                <w:t>38</w:t>
              </w:r>
            </w:hyperlink>
          </w:p>
        </w:tc>
      </w:tr>
      <w:tr w:rsidR="006E5140" w:rsidRPr="005833DD" w:rsidTr="001F3CDA">
        <w:tc>
          <w:tcPr>
            <w:tcW w:w="5000" w:type="pct"/>
          </w:tcPr>
          <w:p w:rsidR="006E5140" w:rsidRDefault="006E5140" w:rsidP="006E5140">
            <w:pPr>
              <w:pStyle w:val="LTVerzDerFragenden"/>
            </w:pPr>
            <w:r>
              <w:t>Urban, Hans (BÜNDNIS 90/DIE GRÜNEN)</w:t>
            </w:r>
          </w:p>
        </w:tc>
      </w:tr>
      <w:tr w:rsidR="006E5140" w:rsidRPr="005833DD" w:rsidTr="001F3CDA">
        <w:tc>
          <w:tcPr>
            <w:tcW w:w="5000" w:type="pct"/>
          </w:tcPr>
          <w:p w:rsidR="006E5140" w:rsidRDefault="00B366F8" w:rsidP="00987B22">
            <w:pPr>
              <w:pStyle w:val="LTVerzDerFragendenFrage"/>
            </w:pPr>
            <w:hyperlink w:anchor="Frage_Nr_61" w:tooltip="Frage Nr 61" w:history="1">
              <w:r w:rsidR="006E5140">
                <w:rPr>
                  <w:rStyle w:val="Hyperlink"/>
                  <w:szCs w:val="24"/>
                </w:rPr>
                <w:t xml:space="preserve">Agroforstwirtschaft im </w:t>
              </w:r>
              <w:r w:rsidR="00987B22">
                <w:rPr>
                  <w:rStyle w:val="Hyperlink"/>
                  <w:szCs w:val="24"/>
                </w:rPr>
                <w:t>Kulturlandschaftsprogramm</w:t>
              </w:r>
              <w:r w:rsidR="006E5140">
                <w:rPr>
                  <w:rStyle w:val="Hyperlink"/>
                  <w:szCs w:val="24"/>
                </w:rPr>
                <w:t xml:space="preserve"> ab 2023</w:t>
              </w:r>
              <w:r w:rsidR="006E5140">
                <w:rPr>
                  <w:rStyle w:val="Hyperlink"/>
                  <w:szCs w:val="24"/>
                </w:rPr>
                <w:tab/>
                <w:t>61</w:t>
              </w:r>
            </w:hyperlink>
          </w:p>
        </w:tc>
      </w:tr>
      <w:tr w:rsidR="006E5140" w:rsidRPr="005833DD" w:rsidTr="001F3CDA">
        <w:tc>
          <w:tcPr>
            <w:tcW w:w="5000" w:type="pct"/>
          </w:tcPr>
          <w:p w:rsidR="006E5140" w:rsidRDefault="006E5140" w:rsidP="006E5140">
            <w:pPr>
              <w:pStyle w:val="LTVerzDerFragenden"/>
            </w:pPr>
            <w:r>
              <w:t>Waldmann, Ruth (SPD)</w:t>
            </w:r>
          </w:p>
        </w:tc>
      </w:tr>
      <w:tr w:rsidR="006E5140" w:rsidRPr="005833DD" w:rsidTr="001F3CDA">
        <w:tc>
          <w:tcPr>
            <w:tcW w:w="5000" w:type="pct"/>
          </w:tcPr>
          <w:p w:rsidR="006E5140" w:rsidRDefault="00B366F8" w:rsidP="006E5140">
            <w:pPr>
              <w:pStyle w:val="LTVerzDerFragendenFrage"/>
            </w:pPr>
            <w:hyperlink w:anchor="Frage_Nr_27" w:tooltip="Frage Nr 27" w:history="1">
              <w:r w:rsidR="006E5140">
                <w:rPr>
                  <w:rStyle w:val="Hyperlink"/>
                  <w:szCs w:val="24"/>
                </w:rPr>
                <w:t>Bayerische Schifffahrtsordnung</w:t>
              </w:r>
              <w:r w:rsidR="006E5140">
                <w:rPr>
                  <w:rStyle w:val="Hyperlink"/>
                  <w:szCs w:val="24"/>
                </w:rPr>
                <w:tab/>
                <w:t>27</w:t>
              </w:r>
            </w:hyperlink>
          </w:p>
        </w:tc>
      </w:tr>
      <w:tr w:rsidR="006E5140" w:rsidRPr="005833DD" w:rsidTr="001F3CDA">
        <w:tc>
          <w:tcPr>
            <w:tcW w:w="5000" w:type="pct"/>
          </w:tcPr>
          <w:p w:rsidR="006E5140" w:rsidRDefault="006E5140" w:rsidP="006E5140">
            <w:pPr>
              <w:pStyle w:val="LTVerzDerFragenden"/>
            </w:pPr>
            <w:r>
              <w:t>Dr. Weigand, Sabine (BÜNDNIS 90/DIE GRÜNEN)</w:t>
            </w:r>
          </w:p>
        </w:tc>
      </w:tr>
      <w:tr w:rsidR="006E5140" w:rsidRPr="005833DD" w:rsidTr="001F3CDA">
        <w:tc>
          <w:tcPr>
            <w:tcW w:w="5000" w:type="pct"/>
          </w:tcPr>
          <w:p w:rsidR="006E5140" w:rsidRDefault="00B366F8" w:rsidP="006E5140">
            <w:pPr>
              <w:pStyle w:val="LTVerzDerFragendenFrage"/>
            </w:pPr>
            <w:hyperlink w:anchor="Frage_Nr_28" w:tooltip="Frage Nr 28" w:history="1">
              <w:r w:rsidR="006E5140">
                <w:rPr>
                  <w:rStyle w:val="Hyperlink"/>
                  <w:szCs w:val="24"/>
                </w:rPr>
                <w:t>ICE-Werk Munitionsrückstände</w:t>
              </w:r>
              <w:r w:rsidR="006E5140">
                <w:rPr>
                  <w:rStyle w:val="Hyperlink"/>
                  <w:szCs w:val="24"/>
                </w:rPr>
                <w:tab/>
                <w:t>28</w:t>
              </w:r>
            </w:hyperlink>
          </w:p>
        </w:tc>
      </w:tr>
      <w:tr w:rsidR="006E5140" w:rsidRPr="005833DD" w:rsidTr="001F3CDA">
        <w:tc>
          <w:tcPr>
            <w:tcW w:w="5000" w:type="pct"/>
          </w:tcPr>
          <w:p w:rsidR="006E5140" w:rsidRDefault="006E5140" w:rsidP="006E5140">
            <w:pPr>
              <w:pStyle w:val="LTVerzDerFragenden"/>
            </w:pPr>
            <w:r>
              <w:t>Wild, Margit (SPD)</w:t>
            </w:r>
          </w:p>
        </w:tc>
      </w:tr>
      <w:tr w:rsidR="006E5140" w:rsidRPr="005833DD" w:rsidTr="001F3CDA">
        <w:tc>
          <w:tcPr>
            <w:tcW w:w="5000" w:type="pct"/>
          </w:tcPr>
          <w:p w:rsidR="006E5140" w:rsidRDefault="00B366F8" w:rsidP="006E5140">
            <w:pPr>
              <w:pStyle w:val="LTVerzDerFragendenFrage"/>
            </w:pPr>
            <w:hyperlink w:anchor="Frage_Nr_9" w:tooltip="Frage Nr 9" w:history="1">
              <w:r w:rsidR="006E5140">
                <w:rPr>
                  <w:rStyle w:val="Hyperlink"/>
                  <w:szCs w:val="24"/>
                </w:rPr>
                <w:t>Öffentlichkeitsarbeit der Staatsregierung I</w:t>
              </w:r>
              <w:r w:rsidR="006E5140">
                <w:rPr>
                  <w:rStyle w:val="Hyperlink"/>
                  <w:szCs w:val="24"/>
                </w:rPr>
                <w:tab/>
                <w:t>9</w:t>
              </w:r>
            </w:hyperlink>
          </w:p>
        </w:tc>
      </w:tr>
      <w:tr w:rsidR="006E5140" w:rsidRPr="005833DD" w:rsidTr="001F3CDA">
        <w:tc>
          <w:tcPr>
            <w:tcW w:w="5000" w:type="pct"/>
          </w:tcPr>
          <w:p w:rsidR="006E5140" w:rsidRDefault="006E5140" w:rsidP="006E5140">
            <w:pPr>
              <w:pStyle w:val="LTVerzDerFragenden"/>
            </w:pPr>
            <w:r>
              <w:t>Winhart, Andreas (AfD)</w:t>
            </w:r>
          </w:p>
        </w:tc>
      </w:tr>
      <w:tr w:rsidR="006E5140" w:rsidRPr="005833DD" w:rsidTr="001F3CDA">
        <w:tc>
          <w:tcPr>
            <w:tcW w:w="5000" w:type="pct"/>
          </w:tcPr>
          <w:p w:rsidR="006E5140" w:rsidRDefault="00B366F8" w:rsidP="006E5140">
            <w:pPr>
              <w:pStyle w:val="LTVerzDerFragendenFrage"/>
            </w:pPr>
            <w:hyperlink w:anchor="Frage_Nr_75" w:tooltip="Frage Nr 75" w:history="1">
              <w:r w:rsidR="006E5140">
                <w:rPr>
                  <w:rStyle w:val="Hyperlink"/>
                  <w:szCs w:val="24"/>
                </w:rPr>
                <w:t>Ausschreibungsverfahren PCR-Lolli-Tests in Bayern</w:t>
              </w:r>
              <w:r w:rsidR="006E5140">
                <w:rPr>
                  <w:rStyle w:val="Hyperlink"/>
                  <w:szCs w:val="24"/>
                </w:rPr>
                <w:tab/>
                <w:t>75</w:t>
              </w:r>
            </w:hyperlink>
          </w:p>
        </w:tc>
      </w:tr>
      <w:tr w:rsidR="006E5140" w:rsidRPr="005833DD" w:rsidTr="001F3CDA">
        <w:tc>
          <w:tcPr>
            <w:tcW w:w="5000" w:type="pct"/>
          </w:tcPr>
          <w:p w:rsidR="006E5140" w:rsidRDefault="006E5140" w:rsidP="006E5140">
            <w:pPr>
              <w:pStyle w:val="LTVerzDerFragenden"/>
            </w:pPr>
            <w:r>
              <w:t>Zwanziger, Christian (BÜNDNIS 90/DIE GRÜNEN)</w:t>
            </w:r>
          </w:p>
        </w:tc>
      </w:tr>
      <w:tr w:rsidR="006E5140" w:rsidRPr="005833DD" w:rsidTr="001F3CDA">
        <w:tc>
          <w:tcPr>
            <w:tcW w:w="5000" w:type="pct"/>
          </w:tcPr>
          <w:p w:rsidR="006E5140" w:rsidRDefault="00B366F8" w:rsidP="006E5140">
            <w:pPr>
              <w:pStyle w:val="LTVerzDerFragendenFrage"/>
            </w:pPr>
            <w:hyperlink w:anchor="Frage_Nr_43" w:tooltip="Frage Nr 43" w:history="1">
              <w:r w:rsidR="006E5140">
                <w:rPr>
                  <w:rStyle w:val="Hyperlink"/>
                  <w:szCs w:val="24"/>
                </w:rPr>
                <w:t>Zukunft Einzeldenkmal Bismarckstraße 4, Erlangen</w:t>
              </w:r>
              <w:r w:rsidR="006E5140">
                <w:rPr>
                  <w:rStyle w:val="Hyperlink"/>
                  <w:szCs w:val="24"/>
                </w:rPr>
                <w:tab/>
                <w:t>43</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6E5140" w:rsidP="006E5140">
      <w:pPr>
        <w:pStyle w:val="LTUeberschrRessort"/>
      </w:pPr>
      <w:bookmarkStart w:id="2" w:name="FragenNachGeschBereichen"/>
      <w:bookmarkEnd w:id="2"/>
      <w:r>
        <w:t>Geschäftsbereich der Staatskanzlei</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D3232E" w:rsidTr="00D3232E">
        <w:tc>
          <w:tcPr>
            <w:tcW w:w="1862" w:type="dxa"/>
          </w:tcPr>
          <w:p w:rsidR="00D3232E" w:rsidRDefault="00D3232E" w:rsidP="00D3232E">
            <w:pPr>
              <w:pStyle w:val="LTAnfrageInitiator"/>
            </w:pPr>
            <w:r>
              <w:t>Abgeordneter</w:t>
            </w:r>
            <w:r>
              <w:rPr>
                <w:b/>
              </w:rPr>
              <w:br/>
              <w:t>Florian</w:t>
            </w:r>
            <w:r>
              <w:rPr>
                <w:b/>
              </w:rPr>
              <w:br/>
              <w:t>von Brunn</w:t>
            </w:r>
            <w:r>
              <w:rPr>
                <w:b/>
              </w:rPr>
              <w:br/>
            </w:r>
            <w:r>
              <w:t>(SPD)</w:t>
            </w:r>
            <w:bookmarkStart w:id="3" w:name="Frage_Nr_1"/>
            <w:bookmarkEnd w:id="3"/>
          </w:p>
        </w:tc>
        <w:tc>
          <w:tcPr>
            <w:tcW w:w="5754" w:type="dxa"/>
          </w:tcPr>
          <w:p w:rsidR="00D3232E" w:rsidRPr="00D3232E" w:rsidRDefault="00D3232E" w:rsidP="00D3232E">
            <w:pPr>
              <w:pStyle w:val="LTAnfrageText"/>
            </w:pPr>
            <w:r w:rsidRPr="00D3232E">
              <w:t>Ich frage die Staatsregierung, welche Kosten für die Anzeigenkampagne zum sog. Großelterntag seit dessen Einführung entstanden sind (bitte nach Jahren aufgeschlüsselt angeben), welchen objektiven Mehrwert die prominente Platzierung von Foto und Unterschrift des Ministerpräsidenten hat und wo diese Anzeigen geschaltet wurden?</w:t>
            </w:r>
          </w:p>
        </w:tc>
        <w:tc>
          <w:tcPr>
            <w:tcW w:w="5754" w:type="dxa"/>
          </w:tcPr>
          <w:p w:rsidR="00D3232E" w:rsidRDefault="00D3232E" w:rsidP="00D3232E">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Mit den Anzeigen wurde über den 2019 von der Staatsregierung ins Leben gerufenen Großelterntag informiert und die außerord</w:t>
      </w:r>
      <w:r w:rsidR="00A93867">
        <w:t>entlichen Leistungen der Großel</w:t>
      </w:r>
      <w:r w:rsidR="005C0F48">
        <w:t>tern in Bayern gewürdigt (Ministerrats</w:t>
      </w:r>
      <w:r>
        <w:t>-Beschluss vom 10.09.2019). Die K</w:t>
      </w:r>
      <w:r w:rsidR="005C0F48">
        <w:t>osten betrugen 2021 154.489,25 Euro</w:t>
      </w:r>
      <w:r>
        <w:t xml:space="preserve"> und 2019 178.596,96 </w:t>
      </w:r>
      <w:r w:rsidR="005C0F48">
        <w:t>Euro</w:t>
      </w:r>
      <w:r>
        <w:t>. Die Anzeigen erschienen in allen am Schalttag erscheinenden bayerischen Tageszeitungen.</w:t>
      </w:r>
    </w:p>
    <w:p w:rsidR="006E5140" w:rsidRDefault="006E5140">
      <w:bookmarkStart w:id="4" w:name="Frage_Nr_1_Ende"/>
      <w:bookmarkEnd w:id="4"/>
      <w:r>
        <w:br w:type="page"/>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D3232E" w:rsidTr="00D3232E">
        <w:tc>
          <w:tcPr>
            <w:tcW w:w="1867" w:type="dxa"/>
          </w:tcPr>
          <w:p w:rsidR="00D3232E" w:rsidRDefault="00D3232E" w:rsidP="00D3232E">
            <w:pPr>
              <w:pStyle w:val="LTAnfrageInitiator"/>
            </w:pPr>
            <w:r>
              <w:t>Abgeordneter</w:t>
            </w:r>
            <w:r>
              <w:rPr>
                <w:b/>
              </w:rPr>
              <w:br/>
              <w:t>Michael</w:t>
            </w:r>
            <w:r>
              <w:rPr>
                <w:b/>
              </w:rPr>
              <w:br/>
              <w:t>Busch</w:t>
            </w:r>
            <w:r>
              <w:rPr>
                <w:b/>
              </w:rPr>
              <w:br/>
            </w:r>
            <w:r>
              <w:t>(SPD)</w:t>
            </w:r>
            <w:bookmarkStart w:id="5" w:name="Frage_Nr_2"/>
            <w:bookmarkEnd w:id="5"/>
          </w:p>
        </w:tc>
        <w:tc>
          <w:tcPr>
            <w:tcW w:w="5749" w:type="dxa"/>
          </w:tcPr>
          <w:p w:rsidR="00D3232E" w:rsidRPr="00D3232E" w:rsidRDefault="00D3232E" w:rsidP="00D3232E">
            <w:pPr>
              <w:pStyle w:val="LTAnfrageText"/>
            </w:pPr>
            <w:r w:rsidRPr="00D3232E">
              <w:t>Ich frage die Staatsregierung, wie sie nach der Kritik von Landtagsvizepräsident Alexander Hold, der die Großeltern-Kampagne mit der Korruptionsaffäre in Österreich in Verbindu</w:t>
            </w:r>
            <w:r w:rsidR="004E3E92">
              <w:t>ng gebracht hatte, sicherstellt</w:t>
            </w:r>
            <w:r w:rsidRPr="00D3232E">
              <w:t>, dass Anzeigen der Staatsregierung nicht zu wahlwerbenden, parteipolitischen oder anderen unzulässigen Zwecken geschalten werden?</w:t>
            </w:r>
          </w:p>
        </w:tc>
        <w:tc>
          <w:tcPr>
            <w:tcW w:w="5749" w:type="dxa"/>
          </w:tcPr>
          <w:p w:rsidR="00D3232E" w:rsidRDefault="00D3232E" w:rsidP="00D3232E">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Der Rahmen der Öffentlichkeitsarbeit der Staatsre</w:t>
      </w:r>
      <w:r w:rsidR="004E66D3">
        <w:t>gierung bemisst sich an der ver</w:t>
      </w:r>
      <w:r>
        <w:t>fassungsgerichtlichen Rechtsprechung. Aufgabe d</w:t>
      </w:r>
      <w:r w:rsidR="004E66D3">
        <w:t>er Öffentlichkeitsarbeit ist da</w:t>
      </w:r>
      <w:r>
        <w:t>nach insbesondere, der Öffentlichkeit die Politik, Maßnahmen und Vorhaben der Staatsregierung sachlich darzulegen.</w:t>
      </w:r>
    </w:p>
    <w:p w:rsidR="006E5140" w:rsidRDefault="006E5140">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86FD3" w:rsidTr="00986FD3">
        <w:tc>
          <w:tcPr>
            <w:tcW w:w="1883" w:type="dxa"/>
          </w:tcPr>
          <w:p w:rsidR="00986FD3" w:rsidRDefault="00986FD3" w:rsidP="00986FD3">
            <w:pPr>
              <w:pStyle w:val="LTAnfrageInitiator"/>
            </w:pPr>
            <w:r>
              <w:t>Abgeordnete</w:t>
            </w:r>
            <w:r>
              <w:rPr>
                <w:b/>
              </w:rPr>
              <w:br/>
              <w:t>Barbara</w:t>
            </w:r>
            <w:r>
              <w:rPr>
                <w:b/>
              </w:rPr>
              <w:br/>
              <w:t>Fuchs</w:t>
            </w:r>
            <w:r>
              <w:rPr>
                <w:b/>
              </w:rPr>
              <w:br/>
            </w:r>
            <w:r>
              <w:t>(BÜNDNIS 90/DIE GRÜNEN)</w:t>
            </w:r>
            <w:bookmarkStart w:id="7" w:name="Frage_Nr_3"/>
            <w:bookmarkEnd w:id="7"/>
          </w:p>
        </w:tc>
        <w:tc>
          <w:tcPr>
            <w:tcW w:w="5733" w:type="dxa"/>
          </w:tcPr>
          <w:p w:rsidR="00986FD3" w:rsidRPr="0042448D" w:rsidRDefault="00986FD3" w:rsidP="0042448D">
            <w:pPr>
              <w:pStyle w:val="LTAnfrageText"/>
            </w:pPr>
            <w:r w:rsidRPr="0042448D">
              <w:t>Ich frage die Staatsregierung, welchen Anlass, welches Datum und welchen Inhalt die Schreiben haben, die in Bezug auf das geplante ICE-Werk im Großraum Nürnberg vonseiten der Staatskanzlei an zahlreiche Bürgermeister und Landräte in der Region verschickt wurden?</w:t>
            </w:r>
            <w:r w:rsidRPr="0042448D">
              <w:rPr>
                <w:vertAlign w:val="superscript"/>
              </w:rPr>
              <w:footnoteReference w:id="1"/>
            </w:r>
          </w:p>
        </w:tc>
        <w:tc>
          <w:tcPr>
            <w:tcW w:w="5733" w:type="dxa"/>
          </w:tcPr>
          <w:p w:rsidR="00986FD3" w:rsidRDefault="00986FD3" w:rsidP="00986FD3">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Es liegen keine Erkenntnisse vor, auf welche Sch</w:t>
      </w:r>
      <w:r w:rsidR="004E66D3">
        <w:t>reiben an zahlreiche Bürgermeis</w:t>
      </w:r>
      <w:r>
        <w:t>ter und Landräte in der Anfrage zum Plenum und dem darin zitierten Presseartikel Bezug genommen wird.</w:t>
      </w:r>
    </w:p>
    <w:p w:rsidR="006E5140" w:rsidRDefault="006E5140">
      <w:bookmarkStart w:id="8" w:name="Frage_Nr_3_Ende"/>
      <w:bookmarkEnd w:id="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B6A9B" w:rsidTr="00FB6A9B">
        <w:tc>
          <w:tcPr>
            <w:tcW w:w="1854" w:type="dxa"/>
          </w:tcPr>
          <w:p w:rsidR="00FB6A9B" w:rsidRDefault="00FB6A9B" w:rsidP="00FB6A9B">
            <w:pPr>
              <w:pStyle w:val="LTAnfrageInitiator"/>
            </w:pPr>
            <w:r>
              <w:t>Abgeordneter</w:t>
            </w:r>
            <w:r>
              <w:rPr>
                <w:b/>
              </w:rPr>
              <w:br/>
              <w:t>Harald</w:t>
            </w:r>
            <w:r>
              <w:rPr>
                <w:b/>
              </w:rPr>
              <w:br/>
              <w:t>Güller</w:t>
            </w:r>
            <w:r>
              <w:rPr>
                <w:b/>
              </w:rPr>
              <w:br/>
            </w:r>
            <w:r>
              <w:t>(SPD)</w:t>
            </w:r>
            <w:bookmarkStart w:id="9" w:name="Frage_Nr_4"/>
            <w:bookmarkEnd w:id="9"/>
          </w:p>
        </w:tc>
        <w:tc>
          <w:tcPr>
            <w:tcW w:w="5762" w:type="dxa"/>
          </w:tcPr>
          <w:p w:rsidR="00FB6A9B" w:rsidRPr="0042448D" w:rsidRDefault="00FB6A9B" w:rsidP="004E3E92">
            <w:pPr>
              <w:pStyle w:val="LTAnfrageText"/>
            </w:pPr>
            <w:r w:rsidRPr="0042448D">
              <w:t xml:space="preserve">Ich frage die Staatsregierung, wie sich die Kosten für Anzeigen in Printmedien mit Bild oder Unterschrift des Ministerpräsidenten, die die Staatsregierung </w:t>
            </w:r>
            <w:r w:rsidR="004E3E92">
              <w:t>geschaltet</w:t>
            </w:r>
            <w:r w:rsidRPr="0042448D">
              <w:t xml:space="preserve"> hat, seit dem 01.01.2014 entwickelt haben und für welche konkreten Anzeigen diese Kosten angefallen</w:t>
            </w:r>
            <w:r w:rsidR="004E3E92">
              <w:t xml:space="preserve"> sind</w:t>
            </w:r>
            <w:r w:rsidRPr="0042448D">
              <w:t>?</w:t>
            </w:r>
          </w:p>
        </w:tc>
        <w:tc>
          <w:tcPr>
            <w:tcW w:w="5762" w:type="dxa"/>
          </w:tcPr>
          <w:p w:rsidR="00FB6A9B" w:rsidRDefault="00FB6A9B" w:rsidP="00FB6A9B">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Die Beantwortung der Anfrage wäre nur auf der Grundlage einer Abfrage aller Ressorts sowie einer umfangreichen Durchsi</w:t>
      </w:r>
      <w:r w:rsidR="004E66D3">
        <w:t>cht und Auswertung des vorhande</w:t>
      </w:r>
      <w:r>
        <w:t>nen Aktenbestands möglich. Dies kann in der Kürze der vorgegebenen Zeit nicht geleistet werden.</w:t>
      </w:r>
    </w:p>
    <w:p w:rsidR="006E5140" w:rsidRDefault="006E5140">
      <w:bookmarkStart w:id="10" w:name="Frage_Nr_4_Ende"/>
      <w:bookmarkEnd w:id="1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B6A9B" w:rsidTr="00FB6A9B">
        <w:tc>
          <w:tcPr>
            <w:tcW w:w="1852" w:type="dxa"/>
          </w:tcPr>
          <w:p w:rsidR="00FB6A9B" w:rsidRDefault="00FB6A9B" w:rsidP="00FB6A9B">
            <w:pPr>
              <w:pStyle w:val="LTAnfrageInitiator"/>
            </w:pPr>
            <w:r>
              <w:t>Abgeordneter</w:t>
            </w:r>
            <w:r>
              <w:rPr>
                <w:b/>
              </w:rPr>
              <w:br/>
              <w:t>Dr. Helmut</w:t>
            </w:r>
            <w:r>
              <w:rPr>
                <w:b/>
              </w:rPr>
              <w:br/>
              <w:t>Kaltenhauser</w:t>
            </w:r>
            <w:r>
              <w:rPr>
                <w:b/>
              </w:rPr>
              <w:br/>
            </w:r>
            <w:r>
              <w:t>(FDP)</w:t>
            </w:r>
            <w:bookmarkStart w:id="11" w:name="Frage_Nr_5"/>
            <w:bookmarkEnd w:id="11"/>
          </w:p>
        </w:tc>
        <w:tc>
          <w:tcPr>
            <w:tcW w:w="5764" w:type="dxa"/>
          </w:tcPr>
          <w:p w:rsidR="00FB6A9B" w:rsidRPr="0042448D" w:rsidRDefault="00FB6A9B" w:rsidP="004E3E92">
            <w:pPr>
              <w:pStyle w:val="LTAnfrageText"/>
            </w:pPr>
            <w:r w:rsidRPr="0042448D">
              <w:t xml:space="preserve">Ich frage die Staatsregierung, wie hoch </w:t>
            </w:r>
            <w:r w:rsidR="004E3E92">
              <w:t xml:space="preserve">die </w:t>
            </w:r>
            <w:r w:rsidRPr="0042448D">
              <w:t>Kosten für den Aufruf zur Bundestagswahl 2021 waren (bitte nach entsprechenden Medien aufschlüsseln), wie hoch die Kosten des Großelterntags seit seiner Einführung bis einschließlich 2021 pro Jahr waren (bitte nach entsprechenden Medien und Veranstaltungen aufschlüsseln) und wie sich jeweils die Kosten auf die entsprechenden Budgets der Ministerien verteilt haben (bitte, wenn möglich, die Antworten in einer Liste darstellen)?</w:t>
            </w:r>
          </w:p>
        </w:tc>
        <w:tc>
          <w:tcPr>
            <w:tcW w:w="5764" w:type="dxa"/>
          </w:tcPr>
          <w:p w:rsidR="00FB6A9B" w:rsidRDefault="00FB6A9B" w:rsidP="00FB6A9B">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 xml:space="preserve">Die Kosten des Wahlaufrufs zur Bundestagswahl 2021 betrugen 154.077,23 </w:t>
      </w:r>
      <w:r w:rsidR="005C0F48">
        <w:t>Euro</w:t>
      </w:r>
      <w:r>
        <w:t xml:space="preserve">, die Kosten für die Anzeigen zum Großelterntag 2021 154.489,25 </w:t>
      </w:r>
      <w:r w:rsidR="005C0F48">
        <w:t>Euro</w:t>
      </w:r>
      <w:r w:rsidR="004E3E92">
        <w:t xml:space="preserve"> und</w:t>
      </w:r>
      <w:r>
        <w:t xml:space="preserve"> 2019 178.596,96 </w:t>
      </w:r>
      <w:r w:rsidR="005C0F48">
        <w:t>Euro</w:t>
      </w:r>
      <w:r>
        <w:t xml:space="preserve"> u</w:t>
      </w:r>
      <w:r w:rsidR="004E66D3">
        <w:t xml:space="preserve">nd </w:t>
      </w:r>
      <w:r w:rsidR="004E3E92">
        <w:t xml:space="preserve">Sie </w:t>
      </w:r>
      <w:r w:rsidR="004E66D3">
        <w:t xml:space="preserve">wurden </w:t>
      </w:r>
      <w:r w:rsidR="004E3E92">
        <w:t xml:space="preserve">jeweils </w:t>
      </w:r>
      <w:r w:rsidR="004E66D3">
        <w:t>aus dem Budget der Staatskanzlei erbracht. Die Anzeigen er</w:t>
      </w:r>
      <w:r>
        <w:t xml:space="preserve">schienen in allen am Schalttag erscheinenden bayerischen Tageszeitungen. Für begleitende Social Media wurden 2019 2.055 </w:t>
      </w:r>
      <w:r w:rsidR="005C0F48">
        <w:t>Euro</w:t>
      </w:r>
      <w:r>
        <w:t xml:space="preserve"> verausgabt. Die Kosten für die f</w:t>
      </w:r>
      <w:r w:rsidR="004E66D3">
        <w:t>estliche Veranstaltung des Staatsministeriums für Familie, Arbeit und Soziales</w:t>
      </w:r>
      <w:r>
        <w:t xml:space="preserve"> </w:t>
      </w:r>
      <w:r w:rsidR="004E66D3">
        <w:t xml:space="preserve">(StMAS) </w:t>
      </w:r>
      <w:r w:rsidR="002C5905">
        <w:t>in Schloss</w:t>
      </w:r>
      <w:r w:rsidR="004E66D3">
        <w:t xml:space="preserve"> Nymphenburg zum neu eingeführ</w:t>
      </w:r>
      <w:r>
        <w:t xml:space="preserve">ten Großelterntag 2019 betrugen 75.428,15 </w:t>
      </w:r>
      <w:r w:rsidR="005C0F48">
        <w:t>Euro</w:t>
      </w:r>
      <w:r>
        <w:t xml:space="preserve"> aus dem Budget des StMAS.</w:t>
      </w:r>
    </w:p>
    <w:p w:rsidR="006E5140" w:rsidRDefault="006E5140">
      <w:bookmarkStart w:id="12" w:name="Frage_Nr_5_Ende"/>
      <w:bookmarkEnd w:id="1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B6A9B" w:rsidTr="00FB6A9B">
        <w:tc>
          <w:tcPr>
            <w:tcW w:w="1854" w:type="dxa"/>
          </w:tcPr>
          <w:p w:rsidR="00FB6A9B" w:rsidRDefault="00FB6A9B" w:rsidP="00FB6A9B">
            <w:pPr>
              <w:pStyle w:val="LTAnfrageInitiator"/>
            </w:pPr>
            <w:r>
              <w:t>Abgeordnete</w:t>
            </w:r>
            <w:r>
              <w:rPr>
                <w:b/>
              </w:rPr>
              <w:br/>
              <w:t>Annette</w:t>
            </w:r>
            <w:r>
              <w:rPr>
                <w:b/>
              </w:rPr>
              <w:br/>
              <w:t>Karl</w:t>
            </w:r>
            <w:r>
              <w:rPr>
                <w:b/>
              </w:rPr>
              <w:br/>
            </w:r>
            <w:r>
              <w:t>(SPD)</w:t>
            </w:r>
            <w:bookmarkStart w:id="13" w:name="Frage_Nr_6"/>
            <w:bookmarkEnd w:id="13"/>
          </w:p>
        </w:tc>
        <w:tc>
          <w:tcPr>
            <w:tcW w:w="5762" w:type="dxa"/>
          </w:tcPr>
          <w:p w:rsidR="00FB6A9B" w:rsidRPr="0042448D" w:rsidRDefault="00FB6A9B" w:rsidP="00B12993">
            <w:pPr>
              <w:pStyle w:val="LTAnfrageText"/>
            </w:pPr>
            <w:r w:rsidRPr="0042448D">
              <w:t xml:space="preserve">Ich frage die Staatsregierung, wie viele Briefe oder Postkarten mit Bild oder Unterschrift des Ministerpräsidenten Dr. Markus Söder die Staatsregierung seit dem 16.03.2018 versandt </w:t>
            </w:r>
            <w:r w:rsidR="00B12993">
              <w:t xml:space="preserve">hat </w:t>
            </w:r>
            <w:r w:rsidRPr="0042448D">
              <w:t xml:space="preserve">und welche Kosten hierfür entstanden </w:t>
            </w:r>
            <w:r w:rsidR="00B12993">
              <w:t xml:space="preserve">sind </w:t>
            </w:r>
            <w:r w:rsidRPr="0042448D">
              <w:t>(bitte nach Jahren aufgeschlüsselt angeben)?</w:t>
            </w:r>
          </w:p>
        </w:tc>
        <w:tc>
          <w:tcPr>
            <w:tcW w:w="5762" w:type="dxa"/>
          </w:tcPr>
          <w:p w:rsidR="00FB6A9B" w:rsidRDefault="00FB6A9B" w:rsidP="00FB6A9B">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Es bestehen keine Aufzeichnungen zur angefrag</w:t>
      </w:r>
      <w:r w:rsidR="004E66D3">
        <w:t>ten Zahl der durch die Staatsre</w:t>
      </w:r>
      <w:r>
        <w:t>gierung seit dem 16.03.2018 versandten Bri</w:t>
      </w:r>
      <w:r w:rsidR="004E66D3">
        <w:t>efe oder Postkarten. Dementspre</w:t>
      </w:r>
      <w:r>
        <w:t>chend sind hierfür entstandene Kosten nicht zu beziffern.</w:t>
      </w:r>
    </w:p>
    <w:p w:rsidR="006E5140" w:rsidRDefault="006E5140">
      <w:bookmarkStart w:id="14" w:name="Frage_Nr_6_Ende"/>
      <w:bookmarkEnd w:id="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B6A9B" w:rsidTr="00FB6A9B">
        <w:tc>
          <w:tcPr>
            <w:tcW w:w="1883" w:type="dxa"/>
          </w:tcPr>
          <w:p w:rsidR="00FB6A9B" w:rsidRDefault="00FB6A9B" w:rsidP="00FB6A9B">
            <w:pPr>
              <w:pStyle w:val="LTAnfrageInitiator"/>
            </w:pPr>
            <w:r>
              <w:t>Abgeordnete</w:t>
            </w:r>
            <w:r>
              <w:rPr>
                <w:b/>
              </w:rPr>
              <w:br/>
              <w:t>Claudia</w:t>
            </w:r>
            <w:r>
              <w:rPr>
                <w:b/>
              </w:rPr>
              <w:br/>
              <w:t>Köhler</w:t>
            </w:r>
            <w:r>
              <w:rPr>
                <w:b/>
              </w:rPr>
              <w:br/>
            </w:r>
            <w:r>
              <w:t>(BÜNDNIS 90/DIE GRÜNEN)</w:t>
            </w:r>
            <w:bookmarkStart w:id="15" w:name="Frage_Nr_7"/>
            <w:bookmarkEnd w:id="15"/>
          </w:p>
        </w:tc>
        <w:tc>
          <w:tcPr>
            <w:tcW w:w="5733" w:type="dxa"/>
          </w:tcPr>
          <w:p w:rsidR="00FB6A9B" w:rsidRPr="0042448D" w:rsidRDefault="00FB6A9B" w:rsidP="00B12993">
            <w:pPr>
              <w:pStyle w:val="LTAnfrageText"/>
            </w:pPr>
            <w:r w:rsidRPr="0042448D">
              <w:t xml:space="preserve">Ich frage die Staatsregierung, in welchen Medien Anzeigen zum Großelterntag 2021 im Auftrag der Staatsregierung geschaltet wurden, wie hoch die Kosten des Anzeigenvolumens insgesamt sind und welchen genauen Zweck sie mit der Schaltung der Anzeigen verfolgte? </w:t>
            </w:r>
          </w:p>
        </w:tc>
        <w:tc>
          <w:tcPr>
            <w:tcW w:w="5733" w:type="dxa"/>
          </w:tcPr>
          <w:p w:rsidR="00FB6A9B" w:rsidRDefault="00FB6A9B" w:rsidP="00FB6A9B">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Mit den Anzeigen wurde über den 2019 von der</w:t>
      </w:r>
      <w:r w:rsidR="004E66D3">
        <w:t xml:space="preserve"> Staatsregierung ins Leben geru</w:t>
      </w:r>
      <w:r>
        <w:t>fenen Großelterntag informiert und die außerord</w:t>
      </w:r>
      <w:r w:rsidR="004E66D3">
        <w:t>entlichen Leistungen der Großel</w:t>
      </w:r>
      <w:r w:rsidR="009E671E">
        <w:t>tern in Bayern gewürdigt (Ministerrats</w:t>
      </w:r>
      <w:r w:rsidR="00B12993">
        <w:t>b</w:t>
      </w:r>
      <w:r>
        <w:t xml:space="preserve">eschluss vom 10.09.2019). Die Kosten betrugen 2021 154.489,25 </w:t>
      </w:r>
      <w:r w:rsidR="005C0F48">
        <w:t>Euro</w:t>
      </w:r>
      <w:r>
        <w:t>. Die Anzeigen erschienen in allen am Schalttag erscheinenden bayerischen Tageszeitungen.</w:t>
      </w:r>
    </w:p>
    <w:p w:rsidR="006E5140" w:rsidRDefault="006E5140">
      <w:bookmarkStart w:id="16" w:name="Frage_Nr_7_Ende"/>
      <w:bookmarkEnd w:id="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B6A9B" w:rsidTr="00FB6A9B">
        <w:tc>
          <w:tcPr>
            <w:tcW w:w="1883" w:type="dxa"/>
          </w:tcPr>
          <w:p w:rsidR="00FB6A9B" w:rsidRDefault="00FB6A9B" w:rsidP="00FB6A9B">
            <w:pPr>
              <w:pStyle w:val="LTAnfrageInitiator"/>
            </w:pPr>
            <w:r>
              <w:t>Abgeordneter</w:t>
            </w:r>
            <w:r>
              <w:rPr>
                <w:b/>
              </w:rPr>
              <w:br/>
              <w:t>Hep</w:t>
            </w:r>
            <w:r>
              <w:rPr>
                <w:b/>
              </w:rPr>
              <w:br/>
              <w:t>Monatzeder</w:t>
            </w:r>
            <w:r>
              <w:rPr>
                <w:b/>
              </w:rPr>
              <w:br/>
            </w:r>
            <w:r>
              <w:t>(BÜNDNIS 90/DIE GRÜNEN)</w:t>
            </w:r>
            <w:bookmarkStart w:id="17" w:name="Frage_Nr_8"/>
            <w:bookmarkEnd w:id="17"/>
          </w:p>
        </w:tc>
        <w:tc>
          <w:tcPr>
            <w:tcW w:w="5733" w:type="dxa"/>
          </w:tcPr>
          <w:p w:rsidR="00FB6A9B" w:rsidRPr="0042448D" w:rsidRDefault="00FB6A9B" w:rsidP="00B12993">
            <w:pPr>
              <w:pStyle w:val="LTAnfrageText"/>
            </w:pPr>
            <w:r w:rsidRPr="0042448D">
              <w:t xml:space="preserve">Ich frage die Staatsregierung, was die Gründe für den seit 2017 stetig wachsenden Berg an Restmitteln im Haushaltstitel </w:t>
            </w:r>
            <w:r w:rsidR="00B12993">
              <w:t>für Entwicklungszusammenarbeit (</w:t>
            </w:r>
            <w:r w:rsidRPr="0042448D">
              <w:t>685 53</w:t>
            </w:r>
            <w:r w:rsidR="00B12993">
              <w:t>)</w:t>
            </w:r>
            <w:r w:rsidRPr="0042448D">
              <w:t xml:space="preserve"> (2020: 9,5 Mio. Euro, 2019: 8,7 Mio. Euro, 2018: </w:t>
            </w:r>
            <w:r w:rsidR="0006145E">
              <w:t>5,3 </w:t>
            </w:r>
            <w:r w:rsidRPr="0042448D">
              <w:t>Mio. Euro) sind, was sie gegenwärtig unternimmt bzw. plant, um die Restmittel von zuletzt 9,5 Mio. Euro abzubauen und mit welchen Maßnahmen die Staatsregierung sicherstellen möchte, dass im Haushaltsjahr 2021 und in künftigen Jahren die eingeplanten Mittel umfassend abfließen können?</w:t>
            </w:r>
          </w:p>
        </w:tc>
        <w:tc>
          <w:tcPr>
            <w:tcW w:w="5733" w:type="dxa"/>
          </w:tcPr>
          <w:p w:rsidR="00FB6A9B" w:rsidRDefault="00FB6A9B" w:rsidP="00FB6A9B">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Die in der Anfrage genannten Beträge auf dem Titel für Entwi</w:t>
      </w:r>
      <w:r w:rsidR="004E66D3">
        <w:t>cklungszusammen-arbeit (Epl. 02 03, Titel 685 </w:t>
      </w:r>
      <w:r>
        <w:t>53) beziehen sich auf die Haus</w:t>
      </w:r>
      <w:r w:rsidR="004E66D3">
        <w:t xml:space="preserve">haltsrechnungen des </w:t>
      </w:r>
      <w:r>
        <w:t xml:space="preserve">Staatsministeriums der Finanzen und für Heimat aus den Jahren 2018, 2019 und 2020. Die Haushaltsrechnung </w:t>
      </w:r>
      <w:r w:rsidR="004E66D3">
        <w:t>übernimmt die im IHV-System (</w:t>
      </w:r>
      <w:r w:rsidR="009E671E">
        <w:t xml:space="preserve">IHV = </w:t>
      </w:r>
      <w:r w:rsidR="004E66D3">
        <w:t>In</w:t>
      </w:r>
      <w:r>
        <w:t>tegriertes Haushalts- und Kassenverfahren) er</w:t>
      </w:r>
      <w:r w:rsidR="004E66D3">
        <w:t>fassten und ausgeführten Zahlun</w:t>
      </w:r>
      <w:r>
        <w:t>gen und stellt sie den Ansätzen des Haushaltsplans gegenüber.</w:t>
      </w:r>
    </w:p>
    <w:p w:rsidR="006E5140" w:rsidRDefault="006E5140" w:rsidP="006E5140">
      <w:pPr>
        <w:pStyle w:val="LTAntwortRessortText"/>
      </w:pPr>
      <w:r>
        <w:t>Die genannten Mittel sind keine freien Restmittel, sondern sind grundsätzlich in konkreten Projekten gebunden, die regelmäßig über mehrere Jahre laufen. Sie werden je nach Projektfortschritt abgerufen und ver</w:t>
      </w:r>
      <w:r w:rsidR="004E66D3">
        <w:t>ausgabt. Insofern ist eine voll</w:t>
      </w:r>
      <w:r>
        <w:t>ständige Verausgabung im Sinne des Haushaltstitels sichergestellt.</w:t>
      </w:r>
    </w:p>
    <w:p w:rsidR="006E5140" w:rsidRDefault="006E5140" w:rsidP="006E5140">
      <w:pPr>
        <w:pStyle w:val="LTAntwortRessortText"/>
      </w:pPr>
      <w:r>
        <w:t>Auf die dem Landtag regelmäßig vorgelegten Beri</w:t>
      </w:r>
      <w:r w:rsidR="004E66D3">
        <w:t>chten über die entwicklungspoli</w:t>
      </w:r>
      <w:r>
        <w:t>tischen Aktivitäten der Staatsregierung, zuletzt vom 04.09.2019, 29.07.2020 und 28.07.2021</w:t>
      </w:r>
      <w:r w:rsidR="00B12993">
        <w:t>,</w:t>
      </w:r>
      <w:r>
        <w:t xml:space="preserve"> wird verwiesen.</w:t>
      </w:r>
    </w:p>
    <w:p w:rsidR="006E5140" w:rsidRDefault="006E5140">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B6A9B" w:rsidTr="00FB6A9B">
        <w:tc>
          <w:tcPr>
            <w:tcW w:w="1854" w:type="dxa"/>
          </w:tcPr>
          <w:p w:rsidR="00FB6A9B" w:rsidRDefault="00FB6A9B" w:rsidP="00FB6A9B">
            <w:pPr>
              <w:pStyle w:val="LTAnfrageInitiator"/>
            </w:pPr>
            <w:r>
              <w:t>Abgeordnete</w:t>
            </w:r>
            <w:r>
              <w:rPr>
                <w:b/>
              </w:rPr>
              <w:br/>
              <w:t>Margit</w:t>
            </w:r>
            <w:r>
              <w:rPr>
                <w:b/>
              </w:rPr>
              <w:br/>
              <w:t>Wild</w:t>
            </w:r>
            <w:r>
              <w:rPr>
                <w:b/>
              </w:rPr>
              <w:br/>
            </w:r>
            <w:r>
              <w:t>(SPD)</w:t>
            </w:r>
            <w:bookmarkStart w:id="19" w:name="Frage_Nr_9"/>
            <w:bookmarkEnd w:id="19"/>
          </w:p>
        </w:tc>
        <w:tc>
          <w:tcPr>
            <w:tcW w:w="5762" w:type="dxa"/>
          </w:tcPr>
          <w:p w:rsidR="00FB6A9B" w:rsidRPr="0042448D" w:rsidRDefault="00FB6A9B" w:rsidP="0042448D">
            <w:pPr>
              <w:pStyle w:val="LTAnfrageText"/>
            </w:pPr>
            <w:r w:rsidRPr="0042448D">
              <w:t>Ich frage die Staatsregierung, wie viele Anzeigen in Printmedien mit Bild oder Unterschr</w:t>
            </w:r>
            <w:r w:rsidR="0006145E">
              <w:t>ift des Ministerpräsidenten Dr. </w:t>
            </w:r>
            <w:r w:rsidRPr="0042448D">
              <w:t>Markus Söder hat die Staatsregierung seit dem 16.03.2018 geschalten, welche Kosten sind hierfür jeweils (einzeln und insgesamt) angefallen und wo wurden diese Anzeigen geschalten?</w:t>
            </w:r>
          </w:p>
        </w:tc>
        <w:tc>
          <w:tcPr>
            <w:tcW w:w="5762" w:type="dxa"/>
          </w:tcPr>
          <w:p w:rsidR="00FB6A9B" w:rsidRDefault="00FB6A9B" w:rsidP="00FB6A9B">
            <w:pPr>
              <w:pStyle w:val="LTAnfrageText"/>
            </w:pPr>
          </w:p>
        </w:tc>
      </w:tr>
    </w:tbl>
    <w:p w:rsidR="006E5140" w:rsidRDefault="006E5140" w:rsidP="006E5140">
      <w:pPr>
        <w:pStyle w:val="LTUeberschrAntwortRessort"/>
      </w:pPr>
      <w:r>
        <w:t>Antwort der Staatskanzlei</w:t>
      </w:r>
    </w:p>
    <w:p w:rsidR="006E5140" w:rsidRDefault="006E5140" w:rsidP="006E5140">
      <w:pPr>
        <w:pStyle w:val="LTAntwortRessortText"/>
      </w:pPr>
      <w:r>
        <w:t>Die Beantwortung der Anfrage wäre nur auf der Grundlage einer Abfrage aller Ressorts sowie einer umfangreichen Durchsi</w:t>
      </w:r>
      <w:r w:rsidR="004E66D3">
        <w:t>cht und Auswertung des vorhande</w:t>
      </w:r>
      <w:r>
        <w:t>nen Aktenbestands möglich. Dies kann in der Kürze der vorgegebenen Zeit nicht geleistet werden.</w:t>
      </w:r>
    </w:p>
    <w:p w:rsidR="006E5140" w:rsidRDefault="006E5140">
      <w:bookmarkStart w:id="20" w:name="Frage_Nr_9_Ende"/>
      <w:bookmarkEnd w:id="20"/>
      <w:r>
        <w:br w:type="page"/>
      </w:r>
    </w:p>
    <w:p w:rsidR="006E5140" w:rsidRDefault="006E5140" w:rsidP="006E5140">
      <w:pPr>
        <w:pStyle w:val="LTUeberschrRessort"/>
      </w:pPr>
      <w:r>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B6A9B" w:rsidTr="00FB6A9B">
        <w:tc>
          <w:tcPr>
            <w:tcW w:w="1883" w:type="dxa"/>
          </w:tcPr>
          <w:p w:rsidR="00FB6A9B" w:rsidRDefault="00FB6A9B" w:rsidP="00FB6A9B">
            <w:pPr>
              <w:pStyle w:val="LTAnfrageInitiator"/>
            </w:pPr>
            <w:r>
              <w:t>Abgeordnete</w:t>
            </w:r>
            <w:r>
              <w:rPr>
                <w:b/>
              </w:rPr>
              <w:br/>
              <w:t>Gülseren</w:t>
            </w:r>
            <w:r>
              <w:rPr>
                <w:b/>
              </w:rPr>
              <w:br/>
              <w:t>Demirel</w:t>
            </w:r>
            <w:r>
              <w:rPr>
                <w:b/>
              </w:rPr>
              <w:br/>
            </w:r>
            <w:r>
              <w:t>(BÜNDNIS 90/DIE GRÜNEN)</w:t>
            </w:r>
            <w:bookmarkStart w:id="21" w:name="Frage_Nr_10"/>
            <w:bookmarkEnd w:id="21"/>
          </w:p>
        </w:tc>
        <w:tc>
          <w:tcPr>
            <w:tcW w:w="5733" w:type="dxa"/>
          </w:tcPr>
          <w:p w:rsidR="00FB6A9B" w:rsidRPr="0042448D" w:rsidRDefault="00FB6A9B" w:rsidP="00B12993">
            <w:pPr>
              <w:pStyle w:val="LTAnfrageText"/>
            </w:pPr>
            <w:r w:rsidRPr="0042448D">
              <w:t xml:space="preserve">Ich frage die Staatsregierung, wie viele Diskriminierungsfälle, die im Kontext </w:t>
            </w:r>
            <w:r w:rsidR="00B12993">
              <w:t xml:space="preserve">von </w:t>
            </w:r>
            <w:r w:rsidRPr="0042448D">
              <w:t>Rassismus, Antisemitismus und Gruppenbezogene</w:t>
            </w:r>
            <w:r w:rsidR="00B12993">
              <w:t>r</w:t>
            </w:r>
            <w:r w:rsidRPr="0042448D">
              <w:t xml:space="preserve"> Menschenfeindlichkeit in Bayern in den Jahren 2019, 2020 und 2021 registriert wurden sind, ihr bekannt sind (bitte einzeln auflisten und nach Jahren</w:t>
            </w:r>
            <w:r w:rsidR="00B12993">
              <w:t xml:space="preserve"> zuordnen), wie viele Anfragen</w:t>
            </w:r>
            <w:r w:rsidRPr="0042448D">
              <w:t xml:space="preserve"> die vorhandenen Antidiskriminierungsstellen aus dem o. g. Kontext in Bayern in den Jahren 2019, 2020 und 2021 erhalten</w:t>
            </w:r>
            <w:r w:rsidR="00B12993">
              <w:t xml:space="preserve"> haben</w:t>
            </w:r>
            <w:r w:rsidRPr="0042448D">
              <w:t xml:space="preserve"> (bitte die Stellen und die Anzahl der Anfragen einzeln auflisten und den Jahren zuordnen) und welche Maßnahmen die Staatsregierung</w:t>
            </w:r>
            <w:r w:rsidR="00B12993">
              <w:t xml:space="preserve"> ergreift</w:t>
            </w:r>
            <w:r w:rsidRPr="0042448D">
              <w:t>, um die Fälle konsequent zu behandeln und auch mögliche Strafanzeigen zu verfolgen?</w:t>
            </w:r>
          </w:p>
        </w:tc>
        <w:tc>
          <w:tcPr>
            <w:tcW w:w="5733" w:type="dxa"/>
          </w:tcPr>
          <w:p w:rsidR="00FB6A9B" w:rsidRDefault="00FB6A9B" w:rsidP="00FB6A9B">
            <w:pPr>
              <w:pStyle w:val="LTAnfrageText"/>
            </w:pPr>
          </w:p>
        </w:tc>
      </w:tr>
    </w:tbl>
    <w:p w:rsidR="006E5140" w:rsidRDefault="006E5140" w:rsidP="003175F9">
      <w:pPr>
        <w:pStyle w:val="LTUeberschrAntwortRessort"/>
        <w:spacing w:before="240"/>
      </w:pPr>
      <w:r>
        <w:t>Antwort des Staatsministeriums des Innern, für Sport und Integration</w:t>
      </w:r>
    </w:p>
    <w:p w:rsidR="006E5140" w:rsidRDefault="006E5140" w:rsidP="006E5140">
      <w:pPr>
        <w:pStyle w:val="LTAntwortRessortText"/>
      </w:pPr>
      <w:r>
        <w:t>Übersicht der der Staatregierung bekannten Diskriminierungsfälle:</w:t>
      </w:r>
    </w:p>
    <w:p w:rsidR="006E5140" w:rsidRDefault="006E5140" w:rsidP="006E5140">
      <w:pPr>
        <w:pStyle w:val="LTAntwortRessortText"/>
      </w:pPr>
      <w:r>
        <w:t>Bei den in der Fragestellung genannten Straftaten handelt e</w:t>
      </w:r>
      <w:r w:rsidR="004E66D3">
        <w:t>s sich gemäß dem bundesweit ein</w:t>
      </w:r>
      <w:r>
        <w:t xml:space="preserve">heitlichen Definitionssystem Politisch Motivierter Kriminalität </w:t>
      </w:r>
      <w:r w:rsidR="004E66D3">
        <w:t>um Politisch Motivierte Strafta</w:t>
      </w:r>
      <w:r>
        <w:t>ten aus dem Bereich der Hasskriminalität, welche im Kriminalp</w:t>
      </w:r>
      <w:r w:rsidR="004E66D3">
        <w:t>olizeilichen Meldedienst in Fäl</w:t>
      </w:r>
      <w:r>
        <w:t>len Politisch Motivierter Kriminalität erfasst werden.</w:t>
      </w:r>
    </w:p>
    <w:p w:rsidR="006E5140" w:rsidRDefault="006E5140" w:rsidP="006E5140">
      <w:pPr>
        <w:pStyle w:val="LTAntwortRessortText"/>
      </w:pPr>
      <w:r>
        <w:t>Die Entwicklung der gegenständlichen Politisch Motivierten Straftaten in Bayern kann der nachfolgenden Tabelle entnommen werden.</w:t>
      </w:r>
    </w:p>
    <w:p w:rsidR="006E5140" w:rsidRDefault="006E5140" w:rsidP="006E5140">
      <w:pPr>
        <w:pStyle w:val="LTAntwortRessortText"/>
      </w:pPr>
    </w:p>
    <w:tbl>
      <w:tblPr>
        <w:tblStyle w:val="TableNormal"/>
        <w:tblW w:w="765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1559"/>
        <w:gridCol w:w="2268"/>
        <w:gridCol w:w="2268"/>
      </w:tblGrid>
      <w:tr w:rsidR="002214D5" w:rsidTr="009E671E">
        <w:trPr>
          <w:trHeight w:val="901"/>
        </w:trPr>
        <w:tc>
          <w:tcPr>
            <w:tcW w:w="1559" w:type="dxa"/>
          </w:tcPr>
          <w:p w:rsidR="002214D5" w:rsidRPr="004E66D3" w:rsidRDefault="002214D5" w:rsidP="002214D5">
            <w:pPr>
              <w:pStyle w:val="TableParagraph"/>
              <w:spacing w:line="240" w:lineRule="auto"/>
              <w:jc w:val="left"/>
              <w:rPr>
                <w:rFonts w:ascii="Arial" w:hAnsi="Arial" w:cs="Arial"/>
                <w:sz w:val="16"/>
              </w:rPr>
            </w:pPr>
          </w:p>
        </w:tc>
        <w:tc>
          <w:tcPr>
            <w:tcW w:w="1559" w:type="dxa"/>
          </w:tcPr>
          <w:p w:rsidR="002214D5" w:rsidRPr="004E66D3" w:rsidRDefault="002214D5" w:rsidP="004E66D3">
            <w:pPr>
              <w:pStyle w:val="TableParagraph"/>
              <w:spacing w:before="6" w:line="240" w:lineRule="auto"/>
              <w:jc w:val="center"/>
              <w:rPr>
                <w:rFonts w:ascii="Arial" w:hAnsi="Arial" w:cs="Arial"/>
                <w:sz w:val="16"/>
              </w:rPr>
            </w:pPr>
          </w:p>
          <w:p w:rsidR="002214D5" w:rsidRPr="004E66D3" w:rsidRDefault="002214D5" w:rsidP="004E66D3">
            <w:pPr>
              <w:pStyle w:val="TableParagraph"/>
              <w:spacing w:before="1" w:line="240" w:lineRule="auto"/>
              <w:ind w:left="332" w:right="313"/>
              <w:jc w:val="center"/>
              <w:rPr>
                <w:rFonts w:ascii="Arial" w:hAnsi="Arial" w:cs="Arial"/>
                <w:sz w:val="16"/>
              </w:rPr>
            </w:pPr>
            <w:r w:rsidRPr="004E66D3">
              <w:rPr>
                <w:rFonts w:ascii="Arial" w:hAnsi="Arial" w:cs="Arial"/>
                <w:sz w:val="16"/>
              </w:rPr>
              <w:t>Hasskriminalität</w:t>
            </w:r>
          </w:p>
        </w:tc>
        <w:tc>
          <w:tcPr>
            <w:tcW w:w="2268" w:type="dxa"/>
          </w:tcPr>
          <w:p w:rsidR="002214D5" w:rsidRPr="004E66D3" w:rsidRDefault="002214D5" w:rsidP="004E66D3">
            <w:pPr>
              <w:pStyle w:val="TableParagraph"/>
              <w:spacing w:before="169" w:line="240" w:lineRule="auto"/>
              <w:ind w:left="651" w:right="609" w:firstLine="49"/>
              <w:jc w:val="center"/>
              <w:rPr>
                <w:rFonts w:ascii="Arial" w:hAnsi="Arial" w:cs="Arial"/>
                <w:sz w:val="16"/>
              </w:rPr>
            </w:pPr>
            <w:r w:rsidRPr="004E66D3">
              <w:rPr>
                <w:rFonts w:ascii="Arial" w:hAnsi="Arial" w:cs="Arial"/>
                <w:sz w:val="16"/>
              </w:rPr>
              <w:t xml:space="preserve">davon </w:t>
            </w:r>
            <w:r w:rsidR="004E66D3">
              <w:rPr>
                <w:rFonts w:ascii="Arial" w:hAnsi="Arial" w:cs="Arial"/>
                <w:sz w:val="16"/>
              </w:rPr>
              <w:br/>
            </w:r>
            <w:r w:rsidRPr="004E66D3">
              <w:rPr>
                <w:rFonts w:ascii="Arial" w:hAnsi="Arial" w:cs="Arial"/>
                <w:sz w:val="16"/>
              </w:rPr>
              <w:t>rassistisch</w:t>
            </w:r>
          </w:p>
        </w:tc>
        <w:tc>
          <w:tcPr>
            <w:tcW w:w="2268" w:type="dxa"/>
          </w:tcPr>
          <w:p w:rsidR="002214D5" w:rsidRPr="004E66D3" w:rsidRDefault="002214D5" w:rsidP="004E66D3">
            <w:pPr>
              <w:pStyle w:val="TableParagraph"/>
              <w:spacing w:before="169" w:line="240" w:lineRule="auto"/>
              <w:ind w:left="509" w:right="469" w:firstLine="53"/>
              <w:jc w:val="center"/>
              <w:rPr>
                <w:rFonts w:ascii="Arial" w:hAnsi="Arial" w:cs="Arial"/>
                <w:sz w:val="16"/>
              </w:rPr>
            </w:pPr>
            <w:r w:rsidRPr="004E66D3">
              <w:rPr>
                <w:rFonts w:ascii="Arial" w:hAnsi="Arial" w:cs="Arial"/>
                <w:sz w:val="16"/>
              </w:rPr>
              <w:t xml:space="preserve">davon </w:t>
            </w:r>
            <w:r w:rsidR="004E66D3">
              <w:rPr>
                <w:rFonts w:ascii="Arial" w:hAnsi="Arial" w:cs="Arial"/>
                <w:sz w:val="16"/>
              </w:rPr>
              <w:br/>
            </w:r>
            <w:r w:rsidRPr="004E66D3">
              <w:rPr>
                <w:rFonts w:ascii="Arial" w:hAnsi="Arial" w:cs="Arial"/>
                <w:sz w:val="16"/>
              </w:rPr>
              <w:t>antisemitisch</w:t>
            </w:r>
          </w:p>
        </w:tc>
      </w:tr>
      <w:tr w:rsidR="002214D5" w:rsidTr="009E671E">
        <w:trPr>
          <w:trHeight w:val="275"/>
        </w:trPr>
        <w:tc>
          <w:tcPr>
            <w:tcW w:w="1559" w:type="dxa"/>
            <w:vAlign w:val="center"/>
          </w:tcPr>
          <w:p w:rsidR="002214D5" w:rsidRPr="004E66D3" w:rsidRDefault="002214D5" w:rsidP="009E671E">
            <w:pPr>
              <w:pStyle w:val="TableParagraph"/>
              <w:ind w:left="259" w:right="235"/>
              <w:jc w:val="left"/>
              <w:rPr>
                <w:rFonts w:ascii="Arial" w:hAnsi="Arial" w:cs="Arial"/>
                <w:sz w:val="16"/>
              </w:rPr>
            </w:pPr>
            <w:r w:rsidRPr="004E66D3">
              <w:rPr>
                <w:rFonts w:ascii="Arial" w:hAnsi="Arial" w:cs="Arial"/>
                <w:sz w:val="16"/>
              </w:rPr>
              <w:t>2019</w:t>
            </w:r>
          </w:p>
        </w:tc>
        <w:tc>
          <w:tcPr>
            <w:tcW w:w="1559" w:type="dxa"/>
          </w:tcPr>
          <w:p w:rsidR="002214D5" w:rsidRPr="004E66D3" w:rsidRDefault="002214D5" w:rsidP="004E66D3">
            <w:pPr>
              <w:pStyle w:val="TableParagraph"/>
              <w:ind w:left="331" w:right="313"/>
              <w:jc w:val="center"/>
              <w:rPr>
                <w:rFonts w:ascii="Arial" w:hAnsi="Arial" w:cs="Arial"/>
                <w:sz w:val="16"/>
              </w:rPr>
            </w:pPr>
            <w:r w:rsidRPr="004E66D3">
              <w:rPr>
                <w:rFonts w:ascii="Arial" w:hAnsi="Arial" w:cs="Arial"/>
                <w:sz w:val="16"/>
              </w:rPr>
              <w:t>1</w:t>
            </w:r>
            <w:r w:rsidR="009E671E">
              <w:rPr>
                <w:rFonts w:ascii="Arial" w:hAnsi="Arial" w:cs="Arial"/>
                <w:sz w:val="16"/>
              </w:rPr>
              <w:t> </w:t>
            </w:r>
            <w:r w:rsidRPr="004E66D3">
              <w:rPr>
                <w:rFonts w:ascii="Arial" w:hAnsi="Arial" w:cs="Arial"/>
                <w:sz w:val="16"/>
              </w:rPr>
              <w:t>016</w:t>
            </w:r>
          </w:p>
        </w:tc>
        <w:tc>
          <w:tcPr>
            <w:tcW w:w="2268" w:type="dxa"/>
          </w:tcPr>
          <w:p w:rsidR="002214D5" w:rsidRPr="004E66D3" w:rsidRDefault="002214D5" w:rsidP="004E66D3">
            <w:pPr>
              <w:pStyle w:val="TableParagraph"/>
              <w:ind w:left="943" w:right="924"/>
              <w:jc w:val="center"/>
              <w:rPr>
                <w:rFonts w:ascii="Arial" w:hAnsi="Arial" w:cs="Arial"/>
                <w:sz w:val="16"/>
              </w:rPr>
            </w:pPr>
            <w:r w:rsidRPr="004E66D3">
              <w:rPr>
                <w:rFonts w:ascii="Arial" w:hAnsi="Arial" w:cs="Arial"/>
                <w:sz w:val="16"/>
              </w:rPr>
              <w:t>243</w:t>
            </w:r>
          </w:p>
        </w:tc>
        <w:tc>
          <w:tcPr>
            <w:tcW w:w="2268" w:type="dxa"/>
          </w:tcPr>
          <w:p w:rsidR="002214D5" w:rsidRPr="004E66D3" w:rsidRDefault="002214D5" w:rsidP="004E66D3">
            <w:pPr>
              <w:pStyle w:val="TableParagraph"/>
              <w:ind w:left="944" w:right="921"/>
              <w:jc w:val="center"/>
              <w:rPr>
                <w:rFonts w:ascii="Arial" w:hAnsi="Arial" w:cs="Arial"/>
                <w:sz w:val="16"/>
              </w:rPr>
            </w:pPr>
            <w:r w:rsidRPr="004E66D3">
              <w:rPr>
                <w:rFonts w:ascii="Arial" w:hAnsi="Arial" w:cs="Arial"/>
                <w:sz w:val="16"/>
              </w:rPr>
              <w:t>310</w:t>
            </w:r>
          </w:p>
        </w:tc>
      </w:tr>
      <w:tr w:rsidR="002214D5" w:rsidTr="009E671E">
        <w:trPr>
          <w:trHeight w:val="275"/>
        </w:trPr>
        <w:tc>
          <w:tcPr>
            <w:tcW w:w="1559" w:type="dxa"/>
            <w:vAlign w:val="center"/>
          </w:tcPr>
          <w:p w:rsidR="002214D5" w:rsidRPr="004E66D3" w:rsidRDefault="002214D5" w:rsidP="009E671E">
            <w:pPr>
              <w:pStyle w:val="TableParagraph"/>
              <w:ind w:left="259" w:right="235"/>
              <w:jc w:val="left"/>
              <w:rPr>
                <w:rFonts w:ascii="Arial" w:hAnsi="Arial" w:cs="Arial"/>
                <w:sz w:val="16"/>
              </w:rPr>
            </w:pPr>
            <w:r w:rsidRPr="004E66D3">
              <w:rPr>
                <w:rFonts w:ascii="Arial" w:hAnsi="Arial" w:cs="Arial"/>
                <w:sz w:val="16"/>
              </w:rPr>
              <w:t>2020</w:t>
            </w:r>
          </w:p>
        </w:tc>
        <w:tc>
          <w:tcPr>
            <w:tcW w:w="1559" w:type="dxa"/>
          </w:tcPr>
          <w:p w:rsidR="002214D5" w:rsidRPr="004E66D3" w:rsidRDefault="002214D5" w:rsidP="004E66D3">
            <w:pPr>
              <w:pStyle w:val="TableParagraph"/>
              <w:ind w:left="331" w:right="313"/>
              <w:jc w:val="center"/>
              <w:rPr>
                <w:rFonts w:ascii="Arial" w:hAnsi="Arial" w:cs="Arial"/>
                <w:sz w:val="16"/>
              </w:rPr>
            </w:pPr>
            <w:r w:rsidRPr="004E66D3">
              <w:rPr>
                <w:rFonts w:ascii="Arial" w:hAnsi="Arial" w:cs="Arial"/>
                <w:sz w:val="16"/>
              </w:rPr>
              <w:t>1</w:t>
            </w:r>
            <w:r w:rsidR="009E671E">
              <w:rPr>
                <w:rFonts w:ascii="Arial" w:hAnsi="Arial" w:cs="Arial"/>
                <w:sz w:val="16"/>
              </w:rPr>
              <w:t> </w:t>
            </w:r>
            <w:r w:rsidRPr="004E66D3">
              <w:rPr>
                <w:rFonts w:ascii="Arial" w:hAnsi="Arial" w:cs="Arial"/>
                <w:sz w:val="16"/>
              </w:rPr>
              <w:t>328</w:t>
            </w:r>
          </w:p>
        </w:tc>
        <w:tc>
          <w:tcPr>
            <w:tcW w:w="2268" w:type="dxa"/>
          </w:tcPr>
          <w:p w:rsidR="002214D5" w:rsidRPr="004E66D3" w:rsidRDefault="002214D5" w:rsidP="004E66D3">
            <w:pPr>
              <w:pStyle w:val="TableParagraph"/>
              <w:ind w:left="943" w:right="924"/>
              <w:jc w:val="center"/>
              <w:rPr>
                <w:rFonts w:ascii="Arial" w:hAnsi="Arial" w:cs="Arial"/>
                <w:sz w:val="16"/>
              </w:rPr>
            </w:pPr>
            <w:r w:rsidRPr="004E66D3">
              <w:rPr>
                <w:rFonts w:ascii="Arial" w:hAnsi="Arial" w:cs="Arial"/>
                <w:sz w:val="16"/>
              </w:rPr>
              <w:t>477</w:t>
            </w:r>
          </w:p>
        </w:tc>
        <w:tc>
          <w:tcPr>
            <w:tcW w:w="2268" w:type="dxa"/>
          </w:tcPr>
          <w:p w:rsidR="002214D5" w:rsidRPr="004E66D3" w:rsidRDefault="002214D5" w:rsidP="004E66D3">
            <w:pPr>
              <w:pStyle w:val="TableParagraph"/>
              <w:ind w:left="944" w:right="921"/>
              <w:jc w:val="center"/>
              <w:rPr>
                <w:rFonts w:ascii="Arial" w:hAnsi="Arial" w:cs="Arial"/>
                <w:sz w:val="16"/>
              </w:rPr>
            </w:pPr>
            <w:r w:rsidRPr="004E66D3">
              <w:rPr>
                <w:rFonts w:ascii="Arial" w:hAnsi="Arial" w:cs="Arial"/>
                <w:sz w:val="16"/>
              </w:rPr>
              <w:t>353</w:t>
            </w:r>
          </w:p>
        </w:tc>
      </w:tr>
      <w:tr w:rsidR="002214D5" w:rsidTr="009E671E">
        <w:trPr>
          <w:trHeight w:val="277"/>
        </w:trPr>
        <w:tc>
          <w:tcPr>
            <w:tcW w:w="1559" w:type="dxa"/>
            <w:vAlign w:val="center"/>
          </w:tcPr>
          <w:p w:rsidR="002214D5" w:rsidRPr="004E66D3" w:rsidRDefault="004E66D3" w:rsidP="009E671E">
            <w:pPr>
              <w:pStyle w:val="TableParagraph"/>
              <w:spacing w:line="258" w:lineRule="exact"/>
              <w:ind w:left="259" w:right="238"/>
              <w:jc w:val="left"/>
              <w:rPr>
                <w:rFonts w:ascii="Arial" w:hAnsi="Arial" w:cs="Arial"/>
                <w:sz w:val="16"/>
              </w:rPr>
            </w:pPr>
            <w:r>
              <w:rPr>
                <w:rFonts w:ascii="Arial" w:hAnsi="Arial" w:cs="Arial"/>
                <w:sz w:val="16"/>
              </w:rPr>
              <w:t xml:space="preserve">01.01.bis </w:t>
            </w:r>
            <w:r w:rsidR="002214D5" w:rsidRPr="004E66D3">
              <w:rPr>
                <w:rFonts w:ascii="Arial" w:hAnsi="Arial" w:cs="Arial"/>
                <w:sz w:val="16"/>
              </w:rPr>
              <w:t>30.09.2021</w:t>
            </w:r>
          </w:p>
        </w:tc>
        <w:tc>
          <w:tcPr>
            <w:tcW w:w="1559" w:type="dxa"/>
          </w:tcPr>
          <w:p w:rsidR="002214D5" w:rsidRPr="004E66D3" w:rsidRDefault="002214D5" w:rsidP="004E66D3">
            <w:pPr>
              <w:pStyle w:val="TableParagraph"/>
              <w:spacing w:line="258" w:lineRule="exact"/>
              <w:ind w:left="331" w:right="313"/>
              <w:jc w:val="center"/>
              <w:rPr>
                <w:rFonts w:ascii="Arial" w:hAnsi="Arial" w:cs="Arial"/>
                <w:sz w:val="16"/>
              </w:rPr>
            </w:pPr>
            <w:r w:rsidRPr="004E66D3">
              <w:rPr>
                <w:rFonts w:ascii="Arial" w:hAnsi="Arial" w:cs="Arial"/>
                <w:sz w:val="16"/>
              </w:rPr>
              <w:t>783</w:t>
            </w:r>
          </w:p>
        </w:tc>
        <w:tc>
          <w:tcPr>
            <w:tcW w:w="2268" w:type="dxa"/>
          </w:tcPr>
          <w:p w:rsidR="002214D5" w:rsidRPr="004E66D3" w:rsidRDefault="002214D5" w:rsidP="004E66D3">
            <w:pPr>
              <w:pStyle w:val="TableParagraph"/>
              <w:spacing w:line="258" w:lineRule="exact"/>
              <w:ind w:left="943" w:right="924"/>
              <w:jc w:val="center"/>
              <w:rPr>
                <w:rFonts w:ascii="Arial" w:hAnsi="Arial" w:cs="Arial"/>
                <w:sz w:val="16"/>
              </w:rPr>
            </w:pPr>
            <w:r w:rsidRPr="004E66D3">
              <w:rPr>
                <w:rFonts w:ascii="Arial" w:hAnsi="Arial" w:cs="Arial"/>
                <w:sz w:val="16"/>
              </w:rPr>
              <w:t>274</w:t>
            </w:r>
          </w:p>
        </w:tc>
        <w:tc>
          <w:tcPr>
            <w:tcW w:w="2268" w:type="dxa"/>
          </w:tcPr>
          <w:p w:rsidR="002214D5" w:rsidRPr="004E66D3" w:rsidRDefault="002214D5" w:rsidP="004E66D3">
            <w:pPr>
              <w:pStyle w:val="TableParagraph"/>
              <w:spacing w:line="258" w:lineRule="exact"/>
              <w:ind w:left="944" w:right="921"/>
              <w:jc w:val="center"/>
              <w:rPr>
                <w:rFonts w:ascii="Arial" w:hAnsi="Arial" w:cs="Arial"/>
                <w:sz w:val="16"/>
              </w:rPr>
            </w:pPr>
            <w:r w:rsidRPr="004E66D3">
              <w:rPr>
                <w:rFonts w:ascii="Arial" w:hAnsi="Arial" w:cs="Arial"/>
                <w:sz w:val="16"/>
              </w:rPr>
              <w:t>341</w:t>
            </w:r>
          </w:p>
        </w:tc>
      </w:tr>
    </w:tbl>
    <w:p w:rsidR="006E5140" w:rsidRDefault="006E5140" w:rsidP="006E5140">
      <w:pPr>
        <w:pStyle w:val="LTAntwortRessortText"/>
      </w:pPr>
      <w:r>
        <w:t>Es wird darauf</w:t>
      </w:r>
      <w:r w:rsidR="004E66D3">
        <w:t xml:space="preserve"> hin</w:t>
      </w:r>
      <w:r>
        <w:t>gewiesen, dass für das Tatjahr 2021 die endgültigen Fallzahlen erst nach dem bundesweit einheitlichen Meldeschluss zum 31.01.202</w:t>
      </w:r>
      <w:r w:rsidR="004E66D3">
        <w:t>2 und dem anschließenden Abstim</w:t>
      </w:r>
      <w:r>
        <w:t>mungsprozess vorliegen, bei dem sich durch Korrekturen noch Änderungen/Verschiebungen ergeben können. Die genannten Fallzahlen sind demnach als vorläufig zu betrachten.</w:t>
      </w:r>
    </w:p>
    <w:p w:rsidR="006E5140" w:rsidRDefault="006E5140" w:rsidP="006E5140">
      <w:pPr>
        <w:pStyle w:val="LTAntwortRessortText"/>
      </w:pPr>
      <w:r>
        <w:t>Vorfälle unterhalb der Strafbarkeitsgrenze werden nicht im Kriminalpolizeilichen Meldedienst in Fällen Politisch Motivierter Kriminalität statistisch erfasst und können entsprechenden von Seiten der Bayerischen Polizei nicht beauskunftet werden.</w:t>
      </w:r>
    </w:p>
    <w:p w:rsidR="006E5140" w:rsidRDefault="006E5140" w:rsidP="006E5140">
      <w:pPr>
        <w:pStyle w:val="LTAntwortRessortText"/>
      </w:pPr>
      <w:r>
        <w:t>Übersichten der den Antidiskriminierungsstellen gemeldeten Fälle:</w:t>
      </w:r>
    </w:p>
    <w:p w:rsidR="00976810" w:rsidRDefault="00976810" w:rsidP="003175F9">
      <w:pPr>
        <w:pStyle w:val="Textkrper"/>
        <w:spacing w:before="173"/>
        <w:ind w:left="340"/>
        <w:rPr>
          <w:rFonts w:ascii="Arial" w:hAnsi="Arial"/>
          <w:sz w:val="20"/>
          <w:lang w:bidi="ar-SA"/>
        </w:rPr>
      </w:pPr>
    </w:p>
    <w:p w:rsidR="00976810" w:rsidRDefault="00976810" w:rsidP="003175F9">
      <w:pPr>
        <w:pStyle w:val="Textkrper"/>
        <w:spacing w:before="173"/>
        <w:ind w:left="340"/>
        <w:rPr>
          <w:rFonts w:ascii="Arial" w:hAnsi="Arial"/>
          <w:sz w:val="20"/>
          <w:lang w:bidi="ar-SA"/>
        </w:rPr>
      </w:pPr>
    </w:p>
    <w:p w:rsidR="006E5140" w:rsidRPr="003175F9" w:rsidRDefault="002214D5" w:rsidP="003175F9">
      <w:pPr>
        <w:pStyle w:val="Textkrper"/>
        <w:spacing w:before="173"/>
        <w:ind w:left="340"/>
        <w:rPr>
          <w:rFonts w:ascii="Arial" w:hAnsi="Arial"/>
          <w:sz w:val="20"/>
          <w:lang w:bidi="ar-SA"/>
        </w:rPr>
      </w:pPr>
      <w:r w:rsidRPr="003175F9">
        <w:rPr>
          <w:rFonts w:ascii="Arial" w:hAnsi="Arial"/>
          <w:sz w:val="20"/>
          <w:lang w:bidi="ar-SA"/>
        </w:rPr>
        <w:t>Recherche- und Informationsstelle Antisemitismus Bayern (RIAS Bayern)</w:t>
      </w:r>
    </w:p>
    <w:tbl>
      <w:tblPr>
        <w:tblStyle w:val="TableNormal"/>
        <w:tblW w:w="737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2"/>
        <w:gridCol w:w="2577"/>
        <w:gridCol w:w="2552"/>
      </w:tblGrid>
      <w:tr w:rsidR="002214D5" w:rsidTr="009E671E">
        <w:trPr>
          <w:trHeight w:val="275"/>
        </w:trPr>
        <w:tc>
          <w:tcPr>
            <w:tcW w:w="2242" w:type="dxa"/>
            <w:vAlign w:val="center"/>
          </w:tcPr>
          <w:p w:rsidR="002214D5" w:rsidRPr="003175F9" w:rsidRDefault="002214D5" w:rsidP="009E671E">
            <w:pPr>
              <w:pStyle w:val="TableParagraph"/>
              <w:spacing w:line="240" w:lineRule="auto"/>
              <w:jc w:val="left"/>
              <w:rPr>
                <w:rFonts w:ascii="Arial" w:hAnsi="Arial" w:cs="Arial"/>
                <w:sz w:val="16"/>
                <w:szCs w:val="18"/>
              </w:rPr>
            </w:pP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2019</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2020</w:t>
            </w:r>
          </w:p>
        </w:tc>
      </w:tr>
      <w:tr w:rsidR="002214D5" w:rsidTr="009E671E">
        <w:trPr>
          <w:trHeight w:val="275"/>
        </w:trPr>
        <w:tc>
          <w:tcPr>
            <w:tcW w:w="2242" w:type="dxa"/>
            <w:vAlign w:val="center"/>
          </w:tcPr>
          <w:p w:rsidR="002214D5" w:rsidRPr="003175F9" w:rsidRDefault="002214D5" w:rsidP="009E671E">
            <w:pPr>
              <w:pStyle w:val="TableParagraph"/>
              <w:ind w:left="110"/>
              <w:jc w:val="left"/>
              <w:rPr>
                <w:rFonts w:ascii="Arial" w:hAnsi="Arial" w:cs="Arial"/>
                <w:sz w:val="16"/>
                <w:szCs w:val="18"/>
              </w:rPr>
            </w:pPr>
            <w:r w:rsidRPr="003175F9">
              <w:rPr>
                <w:rFonts w:ascii="Arial" w:hAnsi="Arial" w:cs="Arial"/>
                <w:sz w:val="16"/>
                <w:szCs w:val="18"/>
              </w:rPr>
              <w:t>Fälle insgesamt</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178</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239</w:t>
            </w:r>
          </w:p>
        </w:tc>
      </w:tr>
      <w:tr w:rsidR="002214D5" w:rsidTr="009E671E">
        <w:trPr>
          <w:trHeight w:val="277"/>
        </w:trPr>
        <w:tc>
          <w:tcPr>
            <w:tcW w:w="2242" w:type="dxa"/>
            <w:vAlign w:val="center"/>
          </w:tcPr>
          <w:p w:rsidR="002214D5" w:rsidRPr="003175F9" w:rsidRDefault="002214D5" w:rsidP="009E671E">
            <w:pPr>
              <w:pStyle w:val="TableParagraph"/>
              <w:spacing w:line="258" w:lineRule="exact"/>
              <w:ind w:left="110"/>
              <w:jc w:val="left"/>
              <w:rPr>
                <w:rFonts w:ascii="Arial" w:hAnsi="Arial" w:cs="Arial"/>
                <w:sz w:val="16"/>
                <w:szCs w:val="18"/>
              </w:rPr>
            </w:pPr>
            <w:r w:rsidRPr="003175F9">
              <w:rPr>
                <w:rFonts w:ascii="Arial" w:hAnsi="Arial" w:cs="Arial"/>
                <w:sz w:val="16"/>
                <w:szCs w:val="18"/>
              </w:rPr>
              <w:t>Davon</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p>
        </w:tc>
      </w:tr>
      <w:tr w:rsidR="002214D5" w:rsidTr="009E671E">
        <w:trPr>
          <w:trHeight w:val="551"/>
        </w:trPr>
        <w:tc>
          <w:tcPr>
            <w:tcW w:w="2242" w:type="dxa"/>
            <w:vAlign w:val="center"/>
          </w:tcPr>
          <w:p w:rsidR="002214D5" w:rsidRPr="003175F9" w:rsidRDefault="002214D5" w:rsidP="009E671E">
            <w:pPr>
              <w:pStyle w:val="TableParagraph"/>
              <w:spacing w:line="270" w:lineRule="exact"/>
              <w:ind w:left="110"/>
              <w:jc w:val="left"/>
              <w:rPr>
                <w:rFonts w:ascii="Arial" w:hAnsi="Arial" w:cs="Arial"/>
                <w:sz w:val="16"/>
                <w:szCs w:val="18"/>
              </w:rPr>
            </w:pPr>
            <w:r w:rsidRPr="003175F9">
              <w:rPr>
                <w:rFonts w:ascii="Arial" w:hAnsi="Arial" w:cs="Arial"/>
                <w:sz w:val="16"/>
                <w:szCs w:val="18"/>
              </w:rPr>
              <w:t xml:space="preserve">Fälle extremer </w:t>
            </w:r>
            <w:r w:rsidR="009E671E">
              <w:rPr>
                <w:rFonts w:ascii="Arial" w:hAnsi="Arial" w:cs="Arial"/>
                <w:sz w:val="16"/>
                <w:szCs w:val="18"/>
              </w:rPr>
              <w:t>Ge</w:t>
            </w:r>
            <w:r w:rsidRPr="003175F9">
              <w:rPr>
                <w:rFonts w:ascii="Arial" w:hAnsi="Arial" w:cs="Arial"/>
                <w:sz w:val="16"/>
                <w:szCs w:val="18"/>
              </w:rPr>
              <w:t>walt</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0</w:t>
            </w:r>
          </w:p>
        </w:tc>
      </w:tr>
      <w:tr w:rsidR="002214D5" w:rsidTr="009E671E">
        <w:trPr>
          <w:trHeight w:val="275"/>
        </w:trPr>
        <w:tc>
          <w:tcPr>
            <w:tcW w:w="2242" w:type="dxa"/>
            <w:vAlign w:val="center"/>
          </w:tcPr>
          <w:p w:rsidR="002214D5" w:rsidRPr="003175F9" w:rsidRDefault="002214D5" w:rsidP="009E671E">
            <w:pPr>
              <w:pStyle w:val="TableParagraph"/>
              <w:ind w:left="110"/>
              <w:jc w:val="left"/>
              <w:rPr>
                <w:rFonts w:ascii="Arial" w:hAnsi="Arial" w:cs="Arial"/>
                <w:sz w:val="16"/>
                <w:szCs w:val="18"/>
              </w:rPr>
            </w:pPr>
            <w:r w:rsidRPr="003175F9">
              <w:rPr>
                <w:rFonts w:ascii="Arial" w:hAnsi="Arial" w:cs="Arial"/>
                <w:sz w:val="16"/>
                <w:szCs w:val="18"/>
              </w:rPr>
              <w:t>Angriffe</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9</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w:t>
            </w:r>
          </w:p>
        </w:tc>
      </w:tr>
      <w:tr w:rsidR="002214D5" w:rsidTr="009E671E">
        <w:trPr>
          <w:trHeight w:val="277"/>
        </w:trPr>
        <w:tc>
          <w:tcPr>
            <w:tcW w:w="2242" w:type="dxa"/>
            <w:vAlign w:val="center"/>
          </w:tcPr>
          <w:p w:rsidR="002214D5" w:rsidRPr="003175F9" w:rsidRDefault="002214D5" w:rsidP="009E671E">
            <w:pPr>
              <w:pStyle w:val="TableParagraph"/>
              <w:spacing w:line="258" w:lineRule="exact"/>
              <w:ind w:left="110"/>
              <w:jc w:val="left"/>
              <w:rPr>
                <w:rFonts w:ascii="Arial" w:hAnsi="Arial" w:cs="Arial"/>
                <w:sz w:val="16"/>
                <w:szCs w:val="18"/>
              </w:rPr>
            </w:pPr>
            <w:r w:rsidRPr="003175F9">
              <w:rPr>
                <w:rFonts w:ascii="Arial" w:hAnsi="Arial" w:cs="Arial"/>
                <w:sz w:val="16"/>
                <w:szCs w:val="18"/>
              </w:rPr>
              <w:t>Bedrohungen</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8</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10</w:t>
            </w:r>
          </w:p>
        </w:tc>
      </w:tr>
      <w:tr w:rsidR="002214D5" w:rsidTr="009E671E">
        <w:trPr>
          <w:trHeight w:val="551"/>
        </w:trPr>
        <w:tc>
          <w:tcPr>
            <w:tcW w:w="2242" w:type="dxa"/>
            <w:vAlign w:val="center"/>
          </w:tcPr>
          <w:p w:rsidR="002214D5" w:rsidRPr="003175F9" w:rsidRDefault="002214D5" w:rsidP="008A0617">
            <w:pPr>
              <w:pStyle w:val="TableParagraph"/>
              <w:spacing w:line="270" w:lineRule="exact"/>
              <w:ind w:left="110"/>
              <w:jc w:val="left"/>
              <w:rPr>
                <w:rFonts w:ascii="Arial" w:hAnsi="Arial" w:cs="Arial"/>
                <w:sz w:val="16"/>
                <w:szCs w:val="18"/>
              </w:rPr>
            </w:pPr>
            <w:r w:rsidRPr="003175F9">
              <w:rPr>
                <w:rFonts w:ascii="Arial" w:hAnsi="Arial" w:cs="Arial"/>
                <w:sz w:val="16"/>
                <w:szCs w:val="18"/>
              </w:rPr>
              <w:t>gezielte Sachbe-schädigungen</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11</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13</w:t>
            </w:r>
          </w:p>
        </w:tc>
      </w:tr>
      <w:tr w:rsidR="002214D5" w:rsidTr="009E671E">
        <w:trPr>
          <w:trHeight w:val="275"/>
        </w:trPr>
        <w:tc>
          <w:tcPr>
            <w:tcW w:w="2242" w:type="dxa"/>
            <w:vAlign w:val="center"/>
          </w:tcPr>
          <w:p w:rsidR="002214D5" w:rsidRPr="003175F9" w:rsidRDefault="002214D5" w:rsidP="009E671E">
            <w:pPr>
              <w:pStyle w:val="TableParagraph"/>
              <w:ind w:left="110"/>
              <w:jc w:val="left"/>
              <w:rPr>
                <w:rFonts w:ascii="Arial" w:hAnsi="Arial" w:cs="Arial"/>
                <w:sz w:val="16"/>
                <w:szCs w:val="18"/>
              </w:rPr>
            </w:pPr>
            <w:r w:rsidRPr="003175F9">
              <w:rPr>
                <w:rFonts w:ascii="Arial" w:hAnsi="Arial" w:cs="Arial"/>
                <w:sz w:val="16"/>
                <w:szCs w:val="18"/>
              </w:rPr>
              <w:t>Massenzuschriften</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28</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27</w:t>
            </w:r>
          </w:p>
        </w:tc>
      </w:tr>
      <w:tr w:rsidR="002214D5" w:rsidTr="009E671E">
        <w:trPr>
          <w:trHeight w:val="553"/>
        </w:trPr>
        <w:tc>
          <w:tcPr>
            <w:tcW w:w="2242" w:type="dxa"/>
            <w:vAlign w:val="center"/>
          </w:tcPr>
          <w:p w:rsidR="002214D5" w:rsidRPr="003175F9" w:rsidRDefault="008A0617" w:rsidP="008A0617">
            <w:pPr>
              <w:pStyle w:val="TableParagraph"/>
              <w:spacing w:line="272" w:lineRule="exact"/>
              <w:ind w:left="110"/>
              <w:jc w:val="left"/>
              <w:rPr>
                <w:rFonts w:ascii="Arial" w:hAnsi="Arial" w:cs="Arial"/>
                <w:sz w:val="16"/>
                <w:szCs w:val="18"/>
              </w:rPr>
            </w:pPr>
            <w:r>
              <w:rPr>
                <w:rFonts w:ascii="Arial" w:hAnsi="Arial" w:cs="Arial"/>
                <w:sz w:val="16"/>
                <w:szCs w:val="18"/>
              </w:rPr>
              <w:t>verletzendes Ver</w:t>
            </w:r>
            <w:r w:rsidR="002214D5" w:rsidRPr="003175F9">
              <w:rPr>
                <w:rFonts w:ascii="Arial" w:hAnsi="Arial" w:cs="Arial"/>
                <w:sz w:val="16"/>
                <w:szCs w:val="18"/>
              </w:rPr>
              <w:t>halten</w:t>
            </w:r>
          </w:p>
        </w:tc>
        <w:tc>
          <w:tcPr>
            <w:tcW w:w="2577"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121</w:t>
            </w:r>
          </w:p>
        </w:tc>
        <w:tc>
          <w:tcPr>
            <w:tcW w:w="2552" w:type="dxa"/>
            <w:vAlign w:val="center"/>
          </w:tcPr>
          <w:p w:rsidR="002214D5" w:rsidRPr="003175F9" w:rsidRDefault="002214D5" w:rsidP="003175F9">
            <w:pPr>
              <w:pStyle w:val="TableParagraph"/>
              <w:spacing w:line="240" w:lineRule="auto"/>
              <w:jc w:val="center"/>
              <w:rPr>
                <w:rFonts w:ascii="Arial" w:hAnsi="Arial" w:cs="Arial"/>
                <w:sz w:val="16"/>
                <w:szCs w:val="18"/>
              </w:rPr>
            </w:pPr>
            <w:r w:rsidRPr="003175F9">
              <w:rPr>
                <w:rFonts w:ascii="Arial" w:hAnsi="Arial" w:cs="Arial"/>
                <w:sz w:val="16"/>
                <w:szCs w:val="18"/>
              </w:rPr>
              <w:t>188</w:t>
            </w:r>
          </w:p>
        </w:tc>
      </w:tr>
      <w:tr w:rsidR="002214D5" w:rsidTr="00C93C15">
        <w:trPr>
          <w:trHeight w:val="551"/>
        </w:trPr>
        <w:tc>
          <w:tcPr>
            <w:tcW w:w="2242" w:type="dxa"/>
            <w:vAlign w:val="center"/>
          </w:tcPr>
          <w:p w:rsidR="002214D5" w:rsidRPr="003175F9" w:rsidRDefault="002214D5" w:rsidP="009E671E">
            <w:pPr>
              <w:pStyle w:val="TableParagraph"/>
              <w:spacing w:line="270" w:lineRule="exact"/>
              <w:ind w:left="110"/>
              <w:jc w:val="left"/>
              <w:rPr>
                <w:rFonts w:ascii="Arial" w:hAnsi="Arial" w:cs="Arial"/>
                <w:sz w:val="16"/>
                <w:szCs w:val="18"/>
              </w:rPr>
            </w:pPr>
            <w:r w:rsidRPr="003175F9">
              <w:rPr>
                <w:rFonts w:ascii="Arial" w:hAnsi="Arial" w:cs="Arial"/>
                <w:sz w:val="16"/>
                <w:szCs w:val="18"/>
              </w:rPr>
              <w:t>Link zum Jahresbericht</w:t>
            </w:r>
          </w:p>
        </w:tc>
        <w:tc>
          <w:tcPr>
            <w:tcW w:w="2577" w:type="dxa"/>
            <w:vAlign w:val="center"/>
          </w:tcPr>
          <w:p w:rsidR="002214D5" w:rsidRPr="00401AF1" w:rsidRDefault="00B366F8" w:rsidP="00C93C15">
            <w:pPr>
              <w:pStyle w:val="LTHyperlink"/>
              <w:jc w:val="center"/>
              <w:rPr>
                <w:b w:val="0"/>
              </w:rPr>
            </w:pPr>
            <w:hyperlink r:id="rId13" w:history="1">
              <w:r w:rsidR="00401AF1" w:rsidRPr="00401AF1">
                <w:rPr>
                  <w:rStyle w:val="Hyperlink"/>
                  <w:b w:val="0"/>
                  <w:color w:val="0000FF"/>
                  <w:sz w:val="16"/>
                  <w:u w:val="single"/>
                </w:rPr>
                <w:t>https://www.report-antisemitism.de/rias-bayern/</w:t>
              </w:r>
            </w:hyperlink>
          </w:p>
        </w:tc>
        <w:tc>
          <w:tcPr>
            <w:tcW w:w="2552" w:type="dxa"/>
            <w:vAlign w:val="center"/>
          </w:tcPr>
          <w:p w:rsidR="002214D5" w:rsidRPr="00C93C15" w:rsidRDefault="00B366F8" w:rsidP="00C93C15">
            <w:pPr>
              <w:pStyle w:val="LTHyperlink"/>
              <w:jc w:val="center"/>
              <w:rPr>
                <w:b w:val="0"/>
                <w:sz w:val="16"/>
              </w:rPr>
            </w:pPr>
            <w:hyperlink r:id="rId14" w:history="1">
              <w:r w:rsidR="00C93C15" w:rsidRPr="00C93C15">
                <w:rPr>
                  <w:rStyle w:val="Hyperlink"/>
                  <w:b w:val="0"/>
                  <w:color w:val="0000FF"/>
                  <w:sz w:val="16"/>
                  <w:u w:val="single"/>
                </w:rPr>
                <w:t>https://www.report-antisemitism.de/rias-bayern/</w:t>
              </w:r>
            </w:hyperlink>
          </w:p>
        </w:tc>
      </w:tr>
    </w:tbl>
    <w:p w:rsidR="002214D5" w:rsidRPr="003175F9" w:rsidRDefault="002214D5" w:rsidP="003175F9">
      <w:pPr>
        <w:pStyle w:val="Textkrper"/>
        <w:spacing w:before="173"/>
        <w:ind w:left="340"/>
        <w:rPr>
          <w:rFonts w:ascii="Arial" w:hAnsi="Arial"/>
          <w:sz w:val="20"/>
          <w:lang w:bidi="ar-SA"/>
        </w:rPr>
      </w:pPr>
      <w:r w:rsidRPr="003175F9">
        <w:rPr>
          <w:rFonts w:ascii="Arial" w:hAnsi="Arial"/>
          <w:sz w:val="20"/>
          <w:lang w:bidi="ar-SA"/>
        </w:rPr>
        <w:t>Beratungsnetzwerk Bay</w:t>
      </w:r>
      <w:r w:rsidR="00976810">
        <w:rPr>
          <w:rFonts w:ascii="Arial" w:hAnsi="Arial"/>
          <w:sz w:val="20"/>
          <w:lang w:bidi="ar-SA"/>
        </w:rPr>
        <w:t>ern gegen Rechtsextremismus –</w:t>
      </w:r>
      <w:r w:rsidRPr="003175F9">
        <w:rPr>
          <w:rFonts w:ascii="Arial" w:hAnsi="Arial"/>
          <w:sz w:val="20"/>
          <w:lang w:bidi="ar-SA"/>
        </w:rPr>
        <w:t xml:space="preserve"> Fälle der </w:t>
      </w:r>
      <w:r w:rsidR="00C93C15">
        <w:rPr>
          <w:rFonts w:ascii="Arial" w:hAnsi="Arial"/>
          <w:sz w:val="20"/>
          <w:lang w:bidi="ar-SA"/>
        </w:rPr>
        <w:br/>
      </w:r>
      <w:r w:rsidRPr="003175F9">
        <w:rPr>
          <w:rFonts w:ascii="Arial" w:hAnsi="Arial"/>
          <w:sz w:val="20"/>
          <w:lang w:bidi="ar-SA"/>
        </w:rPr>
        <w:t>Mobilen Beratung Bayern</w:t>
      </w:r>
    </w:p>
    <w:tbl>
      <w:tblPr>
        <w:tblStyle w:val="TableNormal"/>
        <w:tblW w:w="808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1418"/>
        <w:gridCol w:w="1417"/>
        <w:gridCol w:w="1560"/>
      </w:tblGrid>
      <w:tr w:rsidR="002214D5" w:rsidTr="003175F9">
        <w:trPr>
          <w:trHeight w:val="275"/>
        </w:trPr>
        <w:tc>
          <w:tcPr>
            <w:tcW w:w="3685" w:type="dxa"/>
            <w:vAlign w:val="center"/>
          </w:tcPr>
          <w:p w:rsidR="002214D5" w:rsidRPr="003175F9" w:rsidRDefault="002214D5" w:rsidP="003175F9">
            <w:pPr>
              <w:pStyle w:val="TableParagraph"/>
              <w:spacing w:line="240" w:lineRule="auto"/>
              <w:jc w:val="left"/>
              <w:rPr>
                <w:rFonts w:ascii="Arial" w:hAnsi="Arial" w:cs="Arial"/>
                <w:sz w:val="16"/>
              </w:rPr>
            </w:pP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2019</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2020</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2021</w:t>
            </w:r>
          </w:p>
        </w:tc>
      </w:tr>
      <w:tr w:rsidR="002214D5" w:rsidTr="003175F9">
        <w:trPr>
          <w:trHeight w:val="277"/>
        </w:trPr>
        <w:tc>
          <w:tcPr>
            <w:tcW w:w="3685" w:type="dxa"/>
            <w:vAlign w:val="center"/>
          </w:tcPr>
          <w:p w:rsidR="002214D5" w:rsidRPr="003175F9" w:rsidRDefault="002214D5" w:rsidP="003175F9">
            <w:pPr>
              <w:pStyle w:val="TableParagraph"/>
              <w:spacing w:line="258" w:lineRule="exact"/>
              <w:ind w:left="110"/>
              <w:jc w:val="left"/>
              <w:rPr>
                <w:rFonts w:ascii="Arial" w:hAnsi="Arial" w:cs="Arial"/>
                <w:sz w:val="16"/>
              </w:rPr>
            </w:pPr>
            <w:r w:rsidRPr="003175F9">
              <w:rPr>
                <w:rFonts w:ascii="Arial" w:hAnsi="Arial" w:cs="Arial"/>
                <w:sz w:val="16"/>
              </w:rPr>
              <w:t>Fälle insgesamt</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99</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118</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48 (bis Juni 2021)</w:t>
            </w:r>
          </w:p>
        </w:tc>
      </w:tr>
      <w:tr w:rsidR="002214D5" w:rsidTr="003175F9">
        <w:trPr>
          <w:trHeight w:val="275"/>
        </w:trPr>
        <w:tc>
          <w:tcPr>
            <w:tcW w:w="3685" w:type="dxa"/>
            <w:vAlign w:val="center"/>
          </w:tcPr>
          <w:p w:rsidR="002214D5" w:rsidRPr="003175F9" w:rsidRDefault="002214D5" w:rsidP="003175F9">
            <w:pPr>
              <w:pStyle w:val="TableParagraph"/>
              <w:ind w:left="110"/>
              <w:jc w:val="left"/>
              <w:rPr>
                <w:rFonts w:ascii="Arial" w:hAnsi="Arial" w:cs="Arial"/>
                <w:sz w:val="16"/>
              </w:rPr>
            </w:pPr>
            <w:r w:rsidRPr="003175F9">
              <w:rPr>
                <w:rFonts w:ascii="Arial" w:hAnsi="Arial" w:cs="Arial"/>
                <w:sz w:val="16"/>
              </w:rPr>
              <w:t>Davon im Zusammenhang mit</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w:t>
            </w:r>
          </w:p>
        </w:tc>
      </w:tr>
      <w:tr w:rsidR="002214D5" w:rsidTr="003175F9">
        <w:trPr>
          <w:trHeight w:val="275"/>
        </w:trPr>
        <w:tc>
          <w:tcPr>
            <w:tcW w:w="3685" w:type="dxa"/>
            <w:vAlign w:val="center"/>
          </w:tcPr>
          <w:p w:rsidR="002214D5" w:rsidRPr="003175F9" w:rsidRDefault="002214D5" w:rsidP="003175F9">
            <w:pPr>
              <w:pStyle w:val="TableParagraph"/>
              <w:ind w:left="110"/>
              <w:jc w:val="left"/>
              <w:rPr>
                <w:rFonts w:ascii="Arial" w:hAnsi="Arial" w:cs="Arial"/>
                <w:sz w:val="16"/>
              </w:rPr>
            </w:pPr>
            <w:r w:rsidRPr="003175F9">
              <w:rPr>
                <w:rFonts w:ascii="Arial" w:hAnsi="Arial" w:cs="Arial"/>
                <w:sz w:val="16"/>
              </w:rPr>
              <w:t>Rassismus</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27</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27</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w:t>
            </w:r>
          </w:p>
        </w:tc>
      </w:tr>
      <w:tr w:rsidR="002214D5" w:rsidTr="003175F9">
        <w:trPr>
          <w:trHeight w:val="277"/>
        </w:trPr>
        <w:tc>
          <w:tcPr>
            <w:tcW w:w="3685" w:type="dxa"/>
            <w:vAlign w:val="center"/>
          </w:tcPr>
          <w:p w:rsidR="002214D5" w:rsidRPr="003175F9" w:rsidRDefault="002214D5" w:rsidP="003175F9">
            <w:pPr>
              <w:pStyle w:val="TableParagraph"/>
              <w:spacing w:line="258" w:lineRule="exact"/>
              <w:ind w:left="110"/>
              <w:jc w:val="left"/>
              <w:rPr>
                <w:rFonts w:ascii="Arial" w:hAnsi="Arial" w:cs="Arial"/>
                <w:sz w:val="16"/>
              </w:rPr>
            </w:pPr>
            <w:r w:rsidRPr="003175F9">
              <w:rPr>
                <w:rFonts w:ascii="Arial" w:hAnsi="Arial" w:cs="Arial"/>
                <w:sz w:val="16"/>
              </w:rPr>
              <w:t>antimuslimischem Rassismus</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8</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14</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w:t>
            </w:r>
          </w:p>
        </w:tc>
      </w:tr>
      <w:tr w:rsidR="002214D5" w:rsidTr="003175F9">
        <w:trPr>
          <w:trHeight w:val="275"/>
        </w:trPr>
        <w:tc>
          <w:tcPr>
            <w:tcW w:w="3685" w:type="dxa"/>
            <w:vAlign w:val="center"/>
          </w:tcPr>
          <w:p w:rsidR="002214D5" w:rsidRPr="003175F9" w:rsidRDefault="002214D5" w:rsidP="003175F9">
            <w:pPr>
              <w:pStyle w:val="TableParagraph"/>
              <w:ind w:left="110"/>
              <w:jc w:val="left"/>
              <w:rPr>
                <w:rFonts w:ascii="Arial" w:hAnsi="Arial" w:cs="Arial"/>
                <w:sz w:val="16"/>
              </w:rPr>
            </w:pPr>
            <w:r w:rsidRPr="003175F9">
              <w:rPr>
                <w:rFonts w:ascii="Arial" w:hAnsi="Arial" w:cs="Arial"/>
                <w:sz w:val="16"/>
              </w:rPr>
              <w:t>Agitation gegenüber geflüchteten Menschen</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22</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11</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w:t>
            </w:r>
          </w:p>
        </w:tc>
      </w:tr>
      <w:tr w:rsidR="002214D5" w:rsidTr="003175F9">
        <w:trPr>
          <w:trHeight w:val="275"/>
        </w:trPr>
        <w:tc>
          <w:tcPr>
            <w:tcW w:w="3685" w:type="dxa"/>
            <w:vAlign w:val="center"/>
          </w:tcPr>
          <w:p w:rsidR="002214D5" w:rsidRPr="003175F9" w:rsidRDefault="002214D5" w:rsidP="003175F9">
            <w:pPr>
              <w:pStyle w:val="TableParagraph"/>
              <w:ind w:left="110"/>
              <w:jc w:val="left"/>
              <w:rPr>
                <w:rFonts w:ascii="Arial" w:hAnsi="Arial" w:cs="Arial"/>
                <w:sz w:val="16"/>
              </w:rPr>
            </w:pPr>
            <w:r w:rsidRPr="003175F9">
              <w:rPr>
                <w:rFonts w:ascii="Arial" w:hAnsi="Arial" w:cs="Arial"/>
                <w:sz w:val="16"/>
              </w:rPr>
              <w:t>Antisemitismus</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16</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26</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w:t>
            </w:r>
          </w:p>
        </w:tc>
      </w:tr>
      <w:tr w:rsidR="002214D5" w:rsidTr="003175F9">
        <w:trPr>
          <w:trHeight w:val="277"/>
        </w:trPr>
        <w:tc>
          <w:tcPr>
            <w:tcW w:w="3685" w:type="dxa"/>
            <w:vAlign w:val="center"/>
          </w:tcPr>
          <w:p w:rsidR="002214D5" w:rsidRPr="003175F9" w:rsidRDefault="002214D5" w:rsidP="003175F9">
            <w:pPr>
              <w:pStyle w:val="TableParagraph"/>
              <w:spacing w:line="258" w:lineRule="exact"/>
              <w:ind w:left="110"/>
              <w:jc w:val="left"/>
              <w:rPr>
                <w:rFonts w:ascii="Arial" w:hAnsi="Arial" w:cs="Arial"/>
                <w:sz w:val="16"/>
              </w:rPr>
            </w:pPr>
            <w:r w:rsidRPr="003175F9">
              <w:rPr>
                <w:rFonts w:ascii="Arial" w:hAnsi="Arial" w:cs="Arial"/>
                <w:sz w:val="16"/>
              </w:rPr>
              <w:t>Antiziganismus</w:t>
            </w:r>
          </w:p>
        </w:tc>
        <w:tc>
          <w:tcPr>
            <w:tcW w:w="1418"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2</w:t>
            </w:r>
          </w:p>
        </w:tc>
        <w:tc>
          <w:tcPr>
            <w:tcW w:w="1417"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0</w:t>
            </w:r>
          </w:p>
        </w:tc>
        <w:tc>
          <w:tcPr>
            <w:tcW w:w="1560" w:type="dxa"/>
            <w:vAlign w:val="center"/>
          </w:tcPr>
          <w:p w:rsidR="002214D5" w:rsidRPr="003175F9" w:rsidRDefault="002214D5" w:rsidP="003175F9">
            <w:pPr>
              <w:pStyle w:val="TableParagraph"/>
              <w:spacing w:line="240" w:lineRule="auto"/>
              <w:jc w:val="center"/>
              <w:rPr>
                <w:rFonts w:ascii="Arial" w:hAnsi="Arial" w:cs="Arial"/>
                <w:sz w:val="16"/>
              </w:rPr>
            </w:pPr>
            <w:r w:rsidRPr="003175F9">
              <w:rPr>
                <w:rFonts w:ascii="Arial" w:hAnsi="Arial" w:cs="Arial"/>
                <w:sz w:val="16"/>
              </w:rPr>
              <w:t>-</w:t>
            </w:r>
          </w:p>
        </w:tc>
      </w:tr>
    </w:tbl>
    <w:p w:rsidR="006E5140" w:rsidRDefault="006E5140" w:rsidP="006E5140">
      <w:pPr>
        <w:pStyle w:val="LTAntwortRessortText"/>
      </w:pPr>
      <w:r>
        <w:t xml:space="preserve">Belastbare Zahlen für das laufende Jahr 2021 liegen derzeit noch nicht vor. Aufgrund der Kürze der Zeit konnten bei der Antidiskriminierungsstelle </w:t>
      </w:r>
      <w:r w:rsidR="003175F9">
        <w:t>des Bundes (ADS) Zahlen für Bay</w:t>
      </w:r>
      <w:r>
        <w:t>ern nicht abgefragt werden.</w:t>
      </w:r>
    </w:p>
    <w:p w:rsidR="006E5140" w:rsidRDefault="006E5140" w:rsidP="006E5140">
      <w:pPr>
        <w:pStyle w:val="LTAntwortRessortText"/>
      </w:pPr>
      <w:r>
        <w:t>Zu Maßnahmen der Staatsregierung zur Behandlung von Diskriminierungsfällen:</w:t>
      </w:r>
    </w:p>
    <w:p w:rsidR="006E5140" w:rsidRDefault="006E5140" w:rsidP="006E5140">
      <w:pPr>
        <w:pStyle w:val="LTAntwortRessortText"/>
      </w:pPr>
      <w:r>
        <w:t>Die nachfolgend exemplarisch angeführten Maßnahmen werden von d</w:t>
      </w:r>
      <w:r w:rsidR="003175F9">
        <w:t>er Staatsregierung unter</w:t>
      </w:r>
      <w:r>
        <w:t>nommen, um Fälle von Diskriminierung jeglicher Art konsequent zu behandeln:</w:t>
      </w:r>
    </w:p>
    <w:p w:rsidR="006E5140" w:rsidRDefault="003175F9" w:rsidP="006E5140">
      <w:pPr>
        <w:pStyle w:val="LTAntwortRessortText"/>
      </w:pPr>
      <w:r>
        <w:t xml:space="preserve">Die vom </w:t>
      </w:r>
      <w:r w:rsidR="006E5140">
        <w:t>Staatsministerium für Familie, Arbeit und Soziales (StMAS) geförder</w:t>
      </w:r>
      <w:r w:rsidR="00AE15B5">
        <w:t>te RIAS Bayern</w:t>
      </w:r>
      <w:r w:rsidR="006E5140">
        <w:t xml:space="preserve"> nimmt Meldungen über antisemitische Vorfälle auf und unterstützt Betroffene von Antisemitismus in Bayern. Auf Grundlage der gemeldeten Fälle und eigener Recherche verf</w:t>
      </w:r>
      <w:r>
        <w:t>asst RIAS Bayern regelmäßig bay</w:t>
      </w:r>
      <w:r w:rsidR="006E5140">
        <w:t>ernspezifische Berichte über Antisemitismus, betreibt Aufklärungs- und Öffentlichkeitsarbeit und trägt so zum Kampf gegen Antisemitismus bei.</w:t>
      </w:r>
    </w:p>
    <w:p w:rsidR="006E5140" w:rsidRDefault="006E5140" w:rsidP="006E5140">
      <w:pPr>
        <w:pStyle w:val="LTAntwortRessortText"/>
      </w:pPr>
      <w:r>
        <w:t>Das Beratungsnetzwerk Bayern gegen Rechtsextremismus wi</w:t>
      </w:r>
      <w:r w:rsidR="003175F9">
        <w:t>rd koordiniert von der Landesko</w:t>
      </w:r>
      <w:r>
        <w:t>ordinierungsstelle Bayern gegen Rechtsextremismus, die sich in Trägerschaft des Bayerischen Jugendrings befindet und durch das StMAS gefördert wird. Das Beratungsnetzwerk setzt sich zusammen aus der Mobilen Beratung mit drei Standorten in Bayern, der Elternberatung sowie der Betr</w:t>
      </w:r>
      <w:r w:rsidR="003175F9">
        <w:t>offenenberatung durch B.U.D. e. V</w:t>
      </w:r>
      <w:r>
        <w:t xml:space="preserve">. Die Mobile Beratung gegen Rechtsextremismus berät in Vorfällen mit </w:t>
      </w:r>
      <w:r w:rsidR="00B12993">
        <w:t xml:space="preserve">einem </w:t>
      </w:r>
      <w:r>
        <w:t>rechtsextremen, rassistischen</w:t>
      </w:r>
      <w:r w:rsidR="00B12993">
        <w:t xml:space="preserve"> und</w:t>
      </w:r>
      <w:r>
        <w:t xml:space="preserve"> antisemitischen Hintergrund sowie bei Fällen von Gruppenbezogener Menschenfeindlichkeit. Fälle von </w:t>
      </w:r>
      <w:r w:rsidR="003175F9">
        <w:t>rechtsextremistischer, rassisti</w:t>
      </w:r>
      <w:r>
        <w:t>scher und antisemitischer Bedrohung und Gewalt werden von der Betroffenenberatung B.U.D. e.</w:t>
      </w:r>
      <w:r w:rsidR="003175F9">
        <w:t> </w:t>
      </w:r>
      <w:r>
        <w:t>V. beraten.</w:t>
      </w:r>
    </w:p>
    <w:p w:rsidR="006E5140" w:rsidRDefault="006E5140" w:rsidP="006E5140">
      <w:pPr>
        <w:pStyle w:val="LTAntwortRessortText"/>
      </w:pPr>
      <w:r>
        <w:t>Im Bereich der Justiz ergreift die Staatsregierung eine Vielzahl von Maßnahmen, um strafbaren Rassismus, Antisemitismus und anderweitige gruppenbezo</w:t>
      </w:r>
      <w:r w:rsidR="003175F9">
        <w:t>gene Hasskriminalität zu bekämp</w:t>
      </w:r>
      <w:r>
        <w:t xml:space="preserve">fen. Beispielhaft können für den Bereich der Bekämpfung </w:t>
      </w:r>
      <w:r w:rsidR="003175F9">
        <w:t>des Antisemitismus folgende Maß</w:t>
      </w:r>
      <w:r>
        <w:t>nahmen genannt werden:</w:t>
      </w:r>
    </w:p>
    <w:p w:rsidR="006E5140" w:rsidRDefault="006E5140" w:rsidP="006E5140">
      <w:pPr>
        <w:pStyle w:val="LTAntwortRessortText"/>
      </w:pPr>
      <w:r>
        <w:t>Die Antisemitismusbeauftragten haben im Bereich der jeweiligen Generalstaatsanwaltschaft insbesondere die Aufgabe, auf eine Vereinheitlichung der Rechtsanwendung be</w:t>
      </w:r>
      <w:r w:rsidR="003175F9">
        <w:t>i der Bearbei</w:t>
      </w:r>
      <w:r>
        <w:t xml:space="preserve">tung antisemitischer Delikte durch die Staatsanwaltschaften </w:t>
      </w:r>
      <w:r w:rsidR="003175F9">
        <w:t>und die Vernetzung und Koordina</w:t>
      </w:r>
      <w:r>
        <w:t>tion von Ermittlungen verschiedener Staatsanwaltschaften hinzuwirken.</w:t>
      </w:r>
    </w:p>
    <w:p w:rsidR="006E5140" w:rsidRDefault="006E5140" w:rsidP="006E5140">
      <w:pPr>
        <w:pStyle w:val="LTAntwortRessortText"/>
      </w:pPr>
      <w:r>
        <w:t>Der Zentrale Antisemitismusbeauftragte der bayerischen Justiz bei der Zentralste</w:t>
      </w:r>
      <w:r w:rsidR="003175F9">
        <w:t>lle zur Be</w:t>
      </w:r>
      <w:r>
        <w:t>kämpfung von Extremismus und Terrorismus (ZET) bei de</w:t>
      </w:r>
      <w:r w:rsidR="002214D5">
        <w:t>r Generalstaatsanwaltschaft Mün</w:t>
      </w:r>
      <w:r>
        <w:t>chen nimmt in enger Zusammenarbeit mit den für die jeweilig</w:t>
      </w:r>
      <w:r w:rsidR="003175F9">
        <w:t>en Generalstaatsanwaltschaftsbe</w:t>
      </w:r>
      <w:r>
        <w:t>zirke zuständigen Antisemitismusbeauftragten eine übergeordnete Koordinierungsfunktion für g</w:t>
      </w:r>
      <w:r w:rsidR="00B12993">
        <w:t>anz Bayern wahr und führt selbst</w:t>
      </w:r>
      <w:r>
        <w:t xml:space="preserve"> Ermittlungsverfahren wegen antisemitischer Straftaten von besonderer Bedeutung.</w:t>
      </w:r>
    </w:p>
    <w:p w:rsidR="006E5140" w:rsidRDefault="003175F9" w:rsidP="006E5140">
      <w:pPr>
        <w:pStyle w:val="LTAntwortRessortText"/>
      </w:pPr>
      <w:r>
        <w:t>Im Laufe des vierten</w:t>
      </w:r>
      <w:r w:rsidR="006E5140">
        <w:t xml:space="preserve"> Quartals 2021 wird bei der </w:t>
      </w:r>
      <w:r w:rsidR="00AE15B5">
        <w:t>ZET</w:t>
      </w:r>
      <w:r>
        <w:t xml:space="preserve"> nach dem Vorbild des be</w:t>
      </w:r>
      <w:r w:rsidR="006E5140">
        <w:t>reits bestehenden Online-Meldeverfahren für kommunale Amts- und Mandatsträger sowie für Medienunternehmen ein weiteres Online-Meldev</w:t>
      </w:r>
      <w:r>
        <w:t>erfahren für antisemitische HATE</w:t>
      </w:r>
      <w:r w:rsidR="006E5140">
        <w:t>-Speech in Zusammenarbeit mit der RIAS Bayern eingerichtet.</w:t>
      </w:r>
    </w:p>
    <w:p w:rsidR="006E5140" w:rsidRDefault="006E5140" w:rsidP="006E5140">
      <w:pPr>
        <w:pStyle w:val="LTAntwortRessortText"/>
      </w:pPr>
      <w:r>
        <w:t>Die bayerischen Staatsanwaltschaften wurden darauf hingewiesen, dass eine nachdrückliche Verfolgung antisemitischer Straftaten grundsätzlich im öffentlichen Interesse liegt. Aufgrund dessen sollen Verweisungen auf den Privatklageweg in aller R</w:t>
      </w:r>
      <w:r w:rsidR="003175F9">
        <w:t>egel nicht erfolgen. Auch Oppor</w:t>
      </w:r>
      <w:r>
        <w:t>tunitätseinstellungen gemäß § 153 ff. St</w:t>
      </w:r>
      <w:r w:rsidR="003175F9">
        <w:t>rafprozessordnung (StPO)</w:t>
      </w:r>
      <w:r>
        <w:t xml:space="preserve"> sind auf den Au</w:t>
      </w:r>
      <w:r w:rsidR="003175F9">
        <w:t>snahmefall beschränkt und bedür</w:t>
      </w:r>
      <w:r>
        <w:t>fen sorgfältiger Prüfung und Begründung.</w:t>
      </w:r>
    </w:p>
    <w:p w:rsidR="006E5140" w:rsidRDefault="006E5140" w:rsidP="006E5140">
      <w:pPr>
        <w:pStyle w:val="LTAntwortRessortText"/>
      </w:pPr>
      <w:r>
        <w:t>Im Bereich Schule werden alle, auch und insbesondere die diskriminierenden Vorfälle, die im Kontext von Rassismus, Antisemitismus und gruppenbezog</w:t>
      </w:r>
      <w:r w:rsidR="003175F9">
        <w:t>ener Menschenfeindlichkeit wahr</w:t>
      </w:r>
      <w:r>
        <w:t xml:space="preserve">genommen werden, im Rahmen ihrer pädagogischen Expertise </w:t>
      </w:r>
      <w:r w:rsidR="003175F9">
        <w:t>und im Kontext der unterrichtli</w:t>
      </w:r>
      <w:r>
        <w:t>chen Möglichkeiten behandelt. Die Lehrkräfte und die Schulleitungen ordnen etwaige Vorfälle ein und stimmen die pädagogisch notwendigen Interventionen und Präventivmaßnahmen ab. Sollte im Umfeld des einzelnen Vorfalls eine klare antisemitis</w:t>
      </w:r>
      <w:r w:rsidR="003175F9">
        <w:t>che, rassistische oder menschen</w:t>
      </w:r>
      <w:r>
        <w:t>feindliche Gesinnung und damit verbundene Agitationen feststellbar sein, wird die Polizei bzw. Staatsanwaltschaft eingeschaltet.</w:t>
      </w:r>
    </w:p>
    <w:p w:rsidR="006E5140" w:rsidRDefault="006E5140" w:rsidP="006E5140">
      <w:pPr>
        <w:pStyle w:val="LTAntwortRessortText"/>
      </w:pPr>
      <w:r>
        <w:t>Zu Präventionsmaßnahmen, die die Staatsregierung gegen Disk</w:t>
      </w:r>
      <w:r w:rsidR="003175F9">
        <w:t>riminierung jeglicher Art unter</w:t>
      </w:r>
      <w:r>
        <w:t xml:space="preserve">nimmt, wird auf die Antwort der Staatsregierung auf die Schriftliche </w:t>
      </w:r>
      <w:r w:rsidR="003175F9">
        <w:t>Anfrage der Abgeordne</w:t>
      </w:r>
      <w:r>
        <w:t>ten Gülseren Demirel, BÜNDNIS 90/DIE GRÜNEN vom 1</w:t>
      </w:r>
      <w:r w:rsidR="00AE15B5">
        <w:t>1.05.2021, Drs.</w:t>
      </w:r>
      <w:r w:rsidR="003175F9">
        <w:t xml:space="preserve"> 18/16651</w:t>
      </w:r>
      <w:r w:rsidR="007C31C4">
        <w:t>,</w:t>
      </w:r>
      <w:r w:rsidR="003175F9">
        <w:t xml:space="preserve"> verwie</w:t>
      </w:r>
      <w:r>
        <w:t>sen.</w:t>
      </w:r>
    </w:p>
    <w:p w:rsidR="006E5140" w:rsidRDefault="006E5140">
      <w:bookmarkStart w:id="22" w:name="Frage_Nr_10_Ende"/>
      <w:bookmarkEnd w:id="2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B6A9B" w:rsidTr="00FB6A9B">
        <w:tc>
          <w:tcPr>
            <w:tcW w:w="1852" w:type="dxa"/>
          </w:tcPr>
          <w:p w:rsidR="00FB6A9B" w:rsidRDefault="00FB6A9B" w:rsidP="00FB6A9B">
            <w:pPr>
              <w:pStyle w:val="LTAnfrageInitiator"/>
            </w:pPr>
            <w:r>
              <w:t>Abgeordneter</w:t>
            </w:r>
            <w:r>
              <w:rPr>
                <w:b/>
              </w:rPr>
              <w:br/>
              <w:t>Martin</w:t>
            </w:r>
            <w:r>
              <w:rPr>
                <w:b/>
              </w:rPr>
              <w:br/>
              <w:t>Hagen</w:t>
            </w:r>
            <w:r>
              <w:rPr>
                <w:b/>
              </w:rPr>
              <w:br/>
            </w:r>
            <w:r>
              <w:t>(FDP)</w:t>
            </w:r>
            <w:bookmarkStart w:id="23" w:name="Frage_Nr_11"/>
            <w:bookmarkEnd w:id="23"/>
          </w:p>
        </w:tc>
        <w:tc>
          <w:tcPr>
            <w:tcW w:w="5764" w:type="dxa"/>
          </w:tcPr>
          <w:p w:rsidR="00FB6A9B" w:rsidRPr="0042448D" w:rsidRDefault="00FB6A9B" w:rsidP="0042448D">
            <w:pPr>
              <w:pStyle w:val="LTAnfrageText"/>
            </w:pPr>
            <w:r w:rsidRPr="0042448D">
              <w:t>Ich frage die Staatsregierung, inwiefern der Neubau für die Abschiebe- und Transiteinrichtung am Flughafen München wie geplant zum Ende des Jahres fertiggestellt wird, wie sich die Plan- und Ist-Kosten für den Neubau entwickelt haben (bitte Plan- und Ist-Kosten aufschlüsseln) und wie hoch die Folgekosten nach Betriebsaufnahme geschätzt werden (bitte aufschlüsseln nach Mietkosten, Betriebskosten, Personalkosten und weiteren Kosten)?</w:t>
            </w:r>
          </w:p>
        </w:tc>
        <w:tc>
          <w:tcPr>
            <w:tcW w:w="5764" w:type="dxa"/>
          </w:tcPr>
          <w:p w:rsidR="00FB6A9B" w:rsidRDefault="00FB6A9B" w:rsidP="00FB6A9B">
            <w:pPr>
              <w:pStyle w:val="LTAnfrageText"/>
            </w:pPr>
          </w:p>
        </w:tc>
      </w:tr>
    </w:tbl>
    <w:p w:rsidR="006E5140" w:rsidRDefault="006E5140" w:rsidP="006E5140">
      <w:pPr>
        <w:pStyle w:val="LTUeberschrAntwortRessort"/>
      </w:pPr>
      <w:r>
        <w:t>Antwort des Staatsministeriums des Innern, für Sport und Integration</w:t>
      </w:r>
    </w:p>
    <w:p w:rsidR="006E5140" w:rsidRDefault="006E5140" w:rsidP="006E5140">
      <w:pPr>
        <w:pStyle w:val="LTAntwortRessortText"/>
      </w:pPr>
      <w:r>
        <w:t>Die Fertigstellung der neuen kombinierten Transit- und Abschiebungshafteinrichtung (kTA) durch den Generalunternehmer und die Übergabe an die Flughafen München GmbH ist bereits erfolgt. Der Erwerb durch den Freistaat Bayern von der Flughafen München GmbH und die Übernahme des Gebäudes durch das Landesamt für Asyl und Rückfü</w:t>
      </w:r>
      <w:r w:rsidR="003175F9">
        <w:t>hrungen (LfAR) werden noch im vierten</w:t>
      </w:r>
      <w:r>
        <w:t xml:space="preserve"> Quartal 2021 erfolgen.</w:t>
      </w:r>
    </w:p>
    <w:p w:rsidR="006E5140" w:rsidRDefault="006E5140" w:rsidP="006E5140">
      <w:pPr>
        <w:pStyle w:val="LTAntwortRessortText"/>
      </w:pPr>
      <w:r>
        <w:t>Da es sich bei der kTA um keine staatliche Baumaßnahme han</w:t>
      </w:r>
      <w:r w:rsidR="00310388">
        <w:t>delt –</w:t>
      </w:r>
      <w:r w:rsidR="003175F9">
        <w:t xml:space="preserve"> es erfolgt der Erwerb ei</w:t>
      </w:r>
      <w:r>
        <w:t>nes fertiggestellten Bestandsgebäudes der Flughafen Münc</w:t>
      </w:r>
      <w:r w:rsidR="00310388">
        <w:t>hen GmbH –</w:t>
      </w:r>
      <w:r w:rsidR="003175F9">
        <w:t xml:space="preserve"> ist eine Aufschlüsse</w:t>
      </w:r>
      <w:r>
        <w:t xml:space="preserve">lung nach Plan- und Ist-Kosten nicht möglich. Der bereits </w:t>
      </w:r>
      <w:r w:rsidR="003175F9">
        <w:t>im Mietvertrag vereinbarte Kauf</w:t>
      </w:r>
      <w:r>
        <w:t>preis für Grundstück und Gebäude liegt unterhalb des durch da</w:t>
      </w:r>
      <w:r w:rsidR="00AE15B5">
        <w:t>s Staatliche Bauamt Freising er</w:t>
      </w:r>
      <w:r>
        <w:t>mittelten Gesamtwerts. Eine Überprüfung durch das Staatsministerium für Wohnen, Bau und Verkehr hat keine nachteiligen Änderungen der Wertermittlung ergeben.</w:t>
      </w:r>
    </w:p>
    <w:p w:rsidR="006E5140" w:rsidRDefault="006E5140" w:rsidP="006E5140">
      <w:pPr>
        <w:pStyle w:val="LTAntwortRessortText"/>
      </w:pPr>
      <w:r>
        <w:t>Da sich die Kaufsache durch den Übergang im Eigentum des F</w:t>
      </w:r>
      <w:r w:rsidR="003175F9">
        <w:t>reistaates Bayern befindet, fal</w:t>
      </w:r>
      <w:r>
        <w:t>len keine Mietkosten an. Für de</w:t>
      </w:r>
      <w:r w:rsidR="003175F9">
        <w:t>n Betrieb der kTA ist geplant, fünf Beamte und drei</w:t>
      </w:r>
      <w:r>
        <w:t xml:space="preserve"> Arbeitnehmer einzusetzen.</w:t>
      </w:r>
    </w:p>
    <w:p w:rsidR="006E5140" w:rsidRDefault="006E5140" w:rsidP="006E5140">
      <w:pPr>
        <w:pStyle w:val="LTAntwortRessortText"/>
      </w:pPr>
      <w:r>
        <w:t xml:space="preserve">Für die sonstigen </w:t>
      </w:r>
      <w:r w:rsidR="00AE15B5">
        <w:t>Betriebs- und Folgekosten (insbesondere</w:t>
      </w:r>
      <w:r>
        <w:t xml:space="preserve"> Kosten für Verpfleg</w:t>
      </w:r>
      <w:r w:rsidR="003175F9">
        <w:t xml:space="preserve">ung, </w:t>
      </w:r>
      <w:r w:rsidR="00310388">
        <w:t>Gebäudeb</w:t>
      </w:r>
      <w:r w:rsidR="003175F9">
        <w:t>ewirt</w:t>
      </w:r>
      <w:r>
        <w:t>schaftung und Maßnahmen zur medizinischen Versorgung) liegen keine gesicherten Werte vor,</w:t>
      </w:r>
      <w:r w:rsidR="00150A1D">
        <w:t xml:space="preserve"> </w:t>
      </w:r>
      <w:r>
        <w:t>da es sich um eine neuartige Einrichtung handelt. Bislang w</w:t>
      </w:r>
      <w:r w:rsidR="003175F9">
        <w:t>erden Transiteinrichtung und Ab</w:t>
      </w:r>
      <w:r>
        <w:t>schiebungshafteinrichtung örtlich, rechtlich, organisatorisch und personell getrennt betrieben. Damit können die Kosten der derzeit noch bestehenden Transi</w:t>
      </w:r>
      <w:r w:rsidR="003175F9">
        <w:t>teinrichtung und der Interimslö</w:t>
      </w:r>
      <w:r>
        <w:t xml:space="preserve">sung für Abschiebungshaft mangels Vergleichbarkeit der Einrichtungen und der mit der </w:t>
      </w:r>
      <w:r w:rsidR="005C0F48">
        <w:t>Coronapandemie</w:t>
      </w:r>
      <w:r>
        <w:t xml:space="preserve"> einhergehenden Einschränkungen im Absc</w:t>
      </w:r>
      <w:r w:rsidR="003175F9">
        <w:t>hiebungshaftvollzug nicht heran</w:t>
      </w:r>
      <w:r>
        <w:t>gezogen werden.</w:t>
      </w:r>
    </w:p>
    <w:p w:rsidR="006E5140" w:rsidRDefault="006E5140">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w:t>
            </w:r>
            <w:r>
              <w:rPr>
                <w:b/>
              </w:rPr>
              <w:br/>
              <w:t>Eva</w:t>
            </w:r>
            <w:r>
              <w:rPr>
                <w:b/>
              </w:rPr>
              <w:br/>
              <w:t>Lettenbauer</w:t>
            </w:r>
            <w:r>
              <w:rPr>
                <w:b/>
              </w:rPr>
              <w:br/>
            </w:r>
            <w:r>
              <w:t>(BÜNDNIS 90/DIE GRÜNEN)</w:t>
            </w:r>
            <w:bookmarkStart w:id="25" w:name="Frage_Nr_12"/>
            <w:bookmarkEnd w:id="25"/>
          </w:p>
        </w:tc>
        <w:tc>
          <w:tcPr>
            <w:tcW w:w="5733" w:type="dxa"/>
          </w:tcPr>
          <w:p w:rsidR="007B6A4B" w:rsidRPr="0042448D" w:rsidRDefault="007B6A4B" w:rsidP="00310388">
            <w:pPr>
              <w:pStyle w:val="LTAnfrageText"/>
            </w:pPr>
            <w:r w:rsidRPr="0042448D">
              <w:t>Ich frage die Staatsregierung, warum Bayern im Rahmen der Plenarsitzung des Bundesrates am 17. September 2021 gegen eine sofortige Abstimmung über den Antrag der Länder Bremen, Berlin und Thüringen zur Rücknahme der Vorbehalte zu Art. 59 der Istanbul-Konvention (BT-Drs. 560/21) gestimmt hat, wie sie zu einer Rücknahme der Vorbehalte zu Art. 59 der Istanbul-Konvention und somit einer vollständigen Umsetzung der Istanbul-Konvention</w:t>
            </w:r>
            <w:r w:rsidR="00310388">
              <w:t xml:space="preserve"> steht</w:t>
            </w:r>
            <w:r w:rsidRPr="0042448D">
              <w:t>, und anhan</w:t>
            </w:r>
            <w:r w:rsidR="00310388">
              <w:t xml:space="preserve">d von welchen Maßnahmen </w:t>
            </w:r>
            <w:r w:rsidRPr="0042448D">
              <w:t>die Staatsregierung Frauen ohne gesicherten Aufenthaltstitel vor geschlechtsspezifischer und häuslicher Gewalt</w:t>
            </w:r>
            <w:r w:rsidR="00310388">
              <w:t xml:space="preserve"> schützt</w:t>
            </w:r>
            <w:r w:rsidRPr="0042448D">
              <w:t>?</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des Innern, für Sport und Integration</w:t>
      </w:r>
    </w:p>
    <w:p w:rsidR="006E5140" w:rsidRDefault="006E5140" w:rsidP="006E5140">
      <w:pPr>
        <w:pStyle w:val="LTAntwortRessortText"/>
      </w:pPr>
      <w:r>
        <w:t>Aus aufenthaltsrechtlicher Sicht besteht keine Notwendigke</w:t>
      </w:r>
      <w:r w:rsidR="003175F9">
        <w:t>it für eine Aufhebung der Vorbehalte gegen Art. 59 Abs.</w:t>
      </w:r>
      <w:r>
        <w:t xml:space="preserve"> 2 und 3 der Istanbul-Konvention.</w:t>
      </w:r>
      <w:r w:rsidR="003175F9">
        <w:t xml:space="preserve"> Es existieren schon jetzt Rege</w:t>
      </w:r>
      <w:r>
        <w:t xml:space="preserve">lungen, welche den Interessen der Betroffenen von Gewalt </w:t>
      </w:r>
      <w:r w:rsidR="003175F9">
        <w:t>gegen Frauen oder häuslicher Ge</w:t>
      </w:r>
      <w:r>
        <w:t>walt gerecht werden. S</w:t>
      </w:r>
      <w:r w:rsidR="003175F9">
        <w:t>o wird Ehegatten nach § 31 Abs. </w:t>
      </w:r>
      <w:r>
        <w:t xml:space="preserve">2 </w:t>
      </w:r>
      <w:r w:rsidR="006F4997">
        <w:t>Aufenthaltsgesetz (</w:t>
      </w:r>
      <w:r>
        <w:t>AufenthG</w:t>
      </w:r>
      <w:r w:rsidR="006F4997">
        <w:t>)</w:t>
      </w:r>
      <w:r>
        <w:t xml:space="preserve"> bereits vorzeitig, nämlich unter Absehen von der Voraussetzung des dreijährigen rechtmäßigen Bestandes der ehelichen Lebensgemeinschaft im Bundesgebiet nach § 31 Abs. 1 Satz </w:t>
      </w:r>
      <w:r w:rsidR="006F4997">
        <w:t>1 Nr. 1 AufenthG, ein eigenstän</w:t>
      </w:r>
      <w:r>
        <w:t>diges Aufenthaltsrecht gewährt, wenn es zur Vermeidung einer besonderen Härte erforderlich ist. Auch ein eheunabhängiges Aufenthaltsrecht kann in Einzelfällen gemäß den Vorschriften des AufenthG erteilt werden (</w:t>
      </w:r>
      <w:r w:rsidR="006F4997">
        <w:t>z. </w:t>
      </w:r>
      <w:r w:rsidR="005C0F48">
        <w:t>B.</w:t>
      </w:r>
      <w:r>
        <w:t xml:space="preserve"> aus humanitären Gründen). Für Personen, die als Zeugen in einem Strafverfahren aussagen, kann zudem gemäß § 60a </w:t>
      </w:r>
      <w:r w:rsidR="006F4997">
        <w:t>Abs. 2 Satz 2 AufenthG eine Dul</w:t>
      </w:r>
      <w:r>
        <w:t>dung erteilt werden. Opfer von Straftaten können überdies über § 60a Abs. 2 Satz 3 AufenthG eine Duldung erlangen. Vor dem Hintergrund der bereits existierenden Regelungen, die einen adäquaten Opferschutz gewährleisten, besteht daher kein Bedürfnis für die Einführung neuer Aufenthaltsrechte. Sollten sich dennoch Schutzlücken zeigen, sind Lösungen zu suchen, wobei eine Ausweitung der bestehenden Schutzinstrumente aber nicht zu einem erhöhten Missbrauch</w:t>
      </w:r>
      <w:r w:rsidR="00310388">
        <w:t>,</w:t>
      </w:r>
      <w:r>
        <w:t xml:space="preserve"> </w:t>
      </w:r>
      <w:r w:rsidR="006F4997">
        <w:t>z. </w:t>
      </w:r>
      <w:r w:rsidR="005C0F48">
        <w:t>B.</w:t>
      </w:r>
      <w:r>
        <w:t xml:space="preserve"> durch Herabsetzung von Beweisanforderungen oder durch Ausweitung des Begriffs der Gewalt in § 31 Abs. 2 AufenthG, führen dürfte. Das Aufenthaltsrecht hat Steuerungsfunktion;</w:t>
      </w:r>
      <w:r w:rsidR="00150A1D">
        <w:t xml:space="preserve"> </w:t>
      </w:r>
      <w:r>
        <w:t>Erleichterungen zu Zwecken, die außerhalb des Aufenthaltsrechts angesiedelt sind (Prävention</w:t>
      </w:r>
      <w:r w:rsidR="00150A1D">
        <w:t xml:space="preserve"> </w:t>
      </w:r>
      <w:r>
        <w:t>bzw. Opferschutz), müssen in diesem Zusammenhang sehr kritisch geprüft werden.</w:t>
      </w:r>
    </w:p>
    <w:p w:rsidR="006E5140" w:rsidRDefault="006E5140" w:rsidP="006E5140">
      <w:pPr>
        <w:pStyle w:val="LTAntwortRessortText"/>
      </w:pPr>
      <w:r>
        <w:t>Darüber hinaus fasste auf Initiative der Staatsregier</w:t>
      </w:r>
      <w:r w:rsidR="006F4997">
        <w:t xml:space="preserve">ung die 31. </w:t>
      </w:r>
      <w:r>
        <w:t>Konferenz der Gleichstellungs-</w:t>
      </w:r>
      <w:r w:rsidR="00150A1D">
        <w:t xml:space="preserve"> </w:t>
      </w:r>
      <w:r>
        <w:t>und Frauenministerinnen und -minister, -senator</w:t>
      </w:r>
      <w:r w:rsidR="006F4997">
        <w:t>innen und -senatoren der Länder (GFMK)</w:t>
      </w:r>
      <w:r>
        <w:t xml:space="preserve"> am</w:t>
      </w:r>
      <w:r w:rsidR="00150A1D">
        <w:t xml:space="preserve"> </w:t>
      </w:r>
      <w:r>
        <w:t>24. Juni 2021 einen Beschluss, wonach die Bundesregierung aufgefordert wird, auf die Schaffung</w:t>
      </w:r>
      <w:r w:rsidR="00150A1D">
        <w:t xml:space="preserve"> </w:t>
      </w:r>
      <w:r w:rsidR="008D132B">
        <w:t>der o. </w:t>
      </w:r>
      <w:r>
        <w:t>g. einheitlichen Schutzstandards auf europäischer Ebene und die Umsetzung der Inhalte</w:t>
      </w:r>
      <w:r w:rsidR="00150A1D">
        <w:t xml:space="preserve"> </w:t>
      </w:r>
      <w:r>
        <w:t>der Istanbul-Konvention als EU-Richtlinie hinzuwirken. Die GFMK forderte damit auf</w:t>
      </w:r>
      <w:r w:rsidR="00150A1D">
        <w:t xml:space="preserve"> </w:t>
      </w:r>
      <w:r>
        <w:t>bayerische Initiative hin die Bundesregierung dazu auf, das Thema der Verhütung und Bekämpfung</w:t>
      </w:r>
      <w:r w:rsidR="00150A1D">
        <w:t xml:space="preserve"> </w:t>
      </w:r>
      <w:r>
        <w:t xml:space="preserve">von Gewalt gegen Frauen und häuslicher Gewalt auf der Ebene der </w:t>
      </w:r>
      <w:r w:rsidR="00310388">
        <w:t>EU</w:t>
      </w:r>
      <w:r>
        <w:t xml:space="preserve"> zu platzieren und sich im Europäischen Rat aktiv für die Ratifikation der Istanbul-Konvention</w:t>
      </w:r>
      <w:r w:rsidR="00150A1D">
        <w:t xml:space="preserve"> </w:t>
      </w:r>
      <w:r>
        <w:t xml:space="preserve">durch die </w:t>
      </w:r>
      <w:r w:rsidR="00310388">
        <w:t>EU</w:t>
      </w:r>
      <w:r>
        <w:t xml:space="preserve"> einzusetzen.</w:t>
      </w:r>
    </w:p>
    <w:p w:rsidR="006E5140" w:rsidRDefault="006E5140" w:rsidP="006E5140">
      <w:pPr>
        <w:pStyle w:val="LTAntwortRessortText"/>
      </w:pPr>
      <w:r>
        <w:t>Aus polizeilicher Sicht umfasst der Begriff der Häuslichen Gewalt sämtliche Fälle von physischer</w:t>
      </w:r>
      <w:r w:rsidR="00150A1D">
        <w:t xml:space="preserve"> </w:t>
      </w:r>
      <w:r>
        <w:t>und psychischer Gewalt innerhalb von ehelichen oder nichtehelichen Lebensgemeinschaften,</w:t>
      </w:r>
      <w:r w:rsidR="00150A1D">
        <w:t xml:space="preserve"> </w:t>
      </w:r>
      <w:r>
        <w:t>auch dann, wenn sie sich nach einer Trennung ereignen und noch im direkten Bezug</w:t>
      </w:r>
      <w:r w:rsidR="00150A1D">
        <w:t xml:space="preserve"> </w:t>
      </w:r>
      <w:r>
        <w:t>zur früheren Lebensgemeinschaft stehen. Werden der Bayerischen Polizei entsprechende Vorfälle</w:t>
      </w:r>
      <w:r w:rsidR="00150A1D">
        <w:t xml:space="preserve"> </w:t>
      </w:r>
      <w:r>
        <w:t>bekannt, so werden die zur Abwehr für das Opfer bestehender Gefahren erforderlichen</w:t>
      </w:r>
      <w:r w:rsidR="00150A1D">
        <w:t xml:space="preserve"> </w:t>
      </w:r>
      <w:r w:rsidR="00310388">
        <w:t>Sofortmaßnahmen –</w:t>
      </w:r>
      <w:r>
        <w:t xml:space="preserve"> einschließlich strafrechtlicher Ermittlungsmaßnahmen </w:t>
      </w:r>
      <w:r w:rsidR="00310388">
        <w:t>–</w:t>
      </w:r>
      <w:r>
        <w:t xml:space="preserve"> umgehend getroffen.</w:t>
      </w:r>
      <w:r w:rsidR="00150A1D">
        <w:t xml:space="preserve"> </w:t>
      </w:r>
      <w:r>
        <w:t>Die entsprechenden Maßnahmen der Polizei werden hierbei unabhängig vom Aufenthaltsstatus</w:t>
      </w:r>
      <w:r w:rsidR="00150A1D">
        <w:t xml:space="preserve"> </w:t>
      </w:r>
      <w:r>
        <w:t>der jeweiligen Opfer getroffen. Zum Schutz der Opfer kommen regelmäßig die räumliche</w:t>
      </w:r>
      <w:r w:rsidR="00150A1D">
        <w:t xml:space="preserve"> </w:t>
      </w:r>
      <w:r>
        <w:t xml:space="preserve">Trennung von Täter und Opfer, die </w:t>
      </w:r>
      <w:r w:rsidR="006F4997">
        <w:t>Durchführung von Gefährderanspra</w:t>
      </w:r>
      <w:r>
        <w:t>chen oder beispielsweise</w:t>
      </w:r>
      <w:r w:rsidR="00150A1D">
        <w:t xml:space="preserve"> </w:t>
      </w:r>
      <w:r>
        <w:t>die Zuführung des Opfers zu Hilfs- und Beratungsangeboten in Frage. Bayernweit arbeiten</w:t>
      </w:r>
      <w:r w:rsidR="00150A1D">
        <w:t xml:space="preserve"> </w:t>
      </w:r>
      <w:r>
        <w:t xml:space="preserve">bei allen Polizeiinspektionen sog. </w:t>
      </w:r>
      <w:r w:rsidR="005C0F48">
        <w:t>„</w:t>
      </w:r>
      <w:r>
        <w:t>Schwerpunktsachbearbeiter und Schwerpunktsachbearbeiterinnen</w:t>
      </w:r>
      <w:r w:rsidR="00150A1D">
        <w:t xml:space="preserve"> </w:t>
      </w:r>
      <w:r>
        <w:t>Häusliche Gewalt</w:t>
      </w:r>
      <w:r w:rsidR="005C0F48">
        <w:t>“</w:t>
      </w:r>
      <w:r>
        <w:t>. Diese sind nicht nur kompetente Ansprechpartner für Opfer,</w:t>
      </w:r>
      <w:r w:rsidR="00150A1D">
        <w:t xml:space="preserve"> </w:t>
      </w:r>
      <w:r>
        <w:t>sondern stellen darüber hinaus auch Kontakte und Verbindungen zu anderen staatlichen und</w:t>
      </w:r>
      <w:r w:rsidR="00150A1D">
        <w:t xml:space="preserve"> </w:t>
      </w:r>
      <w:r>
        <w:t>privaten Einrichtungen her. Darüber hinaus stellen sie eine strafrechtliche Verfolgung der Täter</w:t>
      </w:r>
      <w:r w:rsidR="00150A1D">
        <w:t xml:space="preserve"> </w:t>
      </w:r>
      <w:r>
        <w:t xml:space="preserve">sicher. Zudem sind bei allen Präsidien der Bayerischen Polizei bereits seit 1987 </w:t>
      </w:r>
      <w:r w:rsidR="005C0F48">
        <w:t>„</w:t>
      </w:r>
      <w:r>
        <w:t>Beauftragte</w:t>
      </w:r>
      <w:r w:rsidR="00150A1D">
        <w:t xml:space="preserve"> </w:t>
      </w:r>
      <w:r>
        <w:t>der Polizei für Kriminalitätsopfer (BPfK)</w:t>
      </w:r>
      <w:r w:rsidR="005C0F48">
        <w:t>“</w:t>
      </w:r>
      <w:r>
        <w:t>, zu deren Aufgaben insbesondere auch die Information</w:t>
      </w:r>
      <w:r w:rsidR="00150A1D">
        <w:t xml:space="preserve"> </w:t>
      </w:r>
      <w:r>
        <w:t>und Unterstützung von Frauen und Männern gehören, die von Partnergewalt bedroht werden</w:t>
      </w:r>
      <w:r w:rsidR="00150A1D">
        <w:t xml:space="preserve"> </w:t>
      </w:r>
      <w:r>
        <w:t>oder bereits verletzt worden sind.</w:t>
      </w:r>
    </w:p>
    <w:p w:rsidR="006E5140" w:rsidRDefault="006E5140" w:rsidP="006E5140">
      <w:pPr>
        <w:pStyle w:val="LTAntwortRessortText"/>
      </w:pPr>
      <w:r>
        <w:t>Auch Frauen ohne gesicherten Aufenthaltstitel können sich hilfesuchend an die staatlich geförderten</w:t>
      </w:r>
      <w:r w:rsidR="00150A1D">
        <w:t xml:space="preserve"> </w:t>
      </w:r>
      <w:r>
        <w:t>Frauenhäuser und Fachberatungsstellen/Notrufe wenden. Die staatlich geförderten Frauenhäuser</w:t>
      </w:r>
      <w:r w:rsidR="00150A1D">
        <w:t xml:space="preserve"> </w:t>
      </w:r>
      <w:r>
        <w:t>stehen grundsätzlich allen von häuslicher Gewalt betroffenen Frauen offen. Über die</w:t>
      </w:r>
      <w:r w:rsidR="00150A1D">
        <w:t xml:space="preserve"> </w:t>
      </w:r>
      <w:r>
        <w:t>Aufnahme ins Frauenhaus entscheiden die Frauenhausträger, ggf. unter Beteiligung der ihnen</w:t>
      </w:r>
      <w:r w:rsidR="00150A1D">
        <w:t xml:space="preserve"> </w:t>
      </w:r>
      <w:r>
        <w:t>zugeordneten Kommunen, in eigener Zuständigkeit. Frauen, die von physischer, psychischer</w:t>
      </w:r>
      <w:r w:rsidR="00150A1D">
        <w:t xml:space="preserve"> </w:t>
      </w:r>
      <w:r>
        <w:t>und/oder sexualisierter Gewalt betroffen sind, können sich darüber hinaus hilfesuchend an die</w:t>
      </w:r>
      <w:r w:rsidR="00150A1D">
        <w:t xml:space="preserve"> </w:t>
      </w:r>
      <w:r>
        <w:t>staatlich geförderten Fachberatungsstellen/Notrufe wenden. Es gibt weder bei den staatlich geförderten</w:t>
      </w:r>
      <w:r w:rsidR="00150A1D">
        <w:t xml:space="preserve"> </w:t>
      </w:r>
      <w:r>
        <w:t>Frauenhäusern noch bei den staatlich geförderten Fachberatungsstellen/Notrufen Vorgaben</w:t>
      </w:r>
      <w:r w:rsidR="00150A1D">
        <w:t xml:space="preserve"> </w:t>
      </w:r>
      <w:r>
        <w:t>zum Aufenthaltsstatus der hilfesuchenden Frau. Damit stehen die Frauenhäuser und die</w:t>
      </w:r>
      <w:r w:rsidR="00150A1D">
        <w:t xml:space="preserve"> </w:t>
      </w:r>
      <w:r>
        <w:t>Fachberatungsstellen/Notrufe grundsätzlich auch Frauen ohne gesicherten Aufenthaltstitel zur</w:t>
      </w:r>
      <w:r w:rsidR="00150A1D">
        <w:t xml:space="preserve"> </w:t>
      </w:r>
      <w:r>
        <w:t>Verfügung.</w:t>
      </w:r>
    </w:p>
    <w:p w:rsidR="006E5140" w:rsidRDefault="006E5140">
      <w:bookmarkStart w:id="26" w:name="Frage_Nr_12_Ende"/>
      <w:bookmarkEnd w:id="26"/>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7B6A4B" w:rsidTr="007B6A4B">
        <w:tc>
          <w:tcPr>
            <w:tcW w:w="1877" w:type="dxa"/>
          </w:tcPr>
          <w:p w:rsidR="007B6A4B" w:rsidRDefault="007B6A4B" w:rsidP="007B6A4B">
            <w:pPr>
              <w:pStyle w:val="LTAnfrageInitiator"/>
            </w:pPr>
            <w:r>
              <w:t>Abgeordneter</w:t>
            </w:r>
            <w:r>
              <w:rPr>
                <w:b/>
              </w:rPr>
              <w:br/>
              <w:t>Stefan</w:t>
            </w:r>
            <w:r>
              <w:rPr>
                <w:b/>
              </w:rPr>
              <w:br/>
              <w:t>Schuster</w:t>
            </w:r>
            <w:r>
              <w:rPr>
                <w:b/>
              </w:rPr>
              <w:br/>
            </w:r>
            <w:r>
              <w:t>(SPD)</w:t>
            </w:r>
            <w:bookmarkStart w:id="27" w:name="Frage_Nr_13"/>
            <w:bookmarkEnd w:id="27"/>
          </w:p>
        </w:tc>
        <w:tc>
          <w:tcPr>
            <w:tcW w:w="5739" w:type="dxa"/>
          </w:tcPr>
          <w:p w:rsidR="007B6A4B" w:rsidRPr="0042448D" w:rsidRDefault="007B6A4B" w:rsidP="0042448D">
            <w:pPr>
              <w:pStyle w:val="LTAnfrageText"/>
            </w:pPr>
            <w:r w:rsidRPr="0042448D">
              <w:t>Ich frage die Staatsregierung, wie hoch das Stellenkontingent für voraussetzungslose Antragsteilzeit nach Art. 88 Bayerisches Beamtengesetz (BayBG) bei der Polizei in Bayern seit 1997 ist, wie viele solcher Teilzeitstellen es aktuell tatsächlich gibt und wie viele Anträge auf Antragsteilzeit in den letzten fünf Jahren abgelehnt wurden?</w:t>
            </w:r>
          </w:p>
        </w:tc>
        <w:tc>
          <w:tcPr>
            <w:tcW w:w="5739" w:type="dxa"/>
          </w:tcPr>
          <w:p w:rsidR="007B6A4B" w:rsidRDefault="007B6A4B" w:rsidP="007B6A4B">
            <w:pPr>
              <w:pStyle w:val="LTAnfrageText"/>
            </w:pPr>
          </w:p>
        </w:tc>
      </w:tr>
    </w:tbl>
    <w:p w:rsidR="006E5140" w:rsidRDefault="006E5140" w:rsidP="006E5140">
      <w:pPr>
        <w:pStyle w:val="LTUeberschrAntwortRessort"/>
      </w:pPr>
      <w:r>
        <w:t>Antwort des Staatsministeriums des Innern, für Sport und Integration</w:t>
      </w:r>
    </w:p>
    <w:p w:rsidR="006E5140" w:rsidRDefault="00A42376" w:rsidP="006E5140">
      <w:pPr>
        <w:pStyle w:val="LTAntwortRessortText"/>
      </w:pPr>
      <w:r>
        <w:t xml:space="preserve">Mit Innerministeriellem Schreiben vom 2. Juli </w:t>
      </w:r>
      <w:r w:rsidR="006E5140">
        <w:t xml:space="preserve">1997, Az. IC3-0361-1-45, wurde im Polizeibereich die Gewährung der voraussetzungslosen Antragsteilzeit gem. Art. 88 </w:t>
      </w:r>
      <w:r>
        <w:t>Bay</w:t>
      </w:r>
      <w:r w:rsidR="006E5140">
        <w:t xml:space="preserve">BG </w:t>
      </w:r>
      <w:r w:rsidR="00502FCC">
        <w:t>auf 100 Vergabemöglichkeiten be</w:t>
      </w:r>
      <w:r w:rsidR="006E5140">
        <w:t>schränkt. Die Gewährung der Antragsteilzeit gem. Art. 88 BayBG ist folglich insgesamt nur bis zu diesem Kontingent möglich. Unabhängig davon ist jeweils zu prüfen, ob dienstliche Belange entgegenstehen. Teilzeitanträge von schwerbehinderten und gle</w:t>
      </w:r>
      <w:r w:rsidR="00502FCC">
        <w:t>ichgestellten Polizeivollzugsbe</w:t>
      </w:r>
      <w:r w:rsidR="006E5140">
        <w:t>amten werden nicht auf das Kontingent angerechnet, wenn die kürzere Arbeitszeit wegen Art und Schwere der Behinderung notwendig ist (§ 164 Abs. 5 Satz 3 S</w:t>
      </w:r>
      <w:r w:rsidR="00232806">
        <w:t>ozialgesetzbuch Neuntes Buch –</w:t>
      </w:r>
      <w:r>
        <w:t xml:space="preserve"> S</w:t>
      </w:r>
      <w:r w:rsidR="006E5140">
        <w:t>GB IX i.</w:t>
      </w:r>
      <w:r w:rsidR="00502FCC">
        <w:t> </w:t>
      </w:r>
      <w:r w:rsidR="006E5140">
        <w:t>V.</w:t>
      </w:r>
      <w:r w:rsidR="00502FCC">
        <w:t> </w:t>
      </w:r>
      <w:r w:rsidR="006E5140">
        <w:t xml:space="preserve">m. Ziffer </w:t>
      </w:r>
      <w:r>
        <w:t> </w:t>
      </w:r>
      <w:r w:rsidR="006E5140">
        <w:t xml:space="preserve">1.1 Abs. 1 Satz 5 </w:t>
      </w:r>
      <w:r w:rsidR="00232806">
        <w:t>Teilhaberichtlinien –</w:t>
      </w:r>
      <w:r w:rsidR="006E5140">
        <w:t>TeilR).</w:t>
      </w:r>
    </w:p>
    <w:p w:rsidR="006E5140" w:rsidRDefault="006E5140" w:rsidP="006E5140">
      <w:pPr>
        <w:pStyle w:val="LTAntwortRessortText"/>
      </w:pPr>
      <w:r>
        <w:t>Die Entscheidung über die Gewährung der Antragsteilzeit wurde auf die</w:t>
      </w:r>
      <w:r w:rsidR="00502FCC">
        <w:t xml:space="preserve"> unmittelbar nachge</w:t>
      </w:r>
      <w:r>
        <w:t xml:space="preserve">ordneten Dienststellen delegiert (§ 3 Abs. 1 Satz 1 Nr. 4 </w:t>
      </w:r>
      <w:r w:rsidR="00A42376">
        <w:t>StMI Zuständ</w:t>
      </w:r>
      <w:r w:rsidR="00232806">
        <w:t>igkeitsverordnung Beamtenrecht –</w:t>
      </w:r>
      <w:r w:rsidR="00A42376">
        <w:t xml:space="preserve"> </w:t>
      </w:r>
      <w:r>
        <w:t xml:space="preserve">ZusV-IM). Hierfür hat jeder Verband entsprechend der Größe des jeweiligen Personalköpers ein </w:t>
      </w:r>
      <w:r w:rsidR="00502FCC">
        <w:t>Kontingent an Vergabemöglichkei</w:t>
      </w:r>
      <w:r w:rsidR="00310388">
        <w:t>ten erhalten. Es wird davon ausgegangen</w:t>
      </w:r>
      <w:r>
        <w:t>, dass das jeweilige Kontingent bei den Verbänden weitgehend ausgeschöpft ist.</w:t>
      </w:r>
    </w:p>
    <w:p w:rsidR="006E5140" w:rsidRDefault="006E5140" w:rsidP="006E5140">
      <w:pPr>
        <w:pStyle w:val="LTAntwortRessortText"/>
      </w:pPr>
      <w:r>
        <w:t>Die Beantwortung der Frage hinsichtlich der tatsächlich in Anspruch genommenen Anzahl an Antragsteilzeitstellen sowie hinsichtlich den Ablehnungen set</w:t>
      </w:r>
      <w:r w:rsidR="00502FCC">
        <w:t>zt eine Erhebung bei den Verbän</w:t>
      </w:r>
      <w:r>
        <w:t>den voraus. Aufgrund der Kurzfristigkeit der Anfrage war dies nicht möglich.</w:t>
      </w:r>
    </w:p>
    <w:p w:rsidR="006E5140" w:rsidRDefault="006E5140">
      <w:bookmarkStart w:id="28" w:name="Frage_Nr_13_Ende"/>
      <w:bookmarkEnd w:id="28"/>
      <w:r>
        <w:br w:type="page"/>
      </w:r>
    </w:p>
    <w:p w:rsidR="006E5140" w:rsidRDefault="006E5140" w:rsidP="006E5140">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B6A4B" w:rsidTr="007B6A4B">
        <w:tc>
          <w:tcPr>
            <w:tcW w:w="1854" w:type="dxa"/>
          </w:tcPr>
          <w:p w:rsidR="007B6A4B" w:rsidRDefault="007B6A4B" w:rsidP="007B6A4B">
            <w:pPr>
              <w:pStyle w:val="LTAnfrageInitiator"/>
            </w:pPr>
            <w:r>
              <w:t>Abgeordnete</w:t>
            </w:r>
            <w:r>
              <w:rPr>
                <w:b/>
              </w:rPr>
              <w:br/>
              <w:t>Inge</w:t>
            </w:r>
            <w:r>
              <w:rPr>
                <w:b/>
              </w:rPr>
              <w:br/>
              <w:t>Aures</w:t>
            </w:r>
            <w:r>
              <w:rPr>
                <w:b/>
              </w:rPr>
              <w:br/>
            </w:r>
            <w:r>
              <w:t>(SPD)</w:t>
            </w:r>
            <w:bookmarkStart w:id="29" w:name="Frage_Nr_14"/>
            <w:bookmarkEnd w:id="29"/>
          </w:p>
        </w:tc>
        <w:tc>
          <w:tcPr>
            <w:tcW w:w="5762" w:type="dxa"/>
          </w:tcPr>
          <w:p w:rsidR="007B6A4B" w:rsidRPr="0042448D" w:rsidRDefault="007B6A4B" w:rsidP="00310388">
            <w:pPr>
              <w:pStyle w:val="LTAnfrageText"/>
            </w:pPr>
            <w:r w:rsidRPr="0042448D">
              <w:t>Ich frage die Staatsregierung, wie der Stand der im Bericht des Staatsministeriums für Wohnen, Bau und Verkehr vom 27.01.2020 angekündigten Erprobung von Oberleitungs-Akku-Hybrid-Zügen auf der Bahnstrecke Ebern – Bamberg ist, wann Erprobungsfahrten unternommen</w:t>
            </w:r>
            <w:r w:rsidR="00310388">
              <w:t xml:space="preserve"> werden bzw. wurden</w:t>
            </w:r>
            <w:r w:rsidRPr="0042448D">
              <w:t xml:space="preserve"> und was sind die Erkenntnisse der Staatsregierung?</w:t>
            </w:r>
          </w:p>
        </w:tc>
        <w:tc>
          <w:tcPr>
            <w:tcW w:w="5762"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Gemäß der 2018 von der Staatsregierung beschlossenen Bayerischen Elektromo-bilitätsstrategie Schiene ist auf der Bahnstrecke zwischen Bamberg und Ebern die Erprobung der Oberleitungs-Akku-Hybridtechnik vorgesehen. Di</w:t>
      </w:r>
      <w:r w:rsidR="00502FCC">
        <w:t>ese Betriebser</w:t>
      </w:r>
      <w:r>
        <w:t>probung steht unter dem Vorbehalt, dass ein Fahr</w:t>
      </w:r>
      <w:r w:rsidR="00502FCC">
        <w:t>zeughersteller ein technisch ge</w:t>
      </w:r>
      <w:r>
        <w:t>eignetes und für den Personenverkehr zugelassen</w:t>
      </w:r>
      <w:r w:rsidR="00502FCC">
        <w:t>es Triebfahrzeug für einen zeit</w:t>
      </w:r>
      <w:r>
        <w:t>lich befristeten Probebetrieb zur Verfügung stellt.</w:t>
      </w:r>
    </w:p>
    <w:p w:rsidR="006E5140" w:rsidRDefault="006E5140" w:rsidP="006E5140">
      <w:pPr>
        <w:pStyle w:val="LTAntwortRessortText"/>
      </w:pPr>
      <w:r>
        <w:t>Bislang konnte im bayerischen Bahnnetz lediglic</w:t>
      </w:r>
      <w:r w:rsidR="00A42376">
        <w:t>h für die mittelfränkische Bahn</w:t>
      </w:r>
      <w:r w:rsidR="00232806">
        <w:t>strecke Gunzenhausen –</w:t>
      </w:r>
      <w:r>
        <w:t xml:space="preserve"> Pleinfeld ein Probebetrieb mit dem Prototyp eines Akku-Oberleitungs-Hybridtriebwagens (BEMU) der Firma Alstom vereinbart werden. Dieser dreimonatige Test soll in Kombination mit einer </w:t>
      </w:r>
      <w:r w:rsidR="00502FCC">
        <w:t>Betriebserprobung in Ba</w:t>
      </w:r>
      <w:r>
        <w:t>den-Württemberg an den Wochenenden zwis</w:t>
      </w:r>
      <w:r w:rsidR="00502FCC">
        <w:t>chen Februar und Mai 2022 durch</w:t>
      </w:r>
      <w:r>
        <w:t>geführt werden.</w:t>
      </w:r>
    </w:p>
    <w:p w:rsidR="006E5140" w:rsidRDefault="006E5140" w:rsidP="006E5140">
      <w:pPr>
        <w:pStyle w:val="LTAntwortRessortText"/>
      </w:pPr>
      <w:r>
        <w:t>Für eine Betriebserprobung auf der Strecke Eber</w:t>
      </w:r>
      <w:r w:rsidR="00232806">
        <w:t>n –</w:t>
      </w:r>
      <w:r w:rsidR="00502FCC">
        <w:t xml:space="preserve"> Bamberg besteht bislang kei</w:t>
      </w:r>
      <w:r>
        <w:t>ne Bereitschaft seitens der Fahrzeugindustrie. Ein Einsatz des BEMU-Prototyps der Firma Alstom auf dieser Strecke ist nach St</w:t>
      </w:r>
      <w:r w:rsidR="00502FCC">
        <w:t>and der Erkenntnisse aus techni</w:t>
      </w:r>
      <w:r>
        <w:t>schen Gründen nicht möglich.</w:t>
      </w:r>
    </w:p>
    <w:p w:rsidR="006E5140" w:rsidRDefault="006E5140">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Abgeordneter</w:t>
            </w:r>
            <w:r>
              <w:rPr>
                <w:b/>
              </w:rPr>
              <w:br/>
              <w:t>Johannes</w:t>
            </w:r>
            <w:r>
              <w:rPr>
                <w:b/>
              </w:rPr>
              <w:br/>
              <w:t>Becher</w:t>
            </w:r>
            <w:r>
              <w:rPr>
                <w:b/>
              </w:rPr>
              <w:br/>
            </w:r>
            <w:r>
              <w:t>(BÜNDNIS 90/DIE GRÜNEN)</w:t>
            </w:r>
            <w:bookmarkStart w:id="31" w:name="Frage_Nr_15"/>
            <w:bookmarkEnd w:id="31"/>
          </w:p>
        </w:tc>
        <w:tc>
          <w:tcPr>
            <w:tcW w:w="5733" w:type="dxa"/>
          </w:tcPr>
          <w:p w:rsidR="007B6A4B" w:rsidRPr="0042448D" w:rsidRDefault="007B6A4B" w:rsidP="0042448D">
            <w:pPr>
              <w:pStyle w:val="LTAnfrageText"/>
            </w:pPr>
            <w:r w:rsidRPr="0042448D">
              <w:t>Ich frage die Staatsregierung, ob es zutreffend ist, dass nach geltender Rechtslage beim Bau von Wohngebäuden nach Errichtung eines Balkons keine statische Prüfung erfolgen muss, ob sie nach dem aktuellen Fall eines Balkonabsturzes in Moosburg a. d. Isar, durch den mehrere Menschen akut gefährdet waren, die Notwendigkeit sieht, die Rechtslage anzupassen und ob der Staatsregierung weitere Fälle von Balkonabstürzen in Bayern bekannt sind?</w:t>
            </w:r>
          </w:p>
        </w:tc>
        <w:tc>
          <w:tcPr>
            <w:tcW w:w="5733" w:type="dxa"/>
          </w:tcPr>
          <w:p w:rsidR="007B6A4B" w:rsidRDefault="007B6A4B" w:rsidP="007B6A4B">
            <w:pPr>
              <w:pStyle w:val="LTAnfrageText"/>
            </w:pPr>
          </w:p>
        </w:tc>
      </w:tr>
    </w:tbl>
    <w:p w:rsidR="006E5140" w:rsidRDefault="006E5140" w:rsidP="00502FCC">
      <w:pPr>
        <w:pStyle w:val="LTUeberschrAntwortRessort"/>
        <w:spacing w:before="240"/>
      </w:pPr>
      <w:r>
        <w:t>Antwort des Staatsministeriums für Wohnen, Bau und Verkehr</w:t>
      </w:r>
    </w:p>
    <w:p w:rsidR="006E5140" w:rsidRDefault="006E5140" w:rsidP="006E5140">
      <w:pPr>
        <w:pStyle w:val="LTAntwortRessortText"/>
      </w:pPr>
      <w:r>
        <w:t xml:space="preserve">Auch bei nachträglich angebauten Balkonen ist </w:t>
      </w:r>
      <w:r w:rsidR="00502FCC">
        <w:t>ein Standsicherheitsnachweis er</w:t>
      </w:r>
      <w:r>
        <w:t>forderlich. Die Prüfung dieses Standsicherheitsnachweises richtet sich nach den Regelungen der Bayerischen Bauordnung (Bay</w:t>
      </w:r>
      <w:r w:rsidR="00502FCC">
        <w:t>BO), die fünf Gebäudeklassen unter</w:t>
      </w:r>
      <w:r>
        <w:t>scheidet:</w:t>
      </w:r>
    </w:p>
    <w:p w:rsidR="006E5140" w:rsidRDefault="006E5140" w:rsidP="003B5C11">
      <w:pPr>
        <w:pStyle w:val="LTAntwortRessortText"/>
        <w:numPr>
          <w:ilvl w:val="0"/>
          <w:numId w:val="42"/>
        </w:numPr>
        <w:ind w:left="681" w:hanging="284"/>
      </w:pPr>
      <w:r>
        <w:t>Gebäudeklasse 1:</w:t>
      </w:r>
    </w:p>
    <w:p w:rsidR="006E5140" w:rsidRDefault="006E5140" w:rsidP="00502FCC">
      <w:pPr>
        <w:pStyle w:val="LTAntwortRessortText"/>
        <w:numPr>
          <w:ilvl w:val="0"/>
          <w:numId w:val="26"/>
        </w:numPr>
        <w:spacing w:before="0"/>
        <w:ind w:left="1054" w:hanging="357"/>
      </w:pPr>
      <w:r>
        <w:t xml:space="preserve">freistehende Gebäude mit einer Höhe bis zu 7 m und nicht mehr als zwei Nutzungseinheiten von insgesamt nicht mehr als 400 m² </w:t>
      </w:r>
    </w:p>
    <w:p w:rsidR="006E5140" w:rsidRDefault="006E5140" w:rsidP="00502FCC">
      <w:pPr>
        <w:pStyle w:val="LTAntwortRessortText"/>
        <w:numPr>
          <w:ilvl w:val="0"/>
          <w:numId w:val="26"/>
        </w:numPr>
        <w:spacing w:before="0"/>
        <w:ind w:left="1054" w:hanging="357"/>
      </w:pPr>
      <w:r>
        <w:t>land- oder forst</w:t>
      </w:r>
      <w:r w:rsidR="003B5C11">
        <w:t>wirtschaftlich genutzte Gebäude</w:t>
      </w:r>
    </w:p>
    <w:p w:rsidR="006E5140" w:rsidRDefault="006E5140" w:rsidP="003B5C11">
      <w:pPr>
        <w:pStyle w:val="LTAntwortRessortText"/>
        <w:numPr>
          <w:ilvl w:val="0"/>
          <w:numId w:val="42"/>
        </w:numPr>
        <w:spacing w:before="0"/>
        <w:ind w:left="681" w:hanging="284"/>
      </w:pPr>
      <w:r>
        <w:t>Gebäudeklasse 2:</w:t>
      </w:r>
    </w:p>
    <w:p w:rsidR="006E5140" w:rsidRDefault="006E5140" w:rsidP="00502FCC">
      <w:pPr>
        <w:pStyle w:val="LTAntwortRessortText"/>
        <w:numPr>
          <w:ilvl w:val="1"/>
          <w:numId w:val="29"/>
        </w:numPr>
        <w:spacing w:before="0"/>
        <w:ind w:left="1037" w:hanging="357"/>
      </w:pPr>
      <w:r>
        <w:t xml:space="preserve">Gebäude mit einer Höhe bis zu 7 m und </w:t>
      </w:r>
      <w:r w:rsidR="00502FCC">
        <w:t>nicht mehr als zwei Nutzungsein</w:t>
      </w:r>
      <w:r>
        <w:t xml:space="preserve">heiten von </w:t>
      </w:r>
      <w:r w:rsidR="003B5C11">
        <w:t>insgesamt nicht mehr als 400 m²</w:t>
      </w:r>
    </w:p>
    <w:p w:rsidR="006E5140" w:rsidRDefault="006E5140" w:rsidP="003B5C11">
      <w:pPr>
        <w:pStyle w:val="LTAntwortRessortText"/>
        <w:numPr>
          <w:ilvl w:val="0"/>
          <w:numId w:val="42"/>
        </w:numPr>
        <w:spacing w:before="0"/>
        <w:ind w:left="681" w:hanging="284"/>
      </w:pPr>
      <w:r>
        <w:t>Gebäudeklasse 3:</w:t>
      </w:r>
    </w:p>
    <w:p w:rsidR="006E5140" w:rsidRDefault="006E5140" w:rsidP="00502FCC">
      <w:pPr>
        <w:pStyle w:val="LTAntwortRessortText"/>
        <w:numPr>
          <w:ilvl w:val="1"/>
          <w:numId w:val="30"/>
        </w:numPr>
        <w:spacing w:before="0"/>
        <w:ind w:left="1037" w:hanging="357"/>
      </w:pPr>
      <w:r>
        <w:t>sonstige Ge</w:t>
      </w:r>
      <w:r w:rsidR="003B5C11">
        <w:t>bäude mit einer Höhe bis zu 7 m</w:t>
      </w:r>
    </w:p>
    <w:p w:rsidR="006E5140" w:rsidRDefault="006E5140" w:rsidP="003B5C11">
      <w:pPr>
        <w:pStyle w:val="LTAntwortRessortText"/>
        <w:numPr>
          <w:ilvl w:val="0"/>
          <w:numId w:val="42"/>
        </w:numPr>
        <w:spacing w:before="0"/>
        <w:ind w:left="681" w:hanging="284"/>
      </w:pPr>
      <w:r>
        <w:t>Gebäudeklasse 4:</w:t>
      </w:r>
    </w:p>
    <w:p w:rsidR="006E5140" w:rsidRDefault="006E5140" w:rsidP="00502FCC">
      <w:pPr>
        <w:pStyle w:val="LTAntwortRessortText"/>
        <w:numPr>
          <w:ilvl w:val="1"/>
          <w:numId w:val="30"/>
        </w:numPr>
        <w:spacing w:before="0"/>
        <w:ind w:left="1037" w:hanging="357"/>
      </w:pPr>
      <w:r>
        <w:t>Gebäude mit einer Höhe bis zu 13 m und Nutzungseinheiten mit jeweils nicht mehr als</w:t>
      </w:r>
      <w:r w:rsidR="003B5C11">
        <w:t xml:space="preserve"> 400 m²</w:t>
      </w:r>
    </w:p>
    <w:p w:rsidR="006E5140" w:rsidRDefault="006E5140" w:rsidP="003B5C11">
      <w:pPr>
        <w:pStyle w:val="LTAntwortRessortText"/>
        <w:numPr>
          <w:ilvl w:val="0"/>
          <w:numId w:val="42"/>
        </w:numPr>
        <w:spacing w:before="0"/>
        <w:ind w:left="681" w:hanging="284"/>
      </w:pPr>
      <w:r>
        <w:t>Gebäudeklasse 5:</w:t>
      </w:r>
    </w:p>
    <w:p w:rsidR="006E5140" w:rsidRDefault="006E5140" w:rsidP="00EB3510">
      <w:pPr>
        <w:pStyle w:val="LTAntwortRessortText"/>
        <w:numPr>
          <w:ilvl w:val="1"/>
          <w:numId w:val="30"/>
        </w:numPr>
        <w:spacing w:before="0"/>
        <w:ind w:left="1037" w:hanging="357"/>
      </w:pPr>
      <w:r>
        <w:t>sonstige Gebäude einsch</w:t>
      </w:r>
      <w:r w:rsidR="003B5C11">
        <w:t>ließlich unterirdischer Gebäude</w:t>
      </w:r>
    </w:p>
    <w:p w:rsidR="006E5140" w:rsidRDefault="006E5140" w:rsidP="006E5140">
      <w:pPr>
        <w:pStyle w:val="LTAntwortRessortText"/>
      </w:pPr>
      <w:r>
        <w:t>Bei Gebäuden der Gebäudeklasse 4 und 5 muss der Standsicherheitsnachweis in jedem Fall geprüft werden, bei Gebäuden der Gebäudeklasse 1 bis 3</w:t>
      </w:r>
      <w:r w:rsidR="003B5C11">
        <w:t>,</w:t>
      </w:r>
      <w:r>
        <w:t xml:space="preserve"> sofern dies nach Maßgabe des Kriterienkataloges nach Art. 80 Abs. 4 BayBO erforderlich ist. Ausgenommen hiervon sind lediglich Wohngebäude der Gebäudeklassen 1 und 2 sowie bestimmte oberirdische eingeschossige Gebäude, die nicht oder nur zum vorübergehenden Aufenthalt einzelner Personen bestimmt sind.</w:t>
      </w:r>
    </w:p>
    <w:p w:rsidR="006E5140" w:rsidRDefault="006E5140" w:rsidP="006E5140">
      <w:pPr>
        <w:pStyle w:val="LTAntwortRessortText"/>
      </w:pPr>
      <w:r>
        <w:t>Das betroffene Gebäude fällt in die Gebäudeklasse 3. Der Standsicherheitsnach-weis für den Umbau, der auch die Anbringung des Balkons vorsah, wurde von einem Prüfingenieur für Standsicherheit geprüft. Es ist jedoch nicht bekannt, ob der Balkon im Standsicherheitsnachweis enthalten war.</w:t>
      </w:r>
    </w:p>
    <w:p w:rsidR="006E5140" w:rsidRDefault="006E5140" w:rsidP="00502FCC">
      <w:pPr>
        <w:pStyle w:val="LTAntwortRessortText"/>
      </w:pPr>
      <w:r>
        <w:t>Eine Anpassung der Rechtslage halten wir nicht für erforderlich. Weitere Fälle von Balkonabstürzen sind uns nicht bekannt.</w:t>
      </w:r>
      <w:r w:rsidR="00502FCC">
        <w:t xml:space="preserve"> </w:t>
      </w:r>
      <w:bookmarkStart w:id="32" w:name="Frage_Nr_15_Ende"/>
      <w:bookmarkEnd w:id="32"/>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7B6A4B" w:rsidTr="007B6A4B">
        <w:tc>
          <w:tcPr>
            <w:tcW w:w="1900" w:type="dxa"/>
          </w:tcPr>
          <w:p w:rsidR="007B6A4B" w:rsidRDefault="007B6A4B" w:rsidP="007B6A4B">
            <w:pPr>
              <w:pStyle w:val="LTAnfrageInitiator"/>
            </w:pPr>
            <w:r>
              <w:t>Abgeordneter</w:t>
            </w:r>
            <w:r>
              <w:rPr>
                <w:b/>
              </w:rPr>
              <w:br/>
              <w:t>Cemal</w:t>
            </w:r>
            <w:r>
              <w:rPr>
                <w:b/>
              </w:rPr>
              <w:br/>
              <w:t>Bozo</w:t>
            </w:r>
            <w:r>
              <w:rPr>
                <w:rFonts w:cs="Arial"/>
                <w:b/>
              </w:rPr>
              <w:t>ğ</w:t>
            </w:r>
            <w:r>
              <w:rPr>
                <w:b/>
              </w:rPr>
              <w:t>lu</w:t>
            </w:r>
            <w:r>
              <w:rPr>
                <w:b/>
              </w:rPr>
              <w:br/>
            </w:r>
            <w:r>
              <w:t>(BÜNDNIS 90/DIE GRÜNEN)</w:t>
            </w:r>
            <w:bookmarkStart w:id="33" w:name="Frage_Nr_16"/>
            <w:bookmarkEnd w:id="33"/>
          </w:p>
        </w:tc>
        <w:tc>
          <w:tcPr>
            <w:tcW w:w="5716" w:type="dxa"/>
          </w:tcPr>
          <w:p w:rsidR="007B6A4B" w:rsidRPr="0042448D" w:rsidRDefault="007B6A4B" w:rsidP="003B5C11">
            <w:pPr>
              <w:pStyle w:val="LTAnfrageText"/>
            </w:pPr>
            <w:r w:rsidRPr="0042448D">
              <w:t>Bezugnehmend auf die Antwort auf die Schriftliche Anfrage „Mögliche Standorte für ein neues ICE-Werk in Bayern“</w:t>
            </w:r>
            <w:r w:rsidR="003B5C11">
              <w:t xml:space="preserve"> vom 08.09.2021 (Drs. 18/18137)</w:t>
            </w:r>
            <w:r w:rsidRPr="0042448D">
              <w:t xml:space="preserve"> frage ich die Staatsregierung, ob es zutrifft, dass ihr weder die Interessensbekundung für eine Ansiedlung des ICE-Werks vom Zweckverband des Gewerbeparks in Westmittelfranken am Gewerbepark „InterFranken“</w:t>
            </w:r>
            <w:r w:rsidRPr="00232806">
              <w:rPr>
                <w:vertAlign w:val="superscript"/>
              </w:rPr>
              <w:footnoteReference w:id="2"/>
            </w:r>
            <w:r w:rsidRPr="0042448D">
              <w:t xml:space="preserve"> noch das Flächenangebot des Ingolstädter Oberbürgermeisters Dr. jur. Christian Scharpf an die DB, das von Klaus-Dieter Josel, Konzernbevollmächtigter der DB für den Freistaat Bayern, im DB Dialog vom 14.10.2021 bestätigt wurde,</w:t>
            </w:r>
            <w:r w:rsidR="003B5C11">
              <w:t xml:space="preserve"> bekannt war,</w:t>
            </w:r>
            <w:r w:rsidRPr="0042448D">
              <w:t xml:space="preserve"> und inwieweit und mit welchem Ergebnis diese Standorte einer Überprüfung unterzogen wurden?</w:t>
            </w:r>
          </w:p>
        </w:tc>
        <w:tc>
          <w:tcPr>
            <w:tcW w:w="5716"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Immobilienangebote und -verhandlungen bei Unternehmensansiedlungen durch die kommunale Seite erfolgen in der Regel ohne Beteiligung des Freistaat</w:t>
      </w:r>
      <w:r w:rsidR="00502FCC">
        <w:t>e</w:t>
      </w:r>
      <w:r>
        <w:t>s. Die Interessensbekundung des Gewerbeparks InterFranken und das Flächenangebot der Stadt Ingolstadt an die bundeseigene DB AG sind der Staatsregierung nicht bekannt gewesen.</w:t>
      </w:r>
    </w:p>
    <w:p w:rsidR="006E5140" w:rsidRDefault="006E5140" w:rsidP="00443858">
      <w:pPr>
        <w:pStyle w:val="LTAntwortRessortText"/>
        <w:spacing w:before="0"/>
      </w:pPr>
      <w:r>
        <w:t>Nach Auskunft der DB AG sind die beiden Standorte unternehmensintern als nicht geeignet für das neue ICE-Werk bewertet worden.</w:t>
      </w:r>
    </w:p>
    <w:p w:rsidR="006E5140" w:rsidRDefault="006E5140">
      <w:bookmarkStart w:id="34" w:name="Frage_Nr_16_Ende"/>
      <w:bookmarkEnd w:id="3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7B6A4B" w:rsidTr="007B6A4B">
        <w:tc>
          <w:tcPr>
            <w:tcW w:w="1900" w:type="dxa"/>
          </w:tcPr>
          <w:p w:rsidR="007B6A4B" w:rsidRDefault="007B6A4B" w:rsidP="007B6A4B">
            <w:pPr>
              <w:pStyle w:val="LTAnfrageInitiator"/>
            </w:pPr>
            <w:r>
              <w:t>Abgeordneter</w:t>
            </w:r>
            <w:r>
              <w:rPr>
                <w:b/>
              </w:rPr>
              <w:br/>
              <w:t>Christian</w:t>
            </w:r>
            <w:r>
              <w:rPr>
                <w:b/>
              </w:rPr>
              <w:br/>
              <w:t>Hierneis</w:t>
            </w:r>
            <w:r>
              <w:rPr>
                <w:b/>
              </w:rPr>
              <w:br/>
            </w:r>
            <w:r>
              <w:t>(BÜNDNIS 90/DIE GRÜNEN)</w:t>
            </w:r>
            <w:bookmarkStart w:id="35" w:name="Frage_Nr_17"/>
            <w:bookmarkEnd w:id="35"/>
          </w:p>
        </w:tc>
        <w:tc>
          <w:tcPr>
            <w:tcW w:w="5716" w:type="dxa"/>
          </w:tcPr>
          <w:p w:rsidR="007B6A4B" w:rsidRPr="0042448D" w:rsidRDefault="007B6A4B" w:rsidP="003B5C11">
            <w:pPr>
              <w:pStyle w:val="LTAnfrageText"/>
            </w:pPr>
            <w:r w:rsidRPr="0042448D">
              <w:t>Ich frage die Staatsregierung, welche Beschlüsse, Genehmigungs- und Planungsschr</w:t>
            </w:r>
            <w:r w:rsidR="003B5C11">
              <w:t>itte für die von der Lech-Stahlw</w:t>
            </w:r>
            <w:r w:rsidRPr="0042448D">
              <w:t>erke GmbH geplante Erweiterung am Standort Meitingen, insbesondere betreffend den Meitinger Lohwald, bereits erfolgt sind (bitte mit jeweiligem Datum und zuständiger bzw. beschließender Behörde angeben), welche weiteren Beschlüsse, Genehmigungs- und Planungsschritte noch ausstehen (bitte mit Zeitplan und zuständiger bzw. beschließender Behörde angeben) und welche Gutachten im Laufe des Genehmigungsverfahrens erstellt</w:t>
            </w:r>
            <w:r w:rsidR="003B5C11">
              <w:t xml:space="preserve"> werden</w:t>
            </w:r>
            <w:r w:rsidRPr="0042448D">
              <w:t xml:space="preserve"> (bitte mit Datum der jeweiligen Fertigstellung sowie mit Ersteller der jeweiligen Gutachten angeben)? </w:t>
            </w:r>
          </w:p>
        </w:tc>
        <w:tc>
          <w:tcPr>
            <w:tcW w:w="5716"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Die Lechstahlwerke betreiben am Standort Meitingen ein Elektrostahlwerk und ein Warmwalzwerk zur Produktion von Qualitäts-, Bau- und Betonstahl. Nach Auskunft des Staatsministeriums für Umwelt u</w:t>
      </w:r>
      <w:r w:rsidR="00502FCC">
        <w:t>nd Verbraucherschutz ist der Be</w:t>
      </w:r>
      <w:r>
        <w:t xml:space="preserve">trieb der Lechstahlwerke nach der 4. </w:t>
      </w:r>
      <w:r w:rsidR="00555AE5">
        <w:t>Bundes</w:t>
      </w:r>
      <w:r w:rsidR="009414D9">
        <w:t>-I</w:t>
      </w:r>
      <w:r w:rsidR="00555AE5">
        <w:t xml:space="preserve">mmissionsschutzverordnung </w:t>
      </w:r>
      <w:r w:rsidR="009414D9">
        <w:t>(</w:t>
      </w:r>
      <w:r>
        <w:t>BImSc</w:t>
      </w:r>
      <w:r w:rsidR="00502FCC">
        <w:t>hV</w:t>
      </w:r>
      <w:r w:rsidR="009414D9">
        <w:t>)</w:t>
      </w:r>
      <w:r w:rsidR="00502FCC">
        <w:t xml:space="preserve"> immissionsschutzrechtlich ge</w:t>
      </w:r>
      <w:r>
        <w:t>nehmigungsbedürftig (Anlage gemäß Art. 10 der Industrieemissions-Richtlinie 2010/75/EU).</w:t>
      </w:r>
    </w:p>
    <w:p w:rsidR="006E5140" w:rsidRDefault="006E5140" w:rsidP="006E5140">
      <w:pPr>
        <w:pStyle w:val="LTAntwortRessortText"/>
      </w:pPr>
      <w:r>
        <w:t>Für die Süderweiterung der Lechstahlwerke hat</w:t>
      </w:r>
      <w:r w:rsidR="009414D9">
        <w:t xml:space="preserve"> der Markt Meitingen das Verfah</w:t>
      </w:r>
      <w:r>
        <w:t>ren zur 11. Änderung des Flächennutzungsplans betrieben. Den F</w:t>
      </w:r>
      <w:r w:rsidR="009414D9">
        <w:t>eststellungsbe</w:t>
      </w:r>
      <w:r>
        <w:t xml:space="preserve">schluss der 11. Änderung des Flächennutzungsplans hat der Marktgemeinderat in seiner Sitzung am 17.07.2021 beschlossen. </w:t>
      </w:r>
      <w:r w:rsidR="00502FCC">
        <w:t>Die 11. Änderung des Flächennut</w:t>
      </w:r>
      <w:r>
        <w:t>zungsplans wurde vom Landratsamt Augsbur</w:t>
      </w:r>
      <w:r w:rsidR="00502FCC">
        <w:t>g mit Bescheid vom 22.09.2021 ge</w:t>
      </w:r>
      <w:r>
        <w:t>nehmigt und ist am 15.10.2021 durch Bekanntmachung wirksam geworden.</w:t>
      </w:r>
    </w:p>
    <w:p w:rsidR="006E5140" w:rsidRDefault="006E5140" w:rsidP="006E5140">
      <w:pPr>
        <w:pStyle w:val="LTAntwortRessortText"/>
      </w:pPr>
      <w:r>
        <w:t xml:space="preserve">Daneben betreibt der Markt Meitingen für die Süderweiterung die Aufstellung des Bebauungsplanes </w:t>
      </w:r>
      <w:r w:rsidR="005C0F48">
        <w:t>„</w:t>
      </w:r>
      <w:r>
        <w:t>Sondergebiet am nörd</w:t>
      </w:r>
      <w:r w:rsidR="00232806">
        <w:t>lichen Lohwald –</w:t>
      </w:r>
      <w:r w:rsidR="00502FCC">
        <w:t xml:space="preserve"> südlich des Be</w:t>
      </w:r>
      <w:r>
        <w:t>bauungsplanes H 3/72 und westlich der Kreisstraße A29</w:t>
      </w:r>
      <w:r w:rsidR="005C0F48">
        <w:t>“</w:t>
      </w:r>
      <w:r>
        <w:t xml:space="preserve">. Nach Mitteilung des Landratsamts Augsburg hat der Marktgemeinderat in seiner Sitzung am 17.07.2021 zu den während der öffentlichen </w:t>
      </w:r>
      <w:r w:rsidR="00502FCC">
        <w:t>Auslegung und in der Behördenbe</w:t>
      </w:r>
      <w:r>
        <w:t>teiligung eingegangenen Stellungnahmen di</w:t>
      </w:r>
      <w:r w:rsidR="00502FCC">
        <w:t>e Abwägung vollzogen. Der Bebau</w:t>
      </w:r>
      <w:r>
        <w:t xml:space="preserve">ungsplan wurde vom Marktgemeinderat bislang </w:t>
      </w:r>
      <w:r w:rsidR="00502FCC">
        <w:t>noch nicht als Satzung beschlos</w:t>
      </w:r>
      <w:r>
        <w:t>sen und ist daher noch nicht in Kraft getreten. D</w:t>
      </w:r>
      <w:r w:rsidR="00502FCC">
        <w:t>er Staatsregierung ist nicht be</w:t>
      </w:r>
      <w:r>
        <w:t>kannt, wann der Marktgemeinderat beabsichtig</w:t>
      </w:r>
      <w:r w:rsidR="009414D9">
        <w:t>t, den Satzungsbeschluss zu fas</w:t>
      </w:r>
      <w:r>
        <w:t>sen.</w:t>
      </w:r>
    </w:p>
    <w:p w:rsidR="006E5140" w:rsidRDefault="006E5140" w:rsidP="006E5140">
      <w:pPr>
        <w:pStyle w:val="LTAntwortRessortText"/>
      </w:pPr>
      <w:r>
        <w:t>Das Staatsministerium für Ernährung, Landwirtschaft und Forsten teilte mit, dass die Grundstücksgesellschaft Aicher GbR am 10.0</w:t>
      </w:r>
      <w:r w:rsidR="009414D9">
        <w:t>3.2020 vier Anträge auf Erstauf</w:t>
      </w:r>
      <w:r>
        <w:t>forstung für die komplette, im Bebauungsplanv</w:t>
      </w:r>
      <w:r w:rsidR="00502FCC">
        <w:t>erfahren festgesetzte Ersatzauf</w:t>
      </w:r>
      <w:r>
        <w:t>forstungsfläche von rund 23 ha gestellt hat. Diese Anträge wurden vom Amt für Ernährung, Landwirtschaft und Forsten Augsburg am 1</w:t>
      </w:r>
      <w:r w:rsidR="00502FCC">
        <w:t>4.01.2021 positiv verbe</w:t>
      </w:r>
      <w:r>
        <w:t>schieden.</w:t>
      </w:r>
    </w:p>
    <w:p w:rsidR="006E5140" w:rsidRDefault="006E5140" w:rsidP="006E5140">
      <w:pPr>
        <w:pStyle w:val="LTAntwortRessortText"/>
      </w:pPr>
      <w:r>
        <w:t>Für die beabsichtigte Süderweiterung ist beim Landratsamt Augsburg noch kein immissionsschutzrechtliches Genehmigungsverfahren anhängig.</w:t>
      </w:r>
    </w:p>
    <w:p w:rsidR="006E5140" w:rsidRDefault="006E5140" w:rsidP="006E5140">
      <w:pPr>
        <w:pStyle w:val="LTAntwortRessortText"/>
      </w:pPr>
      <w:r>
        <w:t>Für den Bereich des bestehenden Stahlwerks hat die Lech-Stahlwerke GmbH beim Landratsamt Augsburg eine immissionsschutzrechtliche Genehmigung für eine Kapazitätserweiterung sowie weitere Einzelmaßnahmen mit Antrag vom 03.09.2019 beantragt. Dieses immissionsschu</w:t>
      </w:r>
      <w:r w:rsidR="00502FCC">
        <w:t>tzrechtliche Genehmigungsverfah</w:t>
      </w:r>
      <w:r>
        <w:t xml:space="preserve">ren ist noch nicht abgeschlossen. Den Antragsunterlagen waren Gutachten und Unterlagen zu </w:t>
      </w:r>
      <w:r w:rsidR="003B5C11">
        <w:t>den Themenbereichen Lärm, Luft und</w:t>
      </w:r>
      <w:r>
        <w:t xml:space="preserve"> Umweltverträglichkeit </w:t>
      </w:r>
      <w:r w:rsidR="003B5C11">
        <w:t>sowie</w:t>
      </w:r>
      <w:r>
        <w:t xml:space="preserve"> ein Bericht zum Ausgangszustand beigefügt. Für die</w:t>
      </w:r>
      <w:r w:rsidR="00502FCC">
        <w:t xml:space="preserve"> Öffentlichkeitsbeteiligung wur</w:t>
      </w:r>
      <w:r w:rsidR="003B5C11">
        <w:t>de im Januar 2021 ans</w:t>
      </w:r>
      <w:r>
        <w:t>telle des Erörterungstermins eine Online-Konsultation</w:t>
      </w:r>
      <w:r w:rsidR="00443858">
        <w:t xml:space="preserve"> </w:t>
      </w:r>
      <w:r>
        <w:t xml:space="preserve">durchgeführt. Aufgrund der Vielzahl und Vielfältigkeit der hierbei eingegangenen Einwendungen wird die Erstellung des Genehmigungsbescheids noch einige Zeit in Anspruch nehmen. Das Landesamt für Umwelt führt auf der Grundlage vorangegangener Ergebnisse seit </w:t>
      </w:r>
      <w:r w:rsidR="00502FCC">
        <w:t>01.04.2021 eigene Immissionsmes</w:t>
      </w:r>
      <w:r>
        <w:t>sungen bis März 2023 durch, mit der die beant</w:t>
      </w:r>
      <w:r w:rsidR="00502FCC">
        <w:t>ragte Kapazitätserweiterung ver</w:t>
      </w:r>
      <w:r>
        <w:t>folgt werden kann.</w:t>
      </w:r>
    </w:p>
    <w:p w:rsidR="006E5140" w:rsidRDefault="006E5140">
      <w:bookmarkStart w:id="36" w:name="Frage_Nr_17_Ende"/>
      <w:bookmarkEnd w:id="36"/>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7B6A4B" w:rsidTr="007B6A4B">
        <w:tc>
          <w:tcPr>
            <w:tcW w:w="1875" w:type="dxa"/>
          </w:tcPr>
          <w:p w:rsidR="007B6A4B" w:rsidRDefault="007B6A4B" w:rsidP="007B6A4B">
            <w:pPr>
              <w:pStyle w:val="LTAnfrageInitiator"/>
            </w:pPr>
            <w:r>
              <w:t>Abgeordneter</w:t>
            </w:r>
            <w:r>
              <w:rPr>
                <w:b/>
              </w:rPr>
              <w:br/>
              <w:t>Sebastian</w:t>
            </w:r>
            <w:r>
              <w:rPr>
                <w:b/>
              </w:rPr>
              <w:br/>
              <w:t>Körber</w:t>
            </w:r>
            <w:r>
              <w:rPr>
                <w:b/>
              </w:rPr>
              <w:br/>
            </w:r>
            <w:r>
              <w:t>(FDP)</w:t>
            </w:r>
            <w:bookmarkStart w:id="37" w:name="Frage_Nr_18"/>
            <w:bookmarkEnd w:id="37"/>
          </w:p>
        </w:tc>
        <w:tc>
          <w:tcPr>
            <w:tcW w:w="5741" w:type="dxa"/>
          </w:tcPr>
          <w:p w:rsidR="007B6A4B" w:rsidRPr="0042448D" w:rsidRDefault="007B6A4B" w:rsidP="00D32E88">
            <w:pPr>
              <w:pStyle w:val="LTAnfrageText"/>
            </w:pPr>
            <w:r w:rsidRPr="0042448D">
              <w:t xml:space="preserve">Gemäß Antwort der Staatsregierung auf meine Schriftliche Anfrage vom 29. April 2021 betreffend „Einfluss des Abgeordneten und Rechtsanwalts Sauter insbesondere auf die Immobilientätigkeit des Freistaates Bayern“ wurde u. a. dargelegt, dass die Kanzlei Sauter &amp; Wurm in eine Arbeitsgruppe zur Entwicklung von Ideen für Änderungen der Bayerischen Bauordnung (BayBO) im Auftrag des Staatsministeriums für Wohnen, Bau und Verkehr (StMB) eingebunden wurde, weswegen ich die Staatsregierung frage, wie es dazu kam, dass die Kanzlei Sauter &amp; Wurm hierbei eingebunden wurde (bitte um Darlegung des Auswahlprozesses, insbesondere hinsichtlich der Entstehung und Einsetzung der Gruppe, mit Offenlegung der Rolle der politischen Führung des StMB und der im StMB beschäftigten Tochter von Alfred Sauter für alle Teilnehmer bzw. Berater), inwiefern die Staatsregierung die Doppelfunktion von Alfred Sauter als Rechtsanwalt und Abgeordneter für bedenkenlos oder zumindest moralisch fragwürdig </w:t>
            </w:r>
            <w:r w:rsidR="00D32E88">
              <w:t xml:space="preserve">erachtet </w:t>
            </w:r>
            <w:r w:rsidRPr="0042448D">
              <w:t>(einerseits wurde Alfred Sauter bei der Erarbeitung der Novelle der BayBO von der Staatsregierung eingebunden, andererseits trat er für Mandanten zum Abstandsflächenrecht als maßgeblichen Teil der BayBO in Erscheinung) und inwiefern erteilte die Staatsregierung bzw. Staatsministerien und nachgelagerte Behörden (insbesondere Immobilien Freistaat Bayern – IMBY) jemals einer in Verbindung stehenden Kanzlei zu Alfred Sauter (bspw. Rechtsanwalt Sauter, Sauter &amp; Wurm, Gauweiler &amp; Sauter Rechtsanwälte Partnerschaft mdB) einen Auftrag</w:t>
            </w:r>
            <w:r w:rsidR="00D32E88">
              <w:t xml:space="preserve"> erteilte</w:t>
            </w:r>
            <w:r w:rsidRPr="0042448D">
              <w:t>, der von dieser in Rechnung</w:t>
            </w:r>
            <w:r w:rsidR="00D32E88">
              <w:t xml:space="preserve"> gestellt wurde (bspw. Mitwirkung</w:t>
            </w:r>
            <w:r w:rsidRPr="0042448D">
              <w:t xml:space="preserve"> in der Arbeitsgruppe zur BayBO, bitte um Darlegung der konkreten Fälle samt Datum, zuständige Ministerien bzw. nachgelagerter Behörden und Thematik)?</w:t>
            </w:r>
          </w:p>
        </w:tc>
        <w:tc>
          <w:tcPr>
            <w:tcW w:w="5741"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Soweit die Anfrage Bezug nimmt auf einen Ant</w:t>
      </w:r>
      <w:r w:rsidR="00502FCC">
        <w:t xml:space="preserve">wortbeitrag des </w:t>
      </w:r>
      <w:r>
        <w:t xml:space="preserve">StMB, wonach am 27. April 2020 und 20. Juli 2020 ein fachlicher Austausch unter Leitung des ehemaligen Staatssekretärs </w:t>
      </w:r>
      <w:r w:rsidR="009414D9">
        <w:t xml:space="preserve">Klaus </w:t>
      </w:r>
      <w:r>
        <w:t>Holetschek zwischen Vertretern des Ministeriums, jeweils einem Vertreter des Landesamtes für Denkmalschutz und der Technischen Universität Mü</w:t>
      </w:r>
      <w:r w:rsidR="009414D9">
        <w:t>nchen so</w:t>
      </w:r>
      <w:r>
        <w:t xml:space="preserve">wie einer Mitarbeiterin der Kanzlei Sauter &amp; Wurm mit Schwerpunkt Baurecht zum Thema </w:t>
      </w:r>
      <w:r w:rsidR="005C0F48">
        <w:t>„</w:t>
      </w:r>
      <w:r>
        <w:t>Bauen beschleunigen</w:t>
      </w:r>
      <w:r w:rsidR="005C0F48">
        <w:t>“</w:t>
      </w:r>
      <w:r>
        <w:t xml:space="preserve"> stattfan</w:t>
      </w:r>
      <w:r w:rsidR="00502FCC">
        <w:t>d, bezieht sich das auf eine Ge</w:t>
      </w:r>
      <w:r>
        <w:t xml:space="preserve">sprächsrunde im StMB, die in keinem unmittelbaren Zusammenhang mit der am 1. Februar 2021 in Kraft getretenen Novelle der Bayerischen Bauordnung (BayBO) stand. Die Novelle wurde bereits im Jahr 2019 unter Berücksichtigung einer vom Ausschuss für Wohnen, Bau und </w:t>
      </w:r>
      <w:r w:rsidR="00502FCC">
        <w:t>Verkehr im Oktober 2019 durchge</w:t>
      </w:r>
      <w:r>
        <w:t>führten Expertenanhörung konzipiert und Anfang Dezember 2019 vom</w:t>
      </w:r>
      <w:r w:rsidR="009414D9">
        <w:t xml:space="preserve"> Minister</w:t>
      </w:r>
      <w:r>
        <w:t xml:space="preserve">rat für die Verbändeanhörung freigegeben. Nach </w:t>
      </w:r>
      <w:r w:rsidR="00502FCC">
        <w:t>Durchführung der Verbändean</w:t>
      </w:r>
      <w:r>
        <w:t>hörung wurde der Gesetzentwurf der Staatsregi</w:t>
      </w:r>
      <w:r w:rsidR="00502FCC">
        <w:t>erung am 23. Juni 2020 abschlie</w:t>
      </w:r>
      <w:r>
        <w:t>ßend v</w:t>
      </w:r>
      <w:r w:rsidR="009414D9">
        <w:t>om Ministerrat behandelt, am 7. </w:t>
      </w:r>
      <w:r>
        <w:t>Juli 202</w:t>
      </w:r>
      <w:r w:rsidR="00502FCC">
        <w:t>0 fand die erste Lesung im Land</w:t>
      </w:r>
      <w:r>
        <w:t>tag statt.</w:t>
      </w:r>
    </w:p>
    <w:p w:rsidR="006E5140" w:rsidRDefault="006E5140" w:rsidP="006E5140">
      <w:pPr>
        <w:pStyle w:val="LTAntwortRessortText"/>
      </w:pPr>
      <w:r>
        <w:t>Die Teilnehmer der Gesprächsrunde waren allesamt ausgewiesene Kenner des Baurechts, die allgemein ihre Erfahrungen aus verschiedenen Blickwinkeln und beruflichen Feldern gegenüber dem StMB darges</w:t>
      </w:r>
      <w:r w:rsidR="00502FCC">
        <w:t>tellt und erläutert haben. Klar</w:t>
      </w:r>
      <w:r>
        <w:t>stellend bleibt festzuhalten, dass Herr Sauter, MdL, bzw. seine Tochter weder eingeladen waren noch an den Gespräche</w:t>
      </w:r>
      <w:r w:rsidR="00502FCC">
        <w:t>n teilgenommen hatten. Eine Auf</w:t>
      </w:r>
      <w:r>
        <w:t xml:space="preserve">wandsentschädigung wurde nicht bezahlt. Die Tochter von Herrn </w:t>
      </w:r>
      <w:r w:rsidR="00D168D3">
        <w:t xml:space="preserve">Alfred </w:t>
      </w:r>
      <w:r>
        <w:t>Sauter, MdL,</w:t>
      </w:r>
      <w:r w:rsidR="00443858">
        <w:t xml:space="preserve"> </w:t>
      </w:r>
      <w:r>
        <w:t>war zu diesem Zeitpunkt auch nicht dem StMB zugeteilt.</w:t>
      </w:r>
    </w:p>
    <w:p w:rsidR="006E5140" w:rsidRDefault="006E5140" w:rsidP="006E5140">
      <w:pPr>
        <w:pStyle w:val="LTAntwortRessortText"/>
      </w:pPr>
      <w:r>
        <w:t>Zu den weiteren Fragegegenständen wird auf die Antworten zu den bisherigen Schriftlichen Anfragen mit diesen Themen verwiesen, insbesondere:</w:t>
      </w:r>
    </w:p>
    <w:p w:rsidR="006E5140" w:rsidRDefault="00D168D3" w:rsidP="00D32E88">
      <w:pPr>
        <w:pStyle w:val="LTAntwortRessortText"/>
        <w:numPr>
          <w:ilvl w:val="0"/>
          <w:numId w:val="44"/>
        </w:numPr>
        <w:spacing w:before="0"/>
        <w:ind w:left="709"/>
      </w:pPr>
      <w:r>
        <w:t>Schriftliche</w:t>
      </w:r>
      <w:r w:rsidR="006E5140">
        <w:t xml:space="preserve"> Anfrage des Herrn Abgeordneten </w:t>
      </w:r>
      <w:r>
        <w:t>Florian von Brunn vom 11.</w:t>
      </w:r>
      <w:r w:rsidR="00D32E88">
        <w:t> </w:t>
      </w:r>
      <w:r>
        <w:t>Juni</w:t>
      </w:r>
      <w:r w:rsidR="00D32E88">
        <w:t> </w:t>
      </w:r>
      <w:r w:rsidR="006E5140">
        <w:t xml:space="preserve">2021 betreffend </w:t>
      </w:r>
      <w:r w:rsidR="005C0F48">
        <w:t>„</w:t>
      </w:r>
      <w:r w:rsidR="006E5140">
        <w:t xml:space="preserve">Geschäftsbeziehungen zwischen Abgeordneten und der </w:t>
      </w:r>
      <w:r w:rsidR="00502FCC">
        <w:t>Bayeri</w:t>
      </w:r>
      <w:r w:rsidR="006E5140">
        <w:t>schen Staatsregierung I</w:t>
      </w:r>
      <w:r w:rsidR="005C0F48">
        <w:t>“</w:t>
      </w:r>
      <w:r w:rsidR="006E5140">
        <w:t xml:space="preserve"> </w:t>
      </w:r>
      <w:r w:rsidR="00D32E88">
        <w:t>(Drs. 18/18081)</w:t>
      </w:r>
    </w:p>
    <w:p w:rsidR="006E5140" w:rsidRDefault="006E5140" w:rsidP="00D32E88">
      <w:pPr>
        <w:pStyle w:val="LTAntwortRessortText"/>
        <w:numPr>
          <w:ilvl w:val="0"/>
          <w:numId w:val="44"/>
        </w:numPr>
        <w:spacing w:before="0"/>
        <w:ind w:left="709"/>
      </w:pPr>
      <w:r>
        <w:t xml:space="preserve">Schriftliche Anfrage des Herrn Abgeordneten </w:t>
      </w:r>
      <w:r w:rsidR="00D168D3">
        <w:t>Florian von Brunn vom 11.</w:t>
      </w:r>
      <w:r w:rsidR="00D32E88">
        <w:t> </w:t>
      </w:r>
      <w:r w:rsidR="00D168D3">
        <w:t>Juni</w:t>
      </w:r>
      <w:r w:rsidR="00D32E88">
        <w:t> </w:t>
      </w:r>
      <w:r>
        <w:t xml:space="preserve">2021 betreffend </w:t>
      </w:r>
      <w:r w:rsidR="005C0F48">
        <w:t>„</w:t>
      </w:r>
      <w:r>
        <w:t>Geschäftsbeziehungen zwisc</w:t>
      </w:r>
      <w:r w:rsidR="00502FCC">
        <w:t>hen Abgeordneten und der Bayeri</w:t>
      </w:r>
      <w:r>
        <w:t>schen Staatsregierung II</w:t>
      </w:r>
      <w:r w:rsidR="005C0F48">
        <w:t>“</w:t>
      </w:r>
      <w:r>
        <w:t xml:space="preserve"> </w:t>
      </w:r>
      <w:r w:rsidR="00D32E88">
        <w:t>(Drs. 18/18090)</w:t>
      </w:r>
    </w:p>
    <w:p w:rsidR="006E5140" w:rsidRDefault="006E5140" w:rsidP="00D32E88">
      <w:pPr>
        <w:pStyle w:val="LTAntwortRessortText"/>
        <w:numPr>
          <w:ilvl w:val="0"/>
          <w:numId w:val="44"/>
        </w:numPr>
        <w:spacing w:before="0"/>
        <w:ind w:left="709"/>
      </w:pPr>
      <w:r>
        <w:t>Schriftliche Anfrage der Abgeordneten Florian Siekmann, Katharina Schulze, Jürgen Mistol, Gülseren Demir</w:t>
      </w:r>
      <w:r w:rsidR="00D168D3">
        <w:t>el, Johannes Becher, Cemal Bozo</w:t>
      </w:r>
      <w:r w:rsidR="00D168D3">
        <w:rPr>
          <w:rFonts w:cs="Arial"/>
        </w:rPr>
        <w:t>ğ</w:t>
      </w:r>
      <w:r>
        <w:t>lu, Dr. Martin Runge, Toni Schube</w:t>
      </w:r>
      <w:r w:rsidR="00502FCC">
        <w:t>rl, Ursula Sowa, Dr. Sabine Wei</w:t>
      </w:r>
      <w:r>
        <w:t>ga</w:t>
      </w:r>
      <w:r w:rsidR="00D168D3">
        <w:t>nd vom 9.</w:t>
      </w:r>
      <w:r w:rsidR="00D32E88">
        <w:t> </w:t>
      </w:r>
      <w:r w:rsidR="00D168D3">
        <w:t>März</w:t>
      </w:r>
      <w:r w:rsidR="00D32E88">
        <w:t> </w:t>
      </w:r>
      <w:r>
        <w:t xml:space="preserve">2021 betreffend </w:t>
      </w:r>
      <w:r w:rsidR="005C0F48">
        <w:t>„</w:t>
      </w:r>
      <w:r>
        <w:t xml:space="preserve">Verträge zwischen dem Freistaat Bayern sowie Unternehmen mit wesentlicher Beteiligung des Freistaates und Rechtsanwaltskanzleien </w:t>
      </w:r>
      <w:r w:rsidR="00D32E88">
        <w:t>–</w:t>
      </w:r>
      <w:r>
        <w:t xml:space="preserve"> 1</w:t>
      </w:r>
      <w:r w:rsidR="005C0F48">
        <w:t>“</w:t>
      </w:r>
      <w:r w:rsidR="00502FCC">
        <w:t xml:space="preserve"> (Drs. </w:t>
      </w:r>
      <w:r>
        <w:t>18/17696)</w:t>
      </w:r>
    </w:p>
    <w:p w:rsidR="006E5140" w:rsidRDefault="006E5140" w:rsidP="006E5140">
      <w:pPr>
        <w:pStyle w:val="LTAntwortRessortText"/>
      </w:pPr>
      <w:r>
        <w:t>Inhalte, die über diese Anfragen möglicherweise hinausgehen, können an dieser Stelle aufgrund der Kürze der zur Verfügung ste</w:t>
      </w:r>
      <w:r w:rsidR="00502FCC">
        <w:t>henden Zeit nicht ermittelt wer</w:t>
      </w:r>
      <w:r>
        <w:t>den.</w:t>
      </w:r>
    </w:p>
    <w:p w:rsidR="006E5140" w:rsidRDefault="006E5140">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Abgeordneter</w:t>
            </w:r>
            <w:r>
              <w:rPr>
                <w:b/>
              </w:rPr>
              <w:br/>
              <w:t>Jürgen</w:t>
            </w:r>
            <w:r>
              <w:rPr>
                <w:b/>
              </w:rPr>
              <w:br/>
              <w:t>Mistol</w:t>
            </w:r>
            <w:r>
              <w:rPr>
                <w:b/>
              </w:rPr>
              <w:br/>
            </w:r>
            <w:r>
              <w:t>(BÜNDNIS 90/DIE GRÜNEN)</w:t>
            </w:r>
            <w:bookmarkStart w:id="39" w:name="Frage_Nr_19"/>
            <w:bookmarkEnd w:id="39"/>
          </w:p>
        </w:tc>
        <w:tc>
          <w:tcPr>
            <w:tcW w:w="5733" w:type="dxa"/>
          </w:tcPr>
          <w:p w:rsidR="007B6A4B" w:rsidRPr="0042448D" w:rsidRDefault="007B6A4B" w:rsidP="00D32E88">
            <w:pPr>
              <w:pStyle w:val="LTAnfrageText"/>
            </w:pPr>
            <w:r w:rsidRPr="0042448D">
              <w:t>Bezugnehmend auf die Antwort zur Schriftlichen Anfrage „Mögliche Standorte für ein neues ICE-Werk in Bayern“ vom 08.09.2021 (Drs. 18/18137, Frage 4.1.) frage ich die Staatsregierung, um welche 22 Grundstücke es sich genau handelte, die die D</w:t>
            </w:r>
            <w:r w:rsidR="00D32E88">
              <w:t>B</w:t>
            </w:r>
            <w:r w:rsidRPr="0042448D">
              <w:t xml:space="preserve"> in den vergangenen zehn Jahren veräußert hat und die größer als </w:t>
            </w:r>
            <w:r w:rsidR="00D32E88">
              <w:t>fünf</w:t>
            </w:r>
            <w:r w:rsidRPr="0042448D">
              <w:t xml:space="preserve"> ha waren (bitte auflisten nach genauem Standort, Größe, Geländebeschaffenheit, künftiger Art der Nutzung, Kaufpreis und Käufer)?</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Die DB AG ist ein Unternehmen, das sich gän</w:t>
      </w:r>
      <w:r w:rsidR="00502FCC">
        <w:t>zlich im Eigentum des Bundes be</w:t>
      </w:r>
      <w:r>
        <w:t>findet. Der Staatsregierung liegen zu diesen 22</w:t>
      </w:r>
      <w:r w:rsidR="00502FCC">
        <w:t xml:space="preserve"> Grundstücken keine weiteren In</w:t>
      </w:r>
      <w:r>
        <w:t>formationen vor.</w:t>
      </w:r>
    </w:p>
    <w:p w:rsidR="006E5140" w:rsidRDefault="006E5140">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w:t>
            </w:r>
            <w:r>
              <w:rPr>
                <w:b/>
              </w:rPr>
              <w:br/>
              <w:t>Verena</w:t>
            </w:r>
            <w:r>
              <w:rPr>
                <w:b/>
              </w:rPr>
              <w:br/>
              <w:t>Osgyan</w:t>
            </w:r>
            <w:r>
              <w:rPr>
                <w:b/>
              </w:rPr>
              <w:br/>
            </w:r>
            <w:r>
              <w:t>(BÜNDNIS 90/DIE GRÜNEN)</w:t>
            </w:r>
            <w:bookmarkStart w:id="41" w:name="Frage_Nr_20"/>
            <w:bookmarkEnd w:id="41"/>
          </w:p>
        </w:tc>
        <w:tc>
          <w:tcPr>
            <w:tcW w:w="5733" w:type="dxa"/>
          </w:tcPr>
          <w:p w:rsidR="007B6A4B" w:rsidRPr="0042448D" w:rsidRDefault="007B6A4B" w:rsidP="00D32E88">
            <w:pPr>
              <w:pStyle w:val="LTAnfrageText"/>
            </w:pPr>
            <w:r w:rsidRPr="0042448D">
              <w:t xml:space="preserve">Ich frage die Staatsregierung, welche Bestrebungen es </w:t>
            </w:r>
            <w:r w:rsidR="00D32E88">
              <w:t>ihrerseits und der DB</w:t>
            </w:r>
            <w:r w:rsidRPr="0042448D">
              <w:t xml:space="preserve"> gab, für die Errichtung des geplanten ICE-Werks Alternativen im süddeutschen Raum inner- und außerhalb der Metropolregion Nürnberg zu suchen, welche schriftlichen Dokumente es dazu gibt und was diese beinhalteten? </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Die Suche nach einem Standort für ihr ICE-Werk ist eine unternehmensinterne Aufgabe der bundeseigenen DB AG. Nach Aus</w:t>
      </w:r>
      <w:r w:rsidR="00502FCC">
        <w:t>kunft der DB war Ziel der Stand</w:t>
      </w:r>
      <w:r>
        <w:t>ortsuche, den am besten geeigneten Standort z</w:t>
      </w:r>
      <w:r w:rsidR="00502FCC">
        <w:t>u finden. Die DB hat ihren Anga</w:t>
      </w:r>
      <w:r>
        <w:t>ben zufolge unter Berücksichtigung der he</w:t>
      </w:r>
      <w:r w:rsidR="00502FCC">
        <w:t>utigen und zukünftigen Verkehrs</w:t>
      </w:r>
      <w:r>
        <w:t>schwerpunkte den Bedarf für Instandhaltungska</w:t>
      </w:r>
      <w:r w:rsidR="00502FCC">
        <w:t>pazitäten im deutschen Netz ana</w:t>
      </w:r>
      <w:r>
        <w:t xml:space="preserve">lysiert. Im Ergebnis wird der Knoten Nürnberg </w:t>
      </w:r>
      <w:r w:rsidR="00502FCC">
        <w:t>von der DB als der am besten ge</w:t>
      </w:r>
      <w:r>
        <w:t>eignete Standort für ein neues ICE-Instandhaltungswerk angesehen.</w:t>
      </w:r>
    </w:p>
    <w:p w:rsidR="006E5140" w:rsidRDefault="006E5140" w:rsidP="006E5140">
      <w:pPr>
        <w:pStyle w:val="LTAntwortRessortText"/>
      </w:pPr>
      <w:r>
        <w:t>Es ist zu erwarten, dass die DB im angekündigten Raumordnungsverfahren für das neue ICE-Werk schriftliche Unterlagen an die zuständige Bezirksregierung übermitteln wird.</w:t>
      </w:r>
    </w:p>
    <w:p w:rsidR="006E5140" w:rsidRDefault="006E5140">
      <w:bookmarkStart w:id="42" w:name="Frage_Nr_20_Ende"/>
      <w:bookmarkEnd w:id="4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7B6A4B" w:rsidTr="007B6A4B">
        <w:tc>
          <w:tcPr>
            <w:tcW w:w="1856" w:type="dxa"/>
          </w:tcPr>
          <w:p w:rsidR="007B6A4B" w:rsidRDefault="007B6A4B" w:rsidP="007B6A4B">
            <w:pPr>
              <w:pStyle w:val="LTAnfrageInitiator"/>
            </w:pPr>
            <w:r>
              <w:t>Abgeordneter</w:t>
            </w:r>
            <w:r>
              <w:rPr>
                <w:b/>
              </w:rPr>
              <w:br/>
              <w:t>Jan</w:t>
            </w:r>
            <w:r>
              <w:rPr>
                <w:b/>
              </w:rPr>
              <w:br/>
              <w:t>Schiffers</w:t>
            </w:r>
            <w:r>
              <w:rPr>
                <w:b/>
              </w:rPr>
              <w:br/>
            </w:r>
            <w:r>
              <w:t>(AfD)</w:t>
            </w:r>
            <w:bookmarkStart w:id="43" w:name="Frage_Nr_21"/>
            <w:bookmarkEnd w:id="43"/>
          </w:p>
        </w:tc>
        <w:tc>
          <w:tcPr>
            <w:tcW w:w="5760" w:type="dxa"/>
          </w:tcPr>
          <w:p w:rsidR="007B6A4B" w:rsidRPr="0042448D" w:rsidRDefault="007B6A4B" w:rsidP="0042448D">
            <w:pPr>
              <w:pStyle w:val="LTAnfrageText"/>
            </w:pPr>
            <w:r w:rsidRPr="0042448D">
              <w:t xml:space="preserve">Ich frage die Staatsregierung, ob die Bauarbeiten wie geplant im Frühjahr 2022 </w:t>
            </w:r>
            <w:r w:rsidR="00CF26CD">
              <w:t>aufgenommen werden können</w:t>
            </w:r>
            <w:r w:rsidRPr="0042448D">
              <w:t>, falls nein, welche Gründe dem entgegenstehen und wann sie mit einer Fertigstellung der Wohnungen rechnet?</w:t>
            </w:r>
          </w:p>
        </w:tc>
        <w:tc>
          <w:tcPr>
            <w:tcW w:w="5760"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Die BayernHeim GmbH plant auf dem Areal der ehemaligen Röhrenseekaserne in Bayreuth in Bauabschnitten insgesamt run</w:t>
      </w:r>
      <w:r w:rsidR="00502FCC">
        <w:t>d 390 Wohnungen mit entsprechen</w:t>
      </w:r>
      <w:r>
        <w:t>der Infrastruktur zu errichten.</w:t>
      </w:r>
    </w:p>
    <w:p w:rsidR="006E5140" w:rsidRDefault="006E5140" w:rsidP="006E5140">
      <w:pPr>
        <w:pStyle w:val="LTAntwortRessortText"/>
      </w:pPr>
      <w:r>
        <w:t>Die Stadt Bayreuth überplant derzeit im Rah</w:t>
      </w:r>
      <w:r w:rsidR="00502FCC">
        <w:t>men ihrer kommunalen Planungsho</w:t>
      </w:r>
      <w:r>
        <w:t>heit das Gesamtgelände im beschleunigten Bebauungsplanverfahren nach § 13a Baugesetzbuch (BauGB), um das notwendige Baurecht zu schaffen. Sofern bei der öffentlichen Auslegung des Bebauungsplans keine Einwendungen geltend gemacht werden, geht die Stadt von einer Planreife nach § 33 BauGB etwa Mitte 2022 aus.</w:t>
      </w:r>
    </w:p>
    <w:p w:rsidR="006E5140" w:rsidRDefault="006E5140" w:rsidP="006E5140">
      <w:pPr>
        <w:pStyle w:val="LTAntwortRessortText"/>
      </w:pPr>
      <w:r>
        <w:t>Die BayernHeim GmbH wird sodann umgehen</w:t>
      </w:r>
      <w:r w:rsidR="00502FCC">
        <w:t>d den Bauantrag für die Woh</w:t>
      </w:r>
      <w:r>
        <w:t>nungsbaumaßnahme bei der Stadt Bayreuth einreichen. Geplanter Baubeginn des</w:t>
      </w:r>
      <w:r w:rsidR="00671035">
        <w:t xml:space="preserve"> </w:t>
      </w:r>
      <w:r w:rsidR="00D168D3">
        <w:t>ersten</w:t>
      </w:r>
      <w:r>
        <w:t xml:space="preserve"> Bauabschnitts wäre für diesen Fall Ende 202</w:t>
      </w:r>
      <w:r w:rsidR="00502FCC">
        <w:t>2, voraussichtlicher Fertigstel</w:t>
      </w:r>
      <w:r>
        <w:t>lungstermin Ende 2024. Die Gesamtfertigstellung ist für 2028 geplant.</w:t>
      </w:r>
    </w:p>
    <w:p w:rsidR="006E5140" w:rsidRDefault="006E5140">
      <w:bookmarkStart w:id="44" w:name="Frage_Nr_21_Ende"/>
      <w:bookmarkEnd w:id="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w:t>
            </w:r>
            <w:r>
              <w:rPr>
                <w:b/>
              </w:rPr>
              <w:br/>
              <w:t>Stephanie</w:t>
            </w:r>
            <w:r>
              <w:rPr>
                <w:b/>
              </w:rPr>
              <w:br/>
              <w:t>Schuhknecht</w:t>
            </w:r>
            <w:r>
              <w:rPr>
                <w:b/>
              </w:rPr>
              <w:br/>
            </w:r>
            <w:r>
              <w:t>(BÜNDNIS 90/DIE GRÜNEN)</w:t>
            </w:r>
            <w:bookmarkStart w:id="45" w:name="Frage_Nr_22"/>
            <w:bookmarkEnd w:id="45"/>
          </w:p>
        </w:tc>
        <w:tc>
          <w:tcPr>
            <w:tcW w:w="5733" w:type="dxa"/>
          </w:tcPr>
          <w:p w:rsidR="007B6A4B" w:rsidRPr="0042448D" w:rsidRDefault="007B6A4B" w:rsidP="0042448D">
            <w:pPr>
              <w:pStyle w:val="LTAnfrageText"/>
            </w:pPr>
            <w:r w:rsidRPr="0042448D">
              <w:t xml:space="preserve">Ich frage die Staatsregierung, welche Standorte für das geplante ICE-Werk im süddeutschen Raum in der Vergangenheit bereits von der DB als potenzielle Standorte überprüft wurden bzw. werden und welche Gründe sprachen bzw. sprechen jeweils dafür bzw. dagegen? </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Die Suche nach einem Standort für ihr ICE-Werk ist eine unternehmensinterne Aufgabe der bundeseigenen DB AG. Die DB hat ihren Angaben zufolge unter Berücksichtigung der heutigen und zukünfti</w:t>
      </w:r>
      <w:r w:rsidR="00F36983">
        <w:t>gen Verkehrsschwerpunkte den Be</w:t>
      </w:r>
      <w:r>
        <w:t>darf für Instandhaltungskapazitäten im deutschen Netz analysiert. Im Ergebnis wird der Knoten Nürnberg von der DB als der am besten geeignete Standort für ein neues ICE-Instandhaltungswerk angesehen. Der Staatsregierung liegen keine Kenntnisse über die von der DB im Rahmen de</w:t>
      </w:r>
      <w:r w:rsidR="00D32E88">
        <w:t>r Standortsuche geprüften Stand</w:t>
      </w:r>
      <w:r>
        <w:t>ortalternativen außerhalb des Großraums Nürnberg vor.</w:t>
      </w:r>
    </w:p>
    <w:p w:rsidR="006E5140" w:rsidRDefault="006E5140">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Abgeordneter</w:t>
            </w:r>
            <w:r>
              <w:rPr>
                <w:b/>
              </w:rPr>
              <w:br/>
              <w:t>Florian</w:t>
            </w:r>
            <w:r>
              <w:rPr>
                <w:b/>
              </w:rPr>
              <w:br/>
              <w:t>Siekmann</w:t>
            </w:r>
            <w:r>
              <w:rPr>
                <w:b/>
              </w:rPr>
              <w:br/>
            </w:r>
            <w:r>
              <w:t>(BÜNDNIS 90/DIE GRÜNEN)</w:t>
            </w:r>
            <w:bookmarkStart w:id="47" w:name="Frage_Nr_23"/>
            <w:bookmarkEnd w:id="47"/>
          </w:p>
        </w:tc>
        <w:tc>
          <w:tcPr>
            <w:tcW w:w="5733" w:type="dxa"/>
          </w:tcPr>
          <w:p w:rsidR="007B6A4B" w:rsidRPr="0042448D" w:rsidRDefault="007B6A4B" w:rsidP="00D32E88">
            <w:pPr>
              <w:pStyle w:val="LTAnfrageText"/>
            </w:pPr>
            <w:r w:rsidRPr="0042448D">
              <w:t>Ich frage die Staatsregierung, wann genau das Raumord</w:t>
            </w:r>
            <w:r w:rsidR="00D32E88">
              <w:t>nungsverfahren der DB</w:t>
            </w:r>
            <w:r w:rsidRPr="0042448D">
              <w:t xml:space="preserve"> in Bezug auf das geplante ICE-Werk im Raum Nürnberg starten soll und ob der anvisierte Zeitplan, im Frühjahr 2022 die Entscheidung für einen Standort zu fällen, nach dem jetzigen Stand eingehalten werden kann?</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Das Raumordnungsverfahren für das geplante ICE-Werk soll nach Angaben der DB AG von ihr im Spätherbst 2021 bei der R</w:t>
      </w:r>
      <w:r w:rsidR="00F36983">
        <w:t>egierung von Mittelfranken bean</w:t>
      </w:r>
      <w:r>
        <w:t xml:space="preserve">tragt werden. Raumordnungsverfahren werden </w:t>
      </w:r>
      <w:r w:rsidR="00F36983">
        <w:t>in der Regel innerhalb von maxi</w:t>
      </w:r>
      <w:r>
        <w:t>mal einem halben Jahr abgeschlossen.</w:t>
      </w:r>
    </w:p>
    <w:p w:rsidR="006E5140" w:rsidRDefault="006E5140">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w:t>
            </w:r>
            <w:r>
              <w:rPr>
                <w:b/>
              </w:rPr>
              <w:br/>
              <w:t>Ursula</w:t>
            </w:r>
            <w:r>
              <w:rPr>
                <w:b/>
              </w:rPr>
              <w:br/>
              <w:t>Sowa</w:t>
            </w:r>
            <w:r>
              <w:rPr>
                <w:b/>
              </w:rPr>
              <w:br/>
            </w:r>
            <w:r>
              <w:t>(BÜNDNIS 90/DIE GRÜNEN)</w:t>
            </w:r>
            <w:bookmarkStart w:id="49" w:name="Frage_Nr_24"/>
            <w:bookmarkEnd w:id="49"/>
          </w:p>
        </w:tc>
        <w:tc>
          <w:tcPr>
            <w:tcW w:w="5733" w:type="dxa"/>
          </w:tcPr>
          <w:p w:rsidR="007B6A4B" w:rsidRPr="0042448D" w:rsidRDefault="007B6A4B" w:rsidP="0042448D">
            <w:pPr>
              <w:pStyle w:val="LTAnfrageText"/>
            </w:pPr>
            <w:r w:rsidRPr="0042448D">
              <w:t>Bezüglich des Sonderfonds „Innenstädte beleben“, den das Staatsministerium für Wohnen, Bau und Verkehr im Jahr 2021 mit Fördergeldern in Höhe von 100 Mio. Euro aufgelegt hat, frage ich die Staatsregierung, wie viele Förderanträge nicht für das Förderprogramm bewilligt wurden (bitte auch auf Höhe der beantragten Mittel eingehen), wie das Förderprogramm auf seine Wirksamkeit und die Erreichung der Ziele hin evaluiert wird und in welchen Kommunen es bereits Ergebnisse gibt?</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 xml:space="preserve">Zur Programmaufstellung wurden 292 Bedarfsmitteilungen von den Kommunen vorgelegt. Die beantragten Gesamtkosten waren </w:t>
      </w:r>
      <w:r w:rsidR="00D168D3">
        <w:t>höher als die förderfähigen Aus</w:t>
      </w:r>
      <w:r>
        <w:t>gaben. Darin enthalten waren insbesondere a</w:t>
      </w:r>
      <w:r w:rsidR="00E14AA5">
        <w:t>uch Kosten, die in der Programmauf</w:t>
      </w:r>
      <w:r>
        <w:t>stellung nicht oder nur teilweise berücksichtigt werden konnten, weil s</w:t>
      </w:r>
      <w:r w:rsidR="00E14AA5">
        <w:t>ie für die Folgejahre 2022 bis</w:t>
      </w:r>
      <w:r>
        <w:t xml:space="preserve"> 2024 gemeldet wurden, </w:t>
      </w:r>
      <w:r w:rsidR="00E14AA5">
        <w:t>z. </w:t>
      </w:r>
      <w:r w:rsidR="005C0F48">
        <w:t>B.</w:t>
      </w:r>
      <w:r>
        <w:t xml:space="preserve"> für größere Baumaßnahmen</w:t>
      </w:r>
      <w:r w:rsidR="00D32E88">
        <w:t>,</w:t>
      </w:r>
      <w:r>
        <w:t xml:space="preserve"> oder nicht den Förderkriterien entsprachen.</w:t>
      </w:r>
    </w:p>
    <w:p w:rsidR="006E5140" w:rsidRDefault="006E5140" w:rsidP="006E5140">
      <w:pPr>
        <w:pStyle w:val="LTAntwortRessortText"/>
      </w:pPr>
      <w:r>
        <w:t>Mit der Programmaufstellung am 9. Juli 2021 wurden 279 bayerischen Städten und Gemeinden insgesamt 100 Mio. Euro zur Verfügung ges</w:t>
      </w:r>
      <w:r w:rsidR="00E14AA5">
        <w:t>tellt. Die ausgewähl</w:t>
      </w:r>
      <w:r>
        <w:t>ten Städte und Gemeinden wurden aufgefordert,</w:t>
      </w:r>
      <w:r w:rsidR="00E14AA5">
        <w:t xml:space="preserve"> für die gemeldeten Bedarfe ent</w:t>
      </w:r>
      <w:r>
        <w:t>sprechende Zuwendungsanträge zu stellen. Es wurden bislang kein</w:t>
      </w:r>
      <w:r w:rsidR="009D30DE">
        <w:t>e Förderanträ</w:t>
      </w:r>
      <w:r>
        <w:t>ge gestellt, die nicht berücksichtigt werden k</w:t>
      </w:r>
      <w:r w:rsidR="00E14AA5">
        <w:t>onnten. Erste Bewilligungen ent</w:t>
      </w:r>
      <w:r>
        <w:t>sprechender Einzelanträge konnten Mitte Sep</w:t>
      </w:r>
      <w:r w:rsidR="00E14AA5">
        <w:t>tember 2021 durch die Bezirksre</w:t>
      </w:r>
      <w:r>
        <w:t>gierungen erteilt werden. Erste Ergebnisse sind voraussichtlich im Laufe des nächsten Jahres zu erwarten.</w:t>
      </w:r>
    </w:p>
    <w:p w:rsidR="006E5140" w:rsidRDefault="006E5140" w:rsidP="006E5140">
      <w:pPr>
        <w:pStyle w:val="LTAntwortRessortText"/>
      </w:pPr>
      <w:r>
        <w:t xml:space="preserve">Die Fördermittel des Sonderfonds </w:t>
      </w:r>
      <w:r w:rsidR="005C0F48">
        <w:t>„</w:t>
      </w:r>
      <w:r>
        <w:t>Innenstädte beleben</w:t>
      </w:r>
      <w:r w:rsidR="005C0F48">
        <w:t>“</w:t>
      </w:r>
      <w:r>
        <w:t xml:space="preserve"> wurden im Rahmen des Bayerischen Städtebauförderungsprogramms zur Verfügung gestellt. Es ist nicht geplant, den Sonderfonds </w:t>
      </w:r>
      <w:r w:rsidR="005C0F48">
        <w:t>„</w:t>
      </w:r>
      <w:r>
        <w:t>Innenstädte beleben</w:t>
      </w:r>
      <w:r w:rsidR="005C0F48">
        <w:t>“</w:t>
      </w:r>
      <w:r>
        <w:t xml:space="preserve"> gesondert zu evaluieren, sondern vielmehr perspektivisch das gesamte Bayerische Städtebauförderungsprogramm</w:t>
      </w:r>
      <w:r w:rsidR="00E14AA5">
        <w:t>.</w:t>
      </w:r>
    </w:p>
    <w:p w:rsidR="006E5140" w:rsidRDefault="006E5140">
      <w:bookmarkStart w:id="50" w:name="Frage_Nr_24_Ende"/>
      <w:bookmarkEnd w:id="5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w:t>
            </w:r>
            <w:r>
              <w:rPr>
                <w:b/>
              </w:rPr>
              <w:br/>
              <w:t>Rosi</w:t>
            </w:r>
            <w:r>
              <w:rPr>
                <w:b/>
              </w:rPr>
              <w:br/>
              <w:t>Steinberger</w:t>
            </w:r>
            <w:r>
              <w:rPr>
                <w:b/>
              </w:rPr>
              <w:br/>
            </w:r>
            <w:r>
              <w:t>(BÜNDNIS 90/DIE GRÜNEN)</w:t>
            </w:r>
            <w:bookmarkStart w:id="51" w:name="Frage_Nr_25"/>
            <w:bookmarkEnd w:id="51"/>
          </w:p>
        </w:tc>
        <w:tc>
          <w:tcPr>
            <w:tcW w:w="5733" w:type="dxa"/>
          </w:tcPr>
          <w:p w:rsidR="007B6A4B" w:rsidRPr="0042448D" w:rsidRDefault="007B6A4B" w:rsidP="0042448D">
            <w:pPr>
              <w:pStyle w:val="LTAnfrageText"/>
            </w:pPr>
            <w:r w:rsidRPr="0042448D">
              <w:t xml:space="preserve">Bezugnehmend auf die Anlage 2 zur Antwort zur Schriftlichen Anfrage „Mögliche Standorte für ein neues ICE-Werk in Bayern“ vom 08.09.2021 (Drs. 18/18137, Frage 4.2.), frage ich die Staatsregierung, über welche weiteren Informationen zu den jeweiligen von der Immobilien Freistaat Bayern (IMBY) verwalteten Grundstücken sie verfügt (wie z. B. genaue Adresse, künftige Art der Nutzung, Kaufpreis und Käufer)? </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Im Rahmen der Vertragsverhandlungen zu Imm</w:t>
      </w:r>
      <w:r w:rsidR="00E14AA5">
        <w:t>obiliengeschäften sagt die</w:t>
      </w:r>
      <w:r w:rsidR="00CF26CD">
        <w:t xml:space="preserve"> IMBY </w:t>
      </w:r>
      <w:r>
        <w:t>allen Verhandlungspartnern stets Vertraulichkeit zu und verweist zudem darauf, dass die vorla</w:t>
      </w:r>
      <w:r w:rsidR="00E14AA5">
        <w:t>gepflichtigen Verhandlungsergeb</w:t>
      </w:r>
      <w:r>
        <w:t>nisse zur Wahrung der Vertraulichkeit im zuständigen Ausschuss fü</w:t>
      </w:r>
      <w:r w:rsidR="00E14AA5">
        <w:t>r Staatshaus</w:t>
      </w:r>
      <w:r>
        <w:t>halt und Finanzfragen als Gr</w:t>
      </w:r>
      <w:r w:rsidR="003A2F67">
        <w:t>undstücksangelegenheit in nicht</w:t>
      </w:r>
      <w:r>
        <w:t>öffentlicher Sitzung behandelt werden. Durch diese strikte Vorgehensweise kann der Schutz der in den Verträgen enthaltenen vertraulichen und p</w:t>
      </w:r>
      <w:r w:rsidR="00E14AA5">
        <w:t>ersonenbezogenen Daten, wie bei</w:t>
      </w:r>
      <w:r>
        <w:t>spielsweise die Höhe des Kaufpreises oder de</w:t>
      </w:r>
      <w:r w:rsidR="00E14AA5">
        <w:t>r Name des Vertragspartners, ge</w:t>
      </w:r>
      <w:r>
        <w:t xml:space="preserve">währleistet werden. Auf die Vertraulichkeit ist nach Inkrafttreten der </w:t>
      </w:r>
      <w:r w:rsidR="009856F6">
        <w:t>Datenschutz-Grundverordnung (</w:t>
      </w:r>
      <w:r>
        <w:t>DSGVO</w:t>
      </w:r>
      <w:r w:rsidR="009856F6">
        <w:t>)</w:t>
      </w:r>
      <w:r>
        <w:t xml:space="preserve"> verstärkt zu achten. In einer Vielzahl von Vert</w:t>
      </w:r>
      <w:r w:rsidR="00E14AA5">
        <w:t>rägen werden explizit Verschwie</w:t>
      </w:r>
      <w:r>
        <w:t>genheitsklauseln vereinbart.</w:t>
      </w:r>
    </w:p>
    <w:p w:rsidR="006E5140" w:rsidRDefault="006E5140" w:rsidP="006E5140">
      <w:pPr>
        <w:pStyle w:val="LTAntwortRessortText"/>
      </w:pPr>
      <w:r>
        <w:t>Die vereinbarte Vertraulichkeit und die Behandlung</w:t>
      </w:r>
      <w:r w:rsidR="003A2F67">
        <w:t xml:space="preserve"> der Vorgänge in nicht</w:t>
      </w:r>
      <w:r w:rsidR="009856F6">
        <w:t>öffentlic</w:t>
      </w:r>
      <w:r>
        <w:t>her Sitzung würden konterkariert werden, wenn zu einem Vorgang in einer nachfolgenden Anfrage Auskunft über s</w:t>
      </w:r>
      <w:r w:rsidR="00D20DB5">
        <w:t>chutzwürdige Daten des Vertrags</w:t>
      </w:r>
      <w:r>
        <w:t>partners erteilt würde. Abgeordneten steht allerdings jederzeit die Möglichkeit offen, die Unterlagen über das Büro des Haushaltsausschusses einzusehen.</w:t>
      </w:r>
    </w:p>
    <w:p w:rsidR="006E5140" w:rsidRDefault="006E5140" w:rsidP="006E5140">
      <w:pPr>
        <w:pStyle w:val="LTAntwortRessortText"/>
      </w:pPr>
      <w:r>
        <w:t>Die nachgefragten Details zu den seitens der</w:t>
      </w:r>
      <w:r w:rsidR="009856F6">
        <w:t xml:space="preserve"> IMBY genannten Grundstücke</w:t>
      </w:r>
      <w:r w:rsidR="003A2F67">
        <w:t xml:space="preserve">n </w:t>
      </w:r>
      <w:r w:rsidR="009856F6">
        <w:t>(An</w:t>
      </w:r>
      <w:r>
        <w:t xml:space="preserve">lage 2 zur Antwort zur Schriftlichen Anfrage </w:t>
      </w:r>
      <w:r w:rsidR="005C0F48">
        <w:t>„</w:t>
      </w:r>
      <w:r w:rsidR="003A2F67">
        <w:t>M</w:t>
      </w:r>
      <w:r>
        <w:t>ögliche Standorte für ein neues ICE-Werk in Bayern</w:t>
      </w:r>
      <w:r w:rsidR="003A2F67">
        <w:t>“</w:t>
      </w:r>
      <w:r>
        <w:t>) werden überdies nicht umfänglich statistisch erfasst. Eine Beantwortung der Frage wäre daher überdies, u</w:t>
      </w:r>
      <w:r w:rsidR="009856F6">
        <w:t>ngeachtet der vorstehend genann</w:t>
      </w:r>
      <w:r>
        <w:t>ten Gesichtspunkte, innerhalb der zur Verfügung stehenden Zeit nicht oder nur mit unverhältnismäßigem Aufwand möglich</w:t>
      </w:r>
    </w:p>
    <w:p w:rsidR="006E5140" w:rsidRDefault="006E5140">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Abgeordneter</w:t>
            </w:r>
            <w:r>
              <w:rPr>
                <w:b/>
              </w:rPr>
              <w:br/>
              <w:t>Martin</w:t>
            </w:r>
            <w:r>
              <w:rPr>
                <w:b/>
              </w:rPr>
              <w:br/>
              <w:t>Stümpfig</w:t>
            </w:r>
            <w:r>
              <w:rPr>
                <w:b/>
              </w:rPr>
              <w:br/>
            </w:r>
            <w:r>
              <w:t>(BÜNDNIS 90/DIE GRÜNEN)</w:t>
            </w:r>
            <w:bookmarkStart w:id="53" w:name="Frage_Nr_26"/>
            <w:bookmarkEnd w:id="53"/>
          </w:p>
        </w:tc>
        <w:tc>
          <w:tcPr>
            <w:tcW w:w="5733" w:type="dxa"/>
          </w:tcPr>
          <w:p w:rsidR="007B6A4B" w:rsidRPr="0042448D" w:rsidRDefault="007B6A4B" w:rsidP="003A2F67">
            <w:pPr>
              <w:pStyle w:val="LTAnfrageText"/>
            </w:pPr>
            <w:r w:rsidRPr="0042448D">
              <w:t>Bezugnehmend auf die Antwort zur S</w:t>
            </w:r>
            <w:r w:rsidR="003A2F67">
              <w:t>chriftlichen Anfrage</w:t>
            </w:r>
            <w:r w:rsidRPr="0042448D">
              <w:t xml:space="preserve"> „Mögliche Standorte für ein neues ICE-Werk </w:t>
            </w:r>
            <w:r w:rsidR="00CF26CD">
              <w:t>in Bayern“ vom 08.09.2021 (Drs. </w:t>
            </w:r>
            <w:r w:rsidRPr="0042448D">
              <w:t xml:space="preserve">18/18137, Frage 3) frage ich die Staatsregierung, wieso die DB keine detaillierte Auflistung ihrer ca. 33 000 Flurstücke geben kann oder zumindest derer, die eine Fläche von über </w:t>
            </w:r>
            <w:r w:rsidR="003A2F67">
              <w:t>fünf</w:t>
            </w:r>
            <w:r w:rsidRPr="0042448D">
              <w:t xml:space="preserve"> ha aufweisen</w:t>
            </w:r>
            <w:r w:rsidR="003A2F67">
              <w:t>,</w:t>
            </w:r>
            <w:r w:rsidRPr="0042448D">
              <w:t xml:space="preserve"> und wieso die Staatsregierung selbst keine Übersicht über diese Fläche hat bzw. verlangt hat?</w:t>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Die Suche nach einem Standort für ihr ICE-Werk ist eine unternehmensinterne Aufgabe der bundeseigenen DB AG. Die Staatsregierung ist in diesem Prozess lediglich mittels des Raumordnungsverfahrens involviert, das bis dato noch nicht beantragt worden ist.</w:t>
      </w:r>
    </w:p>
    <w:p w:rsidR="006E5140" w:rsidRDefault="006E5140" w:rsidP="006E5140">
      <w:pPr>
        <w:pStyle w:val="LTAntwortRessortText"/>
      </w:pPr>
      <w:r>
        <w:t>Es besteht keine Grundlage, aufgrund derer die Staatsregierung von der DB eine Auflistung ihrer Flurstücke verlangen hätte sollen. Die DB hat zudem mitgeteilt, dass eine Auflistung nach den in der Schriftlichen Anfrage genannten Kriterien nicht existiert.</w:t>
      </w:r>
    </w:p>
    <w:p w:rsidR="006E5140" w:rsidRDefault="006E5140">
      <w:bookmarkStart w:id="54" w:name="Frage_Nr_26_Ende"/>
      <w:bookmarkEnd w:id="5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B6A4B" w:rsidTr="007B6A4B">
        <w:tc>
          <w:tcPr>
            <w:tcW w:w="1854" w:type="dxa"/>
          </w:tcPr>
          <w:p w:rsidR="007B6A4B" w:rsidRDefault="007B6A4B" w:rsidP="007B6A4B">
            <w:pPr>
              <w:pStyle w:val="LTAnfrageInitiator"/>
            </w:pPr>
            <w:r>
              <w:t>Abgeordnete</w:t>
            </w:r>
            <w:r>
              <w:rPr>
                <w:b/>
              </w:rPr>
              <w:br/>
              <w:t>Ruth</w:t>
            </w:r>
            <w:r>
              <w:rPr>
                <w:b/>
              </w:rPr>
              <w:br/>
              <w:t>Waldmann</w:t>
            </w:r>
            <w:r>
              <w:rPr>
                <w:b/>
              </w:rPr>
              <w:br/>
            </w:r>
            <w:r>
              <w:t>(SPD)</w:t>
            </w:r>
            <w:bookmarkStart w:id="55" w:name="Frage_Nr_27"/>
            <w:bookmarkEnd w:id="55"/>
          </w:p>
        </w:tc>
        <w:tc>
          <w:tcPr>
            <w:tcW w:w="5762" w:type="dxa"/>
          </w:tcPr>
          <w:p w:rsidR="007B6A4B" w:rsidRPr="0042448D" w:rsidRDefault="007B6A4B" w:rsidP="003A2F67">
            <w:pPr>
              <w:pStyle w:val="LTAnfrageText"/>
            </w:pPr>
            <w:r w:rsidRPr="0042448D">
              <w:t>Ich frage die Staatsregierung,</w:t>
            </w:r>
            <w:r w:rsidR="003A2F67">
              <w:t xml:space="preserve"> ob sie</w:t>
            </w:r>
            <w:r w:rsidRPr="0042448D">
              <w:t xml:space="preserve"> plant die Bayerische Schifffahrtsordnung in Bezug auf die Zulassung von Booten mit Elektromotor abzuändern und z. B. deren Zahl zu beschränken und </w:t>
            </w:r>
            <w:r w:rsidR="003A2F67">
              <w:t xml:space="preserve">ob </w:t>
            </w:r>
            <w:r w:rsidRPr="0042448D">
              <w:t>ihr derartige Planungen auf Bundesebene bekannt</w:t>
            </w:r>
            <w:r w:rsidR="003A2F67">
              <w:t xml:space="preserve"> sind</w:t>
            </w:r>
            <w:r w:rsidRPr="0042448D">
              <w:t>?</w:t>
            </w:r>
          </w:p>
        </w:tc>
        <w:tc>
          <w:tcPr>
            <w:tcW w:w="5762"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 xml:space="preserve">Mit Beschluss des Landtags vom 13.10.2020 (Drs. 18/10511) ist die Staatsregierung aufgefordert worden, </w:t>
      </w:r>
      <w:r w:rsidR="005C0F48">
        <w:t>„</w:t>
      </w:r>
      <w:r>
        <w:t>zu identif</w:t>
      </w:r>
      <w:r w:rsidR="009856F6">
        <w:t>izieren, welche rechtlichen Rah</w:t>
      </w:r>
      <w:r>
        <w:t xml:space="preserve">menbedingungen und Möglichkeiten es gibt, </w:t>
      </w:r>
      <w:r w:rsidR="009856F6">
        <w:t>um entsprechende Lenkungskonzep</w:t>
      </w:r>
      <w:r>
        <w:t>te insbesondere für die großen staatlichen Gew</w:t>
      </w:r>
      <w:r w:rsidR="009856F6">
        <w:t>ässer zu erarbeiten und umzuset</w:t>
      </w:r>
      <w:r>
        <w:t>zen...</w:t>
      </w:r>
      <w:r w:rsidR="005C0F48">
        <w:t>“</w:t>
      </w:r>
      <w:r>
        <w:t>. Diesem Auftrag ist die Staatsregierung mit ihrem Abschlussbericht an den Landtag vom 03.09.2021 nachgekommen. Darin wird die derzeit geltende Rechtslage ausführlich dargelegt, Möglichkei</w:t>
      </w:r>
      <w:r w:rsidR="009856F6">
        <w:t>ten für die Erarbeitung von Nut</w:t>
      </w:r>
      <w:r>
        <w:t>zungs- bzw. Lenkungskonzepten werden unters</w:t>
      </w:r>
      <w:r w:rsidR="009856F6">
        <w:t>ucht. Im Ergebnis wird befürwor</w:t>
      </w:r>
      <w:r>
        <w:t>tet, dass durch die Kreisverwaltungsbehörden v</w:t>
      </w:r>
      <w:r w:rsidR="009856F6">
        <w:t>on diesen Möglichkeiten zur Reg</w:t>
      </w:r>
      <w:r>
        <w:t>lementierung Gebrauch gemacht werden sollte, um die regionalen Besonderheiten besser berücksichtigen zu können.</w:t>
      </w:r>
    </w:p>
    <w:p w:rsidR="006E5140" w:rsidRDefault="006E5140" w:rsidP="006E5140">
      <w:pPr>
        <w:pStyle w:val="LTAntwortRessortText"/>
      </w:pPr>
      <w:r>
        <w:t>Entsprechende Maßnahmen auf Bundesebene sind der Staatsregierung ni</w:t>
      </w:r>
      <w:r w:rsidR="009856F6">
        <w:t>cht be</w:t>
      </w:r>
      <w:r>
        <w:t>kannt.</w:t>
      </w:r>
    </w:p>
    <w:p w:rsidR="006E5140" w:rsidRDefault="006E5140">
      <w:bookmarkStart w:id="56" w:name="Frage_Nr_27_Ende"/>
      <w:bookmarkEnd w:id="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6A4B" w:rsidTr="007B6A4B">
        <w:tc>
          <w:tcPr>
            <w:tcW w:w="1883" w:type="dxa"/>
          </w:tcPr>
          <w:p w:rsidR="007B6A4B" w:rsidRDefault="007B6A4B" w:rsidP="007B6A4B">
            <w:pPr>
              <w:pStyle w:val="LTAnfrageInitiator"/>
            </w:pPr>
            <w:r>
              <w:t>Abgeordnete</w:t>
            </w:r>
            <w:r>
              <w:rPr>
                <w:b/>
              </w:rPr>
              <w:br/>
              <w:t>Dr. Sabine</w:t>
            </w:r>
            <w:r>
              <w:rPr>
                <w:b/>
              </w:rPr>
              <w:br/>
              <w:t>Weigand</w:t>
            </w:r>
            <w:r>
              <w:rPr>
                <w:b/>
              </w:rPr>
              <w:br/>
            </w:r>
            <w:r>
              <w:t>(BÜNDNIS 90/DIE GRÜNEN)</w:t>
            </w:r>
            <w:bookmarkStart w:id="57" w:name="Frage_Nr_28"/>
            <w:bookmarkEnd w:id="57"/>
          </w:p>
        </w:tc>
        <w:tc>
          <w:tcPr>
            <w:tcW w:w="5733" w:type="dxa"/>
          </w:tcPr>
          <w:p w:rsidR="007B6A4B" w:rsidRPr="0042448D" w:rsidRDefault="007B6A4B" w:rsidP="003A2F67">
            <w:pPr>
              <w:pStyle w:val="LTAnfrageText"/>
            </w:pPr>
            <w:r w:rsidRPr="0042448D">
              <w:t>Ich frage die Staatsregierung, was die in Auftrag gegebenen Gutachten zur Kartierung der Munitionsrückstände auf dem Gelände der ehemaligen Munitionsanstalt (MUNA) ergeben haben bzw. wie hoch die Kosten für deren Entfernung geschätzt werden und wer bei einem möglichen Ankauf eines Teils der Fläche für das ICE-Werk</w:t>
            </w:r>
            <w:r w:rsidR="003A2F67">
              <w:t xml:space="preserve"> die Kosten für die Kampfmittelr</w:t>
            </w:r>
            <w:r w:rsidRPr="0042448D">
              <w:t>äumung der restlichen Fläche tragen soll?</w:t>
            </w:r>
            <w:r w:rsidRPr="003A2F67">
              <w:rPr>
                <w:vertAlign w:val="superscript"/>
              </w:rPr>
              <w:footnoteReference w:id="3"/>
            </w:r>
          </w:p>
        </w:tc>
        <w:tc>
          <w:tcPr>
            <w:tcW w:w="5733" w:type="dxa"/>
          </w:tcPr>
          <w:p w:rsidR="007B6A4B" w:rsidRDefault="007B6A4B" w:rsidP="007B6A4B">
            <w:pPr>
              <w:pStyle w:val="LTAnfrageText"/>
            </w:pPr>
          </w:p>
        </w:tc>
      </w:tr>
    </w:tbl>
    <w:p w:rsidR="006E5140" w:rsidRDefault="006E5140" w:rsidP="006E5140">
      <w:pPr>
        <w:pStyle w:val="LTUeberschrAntwortRessort"/>
      </w:pPr>
      <w:r>
        <w:t>Antwort des Staatsministeriums für Wohnen, Bau und Verkehr</w:t>
      </w:r>
    </w:p>
    <w:p w:rsidR="006E5140" w:rsidRDefault="006E5140" w:rsidP="006E5140">
      <w:pPr>
        <w:pStyle w:val="LTAntwortRessortText"/>
      </w:pPr>
      <w:r>
        <w:t>Der Staatsregierung liegen keine Kenntnisse über das angesprochene Gutachten zu Munitionsrückständen vor. Sowohl das MU</w:t>
      </w:r>
      <w:r w:rsidR="009856F6">
        <w:t xml:space="preserve">NA-Grundstück als auch die </w:t>
      </w:r>
      <w:r w:rsidR="003A2F67">
        <w:t>DB </w:t>
      </w:r>
      <w:r>
        <w:t>AG befinden sich in Bundeseigentum.</w:t>
      </w:r>
    </w:p>
    <w:p w:rsidR="006E5140" w:rsidRDefault="006E5140">
      <w:bookmarkStart w:id="58" w:name="Frage_Nr_28_Ende"/>
      <w:bookmarkEnd w:id="58"/>
      <w:r>
        <w:br w:type="page"/>
      </w:r>
    </w:p>
    <w:p w:rsidR="006E5140" w:rsidRDefault="006E5140" w:rsidP="006E5140">
      <w:pPr>
        <w:pStyle w:val="LTUeberschrRessort"/>
      </w:pPr>
      <w:r>
        <w:t>Geschäftsbereich des Staatsministeriums der Justiz</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3176BB" w:rsidTr="003176BB">
        <w:tc>
          <w:tcPr>
            <w:tcW w:w="1873" w:type="dxa"/>
          </w:tcPr>
          <w:p w:rsidR="003176BB" w:rsidRDefault="003176BB" w:rsidP="003176BB">
            <w:pPr>
              <w:pStyle w:val="LTAnfrageInitiator"/>
            </w:pPr>
            <w:r>
              <w:t>Abgeordneter</w:t>
            </w:r>
            <w:r>
              <w:rPr>
                <w:b/>
              </w:rPr>
              <w:br/>
              <w:t>Horst</w:t>
            </w:r>
            <w:r>
              <w:rPr>
                <w:b/>
              </w:rPr>
              <w:br/>
              <w:t>Arnold</w:t>
            </w:r>
            <w:r>
              <w:rPr>
                <w:b/>
              </w:rPr>
              <w:br/>
            </w:r>
            <w:r>
              <w:t>(SPD)</w:t>
            </w:r>
            <w:bookmarkStart w:id="59" w:name="Frage_Nr_29"/>
            <w:bookmarkEnd w:id="59"/>
          </w:p>
        </w:tc>
        <w:tc>
          <w:tcPr>
            <w:tcW w:w="5743" w:type="dxa"/>
          </w:tcPr>
          <w:p w:rsidR="003176BB" w:rsidRPr="0042448D" w:rsidRDefault="003176BB" w:rsidP="003A2F67">
            <w:pPr>
              <w:pStyle w:val="LTAnfrageText"/>
            </w:pPr>
            <w:r w:rsidRPr="0042448D">
              <w:t>Zu den Ermittlungsverfahren im NSU-Komplex mit Tatorten in Bayern frage ich die Staatsregierung, wegen welcher Taten und gegen welche Personen derzeit strafrechtliche</w:t>
            </w:r>
            <w:r w:rsidR="00CF26CD">
              <w:t xml:space="preserve"> </w:t>
            </w:r>
            <w:r w:rsidRPr="0042448D">
              <w:t xml:space="preserve">Ermittlungen geführt </w:t>
            </w:r>
            <w:r w:rsidR="003A2F67">
              <w:t xml:space="preserve">werden </w:t>
            </w:r>
            <w:r w:rsidRPr="0042448D">
              <w:t>(bitte Strafverfolgungsbehörde und Zeitpunkt nennen) bzw. mit welchen Abschlussverfügungen wurden laufende Ermittlungen beendet?</w:t>
            </w:r>
          </w:p>
        </w:tc>
        <w:tc>
          <w:tcPr>
            <w:tcW w:w="5743" w:type="dxa"/>
          </w:tcPr>
          <w:p w:rsidR="003176BB" w:rsidRDefault="003176BB" w:rsidP="003176BB">
            <w:pPr>
              <w:pStyle w:val="LTAnfrageText"/>
            </w:pPr>
          </w:p>
        </w:tc>
      </w:tr>
    </w:tbl>
    <w:p w:rsidR="006E5140" w:rsidRDefault="006E5140" w:rsidP="006E5140">
      <w:pPr>
        <w:pStyle w:val="LTUeberschrAntwortRessort"/>
      </w:pPr>
      <w:r>
        <w:t>Antwort des Staatsministeriums der Justiz</w:t>
      </w:r>
    </w:p>
    <w:p w:rsidR="006E5140" w:rsidRDefault="006E5140" w:rsidP="006E5140">
      <w:pPr>
        <w:pStyle w:val="LTAntwortRessortText"/>
      </w:pPr>
      <w:r>
        <w:t>Bei bayerischen Staatsanwaltschaften werden derzeit kei</w:t>
      </w:r>
      <w:r w:rsidR="003A2F67">
        <w:t xml:space="preserve">ne Ermittlungsverfahren im sog. </w:t>
      </w:r>
      <w:r>
        <w:t>Komplex NSU geführt.</w:t>
      </w:r>
    </w:p>
    <w:p w:rsidR="006E5140" w:rsidRDefault="006E5140" w:rsidP="006E5140">
      <w:pPr>
        <w:pStyle w:val="LTAntwortRessortText"/>
      </w:pPr>
      <w:r>
        <w:t xml:space="preserve">Soweit ein von der </w:t>
      </w:r>
      <w:r w:rsidR="003A2F67">
        <w:t>Anfrage zum Plenum</w:t>
      </w:r>
      <w:r>
        <w:t xml:space="preserve"> betroff</w:t>
      </w:r>
      <w:r w:rsidR="009856F6">
        <w:t>ener Sachverhaltskomplex Gegen</w:t>
      </w:r>
      <w:r>
        <w:t>stand der Ermittlungen des Generalbundesanwalt</w:t>
      </w:r>
      <w:r w:rsidR="009856F6">
        <w:t>s sein sollte, kommt eine Beant</w:t>
      </w:r>
      <w:r>
        <w:t>wortung durch die Staatsregierung aufgrund d</w:t>
      </w:r>
      <w:r w:rsidR="009856F6">
        <w:t>er verfassungsrechtlichen Kompe</w:t>
      </w:r>
      <w:r>
        <w:t>tenzverteilung zwischen Bund und Ländern nich</w:t>
      </w:r>
      <w:r w:rsidR="009856F6">
        <w:t>t in Betracht. Der parlamentari</w:t>
      </w:r>
      <w:r>
        <w:t>sche In</w:t>
      </w:r>
      <w:r w:rsidR="00476F93">
        <w:t xml:space="preserve">formationsanspruch des </w:t>
      </w:r>
      <w:r>
        <w:t>Landt</w:t>
      </w:r>
      <w:r w:rsidR="00476F93">
        <w:t>ags erstreckt sich nur auf Ange</w:t>
      </w:r>
      <w:r>
        <w:t>legenheiten, die in di</w:t>
      </w:r>
      <w:r w:rsidR="00476F93">
        <w:t xml:space="preserve">e Zuständigkeit der </w:t>
      </w:r>
      <w:r>
        <w:t xml:space="preserve">Staatsregierung fallen. Der Generalbundesanwalt ist eine Bundesbehörde, die der Aufsicht und Leitung der Bundesministerin der Justiz und für Verbraucherschutz unterliegt (§ 147 Nr. 1 </w:t>
      </w:r>
      <w:r w:rsidR="00CF26CD">
        <w:t>Gerichtsverfassungsgesetz –</w:t>
      </w:r>
      <w:r w:rsidR="00523170">
        <w:t xml:space="preserve"> </w:t>
      </w:r>
      <w:r>
        <w:t>GVG). Im Rahmen der dem Gene</w:t>
      </w:r>
      <w:r w:rsidR="00476F93">
        <w:t>ralbundesanwalt gesetzlich zuge</w:t>
      </w:r>
      <w:r>
        <w:t>wiesenen Strafverfolgungszuständigkeit (vgl. § 142a GVG i.</w:t>
      </w:r>
      <w:r w:rsidR="00476F93">
        <w:t> </w:t>
      </w:r>
      <w:r>
        <w:t>V.</w:t>
      </w:r>
      <w:r w:rsidR="00476F93">
        <w:t> </w:t>
      </w:r>
      <w:r>
        <w:t>m. § 120 GVG) wird dieser als Justizbehörde des Bundes tätig (vgl. § 120 Abs. 6 GVG).</w:t>
      </w:r>
    </w:p>
    <w:p w:rsidR="006E5140" w:rsidRDefault="006E5140">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F28CC" w:rsidTr="006F28CC">
        <w:tc>
          <w:tcPr>
            <w:tcW w:w="1883" w:type="dxa"/>
          </w:tcPr>
          <w:p w:rsidR="006F28CC" w:rsidRDefault="006F28CC" w:rsidP="006F28CC">
            <w:pPr>
              <w:pStyle w:val="LTAnfrageInitiator"/>
            </w:pPr>
            <w:r>
              <w:t>Abgeordneter</w:t>
            </w:r>
            <w:r>
              <w:rPr>
                <w:b/>
              </w:rPr>
              <w:br/>
              <w:t>Toni</w:t>
            </w:r>
            <w:r>
              <w:rPr>
                <w:b/>
              </w:rPr>
              <w:br/>
              <w:t>Schuberl</w:t>
            </w:r>
            <w:r>
              <w:rPr>
                <w:b/>
              </w:rPr>
              <w:br/>
            </w:r>
            <w:r>
              <w:t>(BÜNDNIS 90/DIE GRÜNEN)</w:t>
            </w:r>
            <w:bookmarkStart w:id="61" w:name="Frage_Nr_30"/>
            <w:bookmarkEnd w:id="61"/>
          </w:p>
        </w:tc>
        <w:tc>
          <w:tcPr>
            <w:tcW w:w="5733" w:type="dxa"/>
          </w:tcPr>
          <w:p w:rsidR="006F28CC" w:rsidRPr="0042448D" w:rsidRDefault="006F28CC" w:rsidP="003A2F67">
            <w:pPr>
              <w:pStyle w:val="LTAnfrageText"/>
            </w:pPr>
            <w:r w:rsidRPr="0042448D">
              <w:t xml:space="preserve">Ich frage die Staatsregierung, welche Konzepte es im bayerischen Justizvollzug für alleinerziehende Gefangene </w:t>
            </w:r>
            <w:r w:rsidR="003A2F67">
              <w:t xml:space="preserve">gibt </w:t>
            </w:r>
            <w:r w:rsidRPr="0042448D">
              <w:t>(bitte unter Angabe von Detail</w:t>
            </w:r>
            <w:r w:rsidR="003A2F67">
              <w:t>s zu Unterschieden im Umgang mit</w:t>
            </w:r>
            <w:r w:rsidRPr="0042448D">
              <w:t xml:space="preserve"> männlichen und weiblichen Gefangenen, offenem und geschlossenen Vollzug sowie Art und Dauer der Unterbringung), inwiefern den Betroffenen häufiger offene oder alternative Formen des Justizvollzugs ermöglicht</w:t>
            </w:r>
            <w:r w:rsidR="003A2F67">
              <w:t xml:space="preserve"> werden</w:t>
            </w:r>
            <w:r w:rsidRPr="0042448D">
              <w:t xml:space="preserve"> und in wie vielen Fällen in Bayern Kinder im Justizvollzug untergebracht</w:t>
            </w:r>
            <w:r w:rsidR="003A2F67">
              <w:t xml:space="preserve"> werden</w:t>
            </w:r>
            <w:r w:rsidRPr="0042448D">
              <w:t>?</w:t>
            </w:r>
          </w:p>
        </w:tc>
        <w:tc>
          <w:tcPr>
            <w:tcW w:w="5733" w:type="dxa"/>
          </w:tcPr>
          <w:p w:rsidR="006F28CC" w:rsidRDefault="006F28CC" w:rsidP="006F28CC">
            <w:pPr>
              <w:pStyle w:val="LTAnfrageText"/>
            </w:pPr>
          </w:p>
        </w:tc>
      </w:tr>
    </w:tbl>
    <w:p w:rsidR="006E5140" w:rsidRDefault="006E5140" w:rsidP="006E5140">
      <w:pPr>
        <w:pStyle w:val="LTUeberschrAntwortRessort"/>
      </w:pPr>
      <w:r>
        <w:t>Antwort des Staatsministeriums der Justiz</w:t>
      </w:r>
      <w:r w:rsidR="00AE2EA3">
        <w:t xml:space="preserve"> im Einvernehmen mit dem Staatsministerium für Familie, Arbeit und Soziales</w:t>
      </w:r>
    </w:p>
    <w:p w:rsidR="006E5140" w:rsidRDefault="006E5140" w:rsidP="006E5140">
      <w:pPr>
        <w:pStyle w:val="LTAntwortRessortText"/>
      </w:pPr>
      <w:r>
        <w:t>In den Justizvollzugsanstalten werden alle ne</w:t>
      </w:r>
      <w:r w:rsidR="00523170">
        <w:t>u zugegangenen Gefangenen im Zu</w:t>
      </w:r>
      <w:r>
        <w:t>gangsgespräch bei Haftbeginn befragt, ob sie Kinder haben, für die eine Fürsorge- oder Unterhaltspflicht besteht. Falls in Bezug auf</w:t>
      </w:r>
      <w:r w:rsidR="00523170">
        <w:t xml:space="preserve"> die Kinder einer oder eines Ge</w:t>
      </w:r>
      <w:r>
        <w:t xml:space="preserve">fangenen nach der Inhaftierung noch Regelungs- oder Handlungsbedarf besteht, erhalten alle Gefangenen Unterstützung durch </w:t>
      </w:r>
      <w:r w:rsidR="00523170">
        <w:t>den Sozialdienst der Justizvoll</w:t>
      </w:r>
      <w:r>
        <w:t xml:space="preserve">zugsanstalt (Art. 77 Abs. 1 </w:t>
      </w:r>
      <w:r w:rsidR="00523170">
        <w:t>B</w:t>
      </w:r>
      <w:r w:rsidR="00CF26CD">
        <w:t>ayerisches Strafvollzugsgesetz –</w:t>
      </w:r>
      <w:r w:rsidR="00523170">
        <w:t xml:space="preserve"> </w:t>
      </w:r>
      <w:r>
        <w:t>BayStVollzG).</w:t>
      </w:r>
    </w:p>
    <w:p w:rsidR="006E5140" w:rsidRDefault="006E5140" w:rsidP="006E5140">
      <w:pPr>
        <w:pStyle w:val="LTAntwortRessortText"/>
      </w:pPr>
      <w:r>
        <w:t>Die Versorgung von im Falle der Inhaftierung un</w:t>
      </w:r>
      <w:r w:rsidR="00523170">
        <w:t>versorgten Kindern ist immer si</w:t>
      </w:r>
      <w:r>
        <w:t>chergestellt. Erfahrungsgemäß melden sich Alle</w:t>
      </w:r>
      <w:r w:rsidR="00523170">
        <w:t>inerziehende, die keine Möglich</w:t>
      </w:r>
      <w:r>
        <w:t xml:space="preserve">keit zur Versorgung ihrer Kinder während der Inhaftierung </w:t>
      </w:r>
      <w:r w:rsidR="00523170">
        <w:t>z. </w:t>
      </w:r>
      <w:r w:rsidR="005C0F48">
        <w:t>B.</w:t>
      </w:r>
      <w:r>
        <w:t xml:space="preserve"> bei Verwandten sehen, von sich aus bei der Vollstreckungsbehörde. In geeigneten Fällen kann dann die Unterbringung weiblicher Strafgefangener mit ihrem Kind in einer Mutter-Kind-Abteilung in die Wege geleitet werden. Falls</w:t>
      </w:r>
      <w:r w:rsidR="00523170">
        <w:t xml:space="preserve"> die Unterbringung in einer Mut</w:t>
      </w:r>
      <w:r>
        <w:t>ter-Kind-Abteilung nicht in Frage kommt, sorgt die Polizei für eine Übernahme der Versorgung von Kindern durch das zuständige Jug</w:t>
      </w:r>
      <w:r w:rsidR="00523170">
        <w:t>endamt, das für solche Fälle je</w:t>
      </w:r>
      <w:r>
        <w:t>derzeit erreichbar ist.</w:t>
      </w:r>
    </w:p>
    <w:p w:rsidR="006E5140" w:rsidRDefault="006E5140" w:rsidP="006E5140">
      <w:pPr>
        <w:pStyle w:val="LTAntwortRessortText"/>
      </w:pPr>
      <w:r>
        <w:t>Das Jugendamt übt das staatliche Wächteramt im eigenen Wirkungskreis aus und hat deshalb eigenverantwortlich und umfassend s</w:t>
      </w:r>
      <w:r w:rsidR="00523170">
        <w:t>tets das Kindswohl sicherzustel</w:t>
      </w:r>
      <w:r>
        <w:t xml:space="preserve">len. Daher ist das Jugendamt gemäß § 42 </w:t>
      </w:r>
      <w:r w:rsidR="00523170">
        <w:t>Sozialgesetzbuch Achtes Buch (</w:t>
      </w:r>
      <w:r>
        <w:t>SGB VIII</w:t>
      </w:r>
      <w:r w:rsidR="00523170">
        <w:t>)</w:t>
      </w:r>
      <w:r>
        <w:t xml:space="preserve"> berechtigt und verpflichtet, insbesondere dann ein Kind oder einen Jugendlichen in Obhut zu nehmen, wenn eine dringende Gefahr für das Wohl des Kindes o</w:t>
      </w:r>
      <w:r w:rsidR="00523170">
        <w:t>der des Jugendlichen dies erfor</w:t>
      </w:r>
      <w:r>
        <w:t>dert. Soweit eine alleinerziehende Person in</w:t>
      </w:r>
      <w:r w:rsidR="00523170">
        <w:t xml:space="preserve"> Haft genommen wird, hat das Ju</w:t>
      </w:r>
      <w:r>
        <w:t>gendamt dafür zu sorgen, dass eine entspre</w:t>
      </w:r>
      <w:r w:rsidR="00523170">
        <w:t>chende Unterbringung und Versor</w:t>
      </w:r>
      <w:r>
        <w:t>gung des Kindes sichergestellt werden. Das Jugendam</w:t>
      </w:r>
      <w:r w:rsidR="00523170">
        <w:t>t wird also in der Regel so</w:t>
      </w:r>
      <w:r>
        <w:t>fort im Hinblick auf die Sicherstellung des Kindeswohls tätig.</w:t>
      </w:r>
    </w:p>
    <w:p w:rsidR="006E5140" w:rsidRDefault="006E5140" w:rsidP="006E5140">
      <w:pPr>
        <w:pStyle w:val="LTAntwortRessortText"/>
      </w:pPr>
      <w:r>
        <w:t>Sofern ein Kind weder mit im Justizvollzug unte</w:t>
      </w:r>
      <w:r w:rsidR="00523170">
        <w:t>rgebracht wird noch bei Verwand</w:t>
      </w:r>
      <w:r>
        <w:t xml:space="preserve">ten unterkommt, kommen konkrete Jugendhilfeleistungen in Frage, </w:t>
      </w:r>
      <w:r w:rsidR="00523170">
        <w:t>z. </w:t>
      </w:r>
      <w:r w:rsidR="005C0F48">
        <w:t>B.</w:t>
      </w:r>
      <w:r w:rsidR="00523170">
        <w:t xml:space="preserve"> Unterbrin</w:t>
      </w:r>
      <w:r>
        <w:t>gung in einer geeigneten Jugendhilfeeinrichtung (§</w:t>
      </w:r>
      <w:r w:rsidR="00523170">
        <w:t xml:space="preserve"> 34 SGB VIII) oder bei Pflegeeltern (§ </w:t>
      </w:r>
      <w:r>
        <w:t>33 SGB VIII). Welche Art der Hilfe notwendig und geeignet ist, richtet sich nach dem Bedarf im Einzelfall. Nach unmittelbarer Sicherung des Kindeswohls wird dann im Rahmen des Hilfeplanverfahrens in Abstimmung mit dem jungen Menschen, dem oder den Personenberechtigten und gegebenenfalls weiteren Personen entschieden, welche Hilfestellung sinnvoll und erforderlich ist.</w:t>
      </w:r>
    </w:p>
    <w:p w:rsidR="006E5140" w:rsidRDefault="006E5140" w:rsidP="006E5140">
      <w:pPr>
        <w:pStyle w:val="LTAntwortRessortText"/>
      </w:pPr>
      <w:r>
        <w:t>Während der Haft werden für inhaftierte Eltern bei Bedarf</w:t>
      </w:r>
      <w:r w:rsidR="00523170">
        <w:t xml:space="preserve"> Sonderbesuche für de</w:t>
      </w:r>
      <w:r>
        <w:t>ren Kinder gewährt. Dafür werden Gefangene au</w:t>
      </w:r>
      <w:r w:rsidR="00523170">
        <w:t>ch grundsätzlich möglichst wohn</w:t>
      </w:r>
      <w:r>
        <w:t>ortnah untergebracht. Auch über Telefongespräc</w:t>
      </w:r>
      <w:r w:rsidR="00523170">
        <w:t>he und gegebenenfalls Videotele</w:t>
      </w:r>
      <w:r>
        <w:t>fonate sowie Briefe kann Kontakt gehalten werden. Viele Justizvollzugsanstalten bieten überdies Väter-, Mütter- oder Familiengruppen</w:t>
      </w:r>
      <w:r w:rsidR="00523170">
        <w:t xml:space="preserve"> an, die die Eltern in ihrer Er</w:t>
      </w:r>
      <w:r>
        <w:t>ziehungskompetenz stärken und den Kontakt zum Kind fördern sollen. In diesen Gruppen findet die besondere Situation Alleinerziehender Berücksichtigung. Bei der Zulassung zu diesen Gruppen wird in der Regel nicht nach Vollzugsform oder Dauer der Unterbringung unterschieden.</w:t>
      </w:r>
    </w:p>
    <w:p w:rsidR="006E5140" w:rsidRDefault="006E5140" w:rsidP="006E5140">
      <w:pPr>
        <w:pStyle w:val="LTAntwortRessortText"/>
      </w:pPr>
      <w:r>
        <w:t>Die Unterbringung einer oder eines Strafgefangene</w:t>
      </w:r>
      <w:r w:rsidR="00523170">
        <w:t xml:space="preserve">n im offenen Vollzug ist </w:t>
      </w:r>
      <w:r w:rsidR="003A2F67">
        <w:t>–</w:t>
      </w:r>
      <w:r w:rsidR="00523170">
        <w:t xml:space="preserve"> unab</w:t>
      </w:r>
      <w:r>
        <w:t xml:space="preserve">hängig von der familiären Situation </w:t>
      </w:r>
      <w:r w:rsidR="003A2F67">
        <w:t>–</w:t>
      </w:r>
      <w:r>
        <w:t xml:space="preserve"> möglich, wenn nicht die Befürchtung besteht, dass sich die Person dem Vollzug der Freiheitsstrafe entziehen (Flucht) oder die Möglichkeit des offenen Vollzugs zu Straftaten missbrauchen wird. Ist dies nicht der Fall, prüft die Justizvollzugsanstalt die Unterbringung im offenen Vollzug nach ihrem Ermessen. In diese Entscheidung wird auch die familiäre Situation der oder des Betroffenen einbezogen. Genauso wir</w:t>
      </w:r>
      <w:r w:rsidR="00523170">
        <w:t>d auch bei der Prüfung von Voll</w:t>
      </w:r>
      <w:r>
        <w:t>zugslockerungen (</w:t>
      </w:r>
      <w:r w:rsidR="00523170">
        <w:t>z. </w:t>
      </w:r>
      <w:r w:rsidR="005C0F48">
        <w:t>B.</w:t>
      </w:r>
      <w:r>
        <w:t xml:space="preserve"> Ausgang) und Urlaub aus der Haft verfahren. Statistische</w:t>
      </w:r>
      <w:r w:rsidR="00AE2EA3">
        <w:t xml:space="preserve"> </w:t>
      </w:r>
      <w:r>
        <w:t>Daten, inwiefern alleinerziehende Gefangene ihre Strafe öfter im offenen Vollzug verbüßen oder mehr Vollzugslockerungen erhalten als andere Gefangene, liegen nicht vor.</w:t>
      </w:r>
    </w:p>
    <w:p w:rsidR="006E5140" w:rsidRDefault="006E5140" w:rsidP="006E5140">
      <w:pPr>
        <w:pStyle w:val="LTAntwortRessortText"/>
      </w:pPr>
      <w:r>
        <w:t>In Bayern sind derzeit (Stand: 19. Oktober 2021) neun Kinder mit ihren Müttern in der Mutter-Kind-Abteilung der Justizvollzugsanstalt Aichach untergebracht</w:t>
      </w:r>
    </w:p>
    <w:p w:rsidR="006E5140" w:rsidRDefault="006E5140">
      <w:bookmarkStart w:id="62" w:name="Frage_Nr_30_Ende"/>
      <w:bookmarkEnd w:id="62"/>
      <w:r>
        <w:br w:type="page"/>
      </w:r>
    </w:p>
    <w:p w:rsidR="006E5140" w:rsidRDefault="006E5140" w:rsidP="006E5140">
      <w:pPr>
        <w:pStyle w:val="LTUeberschrRessort"/>
      </w:pPr>
      <w:r>
        <w:t>Geschäftsbereich des Staatsministeriums für Unterricht und Kultus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F28CC" w:rsidTr="006F28CC">
        <w:tc>
          <w:tcPr>
            <w:tcW w:w="1883" w:type="dxa"/>
          </w:tcPr>
          <w:p w:rsidR="006F28CC" w:rsidRDefault="006F28CC" w:rsidP="006F28CC">
            <w:pPr>
              <w:pStyle w:val="LTAnfrageInitiator"/>
            </w:pPr>
            <w:r>
              <w:t>Abgeordneter</w:t>
            </w:r>
            <w:r>
              <w:rPr>
                <w:b/>
              </w:rPr>
              <w:br/>
              <w:t>Maximilian</w:t>
            </w:r>
            <w:r>
              <w:rPr>
                <w:b/>
              </w:rPr>
              <w:br/>
              <w:t>Deisenhofer</w:t>
            </w:r>
            <w:r>
              <w:rPr>
                <w:b/>
              </w:rPr>
              <w:br/>
            </w:r>
            <w:r>
              <w:t>(BÜNDNIS 90/DIE GRÜNEN)</w:t>
            </w:r>
            <w:bookmarkStart w:id="63" w:name="Frage_Nr_31"/>
            <w:bookmarkEnd w:id="63"/>
          </w:p>
        </w:tc>
        <w:tc>
          <w:tcPr>
            <w:tcW w:w="5733" w:type="dxa"/>
          </w:tcPr>
          <w:p w:rsidR="006F28CC" w:rsidRPr="0042448D" w:rsidRDefault="006F28CC" w:rsidP="003A2F67">
            <w:pPr>
              <w:pStyle w:val="LTAnfrageText"/>
            </w:pPr>
            <w:r w:rsidRPr="0042448D">
              <w:t>Ich frage die Staatsregierung, wie viele Schulen in Bayern derzeit flächendeckendes WLAN haben, wie viele Schulen in Bayern derzeit eine Breitbandanbindung über 50 Mbit/s haben und wie viele Schulen in Bayern derzeit sowohl flächendeckendes WLAN als au</w:t>
            </w:r>
            <w:r w:rsidR="00145529">
              <w:t>ch eine Breitbandanbindung über </w:t>
            </w:r>
            <w:r w:rsidRPr="0042448D">
              <w:t xml:space="preserve">50 Mbit/s </w:t>
            </w:r>
            <w:r w:rsidR="003A2F67">
              <w:t xml:space="preserve">haben </w:t>
            </w:r>
            <w:r w:rsidRPr="0042448D">
              <w:t>(bitte bei allen drei Fragen nach Regierungsbezirken sowie Schularten aufschlüsseln und den Pr</w:t>
            </w:r>
            <w:r w:rsidR="003A2F67">
              <w:t>ozentsatz angeben; vgl. Frage 8 c)</w:t>
            </w:r>
            <w:r w:rsidRPr="0042448D">
              <w:t xml:space="preserve"> in Drs. 18/9654)?</w:t>
            </w:r>
          </w:p>
        </w:tc>
        <w:tc>
          <w:tcPr>
            <w:tcW w:w="5733" w:type="dxa"/>
          </w:tcPr>
          <w:p w:rsidR="006F28CC" w:rsidRDefault="006F28CC" w:rsidP="006F28CC">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In den Tabellen 1a und 1b werden die Anzahlen und Anteile der Schulen in Bayern</w:t>
      </w:r>
      <w:r w:rsidR="00A919B7">
        <w:t xml:space="preserve"> </w:t>
      </w:r>
      <w:r>
        <w:t>dargestellt, die gemäß Auswertung der regelmäßig von der Akademie für Lehrerfortbildung</w:t>
      </w:r>
      <w:r w:rsidR="00A919B7">
        <w:t xml:space="preserve"> </w:t>
      </w:r>
      <w:r>
        <w:t>und Personalführung (ALP) Dillingen durchgeführten IT-Umfrage zur IT-Ausstattung</w:t>
      </w:r>
      <w:r w:rsidR="00A919B7">
        <w:t xml:space="preserve"> </w:t>
      </w:r>
      <w:r>
        <w:t>bayerischer Schulen (Stand 02.08.2021) über flächendeckendes WLAN (in</w:t>
      </w:r>
      <w:r w:rsidR="00A919B7">
        <w:t xml:space="preserve"> </w:t>
      </w:r>
      <w:r>
        <w:t xml:space="preserve">mindestens 90 </w:t>
      </w:r>
      <w:r w:rsidR="005C0F48">
        <w:t>Prozent</w:t>
      </w:r>
      <w:r>
        <w:t xml:space="preserve"> der Unterrichtsräume) verfügen, aufgeschlüsselt nach Regierungsbezirk</w:t>
      </w:r>
      <w:r w:rsidR="00A919B7">
        <w:t xml:space="preserve"> </w:t>
      </w:r>
      <w:r>
        <w:t>sowie Schulart. Dabei werden folgende Abkürzungen verwendet: GMS =</w:t>
      </w:r>
      <w:r w:rsidR="00A919B7">
        <w:t xml:space="preserve"> </w:t>
      </w:r>
      <w:r>
        <w:t>Grund- und Mittelschule, RS = Realschule, GY = Gymnasium, FöS = Förderschule,</w:t>
      </w:r>
      <w:r w:rsidR="00A919B7">
        <w:t xml:space="preserve"> </w:t>
      </w:r>
      <w:r>
        <w:t>Sonst. = Sonstige Schule wie freie Waldorfschule, Abendgymnasium, Kolleg, BS =</w:t>
      </w:r>
      <w:r w:rsidR="00A919B7">
        <w:t xml:space="preserve"> </w:t>
      </w:r>
      <w:r>
        <w:t>Berufsschule, Berufl. = Sonstige berufliche Schule wie Berufsfachschule, FOS/BOS).</w:t>
      </w:r>
      <w:r w:rsidR="00A919B7">
        <w:t xml:space="preserve"> </w:t>
      </w:r>
      <w:r>
        <w:t xml:space="preserve">Die WLAN-Ausstattung der einzelnen Schulen ist im Schulatlas unter </w:t>
      </w:r>
      <w:hyperlink r:id="rId15" w:history="1">
        <w:r w:rsidR="00200E4B" w:rsidRPr="00200E4B">
          <w:rPr>
            <w:rStyle w:val="LTHyperlinkZchn"/>
            <w:b w:val="0"/>
          </w:rPr>
          <w:t>https://</w:t>
        </w:r>
        <w:r w:rsidRPr="00200E4B">
          <w:rPr>
            <w:rStyle w:val="LTHyperlinkZchn"/>
            <w:b w:val="0"/>
          </w:rPr>
          <w:t>www.schulatlas.bayern.de</w:t>
        </w:r>
      </w:hyperlink>
      <w:r>
        <w:t xml:space="preserve"> öffentlich einsehbar.</w:t>
      </w:r>
    </w:p>
    <w:p w:rsidR="006E5140" w:rsidRDefault="006E5140" w:rsidP="006E5140">
      <w:pPr>
        <w:pStyle w:val="LTAntwortRessortText"/>
      </w:pPr>
    </w:p>
    <w:p w:rsidR="00A919B7" w:rsidRPr="00145529" w:rsidRDefault="00A919B7" w:rsidP="00A919B7">
      <w:pPr>
        <w:pStyle w:val="Textkrper"/>
        <w:spacing w:before="92"/>
        <w:ind w:left="118"/>
        <w:rPr>
          <w:rFonts w:ascii="Arial" w:hAnsi="Arial" w:cs="Arial"/>
          <w:sz w:val="20"/>
        </w:rPr>
      </w:pPr>
      <w:r w:rsidRPr="00145529">
        <w:rPr>
          <w:rFonts w:ascii="Arial" w:hAnsi="Arial" w:cs="Arial"/>
          <w:b/>
          <w:sz w:val="20"/>
        </w:rPr>
        <w:t xml:space="preserve">Tabelle 1a: </w:t>
      </w:r>
      <w:r w:rsidRPr="00145529">
        <w:rPr>
          <w:rFonts w:ascii="Arial" w:hAnsi="Arial" w:cs="Arial"/>
          <w:sz w:val="20"/>
        </w:rPr>
        <w:t xml:space="preserve">Anzahl der Schulen mit flächendeckendem WLAN </w:t>
      </w:r>
      <w:r w:rsidR="006475D7" w:rsidRPr="00145529">
        <w:rPr>
          <w:rFonts w:ascii="Arial" w:hAnsi="Arial" w:cs="Arial"/>
          <w:sz w:val="20"/>
        </w:rPr>
        <w:br/>
      </w:r>
      <w:r w:rsidRPr="00145529">
        <w:rPr>
          <w:rFonts w:ascii="Arial" w:hAnsi="Arial" w:cs="Arial"/>
          <w:sz w:val="20"/>
        </w:rPr>
        <w:t xml:space="preserve">(Daten des </w:t>
      </w:r>
      <w:r w:rsidR="003A2F67">
        <w:rPr>
          <w:rFonts w:ascii="Arial" w:hAnsi="Arial" w:cs="Arial"/>
          <w:sz w:val="20"/>
        </w:rPr>
        <w:t>Staatsministeriums für Unterricht und Kultus – StMUK</w:t>
      </w:r>
      <w:r w:rsidRPr="00145529">
        <w:rPr>
          <w:rFonts w:ascii="Arial" w:hAnsi="Arial" w:cs="Arial"/>
          <w:sz w:val="20"/>
        </w:rPr>
        <w:t>)</w:t>
      </w:r>
    </w:p>
    <w:p w:rsidR="002D3B28" w:rsidRPr="006475D7" w:rsidRDefault="002D3B28" w:rsidP="00A919B7">
      <w:pPr>
        <w:pStyle w:val="Textkrper"/>
        <w:spacing w:before="92"/>
        <w:ind w:left="118"/>
        <w:rPr>
          <w:sz w:val="22"/>
        </w:rPr>
      </w:pPr>
    </w:p>
    <w:p w:rsidR="00A919B7" w:rsidRPr="003A2F67" w:rsidRDefault="003B4656" w:rsidP="003B4656">
      <w:pPr>
        <w:tabs>
          <w:tab w:val="left" w:pos="340"/>
        </w:tabs>
        <w:spacing w:before="138"/>
        <w:ind w:left="227"/>
        <w:rPr>
          <w:rFonts w:cs="Arial"/>
          <w:b/>
          <w:i/>
        </w:rPr>
      </w:pPr>
      <w:r w:rsidRPr="003A2F67">
        <w:rPr>
          <w:rFonts w:cs="Arial"/>
        </w:rPr>
        <w:t>Reg.bez</w:t>
      </w:r>
      <w:r w:rsidRPr="003A2F67">
        <w:rPr>
          <w:rFonts w:cs="Arial"/>
        </w:rPr>
        <w:tab/>
      </w:r>
      <w:r w:rsidRPr="003A2F67">
        <w:rPr>
          <w:rFonts w:cs="Arial"/>
        </w:rPr>
        <w:tab/>
        <w:t>GMS</w:t>
      </w:r>
      <w:r w:rsidRPr="003A2F67">
        <w:rPr>
          <w:rFonts w:cs="Arial"/>
        </w:rPr>
        <w:tab/>
      </w:r>
      <w:r w:rsidRPr="003A2F67">
        <w:rPr>
          <w:rFonts w:cs="Arial"/>
        </w:rPr>
        <w:tab/>
        <w:t>RS</w:t>
      </w:r>
      <w:r w:rsidRPr="003A2F67">
        <w:rPr>
          <w:rFonts w:cs="Arial"/>
        </w:rPr>
        <w:tab/>
      </w:r>
      <w:r w:rsidRPr="003A2F67">
        <w:rPr>
          <w:rFonts w:cs="Arial"/>
        </w:rPr>
        <w:tab/>
      </w:r>
      <w:r w:rsidRPr="003A2F67">
        <w:rPr>
          <w:rFonts w:cs="Arial"/>
        </w:rPr>
        <w:tab/>
        <w:t>GY</w:t>
      </w:r>
      <w:r w:rsidRPr="003A2F67">
        <w:rPr>
          <w:rFonts w:cs="Arial"/>
        </w:rPr>
        <w:tab/>
      </w:r>
      <w:r w:rsidRPr="003A2F67">
        <w:rPr>
          <w:rFonts w:cs="Arial"/>
        </w:rPr>
        <w:tab/>
        <w:t>FöS</w:t>
      </w:r>
      <w:r w:rsidRPr="003A2F67">
        <w:rPr>
          <w:rFonts w:cs="Arial"/>
        </w:rPr>
        <w:tab/>
      </w:r>
      <w:r w:rsidR="002D3B28" w:rsidRPr="003A2F67">
        <w:rPr>
          <w:rFonts w:cs="Arial"/>
        </w:rPr>
        <w:tab/>
      </w:r>
      <w:r w:rsidRPr="003A2F67">
        <w:rPr>
          <w:rFonts w:cs="Arial"/>
        </w:rPr>
        <w:t>Sonst.</w:t>
      </w:r>
      <w:r w:rsidRPr="003A2F67">
        <w:rPr>
          <w:rFonts w:cs="Arial"/>
        </w:rPr>
        <w:tab/>
      </w:r>
      <w:r w:rsidR="002D3B28" w:rsidRPr="003A2F67">
        <w:rPr>
          <w:rFonts w:cs="Arial"/>
        </w:rPr>
        <w:tab/>
      </w:r>
      <w:r w:rsidRPr="003A2F67">
        <w:rPr>
          <w:rFonts w:cs="Arial"/>
        </w:rPr>
        <w:t>BS</w:t>
      </w:r>
      <w:r w:rsidRPr="003A2F67">
        <w:rPr>
          <w:rFonts w:cs="Arial"/>
        </w:rPr>
        <w:tab/>
      </w:r>
      <w:r w:rsidRPr="003A2F67">
        <w:rPr>
          <w:rFonts w:cs="Arial"/>
        </w:rPr>
        <w:tab/>
      </w:r>
      <w:r w:rsidR="00A919B7" w:rsidRPr="003A2F67">
        <w:rPr>
          <w:rFonts w:cs="Arial"/>
        </w:rPr>
        <w:t>Berufl.</w:t>
      </w:r>
      <w:r w:rsidR="00A919B7" w:rsidRPr="003A2F67">
        <w:rPr>
          <w:rFonts w:cs="Arial"/>
        </w:rPr>
        <w:tab/>
      </w:r>
      <w:r w:rsidRPr="003A2F67">
        <w:rPr>
          <w:rFonts w:cs="Arial"/>
          <w:i/>
        </w:rPr>
        <w:tab/>
      </w:r>
      <w:r w:rsidR="00A919B7" w:rsidRPr="003A2F67">
        <w:rPr>
          <w:rFonts w:cs="Arial"/>
          <w:b/>
        </w:rPr>
        <w:t>zus.</w:t>
      </w:r>
    </w:p>
    <w:p w:rsidR="00A919B7" w:rsidRPr="003A2F67" w:rsidRDefault="00A919B7" w:rsidP="00A919B7">
      <w:pPr>
        <w:pStyle w:val="Textkrper"/>
        <w:spacing w:before="1"/>
        <w:rPr>
          <w:rFonts w:ascii="Arial" w:hAnsi="Arial" w:cs="Arial"/>
          <w:b/>
          <w:i/>
          <w:sz w:val="10"/>
        </w:rPr>
      </w:pPr>
    </w:p>
    <w:tbl>
      <w:tblPr>
        <w:tblStyle w:val="TableNormal"/>
        <w:tblW w:w="7676" w:type="dxa"/>
        <w:tblInd w:w="121" w:type="dxa"/>
        <w:tblLayout w:type="fixed"/>
        <w:tblLook w:val="01E0" w:firstRow="1" w:lastRow="1" w:firstColumn="1" w:lastColumn="1" w:noHBand="0" w:noVBand="0"/>
      </w:tblPr>
      <w:tblGrid>
        <w:gridCol w:w="872"/>
        <w:gridCol w:w="992"/>
        <w:gridCol w:w="992"/>
        <w:gridCol w:w="851"/>
        <w:gridCol w:w="708"/>
        <w:gridCol w:w="709"/>
        <w:gridCol w:w="709"/>
        <w:gridCol w:w="850"/>
        <w:gridCol w:w="993"/>
      </w:tblGrid>
      <w:tr w:rsidR="003B4656" w:rsidRPr="003A2F67" w:rsidTr="00EA4168">
        <w:trPr>
          <w:trHeight w:val="346"/>
        </w:trPr>
        <w:tc>
          <w:tcPr>
            <w:tcW w:w="872" w:type="dxa"/>
            <w:tcBorders>
              <w:top w:val="single" w:sz="4" w:space="0" w:color="7E7E7E"/>
              <w:right w:val="single" w:sz="4" w:space="0" w:color="7E7E7E"/>
            </w:tcBorders>
          </w:tcPr>
          <w:p w:rsidR="00A919B7" w:rsidRPr="003A2F67" w:rsidRDefault="00A919B7" w:rsidP="009509D9">
            <w:pPr>
              <w:pStyle w:val="TableParagraph"/>
              <w:spacing w:line="228" w:lineRule="exact"/>
              <w:ind w:left="112"/>
              <w:jc w:val="left"/>
              <w:rPr>
                <w:rFonts w:ascii="Arial" w:hAnsi="Arial" w:cs="Arial"/>
                <w:sz w:val="20"/>
              </w:rPr>
            </w:pPr>
            <w:r w:rsidRPr="003A2F67">
              <w:rPr>
                <w:rFonts w:ascii="Arial" w:hAnsi="Arial" w:cs="Arial"/>
                <w:sz w:val="20"/>
              </w:rPr>
              <w:t>OBB</w:t>
            </w:r>
          </w:p>
        </w:tc>
        <w:tc>
          <w:tcPr>
            <w:tcW w:w="992" w:type="dxa"/>
            <w:tcBorders>
              <w:top w:val="single" w:sz="4" w:space="0" w:color="7E7E7E"/>
              <w:left w:val="single" w:sz="4" w:space="0" w:color="7E7E7E"/>
            </w:tcBorders>
            <w:shd w:val="clear" w:color="auto" w:fill="F1F1F1"/>
            <w:vAlign w:val="center"/>
          </w:tcPr>
          <w:p w:rsidR="00A919B7" w:rsidRPr="003A2F67" w:rsidRDefault="00A919B7" w:rsidP="003B4656">
            <w:pPr>
              <w:pStyle w:val="TableParagraph"/>
              <w:spacing w:line="240" w:lineRule="auto"/>
              <w:ind w:left="257" w:right="283"/>
              <w:jc w:val="left"/>
              <w:rPr>
                <w:rFonts w:ascii="Arial" w:hAnsi="Arial" w:cs="Arial"/>
                <w:sz w:val="20"/>
              </w:rPr>
            </w:pPr>
            <w:r w:rsidRPr="003A2F67">
              <w:rPr>
                <w:rFonts w:ascii="Arial" w:hAnsi="Arial" w:cs="Arial"/>
                <w:sz w:val="20"/>
              </w:rPr>
              <w:t>360</w:t>
            </w:r>
          </w:p>
        </w:tc>
        <w:tc>
          <w:tcPr>
            <w:tcW w:w="992" w:type="dxa"/>
            <w:tcBorders>
              <w:top w:val="single" w:sz="4" w:space="0" w:color="7E7E7E"/>
            </w:tcBorders>
            <w:shd w:val="clear" w:color="auto" w:fill="F1F1F1"/>
            <w:vAlign w:val="center"/>
          </w:tcPr>
          <w:p w:rsidR="00A919B7" w:rsidRPr="003A2F67" w:rsidRDefault="00A919B7" w:rsidP="003B4656">
            <w:pPr>
              <w:pStyle w:val="TableParagraph"/>
              <w:spacing w:line="240" w:lineRule="auto"/>
              <w:ind w:left="295" w:right="312"/>
              <w:jc w:val="left"/>
              <w:rPr>
                <w:rFonts w:ascii="Arial" w:hAnsi="Arial" w:cs="Arial"/>
                <w:sz w:val="20"/>
              </w:rPr>
            </w:pPr>
            <w:r w:rsidRPr="003A2F67">
              <w:rPr>
                <w:rFonts w:ascii="Arial" w:hAnsi="Arial" w:cs="Arial"/>
                <w:sz w:val="20"/>
              </w:rPr>
              <w:t>61</w:t>
            </w:r>
          </w:p>
        </w:tc>
        <w:tc>
          <w:tcPr>
            <w:tcW w:w="851" w:type="dxa"/>
            <w:tcBorders>
              <w:top w:val="single" w:sz="4" w:space="0" w:color="7E7E7E"/>
            </w:tcBorders>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87</w:t>
            </w:r>
          </w:p>
        </w:tc>
        <w:tc>
          <w:tcPr>
            <w:tcW w:w="708" w:type="dxa"/>
            <w:tcBorders>
              <w:top w:val="single" w:sz="4" w:space="0" w:color="7E7E7E"/>
            </w:tcBorders>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48</w:t>
            </w:r>
          </w:p>
        </w:tc>
        <w:tc>
          <w:tcPr>
            <w:tcW w:w="709" w:type="dxa"/>
            <w:tcBorders>
              <w:top w:val="single" w:sz="4" w:space="0" w:color="7E7E7E"/>
            </w:tcBorders>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2</w:t>
            </w:r>
          </w:p>
        </w:tc>
        <w:tc>
          <w:tcPr>
            <w:tcW w:w="709" w:type="dxa"/>
            <w:tcBorders>
              <w:top w:val="single" w:sz="4" w:space="0" w:color="7E7E7E"/>
            </w:tcBorders>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33</w:t>
            </w:r>
          </w:p>
        </w:tc>
        <w:tc>
          <w:tcPr>
            <w:tcW w:w="850" w:type="dxa"/>
            <w:tcBorders>
              <w:top w:val="single" w:sz="4" w:space="0" w:color="7E7E7E"/>
            </w:tcBorders>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230</w:t>
            </w:r>
          </w:p>
        </w:tc>
        <w:tc>
          <w:tcPr>
            <w:tcW w:w="993" w:type="dxa"/>
            <w:tcBorders>
              <w:top w:val="single" w:sz="4" w:space="0" w:color="7E7E7E"/>
            </w:tcBorders>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821</w:t>
            </w:r>
          </w:p>
        </w:tc>
      </w:tr>
      <w:tr w:rsidR="003B4656" w:rsidRPr="003A2F67" w:rsidTr="00EA4168">
        <w:trPr>
          <w:trHeight w:val="345"/>
        </w:trPr>
        <w:tc>
          <w:tcPr>
            <w:tcW w:w="872" w:type="dxa"/>
            <w:tcBorders>
              <w:right w:val="single" w:sz="4" w:space="0" w:color="7E7E7E"/>
            </w:tcBorders>
          </w:tcPr>
          <w:p w:rsidR="00A919B7" w:rsidRPr="003A2F67" w:rsidRDefault="00A919B7" w:rsidP="009509D9">
            <w:pPr>
              <w:pStyle w:val="TableParagraph"/>
              <w:spacing w:line="227" w:lineRule="exact"/>
              <w:ind w:left="112"/>
              <w:jc w:val="left"/>
              <w:rPr>
                <w:rFonts w:ascii="Arial" w:hAnsi="Arial" w:cs="Arial"/>
                <w:sz w:val="20"/>
              </w:rPr>
            </w:pPr>
            <w:r w:rsidRPr="003A2F67">
              <w:rPr>
                <w:rFonts w:ascii="Arial" w:hAnsi="Arial" w:cs="Arial"/>
                <w:sz w:val="20"/>
              </w:rPr>
              <w:t>NDB</w:t>
            </w:r>
          </w:p>
        </w:tc>
        <w:tc>
          <w:tcPr>
            <w:tcW w:w="992" w:type="dxa"/>
            <w:tcBorders>
              <w:left w:val="single" w:sz="4" w:space="0" w:color="7E7E7E"/>
            </w:tcBorders>
            <w:vAlign w:val="center"/>
          </w:tcPr>
          <w:p w:rsidR="00A919B7" w:rsidRPr="003A2F67" w:rsidRDefault="00A919B7" w:rsidP="003B4656">
            <w:pPr>
              <w:pStyle w:val="TableParagraph"/>
              <w:ind w:left="257" w:right="283"/>
              <w:jc w:val="left"/>
              <w:rPr>
                <w:rFonts w:ascii="Arial" w:hAnsi="Arial" w:cs="Arial"/>
                <w:sz w:val="20"/>
              </w:rPr>
            </w:pPr>
            <w:r w:rsidRPr="003A2F67">
              <w:rPr>
                <w:rFonts w:ascii="Arial" w:hAnsi="Arial" w:cs="Arial"/>
                <w:sz w:val="20"/>
              </w:rPr>
              <w:t>142</w:t>
            </w:r>
          </w:p>
        </w:tc>
        <w:tc>
          <w:tcPr>
            <w:tcW w:w="992" w:type="dxa"/>
            <w:vAlign w:val="center"/>
          </w:tcPr>
          <w:p w:rsidR="00A919B7" w:rsidRPr="003A2F67" w:rsidRDefault="00A919B7" w:rsidP="003B4656">
            <w:pPr>
              <w:pStyle w:val="TableParagraph"/>
              <w:ind w:left="295" w:right="312"/>
              <w:jc w:val="left"/>
              <w:rPr>
                <w:rFonts w:ascii="Arial" w:hAnsi="Arial" w:cs="Arial"/>
                <w:sz w:val="20"/>
              </w:rPr>
            </w:pPr>
            <w:r w:rsidRPr="003A2F67">
              <w:rPr>
                <w:rFonts w:ascii="Arial" w:hAnsi="Arial" w:cs="Arial"/>
                <w:sz w:val="20"/>
              </w:rPr>
              <w:t>28</w:t>
            </w:r>
          </w:p>
        </w:tc>
        <w:tc>
          <w:tcPr>
            <w:tcW w:w="851" w:type="dxa"/>
            <w:vAlign w:val="center"/>
          </w:tcPr>
          <w:p w:rsidR="00A919B7" w:rsidRPr="003A2F67" w:rsidRDefault="00A919B7" w:rsidP="003B4656">
            <w:pPr>
              <w:pStyle w:val="TableParagraph"/>
              <w:ind w:left="225" w:right="217"/>
              <w:jc w:val="left"/>
              <w:rPr>
                <w:rFonts w:ascii="Arial" w:hAnsi="Arial" w:cs="Arial"/>
                <w:sz w:val="20"/>
              </w:rPr>
            </w:pPr>
            <w:r w:rsidRPr="003A2F67">
              <w:rPr>
                <w:rFonts w:ascii="Arial" w:hAnsi="Arial" w:cs="Arial"/>
                <w:sz w:val="20"/>
              </w:rPr>
              <w:t>23</w:t>
            </w:r>
          </w:p>
        </w:tc>
        <w:tc>
          <w:tcPr>
            <w:tcW w:w="708"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15</w:t>
            </w:r>
          </w:p>
        </w:tc>
        <w:tc>
          <w:tcPr>
            <w:tcW w:w="709"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0</w:t>
            </w:r>
          </w:p>
        </w:tc>
        <w:tc>
          <w:tcPr>
            <w:tcW w:w="709"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8</w:t>
            </w:r>
          </w:p>
        </w:tc>
        <w:tc>
          <w:tcPr>
            <w:tcW w:w="850"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70</w:t>
            </w:r>
          </w:p>
        </w:tc>
        <w:tc>
          <w:tcPr>
            <w:tcW w:w="993" w:type="dxa"/>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286</w:t>
            </w:r>
          </w:p>
        </w:tc>
      </w:tr>
      <w:tr w:rsidR="003B4656" w:rsidRPr="003A2F67" w:rsidTr="00EA4168">
        <w:trPr>
          <w:trHeight w:val="343"/>
        </w:trPr>
        <w:tc>
          <w:tcPr>
            <w:tcW w:w="872" w:type="dxa"/>
            <w:tcBorders>
              <w:right w:val="single" w:sz="4" w:space="0" w:color="7E7E7E"/>
            </w:tcBorders>
          </w:tcPr>
          <w:p w:rsidR="00A919B7" w:rsidRPr="003A2F67" w:rsidRDefault="00A919B7" w:rsidP="009509D9">
            <w:pPr>
              <w:pStyle w:val="TableParagraph"/>
              <w:spacing w:line="227" w:lineRule="exact"/>
              <w:ind w:left="112"/>
              <w:jc w:val="left"/>
              <w:rPr>
                <w:rFonts w:ascii="Arial" w:hAnsi="Arial" w:cs="Arial"/>
                <w:sz w:val="20"/>
              </w:rPr>
            </w:pPr>
            <w:r w:rsidRPr="003A2F67">
              <w:rPr>
                <w:rFonts w:ascii="Arial" w:hAnsi="Arial" w:cs="Arial"/>
                <w:sz w:val="20"/>
              </w:rPr>
              <w:t>OPF</w:t>
            </w:r>
          </w:p>
        </w:tc>
        <w:tc>
          <w:tcPr>
            <w:tcW w:w="992" w:type="dxa"/>
            <w:tcBorders>
              <w:left w:val="single" w:sz="4" w:space="0" w:color="7E7E7E"/>
            </w:tcBorders>
            <w:shd w:val="clear" w:color="auto" w:fill="F1F1F1"/>
            <w:vAlign w:val="center"/>
          </w:tcPr>
          <w:p w:rsidR="00A919B7" w:rsidRPr="003A2F67" w:rsidRDefault="00A919B7" w:rsidP="003B4656">
            <w:pPr>
              <w:pStyle w:val="TableParagraph"/>
              <w:ind w:left="257" w:right="283"/>
              <w:jc w:val="left"/>
              <w:rPr>
                <w:rFonts w:ascii="Arial" w:hAnsi="Arial" w:cs="Arial"/>
                <w:sz w:val="20"/>
              </w:rPr>
            </w:pPr>
            <w:r w:rsidRPr="003A2F67">
              <w:rPr>
                <w:rFonts w:ascii="Arial" w:hAnsi="Arial" w:cs="Arial"/>
                <w:sz w:val="20"/>
              </w:rPr>
              <w:t>150</w:t>
            </w:r>
          </w:p>
        </w:tc>
        <w:tc>
          <w:tcPr>
            <w:tcW w:w="992" w:type="dxa"/>
            <w:shd w:val="clear" w:color="auto" w:fill="F1F1F1"/>
            <w:vAlign w:val="center"/>
          </w:tcPr>
          <w:p w:rsidR="00A919B7" w:rsidRPr="003A2F67" w:rsidRDefault="00A919B7" w:rsidP="003B4656">
            <w:pPr>
              <w:pStyle w:val="TableParagraph"/>
              <w:ind w:left="295" w:right="312"/>
              <w:jc w:val="left"/>
              <w:rPr>
                <w:rFonts w:ascii="Arial" w:hAnsi="Arial" w:cs="Arial"/>
                <w:sz w:val="20"/>
              </w:rPr>
            </w:pPr>
            <w:r w:rsidRPr="003A2F67">
              <w:rPr>
                <w:rFonts w:ascii="Arial" w:hAnsi="Arial" w:cs="Arial"/>
                <w:sz w:val="20"/>
              </w:rPr>
              <w:t>18</w:t>
            </w:r>
          </w:p>
        </w:tc>
        <w:tc>
          <w:tcPr>
            <w:tcW w:w="851" w:type="dxa"/>
            <w:shd w:val="clear" w:color="auto" w:fill="F1F1F1"/>
            <w:vAlign w:val="center"/>
          </w:tcPr>
          <w:p w:rsidR="00A919B7" w:rsidRPr="003A2F67" w:rsidRDefault="00A919B7" w:rsidP="003B4656">
            <w:pPr>
              <w:pStyle w:val="TableParagraph"/>
              <w:ind w:left="225" w:right="217"/>
              <w:jc w:val="left"/>
              <w:rPr>
                <w:rFonts w:ascii="Arial" w:hAnsi="Arial" w:cs="Arial"/>
                <w:sz w:val="20"/>
              </w:rPr>
            </w:pPr>
            <w:r w:rsidRPr="003A2F67">
              <w:rPr>
                <w:rFonts w:ascii="Arial" w:hAnsi="Arial" w:cs="Arial"/>
                <w:sz w:val="20"/>
              </w:rPr>
              <w:t>17</w:t>
            </w:r>
          </w:p>
        </w:tc>
        <w:tc>
          <w:tcPr>
            <w:tcW w:w="708"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11</w:t>
            </w:r>
          </w:p>
        </w:tc>
        <w:tc>
          <w:tcPr>
            <w:tcW w:w="709"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0</w:t>
            </w:r>
          </w:p>
        </w:tc>
        <w:tc>
          <w:tcPr>
            <w:tcW w:w="709" w:type="dxa"/>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7</w:t>
            </w:r>
          </w:p>
        </w:tc>
        <w:tc>
          <w:tcPr>
            <w:tcW w:w="850" w:type="dxa"/>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74</w:t>
            </w:r>
          </w:p>
        </w:tc>
        <w:tc>
          <w:tcPr>
            <w:tcW w:w="993"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277</w:t>
            </w:r>
          </w:p>
        </w:tc>
      </w:tr>
      <w:tr w:rsidR="003B4656" w:rsidRPr="003A2F67" w:rsidTr="00EA4168">
        <w:trPr>
          <w:trHeight w:val="345"/>
        </w:trPr>
        <w:tc>
          <w:tcPr>
            <w:tcW w:w="872" w:type="dxa"/>
            <w:tcBorders>
              <w:right w:val="single" w:sz="4" w:space="0" w:color="7E7E7E"/>
            </w:tcBorders>
          </w:tcPr>
          <w:p w:rsidR="00A919B7" w:rsidRPr="003A2F67" w:rsidRDefault="00A919B7" w:rsidP="009509D9">
            <w:pPr>
              <w:pStyle w:val="TableParagraph"/>
              <w:spacing w:line="227" w:lineRule="exact"/>
              <w:ind w:left="112"/>
              <w:jc w:val="left"/>
              <w:rPr>
                <w:rFonts w:ascii="Arial" w:hAnsi="Arial" w:cs="Arial"/>
                <w:sz w:val="20"/>
              </w:rPr>
            </w:pPr>
            <w:r w:rsidRPr="003A2F67">
              <w:rPr>
                <w:rFonts w:ascii="Arial" w:hAnsi="Arial" w:cs="Arial"/>
                <w:sz w:val="20"/>
              </w:rPr>
              <w:t>OFR</w:t>
            </w:r>
          </w:p>
        </w:tc>
        <w:tc>
          <w:tcPr>
            <w:tcW w:w="992" w:type="dxa"/>
            <w:tcBorders>
              <w:left w:val="single" w:sz="4" w:space="0" w:color="7E7E7E"/>
            </w:tcBorders>
            <w:vAlign w:val="center"/>
          </w:tcPr>
          <w:p w:rsidR="00A919B7" w:rsidRPr="003A2F67" w:rsidRDefault="00A919B7" w:rsidP="003B4656">
            <w:pPr>
              <w:pStyle w:val="TableParagraph"/>
              <w:ind w:left="257" w:right="283"/>
              <w:jc w:val="left"/>
              <w:rPr>
                <w:rFonts w:ascii="Arial" w:hAnsi="Arial" w:cs="Arial"/>
                <w:sz w:val="20"/>
              </w:rPr>
            </w:pPr>
            <w:r w:rsidRPr="003A2F67">
              <w:rPr>
                <w:rFonts w:ascii="Arial" w:hAnsi="Arial" w:cs="Arial"/>
                <w:sz w:val="20"/>
              </w:rPr>
              <w:t>135</w:t>
            </w:r>
          </w:p>
        </w:tc>
        <w:tc>
          <w:tcPr>
            <w:tcW w:w="992" w:type="dxa"/>
            <w:vAlign w:val="center"/>
          </w:tcPr>
          <w:p w:rsidR="00A919B7" w:rsidRPr="003A2F67" w:rsidRDefault="00A919B7" w:rsidP="003B4656">
            <w:pPr>
              <w:pStyle w:val="TableParagraph"/>
              <w:ind w:left="295" w:right="312"/>
              <w:jc w:val="left"/>
              <w:rPr>
                <w:rFonts w:ascii="Arial" w:hAnsi="Arial" w:cs="Arial"/>
                <w:sz w:val="20"/>
              </w:rPr>
            </w:pPr>
            <w:r w:rsidRPr="003A2F67">
              <w:rPr>
                <w:rFonts w:ascii="Arial" w:hAnsi="Arial" w:cs="Arial"/>
                <w:sz w:val="20"/>
              </w:rPr>
              <w:t>16</w:t>
            </w:r>
          </w:p>
        </w:tc>
        <w:tc>
          <w:tcPr>
            <w:tcW w:w="851" w:type="dxa"/>
            <w:vAlign w:val="center"/>
          </w:tcPr>
          <w:p w:rsidR="00A919B7" w:rsidRPr="003A2F67" w:rsidRDefault="00A919B7" w:rsidP="003B4656">
            <w:pPr>
              <w:pStyle w:val="TableParagraph"/>
              <w:ind w:left="225" w:right="217"/>
              <w:jc w:val="left"/>
              <w:rPr>
                <w:rFonts w:ascii="Arial" w:hAnsi="Arial" w:cs="Arial"/>
                <w:sz w:val="20"/>
              </w:rPr>
            </w:pPr>
            <w:r w:rsidRPr="003A2F67">
              <w:rPr>
                <w:rFonts w:ascii="Arial" w:hAnsi="Arial" w:cs="Arial"/>
                <w:sz w:val="20"/>
              </w:rPr>
              <w:t>19</w:t>
            </w:r>
          </w:p>
        </w:tc>
        <w:tc>
          <w:tcPr>
            <w:tcW w:w="708"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9</w:t>
            </w:r>
          </w:p>
        </w:tc>
        <w:tc>
          <w:tcPr>
            <w:tcW w:w="709"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3</w:t>
            </w:r>
          </w:p>
        </w:tc>
        <w:tc>
          <w:tcPr>
            <w:tcW w:w="709"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7</w:t>
            </w:r>
          </w:p>
        </w:tc>
        <w:tc>
          <w:tcPr>
            <w:tcW w:w="850"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83</w:t>
            </w:r>
          </w:p>
        </w:tc>
        <w:tc>
          <w:tcPr>
            <w:tcW w:w="993" w:type="dxa"/>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272</w:t>
            </w:r>
          </w:p>
        </w:tc>
      </w:tr>
      <w:tr w:rsidR="003B4656" w:rsidRPr="003A2F67" w:rsidTr="00EA4168">
        <w:trPr>
          <w:trHeight w:val="345"/>
        </w:trPr>
        <w:tc>
          <w:tcPr>
            <w:tcW w:w="872" w:type="dxa"/>
            <w:tcBorders>
              <w:right w:val="single" w:sz="4" w:space="0" w:color="7E7E7E"/>
            </w:tcBorders>
          </w:tcPr>
          <w:p w:rsidR="00A919B7" w:rsidRPr="003A2F67" w:rsidRDefault="00A919B7" w:rsidP="009509D9">
            <w:pPr>
              <w:pStyle w:val="TableParagraph"/>
              <w:spacing w:line="227" w:lineRule="exact"/>
              <w:ind w:left="112"/>
              <w:jc w:val="left"/>
              <w:rPr>
                <w:rFonts w:ascii="Arial" w:hAnsi="Arial" w:cs="Arial"/>
                <w:sz w:val="20"/>
              </w:rPr>
            </w:pPr>
            <w:r w:rsidRPr="003A2F67">
              <w:rPr>
                <w:rFonts w:ascii="Arial" w:hAnsi="Arial" w:cs="Arial"/>
                <w:sz w:val="20"/>
              </w:rPr>
              <w:t>MFR</w:t>
            </w:r>
          </w:p>
        </w:tc>
        <w:tc>
          <w:tcPr>
            <w:tcW w:w="992" w:type="dxa"/>
            <w:tcBorders>
              <w:left w:val="single" w:sz="4" w:space="0" w:color="7E7E7E"/>
            </w:tcBorders>
            <w:shd w:val="clear" w:color="auto" w:fill="F1F1F1"/>
            <w:vAlign w:val="center"/>
          </w:tcPr>
          <w:p w:rsidR="00A919B7" w:rsidRPr="003A2F67" w:rsidRDefault="00A919B7" w:rsidP="003B4656">
            <w:pPr>
              <w:pStyle w:val="TableParagraph"/>
              <w:ind w:left="257" w:right="283"/>
              <w:jc w:val="left"/>
              <w:rPr>
                <w:rFonts w:ascii="Arial" w:hAnsi="Arial" w:cs="Arial"/>
                <w:sz w:val="20"/>
              </w:rPr>
            </w:pPr>
            <w:r w:rsidRPr="003A2F67">
              <w:rPr>
                <w:rFonts w:ascii="Arial" w:hAnsi="Arial" w:cs="Arial"/>
                <w:sz w:val="20"/>
              </w:rPr>
              <w:t>160</w:t>
            </w:r>
          </w:p>
        </w:tc>
        <w:tc>
          <w:tcPr>
            <w:tcW w:w="992" w:type="dxa"/>
            <w:shd w:val="clear" w:color="auto" w:fill="F1F1F1"/>
            <w:vAlign w:val="center"/>
          </w:tcPr>
          <w:p w:rsidR="00A919B7" w:rsidRPr="003A2F67" w:rsidRDefault="00A919B7" w:rsidP="003B4656">
            <w:pPr>
              <w:pStyle w:val="TableParagraph"/>
              <w:ind w:left="295" w:right="312"/>
              <w:jc w:val="left"/>
              <w:rPr>
                <w:rFonts w:ascii="Arial" w:hAnsi="Arial" w:cs="Arial"/>
                <w:sz w:val="20"/>
              </w:rPr>
            </w:pPr>
            <w:r w:rsidRPr="003A2F67">
              <w:rPr>
                <w:rFonts w:ascii="Arial" w:hAnsi="Arial" w:cs="Arial"/>
                <w:sz w:val="20"/>
              </w:rPr>
              <w:t>23</w:t>
            </w:r>
          </w:p>
        </w:tc>
        <w:tc>
          <w:tcPr>
            <w:tcW w:w="851" w:type="dxa"/>
            <w:shd w:val="clear" w:color="auto" w:fill="F1F1F1"/>
            <w:vAlign w:val="center"/>
          </w:tcPr>
          <w:p w:rsidR="00A919B7" w:rsidRPr="003A2F67" w:rsidRDefault="00A919B7" w:rsidP="003B4656">
            <w:pPr>
              <w:pStyle w:val="TableParagraph"/>
              <w:ind w:left="225" w:right="217"/>
              <w:jc w:val="left"/>
              <w:rPr>
                <w:rFonts w:ascii="Arial" w:hAnsi="Arial" w:cs="Arial"/>
                <w:sz w:val="20"/>
              </w:rPr>
            </w:pPr>
            <w:r w:rsidRPr="003A2F67">
              <w:rPr>
                <w:rFonts w:ascii="Arial" w:hAnsi="Arial" w:cs="Arial"/>
                <w:sz w:val="20"/>
              </w:rPr>
              <w:t>21</w:t>
            </w:r>
          </w:p>
        </w:tc>
        <w:tc>
          <w:tcPr>
            <w:tcW w:w="708"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19</w:t>
            </w:r>
          </w:p>
        </w:tc>
        <w:tc>
          <w:tcPr>
            <w:tcW w:w="709"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w:t>
            </w:r>
          </w:p>
        </w:tc>
        <w:tc>
          <w:tcPr>
            <w:tcW w:w="709" w:type="dxa"/>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12</w:t>
            </w:r>
          </w:p>
        </w:tc>
        <w:tc>
          <w:tcPr>
            <w:tcW w:w="850" w:type="dxa"/>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107</w:t>
            </w:r>
          </w:p>
        </w:tc>
        <w:tc>
          <w:tcPr>
            <w:tcW w:w="993"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343</w:t>
            </w:r>
          </w:p>
        </w:tc>
      </w:tr>
      <w:tr w:rsidR="003B4656" w:rsidRPr="003A2F67" w:rsidTr="00EA4168">
        <w:trPr>
          <w:trHeight w:val="345"/>
        </w:trPr>
        <w:tc>
          <w:tcPr>
            <w:tcW w:w="872" w:type="dxa"/>
            <w:tcBorders>
              <w:right w:val="single" w:sz="4" w:space="0" w:color="7E7E7E"/>
            </w:tcBorders>
          </w:tcPr>
          <w:p w:rsidR="00A919B7" w:rsidRPr="003A2F67" w:rsidRDefault="00A919B7" w:rsidP="009509D9">
            <w:pPr>
              <w:pStyle w:val="TableParagraph"/>
              <w:spacing w:line="227" w:lineRule="exact"/>
              <w:ind w:left="112"/>
              <w:jc w:val="left"/>
              <w:rPr>
                <w:rFonts w:ascii="Arial" w:hAnsi="Arial" w:cs="Arial"/>
                <w:sz w:val="20"/>
              </w:rPr>
            </w:pPr>
            <w:r w:rsidRPr="003A2F67">
              <w:rPr>
                <w:rFonts w:ascii="Arial" w:hAnsi="Arial" w:cs="Arial"/>
                <w:sz w:val="20"/>
              </w:rPr>
              <w:t>UFR</w:t>
            </w:r>
          </w:p>
        </w:tc>
        <w:tc>
          <w:tcPr>
            <w:tcW w:w="992" w:type="dxa"/>
            <w:tcBorders>
              <w:left w:val="single" w:sz="4" w:space="0" w:color="7E7E7E"/>
            </w:tcBorders>
            <w:vAlign w:val="center"/>
          </w:tcPr>
          <w:p w:rsidR="00A919B7" w:rsidRPr="003A2F67" w:rsidRDefault="00A919B7" w:rsidP="003B4656">
            <w:pPr>
              <w:pStyle w:val="TableParagraph"/>
              <w:ind w:left="257" w:right="283"/>
              <w:jc w:val="left"/>
              <w:rPr>
                <w:rFonts w:ascii="Arial" w:hAnsi="Arial" w:cs="Arial"/>
                <w:sz w:val="20"/>
              </w:rPr>
            </w:pPr>
            <w:r w:rsidRPr="003A2F67">
              <w:rPr>
                <w:rFonts w:ascii="Arial" w:hAnsi="Arial" w:cs="Arial"/>
                <w:sz w:val="20"/>
              </w:rPr>
              <w:t>147</w:t>
            </w:r>
          </w:p>
        </w:tc>
        <w:tc>
          <w:tcPr>
            <w:tcW w:w="992" w:type="dxa"/>
            <w:vAlign w:val="center"/>
          </w:tcPr>
          <w:p w:rsidR="00A919B7" w:rsidRPr="003A2F67" w:rsidRDefault="00A919B7" w:rsidP="003B4656">
            <w:pPr>
              <w:pStyle w:val="TableParagraph"/>
              <w:ind w:left="295" w:right="312"/>
              <w:jc w:val="left"/>
              <w:rPr>
                <w:rFonts w:ascii="Arial" w:hAnsi="Arial" w:cs="Arial"/>
                <w:sz w:val="20"/>
              </w:rPr>
            </w:pPr>
            <w:r w:rsidRPr="003A2F67">
              <w:rPr>
                <w:rFonts w:ascii="Arial" w:hAnsi="Arial" w:cs="Arial"/>
                <w:sz w:val="20"/>
              </w:rPr>
              <w:t>26</w:t>
            </w:r>
          </w:p>
        </w:tc>
        <w:tc>
          <w:tcPr>
            <w:tcW w:w="851" w:type="dxa"/>
            <w:vAlign w:val="center"/>
          </w:tcPr>
          <w:p w:rsidR="00A919B7" w:rsidRPr="003A2F67" w:rsidRDefault="00A919B7" w:rsidP="003B4656">
            <w:pPr>
              <w:pStyle w:val="TableParagraph"/>
              <w:ind w:left="225" w:right="217"/>
              <w:jc w:val="left"/>
              <w:rPr>
                <w:rFonts w:ascii="Arial" w:hAnsi="Arial" w:cs="Arial"/>
                <w:sz w:val="20"/>
              </w:rPr>
            </w:pPr>
            <w:r w:rsidRPr="003A2F67">
              <w:rPr>
                <w:rFonts w:ascii="Arial" w:hAnsi="Arial" w:cs="Arial"/>
                <w:sz w:val="20"/>
              </w:rPr>
              <w:t>32</w:t>
            </w:r>
          </w:p>
        </w:tc>
        <w:tc>
          <w:tcPr>
            <w:tcW w:w="708"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19</w:t>
            </w:r>
          </w:p>
        </w:tc>
        <w:tc>
          <w:tcPr>
            <w:tcW w:w="709"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2</w:t>
            </w:r>
          </w:p>
        </w:tc>
        <w:tc>
          <w:tcPr>
            <w:tcW w:w="709"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8</w:t>
            </w:r>
          </w:p>
        </w:tc>
        <w:tc>
          <w:tcPr>
            <w:tcW w:w="850"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86</w:t>
            </w:r>
          </w:p>
        </w:tc>
        <w:tc>
          <w:tcPr>
            <w:tcW w:w="993" w:type="dxa"/>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320</w:t>
            </w:r>
          </w:p>
        </w:tc>
      </w:tr>
      <w:tr w:rsidR="003B4656" w:rsidRPr="003A2F67" w:rsidTr="00EA4168">
        <w:trPr>
          <w:trHeight w:val="343"/>
        </w:trPr>
        <w:tc>
          <w:tcPr>
            <w:tcW w:w="872" w:type="dxa"/>
            <w:tcBorders>
              <w:right w:val="single" w:sz="4" w:space="0" w:color="7E7E7E"/>
            </w:tcBorders>
          </w:tcPr>
          <w:p w:rsidR="00A919B7" w:rsidRPr="003A2F67" w:rsidRDefault="00A919B7" w:rsidP="009509D9">
            <w:pPr>
              <w:pStyle w:val="TableParagraph"/>
              <w:spacing w:line="227" w:lineRule="exact"/>
              <w:ind w:left="112"/>
              <w:jc w:val="left"/>
              <w:rPr>
                <w:rFonts w:ascii="Arial" w:hAnsi="Arial" w:cs="Arial"/>
                <w:sz w:val="20"/>
              </w:rPr>
            </w:pPr>
            <w:r w:rsidRPr="003A2F67">
              <w:rPr>
                <w:rFonts w:ascii="Arial" w:hAnsi="Arial" w:cs="Arial"/>
                <w:sz w:val="20"/>
              </w:rPr>
              <w:t>SCH</w:t>
            </w:r>
          </w:p>
        </w:tc>
        <w:tc>
          <w:tcPr>
            <w:tcW w:w="992" w:type="dxa"/>
            <w:tcBorders>
              <w:left w:val="single" w:sz="4" w:space="0" w:color="7E7E7E"/>
            </w:tcBorders>
            <w:shd w:val="clear" w:color="auto" w:fill="F1F1F1"/>
            <w:vAlign w:val="center"/>
          </w:tcPr>
          <w:p w:rsidR="00A919B7" w:rsidRPr="003A2F67" w:rsidRDefault="00A919B7" w:rsidP="003B4656">
            <w:pPr>
              <w:pStyle w:val="TableParagraph"/>
              <w:ind w:left="257" w:right="283"/>
              <w:jc w:val="left"/>
              <w:rPr>
                <w:rFonts w:ascii="Arial" w:hAnsi="Arial" w:cs="Arial"/>
                <w:sz w:val="20"/>
              </w:rPr>
            </w:pPr>
            <w:r w:rsidRPr="003A2F67">
              <w:rPr>
                <w:rFonts w:ascii="Arial" w:hAnsi="Arial" w:cs="Arial"/>
                <w:sz w:val="20"/>
              </w:rPr>
              <w:t>190</w:t>
            </w:r>
          </w:p>
        </w:tc>
        <w:tc>
          <w:tcPr>
            <w:tcW w:w="992" w:type="dxa"/>
            <w:shd w:val="clear" w:color="auto" w:fill="F1F1F1"/>
            <w:vAlign w:val="center"/>
          </w:tcPr>
          <w:p w:rsidR="00A919B7" w:rsidRPr="003A2F67" w:rsidRDefault="00A919B7" w:rsidP="003B4656">
            <w:pPr>
              <w:pStyle w:val="TableParagraph"/>
              <w:ind w:left="295" w:right="312"/>
              <w:jc w:val="left"/>
              <w:rPr>
                <w:rFonts w:ascii="Arial" w:hAnsi="Arial" w:cs="Arial"/>
                <w:sz w:val="20"/>
              </w:rPr>
            </w:pPr>
            <w:r w:rsidRPr="003A2F67">
              <w:rPr>
                <w:rFonts w:ascii="Arial" w:hAnsi="Arial" w:cs="Arial"/>
                <w:sz w:val="20"/>
              </w:rPr>
              <w:t>32</w:t>
            </w:r>
          </w:p>
        </w:tc>
        <w:tc>
          <w:tcPr>
            <w:tcW w:w="851" w:type="dxa"/>
            <w:shd w:val="clear" w:color="auto" w:fill="F1F1F1"/>
            <w:vAlign w:val="center"/>
          </w:tcPr>
          <w:p w:rsidR="00A919B7" w:rsidRPr="003A2F67" w:rsidRDefault="00A919B7" w:rsidP="003B4656">
            <w:pPr>
              <w:pStyle w:val="TableParagraph"/>
              <w:ind w:left="225" w:right="217"/>
              <w:jc w:val="left"/>
              <w:rPr>
                <w:rFonts w:ascii="Arial" w:hAnsi="Arial" w:cs="Arial"/>
                <w:sz w:val="20"/>
              </w:rPr>
            </w:pPr>
            <w:r w:rsidRPr="003A2F67">
              <w:rPr>
                <w:rFonts w:ascii="Arial" w:hAnsi="Arial" w:cs="Arial"/>
                <w:sz w:val="20"/>
              </w:rPr>
              <w:t>25</w:t>
            </w:r>
          </w:p>
        </w:tc>
        <w:tc>
          <w:tcPr>
            <w:tcW w:w="708"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16</w:t>
            </w:r>
          </w:p>
        </w:tc>
        <w:tc>
          <w:tcPr>
            <w:tcW w:w="709"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w:t>
            </w:r>
          </w:p>
        </w:tc>
        <w:tc>
          <w:tcPr>
            <w:tcW w:w="709" w:type="dxa"/>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10</w:t>
            </w:r>
          </w:p>
        </w:tc>
        <w:tc>
          <w:tcPr>
            <w:tcW w:w="850" w:type="dxa"/>
            <w:shd w:val="clear" w:color="auto" w:fill="F1F1F1"/>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91</w:t>
            </w:r>
          </w:p>
        </w:tc>
        <w:tc>
          <w:tcPr>
            <w:tcW w:w="993" w:type="dxa"/>
            <w:shd w:val="clear" w:color="auto" w:fill="F1F1F1"/>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365</w:t>
            </w:r>
          </w:p>
        </w:tc>
      </w:tr>
      <w:tr w:rsidR="003B4656" w:rsidRPr="003A2F67" w:rsidTr="00EA4168">
        <w:trPr>
          <w:trHeight w:val="345"/>
        </w:trPr>
        <w:tc>
          <w:tcPr>
            <w:tcW w:w="872" w:type="dxa"/>
            <w:tcBorders>
              <w:right w:val="single" w:sz="4" w:space="0" w:color="7E7E7E"/>
            </w:tcBorders>
          </w:tcPr>
          <w:p w:rsidR="00A919B7" w:rsidRPr="003A2F67" w:rsidRDefault="00A919B7" w:rsidP="009509D9">
            <w:pPr>
              <w:pStyle w:val="TableParagraph"/>
              <w:ind w:left="112"/>
              <w:jc w:val="left"/>
              <w:rPr>
                <w:rFonts w:ascii="Arial" w:hAnsi="Arial" w:cs="Arial"/>
                <w:b/>
                <w:sz w:val="20"/>
              </w:rPr>
            </w:pPr>
            <w:r w:rsidRPr="003A2F67">
              <w:rPr>
                <w:rFonts w:ascii="Arial" w:hAnsi="Arial" w:cs="Arial"/>
                <w:b/>
                <w:sz w:val="20"/>
              </w:rPr>
              <w:t>insges.</w:t>
            </w:r>
          </w:p>
        </w:tc>
        <w:tc>
          <w:tcPr>
            <w:tcW w:w="992" w:type="dxa"/>
            <w:tcBorders>
              <w:left w:val="single" w:sz="4" w:space="0" w:color="7E7E7E"/>
            </w:tcBorders>
            <w:vAlign w:val="center"/>
          </w:tcPr>
          <w:p w:rsidR="00A919B7" w:rsidRPr="003A2F67" w:rsidRDefault="00A919B7" w:rsidP="003B4656">
            <w:pPr>
              <w:pStyle w:val="TableParagraph"/>
              <w:spacing w:line="227" w:lineRule="exact"/>
              <w:ind w:left="257" w:right="283"/>
              <w:jc w:val="left"/>
              <w:rPr>
                <w:rFonts w:ascii="Arial" w:hAnsi="Arial" w:cs="Arial"/>
                <w:b/>
                <w:sz w:val="20"/>
              </w:rPr>
            </w:pPr>
            <w:r w:rsidRPr="003A2F67">
              <w:rPr>
                <w:rFonts w:ascii="Arial" w:hAnsi="Arial" w:cs="Arial"/>
                <w:b/>
                <w:sz w:val="20"/>
              </w:rPr>
              <w:t>1284</w:t>
            </w:r>
          </w:p>
        </w:tc>
        <w:tc>
          <w:tcPr>
            <w:tcW w:w="992" w:type="dxa"/>
            <w:vAlign w:val="center"/>
          </w:tcPr>
          <w:p w:rsidR="00A919B7" w:rsidRPr="003A2F67" w:rsidRDefault="00A919B7" w:rsidP="003B4656">
            <w:pPr>
              <w:pStyle w:val="TableParagraph"/>
              <w:spacing w:line="227" w:lineRule="exact"/>
              <w:ind w:left="295" w:right="312"/>
              <w:jc w:val="left"/>
              <w:rPr>
                <w:rFonts w:ascii="Arial" w:hAnsi="Arial" w:cs="Arial"/>
                <w:b/>
                <w:sz w:val="20"/>
              </w:rPr>
            </w:pPr>
            <w:r w:rsidRPr="003A2F67">
              <w:rPr>
                <w:rFonts w:ascii="Arial" w:hAnsi="Arial" w:cs="Arial"/>
                <w:b/>
                <w:sz w:val="20"/>
              </w:rPr>
              <w:t>204</w:t>
            </w:r>
          </w:p>
        </w:tc>
        <w:tc>
          <w:tcPr>
            <w:tcW w:w="851" w:type="dxa"/>
            <w:vAlign w:val="center"/>
          </w:tcPr>
          <w:p w:rsidR="00A919B7" w:rsidRPr="003A2F67" w:rsidRDefault="00A919B7" w:rsidP="003B4656">
            <w:pPr>
              <w:pStyle w:val="TableParagraph"/>
              <w:spacing w:line="227" w:lineRule="exact"/>
              <w:ind w:left="225" w:right="217"/>
              <w:jc w:val="left"/>
              <w:rPr>
                <w:rFonts w:ascii="Arial" w:hAnsi="Arial" w:cs="Arial"/>
                <w:b/>
                <w:sz w:val="20"/>
              </w:rPr>
            </w:pPr>
            <w:r w:rsidRPr="003A2F67">
              <w:rPr>
                <w:rFonts w:ascii="Arial" w:hAnsi="Arial" w:cs="Arial"/>
                <w:b/>
                <w:sz w:val="20"/>
              </w:rPr>
              <w:t>224</w:t>
            </w:r>
          </w:p>
        </w:tc>
        <w:tc>
          <w:tcPr>
            <w:tcW w:w="708"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137</w:t>
            </w:r>
          </w:p>
        </w:tc>
        <w:tc>
          <w:tcPr>
            <w:tcW w:w="709" w:type="dxa"/>
            <w:vAlign w:val="center"/>
          </w:tcPr>
          <w:p w:rsidR="00A919B7" w:rsidRPr="003A2F67" w:rsidRDefault="00A919B7" w:rsidP="003B4656">
            <w:pPr>
              <w:pStyle w:val="TableParagraph"/>
              <w:spacing w:line="240" w:lineRule="auto"/>
              <w:ind w:left="225" w:right="217"/>
              <w:jc w:val="left"/>
              <w:rPr>
                <w:rFonts w:ascii="Arial" w:hAnsi="Arial" w:cs="Arial"/>
                <w:sz w:val="20"/>
              </w:rPr>
            </w:pPr>
            <w:r w:rsidRPr="003A2F67">
              <w:rPr>
                <w:rFonts w:ascii="Arial" w:hAnsi="Arial" w:cs="Arial"/>
                <w:sz w:val="20"/>
              </w:rPr>
              <w:t>9</w:t>
            </w:r>
          </w:p>
        </w:tc>
        <w:tc>
          <w:tcPr>
            <w:tcW w:w="709"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85</w:t>
            </w:r>
          </w:p>
        </w:tc>
        <w:tc>
          <w:tcPr>
            <w:tcW w:w="850" w:type="dxa"/>
            <w:vAlign w:val="center"/>
          </w:tcPr>
          <w:p w:rsidR="00A919B7" w:rsidRPr="003A2F67" w:rsidRDefault="00A919B7" w:rsidP="00AB28EE">
            <w:pPr>
              <w:pStyle w:val="TableParagraph"/>
              <w:spacing w:line="240" w:lineRule="auto"/>
              <w:ind w:left="225" w:right="217"/>
              <w:jc w:val="left"/>
              <w:rPr>
                <w:rFonts w:ascii="Arial" w:hAnsi="Arial" w:cs="Arial"/>
                <w:sz w:val="20"/>
              </w:rPr>
            </w:pPr>
            <w:r w:rsidRPr="003A2F67">
              <w:rPr>
                <w:rFonts w:ascii="Arial" w:hAnsi="Arial" w:cs="Arial"/>
                <w:sz w:val="20"/>
              </w:rPr>
              <w:t>741</w:t>
            </w:r>
          </w:p>
        </w:tc>
        <w:tc>
          <w:tcPr>
            <w:tcW w:w="993" w:type="dxa"/>
            <w:vAlign w:val="center"/>
          </w:tcPr>
          <w:p w:rsidR="00A919B7" w:rsidRPr="003A2F67" w:rsidRDefault="00A919B7" w:rsidP="003B4656">
            <w:pPr>
              <w:pStyle w:val="TableParagraph"/>
              <w:spacing w:line="240" w:lineRule="auto"/>
              <w:ind w:left="225" w:right="217"/>
              <w:jc w:val="left"/>
              <w:rPr>
                <w:rFonts w:ascii="Arial" w:hAnsi="Arial" w:cs="Arial"/>
                <w:b/>
                <w:sz w:val="20"/>
              </w:rPr>
            </w:pPr>
            <w:r w:rsidRPr="003A2F67">
              <w:rPr>
                <w:rFonts w:ascii="Arial" w:hAnsi="Arial" w:cs="Arial"/>
                <w:b/>
                <w:sz w:val="20"/>
              </w:rPr>
              <w:t>2</w:t>
            </w:r>
            <w:r w:rsidR="00EA4168" w:rsidRPr="003A2F67">
              <w:rPr>
                <w:rFonts w:ascii="Arial" w:hAnsi="Arial" w:cs="Arial"/>
                <w:b/>
                <w:sz w:val="20"/>
              </w:rPr>
              <w:t> </w:t>
            </w:r>
            <w:r w:rsidRPr="003A2F67">
              <w:rPr>
                <w:rFonts w:ascii="Arial" w:hAnsi="Arial" w:cs="Arial"/>
                <w:b/>
                <w:sz w:val="20"/>
              </w:rPr>
              <w:t>684</w:t>
            </w:r>
          </w:p>
        </w:tc>
      </w:tr>
    </w:tbl>
    <w:p w:rsidR="006E5140" w:rsidRDefault="006E5140" w:rsidP="006E5140">
      <w:pPr>
        <w:pStyle w:val="LTAntwortRessortText"/>
      </w:pPr>
    </w:p>
    <w:p w:rsidR="002D3B28" w:rsidRDefault="002D3B28" w:rsidP="006E5140">
      <w:pPr>
        <w:pStyle w:val="LTAntwortRessortText"/>
      </w:pPr>
    </w:p>
    <w:p w:rsidR="006E5140" w:rsidRDefault="006E5140" w:rsidP="006E5140">
      <w:pPr>
        <w:pStyle w:val="LTAntwortRessortText"/>
      </w:pPr>
    </w:p>
    <w:p w:rsidR="00AB28EE" w:rsidRDefault="00AB28EE" w:rsidP="00551E43">
      <w:pPr>
        <w:pStyle w:val="Textkrper"/>
        <w:tabs>
          <w:tab w:val="left" w:pos="4866"/>
        </w:tabs>
        <w:spacing w:line="360" w:lineRule="auto"/>
        <w:ind w:left="118" w:right="341"/>
        <w:rPr>
          <w:b/>
        </w:rPr>
      </w:pPr>
    </w:p>
    <w:p w:rsidR="00551E43" w:rsidRPr="00145529" w:rsidRDefault="00551E43" w:rsidP="006475D7">
      <w:pPr>
        <w:pStyle w:val="Textkrper"/>
        <w:spacing w:before="92"/>
        <w:ind w:left="118"/>
        <w:rPr>
          <w:rFonts w:ascii="Arial" w:hAnsi="Arial" w:cs="Arial"/>
          <w:sz w:val="20"/>
        </w:rPr>
      </w:pPr>
      <w:r w:rsidRPr="00145529">
        <w:rPr>
          <w:rFonts w:ascii="Arial" w:hAnsi="Arial" w:cs="Arial"/>
          <w:b/>
          <w:sz w:val="20"/>
        </w:rPr>
        <w:t xml:space="preserve">Tabelle 1b: </w:t>
      </w:r>
      <w:r w:rsidRPr="00145529">
        <w:rPr>
          <w:rFonts w:ascii="Arial" w:hAnsi="Arial" w:cs="Arial"/>
          <w:sz w:val="20"/>
        </w:rPr>
        <w:t xml:space="preserve">Prozentualer Anteil </w:t>
      </w:r>
      <w:r w:rsidR="00AB28EE" w:rsidRPr="00145529">
        <w:rPr>
          <w:rFonts w:ascii="Arial" w:hAnsi="Arial" w:cs="Arial"/>
          <w:sz w:val="20"/>
        </w:rPr>
        <w:t>der</w:t>
      </w:r>
      <w:r w:rsidR="003A2F67">
        <w:rPr>
          <w:rFonts w:ascii="Arial" w:hAnsi="Arial" w:cs="Arial"/>
          <w:sz w:val="20"/>
        </w:rPr>
        <w:t xml:space="preserve"> </w:t>
      </w:r>
      <w:r w:rsidRPr="00145529">
        <w:rPr>
          <w:rFonts w:ascii="Arial" w:hAnsi="Arial" w:cs="Arial"/>
          <w:sz w:val="20"/>
        </w:rPr>
        <w:t xml:space="preserve">Schulen mit flächendeckendem WLAN </w:t>
      </w:r>
      <w:r w:rsidR="002D3B28" w:rsidRPr="00145529">
        <w:rPr>
          <w:rFonts w:ascii="Arial" w:hAnsi="Arial" w:cs="Arial"/>
          <w:sz w:val="20"/>
        </w:rPr>
        <w:br/>
      </w:r>
      <w:r w:rsidRPr="00145529">
        <w:rPr>
          <w:rFonts w:ascii="Arial" w:hAnsi="Arial" w:cs="Arial"/>
          <w:sz w:val="20"/>
        </w:rPr>
        <w:t>(Daten des StMUK</w:t>
      </w:r>
      <w:r w:rsidR="002D3B28" w:rsidRPr="00145529">
        <w:rPr>
          <w:rFonts w:ascii="Arial" w:hAnsi="Arial" w:cs="Arial"/>
          <w:sz w:val="20"/>
        </w:rPr>
        <w:t xml:space="preserve"> – in Prozent</w:t>
      </w:r>
      <w:r w:rsidRPr="00145529">
        <w:rPr>
          <w:rFonts w:ascii="Arial" w:hAnsi="Arial" w:cs="Arial"/>
          <w:sz w:val="20"/>
        </w:rPr>
        <w:t>)</w:t>
      </w:r>
    </w:p>
    <w:p w:rsidR="002D3B28" w:rsidRDefault="002D3B28" w:rsidP="006475D7">
      <w:pPr>
        <w:pStyle w:val="Textkrper"/>
        <w:spacing w:before="92"/>
        <w:ind w:left="118"/>
        <w:rPr>
          <w:sz w:val="22"/>
        </w:rPr>
      </w:pPr>
    </w:p>
    <w:p w:rsidR="00551E43" w:rsidRPr="003A2F67" w:rsidRDefault="00551E43" w:rsidP="002D3B28">
      <w:pPr>
        <w:tabs>
          <w:tab w:val="left" w:pos="340"/>
        </w:tabs>
        <w:spacing w:before="138"/>
        <w:ind w:left="227"/>
        <w:rPr>
          <w:rFonts w:cs="Arial"/>
        </w:rPr>
      </w:pPr>
      <w:r w:rsidRPr="002D3B28">
        <w:t>Reg.bez</w:t>
      </w:r>
      <w:r w:rsidRPr="002D3B28">
        <w:tab/>
      </w:r>
      <w:r w:rsidR="002D3B28">
        <w:tab/>
      </w:r>
      <w:r w:rsidR="002D3B28">
        <w:tab/>
      </w:r>
      <w:r w:rsidRPr="002D3B28">
        <w:t>GMS</w:t>
      </w:r>
      <w:r w:rsidRPr="002D3B28">
        <w:tab/>
      </w:r>
      <w:r w:rsidR="002D3B28">
        <w:tab/>
      </w:r>
      <w:r w:rsidRPr="002D3B28">
        <w:t>RS</w:t>
      </w:r>
      <w:r w:rsidRPr="002D3B28">
        <w:tab/>
      </w:r>
      <w:r w:rsidR="002D3B28">
        <w:tab/>
      </w:r>
      <w:r w:rsidRPr="002D3B28">
        <w:t>GY</w:t>
      </w:r>
      <w:r w:rsidRPr="002D3B28">
        <w:tab/>
      </w:r>
      <w:r w:rsidR="002D3B28">
        <w:tab/>
      </w:r>
      <w:r w:rsidRPr="002D3B28">
        <w:t>FöS</w:t>
      </w:r>
      <w:r w:rsidRPr="002D3B28">
        <w:tab/>
      </w:r>
      <w:r w:rsidR="002D3B28">
        <w:tab/>
      </w:r>
      <w:r w:rsidRPr="002D3B28">
        <w:t>Sonst.</w:t>
      </w:r>
      <w:r w:rsidRPr="002D3B28">
        <w:tab/>
      </w:r>
      <w:r w:rsidR="002D3B28">
        <w:tab/>
      </w:r>
      <w:r w:rsidRPr="002D3B28">
        <w:t>BS</w:t>
      </w:r>
      <w:r w:rsidRPr="002D3B28">
        <w:tab/>
      </w:r>
      <w:r w:rsidR="002D3B28">
        <w:tab/>
      </w:r>
      <w:r w:rsidRPr="002D3B28">
        <w:t>Berufl.</w:t>
      </w:r>
      <w:r w:rsidRPr="002D3B28">
        <w:tab/>
      </w:r>
      <w:r w:rsidR="002D3B28">
        <w:tab/>
      </w:r>
      <w:r w:rsidRPr="004A1638">
        <w:rPr>
          <w:b/>
        </w:rPr>
        <w:t>zus.</w:t>
      </w:r>
      <w:r w:rsidR="002D3B28">
        <w:br/>
      </w:r>
    </w:p>
    <w:tbl>
      <w:tblPr>
        <w:tblStyle w:val="TableNormal"/>
        <w:tblW w:w="7676" w:type="dxa"/>
        <w:tblInd w:w="121" w:type="dxa"/>
        <w:tblLayout w:type="fixed"/>
        <w:tblLook w:val="01E0" w:firstRow="1" w:lastRow="1" w:firstColumn="1" w:lastColumn="1" w:noHBand="0" w:noVBand="0"/>
      </w:tblPr>
      <w:tblGrid>
        <w:gridCol w:w="1008"/>
        <w:gridCol w:w="1004"/>
        <w:gridCol w:w="844"/>
        <w:gridCol w:w="709"/>
        <w:gridCol w:w="709"/>
        <w:gridCol w:w="708"/>
        <w:gridCol w:w="851"/>
        <w:gridCol w:w="850"/>
        <w:gridCol w:w="993"/>
      </w:tblGrid>
      <w:tr w:rsidR="00551E43" w:rsidRPr="003A2F67" w:rsidTr="00EA4168">
        <w:trPr>
          <w:trHeight w:val="345"/>
        </w:trPr>
        <w:tc>
          <w:tcPr>
            <w:tcW w:w="1008" w:type="dxa"/>
            <w:tcBorders>
              <w:top w:val="single" w:sz="4" w:space="0" w:color="7E7E7E"/>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OBB</w:t>
            </w:r>
          </w:p>
        </w:tc>
        <w:tc>
          <w:tcPr>
            <w:tcW w:w="1004" w:type="dxa"/>
            <w:tcBorders>
              <w:top w:val="single" w:sz="4" w:space="0" w:color="7E7E7E"/>
              <w:left w:val="single" w:sz="4" w:space="0" w:color="7E7E7E"/>
            </w:tcBorders>
            <w:shd w:val="clear" w:color="auto" w:fill="F1F1F1"/>
          </w:tcPr>
          <w:p w:rsidR="00551E43" w:rsidRPr="003A2F67" w:rsidRDefault="00551E43" w:rsidP="009509D9">
            <w:pPr>
              <w:pStyle w:val="TableParagraph"/>
              <w:spacing w:line="229" w:lineRule="exact"/>
              <w:ind w:left="279" w:right="279"/>
              <w:rPr>
                <w:rFonts w:ascii="Arial" w:hAnsi="Arial" w:cs="Arial"/>
                <w:sz w:val="20"/>
                <w:szCs w:val="20"/>
              </w:rPr>
            </w:pPr>
            <w:r w:rsidRPr="003A2F67">
              <w:rPr>
                <w:rFonts w:ascii="Arial" w:hAnsi="Arial" w:cs="Arial"/>
                <w:sz w:val="20"/>
                <w:szCs w:val="20"/>
              </w:rPr>
              <w:t>36</w:t>
            </w:r>
            <w:r w:rsidR="002D3B28" w:rsidRPr="003A2F67">
              <w:rPr>
                <w:rFonts w:ascii="Arial" w:hAnsi="Arial" w:cs="Arial"/>
                <w:sz w:val="20"/>
                <w:szCs w:val="20"/>
              </w:rPr>
              <w:t xml:space="preserve"> </w:t>
            </w:r>
          </w:p>
        </w:tc>
        <w:tc>
          <w:tcPr>
            <w:tcW w:w="844" w:type="dxa"/>
            <w:tcBorders>
              <w:top w:val="single" w:sz="4" w:space="0" w:color="7E7E7E"/>
            </w:tcBorders>
            <w:shd w:val="clear" w:color="auto" w:fill="F1F1F1"/>
          </w:tcPr>
          <w:p w:rsidR="00551E43" w:rsidRPr="003A2F67" w:rsidRDefault="00551E43" w:rsidP="009509D9">
            <w:pPr>
              <w:pStyle w:val="TableParagraph"/>
              <w:spacing w:line="229" w:lineRule="exact"/>
              <w:ind w:right="299"/>
              <w:rPr>
                <w:rFonts w:ascii="Arial" w:hAnsi="Arial" w:cs="Arial"/>
                <w:sz w:val="20"/>
                <w:szCs w:val="20"/>
              </w:rPr>
            </w:pPr>
            <w:r w:rsidRPr="003A2F67">
              <w:rPr>
                <w:rFonts w:ascii="Arial" w:hAnsi="Arial" w:cs="Arial"/>
                <w:w w:val="95"/>
                <w:sz w:val="20"/>
                <w:szCs w:val="20"/>
              </w:rPr>
              <w:t>49</w:t>
            </w:r>
            <w:r w:rsidR="002D3B28" w:rsidRPr="003A2F67">
              <w:rPr>
                <w:rFonts w:ascii="Arial" w:hAnsi="Arial" w:cs="Arial"/>
                <w:w w:val="95"/>
                <w:sz w:val="20"/>
                <w:szCs w:val="20"/>
              </w:rPr>
              <w:t xml:space="preserve"> </w:t>
            </w:r>
          </w:p>
        </w:tc>
        <w:tc>
          <w:tcPr>
            <w:tcW w:w="709" w:type="dxa"/>
            <w:tcBorders>
              <w:top w:val="single" w:sz="4" w:space="0" w:color="7E7E7E"/>
            </w:tcBorders>
            <w:shd w:val="clear" w:color="auto" w:fill="F1F1F1"/>
          </w:tcPr>
          <w:p w:rsidR="00551E43" w:rsidRPr="003A2F67" w:rsidRDefault="00551E43" w:rsidP="009509D9">
            <w:pPr>
              <w:pStyle w:val="TableParagraph"/>
              <w:spacing w:line="229" w:lineRule="exact"/>
              <w:ind w:right="219"/>
              <w:rPr>
                <w:rFonts w:ascii="Arial" w:hAnsi="Arial" w:cs="Arial"/>
                <w:sz w:val="20"/>
                <w:szCs w:val="20"/>
              </w:rPr>
            </w:pPr>
            <w:r w:rsidRPr="003A2F67">
              <w:rPr>
                <w:rFonts w:ascii="Arial" w:hAnsi="Arial" w:cs="Arial"/>
                <w:sz w:val="20"/>
                <w:szCs w:val="20"/>
              </w:rPr>
              <w:t>52</w:t>
            </w:r>
            <w:r w:rsidR="002D3B28" w:rsidRPr="003A2F67">
              <w:rPr>
                <w:rFonts w:ascii="Arial" w:hAnsi="Arial" w:cs="Arial"/>
                <w:sz w:val="20"/>
                <w:szCs w:val="20"/>
              </w:rPr>
              <w:t xml:space="preserve"> </w:t>
            </w:r>
          </w:p>
        </w:tc>
        <w:tc>
          <w:tcPr>
            <w:tcW w:w="709" w:type="dxa"/>
            <w:tcBorders>
              <w:top w:val="single" w:sz="4" w:space="0" w:color="7E7E7E"/>
            </w:tcBorders>
            <w:shd w:val="clear" w:color="auto" w:fill="F1F1F1"/>
          </w:tcPr>
          <w:p w:rsidR="00551E43" w:rsidRPr="003A2F67" w:rsidRDefault="00551E43" w:rsidP="009509D9">
            <w:pPr>
              <w:pStyle w:val="TableParagraph"/>
              <w:spacing w:line="229" w:lineRule="exact"/>
              <w:ind w:right="219"/>
              <w:rPr>
                <w:rFonts w:ascii="Arial" w:hAnsi="Arial" w:cs="Arial"/>
                <w:sz w:val="20"/>
                <w:szCs w:val="20"/>
              </w:rPr>
            </w:pPr>
            <w:r w:rsidRPr="003A2F67">
              <w:rPr>
                <w:rFonts w:ascii="Arial" w:hAnsi="Arial" w:cs="Arial"/>
                <w:sz w:val="20"/>
                <w:szCs w:val="20"/>
              </w:rPr>
              <w:t>40</w:t>
            </w:r>
            <w:r w:rsidR="002D3B28" w:rsidRPr="003A2F67">
              <w:rPr>
                <w:rFonts w:ascii="Arial" w:hAnsi="Arial" w:cs="Arial"/>
                <w:sz w:val="20"/>
                <w:szCs w:val="20"/>
              </w:rPr>
              <w:t xml:space="preserve"> </w:t>
            </w:r>
          </w:p>
        </w:tc>
        <w:tc>
          <w:tcPr>
            <w:tcW w:w="708" w:type="dxa"/>
            <w:tcBorders>
              <w:top w:val="single" w:sz="4" w:space="0" w:color="7E7E7E"/>
            </w:tcBorders>
            <w:shd w:val="clear" w:color="auto" w:fill="F1F1F1"/>
          </w:tcPr>
          <w:p w:rsidR="00551E43" w:rsidRPr="003A2F67" w:rsidRDefault="00551E43" w:rsidP="009509D9">
            <w:pPr>
              <w:pStyle w:val="TableParagraph"/>
              <w:spacing w:line="229" w:lineRule="exact"/>
              <w:ind w:right="219"/>
              <w:rPr>
                <w:rFonts w:ascii="Arial" w:hAnsi="Arial" w:cs="Arial"/>
                <w:sz w:val="20"/>
                <w:szCs w:val="20"/>
              </w:rPr>
            </w:pPr>
            <w:r w:rsidRPr="003A2F67">
              <w:rPr>
                <w:rFonts w:ascii="Arial" w:hAnsi="Arial" w:cs="Arial"/>
                <w:sz w:val="20"/>
                <w:szCs w:val="20"/>
              </w:rPr>
              <w:t>11</w:t>
            </w:r>
            <w:r w:rsidR="002D3B28" w:rsidRPr="003A2F67">
              <w:rPr>
                <w:rFonts w:ascii="Arial" w:hAnsi="Arial" w:cs="Arial"/>
                <w:sz w:val="20"/>
                <w:szCs w:val="20"/>
              </w:rPr>
              <w:t xml:space="preserve"> </w:t>
            </w:r>
          </w:p>
        </w:tc>
        <w:tc>
          <w:tcPr>
            <w:tcW w:w="851" w:type="dxa"/>
            <w:tcBorders>
              <w:top w:val="single" w:sz="4" w:space="0" w:color="7E7E7E"/>
            </w:tcBorders>
            <w:shd w:val="clear" w:color="auto" w:fill="F1F1F1"/>
          </w:tcPr>
          <w:p w:rsidR="00551E43" w:rsidRPr="003A2F67" w:rsidRDefault="00551E43" w:rsidP="009509D9">
            <w:pPr>
              <w:pStyle w:val="TableParagraph"/>
              <w:spacing w:line="229" w:lineRule="exact"/>
              <w:ind w:right="219"/>
              <w:rPr>
                <w:rFonts w:ascii="Arial" w:hAnsi="Arial" w:cs="Arial"/>
                <w:sz w:val="20"/>
                <w:szCs w:val="20"/>
              </w:rPr>
            </w:pPr>
            <w:r w:rsidRPr="003A2F67">
              <w:rPr>
                <w:rFonts w:ascii="Arial" w:hAnsi="Arial" w:cs="Arial"/>
                <w:sz w:val="20"/>
                <w:szCs w:val="20"/>
              </w:rPr>
              <w:t>51</w:t>
            </w:r>
            <w:r w:rsidR="002D3B28" w:rsidRPr="003A2F67">
              <w:rPr>
                <w:rFonts w:ascii="Arial" w:hAnsi="Arial" w:cs="Arial"/>
                <w:sz w:val="20"/>
                <w:szCs w:val="20"/>
              </w:rPr>
              <w:t xml:space="preserve"> </w:t>
            </w:r>
          </w:p>
        </w:tc>
        <w:tc>
          <w:tcPr>
            <w:tcW w:w="850" w:type="dxa"/>
            <w:tcBorders>
              <w:top w:val="single" w:sz="4" w:space="0" w:color="7E7E7E"/>
            </w:tcBorders>
            <w:shd w:val="clear" w:color="auto" w:fill="F1F1F1"/>
          </w:tcPr>
          <w:p w:rsidR="00551E43" w:rsidRPr="003A2F67" w:rsidRDefault="00551E43" w:rsidP="009509D9">
            <w:pPr>
              <w:pStyle w:val="TableParagraph"/>
              <w:spacing w:line="229" w:lineRule="exact"/>
              <w:ind w:right="219"/>
              <w:rPr>
                <w:rFonts w:ascii="Arial" w:hAnsi="Arial" w:cs="Arial"/>
                <w:sz w:val="20"/>
                <w:szCs w:val="20"/>
              </w:rPr>
            </w:pPr>
            <w:r w:rsidRPr="003A2F67">
              <w:rPr>
                <w:rFonts w:ascii="Arial" w:hAnsi="Arial" w:cs="Arial"/>
                <w:sz w:val="20"/>
                <w:szCs w:val="20"/>
              </w:rPr>
              <w:t>57</w:t>
            </w:r>
            <w:r w:rsidR="002D3B28" w:rsidRPr="003A2F67">
              <w:rPr>
                <w:rFonts w:ascii="Arial" w:hAnsi="Arial" w:cs="Arial"/>
                <w:sz w:val="20"/>
                <w:szCs w:val="20"/>
              </w:rPr>
              <w:t xml:space="preserve"> </w:t>
            </w:r>
          </w:p>
        </w:tc>
        <w:tc>
          <w:tcPr>
            <w:tcW w:w="993" w:type="dxa"/>
            <w:tcBorders>
              <w:top w:val="single" w:sz="4" w:space="0" w:color="7E7E7E"/>
            </w:tcBorders>
            <w:shd w:val="clear" w:color="auto" w:fill="F1F1F1"/>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43</w:t>
            </w:r>
            <w:r w:rsidR="002D3B28" w:rsidRPr="003A2F67">
              <w:rPr>
                <w:rFonts w:ascii="Arial" w:hAnsi="Arial" w:cs="Arial"/>
                <w:b/>
                <w:sz w:val="20"/>
                <w:szCs w:val="20"/>
              </w:rPr>
              <w:t xml:space="preserve"> </w:t>
            </w:r>
          </w:p>
        </w:tc>
      </w:tr>
      <w:tr w:rsidR="00551E43" w:rsidRPr="003A2F67" w:rsidTr="00EA416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NDB</w:t>
            </w:r>
          </w:p>
        </w:tc>
        <w:tc>
          <w:tcPr>
            <w:tcW w:w="1004" w:type="dxa"/>
            <w:tcBorders>
              <w:left w:val="single" w:sz="4" w:space="0" w:color="7E7E7E"/>
            </w:tcBorders>
          </w:tcPr>
          <w:p w:rsidR="00551E43" w:rsidRPr="003A2F67" w:rsidRDefault="00551E43" w:rsidP="009509D9">
            <w:pPr>
              <w:pStyle w:val="TableParagraph"/>
              <w:ind w:left="279" w:right="279"/>
              <w:rPr>
                <w:rFonts w:ascii="Arial" w:hAnsi="Arial" w:cs="Arial"/>
                <w:sz w:val="20"/>
                <w:szCs w:val="20"/>
              </w:rPr>
            </w:pPr>
            <w:r w:rsidRPr="003A2F67">
              <w:rPr>
                <w:rFonts w:ascii="Arial" w:hAnsi="Arial" w:cs="Arial"/>
                <w:sz w:val="20"/>
                <w:szCs w:val="20"/>
              </w:rPr>
              <w:t>37</w:t>
            </w:r>
            <w:r w:rsidR="002D3B28" w:rsidRPr="003A2F67">
              <w:rPr>
                <w:rFonts w:ascii="Arial" w:hAnsi="Arial" w:cs="Arial"/>
                <w:sz w:val="20"/>
                <w:szCs w:val="20"/>
              </w:rPr>
              <w:t xml:space="preserve"> </w:t>
            </w:r>
          </w:p>
        </w:tc>
        <w:tc>
          <w:tcPr>
            <w:tcW w:w="844" w:type="dxa"/>
          </w:tcPr>
          <w:p w:rsidR="00551E43" w:rsidRPr="003A2F67" w:rsidRDefault="00551E43" w:rsidP="009509D9">
            <w:pPr>
              <w:pStyle w:val="TableParagraph"/>
              <w:ind w:right="299"/>
              <w:rPr>
                <w:rFonts w:ascii="Arial" w:hAnsi="Arial" w:cs="Arial"/>
                <w:sz w:val="20"/>
                <w:szCs w:val="20"/>
              </w:rPr>
            </w:pPr>
            <w:r w:rsidRPr="003A2F67">
              <w:rPr>
                <w:rFonts w:ascii="Arial" w:hAnsi="Arial" w:cs="Arial"/>
                <w:w w:val="95"/>
                <w:sz w:val="20"/>
                <w:szCs w:val="20"/>
              </w:rPr>
              <w:t>68</w:t>
            </w:r>
            <w:r w:rsidR="002D3B28" w:rsidRPr="003A2F67">
              <w:rPr>
                <w:rFonts w:ascii="Arial" w:hAnsi="Arial" w:cs="Arial"/>
                <w:w w:val="95"/>
                <w:sz w:val="20"/>
                <w:szCs w:val="20"/>
              </w:rPr>
              <w:t xml:space="preserve"> </w:t>
            </w:r>
          </w:p>
        </w:tc>
        <w:tc>
          <w:tcPr>
            <w:tcW w:w="709"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62</w:t>
            </w:r>
            <w:r w:rsidR="002D3B28" w:rsidRPr="003A2F67">
              <w:rPr>
                <w:rFonts w:ascii="Arial" w:hAnsi="Arial" w:cs="Arial"/>
                <w:sz w:val="20"/>
                <w:szCs w:val="20"/>
              </w:rPr>
              <w:t xml:space="preserve"> </w:t>
            </w:r>
          </w:p>
        </w:tc>
        <w:tc>
          <w:tcPr>
            <w:tcW w:w="709"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36</w:t>
            </w:r>
            <w:r w:rsidR="002D3B28" w:rsidRPr="003A2F67">
              <w:rPr>
                <w:rFonts w:ascii="Arial" w:hAnsi="Arial" w:cs="Arial"/>
                <w:sz w:val="20"/>
                <w:szCs w:val="20"/>
              </w:rPr>
              <w:t xml:space="preserve"> </w:t>
            </w:r>
          </w:p>
        </w:tc>
        <w:tc>
          <w:tcPr>
            <w:tcW w:w="708" w:type="dxa"/>
          </w:tcPr>
          <w:p w:rsidR="00551E43" w:rsidRPr="003A2F67" w:rsidRDefault="00551E43" w:rsidP="009509D9">
            <w:pPr>
              <w:pStyle w:val="TableParagraph"/>
              <w:ind w:left="13"/>
              <w:rPr>
                <w:rFonts w:ascii="Arial" w:hAnsi="Arial" w:cs="Arial"/>
                <w:sz w:val="20"/>
                <w:szCs w:val="20"/>
              </w:rPr>
            </w:pPr>
            <w:r w:rsidRPr="003A2F67">
              <w:rPr>
                <w:rFonts w:ascii="Arial" w:hAnsi="Arial" w:cs="Arial"/>
                <w:w w:val="99"/>
                <w:sz w:val="20"/>
                <w:szCs w:val="20"/>
              </w:rPr>
              <w:t>-</w:t>
            </w:r>
          </w:p>
        </w:tc>
        <w:tc>
          <w:tcPr>
            <w:tcW w:w="851"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44</w:t>
            </w:r>
            <w:r w:rsidR="002D3B28" w:rsidRPr="003A2F67">
              <w:rPr>
                <w:rFonts w:ascii="Arial" w:hAnsi="Arial" w:cs="Arial"/>
                <w:sz w:val="20"/>
                <w:szCs w:val="20"/>
              </w:rPr>
              <w:t xml:space="preserve"> </w:t>
            </w:r>
          </w:p>
        </w:tc>
        <w:tc>
          <w:tcPr>
            <w:tcW w:w="850"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51</w:t>
            </w:r>
            <w:r w:rsidR="002D3B28" w:rsidRPr="003A2F67">
              <w:rPr>
                <w:rFonts w:ascii="Arial" w:hAnsi="Arial" w:cs="Arial"/>
                <w:sz w:val="20"/>
                <w:szCs w:val="20"/>
              </w:rPr>
              <w:t xml:space="preserve"> </w:t>
            </w:r>
          </w:p>
        </w:tc>
        <w:tc>
          <w:tcPr>
            <w:tcW w:w="993" w:type="dxa"/>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43</w:t>
            </w:r>
            <w:r w:rsidR="002D3B28" w:rsidRPr="003A2F67">
              <w:rPr>
                <w:rFonts w:ascii="Arial" w:hAnsi="Arial" w:cs="Arial"/>
                <w:b/>
                <w:sz w:val="20"/>
                <w:szCs w:val="20"/>
              </w:rPr>
              <w:t xml:space="preserve"> </w:t>
            </w:r>
          </w:p>
        </w:tc>
      </w:tr>
      <w:tr w:rsidR="00551E43" w:rsidRPr="003A2F67" w:rsidTr="00EA4168">
        <w:trPr>
          <w:trHeight w:val="343"/>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OPF</w:t>
            </w:r>
          </w:p>
        </w:tc>
        <w:tc>
          <w:tcPr>
            <w:tcW w:w="1004" w:type="dxa"/>
            <w:tcBorders>
              <w:left w:val="single" w:sz="4" w:space="0" w:color="7E7E7E"/>
            </w:tcBorders>
            <w:shd w:val="clear" w:color="auto" w:fill="F1F1F1"/>
          </w:tcPr>
          <w:p w:rsidR="00551E43" w:rsidRPr="003A2F67" w:rsidRDefault="00551E43" w:rsidP="009509D9">
            <w:pPr>
              <w:pStyle w:val="TableParagraph"/>
              <w:ind w:left="279" w:right="279"/>
              <w:rPr>
                <w:rFonts w:ascii="Arial" w:hAnsi="Arial" w:cs="Arial"/>
                <w:sz w:val="20"/>
                <w:szCs w:val="20"/>
              </w:rPr>
            </w:pPr>
            <w:r w:rsidRPr="003A2F67">
              <w:rPr>
                <w:rFonts w:ascii="Arial" w:hAnsi="Arial" w:cs="Arial"/>
                <w:sz w:val="20"/>
                <w:szCs w:val="20"/>
              </w:rPr>
              <w:t>45</w:t>
            </w:r>
            <w:r w:rsidR="002D3B28" w:rsidRPr="003A2F67">
              <w:rPr>
                <w:rFonts w:ascii="Arial" w:hAnsi="Arial" w:cs="Arial"/>
                <w:sz w:val="20"/>
                <w:szCs w:val="20"/>
              </w:rPr>
              <w:t xml:space="preserve"> </w:t>
            </w:r>
          </w:p>
        </w:tc>
        <w:tc>
          <w:tcPr>
            <w:tcW w:w="844" w:type="dxa"/>
            <w:shd w:val="clear" w:color="auto" w:fill="F1F1F1"/>
          </w:tcPr>
          <w:p w:rsidR="00551E43" w:rsidRPr="003A2F67" w:rsidRDefault="00551E43" w:rsidP="009509D9">
            <w:pPr>
              <w:pStyle w:val="TableParagraph"/>
              <w:ind w:right="299"/>
              <w:rPr>
                <w:rFonts w:ascii="Arial" w:hAnsi="Arial" w:cs="Arial"/>
                <w:sz w:val="20"/>
                <w:szCs w:val="20"/>
              </w:rPr>
            </w:pPr>
            <w:r w:rsidRPr="003A2F67">
              <w:rPr>
                <w:rFonts w:ascii="Arial" w:hAnsi="Arial" w:cs="Arial"/>
                <w:w w:val="95"/>
                <w:sz w:val="20"/>
                <w:szCs w:val="20"/>
              </w:rPr>
              <w:t>51</w:t>
            </w:r>
            <w:r w:rsidR="002D3B28" w:rsidRPr="003A2F67">
              <w:rPr>
                <w:rFonts w:ascii="Arial" w:hAnsi="Arial" w:cs="Arial"/>
                <w:w w:val="95"/>
                <w:sz w:val="20"/>
                <w:szCs w:val="20"/>
              </w:rPr>
              <w:t xml:space="preserve"> </w:t>
            </w:r>
          </w:p>
        </w:tc>
        <w:tc>
          <w:tcPr>
            <w:tcW w:w="709"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50</w:t>
            </w:r>
            <w:r w:rsidR="002D3B28" w:rsidRPr="003A2F67">
              <w:rPr>
                <w:rFonts w:ascii="Arial" w:hAnsi="Arial" w:cs="Arial"/>
                <w:sz w:val="20"/>
                <w:szCs w:val="20"/>
              </w:rPr>
              <w:t xml:space="preserve"> </w:t>
            </w:r>
          </w:p>
        </w:tc>
        <w:tc>
          <w:tcPr>
            <w:tcW w:w="709"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31</w:t>
            </w:r>
            <w:r w:rsidR="002D3B28" w:rsidRPr="003A2F67">
              <w:rPr>
                <w:rFonts w:ascii="Arial" w:hAnsi="Arial" w:cs="Arial"/>
                <w:sz w:val="20"/>
                <w:szCs w:val="20"/>
              </w:rPr>
              <w:t xml:space="preserve"> </w:t>
            </w:r>
          </w:p>
        </w:tc>
        <w:tc>
          <w:tcPr>
            <w:tcW w:w="708" w:type="dxa"/>
            <w:shd w:val="clear" w:color="auto" w:fill="F1F1F1"/>
          </w:tcPr>
          <w:p w:rsidR="00551E43" w:rsidRPr="003A2F67" w:rsidRDefault="00551E43" w:rsidP="009509D9">
            <w:pPr>
              <w:pStyle w:val="TableParagraph"/>
              <w:ind w:left="13"/>
              <w:rPr>
                <w:rFonts w:ascii="Arial" w:hAnsi="Arial" w:cs="Arial"/>
                <w:sz w:val="20"/>
                <w:szCs w:val="20"/>
              </w:rPr>
            </w:pPr>
            <w:r w:rsidRPr="003A2F67">
              <w:rPr>
                <w:rFonts w:ascii="Arial" w:hAnsi="Arial" w:cs="Arial"/>
                <w:w w:val="99"/>
                <w:sz w:val="20"/>
                <w:szCs w:val="20"/>
              </w:rPr>
              <w:t>-</w:t>
            </w:r>
          </w:p>
        </w:tc>
        <w:tc>
          <w:tcPr>
            <w:tcW w:w="851"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58</w:t>
            </w:r>
            <w:r w:rsidR="002D3B28" w:rsidRPr="003A2F67">
              <w:rPr>
                <w:rFonts w:ascii="Arial" w:hAnsi="Arial" w:cs="Arial"/>
                <w:sz w:val="20"/>
                <w:szCs w:val="20"/>
              </w:rPr>
              <w:t xml:space="preserve"> </w:t>
            </w:r>
          </w:p>
        </w:tc>
        <w:tc>
          <w:tcPr>
            <w:tcW w:w="850"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58</w:t>
            </w:r>
            <w:r w:rsidR="002D3B28" w:rsidRPr="003A2F67">
              <w:rPr>
                <w:rFonts w:ascii="Arial" w:hAnsi="Arial" w:cs="Arial"/>
                <w:sz w:val="20"/>
                <w:szCs w:val="20"/>
              </w:rPr>
              <w:t xml:space="preserve"> </w:t>
            </w:r>
          </w:p>
        </w:tc>
        <w:tc>
          <w:tcPr>
            <w:tcW w:w="993" w:type="dxa"/>
            <w:shd w:val="clear" w:color="auto" w:fill="F1F1F1"/>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48</w:t>
            </w:r>
            <w:r w:rsidR="002D3B28" w:rsidRPr="003A2F67">
              <w:rPr>
                <w:rFonts w:ascii="Arial" w:hAnsi="Arial" w:cs="Arial"/>
                <w:b/>
                <w:sz w:val="20"/>
                <w:szCs w:val="20"/>
              </w:rPr>
              <w:t xml:space="preserve"> </w:t>
            </w:r>
          </w:p>
        </w:tc>
      </w:tr>
      <w:tr w:rsidR="00551E43" w:rsidRPr="003A2F67" w:rsidTr="00EA416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OFR</w:t>
            </w:r>
          </w:p>
        </w:tc>
        <w:tc>
          <w:tcPr>
            <w:tcW w:w="1004" w:type="dxa"/>
            <w:tcBorders>
              <w:left w:val="single" w:sz="4" w:space="0" w:color="7E7E7E"/>
            </w:tcBorders>
          </w:tcPr>
          <w:p w:rsidR="00551E43" w:rsidRPr="003A2F67" w:rsidRDefault="00551E43" w:rsidP="009509D9">
            <w:pPr>
              <w:pStyle w:val="TableParagraph"/>
              <w:ind w:left="279" w:right="279"/>
              <w:rPr>
                <w:rFonts w:ascii="Arial" w:hAnsi="Arial" w:cs="Arial"/>
                <w:sz w:val="20"/>
                <w:szCs w:val="20"/>
              </w:rPr>
            </w:pPr>
            <w:r w:rsidRPr="003A2F67">
              <w:rPr>
                <w:rFonts w:ascii="Arial" w:hAnsi="Arial" w:cs="Arial"/>
                <w:sz w:val="20"/>
                <w:szCs w:val="20"/>
              </w:rPr>
              <w:t>43</w:t>
            </w:r>
            <w:r w:rsidR="002D3B28" w:rsidRPr="003A2F67">
              <w:rPr>
                <w:rFonts w:ascii="Arial" w:hAnsi="Arial" w:cs="Arial"/>
                <w:sz w:val="20"/>
                <w:szCs w:val="20"/>
              </w:rPr>
              <w:t xml:space="preserve"> </w:t>
            </w:r>
          </w:p>
        </w:tc>
        <w:tc>
          <w:tcPr>
            <w:tcW w:w="844" w:type="dxa"/>
          </w:tcPr>
          <w:p w:rsidR="00551E43" w:rsidRPr="003A2F67" w:rsidRDefault="00551E43" w:rsidP="009509D9">
            <w:pPr>
              <w:pStyle w:val="TableParagraph"/>
              <w:ind w:right="299"/>
              <w:rPr>
                <w:rFonts w:ascii="Arial" w:hAnsi="Arial" w:cs="Arial"/>
                <w:sz w:val="20"/>
                <w:szCs w:val="20"/>
              </w:rPr>
            </w:pPr>
            <w:r w:rsidRPr="003A2F67">
              <w:rPr>
                <w:rFonts w:ascii="Arial" w:hAnsi="Arial" w:cs="Arial"/>
                <w:w w:val="95"/>
                <w:sz w:val="20"/>
                <w:szCs w:val="20"/>
              </w:rPr>
              <w:t>59</w:t>
            </w:r>
            <w:r w:rsidR="002D3B28" w:rsidRPr="003A2F67">
              <w:rPr>
                <w:rFonts w:ascii="Arial" w:hAnsi="Arial" w:cs="Arial"/>
                <w:w w:val="95"/>
                <w:sz w:val="20"/>
                <w:szCs w:val="20"/>
              </w:rPr>
              <w:t xml:space="preserve"> </w:t>
            </w:r>
          </w:p>
        </w:tc>
        <w:tc>
          <w:tcPr>
            <w:tcW w:w="709"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53</w:t>
            </w:r>
            <w:r w:rsidR="002D3B28" w:rsidRPr="003A2F67">
              <w:rPr>
                <w:rFonts w:ascii="Arial" w:hAnsi="Arial" w:cs="Arial"/>
                <w:sz w:val="20"/>
                <w:szCs w:val="20"/>
              </w:rPr>
              <w:t xml:space="preserve"> </w:t>
            </w:r>
          </w:p>
        </w:tc>
        <w:tc>
          <w:tcPr>
            <w:tcW w:w="709"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24</w:t>
            </w:r>
            <w:r w:rsidR="002D3B28" w:rsidRPr="003A2F67">
              <w:rPr>
                <w:rFonts w:ascii="Arial" w:hAnsi="Arial" w:cs="Arial"/>
                <w:sz w:val="20"/>
                <w:szCs w:val="20"/>
              </w:rPr>
              <w:t xml:space="preserve"> </w:t>
            </w:r>
          </w:p>
        </w:tc>
        <w:tc>
          <w:tcPr>
            <w:tcW w:w="708"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50</w:t>
            </w:r>
            <w:r w:rsidR="002D3B28" w:rsidRPr="003A2F67">
              <w:rPr>
                <w:rFonts w:ascii="Arial" w:hAnsi="Arial" w:cs="Arial"/>
                <w:sz w:val="20"/>
                <w:szCs w:val="20"/>
              </w:rPr>
              <w:t xml:space="preserve"> </w:t>
            </w:r>
          </w:p>
        </w:tc>
        <w:tc>
          <w:tcPr>
            <w:tcW w:w="851"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41</w:t>
            </w:r>
            <w:r w:rsidR="002D3B28" w:rsidRPr="003A2F67">
              <w:rPr>
                <w:rFonts w:ascii="Arial" w:hAnsi="Arial" w:cs="Arial"/>
                <w:sz w:val="20"/>
                <w:szCs w:val="20"/>
              </w:rPr>
              <w:t xml:space="preserve"> </w:t>
            </w:r>
          </w:p>
        </w:tc>
        <w:tc>
          <w:tcPr>
            <w:tcW w:w="850"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57</w:t>
            </w:r>
            <w:r w:rsidR="002D3B28" w:rsidRPr="003A2F67">
              <w:rPr>
                <w:rFonts w:ascii="Arial" w:hAnsi="Arial" w:cs="Arial"/>
                <w:sz w:val="20"/>
                <w:szCs w:val="20"/>
              </w:rPr>
              <w:t xml:space="preserve"> </w:t>
            </w:r>
          </w:p>
        </w:tc>
        <w:tc>
          <w:tcPr>
            <w:tcW w:w="993" w:type="dxa"/>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47</w:t>
            </w:r>
            <w:r w:rsidR="002D3B28" w:rsidRPr="003A2F67">
              <w:rPr>
                <w:rFonts w:ascii="Arial" w:hAnsi="Arial" w:cs="Arial"/>
                <w:b/>
                <w:sz w:val="20"/>
                <w:szCs w:val="20"/>
              </w:rPr>
              <w:t xml:space="preserve"> </w:t>
            </w:r>
          </w:p>
        </w:tc>
      </w:tr>
      <w:tr w:rsidR="00551E43" w:rsidRPr="003A2F67" w:rsidTr="00EA416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MFR</w:t>
            </w:r>
          </w:p>
        </w:tc>
        <w:tc>
          <w:tcPr>
            <w:tcW w:w="1004" w:type="dxa"/>
            <w:tcBorders>
              <w:left w:val="single" w:sz="4" w:space="0" w:color="7E7E7E"/>
            </w:tcBorders>
            <w:shd w:val="clear" w:color="auto" w:fill="F1F1F1"/>
          </w:tcPr>
          <w:p w:rsidR="00551E43" w:rsidRPr="003A2F67" w:rsidRDefault="00551E43" w:rsidP="009509D9">
            <w:pPr>
              <w:pStyle w:val="TableParagraph"/>
              <w:ind w:left="279" w:right="279"/>
              <w:rPr>
                <w:rFonts w:ascii="Arial" w:hAnsi="Arial" w:cs="Arial"/>
                <w:sz w:val="20"/>
                <w:szCs w:val="20"/>
              </w:rPr>
            </w:pPr>
            <w:r w:rsidRPr="003A2F67">
              <w:rPr>
                <w:rFonts w:ascii="Arial" w:hAnsi="Arial" w:cs="Arial"/>
                <w:sz w:val="20"/>
                <w:szCs w:val="20"/>
              </w:rPr>
              <w:t>41</w:t>
            </w:r>
            <w:r w:rsidR="002D3B28" w:rsidRPr="003A2F67">
              <w:rPr>
                <w:rFonts w:ascii="Arial" w:hAnsi="Arial" w:cs="Arial"/>
                <w:sz w:val="20"/>
                <w:szCs w:val="20"/>
              </w:rPr>
              <w:t xml:space="preserve"> </w:t>
            </w:r>
          </w:p>
        </w:tc>
        <w:tc>
          <w:tcPr>
            <w:tcW w:w="844" w:type="dxa"/>
            <w:shd w:val="clear" w:color="auto" w:fill="F1F1F1"/>
          </w:tcPr>
          <w:p w:rsidR="00551E43" w:rsidRPr="003A2F67" w:rsidRDefault="00551E43" w:rsidP="009509D9">
            <w:pPr>
              <w:pStyle w:val="TableParagraph"/>
              <w:ind w:right="299"/>
              <w:rPr>
                <w:rFonts w:ascii="Arial" w:hAnsi="Arial" w:cs="Arial"/>
                <w:sz w:val="20"/>
                <w:szCs w:val="20"/>
              </w:rPr>
            </w:pPr>
            <w:r w:rsidRPr="003A2F67">
              <w:rPr>
                <w:rFonts w:ascii="Arial" w:hAnsi="Arial" w:cs="Arial"/>
                <w:w w:val="95"/>
                <w:sz w:val="20"/>
                <w:szCs w:val="20"/>
              </w:rPr>
              <w:t>55</w:t>
            </w:r>
            <w:r w:rsidR="002D3B28" w:rsidRPr="003A2F67">
              <w:rPr>
                <w:rFonts w:ascii="Arial" w:hAnsi="Arial" w:cs="Arial"/>
                <w:w w:val="95"/>
                <w:sz w:val="20"/>
                <w:szCs w:val="20"/>
              </w:rPr>
              <w:t xml:space="preserve"> </w:t>
            </w:r>
          </w:p>
        </w:tc>
        <w:tc>
          <w:tcPr>
            <w:tcW w:w="709"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37</w:t>
            </w:r>
            <w:r w:rsidR="002D3B28" w:rsidRPr="003A2F67">
              <w:rPr>
                <w:rFonts w:ascii="Arial" w:hAnsi="Arial" w:cs="Arial"/>
                <w:sz w:val="20"/>
                <w:szCs w:val="20"/>
              </w:rPr>
              <w:t xml:space="preserve"> </w:t>
            </w:r>
          </w:p>
        </w:tc>
        <w:tc>
          <w:tcPr>
            <w:tcW w:w="709"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31</w:t>
            </w:r>
            <w:r w:rsidR="002D3B28" w:rsidRPr="003A2F67">
              <w:rPr>
                <w:rFonts w:ascii="Arial" w:hAnsi="Arial" w:cs="Arial"/>
                <w:sz w:val="20"/>
                <w:szCs w:val="20"/>
              </w:rPr>
              <w:t xml:space="preserve"> </w:t>
            </w:r>
          </w:p>
        </w:tc>
        <w:tc>
          <w:tcPr>
            <w:tcW w:w="708"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17</w:t>
            </w:r>
            <w:r w:rsidR="002D3B28" w:rsidRPr="003A2F67">
              <w:rPr>
                <w:rFonts w:ascii="Arial" w:hAnsi="Arial" w:cs="Arial"/>
                <w:sz w:val="20"/>
                <w:szCs w:val="20"/>
              </w:rPr>
              <w:t xml:space="preserve"> </w:t>
            </w:r>
          </w:p>
        </w:tc>
        <w:tc>
          <w:tcPr>
            <w:tcW w:w="851"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43</w:t>
            </w:r>
            <w:r w:rsidR="002D3B28" w:rsidRPr="003A2F67">
              <w:rPr>
                <w:rFonts w:ascii="Arial" w:hAnsi="Arial" w:cs="Arial"/>
                <w:sz w:val="20"/>
                <w:szCs w:val="20"/>
              </w:rPr>
              <w:t xml:space="preserve"> </w:t>
            </w:r>
          </w:p>
        </w:tc>
        <w:tc>
          <w:tcPr>
            <w:tcW w:w="850"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48</w:t>
            </w:r>
            <w:r w:rsidR="002D3B28" w:rsidRPr="003A2F67">
              <w:rPr>
                <w:rFonts w:ascii="Arial" w:hAnsi="Arial" w:cs="Arial"/>
                <w:sz w:val="20"/>
                <w:szCs w:val="20"/>
              </w:rPr>
              <w:t xml:space="preserve"> </w:t>
            </w:r>
          </w:p>
        </w:tc>
        <w:tc>
          <w:tcPr>
            <w:tcW w:w="993" w:type="dxa"/>
            <w:shd w:val="clear" w:color="auto" w:fill="F1F1F1"/>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42</w:t>
            </w:r>
            <w:r w:rsidR="002D3B28" w:rsidRPr="003A2F67">
              <w:rPr>
                <w:rFonts w:ascii="Arial" w:hAnsi="Arial" w:cs="Arial"/>
                <w:b/>
                <w:sz w:val="20"/>
                <w:szCs w:val="20"/>
              </w:rPr>
              <w:t xml:space="preserve"> </w:t>
            </w:r>
          </w:p>
        </w:tc>
      </w:tr>
      <w:tr w:rsidR="00551E43" w:rsidRPr="003A2F67" w:rsidTr="00EA416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UFR</w:t>
            </w:r>
          </w:p>
        </w:tc>
        <w:tc>
          <w:tcPr>
            <w:tcW w:w="1004" w:type="dxa"/>
            <w:tcBorders>
              <w:left w:val="single" w:sz="4" w:space="0" w:color="7E7E7E"/>
            </w:tcBorders>
          </w:tcPr>
          <w:p w:rsidR="00551E43" w:rsidRPr="003A2F67" w:rsidRDefault="00551E43" w:rsidP="009509D9">
            <w:pPr>
              <w:pStyle w:val="TableParagraph"/>
              <w:ind w:left="279" w:right="279"/>
              <w:rPr>
                <w:rFonts w:ascii="Arial" w:hAnsi="Arial" w:cs="Arial"/>
                <w:sz w:val="20"/>
                <w:szCs w:val="20"/>
              </w:rPr>
            </w:pPr>
            <w:r w:rsidRPr="003A2F67">
              <w:rPr>
                <w:rFonts w:ascii="Arial" w:hAnsi="Arial" w:cs="Arial"/>
                <w:sz w:val="20"/>
                <w:szCs w:val="20"/>
              </w:rPr>
              <w:t>40</w:t>
            </w:r>
            <w:r w:rsidR="002D3B28" w:rsidRPr="003A2F67">
              <w:rPr>
                <w:rFonts w:ascii="Arial" w:hAnsi="Arial" w:cs="Arial"/>
                <w:sz w:val="20"/>
                <w:szCs w:val="20"/>
              </w:rPr>
              <w:t xml:space="preserve"> </w:t>
            </w:r>
          </w:p>
        </w:tc>
        <w:tc>
          <w:tcPr>
            <w:tcW w:w="844" w:type="dxa"/>
          </w:tcPr>
          <w:p w:rsidR="00551E43" w:rsidRPr="003A2F67" w:rsidRDefault="00551E43" w:rsidP="009509D9">
            <w:pPr>
              <w:pStyle w:val="TableParagraph"/>
              <w:ind w:right="299"/>
              <w:rPr>
                <w:rFonts w:ascii="Arial" w:hAnsi="Arial" w:cs="Arial"/>
                <w:sz w:val="20"/>
                <w:szCs w:val="20"/>
              </w:rPr>
            </w:pPr>
            <w:r w:rsidRPr="003A2F67">
              <w:rPr>
                <w:rFonts w:ascii="Arial" w:hAnsi="Arial" w:cs="Arial"/>
                <w:w w:val="95"/>
                <w:sz w:val="20"/>
                <w:szCs w:val="20"/>
              </w:rPr>
              <w:t>58</w:t>
            </w:r>
            <w:r w:rsidR="002D3B28" w:rsidRPr="003A2F67">
              <w:rPr>
                <w:rFonts w:ascii="Arial" w:hAnsi="Arial" w:cs="Arial"/>
                <w:w w:val="95"/>
                <w:sz w:val="20"/>
                <w:szCs w:val="20"/>
              </w:rPr>
              <w:t xml:space="preserve"> </w:t>
            </w:r>
          </w:p>
        </w:tc>
        <w:tc>
          <w:tcPr>
            <w:tcW w:w="709"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73</w:t>
            </w:r>
            <w:r w:rsidR="002D3B28" w:rsidRPr="003A2F67">
              <w:rPr>
                <w:rFonts w:ascii="Arial" w:hAnsi="Arial" w:cs="Arial"/>
                <w:sz w:val="20"/>
                <w:szCs w:val="20"/>
              </w:rPr>
              <w:t xml:space="preserve"> </w:t>
            </w:r>
          </w:p>
        </w:tc>
        <w:tc>
          <w:tcPr>
            <w:tcW w:w="709"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38</w:t>
            </w:r>
            <w:r w:rsidR="002D3B28" w:rsidRPr="003A2F67">
              <w:rPr>
                <w:rFonts w:ascii="Arial" w:hAnsi="Arial" w:cs="Arial"/>
                <w:sz w:val="20"/>
                <w:szCs w:val="20"/>
              </w:rPr>
              <w:t xml:space="preserve"> </w:t>
            </w:r>
          </w:p>
        </w:tc>
        <w:tc>
          <w:tcPr>
            <w:tcW w:w="708"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50</w:t>
            </w:r>
            <w:r w:rsidR="002D3B28" w:rsidRPr="003A2F67">
              <w:rPr>
                <w:rFonts w:ascii="Arial" w:hAnsi="Arial" w:cs="Arial"/>
                <w:sz w:val="20"/>
                <w:szCs w:val="20"/>
              </w:rPr>
              <w:t xml:space="preserve"> </w:t>
            </w:r>
          </w:p>
        </w:tc>
        <w:tc>
          <w:tcPr>
            <w:tcW w:w="851"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47</w:t>
            </w:r>
            <w:r w:rsidR="002D3B28" w:rsidRPr="003A2F67">
              <w:rPr>
                <w:rFonts w:ascii="Arial" w:hAnsi="Arial" w:cs="Arial"/>
                <w:sz w:val="20"/>
                <w:szCs w:val="20"/>
              </w:rPr>
              <w:t xml:space="preserve"> </w:t>
            </w:r>
          </w:p>
        </w:tc>
        <w:tc>
          <w:tcPr>
            <w:tcW w:w="850" w:type="dxa"/>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58</w:t>
            </w:r>
            <w:r w:rsidR="002D3B28" w:rsidRPr="003A2F67">
              <w:rPr>
                <w:rFonts w:ascii="Arial" w:hAnsi="Arial" w:cs="Arial"/>
                <w:sz w:val="20"/>
                <w:szCs w:val="20"/>
              </w:rPr>
              <w:t xml:space="preserve"> </w:t>
            </w:r>
          </w:p>
        </w:tc>
        <w:tc>
          <w:tcPr>
            <w:tcW w:w="993" w:type="dxa"/>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47</w:t>
            </w:r>
            <w:r w:rsidR="002D3B28" w:rsidRPr="003A2F67">
              <w:rPr>
                <w:rFonts w:ascii="Arial" w:hAnsi="Arial" w:cs="Arial"/>
                <w:b/>
                <w:sz w:val="20"/>
                <w:szCs w:val="20"/>
              </w:rPr>
              <w:t xml:space="preserve"> </w:t>
            </w:r>
          </w:p>
        </w:tc>
      </w:tr>
      <w:tr w:rsidR="00551E43" w:rsidRPr="003A2F67" w:rsidTr="00EA4168">
        <w:trPr>
          <w:trHeight w:val="343"/>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szCs w:val="20"/>
              </w:rPr>
            </w:pPr>
            <w:r w:rsidRPr="003A2F67">
              <w:rPr>
                <w:rFonts w:ascii="Arial" w:hAnsi="Arial" w:cs="Arial"/>
                <w:sz w:val="20"/>
                <w:szCs w:val="20"/>
              </w:rPr>
              <w:t>SCH</w:t>
            </w:r>
          </w:p>
        </w:tc>
        <w:tc>
          <w:tcPr>
            <w:tcW w:w="1004" w:type="dxa"/>
            <w:tcBorders>
              <w:left w:val="single" w:sz="4" w:space="0" w:color="7E7E7E"/>
            </w:tcBorders>
            <w:shd w:val="clear" w:color="auto" w:fill="F1F1F1"/>
          </w:tcPr>
          <w:p w:rsidR="00551E43" w:rsidRPr="003A2F67" w:rsidRDefault="00551E43" w:rsidP="009509D9">
            <w:pPr>
              <w:pStyle w:val="TableParagraph"/>
              <w:ind w:left="279" w:right="279"/>
              <w:rPr>
                <w:rFonts w:ascii="Arial" w:hAnsi="Arial" w:cs="Arial"/>
                <w:sz w:val="20"/>
                <w:szCs w:val="20"/>
              </w:rPr>
            </w:pPr>
            <w:r w:rsidRPr="003A2F67">
              <w:rPr>
                <w:rFonts w:ascii="Arial" w:hAnsi="Arial" w:cs="Arial"/>
                <w:sz w:val="20"/>
                <w:szCs w:val="20"/>
              </w:rPr>
              <w:t>39</w:t>
            </w:r>
            <w:r w:rsidR="002D3B28" w:rsidRPr="003A2F67">
              <w:rPr>
                <w:rFonts w:ascii="Arial" w:hAnsi="Arial" w:cs="Arial"/>
                <w:sz w:val="20"/>
                <w:szCs w:val="20"/>
              </w:rPr>
              <w:t xml:space="preserve"> </w:t>
            </w:r>
          </w:p>
        </w:tc>
        <w:tc>
          <w:tcPr>
            <w:tcW w:w="844" w:type="dxa"/>
            <w:shd w:val="clear" w:color="auto" w:fill="F1F1F1"/>
          </w:tcPr>
          <w:p w:rsidR="00551E43" w:rsidRPr="003A2F67" w:rsidRDefault="00551E43" w:rsidP="009509D9">
            <w:pPr>
              <w:pStyle w:val="TableParagraph"/>
              <w:ind w:right="299"/>
              <w:rPr>
                <w:rFonts w:ascii="Arial" w:hAnsi="Arial" w:cs="Arial"/>
                <w:sz w:val="20"/>
                <w:szCs w:val="20"/>
              </w:rPr>
            </w:pPr>
            <w:r w:rsidRPr="003A2F67">
              <w:rPr>
                <w:rFonts w:ascii="Arial" w:hAnsi="Arial" w:cs="Arial"/>
                <w:w w:val="95"/>
                <w:sz w:val="20"/>
                <w:szCs w:val="20"/>
              </w:rPr>
              <w:t>53</w:t>
            </w:r>
            <w:r w:rsidR="002D3B28" w:rsidRPr="003A2F67">
              <w:rPr>
                <w:rFonts w:ascii="Arial" w:hAnsi="Arial" w:cs="Arial"/>
                <w:w w:val="95"/>
                <w:sz w:val="20"/>
                <w:szCs w:val="20"/>
              </w:rPr>
              <w:t xml:space="preserve"> </w:t>
            </w:r>
          </w:p>
        </w:tc>
        <w:tc>
          <w:tcPr>
            <w:tcW w:w="709"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44</w:t>
            </w:r>
            <w:r w:rsidR="002D3B28" w:rsidRPr="003A2F67">
              <w:rPr>
                <w:rFonts w:ascii="Arial" w:hAnsi="Arial" w:cs="Arial"/>
                <w:sz w:val="20"/>
                <w:szCs w:val="20"/>
              </w:rPr>
              <w:t xml:space="preserve"> </w:t>
            </w:r>
          </w:p>
        </w:tc>
        <w:tc>
          <w:tcPr>
            <w:tcW w:w="709"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30</w:t>
            </w:r>
            <w:r w:rsidR="002D3B28" w:rsidRPr="003A2F67">
              <w:rPr>
                <w:rFonts w:ascii="Arial" w:hAnsi="Arial" w:cs="Arial"/>
                <w:sz w:val="20"/>
                <w:szCs w:val="20"/>
              </w:rPr>
              <w:t xml:space="preserve"> </w:t>
            </w:r>
          </w:p>
        </w:tc>
        <w:tc>
          <w:tcPr>
            <w:tcW w:w="708"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20</w:t>
            </w:r>
            <w:r w:rsidR="002D3B28" w:rsidRPr="003A2F67">
              <w:rPr>
                <w:rFonts w:ascii="Arial" w:hAnsi="Arial" w:cs="Arial"/>
                <w:sz w:val="20"/>
                <w:szCs w:val="20"/>
              </w:rPr>
              <w:t xml:space="preserve"> </w:t>
            </w:r>
          </w:p>
        </w:tc>
        <w:tc>
          <w:tcPr>
            <w:tcW w:w="851"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38</w:t>
            </w:r>
            <w:r w:rsidR="002D3B28" w:rsidRPr="003A2F67">
              <w:rPr>
                <w:rFonts w:ascii="Arial" w:hAnsi="Arial" w:cs="Arial"/>
                <w:sz w:val="20"/>
                <w:szCs w:val="20"/>
              </w:rPr>
              <w:t xml:space="preserve"> </w:t>
            </w:r>
          </w:p>
        </w:tc>
        <w:tc>
          <w:tcPr>
            <w:tcW w:w="850" w:type="dxa"/>
            <w:shd w:val="clear" w:color="auto" w:fill="F1F1F1"/>
          </w:tcPr>
          <w:p w:rsidR="00551E43" w:rsidRPr="003A2F67" w:rsidRDefault="00551E43" w:rsidP="009509D9">
            <w:pPr>
              <w:pStyle w:val="TableParagraph"/>
              <w:ind w:right="219"/>
              <w:rPr>
                <w:rFonts w:ascii="Arial" w:hAnsi="Arial" w:cs="Arial"/>
                <w:sz w:val="20"/>
                <w:szCs w:val="20"/>
              </w:rPr>
            </w:pPr>
            <w:r w:rsidRPr="003A2F67">
              <w:rPr>
                <w:rFonts w:ascii="Arial" w:hAnsi="Arial" w:cs="Arial"/>
                <w:sz w:val="20"/>
                <w:szCs w:val="20"/>
              </w:rPr>
              <w:t>50</w:t>
            </w:r>
            <w:r w:rsidR="002D3B28" w:rsidRPr="003A2F67">
              <w:rPr>
                <w:rFonts w:ascii="Arial" w:hAnsi="Arial" w:cs="Arial"/>
                <w:sz w:val="20"/>
                <w:szCs w:val="20"/>
              </w:rPr>
              <w:t xml:space="preserve"> </w:t>
            </w:r>
          </w:p>
        </w:tc>
        <w:tc>
          <w:tcPr>
            <w:tcW w:w="993" w:type="dxa"/>
            <w:shd w:val="clear" w:color="auto" w:fill="F1F1F1"/>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42</w:t>
            </w:r>
            <w:r w:rsidR="002D3B28" w:rsidRPr="003A2F67">
              <w:rPr>
                <w:rFonts w:ascii="Arial" w:hAnsi="Arial" w:cs="Arial"/>
                <w:b/>
                <w:sz w:val="20"/>
                <w:szCs w:val="20"/>
              </w:rPr>
              <w:t xml:space="preserve"> </w:t>
            </w:r>
          </w:p>
        </w:tc>
      </w:tr>
      <w:tr w:rsidR="00551E43" w:rsidRPr="003A2F67" w:rsidTr="00EA4168">
        <w:trPr>
          <w:trHeight w:val="345"/>
        </w:trPr>
        <w:tc>
          <w:tcPr>
            <w:tcW w:w="1008" w:type="dxa"/>
            <w:tcBorders>
              <w:right w:val="single" w:sz="4" w:space="0" w:color="7E7E7E"/>
            </w:tcBorders>
          </w:tcPr>
          <w:p w:rsidR="00551E43" w:rsidRPr="003A2F67" w:rsidRDefault="00551E43" w:rsidP="009509D9">
            <w:pPr>
              <w:pStyle w:val="TableParagraph"/>
              <w:ind w:left="112"/>
              <w:jc w:val="left"/>
              <w:rPr>
                <w:rFonts w:ascii="Arial" w:hAnsi="Arial" w:cs="Arial"/>
                <w:b/>
                <w:sz w:val="20"/>
                <w:szCs w:val="20"/>
              </w:rPr>
            </w:pPr>
            <w:r w:rsidRPr="003A2F67">
              <w:rPr>
                <w:rFonts w:ascii="Arial" w:hAnsi="Arial" w:cs="Arial"/>
                <w:b/>
                <w:sz w:val="20"/>
                <w:szCs w:val="20"/>
              </w:rPr>
              <w:t>insges.</w:t>
            </w:r>
          </w:p>
        </w:tc>
        <w:tc>
          <w:tcPr>
            <w:tcW w:w="1004" w:type="dxa"/>
            <w:tcBorders>
              <w:left w:val="single" w:sz="4" w:space="0" w:color="7E7E7E"/>
            </w:tcBorders>
          </w:tcPr>
          <w:p w:rsidR="00551E43" w:rsidRPr="003A2F67" w:rsidRDefault="00551E43" w:rsidP="009509D9">
            <w:pPr>
              <w:pStyle w:val="TableParagraph"/>
              <w:spacing w:line="227" w:lineRule="exact"/>
              <w:ind w:left="279" w:right="279"/>
              <w:rPr>
                <w:rFonts w:ascii="Arial" w:hAnsi="Arial" w:cs="Arial"/>
                <w:b/>
                <w:sz w:val="20"/>
                <w:szCs w:val="20"/>
              </w:rPr>
            </w:pPr>
            <w:r w:rsidRPr="003A2F67">
              <w:rPr>
                <w:rFonts w:ascii="Arial" w:hAnsi="Arial" w:cs="Arial"/>
                <w:b/>
                <w:sz w:val="20"/>
                <w:szCs w:val="20"/>
              </w:rPr>
              <w:t>39</w:t>
            </w:r>
            <w:r w:rsidR="002D3B28" w:rsidRPr="003A2F67">
              <w:rPr>
                <w:rFonts w:ascii="Arial" w:hAnsi="Arial" w:cs="Arial"/>
                <w:b/>
                <w:sz w:val="20"/>
                <w:szCs w:val="20"/>
              </w:rPr>
              <w:t xml:space="preserve"> </w:t>
            </w:r>
          </w:p>
        </w:tc>
        <w:tc>
          <w:tcPr>
            <w:tcW w:w="844" w:type="dxa"/>
          </w:tcPr>
          <w:p w:rsidR="00551E43" w:rsidRPr="003A2F67" w:rsidRDefault="00551E43" w:rsidP="009509D9">
            <w:pPr>
              <w:pStyle w:val="TableParagraph"/>
              <w:spacing w:line="227" w:lineRule="exact"/>
              <w:ind w:right="297"/>
              <w:rPr>
                <w:rFonts w:ascii="Arial" w:hAnsi="Arial" w:cs="Arial"/>
                <w:b/>
                <w:sz w:val="20"/>
                <w:szCs w:val="20"/>
              </w:rPr>
            </w:pPr>
            <w:r w:rsidRPr="003A2F67">
              <w:rPr>
                <w:rFonts w:ascii="Arial" w:hAnsi="Arial" w:cs="Arial"/>
                <w:b/>
                <w:w w:val="95"/>
                <w:sz w:val="20"/>
                <w:szCs w:val="20"/>
              </w:rPr>
              <w:t>54</w:t>
            </w:r>
            <w:r w:rsidR="002D3B28" w:rsidRPr="003A2F67">
              <w:rPr>
                <w:rFonts w:ascii="Arial" w:hAnsi="Arial" w:cs="Arial"/>
                <w:b/>
                <w:w w:val="95"/>
                <w:sz w:val="20"/>
                <w:szCs w:val="20"/>
              </w:rPr>
              <w:t xml:space="preserve"> </w:t>
            </w:r>
          </w:p>
        </w:tc>
        <w:tc>
          <w:tcPr>
            <w:tcW w:w="709" w:type="dxa"/>
          </w:tcPr>
          <w:p w:rsidR="00551E43" w:rsidRPr="003A2F67" w:rsidRDefault="00551E43" w:rsidP="009509D9">
            <w:pPr>
              <w:pStyle w:val="TableParagraph"/>
              <w:spacing w:line="227" w:lineRule="exact"/>
              <w:ind w:right="217"/>
              <w:rPr>
                <w:rFonts w:ascii="Arial" w:hAnsi="Arial" w:cs="Arial"/>
                <w:b/>
                <w:sz w:val="20"/>
                <w:szCs w:val="20"/>
              </w:rPr>
            </w:pPr>
            <w:r w:rsidRPr="003A2F67">
              <w:rPr>
                <w:rFonts w:ascii="Arial" w:hAnsi="Arial" w:cs="Arial"/>
                <w:b/>
                <w:sz w:val="20"/>
                <w:szCs w:val="20"/>
              </w:rPr>
              <w:t>52</w:t>
            </w:r>
            <w:r w:rsidR="002D3B28" w:rsidRPr="003A2F67">
              <w:rPr>
                <w:rFonts w:ascii="Arial" w:hAnsi="Arial" w:cs="Arial"/>
                <w:b/>
                <w:sz w:val="20"/>
                <w:szCs w:val="20"/>
              </w:rPr>
              <w:t xml:space="preserve"> </w:t>
            </w:r>
          </w:p>
        </w:tc>
        <w:tc>
          <w:tcPr>
            <w:tcW w:w="709" w:type="dxa"/>
          </w:tcPr>
          <w:p w:rsidR="00551E43" w:rsidRPr="003A2F67" w:rsidRDefault="00551E43" w:rsidP="009509D9">
            <w:pPr>
              <w:pStyle w:val="TableParagraph"/>
              <w:spacing w:line="227" w:lineRule="exact"/>
              <w:ind w:right="217"/>
              <w:rPr>
                <w:rFonts w:ascii="Arial" w:hAnsi="Arial" w:cs="Arial"/>
                <w:b/>
                <w:sz w:val="20"/>
                <w:szCs w:val="20"/>
              </w:rPr>
            </w:pPr>
            <w:r w:rsidRPr="003A2F67">
              <w:rPr>
                <w:rFonts w:ascii="Arial" w:hAnsi="Arial" w:cs="Arial"/>
                <w:b/>
                <w:sz w:val="20"/>
                <w:szCs w:val="20"/>
              </w:rPr>
              <w:t>34</w:t>
            </w:r>
            <w:r w:rsidR="002D3B28" w:rsidRPr="003A2F67">
              <w:rPr>
                <w:rFonts w:ascii="Arial" w:hAnsi="Arial" w:cs="Arial"/>
                <w:b/>
                <w:sz w:val="20"/>
                <w:szCs w:val="20"/>
              </w:rPr>
              <w:t xml:space="preserve"> </w:t>
            </w:r>
          </w:p>
        </w:tc>
        <w:tc>
          <w:tcPr>
            <w:tcW w:w="708" w:type="dxa"/>
          </w:tcPr>
          <w:p w:rsidR="00551E43" w:rsidRPr="003A2F67" w:rsidRDefault="00551E43" w:rsidP="009509D9">
            <w:pPr>
              <w:pStyle w:val="TableParagraph"/>
              <w:spacing w:line="227" w:lineRule="exact"/>
              <w:ind w:right="216"/>
              <w:rPr>
                <w:rFonts w:ascii="Arial" w:hAnsi="Arial" w:cs="Arial"/>
                <w:b/>
                <w:sz w:val="20"/>
                <w:szCs w:val="20"/>
              </w:rPr>
            </w:pPr>
            <w:r w:rsidRPr="003A2F67">
              <w:rPr>
                <w:rFonts w:ascii="Arial" w:hAnsi="Arial" w:cs="Arial"/>
                <w:b/>
                <w:sz w:val="20"/>
                <w:szCs w:val="20"/>
              </w:rPr>
              <w:t>21</w:t>
            </w:r>
            <w:r w:rsidR="002D3B28" w:rsidRPr="003A2F67">
              <w:rPr>
                <w:rFonts w:ascii="Arial" w:hAnsi="Arial" w:cs="Arial"/>
                <w:b/>
                <w:sz w:val="20"/>
                <w:szCs w:val="20"/>
              </w:rPr>
              <w:t xml:space="preserve"> </w:t>
            </w:r>
          </w:p>
        </w:tc>
        <w:tc>
          <w:tcPr>
            <w:tcW w:w="851" w:type="dxa"/>
          </w:tcPr>
          <w:p w:rsidR="00551E43" w:rsidRPr="003A2F67" w:rsidRDefault="00551E43" w:rsidP="009509D9">
            <w:pPr>
              <w:pStyle w:val="TableParagraph"/>
              <w:spacing w:line="227" w:lineRule="exact"/>
              <w:ind w:right="216"/>
              <w:rPr>
                <w:rFonts w:ascii="Arial" w:hAnsi="Arial" w:cs="Arial"/>
                <w:b/>
                <w:sz w:val="20"/>
                <w:szCs w:val="20"/>
              </w:rPr>
            </w:pPr>
            <w:r w:rsidRPr="003A2F67">
              <w:rPr>
                <w:rFonts w:ascii="Arial" w:hAnsi="Arial" w:cs="Arial"/>
                <w:b/>
                <w:sz w:val="20"/>
                <w:szCs w:val="20"/>
              </w:rPr>
              <w:t>46</w:t>
            </w:r>
            <w:r w:rsidR="002D3B28" w:rsidRPr="003A2F67">
              <w:rPr>
                <w:rFonts w:ascii="Arial" w:hAnsi="Arial" w:cs="Arial"/>
                <w:b/>
                <w:sz w:val="20"/>
                <w:szCs w:val="20"/>
              </w:rPr>
              <w:t xml:space="preserve"> </w:t>
            </w:r>
          </w:p>
        </w:tc>
        <w:tc>
          <w:tcPr>
            <w:tcW w:w="850" w:type="dxa"/>
          </w:tcPr>
          <w:p w:rsidR="00551E43" w:rsidRPr="003A2F67" w:rsidRDefault="00551E43" w:rsidP="009509D9">
            <w:pPr>
              <w:pStyle w:val="TableParagraph"/>
              <w:spacing w:line="227" w:lineRule="exact"/>
              <w:ind w:right="216"/>
              <w:rPr>
                <w:rFonts w:ascii="Arial" w:hAnsi="Arial" w:cs="Arial"/>
                <w:b/>
                <w:sz w:val="20"/>
                <w:szCs w:val="20"/>
              </w:rPr>
            </w:pPr>
            <w:r w:rsidRPr="003A2F67">
              <w:rPr>
                <w:rFonts w:ascii="Arial" w:hAnsi="Arial" w:cs="Arial"/>
                <w:b/>
                <w:sz w:val="20"/>
                <w:szCs w:val="20"/>
              </w:rPr>
              <w:t>54</w:t>
            </w:r>
            <w:r w:rsidR="002D3B28" w:rsidRPr="003A2F67">
              <w:rPr>
                <w:rFonts w:ascii="Arial" w:hAnsi="Arial" w:cs="Arial"/>
                <w:b/>
                <w:sz w:val="20"/>
                <w:szCs w:val="20"/>
              </w:rPr>
              <w:t xml:space="preserve"> </w:t>
            </w:r>
          </w:p>
        </w:tc>
        <w:tc>
          <w:tcPr>
            <w:tcW w:w="993" w:type="dxa"/>
          </w:tcPr>
          <w:p w:rsidR="00551E43" w:rsidRPr="003A2F67" w:rsidRDefault="00551E43" w:rsidP="009509D9">
            <w:pPr>
              <w:pStyle w:val="TableParagraph"/>
              <w:spacing w:line="227" w:lineRule="exact"/>
              <w:ind w:left="310"/>
              <w:jc w:val="left"/>
              <w:rPr>
                <w:rFonts w:ascii="Arial" w:hAnsi="Arial" w:cs="Arial"/>
                <w:b/>
                <w:sz w:val="20"/>
                <w:szCs w:val="20"/>
              </w:rPr>
            </w:pPr>
            <w:r w:rsidRPr="003A2F67">
              <w:rPr>
                <w:rFonts w:ascii="Arial" w:hAnsi="Arial" w:cs="Arial"/>
                <w:b/>
                <w:sz w:val="20"/>
                <w:szCs w:val="20"/>
              </w:rPr>
              <w:t>44</w:t>
            </w:r>
            <w:r w:rsidR="002D3B28" w:rsidRPr="003A2F67">
              <w:rPr>
                <w:rFonts w:ascii="Arial" w:hAnsi="Arial" w:cs="Arial"/>
                <w:b/>
                <w:sz w:val="20"/>
                <w:szCs w:val="20"/>
              </w:rPr>
              <w:t xml:space="preserve"> </w:t>
            </w:r>
          </w:p>
        </w:tc>
      </w:tr>
    </w:tbl>
    <w:p w:rsidR="00551E43" w:rsidRDefault="00551E43" w:rsidP="00551E43">
      <w:pPr>
        <w:pStyle w:val="Textkrper"/>
        <w:rPr>
          <w:b/>
          <w:i/>
          <w:sz w:val="22"/>
        </w:rPr>
      </w:pPr>
    </w:p>
    <w:p w:rsidR="006E5140" w:rsidRDefault="006E5140" w:rsidP="006E5140">
      <w:pPr>
        <w:pStyle w:val="LTAntwortRessortText"/>
      </w:pPr>
      <w:r>
        <w:t xml:space="preserve">Nach einer aktuellen Auswertung </w:t>
      </w:r>
      <w:r w:rsidR="00145529">
        <w:t>des</w:t>
      </w:r>
      <w:r>
        <w:t xml:space="preserve"> Staatsministeriums der Finanzen</w:t>
      </w:r>
      <w:r w:rsidR="00A919B7">
        <w:t xml:space="preserve"> </w:t>
      </w:r>
      <w:r>
        <w:t xml:space="preserve">und für Heimat sind an 99 </w:t>
      </w:r>
      <w:r w:rsidR="005C0F48">
        <w:t>Prozent</w:t>
      </w:r>
      <w:r w:rsidR="006475D7">
        <w:t xml:space="preserve"> (6 </w:t>
      </w:r>
      <w:r>
        <w:t>041) der bayerischen Schulen Bandbreiten von mindestens</w:t>
      </w:r>
      <w:r w:rsidR="00A919B7">
        <w:t xml:space="preserve"> </w:t>
      </w:r>
      <w:r>
        <w:t xml:space="preserve">30 Mbit/s verfügbar (70 </w:t>
      </w:r>
      <w:r w:rsidR="005C0F48">
        <w:t>Prozent</w:t>
      </w:r>
      <w:r>
        <w:t xml:space="preserve"> aller Schulen sind gigabitfähig angebunden). Die</w:t>
      </w:r>
      <w:r w:rsidR="00A919B7">
        <w:t xml:space="preserve"> </w:t>
      </w:r>
      <w:r>
        <w:t>tatsächlich gebuchten Bandbreiten können davon abweichen. Für die Bandbreite 50</w:t>
      </w:r>
      <w:r w:rsidR="00551E43">
        <w:t xml:space="preserve"> </w:t>
      </w:r>
      <w:r>
        <w:t>Mbit/s liegen auf einzelne Schulstandorte bezogene Daten nicht vor. Die Breitbandversorgung</w:t>
      </w:r>
      <w:r w:rsidR="00551E43">
        <w:t xml:space="preserve"> </w:t>
      </w:r>
      <w:r>
        <w:t xml:space="preserve">der einzelnen Schulen ist im Schulatlas unter </w:t>
      </w:r>
      <w:r w:rsidR="006475D7" w:rsidRPr="006475D7">
        <w:rPr>
          <w:rStyle w:val="LTHyperlinkZchn"/>
          <w:b w:val="0"/>
        </w:rPr>
        <w:t>https://</w:t>
      </w:r>
      <w:hyperlink r:id="rId16" w:history="1">
        <w:r w:rsidR="00551E43" w:rsidRPr="006475D7">
          <w:rPr>
            <w:rStyle w:val="LTHyperlinkZchn"/>
            <w:b w:val="0"/>
          </w:rPr>
          <w:t>www.schulatlas.bayern.de</w:t>
        </w:r>
      </w:hyperlink>
      <w:r w:rsidR="00551E43">
        <w:t xml:space="preserve"> </w:t>
      </w:r>
      <w:r>
        <w:t>öffentlich einsehbar. In den folgenden Tabellen 2a und 2b werden die Anzahlen und</w:t>
      </w:r>
      <w:r w:rsidR="00551E43">
        <w:t xml:space="preserve"> </w:t>
      </w:r>
      <w:r>
        <w:t>Anteile der Schulen in Bayern dargestellt, die über eine aktuelle Breitbandanbindung</w:t>
      </w:r>
      <w:r w:rsidR="00551E43">
        <w:t xml:space="preserve"> </w:t>
      </w:r>
      <w:r>
        <w:t>von mindestens 30 Mbit/s verfügen.</w:t>
      </w:r>
    </w:p>
    <w:p w:rsidR="006E5140" w:rsidRDefault="006E5140" w:rsidP="006E5140">
      <w:pPr>
        <w:pStyle w:val="LTAntwortRessortText"/>
      </w:pPr>
    </w:p>
    <w:p w:rsidR="00551E43" w:rsidRPr="00145529" w:rsidRDefault="00551E43" w:rsidP="006475D7">
      <w:pPr>
        <w:pStyle w:val="Textkrper"/>
        <w:spacing w:before="92"/>
        <w:ind w:left="118"/>
        <w:rPr>
          <w:rFonts w:ascii="Arial" w:hAnsi="Arial" w:cs="Arial"/>
          <w:sz w:val="20"/>
        </w:rPr>
      </w:pPr>
      <w:r w:rsidRPr="00145529">
        <w:rPr>
          <w:rFonts w:ascii="Arial" w:hAnsi="Arial" w:cs="Arial"/>
          <w:b/>
          <w:sz w:val="20"/>
        </w:rPr>
        <w:t xml:space="preserve">Tabelle 2a: </w:t>
      </w:r>
      <w:r w:rsidRPr="00145529">
        <w:rPr>
          <w:rFonts w:ascii="Arial" w:hAnsi="Arial" w:cs="Arial"/>
          <w:sz w:val="20"/>
        </w:rPr>
        <w:t>Anzahl der Schulen mit aktueller Breitbandanbindung von minde</w:t>
      </w:r>
      <w:r w:rsidR="003A2F67">
        <w:rPr>
          <w:rFonts w:ascii="Arial" w:hAnsi="Arial" w:cs="Arial"/>
          <w:sz w:val="20"/>
        </w:rPr>
        <w:t>stens 30 Mbit/s (Daten des Staatsministeriums der Finanzen und für Heimat – StMFH</w:t>
      </w:r>
      <w:r w:rsidR="002D3B28" w:rsidRPr="00145529">
        <w:rPr>
          <w:rFonts w:ascii="Arial" w:hAnsi="Arial" w:cs="Arial"/>
          <w:sz w:val="20"/>
        </w:rPr>
        <w:t xml:space="preserve"> – in Prozent</w:t>
      </w:r>
      <w:r w:rsidRPr="00145529">
        <w:rPr>
          <w:rFonts w:ascii="Arial" w:hAnsi="Arial" w:cs="Arial"/>
          <w:sz w:val="20"/>
        </w:rPr>
        <w:t>)</w:t>
      </w:r>
    </w:p>
    <w:p w:rsidR="002D3B28" w:rsidRPr="006475D7" w:rsidRDefault="002D3B28" w:rsidP="006475D7">
      <w:pPr>
        <w:pStyle w:val="Textkrper"/>
        <w:spacing w:before="92"/>
        <w:ind w:left="118"/>
        <w:rPr>
          <w:b/>
          <w:sz w:val="22"/>
        </w:rPr>
      </w:pPr>
    </w:p>
    <w:p w:rsidR="00551E43" w:rsidRPr="004A1638" w:rsidRDefault="00551E43" w:rsidP="002D3B28">
      <w:pPr>
        <w:tabs>
          <w:tab w:val="left" w:pos="340"/>
        </w:tabs>
        <w:spacing w:before="138"/>
        <w:ind w:left="227"/>
        <w:rPr>
          <w:b/>
        </w:rPr>
      </w:pPr>
      <w:r w:rsidRPr="002D3B28">
        <w:t>Reg.bez</w:t>
      </w:r>
      <w:r w:rsidRPr="002D3B28">
        <w:tab/>
      </w:r>
      <w:r w:rsidR="002D3B28">
        <w:tab/>
      </w:r>
      <w:r w:rsidR="00EA4168">
        <w:t xml:space="preserve"> </w:t>
      </w:r>
      <w:r w:rsidR="002D3B28">
        <w:t>GMS</w:t>
      </w:r>
      <w:r w:rsidR="002D3B28">
        <w:tab/>
      </w:r>
      <w:r w:rsidR="002D3B28">
        <w:tab/>
      </w:r>
      <w:r w:rsidR="002D3B28">
        <w:tab/>
      </w:r>
      <w:r w:rsidRPr="002D3B28">
        <w:t>RS</w:t>
      </w:r>
      <w:r w:rsidRPr="002D3B28">
        <w:tab/>
      </w:r>
      <w:r w:rsidR="002D3B28">
        <w:tab/>
      </w:r>
      <w:r w:rsidRPr="002D3B28">
        <w:t>GY</w:t>
      </w:r>
      <w:r w:rsidRPr="002D3B28">
        <w:tab/>
      </w:r>
      <w:r w:rsidR="002D3B28">
        <w:tab/>
      </w:r>
      <w:r w:rsidRPr="002D3B28">
        <w:t>FöS</w:t>
      </w:r>
      <w:r w:rsidRPr="002D3B28">
        <w:tab/>
      </w:r>
      <w:r w:rsidR="002D3B28">
        <w:tab/>
      </w:r>
      <w:r w:rsidRPr="002D3B28">
        <w:t>Sonst.</w:t>
      </w:r>
      <w:r w:rsidRPr="002D3B28">
        <w:tab/>
      </w:r>
      <w:r w:rsidR="002D3B28">
        <w:tab/>
      </w:r>
      <w:r w:rsidRPr="002D3B28">
        <w:t>BS</w:t>
      </w:r>
      <w:r w:rsidRPr="002D3B28">
        <w:tab/>
      </w:r>
      <w:r w:rsidR="002D3B28">
        <w:tab/>
      </w:r>
      <w:r w:rsidRPr="002D3B28">
        <w:t>Berufl.</w:t>
      </w:r>
      <w:r w:rsidRPr="002D3B28">
        <w:tab/>
      </w:r>
      <w:r w:rsidR="002D3B28">
        <w:tab/>
      </w:r>
      <w:r w:rsidRPr="004A1638">
        <w:rPr>
          <w:b/>
        </w:rPr>
        <w:t>zus.</w:t>
      </w:r>
    </w:p>
    <w:p w:rsidR="00551E43" w:rsidRDefault="00551E43" w:rsidP="00551E43">
      <w:pPr>
        <w:pStyle w:val="Textkrper"/>
        <w:spacing w:before="1"/>
        <w:rPr>
          <w:b/>
          <w:i/>
          <w:sz w:val="10"/>
        </w:rPr>
      </w:pPr>
    </w:p>
    <w:tbl>
      <w:tblPr>
        <w:tblStyle w:val="TableNormal"/>
        <w:tblW w:w="7817" w:type="dxa"/>
        <w:tblInd w:w="121" w:type="dxa"/>
        <w:tblLayout w:type="fixed"/>
        <w:tblLook w:val="01E0" w:firstRow="1" w:lastRow="1" w:firstColumn="1" w:lastColumn="1" w:noHBand="0" w:noVBand="0"/>
      </w:tblPr>
      <w:tblGrid>
        <w:gridCol w:w="1008"/>
        <w:gridCol w:w="998"/>
        <w:gridCol w:w="992"/>
        <w:gridCol w:w="567"/>
        <w:gridCol w:w="850"/>
        <w:gridCol w:w="709"/>
        <w:gridCol w:w="851"/>
        <w:gridCol w:w="708"/>
        <w:gridCol w:w="1134"/>
      </w:tblGrid>
      <w:tr w:rsidR="00551E43" w:rsidTr="00424CF8">
        <w:trPr>
          <w:trHeight w:val="345"/>
        </w:trPr>
        <w:tc>
          <w:tcPr>
            <w:tcW w:w="1008" w:type="dxa"/>
            <w:tcBorders>
              <w:top w:val="single" w:sz="4" w:space="0" w:color="7E7E7E"/>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rPr>
            </w:pPr>
            <w:r w:rsidRPr="003A2F67">
              <w:rPr>
                <w:rFonts w:ascii="Arial" w:hAnsi="Arial" w:cs="Arial"/>
                <w:sz w:val="20"/>
              </w:rPr>
              <w:t>OBB</w:t>
            </w:r>
          </w:p>
        </w:tc>
        <w:tc>
          <w:tcPr>
            <w:tcW w:w="998" w:type="dxa"/>
            <w:tcBorders>
              <w:top w:val="single" w:sz="4" w:space="0" w:color="7E7E7E"/>
              <w:left w:val="single" w:sz="4" w:space="0" w:color="7E7E7E"/>
            </w:tcBorders>
            <w:shd w:val="clear" w:color="auto" w:fill="F1F1F1"/>
          </w:tcPr>
          <w:p w:rsidR="00551E43" w:rsidRPr="003A2F67" w:rsidRDefault="00551E43" w:rsidP="009509D9">
            <w:pPr>
              <w:pStyle w:val="TableParagraph"/>
              <w:spacing w:line="229" w:lineRule="exact"/>
              <w:ind w:left="257" w:right="283"/>
              <w:rPr>
                <w:rFonts w:ascii="Arial" w:hAnsi="Arial" w:cs="Arial"/>
                <w:sz w:val="20"/>
              </w:rPr>
            </w:pPr>
            <w:r w:rsidRPr="003A2F67">
              <w:rPr>
                <w:rFonts w:ascii="Arial" w:hAnsi="Arial" w:cs="Arial"/>
                <w:sz w:val="20"/>
              </w:rPr>
              <w:t>1007</w:t>
            </w:r>
          </w:p>
        </w:tc>
        <w:tc>
          <w:tcPr>
            <w:tcW w:w="992" w:type="dxa"/>
            <w:tcBorders>
              <w:top w:val="single" w:sz="4" w:space="0" w:color="7E7E7E"/>
            </w:tcBorders>
            <w:shd w:val="clear" w:color="auto" w:fill="F1F1F1"/>
          </w:tcPr>
          <w:p w:rsidR="00551E43" w:rsidRPr="003A2F67" w:rsidRDefault="00551E43" w:rsidP="009509D9">
            <w:pPr>
              <w:pStyle w:val="TableParagraph"/>
              <w:spacing w:line="229" w:lineRule="exact"/>
              <w:ind w:left="295" w:right="312"/>
              <w:rPr>
                <w:rFonts w:ascii="Arial" w:hAnsi="Arial" w:cs="Arial"/>
                <w:sz w:val="20"/>
              </w:rPr>
            </w:pPr>
            <w:r w:rsidRPr="003A2F67">
              <w:rPr>
                <w:rFonts w:ascii="Arial" w:hAnsi="Arial" w:cs="Arial"/>
                <w:sz w:val="20"/>
              </w:rPr>
              <w:t>125</w:t>
            </w:r>
          </w:p>
        </w:tc>
        <w:tc>
          <w:tcPr>
            <w:tcW w:w="567" w:type="dxa"/>
            <w:tcBorders>
              <w:top w:val="single" w:sz="4" w:space="0" w:color="7E7E7E"/>
            </w:tcBorders>
            <w:shd w:val="clear" w:color="auto" w:fill="F1F1F1"/>
          </w:tcPr>
          <w:p w:rsidR="00551E43" w:rsidRPr="003A2F67" w:rsidRDefault="00551E43" w:rsidP="002D3B28">
            <w:pPr>
              <w:pStyle w:val="TableParagraph"/>
              <w:spacing w:line="229" w:lineRule="exact"/>
              <w:ind w:right="217"/>
              <w:rPr>
                <w:rFonts w:ascii="Arial" w:hAnsi="Arial" w:cs="Arial"/>
                <w:sz w:val="20"/>
              </w:rPr>
            </w:pPr>
            <w:r w:rsidRPr="003A2F67">
              <w:rPr>
                <w:rFonts w:ascii="Arial" w:hAnsi="Arial" w:cs="Arial"/>
                <w:sz w:val="20"/>
              </w:rPr>
              <w:t>164</w:t>
            </w:r>
          </w:p>
        </w:tc>
        <w:tc>
          <w:tcPr>
            <w:tcW w:w="850" w:type="dxa"/>
            <w:tcBorders>
              <w:top w:val="single" w:sz="4" w:space="0" w:color="7E7E7E"/>
            </w:tcBorders>
            <w:shd w:val="clear" w:color="auto" w:fill="F1F1F1"/>
          </w:tcPr>
          <w:p w:rsidR="00551E43" w:rsidRPr="003A2F67" w:rsidRDefault="00551E43" w:rsidP="009509D9">
            <w:pPr>
              <w:pStyle w:val="TableParagraph"/>
              <w:spacing w:line="229" w:lineRule="exact"/>
              <w:ind w:right="361"/>
              <w:rPr>
                <w:rFonts w:ascii="Arial" w:hAnsi="Arial" w:cs="Arial"/>
                <w:sz w:val="20"/>
              </w:rPr>
            </w:pPr>
            <w:r w:rsidRPr="003A2F67">
              <w:rPr>
                <w:rFonts w:ascii="Arial" w:hAnsi="Arial" w:cs="Arial"/>
                <w:w w:val="95"/>
                <w:sz w:val="20"/>
              </w:rPr>
              <w:t>120</w:t>
            </w:r>
          </w:p>
        </w:tc>
        <w:tc>
          <w:tcPr>
            <w:tcW w:w="709" w:type="dxa"/>
            <w:tcBorders>
              <w:top w:val="single" w:sz="4" w:space="0" w:color="7E7E7E"/>
            </w:tcBorders>
            <w:shd w:val="clear" w:color="auto" w:fill="F1F1F1"/>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17</w:t>
            </w:r>
          </w:p>
        </w:tc>
        <w:tc>
          <w:tcPr>
            <w:tcW w:w="851" w:type="dxa"/>
            <w:tcBorders>
              <w:top w:val="single" w:sz="4" w:space="0" w:color="7E7E7E"/>
            </w:tcBorders>
            <w:shd w:val="clear" w:color="auto" w:fill="F1F1F1"/>
          </w:tcPr>
          <w:p w:rsidR="00551E43" w:rsidRPr="003A2F67" w:rsidRDefault="00551E43" w:rsidP="002D3B28">
            <w:pPr>
              <w:pStyle w:val="TableParagraph"/>
              <w:spacing w:line="229" w:lineRule="exact"/>
              <w:ind w:left="141"/>
              <w:jc w:val="left"/>
              <w:rPr>
                <w:rFonts w:ascii="Arial" w:hAnsi="Arial" w:cs="Arial"/>
                <w:sz w:val="20"/>
              </w:rPr>
            </w:pPr>
            <w:r w:rsidRPr="003A2F67">
              <w:rPr>
                <w:rFonts w:ascii="Arial" w:hAnsi="Arial" w:cs="Arial"/>
                <w:sz w:val="20"/>
              </w:rPr>
              <w:t>64</w:t>
            </w:r>
          </w:p>
        </w:tc>
        <w:tc>
          <w:tcPr>
            <w:tcW w:w="708" w:type="dxa"/>
            <w:tcBorders>
              <w:top w:val="single" w:sz="4" w:space="0" w:color="7E7E7E"/>
            </w:tcBorders>
            <w:shd w:val="clear" w:color="auto" w:fill="F1F1F1"/>
          </w:tcPr>
          <w:p w:rsidR="00551E43" w:rsidRPr="003A2F67" w:rsidRDefault="00551E43" w:rsidP="009509D9">
            <w:pPr>
              <w:pStyle w:val="TableParagraph"/>
              <w:spacing w:line="229" w:lineRule="exact"/>
              <w:ind w:right="337"/>
              <w:rPr>
                <w:rFonts w:ascii="Arial" w:hAnsi="Arial" w:cs="Arial"/>
                <w:sz w:val="20"/>
              </w:rPr>
            </w:pPr>
            <w:r w:rsidRPr="003A2F67">
              <w:rPr>
                <w:rFonts w:ascii="Arial" w:hAnsi="Arial" w:cs="Arial"/>
                <w:w w:val="95"/>
                <w:sz w:val="20"/>
              </w:rPr>
              <w:t>400</w:t>
            </w:r>
          </w:p>
        </w:tc>
        <w:tc>
          <w:tcPr>
            <w:tcW w:w="1134" w:type="dxa"/>
            <w:tcBorders>
              <w:top w:val="single" w:sz="4" w:space="0" w:color="7E7E7E"/>
            </w:tcBorders>
            <w:shd w:val="clear" w:color="auto" w:fill="F1F1F1"/>
          </w:tcPr>
          <w:p w:rsidR="00551E43" w:rsidRPr="003A2F67" w:rsidRDefault="00551E43" w:rsidP="002D3B28">
            <w:pPr>
              <w:pStyle w:val="TableParagraph"/>
              <w:spacing w:line="227" w:lineRule="exact"/>
              <w:ind w:left="-1" w:firstLine="283"/>
              <w:jc w:val="left"/>
              <w:rPr>
                <w:rFonts w:ascii="Arial" w:hAnsi="Arial" w:cs="Arial"/>
                <w:b/>
                <w:sz w:val="20"/>
              </w:rPr>
            </w:pPr>
            <w:r w:rsidRPr="003A2F67">
              <w:rPr>
                <w:rFonts w:ascii="Arial" w:hAnsi="Arial" w:cs="Arial"/>
                <w:b/>
                <w:sz w:val="20"/>
              </w:rPr>
              <w:t>1897</w:t>
            </w:r>
          </w:p>
        </w:tc>
      </w:tr>
      <w:tr w:rsidR="00551E43" w:rsidTr="00424CF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rPr>
            </w:pPr>
            <w:r w:rsidRPr="003A2F67">
              <w:rPr>
                <w:rFonts w:ascii="Arial" w:hAnsi="Arial" w:cs="Arial"/>
                <w:sz w:val="20"/>
              </w:rPr>
              <w:t>NDB</w:t>
            </w:r>
          </w:p>
        </w:tc>
        <w:tc>
          <w:tcPr>
            <w:tcW w:w="998" w:type="dxa"/>
            <w:tcBorders>
              <w:left w:val="single" w:sz="4" w:space="0" w:color="7E7E7E"/>
            </w:tcBorders>
          </w:tcPr>
          <w:p w:rsidR="00551E43" w:rsidRPr="003A2F67" w:rsidRDefault="00551E43" w:rsidP="009509D9">
            <w:pPr>
              <w:pStyle w:val="TableParagraph"/>
              <w:ind w:left="257" w:right="283"/>
              <w:rPr>
                <w:rFonts w:ascii="Arial" w:hAnsi="Arial" w:cs="Arial"/>
                <w:sz w:val="20"/>
              </w:rPr>
            </w:pPr>
            <w:r w:rsidRPr="003A2F67">
              <w:rPr>
                <w:rFonts w:ascii="Arial" w:hAnsi="Arial" w:cs="Arial"/>
                <w:sz w:val="20"/>
              </w:rPr>
              <w:t>387</w:t>
            </w:r>
          </w:p>
        </w:tc>
        <w:tc>
          <w:tcPr>
            <w:tcW w:w="992" w:type="dxa"/>
          </w:tcPr>
          <w:p w:rsidR="00551E43" w:rsidRPr="003A2F67" w:rsidRDefault="00551E43" w:rsidP="009509D9">
            <w:pPr>
              <w:pStyle w:val="TableParagraph"/>
              <w:ind w:left="295" w:right="312"/>
              <w:rPr>
                <w:rFonts w:ascii="Arial" w:hAnsi="Arial" w:cs="Arial"/>
                <w:sz w:val="20"/>
              </w:rPr>
            </w:pPr>
            <w:r w:rsidRPr="003A2F67">
              <w:rPr>
                <w:rFonts w:ascii="Arial" w:hAnsi="Arial" w:cs="Arial"/>
                <w:sz w:val="20"/>
              </w:rPr>
              <w:t>41</w:t>
            </w:r>
          </w:p>
        </w:tc>
        <w:tc>
          <w:tcPr>
            <w:tcW w:w="567" w:type="dxa"/>
          </w:tcPr>
          <w:p w:rsidR="00551E43" w:rsidRPr="003A2F67" w:rsidRDefault="00551E43" w:rsidP="002D3B28">
            <w:pPr>
              <w:pStyle w:val="TableParagraph"/>
              <w:ind w:right="217"/>
              <w:rPr>
                <w:rFonts w:ascii="Arial" w:hAnsi="Arial" w:cs="Arial"/>
                <w:sz w:val="20"/>
              </w:rPr>
            </w:pPr>
            <w:r w:rsidRPr="003A2F67">
              <w:rPr>
                <w:rFonts w:ascii="Arial" w:hAnsi="Arial" w:cs="Arial"/>
                <w:sz w:val="20"/>
              </w:rPr>
              <w:t>37</w:t>
            </w:r>
          </w:p>
        </w:tc>
        <w:tc>
          <w:tcPr>
            <w:tcW w:w="850" w:type="dxa"/>
          </w:tcPr>
          <w:p w:rsidR="00551E43" w:rsidRPr="003A2F67" w:rsidRDefault="00551E43" w:rsidP="009509D9">
            <w:pPr>
              <w:pStyle w:val="TableParagraph"/>
              <w:ind w:right="417"/>
              <w:rPr>
                <w:rFonts w:ascii="Arial" w:hAnsi="Arial" w:cs="Arial"/>
                <w:sz w:val="20"/>
              </w:rPr>
            </w:pPr>
            <w:r w:rsidRPr="003A2F67">
              <w:rPr>
                <w:rFonts w:ascii="Arial" w:hAnsi="Arial" w:cs="Arial"/>
                <w:w w:val="95"/>
                <w:sz w:val="20"/>
              </w:rPr>
              <w:t>40</w:t>
            </w:r>
          </w:p>
        </w:tc>
        <w:tc>
          <w:tcPr>
            <w:tcW w:w="709" w:type="dxa"/>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1</w:t>
            </w:r>
          </w:p>
        </w:tc>
        <w:tc>
          <w:tcPr>
            <w:tcW w:w="851" w:type="dxa"/>
          </w:tcPr>
          <w:p w:rsidR="00551E43" w:rsidRPr="003A2F67" w:rsidRDefault="00551E43" w:rsidP="002D3B28">
            <w:pPr>
              <w:pStyle w:val="TableParagraph"/>
              <w:ind w:left="141"/>
              <w:jc w:val="left"/>
              <w:rPr>
                <w:rFonts w:ascii="Arial" w:hAnsi="Arial" w:cs="Arial"/>
                <w:sz w:val="20"/>
              </w:rPr>
            </w:pPr>
            <w:r w:rsidRPr="003A2F67">
              <w:rPr>
                <w:rFonts w:ascii="Arial" w:hAnsi="Arial" w:cs="Arial"/>
                <w:sz w:val="20"/>
              </w:rPr>
              <w:t>18</w:t>
            </w:r>
          </w:p>
        </w:tc>
        <w:tc>
          <w:tcPr>
            <w:tcW w:w="708" w:type="dxa"/>
          </w:tcPr>
          <w:p w:rsidR="00551E43" w:rsidRPr="003A2F67" w:rsidRDefault="00551E43" w:rsidP="009509D9">
            <w:pPr>
              <w:pStyle w:val="TableParagraph"/>
              <w:ind w:right="337"/>
              <w:rPr>
                <w:rFonts w:ascii="Arial" w:hAnsi="Arial" w:cs="Arial"/>
                <w:sz w:val="20"/>
              </w:rPr>
            </w:pPr>
            <w:r w:rsidRPr="003A2F67">
              <w:rPr>
                <w:rFonts w:ascii="Arial" w:hAnsi="Arial" w:cs="Arial"/>
                <w:w w:val="95"/>
                <w:sz w:val="20"/>
              </w:rPr>
              <w:t>136</w:t>
            </w:r>
          </w:p>
        </w:tc>
        <w:tc>
          <w:tcPr>
            <w:tcW w:w="1134" w:type="dxa"/>
          </w:tcPr>
          <w:p w:rsidR="00551E43" w:rsidRPr="003A2F67" w:rsidRDefault="00551E43" w:rsidP="002D3B28">
            <w:pPr>
              <w:pStyle w:val="TableParagraph"/>
              <w:spacing w:line="227" w:lineRule="exact"/>
              <w:ind w:left="-1" w:firstLine="283"/>
              <w:jc w:val="left"/>
              <w:rPr>
                <w:rFonts w:ascii="Arial" w:hAnsi="Arial" w:cs="Arial"/>
                <w:b/>
                <w:sz w:val="20"/>
              </w:rPr>
            </w:pPr>
            <w:r w:rsidRPr="003A2F67">
              <w:rPr>
                <w:rFonts w:ascii="Arial" w:hAnsi="Arial" w:cs="Arial"/>
                <w:b/>
                <w:sz w:val="20"/>
              </w:rPr>
              <w:t>660</w:t>
            </w:r>
          </w:p>
        </w:tc>
      </w:tr>
      <w:tr w:rsidR="00551E43" w:rsidTr="00424CF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rPr>
            </w:pPr>
            <w:r w:rsidRPr="003A2F67">
              <w:rPr>
                <w:rFonts w:ascii="Arial" w:hAnsi="Arial" w:cs="Arial"/>
                <w:sz w:val="20"/>
              </w:rPr>
              <w:t>OPF</w:t>
            </w:r>
          </w:p>
        </w:tc>
        <w:tc>
          <w:tcPr>
            <w:tcW w:w="998" w:type="dxa"/>
            <w:tcBorders>
              <w:left w:val="single" w:sz="4" w:space="0" w:color="7E7E7E"/>
            </w:tcBorders>
            <w:shd w:val="clear" w:color="auto" w:fill="F1F1F1"/>
          </w:tcPr>
          <w:p w:rsidR="00551E43" w:rsidRPr="003A2F67" w:rsidRDefault="00551E43" w:rsidP="009509D9">
            <w:pPr>
              <w:pStyle w:val="TableParagraph"/>
              <w:ind w:left="257" w:right="283"/>
              <w:rPr>
                <w:rFonts w:ascii="Arial" w:hAnsi="Arial" w:cs="Arial"/>
                <w:sz w:val="20"/>
              </w:rPr>
            </w:pPr>
            <w:r w:rsidRPr="003A2F67">
              <w:rPr>
                <w:rFonts w:ascii="Arial" w:hAnsi="Arial" w:cs="Arial"/>
                <w:sz w:val="20"/>
              </w:rPr>
              <w:t>328</w:t>
            </w:r>
          </w:p>
        </w:tc>
        <w:tc>
          <w:tcPr>
            <w:tcW w:w="992" w:type="dxa"/>
            <w:shd w:val="clear" w:color="auto" w:fill="F1F1F1"/>
          </w:tcPr>
          <w:p w:rsidR="00551E43" w:rsidRPr="003A2F67" w:rsidRDefault="00551E43" w:rsidP="009509D9">
            <w:pPr>
              <w:pStyle w:val="TableParagraph"/>
              <w:ind w:left="295" w:right="312"/>
              <w:rPr>
                <w:rFonts w:ascii="Arial" w:hAnsi="Arial" w:cs="Arial"/>
                <w:sz w:val="20"/>
              </w:rPr>
            </w:pPr>
            <w:r w:rsidRPr="003A2F67">
              <w:rPr>
                <w:rFonts w:ascii="Arial" w:hAnsi="Arial" w:cs="Arial"/>
                <w:sz w:val="20"/>
              </w:rPr>
              <w:t>35</w:t>
            </w:r>
          </w:p>
        </w:tc>
        <w:tc>
          <w:tcPr>
            <w:tcW w:w="567" w:type="dxa"/>
            <w:shd w:val="clear" w:color="auto" w:fill="F1F1F1"/>
          </w:tcPr>
          <w:p w:rsidR="00551E43" w:rsidRPr="003A2F67" w:rsidRDefault="00551E43" w:rsidP="002D3B28">
            <w:pPr>
              <w:pStyle w:val="TableParagraph"/>
              <w:ind w:right="217"/>
              <w:rPr>
                <w:rFonts w:ascii="Arial" w:hAnsi="Arial" w:cs="Arial"/>
                <w:sz w:val="20"/>
              </w:rPr>
            </w:pPr>
            <w:r w:rsidRPr="003A2F67">
              <w:rPr>
                <w:rFonts w:ascii="Arial" w:hAnsi="Arial" w:cs="Arial"/>
                <w:sz w:val="20"/>
              </w:rPr>
              <w:t>32</w:t>
            </w:r>
          </w:p>
        </w:tc>
        <w:tc>
          <w:tcPr>
            <w:tcW w:w="850" w:type="dxa"/>
            <w:shd w:val="clear" w:color="auto" w:fill="F1F1F1"/>
          </w:tcPr>
          <w:p w:rsidR="00551E43" w:rsidRPr="003A2F67" w:rsidRDefault="00551E43" w:rsidP="009509D9">
            <w:pPr>
              <w:pStyle w:val="TableParagraph"/>
              <w:ind w:right="417"/>
              <w:rPr>
                <w:rFonts w:ascii="Arial" w:hAnsi="Arial" w:cs="Arial"/>
                <w:sz w:val="20"/>
              </w:rPr>
            </w:pPr>
            <w:r w:rsidRPr="003A2F67">
              <w:rPr>
                <w:rFonts w:ascii="Arial" w:hAnsi="Arial" w:cs="Arial"/>
                <w:w w:val="95"/>
                <w:sz w:val="20"/>
              </w:rPr>
              <w:t>34</w:t>
            </w:r>
          </w:p>
        </w:tc>
        <w:tc>
          <w:tcPr>
            <w:tcW w:w="709" w:type="dxa"/>
            <w:shd w:val="clear" w:color="auto" w:fill="F1F1F1"/>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2</w:t>
            </w:r>
          </w:p>
        </w:tc>
        <w:tc>
          <w:tcPr>
            <w:tcW w:w="851" w:type="dxa"/>
            <w:shd w:val="clear" w:color="auto" w:fill="F1F1F1"/>
          </w:tcPr>
          <w:p w:rsidR="00551E43" w:rsidRPr="003A2F67" w:rsidRDefault="00551E43" w:rsidP="002D3B28">
            <w:pPr>
              <w:pStyle w:val="TableParagraph"/>
              <w:ind w:left="141"/>
              <w:jc w:val="left"/>
              <w:rPr>
                <w:rFonts w:ascii="Arial" w:hAnsi="Arial" w:cs="Arial"/>
                <w:sz w:val="20"/>
              </w:rPr>
            </w:pPr>
            <w:r w:rsidRPr="003A2F67">
              <w:rPr>
                <w:rFonts w:ascii="Arial" w:hAnsi="Arial" w:cs="Arial"/>
                <w:sz w:val="20"/>
              </w:rPr>
              <w:t>11</w:t>
            </w:r>
          </w:p>
        </w:tc>
        <w:tc>
          <w:tcPr>
            <w:tcW w:w="708" w:type="dxa"/>
            <w:shd w:val="clear" w:color="auto" w:fill="F1F1F1"/>
          </w:tcPr>
          <w:p w:rsidR="00551E43" w:rsidRPr="003A2F67" w:rsidRDefault="00551E43" w:rsidP="009509D9">
            <w:pPr>
              <w:pStyle w:val="TableParagraph"/>
              <w:ind w:right="337"/>
              <w:rPr>
                <w:rFonts w:ascii="Arial" w:hAnsi="Arial" w:cs="Arial"/>
                <w:sz w:val="20"/>
              </w:rPr>
            </w:pPr>
            <w:r w:rsidRPr="003A2F67">
              <w:rPr>
                <w:rFonts w:ascii="Arial" w:hAnsi="Arial" w:cs="Arial"/>
                <w:w w:val="95"/>
                <w:sz w:val="20"/>
              </w:rPr>
              <w:t>123</w:t>
            </w:r>
          </w:p>
        </w:tc>
        <w:tc>
          <w:tcPr>
            <w:tcW w:w="1134" w:type="dxa"/>
            <w:shd w:val="clear" w:color="auto" w:fill="F1F1F1"/>
          </w:tcPr>
          <w:p w:rsidR="00551E43" w:rsidRPr="003A2F67" w:rsidRDefault="00551E43" w:rsidP="002D3B28">
            <w:pPr>
              <w:pStyle w:val="TableParagraph"/>
              <w:spacing w:line="227" w:lineRule="exact"/>
              <w:ind w:left="-1" w:firstLine="283"/>
              <w:jc w:val="left"/>
              <w:rPr>
                <w:rFonts w:ascii="Arial" w:hAnsi="Arial" w:cs="Arial"/>
                <w:b/>
                <w:sz w:val="20"/>
              </w:rPr>
            </w:pPr>
            <w:r w:rsidRPr="003A2F67">
              <w:rPr>
                <w:rFonts w:ascii="Arial" w:hAnsi="Arial" w:cs="Arial"/>
                <w:b/>
                <w:sz w:val="20"/>
              </w:rPr>
              <w:t>565</w:t>
            </w:r>
          </w:p>
        </w:tc>
      </w:tr>
      <w:tr w:rsidR="00551E43" w:rsidTr="00424CF8">
        <w:trPr>
          <w:trHeight w:val="343"/>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rPr>
            </w:pPr>
            <w:r w:rsidRPr="003A2F67">
              <w:rPr>
                <w:rFonts w:ascii="Arial" w:hAnsi="Arial" w:cs="Arial"/>
                <w:sz w:val="20"/>
              </w:rPr>
              <w:t>OFR</w:t>
            </w:r>
          </w:p>
        </w:tc>
        <w:tc>
          <w:tcPr>
            <w:tcW w:w="998" w:type="dxa"/>
            <w:tcBorders>
              <w:left w:val="single" w:sz="4" w:space="0" w:color="7E7E7E"/>
            </w:tcBorders>
          </w:tcPr>
          <w:p w:rsidR="00551E43" w:rsidRPr="003A2F67" w:rsidRDefault="00551E43" w:rsidP="009509D9">
            <w:pPr>
              <w:pStyle w:val="TableParagraph"/>
              <w:spacing w:line="227" w:lineRule="exact"/>
              <w:ind w:left="257" w:right="283"/>
              <w:rPr>
                <w:rFonts w:ascii="Arial" w:hAnsi="Arial" w:cs="Arial"/>
                <w:sz w:val="20"/>
              </w:rPr>
            </w:pPr>
            <w:r w:rsidRPr="003A2F67">
              <w:rPr>
                <w:rFonts w:ascii="Arial" w:hAnsi="Arial" w:cs="Arial"/>
                <w:sz w:val="20"/>
              </w:rPr>
              <w:t>313</w:t>
            </w:r>
          </w:p>
        </w:tc>
        <w:tc>
          <w:tcPr>
            <w:tcW w:w="992" w:type="dxa"/>
          </w:tcPr>
          <w:p w:rsidR="00551E43" w:rsidRPr="003A2F67" w:rsidRDefault="00551E43" w:rsidP="009509D9">
            <w:pPr>
              <w:pStyle w:val="TableParagraph"/>
              <w:spacing w:line="227" w:lineRule="exact"/>
              <w:ind w:left="295" w:right="312"/>
              <w:rPr>
                <w:rFonts w:ascii="Arial" w:hAnsi="Arial" w:cs="Arial"/>
                <w:sz w:val="20"/>
              </w:rPr>
            </w:pPr>
            <w:r w:rsidRPr="003A2F67">
              <w:rPr>
                <w:rFonts w:ascii="Arial" w:hAnsi="Arial" w:cs="Arial"/>
                <w:sz w:val="20"/>
              </w:rPr>
              <w:t>27</w:t>
            </w:r>
          </w:p>
        </w:tc>
        <w:tc>
          <w:tcPr>
            <w:tcW w:w="567" w:type="dxa"/>
          </w:tcPr>
          <w:p w:rsidR="00551E43" w:rsidRPr="003A2F67" w:rsidRDefault="00551E43" w:rsidP="002D3B28">
            <w:pPr>
              <w:pStyle w:val="TableParagraph"/>
              <w:spacing w:line="227" w:lineRule="exact"/>
              <w:ind w:right="217"/>
              <w:rPr>
                <w:rFonts w:ascii="Arial" w:hAnsi="Arial" w:cs="Arial"/>
                <w:sz w:val="20"/>
              </w:rPr>
            </w:pPr>
            <w:r w:rsidRPr="003A2F67">
              <w:rPr>
                <w:rFonts w:ascii="Arial" w:hAnsi="Arial" w:cs="Arial"/>
                <w:sz w:val="20"/>
              </w:rPr>
              <w:t>36</w:t>
            </w:r>
          </w:p>
        </w:tc>
        <w:tc>
          <w:tcPr>
            <w:tcW w:w="850" w:type="dxa"/>
          </w:tcPr>
          <w:p w:rsidR="00551E43" w:rsidRPr="003A2F67" w:rsidRDefault="00551E43" w:rsidP="009509D9">
            <w:pPr>
              <w:pStyle w:val="TableParagraph"/>
              <w:spacing w:line="227" w:lineRule="exact"/>
              <w:ind w:right="417"/>
              <w:rPr>
                <w:rFonts w:ascii="Arial" w:hAnsi="Arial" w:cs="Arial"/>
                <w:sz w:val="20"/>
              </w:rPr>
            </w:pPr>
            <w:r w:rsidRPr="003A2F67">
              <w:rPr>
                <w:rFonts w:ascii="Arial" w:hAnsi="Arial" w:cs="Arial"/>
                <w:w w:val="95"/>
                <w:sz w:val="20"/>
              </w:rPr>
              <w:t>37</w:t>
            </w:r>
          </w:p>
        </w:tc>
        <w:tc>
          <w:tcPr>
            <w:tcW w:w="709" w:type="dxa"/>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6</w:t>
            </w:r>
          </w:p>
        </w:tc>
        <w:tc>
          <w:tcPr>
            <w:tcW w:w="851" w:type="dxa"/>
          </w:tcPr>
          <w:p w:rsidR="00551E43" w:rsidRPr="003A2F67" w:rsidRDefault="00551E43" w:rsidP="002D3B28">
            <w:pPr>
              <w:pStyle w:val="TableParagraph"/>
              <w:spacing w:line="227" w:lineRule="exact"/>
              <w:ind w:left="141"/>
              <w:jc w:val="left"/>
              <w:rPr>
                <w:rFonts w:ascii="Arial" w:hAnsi="Arial" w:cs="Arial"/>
                <w:sz w:val="20"/>
              </w:rPr>
            </w:pPr>
            <w:r w:rsidRPr="003A2F67">
              <w:rPr>
                <w:rFonts w:ascii="Arial" w:hAnsi="Arial" w:cs="Arial"/>
                <w:sz w:val="20"/>
              </w:rPr>
              <w:t>17</w:t>
            </w:r>
          </w:p>
        </w:tc>
        <w:tc>
          <w:tcPr>
            <w:tcW w:w="708" w:type="dxa"/>
          </w:tcPr>
          <w:p w:rsidR="00551E43" w:rsidRPr="003A2F67" w:rsidRDefault="00551E43" w:rsidP="009509D9">
            <w:pPr>
              <w:pStyle w:val="TableParagraph"/>
              <w:spacing w:line="227" w:lineRule="exact"/>
              <w:ind w:right="337"/>
              <w:rPr>
                <w:rFonts w:ascii="Arial" w:hAnsi="Arial" w:cs="Arial"/>
                <w:sz w:val="20"/>
              </w:rPr>
            </w:pPr>
            <w:r w:rsidRPr="003A2F67">
              <w:rPr>
                <w:rFonts w:ascii="Arial" w:hAnsi="Arial" w:cs="Arial"/>
                <w:w w:val="95"/>
                <w:sz w:val="20"/>
              </w:rPr>
              <w:t>146</w:t>
            </w:r>
          </w:p>
        </w:tc>
        <w:tc>
          <w:tcPr>
            <w:tcW w:w="1134" w:type="dxa"/>
          </w:tcPr>
          <w:p w:rsidR="00551E43" w:rsidRPr="003A2F67" w:rsidRDefault="00551E43" w:rsidP="002D3B28">
            <w:pPr>
              <w:pStyle w:val="TableParagraph"/>
              <w:spacing w:line="225" w:lineRule="exact"/>
              <w:ind w:left="-1" w:firstLine="283"/>
              <w:jc w:val="left"/>
              <w:rPr>
                <w:rFonts w:ascii="Arial" w:hAnsi="Arial" w:cs="Arial"/>
                <w:b/>
                <w:sz w:val="20"/>
              </w:rPr>
            </w:pPr>
            <w:r w:rsidRPr="003A2F67">
              <w:rPr>
                <w:rFonts w:ascii="Arial" w:hAnsi="Arial" w:cs="Arial"/>
                <w:b/>
                <w:sz w:val="20"/>
              </w:rPr>
              <w:t>582</w:t>
            </w:r>
          </w:p>
        </w:tc>
      </w:tr>
      <w:tr w:rsidR="00551E43" w:rsidTr="00424CF8">
        <w:trPr>
          <w:trHeight w:val="346"/>
        </w:trPr>
        <w:tc>
          <w:tcPr>
            <w:tcW w:w="1008" w:type="dxa"/>
            <w:tcBorders>
              <w:right w:val="single" w:sz="4" w:space="0" w:color="7E7E7E"/>
            </w:tcBorders>
          </w:tcPr>
          <w:p w:rsidR="00551E43" w:rsidRPr="003A2F67" w:rsidRDefault="00551E43" w:rsidP="009509D9">
            <w:pPr>
              <w:pStyle w:val="TableParagraph"/>
              <w:spacing w:line="228" w:lineRule="exact"/>
              <w:ind w:left="112"/>
              <w:jc w:val="left"/>
              <w:rPr>
                <w:rFonts w:ascii="Arial" w:hAnsi="Arial" w:cs="Arial"/>
                <w:sz w:val="20"/>
              </w:rPr>
            </w:pPr>
            <w:r w:rsidRPr="003A2F67">
              <w:rPr>
                <w:rFonts w:ascii="Arial" w:hAnsi="Arial" w:cs="Arial"/>
                <w:sz w:val="20"/>
              </w:rPr>
              <w:t>MFR</w:t>
            </w:r>
          </w:p>
        </w:tc>
        <w:tc>
          <w:tcPr>
            <w:tcW w:w="998" w:type="dxa"/>
            <w:tcBorders>
              <w:left w:val="single" w:sz="4" w:space="0" w:color="7E7E7E"/>
            </w:tcBorders>
            <w:shd w:val="clear" w:color="auto" w:fill="F1F1F1"/>
          </w:tcPr>
          <w:p w:rsidR="00551E43" w:rsidRPr="003A2F67" w:rsidRDefault="00551E43" w:rsidP="009509D9">
            <w:pPr>
              <w:pStyle w:val="TableParagraph"/>
              <w:spacing w:line="240" w:lineRule="auto"/>
              <w:ind w:left="257" w:right="283"/>
              <w:rPr>
                <w:rFonts w:ascii="Arial" w:hAnsi="Arial" w:cs="Arial"/>
                <w:sz w:val="20"/>
              </w:rPr>
            </w:pPr>
            <w:r w:rsidRPr="003A2F67">
              <w:rPr>
                <w:rFonts w:ascii="Arial" w:hAnsi="Arial" w:cs="Arial"/>
                <w:sz w:val="20"/>
              </w:rPr>
              <w:t>388</w:t>
            </w:r>
          </w:p>
        </w:tc>
        <w:tc>
          <w:tcPr>
            <w:tcW w:w="992" w:type="dxa"/>
            <w:shd w:val="clear" w:color="auto" w:fill="F1F1F1"/>
          </w:tcPr>
          <w:p w:rsidR="00551E43" w:rsidRPr="003A2F67" w:rsidRDefault="00551E43" w:rsidP="009509D9">
            <w:pPr>
              <w:pStyle w:val="TableParagraph"/>
              <w:spacing w:line="240" w:lineRule="auto"/>
              <w:ind w:left="295" w:right="312"/>
              <w:rPr>
                <w:rFonts w:ascii="Arial" w:hAnsi="Arial" w:cs="Arial"/>
                <w:sz w:val="20"/>
              </w:rPr>
            </w:pPr>
            <w:r w:rsidRPr="003A2F67">
              <w:rPr>
                <w:rFonts w:ascii="Arial" w:hAnsi="Arial" w:cs="Arial"/>
                <w:sz w:val="20"/>
              </w:rPr>
              <w:t>41</w:t>
            </w:r>
          </w:p>
        </w:tc>
        <w:tc>
          <w:tcPr>
            <w:tcW w:w="567" w:type="dxa"/>
            <w:shd w:val="clear" w:color="auto" w:fill="F1F1F1"/>
          </w:tcPr>
          <w:p w:rsidR="00551E43" w:rsidRPr="003A2F67" w:rsidRDefault="00551E43" w:rsidP="002D3B28">
            <w:pPr>
              <w:pStyle w:val="TableParagraph"/>
              <w:spacing w:line="240" w:lineRule="auto"/>
              <w:ind w:right="217"/>
              <w:rPr>
                <w:rFonts w:ascii="Arial" w:hAnsi="Arial" w:cs="Arial"/>
                <w:sz w:val="20"/>
              </w:rPr>
            </w:pPr>
            <w:r w:rsidRPr="003A2F67">
              <w:rPr>
                <w:rFonts w:ascii="Arial" w:hAnsi="Arial" w:cs="Arial"/>
                <w:sz w:val="20"/>
              </w:rPr>
              <w:t>57</w:t>
            </w:r>
          </w:p>
        </w:tc>
        <w:tc>
          <w:tcPr>
            <w:tcW w:w="850" w:type="dxa"/>
            <w:shd w:val="clear" w:color="auto" w:fill="F1F1F1"/>
          </w:tcPr>
          <w:p w:rsidR="00551E43" w:rsidRPr="003A2F67" w:rsidRDefault="00551E43" w:rsidP="009509D9">
            <w:pPr>
              <w:pStyle w:val="TableParagraph"/>
              <w:spacing w:line="240" w:lineRule="auto"/>
              <w:ind w:right="417"/>
              <w:rPr>
                <w:rFonts w:ascii="Arial" w:hAnsi="Arial" w:cs="Arial"/>
                <w:sz w:val="20"/>
              </w:rPr>
            </w:pPr>
            <w:r w:rsidRPr="003A2F67">
              <w:rPr>
                <w:rFonts w:ascii="Arial" w:hAnsi="Arial" w:cs="Arial"/>
                <w:w w:val="95"/>
                <w:sz w:val="20"/>
              </w:rPr>
              <w:t>60</w:t>
            </w:r>
          </w:p>
        </w:tc>
        <w:tc>
          <w:tcPr>
            <w:tcW w:w="709" w:type="dxa"/>
            <w:shd w:val="clear" w:color="auto" w:fill="F1F1F1"/>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6</w:t>
            </w:r>
          </w:p>
        </w:tc>
        <w:tc>
          <w:tcPr>
            <w:tcW w:w="851" w:type="dxa"/>
            <w:shd w:val="clear" w:color="auto" w:fill="F1F1F1"/>
          </w:tcPr>
          <w:p w:rsidR="00551E43" w:rsidRPr="003A2F67" w:rsidRDefault="00551E43" w:rsidP="002D3B28">
            <w:pPr>
              <w:pStyle w:val="TableParagraph"/>
              <w:spacing w:line="240" w:lineRule="auto"/>
              <w:ind w:left="141"/>
              <w:jc w:val="left"/>
              <w:rPr>
                <w:rFonts w:ascii="Arial" w:hAnsi="Arial" w:cs="Arial"/>
                <w:sz w:val="20"/>
              </w:rPr>
            </w:pPr>
            <w:r w:rsidRPr="003A2F67">
              <w:rPr>
                <w:rFonts w:ascii="Arial" w:hAnsi="Arial" w:cs="Arial"/>
                <w:sz w:val="20"/>
              </w:rPr>
              <w:t>28</w:t>
            </w:r>
          </w:p>
        </w:tc>
        <w:tc>
          <w:tcPr>
            <w:tcW w:w="708" w:type="dxa"/>
            <w:shd w:val="clear" w:color="auto" w:fill="F1F1F1"/>
          </w:tcPr>
          <w:p w:rsidR="00551E43" w:rsidRPr="003A2F67" w:rsidRDefault="00551E43" w:rsidP="009509D9">
            <w:pPr>
              <w:pStyle w:val="TableParagraph"/>
              <w:spacing w:line="240" w:lineRule="auto"/>
              <w:ind w:right="337"/>
              <w:rPr>
                <w:rFonts w:ascii="Arial" w:hAnsi="Arial" w:cs="Arial"/>
                <w:sz w:val="20"/>
              </w:rPr>
            </w:pPr>
            <w:r w:rsidRPr="003A2F67">
              <w:rPr>
                <w:rFonts w:ascii="Arial" w:hAnsi="Arial" w:cs="Arial"/>
                <w:w w:val="95"/>
                <w:sz w:val="20"/>
              </w:rPr>
              <w:t>222</w:t>
            </w:r>
          </w:p>
        </w:tc>
        <w:tc>
          <w:tcPr>
            <w:tcW w:w="1134" w:type="dxa"/>
            <w:shd w:val="clear" w:color="auto" w:fill="F1F1F1"/>
          </w:tcPr>
          <w:p w:rsidR="00551E43" w:rsidRPr="003A2F67" w:rsidRDefault="00551E43" w:rsidP="002D3B28">
            <w:pPr>
              <w:pStyle w:val="TableParagraph"/>
              <w:spacing w:line="228" w:lineRule="exact"/>
              <w:ind w:left="-1" w:firstLine="283"/>
              <w:jc w:val="left"/>
              <w:rPr>
                <w:rFonts w:ascii="Arial" w:hAnsi="Arial" w:cs="Arial"/>
                <w:b/>
                <w:sz w:val="20"/>
              </w:rPr>
            </w:pPr>
            <w:r w:rsidRPr="003A2F67">
              <w:rPr>
                <w:rFonts w:ascii="Arial" w:hAnsi="Arial" w:cs="Arial"/>
                <w:b/>
                <w:sz w:val="20"/>
              </w:rPr>
              <w:t>802</w:t>
            </w:r>
          </w:p>
        </w:tc>
      </w:tr>
      <w:tr w:rsidR="00551E43" w:rsidTr="00424CF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rPr>
            </w:pPr>
            <w:r w:rsidRPr="003A2F67">
              <w:rPr>
                <w:rFonts w:ascii="Arial" w:hAnsi="Arial" w:cs="Arial"/>
                <w:sz w:val="20"/>
              </w:rPr>
              <w:t>UFR</w:t>
            </w:r>
          </w:p>
        </w:tc>
        <w:tc>
          <w:tcPr>
            <w:tcW w:w="998" w:type="dxa"/>
            <w:tcBorders>
              <w:left w:val="single" w:sz="4" w:space="0" w:color="7E7E7E"/>
            </w:tcBorders>
          </w:tcPr>
          <w:p w:rsidR="00551E43" w:rsidRPr="003A2F67" w:rsidRDefault="00551E43" w:rsidP="009509D9">
            <w:pPr>
              <w:pStyle w:val="TableParagraph"/>
              <w:ind w:left="257" w:right="283"/>
              <w:rPr>
                <w:rFonts w:ascii="Arial" w:hAnsi="Arial" w:cs="Arial"/>
                <w:sz w:val="20"/>
              </w:rPr>
            </w:pPr>
            <w:r w:rsidRPr="003A2F67">
              <w:rPr>
                <w:rFonts w:ascii="Arial" w:hAnsi="Arial" w:cs="Arial"/>
                <w:sz w:val="20"/>
              </w:rPr>
              <w:t>362</w:t>
            </w:r>
          </w:p>
        </w:tc>
        <w:tc>
          <w:tcPr>
            <w:tcW w:w="992" w:type="dxa"/>
          </w:tcPr>
          <w:p w:rsidR="00551E43" w:rsidRPr="003A2F67" w:rsidRDefault="00551E43" w:rsidP="009509D9">
            <w:pPr>
              <w:pStyle w:val="TableParagraph"/>
              <w:ind w:left="295" w:right="312"/>
              <w:rPr>
                <w:rFonts w:ascii="Arial" w:hAnsi="Arial" w:cs="Arial"/>
                <w:sz w:val="20"/>
              </w:rPr>
            </w:pPr>
            <w:r w:rsidRPr="003A2F67">
              <w:rPr>
                <w:rFonts w:ascii="Arial" w:hAnsi="Arial" w:cs="Arial"/>
                <w:sz w:val="20"/>
              </w:rPr>
              <w:t>45</w:t>
            </w:r>
          </w:p>
        </w:tc>
        <w:tc>
          <w:tcPr>
            <w:tcW w:w="567" w:type="dxa"/>
          </w:tcPr>
          <w:p w:rsidR="00551E43" w:rsidRPr="003A2F67" w:rsidRDefault="00551E43" w:rsidP="002D3B28">
            <w:pPr>
              <w:pStyle w:val="TableParagraph"/>
              <w:ind w:right="217"/>
              <w:rPr>
                <w:rFonts w:ascii="Arial" w:hAnsi="Arial" w:cs="Arial"/>
                <w:sz w:val="20"/>
              </w:rPr>
            </w:pPr>
            <w:r w:rsidRPr="003A2F67">
              <w:rPr>
                <w:rFonts w:ascii="Arial" w:hAnsi="Arial" w:cs="Arial"/>
                <w:sz w:val="20"/>
              </w:rPr>
              <w:t>44</w:t>
            </w:r>
          </w:p>
        </w:tc>
        <w:tc>
          <w:tcPr>
            <w:tcW w:w="850" w:type="dxa"/>
          </w:tcPr>
          <w:p w:rsidR="00551E43" w:rsidRPr="003A2F67" w:rsidRDefault="00551E43" w:rsidP="009509D9">
            <w:pPr>
              <w:pStyle w:val="TableParagraph"/>
              <w:ind w:right="417"/>
              <w:rPr>
                <w:rFonts w:ascii="Arial" w:hAnsi="Arial" w:cs="Arial"/>
                <w:sz w:val="20"/>
              </w:rPr>
            </w:pPr>
            <w:r w:rsidRPr="003A2F67">
              <w:rPr>
                <w:rFonts w:ascii="Arial" w:hAnsi="Arial" w:cs="Arial"/>
                <w:w w:val="95"/>
                <w:sz w:val="20"/>
              </w:rPr>
              <w:t>48</w:t>
            </w:r>
          </w:p>
        </w:tc>
        <w:tc>
          <w:tcPr>
            <w:tcW w:w="709" w:type="dxa"/>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4</w:t>
            </w:r>
          </w:p>
        </w:tc>
        <w:tc>
          <w:tcPr>
            <w:tcW w:w="851" w:type="dxa"/>
          </w:tcPr>
          <w:p w:rsidR="00551E43" w:rsidRPr="003A2F67" w:rsidRDefault="00551E43" w:rsidP="002D3B28">
            <w:pPr>
              <w:pStyle w:val="TableParagraph"/>
              <w:ind w:left="141"/>
              <w:jc w:val="left"/>
              <w:rPr>
                <w:rFonts w:ascii="Arial" w:hAnsi="Arial" w:cs="Arial"/>
                <w:sz w:val="20"/>
              </w:rPr>
            </w:pPr>
            <w:r w:rsidRPr="003A2F67">
              <w:rPr>
                <w:rFonts w:ascii="Arial" w:hAnsi="Arial" w:cs="Arial"/>
                <w:sz w:val="20"/>
              </w:rPr>
              <w:t>17</w:t>
            </w:r>
          </w:p>
        </w:tc>
        <w:tc>
          <w:tcPr>
            <w:tcW w:w="708" w:type="dxa"/>
          </w:tcPr>
          <w:p w:rsidR="00551E43" w:rsidRPr="003A2F67" w:rsidRDefault="00551E43" w:rsidP="009509D9">
            <w:pPr>
              <w:pStyle w:val="TableParagraph"/>
              <w:ind w:right="337"/>
              <w:rPr>
                <w:rFonts w:ascii="Arial" w:hAnsi="Arial" w:cs="Arial"/>
                <w:sz w:val="20"/>
              </w:rPr>
            </w:pPr>
            <w:r w:rsidRPr="003A2F67">
              <w:rPr>
                <w:rFonts w:ascii="Arial" w:hAnsi="Arial" w:cs="Arial"/>
                <w:w w:val="95"/>
                <w:sz w:val="20"/>
              </w:rPr>
              <w:t>149</w:t>
            </w:r>
          </w:p>
        </w:tc>
        <w:tc>
          <w:tcPr>
            <w:tcW w:w="1134" w:type="dxa"/>
          </w:tcPr>
          <w:p w:rsidR="00551E43" w:rsidRPr="003A2F67" w:rsidRDefault="00551E43" w:rsidP="002D3B28">
            <w:pPr>
              <w:pStyle w:val="TableParagraph"/>
              <w:spacing w:line="227" w:lineRule="exact"/>
              <w:ind w:left="-1" w:firstLine="283"/>
              <w:jc w:val="left"/>
              <w:rPr>
                <w:rFonts w:ascii="Arial" w:hAnsi="Arial" w:cs="Arial"/>
                <w:b/>
                <w:sz w:val="20"/>
              </w:rPr>
            </w:pPr>
            <w:r w:rsidRPr="003A2F67">
              <w:rPr>
                <w:rFonts w:ascii="Arial" w:hAnsi="Arial" w:cs="Arial"/>
                <w:b/>
                <w:sz w:val="20"/>
              </w:rPr>
              <w:t>669</w:t>
            </w:r>
          </w:p>
        </w:tc>
      </w:tr>
      <w:tr w:rsidR="00551E43" w:rsidTr="00424CF8">
        <w:trPr>
          <w:trHeight w:val="345"/>
        </w:trPr>
        <w:tc>
          <w:tcPr>
            <w:tcW w:w="1008" w:type="dxa"/>
            <w:tcBorders>
              <w:right w:val="single" w:sz="4" w:space="0" w:color="7E7E7E"/>
            </w:tcBorders>
          </w:tcPr>
          <w:p w:rsidR="00551E43" w:rsidRPr="003A2F67" w:rsidRDefault="00551E43" w:rsidP="009509D9">
            <w:pPr>
              <w:pStyle w:val="TableParagraph"/>
              <w:spacing w:line="227" w:lineRule="exact"/>
              <w:ind w:left="112"/>
              <w:jc w:val="left"/>
              <w:rPr>
                <w:rFonts w:ascii="Arial" w:hAnsi="Arial" w:cs="Arial"/>
                <w:sz w:val="20"/>
              </w:rPr>
            </w:pPr>
            <w:r w:rsidRPr="003A2F67">
              <w:rPr>
                <w:rFonts w:ascii="Arial" w:hAnsi="Arial" w:cs="Arial"/>
                <w:sz w:val="20"/>
              </w:rPr>
              <w:t>SCH</w:t>
            </w:r>
          </w:p>
        </w:tc>
        <w:tc>
          <w:tcPr>
            <w:tcW w:w="998" w:type="dxa"/>
            <w:tcBorders>
              <w:left w:val="single" w:sz="4" w:space="0" w:color="7E7E7E"/>
            </w:tcBorders>
            <w:shd w:val="clear" w:color="auto" w:fill="F1F1F1"/>
          </w:tcPr>
          <w:p w:rsidR="00551E43" w:rsidRPr="003A2F67" w:rsidRDefault="00551E43" w:rsidP="009509D9">
            <w:pPr>
              <w:pStyle w:val="TableParagraph"/>
              <w:ind w:left="257" w:right="283"/>
              <w:rPr>
                <w:rFonts w:ascii="Arial" w:hAnsi="Arial" w:cs="Arial"/>
                <w:sz w:val="20"/>
              </w:rPr>
            </w:pPr>
            <w:r w:rsidRPr="003A2F67">
              <w:rPr>
                <w:rFonts w:ascii="Arial" w:hAnsi="Arial" w:cs="Arial"/>
                <w:sz w:val="20"/>
              </w:rPr>
              <w:t>485</w:t>
            </w:r>
          </w:p>
        </w:tc>
        <w:tc>
          <w:tcPr>
            <w:tcW w:w="992" w:type="dxa"/>
            <w:shd w:val="clear" w:color="auto" w:fill="F1F1F1"/>
          </w:tcPr>
          <w:p w:rsidR="00551E43" w:rsidRPr="003A2F67" w:rsidRDefault="00551E43" w:rsidP="009509D9">
            <w:pPr>
              <w:pStyle w:val="TableParagraph"/>
              <w:ind w:left="295" w:right="312"/>
              <w:rPr>
                <w:rFonts w:ascii="Arial" w:hAnsi="Arial" w:cs="Arial"/>
                <w:sz w:val="20"/>
              </w:rPr>
            </w:pPr>
            <w:r w:rsidRPr="003A2F67">
              <w:rPr>
                <w:rFonts w:ascii="Arial" w:hAnsi="Arial" w:cs="Arial"/>
                <w:sz w:val="20"/>
              </w:rPr>
              <w:t>60</w:t>
            </w:r>
          </w:p>
        </w:tc>
        <w:tc>
          <w:tcPr>
            <w:tcW w:w="567" w:type="dxa"/>
            <w:shd w:val="clear" w:color="auto" w:fill="F1F1F1"/>
          </w:tcPr>
          <w:p w:rsidR="00551E43" w:rsidRPr="003A2F67" w:rsidRDefault="00551E43" w:rsidP="002D3B28">
            <w:pPr>
              <w:pStyle w:val="TableParagraph"/>
              <w:ind w:right="217"/>
              <w:rPr>
                <w:rFonts w:ascii="Arial" w:hAnsi="Arial" w:cs="Arial"/>
                <w:sz w:val="20"/>
              </w:rPr>
            </w:pPr>
            <w:r w:rsidRPr="003A2F67">
              <w:rPr>
                <w:rFonts w:ascii="Arial" w:hAnsi="Arial" w:cs="Arial"/>
                <w:sz w:val="20"/>
              </w:rPr>
              <w:t>57</w:t>
            </w:r>
          </w:p>
        </w:tc>
        <w:tc>
          <w:tcPr>
            <w:tcW w:w="850" w:type="dxa"/>
            <w:shd w:val="clear" w:color="auto" w:fill="F1F1F1"/>
          </w:tcPr>
          <w:p w:rsidR="00551E43" w:rsidRPr="003A2F67" w:rsidRDefault="00551E43" w:rsidP="009509D9">
            <w:pPr>
              <w:pStyle w:val="TableParagraph"/>
              <w:ind w:right="417"/>
              <w:rPr>
                <w:rFonts w:ascii="Arial" w:hAnsi="Arial" w:cs="Arial"/>
                <w:sz w:val="20"/>
              </w:rPr>
            </w:pPr>
            <w:r w:rsidRPr="003A2F67">
              <w:rPr>
                <w:rFonts w:ascii="Arial" w:hAnsi="Arial" w:cs="Arial"/>
                <w:w w:val="95"/>
                <w:sz w:val="20"/>
              </w:rPr>
              <w:t>54</w:t>
            </w:r>
          </w:p>
        </w:tc>
        <w:tc>
          <w:tcPr>
            <w:tcW w:w="709" w:type="dxa"/>
            <w:shd w:val="clear" w:color="auto" w:fill="F1F1F1"/>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5</w:t>
            </w:r>
          </w:p>
        </w:tc>
        <w:tc>
          <w:tcPr>
            <w:tcW w:w="851" w:type="dxa"/>
            <w:shd w:val="clear" w:color="auto" w:fill="F1F1F1"/>
          </w:tcPr>
          <w:p w:rsidR="00551E43" w:rsidRPr="003A2F67" w:rsidRDefault="00551E43" w:rsidP="002D3B28">
            <w:pPr>
              <w:pStyle w:val="TableParagraph"/>
              <w:ind w:left="141"/>
              <w:jc w:val="left"/>
              <w:rPr>
                <w:rFonts w:ascii="Arial" w:hAnsi="Arial" w:cs="Arial"/>
                <w:sz w:val="20"/>
              </w:rPr>
            </w:pPr>
            <w:r w:rsidRPr="003A2F67">
              <w:rPr>
                <w:rFonts w:ascii="Arial" w:hAnsi="Arial" w:cs="Arial"/>
                <w:sz w:val="20"/>
              </w:rPr>
              <w:t>26</w:t>
            </w:r>
          </w:p>
        </w:tc>
        <w:tc>
          <w:tcPr>
            <w:tcW w:w="708" w:type="dxa"/>
            <w:shd w:val="clear" w:color="auto" w:fill="F1F1F1"/>
          </w:tcPr>
          <w:p w:rsidR="00551E43" w:rsidRPr="003A2F67" w:rsidRDefault="00551E43" w:rsidP="009509D9">
            <w:pPr>
              <w:pStyle w:val="TableParagraph"/>
              <w:ind w:right="337"/>
              <w:rPr>
                <w:rFonts w:ascii="Arial" w:hAnsi="Arial" w:cs="Arial"/>
                <w:sz w:val="20"/>
              </w:rPr>
            </w:pPr>
            <w:r w:rsidRPr="003A2F67">
              <w:rPr>
                <w:rFonts w:ascii="Arial" w:hAnsi="Arial" w:cs="Arial"/>
                <w:w w:val="95"/>
                <w:sz w:val="20"/>
              </w:rPr>
              <w:t>178</w:t>
            </w:r>
          </w:p>
        </w:tc>
        <w:tc>
          <w:tcPr>
            <w:tcW w:w="1134" w:type="dxa"/>
            <w:shd w:val="clear" w:color="auto" w:fill="F1F1F1"/>
          </w:tcPr>
          <w:p w:rsidR="00551E43" w:rsidRPr="003A2F67" w:rsidRDefault="00551E43" w:rsidP="002D3B28">
            <w:pPr>
              <w:pStyle w:val="TableParagraph"/>
              <w:spacing w:line="227" w:lineRule="exact"/>
              <w:ind w:left="-1" w:firstLine="283"/>
              <w:jc w:val="left"/>
              <w:rPr>
                <w:rFonts w:ascii="Arial" w:hAnsi="Arial" w:cs="Arial"/>
                <w:b/>
                <w:sz w:val="20"/>
              </w:rPr>
            </w:pPr>
            <w:r w:rsidRPr="003A2F67">
              <w:rPr>
                <w:rFonts w:ascii="Arial" w:hAnsi="Arial" w:cs="Arial"/>
                <w:b/>
                <w:sz w:val="20"/>
              </w:rPr>
              <w:t>865</w:t>
            </w:r>
          </w:p>
        </w:tc>
      </w:tr>
      <w:tr w:rsidR="00551E43" w:rsidTr="00424CF8">
        <w:trPr>
          <w:trHeight w:val="343"/>
        </w:trPr>
        <w:tc>
          <w:tcPr>
            <w:tcW w:w="1008" w:type="dxa"/>
            <w:tcBorders>
              <w:right w:val="single" w:sz="4" w:space="0" w:color="7E7E7E"/>
            </w:tcBorders>
          </w:tcPr>
          <w:p w:rsidR="00551E43" w:rsidRPr="003A2F67" w:rsidRDefault="00551E43" w:rsidP="009509D9">
            <w:pPr>
              <w:pStyle w:val="TableParagraph"/>
              <w:ind w:left="112"/>
              <w:jc w:val="left"/>
              <w:rPr>
                <w:rFonts w:ascii="Arial" w:hAnsi="Arial" w:cs="Arial"/>
                <w:b/>
                <w:sz w:val="20"/>
              </w:rPr>
            </w:pPr>
            <w:r w:rsidRPr="003A2F67">
              <w:rPr>
                <w:rFonts w:ascii="Arial" w:hAnsi="Arial" w:cs="Arial"/>
                <w:b/>
                <w:sz w:val="20"/>
              </w:rPr>
              <w:t>insges.</w:t>
            </w:r>
          </w:p>
        </w:tc>
        <w:tc>
          <w:tcPr>
            <w:tcW w:w="998" w:type="dxa"/>
            <w:tcBorders>
              <w:left w:val="single" w:sz="4" w:space="0" w:color="7E7E7E"/>
            </w:tcBorders>
          </w:tcPr>
          <w:p w:rsidR="00551E43" w:rsidRPr="003A2F67" w:rsidRDefault="00551E43" w:rsidP="009509D9">
            <w:pPr>
              <w:pStyle w:val="TableParagraph"/>
              <w:spacing w:line="225" w:lineRule="exact"/>
              <w:ind w:left="257" w:right="283"/>
              <w:rPr>
                <w:rFonts w:ascii="Arial" w:hAnsi="Arial" w:cs="Arial"/>
                <w:b/>
                <w:sz w:val="20"/>
              </w:rPr>
            </w:pPr>
            <w:r w:rsidRPr="003A2F67">
              <w:rPr>
                <w:rFonts w:ascii="Arial" w:hAnsi="Arial" w:cs="Arial"/>
                <w:b/>
                <w:sz w:val="20"/>
              </w:rPr>
              <w:t>3270</w:t>
            </w:r>
          </w:p>
        </w:tc>
        <w:tc>
          <w:tcPr>
            <w:tcW w:w="992" w:type="dxa"/>
          </w:tcPr>
          <w:p w:rsidR="00551E43" w:rsidRPr="003A2F67" w:rsidRDefault="00551E43" w:rsidP="009509D9">
            <w:pPr>
              <w:pStyle w:val="TableParagraph"/>
              <w:spacing w:line="225" w:lineRule="exact"/>
              <w:ind w:left="295" w:right="312"/>
              <w:rPr>
                <w:rFonts w:ascii="Arial" w:hAnsi="Arial" w:cs="Arial"/>
                <w:b/>
                <w:sz w:val="20"/>
              </w:rPr>
            </w:pPr>
            <w:r w:rsidRPr="003A2F67">
              <w:rPr>
                <w:rFonts w:ascii="Arial" w:hAnsi="Arial" w:cs="Arial"/>
                <w:b/>
                <w:sz w:val="20"/>
              </w:rPr>
              <w:t>374</w:t>
            </w:r>
          </w:p>
        </w:tc>
        <w:tc>
          <w:tcPr>
            <w:tcW w:w="567" w:type="dxa"/>
          </w:tcPr>
          <w:p w:rsidR="00551E43" w:rsidRPr="003A2F67" w:rsidRDefault="00551E43" w:rsidP="002D3B28">
            <w:pPr>
              <w:pStyle w:val="TableParagraph"/>
              <w:spacing w:line="225" w:lineRule="exact"/>
              <w:ind w:right="217"/>
              <w:rPr>
                <w:rFonts w:ascii="Arial" w:hAnsi="Arial" w:cs="Arial"/>
                <w:b/>
                <w:sz w:val="20"/>
              </w:rPr>
            </w:pPr>
            <w:r w:rsidRPr="003A2F67">
              <w:rPr>
                <w:rFonts w:ascii="Arial" w:hAnsi="Arial" w:cs="Arial"/>
                <w:b/>
                <w:sz w:val="20"/>
              </w:rPr>
              <w:t>427</w:t>
            </w:r>
          </w:p>
        </w:tc>
        <w:tc>
          <w:tcPr>
            <w:tcW w:w="850" w:type="dxa"/>
          </w:tcPr>
          <w:p w:rsidR="00551E43" w:rsidRPr="003A2F67" w:rsidRDefault="00551E43" w:rsidP="009509D9">
            <w:pPr>
              <w:pStyle w:val="TableParagraph"/>
              <w:spacing w:line="225" w:lineRule="exact"/>
              <w:ind w:right="361"/>
              <w:rPr>
                <w:rFonts w:ascii="Arial" w:hAnsi="Arial" w:cs="Arial"/>
                <w:b/>
                <w:sz w:val="20"/>
              </w:rPr>
            </w:pPr>
            <w:r w:rsidRPr="003A2F67">
              <w:rPr>
                <w:rFonts w:ascii="Arial" w:hAnsi="Arial" w:cs="Arial"/>
                <w:b/>
                <w:w w:val="95"/>
                <w:sz w:val="20"/>
              </w:rPr>
              <w:t>393</w:t>
            </w:r>
          </w:p>
        </w:tc>
        <w:tc>
          <w:tcPr>
            <w:tcW w:w="709" w:type="dxa"/>
          </w:tcPr>
          <w:p w:rsidR="00551E43" w:rsidRPr="003A2F67" w:rsidRDefault="00551E43" w:rsidP="002D3B28">
            <w:pPr>
              <w:pStyle w:val="TableParagraph"/>
              <w:spacing w:line="229" w:lineRule="exact"/>
              <w:ind w:left="145"/>
              <w:jc w:val="left"/>
              <w:rPr>
                <w:rFonts w:ascii="Arial" w:hAnsi="Arial" w:cs="Arial"/>
                <w:sz w:val="20"/>
              </w:rPr>
            </w:pPr>
            <w:r w:rsidRPr="003A2F67">
              <w:rPr>
                <w:rFonts w:ascii="Arial" w:hAnsi="Arial" w:cs="Arial"/>
                <w:sz w:val="20"/>
              </w:rPr>
              <w:t>41</w:t>
            </w:r>
          </w:p>
        </w:tc>
        <w:tc>
          <w:tcPr>
            <w:tcW w:w="851" w:type="dxa"/>
          </w:tcPr>
          <w:p w:rsidR="00551E43" w:rsidRPr="003A2F67" w:rsidRDefault="00551E43" w:rsidP="002D3B28">
            <w:pPr>
              <w:pStyle w:val="TableParagraph"/>
              <w:spacing w:line="225" w:lineRule="exact"/>
              <w:ind w:left="141"/>
              <w:jc w:val="left"/>
              <w:rPr>
                <w:rFonts w:ascii="Arial" w:hAnsi="Arial" w:cs="Arial"/>
                <w:b/>
                <w:sz w:val="20"/>
              </w:rPr>
            </w:pPr>
            <w:r w:rsidRPr="003A2F67">
              <w:rPr>
                <w:rFonts w:ascii="Arial" w:hAnsi="Arial" w:cs="Arial"/>
                <w:b/>
                <w:sz w:val="20"/>
              </w:rPr>
              <w:t>181</w:t>
            </w:r>
          </w:p>
        </w:tc>
        <w:tc>
          <w:tcPr>
            <w:tcW w:w="708" w:type="dxa"/>
          </w:tcPr>
          <w:p w:rsidR="00551E43" w:rsidRPr="003A2F67" w:rsidRDefault="00551E43" w:rsidP="009509D9">
            <w:pPr>
              <w:pStyle w:val="TableParagraph"/>
              <w:spacing w:line="225" w:lineRule="exact"/>
              <w:ind w:right="282"/>
              <w:rPr>
                <w:rFonts w:ascii="Arial" w:hAnsi="Arial" w:cs="Arial"/>
                <w:b/>
                <w:sz w:val="20"/>
              </w:rPr>
            </w:pPr>
            <w:r w:rsidRPr="003A2F67">
              <w:rPr>
                <w:rFonts w:ascii="Arial" w:hAnsi="Arial" w:cs="Arial"/>
                <w:b/>
                <w:w w:val="95"/>
                <w:sz w:val="20"/>
              </w:rPr>
              <w:t>1354</w:t>
            </w:r>
          </w:p>
        </w:tc>
        <w:tc>
          <w:tcPr>
            <w:tcW w:w="1134" w:type="dxa"/>
          </w:tcPr>
          <w:p w:rsidR="00551E43" w:rsidRPr="003A2F67" w:rsidRDefault="00551E43" w:rsidP="002D3B28">
            <w:pPr>
              <w:pStyle w:val="TableParagraph"/>
              <w:spacing w:line="225" w:lineRule="exact"/>
              <w:ind w:left="-1" w:firstLine="283"/>
              <w:jc w:val="left"/>
              <w:rPr>
                <w:rFonts w:ascii="Arial" w:hAnsi="Arial" w:cs="Arial"/>
                <w:b/>
                <w:sz w:val="20"/>
              </w:rPr>
            </w:pPr>
            <w:r w:rsidRPr="003A2F67">
              <w:rPr>
                <w:rFonts w:ascii="Arial" w:hAnsi="Arial" w:cs="Arial"/>
                <w:b/>
                <w:sz w:val="20"/>
              </w:rPr>
              <w:t>6040</w:t>
            </w:r>
          </w:p>
        </w:tc>
      </w:tr>
    </w:tbl>
    <w:p w:rsidR="00551E43" w:rsidRDefault="00551E43" w:rsidP="00551E43">
      <w:pPr>
        <w:pStyle w:val="Textkrper"/>
        <w:rPr>
          <w:b/>
          <w:i/>
          <w:sz w:val="22"/>
        </w:rPr>
      </w:pPr>
    </w:p>
    <w:p w:rsidR="00424CF8" w:rsidRDefault="00424CF8" w:rsidP="00551E43">
      <w:pPr>
        <w:pStyle w:val="Textkrper"/>
        <w:rPr>
          <w:b/>
          <w:i/>
          <w:sz w:val="22"/>
        </w:rPr>
      </w:pPr>
    </w:p>
    <w:p w:rsidR="000E31FC" w:rsidRDefault="000E31FC" w:rsidP="00551E43">
      <w:pPr>
        <w:pStyle w:val="Textkrper"/>
        <w:rPr>
          <w:b/>
          <w:i/>
          <w:sz w:val="22"/>
        </w:rPr>
      </w:pPr>
    </w:p>
    <w:p w:rsidR="00424CF8" w:rsidRDefault="00424CF8" w:rsidP="00551E43">
      <w:pPr>
        <w:pStyle w:val="Textkrper"/>
        <w:rPr>
          <w:b/>
          <w:i/>
          <w:sz w:val="22"/>
        </w:rPr>
      </w:pPr>
    </w:p>
    <w:p w:rsidR="002349A7" w:rsidRDefault="002349A7" w:rsidP="006475D7">
      <w:pPr>
        <w:pStyle w:val="Textkrper"/>
        <w:spacing w:before="92"/>
        <w:ind w:left="118"/>
        <w:rPr>
          <w:b/>
          <w:sz w:val="22"/>
        </w:rPr>
      </w:pPr>
    </w:p>
    <w:p w:rsidR="00551E43" w:rsidRPr="00145529" w:rsidRDefault="00551E43" w:rsidP="006475D7">
      <w:pPr>
        <w:pStyle w:val="Textkrper"/>
        <w:spacing w:before="92"/>
        <w:ind w:left="118"/>
        <w:rPr>
          <w:rFonts w:ascii="Arial" w:hAnsi="Arial" w:cs="Arial"/>
          <w:sz w:val="20"/>
        </w:rPr>
      </w:pPr>
      <w:r w:rsidRPr="00145529">
        <w:rPr>
          <w:rFonts w:ascii="Arial" w:hAnsi="Arial" w:cs="Arial"/>
          <w:b/>
          <w:sz w:val="20"/>
        </w:rPr>
        <w:t xml:space="preserve">Tabelle 2b: </w:t>
      </w:r>
      <w:r w:rsidRPr="00145529">
        <w:rPr>
          <w:rFonts w:ascii="Arial" w:hAnsi="Arial" w:cs="Arial"/>
          <w:sz w:val="20"/>
        </w:rPr>
        <w:t>Prozentualer Anteil der Schulen mit aktueller Breitbandanbindung von mindestens 30 Mbit/s (Daten des StMFH</w:t>
      </w:r>
      <w:r w:rsidR="002D3B28" w:rsidRPr="00145529">
        <w:rPr>
          <w:rFonts w:ascii="Arial" w:hAnsi="Arial" w:cs="Arial"/>
          <w:sz w:val="20"/>
        </w:rPr>
        <w:t xml:space="preserve"> – in Prozent</w:t>
      </w:r>
      <w:r w:rsidRPr="00145529">
        <w:rPr>
          <w:rFonts w:ascii="Arial" w:hAnsi="Arial" w:cs="Arial"/>
          <w:sz w:val="20"/>
        </w:rPr>
        <w:t>)</w:t>
      </w:r>
    </w:p>
    <w:p w:rsidR="002D3B28" w:rsidRPr="006475D7" w:rsidRDefault="002D3B28" w:rsidP="006475D7">
      <w:pPr>
        <w:pStyle w:val="Textkrper"/>
        <w:spacing w:before="92"/>
        <w:ind w:left="118"/>
        <w:rPr>
          <w:b/>
          <w:sz w:val="22"/>
        </w:rPr>
      </w:pPr>
    </w:p>
    <w:p w:rsidR="00551E43" w:rsidRPr="004A1638" w:rsidRDefault="00551E43" w:rsidP="004A1638">
      <w:pPr>
        <w:tabs>
          <w:tab w:val="left" w:pos="340"/>
        </w:tabs>
        <w:spacing w:before="138"/>
        <w:ind w:left="227"/>
      </w:pPr>
      <w:r w:rsidRPr="004A1638">
        <w:t>Reg.bez</w:t>
      </w:r>
      <w:r w:rsidRPr="004A1638">
        <w:tab/>
      </w:r>
      <w:r w:rsidR="004A1638">
        <w:tab/>
      </w:r>
      <w:r w:rsidRPr="004A1638">
        <w:t>GMS</w:t>
      </w:r>
      <w:r w:rsidRPr="004A1638">
        <w:tab/>
      </w:r>
      <w:r w:rsidR="004A1638">
        <w:tab/>
      </w:r>
      <w:r w:rsidRPr="004A1638">
        <w:t>RS</w:t>
      </w:r>
      <w:r w:rsidRPr="004A1638">
        <w:tab/>
      </w:r>
      <w:r w:rsidR="004A1638">
        <w:tab/>
      </w:r>
      <w:r w:rsidRPr="004A1638">
        <w:t>GY</w:t>
      </w:r>
      <w:r w:rsidRPr="004A1638">
        <w:tab/>
      </w:r>
      <w:r w:rsidR="004A1638">
        <w:tab/>
      </w:r>
      <w:r w:rsidRPr="004A1638">
        <w:t>FöS</w:t>
      </w:r>
      <w:r w:rsidRPr="004A1638">
        <w:tab/>
      </w:r>
      <w:r w:rsidR="004A1638">
        <w:tab/>
      </w:r>
      <w:r w:rsidR="004A1638">
        <w:tab/>
      </w:r>
      <w:r w:rsidRPr="004A1638">
        <w:t>Sonst.</w:t>
      </w:r>
      <w:r w:rsidRPr="004A1638">
        <w:tab/>
      </w:r>
      <w:r w:rsidR="004A1638">
        <w:tab/>
      </w:r>
      <w:r w:rsidRPr="004A1638">
        <w:t>BS</w:t>
      </w:r>
      <w:r w:rsidRPr="004A1638">
        <w:tab/>
      </w:r>
      <w:r w:rsidR="004A1638">
        <w:tab/>
      </w:r>
      <w:r w:rsidRPr="004A1638">
        <w:t>Berufl.</w:t>
      </w:r>
      <w:r w:rsidRPr="004A1638">
        <w:tab/>
      </w:r>
      <w:r w:rsidR="004A1638">
        <w:tab/>
      </w:r>
      <w:r w:rsidRPr="004A1638">
        <w:rPr>
          <w:b/>
        </w:rPr>
        <w:t>zus.</w:t>
      </w:r>
      <w:r w:rsidR="004A1638">
        <w:br/>
      </w:r>
    </w:p>
    <w:tbl>
      <w:tblPr>
        <w:tblStyle w:val="TableNormal"/>
        <w:tblW w:w="7529" w:type="dxa"/>
        <w:tblInd w:w="126" w:type="dxa"/>
        <w:tblLayout w:type="fixed"/>
        <w:tblLook w:val="01E0" w:firstRow="1" w:lastRow="1" w:firstColumn="1" w:lastColumn="1" w:noHBand="0" w:noVBand="0"/>
      </w:tblPr>
      <w:tblGrid>
        <w:gridCol w:w="59"/>
        <w:gridCol w:w="950"/>
        <w:gridCol w:w="850"/>
        <w:gridCol w:w="850"/>
        <w:gridCol w:w="567"/>
        <w:gridCol w:w="851"/>
        <w:gridCol w:w="850"/>
        <w:gridCol w:w="851"/>
        <w:gridCol w:w="850"/>
        <w:gridCol w:w="851"/>
      </w:tblGrid>
      <w:tr w:rsidR="00551E43" w:rsidRPr="003A2F67" w:rsidTr="002349A7">
        <w:trPr>
          <w:trHeight w:val="345"/>
        </w:trPr>
        <w:tc>
          <w:tcPr>
            <w:tcW w:w="1009" w:type="dxa"/>
            <w:gridSpan w:val="2"/>
            <w:tcBorders>
              <w:top w:val="single" w:sz="4" w:space="0" w:color="7E7E7E"/>
              <w:right w:val="single" w:sz="4" w:space="0" w:color="7E7E7E"/>
            </w:tcBorders>
          </w:tcPr>
          <w:p w:rsidR="00551E43" w:rsidRPr="003A2F67" w:rsidRDefault="00551E43" w:rsidP="009509D9">
            <w:pPr>
              <w:pStyle w:val="TableParagraph"/>
              <w:spacing w:line="229" w:lineRule="exact"/>
              <w:ind w:left="107"/>
              <w:jc w:val="left"/>
              <w:rPr>
                <w:rFonts w:ascii="Arial" w:hAnsi="Arial" w:cs="Arial"/>
                <w:sz w:val="20"/>
              </w:rPr>
            </w:pPr>
            <w:r w:rsidRPr="003A2F67">
              <w:rPr>
                <w:rFonts w:ascii="Arial" w:hAnsi="Arial" w:cs="Arial"/>
                <w:sz w:val="20"/>
              </w:rPr>
              <w:t>OBB</w:t>
            </w:r>
          </w:p>
        </w:tc>
        <w:tc>
          <w:tcPr>
            <w:tcW w:w="850" w:type="dxa"/>
            <w:tcBorders>
              <w:top w:val="single" w:sz="4" w:space="0" w:color="7E7E7E"/>
              <w:left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tcBorders>
              <w:top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tcBorders>
              <w:top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1" w:type="dxa"/>
            <w:tcBorders>
              <w:top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0" w:type="dxa"/>
            <w:tcBorders>
              <w:top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94</w:t>
            </w:r>
            <w:r w:rsidR="002D3B28" w:rsidRPr="003A2F67">
              <w:rPr>
                <w:rFonts w:ascii="Arial" w:hAnsi="Arial" w:cs="Arial"/>
                <w:w w:val="95"/>
                <w:sz w:val="20"/>
              </w:rPr>
              <w:t xml:space="preserve"> </w:t>
            </w:r>
          </w:p>
        </w:tc>
        <w:tc>
          <w:tcPr>
            <w:tcW w:w="851" w:type="dxa"/>
            <w:tcBorders>
              <w:top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98</w:t>
            </w:r>
            <w:r w:rsidR="002D3B28" w:rsidRPr="003A2F67">
              <w:rPr>
                <w:rFonts w:ascii="Arial" w:hAnsi="Arial" w:cs="Arial"/>
                <w:w w:val="95"/>
                <w:sz w:val="20"/>
              </w:rPr>
              <w:t xml:space="preserve"> </w:t>
            </w:r>
          </w:p>
        </w:tc>
        <w:tc>
          <w:tcPr>
            <w:tcW w:w="850" w:type="dxa"/>
            <w:tcBorders>
              <w:top w:val="single" w:sz="4" w:space="0" w:color="7E7E7E"/>
            </w:tcBorders>
            <w:shd w:val="clear" w:color="auto" w:fill="F1F1F1"/>
          </w:tcPr>
          <w:p w:rsidR="00551E43" w:rsidRPr="003A2F67" w:rsidRDefault="00551E43" w:rsidP="002D3B28">
            <w:pPr>
              <w:pStyle w:val="TableParagraph"/>
              <w:ind w:right="303"/>
              <w:rPr>
                <w:rFonts w:ascii="Arial" w:hAnsi="Arial" w:cs="Arial"/>
                <w:w w:val="95"/>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1" w:type="dxa"/>
            <w:tcBorders>
              <w:top w:val="single" w:sz="4" w:space="0" w:color="7E7E7E"/>
            </w:tcBorders>
            <w:shd w:val="clear" w:color="auto" w:fill="F1F1F1"/>
          </w:tcPr>
          <w:p w:rsidR="00551E43" w:rsidRPr="003A2F67" w:rsidRDefault="002D3B28" w:rsidP="004A1638">
            <w:pPr>
              <w:pStyle w:val="TableParagraph"/>
              <w:ind w:right="303"/>
              <w:rPr>
                <w:rFonts w:ascii="Arial" w:hAnsi="Arial" w:cs="Arial"/>
                <w:b/>
                <w:w w:val="95"/>
                <w:sz w:val="20"/>
              </w:rPr>
            </w:pPr>
            <w:r w:rsidRPr="003A2F67">
              <w:rPr>
                <w:rFonts w:ascii="Arial" w:hAnsi="Arial" w:cs="Arial"/>
                <w:b/>
                <w:w w:val="95"/>
                <w:sz w:val="20"/>
              </w:rPr>
              <w:t xml:space="preserve">   </w:t>
            </w:r>
            <w:r w:rsidR="00551E43" w:rsidRPr="003A2F67">
              <w:rPr>
                <w:rFonts w:ascii="Arial" w:hAnsi="Arial" w:cs="Arial"/>
                <w:b/>
                <w:w w:val="95"/>
                <w:sz w:val="20"/>
              </w:rPr>
              <w:t>99</w:t>
            </w:r>
            <w:r w:rsidRPr="003A2F67">
              <w:rPr>
                <w:rFonts w:ascii="Arial" w:hAnsi="Arial" w:cs="Arial"/>
                <w:b/>
                <w:w w:val="95"/>
                <w:sz w:val="20"/>
              </w:rPr>
              <w:t xml:space="preserve"> </w:t>
            </w:r>
          </w:p>
        </w:tc>
      </w:tr>
      <w:tr w:rsidR="00551E43" w:rsidRPr="003A2F67" w:rsidTr="002349A7">
        <w:trPr>
          <w:gridBefore w:val="1"/>
          <w:wBefore w:w="59" w:type="dxa"/>
          <w:trHeight w:val="345"/>
        </w:trPr>
        <w:tc>
          <w:tcPr>
            <w:tcW w:w="950" w:type="dxa"/>
            <w:tcBorders>
              <w:right w:val="single" w:sz="4" w:space="0" w:color="7E7E7E"/>
            </w:tcBorders>
          </w:tcPr>
          <w:p w:rsidR="00551E43" w:rsidRPr="003A2F67" w:rsidRDefault="00551E43" w:rsidP="009509D9">
            <w:pPr>
              <w:pStyle w:val="TableParagraph"/>
              <w:spacing w:line="227" w:lineRule="exact"/>
              <w:ind w:left="50"/>
              <w:jc w:val="left"/>
              <w:rPr>
                <w:rFonts w:ascii="Arial" w:hAnsi="Arial" w:cs="Arial"/>
                <w:sz w:val="20"/>
              </w:rPr>
            </w:pPr>
            <w:r w:rsidRPr="003A2F67">
              <w:rPr>
                <w:rFonts w:ascii="Arial" w:hAnsi="Arial" w:cs="Arial"/>
                <w:sz w:val="20"/>
              </w:rPr>
              <w:t>NDB</w:t>
            </w:r>
          </w:p>
        </w:tc>
        <w:tc>
          <w:tcPr>
            <w:tcW w:w="850" w:type="dxa"/>
            <w:tcBorders>
              <w:left w:val="single" w:sz="4" w:space="0" w:color="7E7E7E"/>
            </w:tcBorders>
          </w:tcPr>
          <w:p w:rsidR="00551E43" w:rsidRPr="003A2F67" w:rsidRDefault="00551E43" w:rsidP="009509D9">
            <w:pPr>
              <w:pStyle w:val="TableParagraph"/>
              <w:ind w:right="303"/>
              <w:rPr>
                <w:rFonts w:ascii="Arial" w:hAnsi="Arial" w:cs="Arial"/>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0" w:type="dxa"/>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tcPr>
          <w:p w:rsidR="00551E43" w:rsidRPr="003A2F67" w:rsidRDefault="00551E43" w:rsidP="009509D9">
            <w:pPr>
              <w:pStyle w:val="TableParagraph"/>
              <w:ind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9509D9">
            <w:pPr>
              <w:pStyle w:val="TableParagraph"/>
              <w:ind w:left="225" w:right="227"/>
              <w:rPr>
                <w:rFonts w:ascii="Arial" w:hAnsi="Arial" w:cs="Arial"/>
                <w:sz w:val="20"/>
              </w:rPr>
            </w:pPr>
            <w:r w:rsidRPr="003A2F67">
              <w:rPr>
                <w:rFonts w:ascii="Arial" w:hAnsi="Arial" w:cs="Arial"/>
                <w:sz w:val="20"/>
              </w:rPr>
              <w:t>95</w:t>
            </w:r>
            <w:r w:rsidR="002D3B28" w:rsidRPr="003A2F67">
              <w:rPr>
                <w:rFonts w:ascii="Arial" w:hAnsi="Arial" w:cs="Arial"/>
                <w:sz w:val="20"/>
              </w:rPr>
              <w:t xml:space="preserve"> </w:t>
            </w:r>
          </w:p>
        </w:tc>
        <w:tc>
          <w:tcPr>
            <w:tcW w:w="850" w:type="dxa"/>
          </w:tcPr>
          <w:p w:rsidR="00551E43" w:rsidRPr="003A2F67" w:rsidRDefault="00551E43" w:rsidP="009509D9">
            <w:pPr>
              <w:pStyle w:val="TableParagraph"/>
              <w:ind w:left="225"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9509D9">
            <w:pPr>
              <w:pStyle w:val="TableParagraph"/>
              <w:ind w:right="252"/>
              <w:rPr>
                <w:rFonts w:ascii="Arial" w:hAnsi="Arial" w:cs="Arial"/>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tcPr>
          <w:p w:rsidR="00551E43" w:rsidRPr="003A2F67" w:rsidRDefault="00551E43" w:rsidP="009509D9">
            <w:pPr>
              <w:pStyle w:val="TableParagraph"/>
              <w:ind w:left="222" w:right="229"/>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99</w:t>
            </w:r>
            <w:r w:rsidR="002D3B28" w:rsidRPr="003A2F67">
              <w:rPr>
                <w:rFonts w:ascii="Arial" w:hAnsi="Arial" w:cs="Arial"/>
                <w:b/>
                <w:w w:val="95"/>
                <w:sz w:val="20"/>
              </w:rPr>
              <w:t xml:space="preserve"> </w:t>
            </w:r>
          </w:p>
        </w:tc>
      </w:tr>
      <w:tr w:rsidR="00551E43" w:rsidRPr="003A2F67" w:rsidTr="002349A7">
        <w:trPr>
          <w:gridBefore w:val="1"/>
          <w:wBefore w:w="59" w:type="dxa"/>
          <w:trHeight w:val="343"/>
        </w:trPr>
        <w:tc>
          <w:tcPr>
            <w:tcW w:w="950" w:type="dxa"/>
            <w:tcBorders>
              <w:right w:val="single" w:sz="4" w:space="0" w:color="7E7E7E"/>
            </w:tcBorders>
          </w:tcPr>
          <w:p w:rsidR="00551E43" w:rsidRPr="003A2F67" w:rsidRDefault="00551E43" w:rsidP="009509D9">
            <w:pPr>
              <w:pStyle w:val="TableParagraph"/>
              <w:spacing w:line="227" w:lineRule="exact"/>
              <w:ind w:left="50"/>
              <w:jc w:val="left"/>
              <w:rPr>
                <w:rFonts w:ascii="Arial" w:hAnsi="Arial" w:cs="Arial"/>
                <w:sz w:val="20"/>
              </w:rPr>
            </w:pPr>
            <w:r w:rsidRPr="003A2F67">
              <w:rPr>
                <w:rFonts w:ascii="Arial" w:hAnsi="Arial" w:cs="Arial"/>
                <w:sz w:val="20"/>
              </w:rPr>
              <w:t>OPF</w:t>
            </w:r>
          </w:p>
        </w:tc>
        <w:tc>
          <w:tcPr>
            <w:tcW w:w="850" w:type="dxa"/>
            <w:tcBorders>
              <w:left w:val="single" w:sz="4" w:space="0" w:color="7E7E7E"/>
            </w:tcBorders>
            <w:shd w:val="clear" w:color="auto" w:fill="F1F1F1"/>
          </w:tcPr>
          <w:p w:rsidR="00551E43" w:rsidRPr="003A2F67" w:rsidRDefault="00551E43" w:rsidP="009509D9">
            <w:pPr>
              <w:pStyle w:val="TableParagraph"/>
              <w:spacing w:line="227" w:lineRule="exact"/>
              <w:ind w:right="303"/>
              <w:rPr>
                <w:rFonts w:ascii="Arial" w:hAnsi="Arial" w:cs="Arial"/>
                <w:sz w:val="20"/>
              </w:rPr>
            </w:pPr>
            <w:r w:rsidRPr="003A2F67">
              <w:rPr>
                <w:rFonts w:ascii="Arial" w:hAnsi="Arial" w:cs="Arial"/>
                <w:w w:val="95"/>
                <w:sz w:val="20"/>
              </w:rPr>
              <w:t>98</w:t>
            </w:r>
            <w:r w:rsidR="002D3B28" w:rsidRPr="003A2F67">
              <w:rPr>
                <w:rFonts w:ascii="Arial" w:hAnsi="Arial" w:cs="Arial"/>
                <w:w w:val="95"/>
                <w:sz w:val="20"/>
              </w:rPr>
              <w:t xml:space="preserve"> </w:t>
            </w:r>
          </w:p>
        </w:tc>
        <w:tc>
          <w:tcPr>
            <w:tcW w:w="850" w:type="dxa"/>
            <w:shd w:val="clear" w:color="auto" w:fill="F1F1F1"/>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shd w:val="clear" w:color="auto" w:fill="F1F1F1"/>
          </w:tcPr>
          <w:p w:rsidR="00551E43" w:rsidRPr="003A2F67" w:rsidRDefault="00551E43" w:rsidP="009509D9">
            <w:pPr>
              <w:pStyle w:val="TableParagraph"/>
              <w:spacing w:line="227" w:lineRule="exact"/>
              <w:ind w:right="228"/>
              <w:rPr>
                <w:rFonts w:ascii="Arial" w:hAnsi="Arial" w:cs="Arial"/>
                <w:sz w:val="20"/>
              </w:rPr>
            </w:pPr>
            <w:r w:rsidRPr="003A2F67">
              <w:rPr>
                <w:rFonts w:ascii="Arial" w:hAnsi="Arial" w:cs="Arial"/>
                <w:sz w:val="20"/>
              </w:rPr>
              <w:t>94</w:t>
            </w:r>
            <w:r w:rsidR="002D3B28" w:rsidRPr="003A2F67">
              <w:rPr>
                <w:rFonts w:ascii="Arial" w:hAnsi="Arial" w:cs="Arial"/>
                <w:sz w:val="20"/>
              </w:rPr>
              <w:t xml:space="preserve"> </w:t>
            </w:r>
          </w:p>
        </w:tc>
        <w:tc>
          <w:tcPr>
            <w:tcW w:w="851" w:type="dxa"/>
            <w:shd w:val="clear" w:color="auto" w:fill="F1F1F1"/>
          </w:tcPr>
          <w:p w:rsidR="00551E43" w:rsidRPr="003A2F67" w:rsidRDefault="00551E43" w:rsidP="009509D9">
            <w:pPr>
              <w:pStyle w:val="TableParagraph"/>
              <w:spacing w:line="227" w:lineRule="exact"/>
              <w:ind w:left="225" w:right="227"/>
              <w:rPr>
                <w:rFonts w:ascii="Arial" w:hAnsi="Arial" w:cs="Arial"/>
                <w:sz w:val="20"/>
              </w:rPr>
            </w:pPr>
            <w:r w:rsidRPr="003A2F67">
              <w:rPr>
                <w:rFonts w:ascii="Arial" w:hAnsi="Arial" w:cs="Arial"/>
                <w:sz w:val="20"/>
              </w:rPr>
              <w:t>97</w:t>
            </w:r>
            <w:r w:rsidR="002D3B28" w:rsidRPr="003A2F67">
              <w:rPr>
                <w:rFonts w:ascii="Arial" w:hAnsi="Arial" w:cs="Arial"/>
                <w:sz w:val="20"/>
              </w:rPr>
              <w:t xml:space="preserve"> </w:t>
            </w:r>
          </w:p>
        </w:tc>
        <w:tc>
          <w:tcPr>
            <w:tcW w:w="850" w:type="dxa"/>
            <w:shd w:val="clear" w:color="auto" w:fill="F1F1F1"/>
          </w:tcPr>
          <w:p w:rsidR="00551E43" w:rsidRPr="003A2F67" w:rsidRDefault="00551E43" w:rsidP="009509D9">
            <w:pPr>
              <w:pStyle w:val="TableParagraph"/>
              <w:spacing w:line="227" w:lineRule="exact"/>
              <w:ind w:left="225"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shd w:val="clear" w:color="auto" w:fill="F1F1F1"/>
          </w:tcPr>
          <w:p w:rsidR="00551E43" w:rsidRPr="003A2F67" w:rsidRDefault="00551E43" w:rsidP="009509D9">
            <w:pPr>
              <w:pStyle w:val="TableParagraph"/>
              <w:spacing w:line="227" w:lineRule="exact"/>
              <w:ind w:right="307"/>
              <w:rPr>
                <w:rFonts w:ascii="Arial" w:hAnsi="Arial" w:cs="Arial"/>
                <w:sz w:val="20"/>
              </w:rPr>
            </w:pPr>
            <w:r w:rsidRPr="003A2F67">
              <w:rPr>
                <w:rFonts w:ascii="Arial" w:hAnsi="Arial" w:cs="Arial"/>
                <w:w w:val="95"/>
                <w:sz w:val="20"/>
              </w:rPr>
              <w:t>92</w:t>
            </w:r>
            <w:r w:rsidR="002D3B28" w:rsidRPr="003A2F67">
              <w:rPr>
                <w:rFonts w:ascii="Arial" w:hAnsi="Arial" w:cs="Arial"/>
                <w:w w:val="95"/>
                <w:sz w:val="20"/>
              </w:rPr>
              <w:t xml:space="preserve"> </w:t>
            </w:r>
          </w:p>
        </w:tc>
        <w:tc>
          <w:tcPr>
            <w:tcW w:w="850" w:type="dxa"/>
            <w:shd w:val="clear" w:color="auto" w:fill="F1F1F1"/>
          </w:tcPr>
          <w:p w:rsidR="00551E43" w:rsidRPr="003A2F67" w:rsidRDefault="00551E43" w:rsidP="009509D9">
            <w:pPr>
              <w:pStyle w:val="TableParagraph"/>
              <w:spacing w:line="227" w:lineRule="exact"/>
              <w:ind w:left="222" w:right="229"/>
              <w:rPr>
                <w:rFonts w:ascii="Arial" w:hAnsi="Arial" w:cs="Arial"/>
                <w:sz w:val="20"/>
              </w:rPr>
            </w:pPr>
            <w:r w:rsidRPr="003A2F67">
              <w:rPr>
                <w:rFonts w:ascii="Arial" w:hAnsi="Arial" w:cs="Arial"/>
                <w:sz w:val="20"/>
              </w:rPr>
              <w:t>97</w:t>
            </w:r>
            <w:r w:rsidR="002D3B28" w:rsidRPr="003A2F67">
              <w:rPr>
                <w:rFonts w:ascii="Arial" w:hAnsi="Arial" w:cs="Arial"/>
                <w:sz w:val="20"/>
              </w:rPr>
              <w:t xml:space="preserve"> </w:t>
            </w:r>
          </w:p>
        </w:tc>
        <w:tc>
          <w:tcPr>
            <w:tcW w:w="851" w:type="dxa"/>
            <w:shd w:val="clear" w:color="auto" w:fill="F1F1F1"/>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97</w:t>
            </w:r>
            <w:r w:rsidR="002D3B28" w:rsidRPr="003A2F67">
              <w:rPr>
                <w:rFonts w:ascii="Arial" w:hAnsi="Arial" w:cs="Arial"/>
                <w:b/>
                <w:w w:val="95"/>
                <w:sz w:val="20"/>
              </w:rPr>
              <w:t xml:space="preserve"> </w:t>
            </w:r>
          </w:p>
        </w:tc>
      </w:tr>
      <w:tr w:rsidR="00551E43" w:rsidRPr="003A2F67" w:rsidTr="002349A7">
        <w:trPr>
          <w:gridBefore w:val="1"/>
          <w:wBefore w:w="59" w:type="dxa"/>
          <w:trHeight w:val="346"/>
        </w:trPr>
        <w:tc>
          <w:tcPr>
            <w:tcW w:w="950" w:type="dxa"/>
            <w:tcBorders>
              <w:right w:val="single" w:sz="4" w:space="0" w:color="7E7E7E"/>
            </w:tcBorders>
          </w:tcPr>
          <w:p w:rsidR="00551E43" w:rsidRPr="003A2F67" w:rsidRDefault="00551E43" w:rsidP="009509D9">
            <w:pPr>
              <w:pStyle w:val="TableParagraph"/>
              <w:spacing w:line="228" w:lineRule="exact"/>
              <w:ind w:left="50"/>
              <w:jc w:val="left"/>
              <w:rPr>
                <w:rFonts w:ascii="Arial" w:hAnsi="Arial" w:cs="Arial"/>
                <w:sz w:val="20"/>
              </w:rPr>
            </w:pPr>
            <w:r w:rsidRPr="003A2F67">
              <w:rPr>
                <w:rFonts w:ascii="Arial" w:hAnsi="Arial" w:cs="Arial"/>
                <w:sz w:val="20"/>
              </w:rPr>
              <w:t>OFR</w:t>
            </w:r>
          </w:p>
        </w:tc>
        <w:tc>
          <w:tcPr>
            <w:tcW w:w="850" w:type="dxa"/>
            <w:tcBorders>
              <w:left w:val="single" w:sz="4" w:space="0" w:color="7E7E7E"/>
            </w:tcBorders>
          </w:tcPr>
          <w:p w:rsidR="00551E43" w:rsidRPr="003A2F67" w:rsidRDefault="00551E43" w:rsidP="009509D9">
            <w:pPr>
              <w:pStyle w:val="TableParagraph"/>
              <w:spacing w:line="240" w:lineRule="auto"/>
              <w:ind w:right="303"/>
              <w:rPr>
                <w:rFonts w:ascii="Arial" w:hAnsi="Arial" w:cs="Arial"/>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0" w:type="dxa"/>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tcPr>
          <w:p w:rsidR="00551E43" w:rsidRPr="003A2F67" w:rsidRDefault="00551E43" w:rsidP="009509D9">
            <w:pPr>
              <w:pStyle w:val="TableParagraph"/>
              <w:spacing w:line="240" w:lineRule="auto"/>
              <w:ind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9509D9">
            <w:pPr>
              <w:pStyle w:val="TableParagraph"/>
              <w:spacing w:line="240" w:lineRule="auto"/>
              <w:ind w:left="225" w:right="227"/>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0" w:type="dxa"/>
          </w:tcPr>
          <w:p w:rsidR="00551E43" w:rsidRPr="003A2F67" w:rsidRDefault="00551E43" w:rsidP="009509D9">
            <w:pPr>
              <w:pStyle w:val="TableParagraph"/>
              <w:spacing w:line="240" w:lineRule="auto"/>
              <w:ind w:left="225"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9509D9">
            <w:pPr>
              <w:pStyle w:val="TableParagraph"/>
              <w:spacing w:line="240" w:lineRule="auto"/>
              <w:ind w:right="252"/>
              <w:rPr>
                <w:rFonts w:ascii="Arial" w:hAnsi="Arial" w:cs="Arial"/>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tcPr>
          <w:p w:rsidR="00551E43" w:rsidRPr="003A2F67" w:rsidRDefault="00551E43" w:rsidP="009509D9">
            <w:pPr>
              <w:pStyle w:val="TableParagraph"/>
              <w:spacing w:line="240" w:lineRule="auto"/>
              <w:ind w:left="222" w:right="229"/>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100</w:t>
            </w:r>
            <w:r w:rsidR="002D3B28" w:rsidRPr="003A2F67">
              <w:rPr>
                <w:rFonts w:ascii="Arial" w:hAnsi="Arial" w:cs="Arial"/>
                <w:b/>
                <w:w w:val="95"/>
                <w:sz w:val="20"/>
              </w:rPr>
              <w:t xml:space="preserve"> </w:t>
            </w:r>
          </w:p>
        </w:tc>
      </w:tr>
      <w:tr w:rsidR="00551E43" w:rsidRPr="003A2F67" w:rsidTr="002349A7">
        <w:trPr>
          <w:gridBefore w:val="1"/>
          <w:wBefore w:w="59" w:type="dxa"/>
          <w:trHeight w:val="345"/>
        </w:trPr>
        <w:tc>
          <w:tcPr>
            <w:tcW w:w="950" w:type="dxa"/>
            <w:tcBorders>
              <w:right w:val="single" w:sz="4" w:space="0" w:color="7E7E7E"/>
            </w:tcBorders>
          </w:tcPr>
          <w:p w:rsidR="00551E43" w:rsidRPr="003A2F67" w:rsidRDefault="00551E43" w:rsidP="009509D9">
            <w:pPr>
              <w:pStyle w:val="TableParagraph"/>
              <w:spacing w:line="227" w:lineRule="exact"/>
              <w:ind w:left="50"/>
              <w:jc w:val="left"/>
              <w:rPr>
                <w:rFonts w:ascii="Arial" w:hAnsi="Arial" w:cs="Arial"/>
                <w:sz w:val="20"/>
              </w:rPr>
            </w:pPr>
            <w:r w:rsidRPr="003A2F67">
              <w:rPr>
                <w:rFonts w:ascii="Arial" w:hAnsi="Arial" w:cs="Arial"/>
                <w:sz w:val="20"/>
              </w:rPr>
              <w:t>MFR</w:t>
            </w:r>
          </w:p>
        </w:tc>
        <w:tc>
          <w:tcPr>
            <w:tcW w:w="850" w:type="dxa"/>
            <w:tcBorders>
              <w:left w:val="single" w:sz="4" w:space="0" w:color="7E7E7E"/>
            </w:tcBorders>
            <w:shd w:val="clear" w:color="auto" w:fill="F1F1F1"/>
          </w:tcPr>
          <w:p w:rsidR="00551E43" w:rsidRPr="003A2F67" w:rsidRDefault="00551E43" w:rsidP="009509D9">
            <w:pPr>
              <w:pStyle w:val="TableParagraph"/>
              <w:ind w:right="303"/>
              <w:rPr>
                <w:rFonts w:ascii="Arial" w:hAnsi="Arial" w:cs="Arial"/>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0" w:type="dxa"/>
            <w:shd w:val="clear" w:color="auto" w:fill="F1F1F1"/>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98</w:t>
            </w:r>
            <w:r w:rsidR="002D3B28" w:rsidRPr="003A2F67">
              <w:rPr>
                <w:rFonts w:ascii="Arial" w:hAnsi="Arial" w:cs="Arial"/>
                <w:w w:val="95"/>
                <w:sz w:val="20"/>
              </w:rPr>
              <w:t xml:space="preserve"> </w:t>
            </w:r>
          </w:p>
        </w:tc>
        <w:tc>
          <w:tcPr>
            <w:tcW w:w="567" w:type="dxa"/>
            <w:shd w:val="clear" w:color="auto" w:fill="F1F1F1"/>
          </w:tcPr>
          <w:p w:rsidR="00551E43" w:rsidRPr="003A2F67" w:rsidRDefault="00551E43" w:rsidP="009509D9">
            <w:pPr>
              <w:pStyle w:val="TableParagraph"/>
              <w:ind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shd w:val="clear" w:color="auto" w:fill="F1F1F1"/>
          </w:tcPr>
          <w:p w:rsidR="00551E43" w:rsidRPr="003A2F67" w:rsidRDefault="00551E43" w:rsidP="009509D9">
            <w:pPr>
              <w:pStyle w:val="TableParagraph"/>
              <w:ind w:left="225" w:right="227"/>
              <w:rPr>
                <w:rFonts w:ascii="Arial" w:hAnsi="Arial" w:cs="Arial"/>
                <w:sz w:val="20"/>
              </w:rPr>
            </w:pPr>
            <w:r w:rsidRPr="003A2F67">
              <w:rPr>
                <w:rFonts w:ascii="Arial" w:hAnsi="Arial" w:cs="Arial"/>
                <w:sz w:val="20"/>
              </w:rPr>
              <w:t>98</w:t>
            </w:r>
            <w:r w:rsidR="002D3B28" w:rsidRPr="003A2F67">
              <w:rPr>
                <w:rFonts w:ascii="Arial" w:hAnsi="Arial" w:cs="Arial"/>
                <w:sz w:val="20"/>
              </w:rPr>
              <w:t xml:space="preserve"> </w:t>
            </w:r>
          </w:p>
        </w:tc>
        <w:tc>
          <w:tcPr>
            <w:tcW w:w="850" w:type="dxa"/>
            <w:shd w:val="clear" w:color="auto" w:fill="F1F1F1"/>
          </w:tcPr>
          <w:p w:rsidR="00551E43" w:rsidRPr="003A2F67" w:rsidRDefault="00551E43" w:rsidP="009509D9">
            <w:pPr>
              <w:pStyle w:val="TableParagraph"/>
              <w:ind w:left="225"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shd w:val="clear" w:color="auto" w:fill="F1F1F1"/>
          </w:tcPr>
          <w:p w:rsidR="00551E43" w:rsidRPr="003A2F67" w:rsidRDefault="00551E43" w:rsidP="009509D9">
            <w:pPr>
              <w:pStyle w:val="TableParagraph"/>
              <w:ind w:right="252"/>
              <w:rPr>
                <w:rFonts w:ascii="Arial" w:hAnsi="Arial" w:cs="Arial"/>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shd w:val="clear" w:color="auto" w:fill="F1F1F1"/>
          </w:tcPr>
          <w:p w:rsidR="00551E43" w:rsidRPr="003A2F67" w:rsidRDefault="00551E43" w:rsidP="009509D9">
            <w:pPr>
              <w:pStyle w:val="TableParagraph"/>
              <w:ind w:left="222" w:right="229"/>
              <w:rPr>
                <w:rFonts w:ascii="Arial" w:hAnsi="Arial" w:cs="Arial"/>
                <w:sz w:val="20"/>
              </w:rPr>
            </w:pPr>
            <w:r w:rsidRPr="003A2F67">
              <w:rPr>
                <w:rFonts w:ascii="Arial" w:hAnsi="Arial" w:cs="Arial"/>
                <w:sz w:val="20"/>
              </w:rPr>
              <w:t>99</w:t>
            </w:r>
            <w:r w:rsidR="002D3B28" w:rsidRPr="003A2F67">
              <w:rPr>
                <w:rFonts w:ascii="Arial" w:hAnsi="Arial" w:cs="Arial"/>
                <w:sz w:val="20"/>
              </w:rPr>
              <w:t xml:space="preserve"> </w:t>
            </w:r>
          </w:p>
        </w:tc>
        <w:tc>
          <w:tcPr>
            <w:tcW w:w="851" w:type="dxa"/>
            <w:shd w:val="clear" w:color="auto" w:fill="F1F1F1"/>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99</w:t>
            </w:r>
            <w:r w:rsidR="002D3B28" w:rsidRPr="003A2F67">
              <w:rPr>
                <w:rFonts w:ascii="Arial" w:hAnsi="Arial" w:cs="Arial"/>
                <w:b/>
                <w:w w:val="95"/>
                <w:sz w:val="20"/>
              </w:rPr>
              <w:t xml:space="preserve"> </w:t>
            </w:r>
          </w:p>
        </w:tc>
      </w:tr>
      <w:tr w:rsidR="00551E43" w:rsidRPr="003A2F67" w:rsidTr="002349A7">
        <w:trPr>
          <w:gridBefore w:val="1"/>
          <w:wBefore w:w="59" w:type="dxa"/>
          <w:trHeight w:val="345"/>
        </w:trPr>
        <w:tc>
          <w:tcPr>
            <w:tcW w:w="950" w:type="dxa"/>
            <w:tcBorders>
              <w:right w:val="single" w:sz="4" w:space="0" w:color="7E7E7E"/>
            </w:tcBorders>
          </w:tcPr>
          <w:p w:rsidR="00551E43" w:rsidRPr="003A2F67" w:rsidRDefault="00551E43" w:rsidP="009509D9">
            <w:pPr>
              <w:pStyle w:val="TableParagraph"/>
              <w:spacing w:line="227" w:lineRule="exact"/>
              <w:ind w:left="50"/>
              <w:jc w:val="left"/>
              <w:rPr>
                <w:rFonts w:ascii="Arial" w:hAnsi="Arial" w:cs="Arial"/>
                <w:sz w:val="20"/>
              </w:rPr>
            </w:pPr>
            <w:r w:rsidRPr="003A2F67">
              <w:rPr>
                <w:rFonts w:ascii="Arial" w:hAnsi="Arial" w:cs="Arial"/>
                <w:sz w:val="20"/>
              </w:rPr>
              <w:t>UFR</w:t>
            </w:r>
          </w:p>
        </w:tc>
        <w:tc>
          <w:tcPr>
            <w:tcW w:w="850" w:type="dxa"/>
            <w:tcBorders>
              <w:left w:val="single" w:sz="4" w:space="0" w:color="7E7E7E"/>
            </w:tcBorders>
          </w:tcPr>
          <w:p w:rsidR="00551E43" w:rsidRPr="003A2F67" w:rsidRDefault="00551E43" w:rsidP="009509D9">
            <w:pPr>
              <w:pStyle w:val="TableParagraph"/>
              <w:ind w:right="303"/>
              <w:rPr>
                <w:rFonts w:ascii="Arial" w:hAnsi="Arial" w:cs="Arial"/>
                <w:sz w:val="20"/>
              </w:rPr>
            </w:pPr>
            <w:r w:rsidRPr="003A2F67">
              <w:rPr>
                <w:rFonts w:ascii="Arial" w:hAnsi="Arial" w:cs="Arial"/>
                <w:w w:val="95"/>
                <w:sz w:val="20"/>
              </w:rPr>
              <w:t>99</w:t>
            </w:r>
            <w:r w:rsidR="002D3B28" w:rsidRPr="003A2F67">
              <w:rPr>
                <w:rFonts w:ascii="Arial" w:hAnsi="Arial" w:cs="Arial"/>
                <w:w w:val="95"/>
                <w:sz w:val="20"/>
              </w:rPr>
              <w:t xml:space="preserve"> </w:t>
            </w:r>
          </w:p>
        </w:tc>
        <w:tc>
          <w:tcPr>
            <w:tcW w:w="850" w:type="dxa"/>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tcPr>
          <w:p w:rsidR="00551E43" w:rsidRPr="003A2F67" w:rsidRDefault="00551E43" w:rsidP="009509D9">
            <w:pPr>
              <w:pStyle w:val="TableParagraph"/>
              <w:ind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9509D9">
            <w:pPr>
              <w:pStyle w:val="TableParagraph"/>
              <w:ind w:left="225" w:right="227"/>
              <w:rPr>
                <w:rFonts w:ascii="Arial" w:hAnsi="Arial" w:cs="Arial"/>
                <w:sz w:val="20"/>
              </w:rPr>
            </w:pPr>
            <w:r w:rsidRPr="003A2F67">
              <w:rPr>
                <w:rFonts w:ascii="Arial" w:hAnsi="Arial" w:cs="Arial"/>
                <w:sz w:val="20"/>
              </w:rPr>
              <w:t>96</w:t>
            </w:r>
            <w:r w:rsidR="002D3B28" w:rsidRPr="003A2F67">
              <w:rPr>
                <w:rFonts w:ascii="Arial" w:hAnsi="Arial" w:cs="Arial"/>
                <w:sz w:val="20"/>
              </w:rPr>
              <w:t xml:space="preserve"> </w:t>
            </w:r>
          </w:p>
        </w:tc>
        <w:tc>
          <w:tcPr>
            <w:tcW w:w="850" w:type="dxa"/>
          </w:tcPr>
          <w:p w:rsidR="00551E43" w:rsidRPr="003A2F67" w:rsidRDefault="00551E43" w:rsidP="009509D9">
            <w:pPr>
              <w:pStyle w:val="TableParagraph"/>
              <w:ind w:left="225"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9509D9">
            <w:pPr>
              <w:pStyle w:val="TableParagraph"/>
              <w:ind w:right="252"/>
              <w:rPr>
                <w:rFonts w:ascii="Arial" w:hAnsi="Arial" w:cs="Arial"/>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tcPr>
          <w:p w:rsidR="00551E43" w:rsidRPr="003A2F67" w:rsidRDefault="00551E43" w:rsidP="009509D9">
            <w:pPr>
              <w:pStyle w:val="TableParagraph"/>
              <w:ind w:left="222" w:right="229"/>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99</w:t>
            </w:r>
            <w:r w:rsidR="002D3B28" w:rsidRPr="003A2F67">
              <w:rPr>
                <w:rFonts w:ascii="Arial" w:hAnsi="Arial" w:cs="Arial"/>
                <w:b/>
                <w:w w:val="95"/>
                <w:sz w:val="20"/>
              </w:rPr>
              <w:t xml:space="preserve"> </w:t>
            </w:r>
          </w:p>
        </w:tc>
      </w:tr>
      <w:tr w:rsidR="00551E43" w:rsidRPr="003A2F67" w:rsidTr="002349A7">
        <w:trPr>
          <w:gridBefore w:val="1"/>
          <w:wBefore w:w="59" w:type="dxa"/>
          <w:trHeight w:val="343"/>
        </w:trPr>
        <w:tc>
          <w:tcPr>
            <w:tcW w:w="950" w:type="dxa"/>
            <w:tcBorders>
              <w:right w:val="single" w:sz="4" w:space="0" w:color="7E7E7E"/>
            </w:tcBorders>
          </w:tcPr>
          <w:p w:rsidR="00551E43" w:rsidRPr="003A2F67" w:rsidRDefault="00551E43" w:rsidP="009509D9">
            <w:pPr>
              <w:pStyle w:val="TableParagraph"/>
              <w:spacing w:line="227" w:lineRule="exact"/>
              <w:ind w:left="50"/>
              <w:jc w:val="left"/>
              <w:rPr>
                <w:rFonts w:ascii="Arial" w:hAnsi="Arial" w:cs="Arial"/>
                <w:sz w:val="20"/>
              </w:rPr>
            </w:pPr>
            <w:r w:rsidRPr="003A2F67">
              <w:rPr>
                <w:rFonts w:ascii="Arial" w:hAnsi="Arial" w:cs="Arial"/>
                <w:sz w:val="20"/>
              </w:rPr>
              <w:t>SCH</w:t>
            </w:r>
          </w:p>
        </w:tc>
        <w:tc>
          <w:tcPr>
            <w:tcW w:w="850" w:type="dxa"/>
            <w:tcBorders>
              <w:left w:val="single" w:sz="4" w:space="0" w:color="7E7E7E"/>
            </w:tcBorders>
            <w:shd w:val="clear" w:color="auto" w:fill="F1F1F1"/>
          </w:tcPr>
          <w:p w:rsidR="00551E43" w:rsidRPr="003A2F67" w:rsidRDefault="00551E43" w:rsidP="009509D9">
            <w:pPr>
              <w:pStyle w:val="TableParagraph"/>
              <w:spacing w:line="227" w:lineRule="exact"/>
              <w:ind w:right="248"/>
              <w:rPr>
                <w:rFonts w:ascii="Arial" w:hAnsi="Arial" w:cs="Arial"/>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shd w:val="clear" w:color="auto" w:fill="F1F1F1"/>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shd w:val="clear" w:color="auto" w:fill="F1F1F1"/>
          </w:tcPr>
          <w:p w:rsidR="00551E43" w:rsidRPr="003A2F67" w:rsidRDefault="00551E43" w:rsidP="009509D9">
            <w:pPr>
              <w:pStyle w:val="TableParagraph"/>
              <w:spacing w:line="227" w:lineRule="exact"/>
              <w:ind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shd w:val="clear" w:color="auto" w:fill="F1F1F1"/>
          </w:tcPr>
          <w:p w:rsidR="00551E43" w:rsidRPr="003A2F67" w:rsidRDefault="00551E43" w:rsidP="009509D9">
            <w:pPr>
              <w:pStyle w:val="TableParagraph"/>
              <w:spacing w:line="227" w:lineRule="exact"/>
              <w:ind w:left="225" w:right="227"/>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0" w:type="dxa"/>
            <w:shd w:val="clear" w:color="auto" w:fill="F1F1F1"/>
          </w:tcPr>
          <w:p w:rsidR="00551E43" w:rsidRPr="003A2F67" w:rsidRDefault="00551E43" w:rsidP="009509D9">
            <w:pPr>
              <w:pStyle w:val="TableParagraph"/>
              <w:spacing w:line="227" w:lineRule="exact"/>
              <w:ind w:left="225" w:right="228"/>
              <w:rPr>
                <w:rFonts w:ascii="Arial" w:hAnsi="Arial" w:cs="Arial"/>
                <w:sz w:val="20"/>
              </w:rPr>
            </w:pPr>
            <w:r w:rsidRPr="003A2F67">
              <w:rPr>
                <w:rFonts w:ascii="Arial" w:hAnsi="Arial" w:cs="Arial"/>
                <w:sz w:val="20"/>
              </w:rPr>
              <w:t>100</w:t>
            </w:r>
            <w:r w:rsidR="002D3B28" w:rsidRPr="003A2F67">
              <w:rPr>
                <w:rFonts w:ascii="Arial" w:hAnsi="Arial" w:cs="Arial"/>
                <w:sz w:val="20"/>
              </w:rPr>
              <w:t xml:space="preserve"> </w:t>
            </w:r>
          </w:p>
        </w:tc>
        <w:tc>
          <w:tcPr>
            <w:tcW w:w="851" w:type="dxa"/>
            <w:shd w:val="clear" w:color="auto" w:fill="F1F1F1"/>
          </w:tcPr>
          <w:p w:rsidR="00551E43" w:rsidRPr="003A2F67" w:rsidRDefault="00551E43" w:rsidP="009509D9">
            <w:pPr>
              <w:pStyle w:val="TableParagraph"/>
              <w:spacing w:line="227" w:lineRule="exact"/>
              <w:ind w:right="252"/>
              <w:rPr>
                <w:rFonts w:ascii="Arial" w:hAnsi="Arial" w:cs="Arial"/>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850" w:type="dxa"/>
            <w:shd w:val="clear" w:color="auto" w:fill="F1F1F1"/>
          </w:tcPr>
          <w:p w:rsidR="00551E43" w:rsidRPr="003A2F67" w:rsidRDefault="00551E43" w:rsidP="009509D9">
            <w:pPr>
              <w:pStyle w:val="TableParagraph"/>
              <w:spacing w:line="227" w:lineRule="exact"/>
              <w:ind w:left="222" w:right="229"/>
              <w:rPr>
                <w:rFonts w:ascii="Arial" w:hAnsi="Arial" w:cs="Arial"/>
                <w:sz w:val="20"/>
              </w:rPr>
            </w:pPr>
            <w:r w:rsidRPr="003A2F67">
              <w:rPr>
                <w:rFonts w:ascii="Arial" w:hAnsi="Arial" w:cs="Arial"/>
                <w:sz w:val="20"/>
              </w:rPr>
              <w:t>98</w:t>
            </w:r>
            <w:r w:rsidR="002D3B28" w:rsidRPr="003A2F67">
              <w:rPr>
                <w:rFonts w:ascii="Arial" w:hAnsi="Arial" w:cs="Arial"/>
                <w:sz w:val="20"/>
              </w:rPr>
              <w:t xml:space="preserve"> </w:t>
            </w:r>
          </w:p>
        </w:tc>
        <w:tc>
          <w:tcPr>
            <w:tcW w:w="851" w:type="dxa"/>
            <w:shd w:val="clear" w:color="auto" w:fill="F1F1F1"/>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99</w:t>
            </w:r>
            <w:r w:rsidR="002D3B28" w:rsidRPr="003A2F67">
              <w:rPr>
                <w:rFonts w:ascii="Arial" w:hAnsi="Arial" w:cs="Arial"/>
                <w:b/>
                <w:w w:val="95"/>
                <w:sz w:val="20"/>
              </w:rPr>
              <w:t xml:space="preserve"> </w:t>
            </w:r>
          </w:p>
        </w:tc>
      </w:tr>
      <w:tr w:rsidR="00551E43" w:rsidRPr="003A2F67" w:rsidTr="002349A7">
        <w:trPr>
          <w:gridBefore w:val="1"/>
          <w:wBefore w:w="59" w:type="dxa"/>
          <w:trHeight w:val="345"/>
        </w:trPr>
        <w:tc>
          <w:tcPr>
            <w:tcW w:w="950" w:type="dxa"/>
            <w:tcBorders>
              <w:right w:val="single" w:sz="4" w:space="0" w:color="7E7E7E"/>
            </w:tcBorders>
          </w:tcPr>
          <w:p w:rsidR="00551E43" w:rsidRPr="003A2F67" w:rsidRDefault="00551E43" w:rsidP="009509D9">
            <w:pPr>
              <w:pStyle w:val="TableParagraph"/>
              <w:ind w:left="50"/>
              <w:jc w:val="left"/>
              <w:rPr>
                <w:rFonts w:ascii="Arial" w:hAnsi="Arial" w:cs="Arial"/>
                <w:b/>
                <w:sz w:val="20"/>
              </w:rPr>
            </w:pPr>
            <w:r w:rsidRPr="003A2F67">
              <w:rPr>
                <w:rFonts w:ascii="Arial" w:hAnsi="Arial" w:cs="Arial"/>
                <w:b/>
                <w:sz w:val="20"/>
              </w:rPr>
              <w:t>insges.</w:t>
            </w:r>
          </w:p>
        </w:tc>
        <w:tc>
          <w:tcPr>
            <w:tcW w:w="850" w:type="dxa"/>
            <w:tcBorders>
              <w:left w:val="single" w:sz="4" w:space="0" w:color="7E7E7E"/>
            </w:tcBorders>
          </w:tcPr>
          <w:p w:rsidR="00551E43" w:rsidRPr="003A2F67" w:rsidRDefault="00551E43" w:rsidP="009509D9">
            <w:pPr>
              <w:pStyle w:val="TableParagraph"/>
              <w:spacing w:line="227" w:lineRule="exact"/>
              <w:ind w:right="301"/>
              <w:rPr>
                <w:rFonts w:ascii="Arial" w:hAnsi="Arial" w:cs="Arial"/>
                <w:b/>
                <w:sz w:val="20"/>
              </w:rPr>
            </w:pPr>
            <w:r w:rsidRPr="003A2F67">
              <w:rPr>
                <w:rFonts w:ascii="Arial" w:hAnsi="Arial" w:cs="Arial"/>
                <w:b/>
                <w:w w:val="95"/>
                <w:sz w:val="20"/>
              </w:rPr>
              <w:t>99</w:t>
            </w:r>
            <w:r w:rsidR="002D3B28" w:rsidRPr="003A2F67">
              <w:rPr>
                <w:rFonts w:ascii="Arial" w:hAnsi="Arial" w:cs="Arial"/>
                <w:b/>
                <w:w w:val="95"/>
                <w:sz w:val="20"/>
              </w:rPr>
              <w:t xml:space="preserve"> </w:t>
            </w:r>
          </w:p>
        </w:tc>
        <w:tc>
          <w:tcPr>
            <w:tcW w:w="850" w:type="dxa"/>
          </w:tcPr>
          <w:p w:rsidR="00551E43" w:rsidRPr="003A2F67" w:rsidRDefault="00551E43" w:rsidP="004A1638">
            <w:pPr>
              <w:pStyle w:val="TableParagraph"/>
              <w:ind w:right="303"/>
              <w:rPr>
                <w:rFonts w:ascii="Arial" w:hAnsi="Arial" w:cs="Arial"/>
                <w:w w:val="95"/>
                <w:sz w:val="20"/>
              </w:rPr>
            </w:pPr>
            <w:r w:rsidRPr="003A2F67">
              <w:rPr>
                <w:rFonts w:ascii="Arial" w:hAnsi="Arial" w:cs="Arial"/>
                <w:w w:val="95"/>
                <w:sz w:val="20"/>
              </w:rPr>
              <w:t>100</w:t>
            </w:r>
            <w:r w:rsidR="002D3B28" w:rsidRPr="003A2F67">
              <w:rPr>
                <w:rFonts w:ascii="Arial" w:hAnsi="Arial" w:cs="Arial"/>
                <w:w w:val="95"/>
                <w:sz w:val="20"/>
              </w:rPr>
              <w:t xml:space="preserve"> </w:t>
            </w:r>
          </w:p>
        </w:tc>
        <w:tc>
          <w:tcPr>
            <w:tcW w:w="567" w:type="dxa"/>
          </w:tcPr>
          <w:p w:rsidR="00551E43" w:rsidRPr="003A2F67" w:rsidRDefault="00551E43" w:rsidP="009509D9">
            <w:pPr>
              <w:pStyle w:val="TableParagraph"/>
              <w:spacing w:line="227" w:lineRule="exact"/>
              <w:ind w:right="227"/>
              <w:rPr>
                <w:rFonts w:ascii="Arial" w:hAnsi="Arial" w:cs="Arial"/>
                <w:b/>
                <w:sz w:val="20"/>
              </w:rPr>
            </w:pPr>
            <w:r w:rsidRPr="003A2F67">
              <w:rPr>
                <w:rFonts w:ascii="Arial" w:hAnsi="Arial" w:cs="Arial"/>
                <w:b/>
                <w:sz w:val="20"/>
              </w:rPr>
              <w:t>99</w:t>
            </w:r>
            <w:r w:rsidR="002D3B28" w:rsidRPr="003A2F67">
              <w:rPr>
                <w:rFonts w:ascii="Arial" w:hAnsi="Arial" w:cs="Arial"/>
                <w:b/>
                <w:sz w:val="20"/>
              </w:rPr>
              <w:t xml:space="preserve"> </w:t>
            </w:r>
          </w:p>
        </w:tc>
        <w:tc>
          <w:tcPr>
            <w:tcW w:w="851" w:type="dxa"/>
          </w:tcPr>
          <w:p w:rsidR="00551E43" w:rsidRPr="003A2F67" w:rsidRDefault="00551E43" w:rsidP="009509D9">
            <w:pPr>
              <w:pStyle w:val="TableParagraph"/>
              <w:spacing w:line="227" w:lineRule="exact"/>
              <w:ind w:left="225" w:right="226"/>
              <w:rPr>
                <w:rFonts w:ascii="Arial" w:hAnsi="Arial" w:cs="Arial"/>
                <w:b/>
                <w:sz w:val="20"/>
              </w:rPr>
            </w:pPr>
            <w:r w:rsidRPr="003A2F67">
              <w:rPr>
                <w:rFonts w:ascii="Arial" w:hAnsi="Arial" w:cs="Arial"/>
                <w:b/>
                <w:sz w:val="20"/>
              </w:rPr>
              <w:t>98</w:t>
            </w:r>
            <w:r w:rsidR="002D3B28" w:rsidRPr="003A2F67">
              <w:rPr>
                <w:rFonts w:ascii="Arial" w:hAnsi="Arial" w:cs="Arial"/>
                <w:b/>
                <w:sz w:val="20"/>
              </w:rPr>
              <w:t xml:space="preserve"> </w:t>
            </w:r>
          </w:p>
        </w:tc>
        <w:tc>
          <w:tcPr>
            <w:tcW w:w="850" w:type="dxa"/>
          </w:tcPr>
          <w:p w:rsidR="00551E43" w:rsidRPr="003A2F67" w:rsidRDefault="00551E43" w:rsidP="009509D9">
            <w:pPr>
              <w:pStyle w:val="TableParagraph"/>
              <w:spacing w:line="227" w:lineRule="exact"/>
              <w:ind w:left="225" w:right="226"/>
              <w:rPr>
                <w:rFonts w:ascii="Arial" w:hAnsi="Arial" w:cs="Arial"/>
                <w:b/>
                <w:sz w:val="20"/>
              </w:rPr>
            </w:pPr>
            <w:r w:rsidRPr="003A2F67">
              <w:rPr>
                <w:rFonts w:ascii="Arial" w:hAnsi="Arial" w:cs="Arial"/>
                <w:b/>
                <w:sz w:val="20"/>
              </w:rPr>
              <w:t>98</w:t>
            </w:r>
            <w:r w:rsidR="002D3B28" w:rsidRPr="003A2F67">
              <w:rPr>
                <w:rFonts w:ascii="Arial" w:hAnsi="Arial" w:cs="Arial"/>
                <w:b/>
                <w:sz w:val="20"/>
              </w:rPr>
              <w:t xml:space="preserve"> </w:t>
            </w:r>
          </w:p>
        </w:tc>
        <w:tc>
          <w:tcPr>
            <w:tcW w:w="851" w:type="dxa"/>
          </w:tcPr>
          <w:p w:rsidR="00551E43" w:rsidRPr="003A2F67" w:rsidRDefault="00551E43" w:rsidP="009509D9">
            <w:pPr>
              <w:pStyle w:val="TableParagraph"/>
              <w:spacing w:line="227" w:lineRule="exact"/>
              <w:ind w:right="305"/>
              <w:rPr>
                <w:rFonts w:ascii="Arial" w:hAnsi="Arial" w:cs="Arial"/>
                <w:b/>
                <w:sz w:val="20"/>
              </w:rPr>
            </w:pPr>
            <w:r w:rsidRPr="003A2F67">
              <w:rPr>
                <w:rFonts w:ascii="Arial" w:hAnsi="Arial" w:cs="Arial"/>
                <w:b/>
                <w:w w:val="95"/>
                <w:sz w:val="20"/>
              </w:rPr>
              <w:t>99</w:t>
            </w:r>
            <w:r w:rsidR="002D3B28" w:rsidRPr="003A2F67">
              <w:rPr>
                <w:rFonts w:ascii="Arial" w:hAnsi="Arial" w:cs="Arial"/>
                <w:b/>
                <w:w w:val="95"/>
                <w:sz w:val="20"/>
              </w:rPr>
              <w:t xml:space="preserve"> </w:t>
            </w:r>
          </w:p>
        </w:tc>
        <w:tc>
          <w:tcPr>
            <w:tcW w:w="850" w:type="dxa"/>
          </w:tcPr>
          <w:p w:rsidR="00551E43" w:rsidRPr="003A2F67" w:rsidRDefault="00551E43" w:rsidP="009509D9">
            <w:pPr>
              <w:pStyle w:val="TableParagraph"/>
              <w:spacing w:line="227" w:lineRule="exact"/>
              <w:ind w:left="224" w:right="229"/>
              <w:rPr>
                <w:rFonts w:ascii="Arial" w:hAnsi="Arial" w:cs="Arial"/>
                <w:b/>
                <w:sz w:val="20"/>
              </w:rPr>
            </w:pPr>
            <w:r w:rsidRPr="003A2F67">
              <w:rPr>
                <w:rFonts w:ascii="Arial" w:hAnsi="Arial" w:cs="Arial"/>
                <w:b/>
                <w:sz w:val="20"/>
              </w:rPr>
              <w:t>99</w:t>
            </w:r>
            <w:r w:rsidR="002D3B28" w:rsidRPr="003A2F67">
              <w:rPr>
                <w:rFonts w:ascii="Arial" w:hAnsi="Arial" w:cs="Arial"/>
                <w:b/>
                <w:sz w:val="20"/>
              </w:rPr>
              <w:t xml:space="preserve"> </w:t>
            </w:r>
          </w:p>
        </w:tc>
        <w:tc>
          <w:tcPr>
            <w:tcW w:w="851" w:type="dxa"/>
          </w:tcPr>
          <w:p w:rsidR="00551E43" w:rsidRPr="003A2F67" w:rsidRDefault="00551E43" w:rsidP="004A1638">
            <w:pPr>
              <w:pStyle w:val="TableParagraph"/>
              <w:ind w:right="303"/>
              <w:rPr>
                <w:rFonts w:ascii="Arial" w:hAnsi="Arial" w:cs="Arial"/>
                <w:b/>
                <w:w w:val="95"/>
                <w:sz w:val="20"/>
              </w:rPr>
            </w:pPr>
            <w:r w:rsidRPr="003A2F67">
              <w:rPr>
                <w:rFonts w:ascii="Arial" w:hAnsi="Arial" w:cs="Arial"/>
                <w:b/>
                <w:w w:val="95"/>
                <w:sz w:val="20"/>
              </w:rPr>
              <w:t>99</w:t>
            </w:r>
            <w:r w:rsidR="002D3B28" w:rsidRPr="003A2F67">
              <w:rPr>
                <w:rFonts w:ascii="Arial" w:hAnsi="Arial" w:cs="Arial"/>
                <w:b/>
                <w:w w:val="95"/>
                <w:sz w:val="20"/>
              </w:rPr>
              <w:t xml:space="preserve"> </w:t>
            </w:r>
          </w:p>
        </w:tc>
      </w:tr>
    </w:tbl>
    <w:p w:rsidR="00145529" w:rsidRDefault="00145529" w:rsidP="006E5140">
      <w:pPr>
        <w:pStyle w:val="LTAntwortRessortText"/>
      </w:pPr>
    </w:p>
    <w:p w:rsidR="006E5140" w:rsidRDefault="006E5140" w:rsidP="006E5140">
      <w:pPr>
        <w:pStyle w:val="LTAntwortRessortText"/>
      </w:pPr>
      <w:r>
        <w:t>In den folgenden Tabellen 3a und 3b werden die Anzahlen und Anteile der Schulen</w:t>
      </w:r>
      <w:r w:rsidR="00551E43">
        <w:t xml:space="preserve"> </w:t>
      </w:r>
      <w:r>
        <w:t>in Bayern dargestellt, die derzeit sowohl über ein flächendeckendes WLAN als auch</w:t>
      </w:r>
      <w:r w:rsidR="00551E43">
        <w:t xml:space="preserve"> </w:t>
      </w:r>
      <w:r>
        <w:t>über eine aktuelle Breitbandanbindung von mindestens 30 Mbit/s verfügen.</w:t>
      </w:r>
    </w:p>
    <w:p w:rsidR="00145529" w:rsidRDefault="00145529" w:rsidP="00145529">
      <w:pPr>
        <w:pStyle w:val="Textkrper"/>
        <w:spacing w:before="92"/>
        <w:ind w:left="118"/>
        <w:rPr>
          <w:rFonts w:ascii="Arial" w:hAnsi="Arial" w:cs="Arial"/>
          <w:b/>
          <w:sz w:val="20"/>
        </w:rPr>
      </w:pPr>
    </w:p>
    <w:p w:rsidR="00145529" w:rsidRDefault="00145529" w:rsidP="00145529">
      <w:pPr>
        <w:pStyle w:val="Textkrper"/>
        <w:spacing w:before="92"/>
        <w:ind w:left="118"/>
        <w:rPr>
          <w:rFonts w:ascii="Arial" w:hAnsi="Arial" w:cs="Arial"/>
          <w:b/>
          <w:sz w:val="20"/>
        </w:rPr>
      </w:pPr>
    </w:p>
    <w:p w:rsidR="00145529" w:rsidRPr="00145529" w:rsidRDefault="00145529" w:rsidP="00145529">
      <w:pPr>
        <w:pStyle w:val="Textkrper"/>
        <w:spacing w:before="92"/>
        <w:ind w:left="118"/>
        <w:rPr>
          <w:rFonts w:ascii="Arial" w:hAnsi="Arial" w:cs="Arial"/>
          <w:sz w:val="22"/>
        </w:rPr>
      </w:pPr>
      <w:r w:rsidRPr="00145529">
        <w:rPr>
          <w:rFonts w:ascii="Arial" w:hAnsi="Arial" w:cs="Arial"/>
          <w:b/>
          <w:sz w:val="20"/>
        </w:rPr>
        <w:t xml:space="preserve">Tabelle 3a: </w:t>
      </w:r>
      <w:r w:rsidRPr="00145529">
        <w:rPr>
          <w:rFonts w:ascii="Arial" w:hAnsi="Arial" w:cs="Arial"/>
          <w:sz w:val="20"/>
        </w:rPr>
        <w:t>Anzahl der Schulen mit flächendeckendem WLAN (Daten des StMUK) und aktueller Breitbandanbindung von mind. 30 Mbit/s (Daten des StMFH)</w:t>
      </w:r>
    </w:p>
    <w:p w:rsidR="00145529" w:rsidRPr="003A2F67" w:rsidRDefault="00145529" w:rsidP="00145529">
      <w:pPr>
        <w:pStyle w:val="Textkrper"/>
        <w:spacing w:before="92"/>
        <w:ind w:left="118"/>
        <w:rPr>
          <w:rFonts w:ascii="Arial" w:hAnsi="Arial" w:cs="Arial"/>
          <w:sz w:val="22"/>
        </w:rPr>
      </w:pPr>
    </w:p>
    <w:p w:rsidR="00145529" w:rsidRPr="003A2F67" w:rsidRDefault="00145529" w:rsidP="00145529">
      <w:pPr>
        <w:pStyle w:val="Textkrper"/>
        <w:spacing w:before="92"/>
        <w:ind w:left="118"/>
        <w:rPr>
          <w:rFonts w:ascii="Arial" w:hAnsi="Arial" w:cs="Arial"/>
          <w:sz w:val="22"/>
        </w:rPr>
      </w:pPr>
    </w:p>
    <w:p w:rsidR="00145529" w:rsidRPr="002349A7" w:rsidRDefault="00145529" w:rsidP="00145529">
      <w:pPr>
        <w:tabs>
          <w:tab w:val="left" w:pos="340"/>
        </w:tabs>
        <w:spacing w:before="138"/>
        <w:ind w:left="227"/>
      </w:pPr>
      <w:r w:rsidRPr="002349A7">
        <w:t>Reg.bez</w:t>
      </w:r>
      <w:r w:rsidRPr="002349A7">
        <w:tab/>
      </w:r>
      <w:r>
        <w:tab/>
      </w:r>
      <w:r w:rsidRPr="002349A7">
        <w:t>GMS</w:t>
      </w:r>
      <w:r w:rsidRPr="002349A7">
        <w:tab/>
      </w:r>
      <w:r>
        <w:tab/>
      </w:r>
      <w:r w:rsidRPr="002349A7">
        <w:t>RS</w:t>
      </w:r>
      <w:r w:rsidRPr="002349A7">
        <w:tab/>
      </w:r>
      <w:r>
        <w:tab/>
      </w:r>
      <w:r>
        <w:tab/>
      </w:r>
      <w:r w:rsidRPr="002349A7">
        <w:t>GY</w:t>
      </w:r>
      <w:r w:rsidRPr="002349A7">
        <w:tab/>
      </w:r>
      <w:r>
        <w:tab/>
        <w:t xml:space="preserve"> </w:t>
      </w:r>
      <w:r w:rsidRPr="002349A7">
        <w:t>FöS</w:t>
      </w:r>
      <w:r w:rsidRPr="002349A7">
        <w:tab/>
      </w:r>
      <w:r>
        <w:tab/>
      </w:r>
      <w:r>
        <w:tab/>
      </w:r>
      <w:r w:rsidRPr="002349A7">
        <w:t>Sonst.</w:t>
      </w:r>
      <w:r w:rsidRPr="002349A7">
        <w:tab/>
      </w:r>
      <w:r>
        <w:t xml:space="preserve">  </w:t>
      </w:r>
      <w:r w:rsidRPr="002349A7">
        <w:t>BS</w:t>
      </w:r>
      <w:r w:rsidRPr="002349A7">
        <w:tab/>
      </w:r>
      <w:r>
        <w:tab/>
        <w:t xml:space="preserve"> Berufl.</w:t>
      </w:r>
      <w:r>
        <w:tab/>
      </w:r>
      <w:r>
        <w:tab/>
      </w:r>
      <w:r>
        <w:tab/>
      </w:r>
      <w:r w:rsidRPr="00EA4168">
        <w:rPr>
          <w:b/>
        </w:rPr>
        <w:t>zus.</w:t>
      </w:r>
      <w:r>
        <w:br/>
      </w:r>
    </w:p>
    <w:p w:rsidR="00145529" w:rsidRDefault="00145529" w:rsidP="00145529">
      <w:pPr>
        <w:pStyle w:val="Textkrper"/>
        <w:spacing w:before="1"/>
        <w:rPr>
          <w:b/>
          <w:i/>
          <w:sz w:val="10"/>
        </w:rPr>
      </w:pPr>
    </w:p>
    <w:tbl>
      <w:tblPr>
        <w:tblStyle w:val="TableNormal"/>
        <w:tblW w:w="7959" w:type="dxa"/>
        <w:tblInd w:w="121" w:type="dxa"/>
        <w:tblLayout w:type="fixed"/>
        <w:tblLook w:val="01E0" w:firstRow="1" w:lastRow="1" w:firstColumn="1" w:lastColumn="1" w:noHBand="0" w:noVBand="0"/>
      </w:tblPr>
      <w:tblGrid>
        <w:gridCol w:w="872"/>
        <w:gridCol w:w="992"/>
        <w:gridCol w:w="992"/>
        <w:gridCol w:w="851"/>
        <w:gridCol w:w="992"/>
        <w:gridCol w:w="283"/>
        <w:gridCol w:w="993"/>
        <w:gridCol w:w="850"/>
        <w:gridCol w:w="1134"/>
      </w:tblGrid>
      <w:tr w:rsidR="00145529" w:rsidRPr="003A2F67" w:rsidTr="004E3E92">
        <w:trPr>
          <w:trHeight w:val="345"/>
        </w:trPr>
        <w:tc>
          <w:tcPr>
            <w:tcW w:w="872" w:type="dxa"/>
            <w:tcBorders>
              <w:top w:val="single" w:sz="4" w:space="0" w:color="7E7E7E"/>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OBB</w:t>
            </w:r>
          </w:p>
        </w:tc>
        <w:tc>
          <w:tcPr>
            <w:tcW w:w="992" w:type="dxa"/>
            <w:tcBorders>
              <w:top w:val="single" w:sz="4" w:space="0" w:color="7E7E7E"/>
              <w:left w:val="single" w:sz="4" w:space="0" w:color="7E7E7E"/>
            </w:tcBorders>
            <w:shd w:val="clear" w:color="auto" w:fill="F1F1F1"/>
            <w:vAlign w:val="center"/>
          </w:tcPr>
          <w:p w:rsidR="00145529" w:rsidRPr="003A2F67" w:rsidRDefault="00145529" w:rsidP="004E3E92">
            <w:pPr>
              <w:pStyle w:val="TableParagraph"/>
              <w:spacing w:line="229" w:lineRule="exact"/>
              <w:ind w:left="257" w:right="283"/>
              <w:jc w:val="left"/>
              <w:rPr>
                <w:rFonts w:ascii="Arial" w:hAnsi="Arial" w:cs="Arial"/>
                <w:sz w:val="20"/>
              </w:rPr>
            </w:pPr>
            <w:r w:rsidRPr="003A2F67">
              <w:rPr>
                <w:rFonts w:ascii="Arial" w:hAnsi="Arial" w:cs="Arial"/>
                <w:sz w:val="20"/>
              </w:rPr>
              <w:t>359</w:t>
            </w:r>
          </w:p>
        </w:tc>
        <w:tc>
          <w:tcPr>
            <w:tcW w:w="992" w:type="dxa"/>
            <w:tcBorders>
              <w:top w:val="single" w:sz="4" w:space="0" w:color="7E7E7E"/>
            </w:tcBorders>
            <w:shd w:val="clear" w:color="auto" w:fill="F1F1F1"/>
            <w:vAlign w:val="center"/>
          </w:tcPr>
          <w:p w:rsidR="00145529" w:rsidRPr="003A2F67" w:rsidRDefault="00145529" w:rsidP="004E3E92">
            <w:pPr>
              <w:pStyle w:val="TableParagraph"/>
              <w:spacing w:line="229" w:lineRule="exact"/>
              <w:ind w:left="295" w:right="312"/>
              <w:jc w:val="left"/>
              <w:rPr>
                <w:rFonts w:ascii="Arial" w:hAnsi="Arial" w:cs="Arial"/>
                <w:sz w:val="20"/>
              </w:rPr>
            </w:pPr>
            <w:r w:rsidRPr="003A2F67">
              <w:rPr>
                <w:rFonts w:ascii="Arial" w:hAnsi="Arial" w:cs="Arial"/>
                <w:sz w:val="20"/>
              </w:rPr>
              <w:t>61</w:t>
            </w:r>
          </w:p>
        </w:tc>
        <w:tc>
          <w:tcPr>
            <w:tcW w:w="851" w:type="dxa"/>
            <w:tcBorders>
              <w:top w:val="single" w:sz="4" w:space="0" w:color="7E7E7E"/>
            </w:tcBorders>
            <w:shd w:val="clear" w:color="auto" w:fill="F1F1F1"/>
            <w:vAlign w:val="center"/>
          </w:tcPr>
          <w:p w:rsidR="00145529" w:rsidRPr="003A2F67" w:rsidRDefault="00145529" w:rsidP="004E3E92">
            <w:pPr>
              <w:pStyle w:val="TableParagraph"/>
              <w:spacing w:line="229" w:lineRule="exact"/>
              <w:ind w:left="225" w:right="217"/>
              <w:jc w:val="left"/>
              <w:rPr>
                <w:rFonts w:ascii="Arial" w:hAnsi="Arial" w:cs="Arial"/>
                <w:sz w:val="20"/>
              </w:rPr>
            </w:pPr>
            <w:r w:rsidRPr="003A2F67">
              <w:rPr>
                <w:rFonts w:ascii="Arial" w:hAnsi="Arial" w:cs="Arial"/>
                <w:sz w:val="20"/>
              </w:rPr>
              <w:t>87</w:t>
            </w:r>
          </w:p>
        </w:tc>
        <w:tc>
          <w:tcPr>
            <w:tcW w:w="992" w:type="dxa"/>
            <w:tcBorders>
              <w:top w:val="single" w:sz="4" w:space="0" w:color="7E7E7E"/>
            </w:tcBorders>
            <w:shd w:val="clear" w:color="auto" w:fill="F1F1F1"/>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48</w:t>
            </w:r>
          </w:p>
        </w:tc>
        <w:tc>
          <w:tcPr>
            <w:tcW w:w="283" w:type="dxa"/>
            <w:tcBorders>
              <w:top w:val="single" w:sz="4" w:space="0" w:color="7E7E7E"/>
            </w:tcBorders>
            <w:shd w:val="clear" w:color="auto" w:fill="F1F1F1"/>
            <w:vAlign w:val="center"/>
          </w:tcPr>
          <w:p w:rsidR="00145529" w:rsidRPr="003A2F67" w:rsidRDefault="00145529" w:rsidP="004E3E92">
            <w:pPr>
              <w:pStyle w:val="TableParagraph"/>
              <w:spacing w:line="229" w:lineRule="exact"/>
              <w:ind w:right="17"/>
              <w:jc w:val="left"/>
              <w:rPr>
                <w:rFonts w:ascii="Arial" w:hAnsi="Arial" w:cs="Arial"/>
                <w:sz w:val="20"/>
              </w:rPr>
            </w:pPr>
            <w:r w:rsidRPr="003A2F67">
              <w:rPr>
                <w:rFonts w:ascii="Arial" w:hAnsi="Arial" w:cs="Arial"/>
                <w:w w:val="99"/>
                <w:sz w:val="20"/>
              </w:rPr>
              <w:t>2</w:t>
            </w:r>
          </w:p>
        </w:tc>
        <w:tc>
          <w:tcPr>
            <w:tcW w:w="993" w:type="dxa"/>
            <w:tcBorders>
              <w:top w:val="single" w:sz="4" w:space="0" w:color="7E7E7E"/>
            </w:tcBorders>
            <w:shd w:val="clear" w:color="auto" w:fill="F1F1F1"/>
            <w:vAlign w:val="center"/>
          </w:tcPr>
          <w:p w:rsidR="00145529" w:rsidRPr="003A2F67" w:rsidRDefault="00145529" w:rsidP="004E3E92">
            <w:pPr>
              <w:pStyle w:val="TableParagraph"/>
              <w:spacing w:line="229" w:lineRule="exact"/>
              <w:ind w:left="422"/>
              <w:jc w:val="left"/>
              <w:rPr>
                <w:rFonts w:ascii="Arial" w:hAnsi="Arial" w:cs="Arial"/>
                <w:sz w:val="20"/>
              </w:rPr>
            </w:pPr>
            <w:r w:rsidRPr="003A2F67">
              <w:rPr>
                <w:rFonts w:ascii="Arial" w:hAnsi="Arial" w:cs="Arial"/>
                <w:sz w:val="20"/>
              </w:rPr>
              <w:t>32</w:t>
            </w:r>
          </w:p>
        </w:tc>
        <w:tc>
          <w:tcPr>
            <w:tcW w:w="850" w:type="dxa"/>
            <w:tcBorders>
              <w:top w:val="single" w:sz="4" w:space="0" w:color="7E7E7E"/>
            </w:tcBorders>
            <w:shd w:val="clear" w:color="auto" w:fill="F1F1F1"/>
            <w:vAlign w:val="center"/>
          </w:tcPr>
          <w:p w:rsidR="00145529" w:rsidRPr="003A2F67" w:rsidRDefault="00145529" w:rsidP="004E3E92">
            <w:pPr>
              <w:pStyle w:val="TableParagraph"/>
              <w:spacing w:line="229" w:lineRule="exact"/>
              <w:ind w:left="225" w:right="167"/>
              <w:jc w:val="left"/>
              <w:rPr>
                <w:rFonts w:ascii="Arial" w:hAnsi="Arial" w:cs="Arial"/>
                <w:sz w:val="20"/>
              </w:rPr>
            </w:pPr>
            <w:r w:rsidRPr="003A2F67">
              <w:rPr>
                <w:rFonts w:ascii="Arial" w:hAnsi="Arial" w:cs="Arial"/>
                <w:sz w:val="20"/>
              </w:rPr>
              <w:t>224</w:t>
            </w:r>
          </w:p>
        </w:tc>
        <w:tc>
          <w:tcPr>
            <w:tcW w:w="1134" w:type="dxa"/>
            <w:tcBorders>
              <w:top w:val="single" w:sz="4" w:space="0" w:color="7E7E7E"/>
            </w:tcBorders>
            <w:shd w:val="clear" w:color="auto" w:fill="F1F1F1"/>
            <w:vAlign w:val="center"/>
          </w:tcPr>
          <w:p w:rsidR="00145529" w:rsidRPr="003A2F67" w:rsidRDefault="00145529" w:rsidP="004E3E92">
            <w:pPr>
              <w:pStyle w:val="TableParagraph"/>
              <w:spacing w:line="227" w:lineRule="exact"/>
              <w:ind w:left="367"/>
              <w:jc w:val="left"/>
              <w:rPr>
                <w:rFonts w:ascii="Arial" w:hAnsi="Arial" w:cs="Arial"/>
                <w:b/>
                <w:sz w:val="20"/>
              </w:rPr>
            </w:pPr>
            <w:r w:rsidRPr="003A2F67">
              <w:rPr>
                <w:rFonts w:ascii="Arial" w:hAnsi="Arial" w:cs="Arial"/>
                <w:b/>
                <w:sz w:val="20"/>
              </w:rPr>
              <w:t>813</w:t>
            </w:r>
          </w:p>
        </w:tc>
      </w:tr>
      <w:tr w:rsidR="00145529" w:rsidRPr="003A2F67" w:rsidTr="004E3E92">
        <w:trPr>
          <w:trHeight w:val="345"/>
        </w:trPr>
        <w:tc>
          <w:tcPr>
            <w:tcW w:w="872"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NDB</w:t>
            </w:r>
          </w:p>
        </w:tc>
        <w:tc>
          <w:tcPr>
            <w:tcW w:w="992" w:type="dxa"/>
            <w:tcBorders>
              <w:left w:val="single" w:sz="4" w:space="0" w:color="7E7E7E"/>
            </w:tcBorders>
            <w:vAlign w:val="center"/>
          </w:tcPr>
          <w:p w:rsidR="00145529" w:rsidRPr="003A2F67" w:rsidRDefault="00145529" w:rsidP="004E3E92">
            <w:pPr>
              <w:pStyle w:val="TableParagraph"/>
              <w:ind w:left="257" w:right="283"/>
              <w:jc w:val="left"/>
              <w:rPr>
                <w:rFonts w:ascii="Arial" w:hAnsi="Arial" w:cs="Arial"/>
                <w:sz w:val="20"/>
              </w:rPr>
            </w:pPr>
            <w:r w:rsidRPr="003A2F67">
              <w:rPr>
                <w:rFonts w:ascii="Arial" w:hAnsi="Arial" w:cs="Arial"/>
                <w:sz w:val="20"/>
              </w:rPr>
              <w:t>140</w:t>
            </w:r>
          </w:p>
        </w:tc>
        <w:tc>
          <w:tcPr>
            <w:tcW w:w="992" w:type="dxa"/>
            <w:vAlign w:val="center"/>
          </w:tcPr>
          <w:p w:rsidR="00145529" w:rsidRPr="003A2F67" w:rsidRDefault="00145529" w:rsidP="004E3E92">
            <w:pPr>
              <w:pStyle w:val="TableParagraph"/>
              <w:ind w:left="295" w:right="312"/>
              <w:jc w:val="left"/>
              <w:rPr>
                <w:rFonts w:ascii="Arial" w:hAnsi="Arial" w:cs="Arial"/>
                <w:sz w:val="20"/>
              </w:rPr>
            </w:pPr>
            <w:r w:rsidRPr="003A2F67">
              <w:rPr>
                <w:rFonts w:ascii="Arial" w:hAnsi="Arial" w:cs="Arial"/>
                <w:sz w:val="20"/>
              </w:rPr>
              <w:t>28</w:t>
            </w:r>
          </w:p>
        </w:tc>
        <w:tc>
          <w:tcPr>
            <w:tcW w:w="851" w:type="dxa"/>
            <w:vAlign w:val="center"/>
          </w:tcPr>
          <w:p w:rsidR="00145529" w:rsidRPr="003A2F67" w:rsidRDefault="00145529" w:rsidP="004E3E92">
            <w:pPr>
              <w:pStyle w:val="TableParagraph"/>
              <w:ind w:left="225" w:right="217"/>
              <w:jc w:val="left"/>
              <w:rPr>
                <w:rFonts w:ascii="Arial" w:hAnsi="Arial" w:cs="Arial"/>
                <w:sz w:val="20"/>
              </w:rPr>
            </w:pPr>
            <w:r w:rsidRPr="003A2F67">
              <w:rPr>
                <w:rFonts w:ascii="Arial" w:hAnsi="Arial" w:cs="Arial"/>
                <w:sz w:val="20"/>
              </w:rPr>
              <w:t>23</w:t>
            </w:r>
          </w:p>
        </w:tc>
        <w:tc>
          <w:tcPr>
            <w:tcW w:w="992" w:type="dxa"/>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14</w:t>
            </w:r>
          </w:p>
        </w:tc>
        <w:tc>
          <w:tcPr>
            <w:tcW w:w="283" w:type="dxa"/>
            <w:vAlign w:val="center"/>
          </w:tcPr>
          <w:p w:rsidR="00145529" w:rsidRPr="003A2F67" w:rsidRDefault="00145529" w:rsidP="004E3E92">
            <w:pPr>
              <w:pStyle w:val="TableParagraph"/>
              <w:ind w:right="17"/>
              <w:jc w:val="left"/>
              <w:rPr>
                <w:rFonts w:ascii="Arial" w:hAnsi="Arial" w:cs="Arial"/>
                <w:sz w:val="20"/>
              </w:rPr>
            </w:pPr>
            <w:r w:rsidRPr="003A2F67">
              <w:rPr>
                <w:rFonts w:ascii="Arial" w:hAnsi="Arial" w:cs="Arial"/>
                <w:w w:val="99"/>
                <w:sz w:val="20"/>
              </w:rPr>
              <w:t>0</w:t>
            </w:r>
          </w:p>
        </w:tc>
        <w:tc>
          <w:tcPr>
            <w:tcW w:w="993" w:type="dxa"/>
            <w:vAlign w:val="center"/>
          </w:tcPr>
          <w:p w:rsidR="00145529" w:rsidRPr="003A2F67" w:rsidRDefault="00145529" w:rsidP="004E3E92">
            <w:pPr>
              <w:pStyle w:val="TableParagraph"/>
              <w:ind w:left="480"/>
              <w:jc w:val="left"/>
              <w:rPr>
                <w:rFonts w:ascii="Arial" w:hAnsi="Arial" w:cs="Arial"/>
                <w:sz w:val="20"/>
              </w:rPr>
            </w:pPr>
            <w:r w:rsidRPr="003A2F67">
              <w:rPr>
                <w:rFonts w:ascii="Arial" w:hAnsi="Arial" w:cs="Arial"/>
                <w:w w:val="99"/>
                <w:sz w:val="20"/>
              </w:rPr>
              <w:t>8</w:t>
            </w:r>
          </w:p>
        </w:tc>
        <w:tc>
          <w:tcPr>
            <w:tcW w:w="850" w:type="dxa"/>
            <w:vAlign w:val="center"/>
          </w:tcPr>
          <w:p w:rsidR="00145529" w:rsidRPr="003A2F67" w:rsidRDefault="00145529" w:rsidP="004E3E92">
            <w:pPr>
              <w:pStyle w:val="TableParagraph"/>
              <w:ind w:left="225" w:right="167"/>
              <w:jc w:val="left"/>
              <w:rPr>
                <w:rFonts w:ascii="Arial" w:hAnsi="Arial" w:cs="Arial"/>
                <w:sz w:val="20"/>
              </w:rPr>
            </w:pPr>
            <w:r w:rsidRPr="003A2F67">
              <w:rPr>
                <w:rFonts w:ascii="Arial" w:hAnsi="Arial" w:cs="Arial"/>
                <w:sz w:val="20"/>
              </w:rPr>
              <w:t>70</w:t>
            </w:r>
          </w:p>
        </w:tc>
        <w:tc>
          <w:tcPr>
            <w:tcW w:w="1134" w:type="dxa"/>
            <w:vAlign w:val="center"/>
          </w:tcPr>
          <w:p w:rsidR="00145529" w:rsidRPr="003A2F67" w:rsidRDefault="00145529" w:rsidP="004E3E92">
            <w:pPr>
              <w:pStyle w:val="TableParagraph"/>
              <w:spacing w:line="227" w:lineRule="exact"/>
              <w:ind w:left="367"/>
              <w:jc w:val="left"/>
              <w:rPr>
                <w:rFonts w:ascii="Arial" w:hAnsi="Arial" w:cs="Arial"/>
                <w:b/>
                <w:sz w:val="20"/>
              </w:rPr>
            </w:pPr>
            <w:r w:rsidRPr="003A2F67">
              <w:rPr>
                <w:rFonts w:ascii="Arial" w:hAnsi="Arial" w:cs="Arial"/>
                <w:b/>
                <w:sz w:val="20"/>
              </w:rPr>
              <w:t>283</w:t>
            </w:r>
          </w:p>
        </w:tc>
      </w:tr>
      <w:tr w:rsidR="00145529" w:rsidRPr="003A2F67" w:rsidTr="004E3E92">
        <w:trPr>
          <w:trHeight w:val="345"/>
        </w:trPr>
        <w:tc>
          <w:tcPr>
            <w:tcW w:w="872"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OPF</w:t>
            </w:r>
          </w:p>
        </w:tc>
        <w:tc>
          <w:tcPr>
            <w:tcW w:w="992" w:type="dxa"/>
            <w:tcBorders>
              <w:left w:val="single" w:sz="4" w:space="0" w:color="7E7E7E"/>
            </w:tcBorders>
            <w:shd w:val="clear" w:color="auto" w:fill="F1F1F1"/>
            <w:vAlign w:val="center"/>
          </w:tcPr>
          <w:p w:rsidR="00145529" w:rsidRPr="003A2F67" w:rsidRDefault="00145529" w:rsidP="004E3E92">
            <w:pPr>
              <w:pStyle w:val="TableParagraph"/>
              <w:ind w:left="257" w:right="283"/>
              <w:jc w:val="left"/>
              <w:rPr>
                <w:rFonts w:ascii="Arial" w:hAnsi="Arial" w:cs="Arial"/>
                <w:sz w:val="20"/>
              </w:rPr>
            </w:pPr>
            <w:r w:rsidRPr="003A2F67">
              <w:rPr>
                <w:rFonts w:ascii="Arial" w:hAnsi="Arial" w:cs="Arial"/>
                <w:sz w:val="20"/>
              </w:rPr>
              <w:t>149</w:t>
            </w:r>
          </w:p>
        </w:tc>
        <w:tc>
          <w:tcPr>
            <w:tcW w:w="992" w:type="dxa"/>
            <w:shd w:val="clear" w:color="auto" w:fill="F1F1F1"/>
            <w:vAlign w:val="center"/>
          </w:tcPr>
          <w:p w:rsidR="00145529" w:rsidRPr="003A2F67" w:rsidRDefault="00145529" w:rsidP="004E3E92">
            <w:pPr>
              <w:pStyle w:val="TableParagraph"/>
              <w:ind w:left="295" w:right="312"/>
              <w:jc w:val="left"/>
              <w:rPr>
                <w:rFonts w:ascii="Arial" w:hAnsi="Arial" w:cs="Arial"/>
                <w:sz w:val="20"/>
              </w:rPr>
            </w:pPr>
            <w:r w:rsidRPr="003A2F67">
              <w:rPr>
                <w:rFonts w:ascii="Arial" w:hAnsi="Arial" w:cs="Arial"/>
                <w:sz w:val="20"/>
              </w:rPr>
              <w:t>18</w:t>
            </w:r>
          </w:p>
        </w:tc>
        <w:tc>
          <w:tcPr>
            <w:tcW w:w="851" w:type="dxa"/>
            <w:shd w:val="clear" w:color="auto" w:fill="F1F1F1"/>
            <w:vAlign w:val="center"/>
          </w:tcPr>
          <w:p w:rsidR="00145529" w:rsidRPr="003A2F67" w:rsidRDefault="00145529" w:rsidP="004E3E92">
            <w:pPr>
              <w:pStyle w:val="TableParagraph"/>
              <w:ind w:left="225" w:right="217"/>
              <w:jc w:val="left"/>
              <w:rPr>
                <w:rFonts w:ascii="Arial" w:hAnsi="Arial" w:cs="Arial"/>
                <w:sz w:val="20"/>
              </w:rPr>
            </w:pPr>
            <w:r w:rsidRPr="003A2F67">
              <w:rPr>
                <w:rFonts w:ascii="Arial" w:hAnsi="Arial" w:cs="Arial"/>
                <w:sz w:val="20"/>
              </w:rPr>
              <w:t>16</w:t>
            </w:r>
          </w:p>
        </w:tc>
        <w:tc>
          <w:tcPr>
            <w:tcW w:w="992" w:type="dxa"/>
            <w:shd w:val="clear" w:color="auto" w:fill="F1F1F1"/>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10</w:t>
            </w:r>
          </w:p>
        </w:tc>
        <w:tc>
          <w:tcPr>
            <w:tcW w:w="283" w:type="dxa"/>
            <w:shd w:val="clear" w:color="auto" w:fill="F1F1F1"/>
            <w:vAlign w:val="center"/>
          </w:tcPr>
          <w:p w:rsidR="00145529" w:rsidRPr="003A2F67" w:rsidRDefault="00145529" w:rsidP="004E3E92">
            <w:pPr>
              <w:pStyle w:val="TableParagraph"/>
              <w:ind w:right="17"/>
              <w:jc w:val="left"/>
              <w:rPr>
                <w:rFonts w:ascii="Arial" w:hAnsi="Arial" w:cs="Arial"/>
                <w:sz w:val="20"/>
              </w:rPr>
            </w:pPr>
            <w:r w:rsidRPr="003A2F67">
              <w:rPr>
                <w:rFonts w:ascii="Arial" w:hAnsi="Arial" w:cs="Arial"/>
                <w:w w:val="99"/>
                <w:sz w:val="20"/>
              </w:rPr>
              <w:t>0</w:t>
            </w:r>
          </w:p>
        </w:tc>
        <w:tc>
          <w:tcPr>
            <w:tcW w:w="993" w:type="dxa"/>
            <w:shd w:val="clear" w:color="auto" w:fill="F1F1F1"/>
            <w:vAlign w:val="center"/>
          </w:tcPr>
          <w:p w:rsidR="00145529" w:rsidRPr="003A2F67" w:rsidRDefault="00145529" w:rsidP="004E3E92">
            <w:pPr>
              <w:pStyle w:val="TableParagraph"/>
              <w:ind w:left="480"/>
              <w:jc w:val="left"/>
              <w:rPr>
                <w:rFonts w:ascii="Arial" w:hAnsi="Arial" w:cs="Arial"/>
                <w:sz w:val="20"/>
              </w:rPr>
            </w:pPr>
            <w:r w:rsidRPr="003A2F67">
              <w:rPr>
                <w:rFonts w:ascii="Arial" w:hAnsi="Arial" w:cs="Arial"/>
                <w:w w:val="99"/>
                <w:sz w:val="20"/>
              </w:rPr>
              <w:t>7</w:t>
            </w:r>
          </w:p>
        </w:tc>
        <w:tc>
          <w:tcPr>
            <w:tcW w:w="850" w:type="dxa"/>
            <w:shd w:val="clear" w:color="auto" w:fill="F1F1F1"/>
            <w:vAlign w:val="center"/>
          </w:tcPr>
          <w:p w:rsidR="00145529" w:rsidRPr="003A2F67" w:rsidRDefault="00145529" w:rsidP="004E3E92">
            <w:pPr>
              <w:pStyle w:val="TableParagraph"/>
              <w:ind w:left="225" w:right="167"/>
              <w:jc w:val="left"/>
              <w:rPr>
                <w:rFonts w:ascii="Arial" w:hAnsi="Arial" w:cs="Arial"/>
                <w:sz w:val="20"/>
              </w:rPr>
            </w:pPr>
            <w:r w:rsidRPr="003A2F67">
              <w:rPr>
                <w:rFonts w:ascii="Arial" w:hAnsi="Arial" w:cs="Arial"/>
                <w:sz w:val="20"/>
              </w:rPr>
              <w:t>73</w:t>
            </w:r>
          </w:p>
        </w:tc>
        <w:tc>
          <w:tcPr>
            <w:tcW w:w="1134" w:type="dxa"/>
            <w:shd w:val="clear" w:color="auto" w:fill="F1F1F1"/>
            <w:vAlign w:val="center"/>
          </w:tcPr>
          <w:p w:rsidR="00145529" w:rsidRPr="003A2F67" w:rsidRDefault="00145529" w:rsidP="004E3E92">
            <w:pPr>
              <w:pStyle w:val="TableParagraph"/>
              <w:spacing w:line="227" w:lineRule="exact"/>
              <w:ind w:left="367"/>
              <w:jc w:val="left"/>
              <w:rPr>
                <w:rFonts w:ascii="Arial" w:hAnsi="Arial" w:cs="Arial"/>
                <w:b/>
                <w:sz w:val="20"/>
              </w:rPr>
            </w:pPr>
            <w:r w:rsidRPr="003A2F67">
              <w:rPr>
                <w:rFonts w:ascii="Arial" w:hAnsi="Arial" w:cs="Arial"/>
                <w:b/>
                <w:sz w:val="20"/>
              </w:rPr>
              <w:t>273</w:t>
            </w:r>
          </w:p>
        </w:tc>
      </w:tr>
      <w:tr w:rsidR="00145529" w:rsidRPr="003A2F67" w:rsidTr="004E3E92">
        <w:trPr>
          <w:trHeight w:val="343"/>
        </w:trPr>
        <w:tc>
          <w:tcPr>
            <w:tcW w:w="872"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OFR</w:t>
            </w:r>
          </w:p>
        </w:tc>
        <w:tc>
          <w:tcPr>
            <w:tcW w:w="992" w:type="dxa"/>
            <w:tcBorders>
              <w:left w:val="single" w:sz="4" w:space="0" w:color="7E7E7E"/>
            </w:tcBorders>
            <w:vAlign w:val="center"/>
          </w:tcPr>
          <w:p w:rsidR="00145529" w:rsidRPr="003A2F67" w:rsidRDefault="00145529" w:rsidP="004E3E92">
            <w:pPr>
              <w:pStyle w:val="TableParagraph"/>
              <w:spacing w:line="227" w:lineRule="exact"/>
              <w:ind w:left="257" w:right="283"/>
              <w:jc w:val="left"/>
              <w:rPr>
                <w:rFonts w:ascii="Arial" w:hAnsi="Arial" w:cs="Arial"/>
                <w:sz w:val="20"/>
              </w:rPr>
            </w:pPr>
            <w:r w:rsidRPr="003A2F67">
              <w:rPr>
                <w:rFonts w:ascii="Arial" w:hAnsi="Arial" w:cs="Arial"/>
                <w:sz w:val="20"/>
              </w:rPr>
              <w:t>134</w:t>
            </w:r>
          </w:p>
        </w:tc>
        <w:tc>
          <w:tcPr>
            <w:tcW w:w="992" w:type="dxa"/>
            <w:vAlign w:val="center"/>
          </w:tcPr>
          <w:p w:rsidR="00145529" w:rsidRPr="003A2F67" w:rsidRDefault="00145529" w:rsidP="004E3E92">
            <w:pPr>
              <w:pStyle w:val="TableParagraph"/>
              <w:spacing w:line="227" w:lineRule="exact"/>
              <w:ind w:left="295" w:right="312"/>
              <w:jc w:val="left"/>
              <w:rPr>
                <w:rFonts w:ascii="Arial" w:hAnsi="Arial" w:cs="Arial"/>
                <w:sz w:val="20"/>
              </w:rPr>
            </w:pPr>
            <w:r w:rsidRPr="003A2F67">
              <w:rPr>
                <w:rFonts w:ascii="Arial" w:hAnsi="Arial" w:cs="Arial"/>
                <w:sz w:val="20"/>
              </w:rPr>
              <w:t>16</w:t>
            </w:r>
          </w:p>
        </w:tc>
        <w:tc>
          <w:tcPr>
            <w:tcW w:w="851" w:type="dxa"/>
            <w:vAlign w:val="center"/>
          </w:tcPr>
          <w:p w:rsidR="00145529" w:rsidRPr="003A2F67" w:rsidRDefault="00145529" w:rsidP="004E3E92">
            <w:pPr>
              <w:pStyle w:val="TableParagraph"/>
              <w:spacing w:line="227" w:lineRule="exact"/>
              <w:ind w:left="225" w:right="217"/>
              <w:jc w:val="left"/>
              <w:rPr>
                <w:rFonts w:ascii="Arial" w:hAnsi="Arial" w:cs="Arial"/>
                <w:sz w:val="20"/>
              </w:rPr>
            </w:pPr>
            <w:r w:rsidRPr="003A2F67">
              <w:rPr>
                <w:rFonts w:ascii="Arial" w:hAnsi="Arial" w:cs="Arial"/>
                <w:sz w:val="20"/>
              </w:rPr>
              <w:t>19</w:t>
            </w:r>
          </w:p>
        </w:tc>
        <w:tc>
          <w:tcPr>
            <w:tcW w:w="992" w:type="dxa"/>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9</w:t>
            </w:r>
          </w:p>
        </w:tc>
        <w:tc>
          <w:tcPr>
            <w:tcW w:w="283" w:type="dxa"/>
            <w:vAlign w:val="center"/>
          </w:tcPr>
          <w:p w:rsidR="00145529" w:rsidRPr="003A2F67" w:rsidRDefault="00145529" w:rsidP="004E3E92">
            <w:pPr>
              <w:pStyle w:val="TableParagraph"/>
              <w:spacing w:line="227" w:lineRule="exact"/>
              <w:ind w:right="17"/>
              <w:jc w:val="left"/>
              <w:rPr>
                <w:rFonts w:ascii="Arial" w:hAnsi="Arial" w:cs="Arial"/>
                <w:sz w:val="20"/>
              </w:rPr>
            </w:pPr>
            <w:r w:rsidRPr="003A2F67">
              <w:rPr>
                <w:rFonts w:ascii="Arial" w:hAnsi="Arial" w:cs="Arial"/>
                <w:w w:val="99"/>
                <w:sz w:val="20"/>
              </w:rPr>
              <w:t>3</w:t>
            </w:r>
          </w:p>
        </w:tc>
        <w:tc>
          <w:tcPr>
            <w:tcW w:w="993" w:type="dxa"/>
            <w:vAlign w:val="center"/>
          </w:tcPr>
          <w:p w:rsidR="00145529" w:rsidRPr="003A2F67" w:rsidRDefault="00145529" w:rsidP="004E3E92">
            <w:pPr>
              <w:pStyle w:val="TableParagraph"/>
              <w:spacing w:line="227" w:lineRule="exact"/>
              <w:ind w:left="480"/>
              <w:jc w:val="left"/>
              <w:rPr>
                <w:rFonts w:ascii="Arial" w:hAnsi="Arial" w:cs="Arial"/>
                <w:sz w:val="20"/>
              </w:rPr>
            </w:pPr>
            <w:r w:rsidRPr="003A2F67">
              <w:rPr>
                <w:rFonts w:ascii="Arial" w:hAnsi="Arial" w:cs="Arial"/>
                <w:w w:val="99"/>
                <w:sz w:val="20"/>
              </w:rPr>
              <w:t>7</w:t>
            </w:r>
          </w:p>
        </w:tc>
        <w:tc>
          <w:tcPr>
            <w:tcW w:w="850" w:type="dxa"/>
            <w:vAlign w:val="center"/>
          </w:tcPr>
          <w:p w:rsidR="00145529" w:rsidRPr="003A2F67" w:rsidRDefault="00145529" w:rsidP="004E3E92">
            <w:pPr>
              <w:pStyle w:val="TableParagraph"/>
              <w:spacing w:line="227" w:lineRule="exact"/>
              <w:ind w:left="225" w:right="167"/>
              <w:jc w:val="left"/>
              <w:rPr>
                <w:rFonts w:ascii="Arial" w:hAnsi="Arial" w:cs="Arial"/>
                <w:sz w:val="20"/>
              </w:rPr>
            </w:pPr>
            <w:r w:rsidRPr="003A2F67">
              <w:rPr>
                <w:rFonts w:ascii="Arial" w:hAnsi="Arial" w:cs="Arial"/>
                <w:sz w:val="20"/>
              </w:rPr>
              <w:t>83</w:t>
            </w:r>
          </w:p>
        </w:tc>
        <w:tc>
          <w:tcPr>
            <w:tcW w:w="1134" w:type="dxa"/>
            <w:vAlign w:val="center"/>
          </w:tcPr>
          <w:p w:rsidR="00145529" w:rsidRPr="003A2F67" w:rsidRDefault="00145529" w:rsidP="004E3E92">
            <w:pPr>
              <w:pStyle w:val="TableParagraph"/>
              <w:spacing w:line="225" w:lineRule="exact"/>
              <w:ind w:left="367"/>
              <w:jc w:val="left"/>
              <w:rPr>
                <w:rFonts w:ascii="Arial" w:hAnsi="Arial" w:cs="Arial"/>
                <w:b/>
                <w:sz w:val="20"/>
              </w:rPr>
            </w:pPr>
            <w:r w:rsidRPr="003A2F67">
              <w:rPr>
                <w:rFonts w:ascii="Arial" w:hAnsi="Arial" w:cs="Arial"/>
                <w:b/>
                <w:sz w:val="20"/>
              </w:rPr>
              <w:t>271</w:t>
            </w:r>
          </w:p>
        </w:tc>
      </w:tr>
      <w:tr w:rsidR="00145529" w:rsidRPr="003A2F67" w:rsidTr="004E3E92">
        <w:trPr>
          <w:trHeight w:val="345"/>
        </w:trPr>
        <w:tc>
          <w:tcPr>
            <w:tcW w:w="872"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MFR</w:t>
            </w:r>
          </w:p>
        </w:tc>
        <w:tc>
          <w:tcPr>
            <w:tcW w:w="992" w:type="dxa"/>
            <w:tcBorders>
              <w:left w:val="single" w:sz="4" w:space="0" w:color="7E7E7E"/>
            </w:tcBorders>
            <w:shd w:val="clear" w:color="auto" w:fill="F1F1F1"/>
            <w:vAlign w:val="center"/>
          </w:tcPr>
          <w:p w:rsidR="00145529" w:rsidRPr="003A2F67" w:rsidRDefault="00145529" w:rsidP="004E3E92">
            <w:pPr>
              <w:pStyle w:val="TableParagraph"/>
              <w:ind w:left="257" w:right="283"/>
              <w:jc w:val="left"/>
              <w:rPr>
                <w:rFonts w:ascii="Arial" w:hAnsi="Arial" w:cs="Arial"/>
                <w:sz w:val="20"/>
              </w:rPr>
            </w:pPr>
            <w:r w:rsidRPr="003A2F67">
              <w:rPr>
                <w:rFonts w:ascii="Arial" w:hAnsi="Arial" w:cs="Arial"/>
                <w:sz w:val="20"/>
              </w:rPr>
              <w:t>158</w:t>
            </w:r>
          </w:p>
        </w:tc>
        <w:tc>
          <w:tcPr>
            <w:tcW w:w="992" w:type="dxa"/>
            <w:shd w:val="clear" w:color="auto" w:fill="F1F1F1"/>
            <w:vAlign w:val="center"/>
          </w:tcPr>
          <w:p w:rsidR="00145529" w:rsidRPr="003A2F67" w:rsidRDefault="00145529" w:rsidP="004E3E92">
            <w:pPr>
              <w:pStyle w:val="TableParagraph"/>
              <w:ind w:left="295" w:right="312"/>
              <w:jc w:val="left"/>
              <w:rPr>
                <w:rFonts w:ascii="Arial" w:hAnsi="Arial" w:cs="Arial"/>
                <w:sz w:val="20"/>
              </w:rPr>
            </w:pPr>
            <w:r w:rsidRPr="003A2F67">
              <w:rPr>
                <w:rFonts w:ascii="Arial" w:hAnsi="Arial" w:cs="Arial"/>
                <w:sz w:val="20"/>
              </w:rPr>
              <w:t>22</w:t>
            </w:r>
          </w:p>
        </w:tc>
        <w:tc>
          <w:tcPr>
            <w:tcW w:w="851" w:type="dxa"/>
            <w:shd w:val="clear" w:color="auto" w:fill="F1F1F1"/>
            <w:vAlign w:val="center"/>
          </w:tcPr>
          <w:p w:rsidR="00145529" w:rsidRPr="003A2F67" w:rsidRDefault="00145529" w:rsidP="004E3E92">
            <w:pPr>
              <w:pStyle w:val="TableParagraph"/>
              <w:ind w:left="225" w:right="217"/>
              <w:jc w:val="left"/>
              <w:rPr>
                <w:rFonts w:ascii="Arial" w:hAnsi="Arial" w:cs="Arial"/>
                <w:sz w:val="20"/>
              </w:rPr>
            </w:pPr>
            <w:r w:rsidRPr="003A2F67">
              <w:rPr>
                <w:rFonts w:ascii="Arial" w:hAnsi="Arial" w:cs="Arial"/>
                <w:sz w:val="20"/>
              </w:rPr>
              <w:t>21</w:t>
            </w:r>
          </w:p>
        </w:tc>
        <w:tc>
          <w:tcPr>
            <w:tcW w:w="992" w:type="dxa"/>
            <w:shd w:val="clear" w:color="auto" w:fill="F1F1F1"/>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18</w:t>
            </w:r>
          </w:p>
        </w:tc>
        <w:tc>
          <w:tcPr>
            <w:tcW w:w="283" w:type="dxa"/>
            <w:shd w:val="clear" w:color="auto" w:fill="F1F1F1"/>
            <w:vAlign w:val="center"/>
          </w:tcPr>
          <w:p w:rsidR="00145529" w:rsidRPr="003A2F67" w:rsidRDefault="00145529" w:rsidP="004E3E92">
            <w:pPr>
              <w:pStyle w:val="TableParagraph"/>
              <w:ind w:right="17"/>
              <w:jc w:val="left"/>
              <w:rPr>
                <w:rFonts w:ascii="Arial" w:hAnsi="Arial" w:cs="Arial"/>
                <w:sz w:val="20"/>
              </w:rPr>
            </w:pPr>
            <w:r w:rsidRPr="003A2F67">
              <w:rPr>
                <w:rFonts w:ascii="Arial" w:hAnsi="Arial" w:cs="Arial"/>
                <w:w w:val="99"/>
                <w:sz w:val="20"/>
              </w:rPr>
              <w:t>1</w:t>
            </w:r>
          </w:p>
        </w:tc>
        <w:tc>
          <w:tcPr>
            <w:tcW w:w="993" w:type="dxa"/>
            <w:shd w:val="clear" w:color="auto" w:fill="F1F1F1"/>
            <w:vAlign w:val="center"/>
          </w:tcPr>
          <w:p w:rsidR="00145529" w:rsidRPr="003A2F67" w:rsidRDefault="00145529" w:rsidP="004E3E92">
            <w:pPr>
              <w:pStyle w:val="TableParagraph"/>
              <w:ind w:left="422"/>
              <w:jc w:val="left"/>
              <w:rPr>
                <w:rFonts w:ascii="Arial" w:hAnsi="Arial" w:cs="Arial"/>
                <w:sz w:val="20"/>
              </w:rPr>
            </w:pPr>
            <w:r w:rsidRPr="003A2F67">
              <w:rPr>
                <w:rFonts w:ascii="Arial" w:hAnsi="Arial" w:cs="Arial"/>
                <w:sz w:val="20"/>
              </w:rPr>
              <w:t>12</w:t>
            </w:r>
          </w:p>
        </w:tc>
        <w:tc>
          <w:tcPr>
            <w:tcW w:w="850" w:type="dxa"/>
            <w:shd w:val="clear" w:color="auto" w:fill="F1F1F1"/>
            <w:vAlign w:val="center"/>
          </w:tcPr>
          <w:p w:rsidR="00145529" w:rsidRPr="003A2F67" w:rsidRDefault="00145529" w:rsidP="004E3E92">
            <w:pPr>
              <w:pStyle w:val="TableParagraph"/>
              <w:ind w:left="225" w:right="167"/>
              <w:jc w:val="left"/>
              <w:rPr>
                <w:rFonts w:ascii="Arial" w:hAnsi="Arial" w:cs="Arial"/>
                <w:sz w:val="20"/>
              </w:rPr>
            </w:pPr>
            <w:r w:rsidRPr="003A2F67">
              <w:rPr>
                <w:rFonts w:ascii="Arial" w:hAnsi="Arial" w:cs="Arial"/>
                <w:sz w:val="20"/>
              </w:rPr>
              <w:t>105</w:t>
            </w:r>
          </w:p>
        </w:tc>
        <w:tc>
          <w:tcPr>
            <w:tcW w:w="1134" w:type="dxa"/>
            <w:shd w:val="clear" w:color="auto" w:fill="F1F1F1"/>
            <w:vAlign w:val="center"/>
          </w:tcPr>
          <w:p w:rsidR="00145529" w:rsidRPr="003A2F67" w:rsidRDefault="00145529" w:rsidP="004E3E92">
            <w:pPr>
              <w:pStyle w:val="TableParagraph"/>
              <w:spacing w:line="227" w:lineRule="exact"/>
              <w:ind w:left="367"/>
              <w:jc w:val="left"/>
              <w:rPr>
                <w:rFonts w:ascii="Arial" w:hAnsi="Arial" w:cs="Arial"/>
                <w:b/>
                <w:sz w:val="20"/>
              </w:rPr>
            </w:pPr>
            <w:r w:rsidRPr="003A2F67">
              <w:rPr>
                <w:rFonts w:ascii="Arial" w:hAnsi="Arial" w:cs="Arial"/>
                <w:b/>
                <w:sz w:val="20"/>
              </w:rPr>
              <w:t>337</w:t>
            </w:r>
          </w:p>
        </w:tc>
      </w:tr>
      <w:tr w:rsidR="00145529" w:rsidRPr="003A2F67" w:rsidTr="004E3E92">
        <w:trPr>
          <w:trHeight w:val="345"/>
        </w:trPr>
        <w:tc>
          <w:tcPr>
            <w:tcW w:w="872"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UFR</w:t>
            </w:r>
          </w:p>
        </w:tc>
        <w:tc>
          <w:tcPr>
            <w:tcW w:w="992" w:type="dxa"/>
            <w:tcBorders>
              <w:left w:val="single" w:sz="4" w:space="0" w:color="7E7E7E"/>
            </w:tcBorders>
            <w:vAlign w:val="center"/>
          </w:tcPr>
          <w:p w:rsidR="00145529" w:rsidRPr="003A2F67" w:rsidRDefault="00145529" w:rsidP="004E3E92">
            <w:pPr>
              <w:pStyle w:val="TableParagraph"/>
              <w:ind w:left="257" w:right="283"/>
              <w:jc w:val="left"/>
              <w:rPr>
                <w:rFonts w:ascii="Arial" w:hAnsi="Arial" w:cs="Arial"/>
                <w:sz w:val="20"/>
              </w:rPr>
            </w:pPr>
            <w:r w:rsidRPr="003A2F67">
              <w:rPr>
                <w:rFonts w:ascii="Arial" w:hAnsi="Arial" w:cs="Arial"/>
                <w:sz w:val="20"/>
              </w:rPr>
              <w:t>146</w:t>
            </w:r>
          </w:p>
        </w:tc>
        <w:tc>
          <w:tcPr>
            <w:tcW w:w="992" w:type="dxa"/>
            <w:vAlign w:val="center"/>
          </w:tcPr>
          <w:p w:rsidR="00145529" w:rsidRPr="003A2F67" w:rsidRDefault="00145529" w:rsidP="004E3E92">
            <w:pPr>
              <w:pStyle w:val="TableParagraph"/>
              <w:ind w:left="295" w:right="312"/>
              <w:jc w:val="left"/>
              <w:rPr>
                <w:rFonts w:ascii="Arial" w:hAnsi="Arial" w:cs="Arial"/>
                <w:sz w:val="20"/>
              </w:rPr>
            </w:pPr>
            <w:r w:rsidRPr="003A2F67">
              <w:rPr>
                <w:rFonts w:ascii="Arial" w:hAnsi="Arial" w:cs="Arial"/>
                <w:sz w:val="20"/>
              </w:rPr>
              <w:t>26</w:t>
            </w:r>
          </w:p>
        </w:tc>
        <w:tc>
          <w:tcPr>
            <w:tcW w:w="851" w:type="dxa"/>
            <w:vAlign w:val="center"/>
          </w:tcPr>
          <w:p w:rsidR="00145529" w:rsidRPr="003A2F67" w:rsidRDefault="00145529" w:rsidP="004E3E92">
            <w:pPr>
              <w:pStyle w:val="TableParagraph"/>
              <w:ind w:left="225" w:right="217"/>
              <w:jc w:val="left"/>
              <w:rPr>
                <w:rFonts w:ascii="Arial" w:hAnsi="Arial" w:cs="Arial"/>
                <w:sz w:val="20"/>
              </w:rPr>
            </w:pPr>
            <w:r w:rsidRPr="003A2F67">
              <w:rPr>
                <w:rFonts w:ascii="Arial" w:hAnsi="Arial" w:cs="Arial"/>
                <w:sz w:val="20"/>
              </w:rPr>
              <w:t>32</w:t>
            </w:r>
          </w:p>
        </w:tc>
        <w:tc>
          <w:tcPr>
            <w:tcW w:w="992" w:type="dxa"/>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18</w:t>
            </w:r>
          </w:p>
        </w:tc>
        <w:tc>
          <w:tcPr>
            <w:tcW w:w="283" w:type="dxa"/>
            <w:vAlign w:val="center"/>
          </w:tcPr>
          <w:p w:rsidR="00145529" w:rsidRPr="003A2F67" w:rsidRDefault="00145529" w:rsidP="004E3E92">
            <w:pPr>
              <w:pStyle w:val="TableParagraph"/>
              <w:ind w:right="17"/>
              <w:jc w:val="left"/>
              <w:rPr>
                <w:rFonts w:ascii="Arial" w:hAnsi="Arial" w:cs="Arial"/>
                <w:sz w:val="20"/>
              </w:rPr>
            </w:pPr>
            <w:r w:rsidRPr="003A2F67">
              <w:rPr>
                <w:rFonts w:ascii="Arial" w:hAnsi="Arial" w:cs="Arial"/>
                <w:w w:val="99"/>
                <w:sz w:val="20"/>
              </w:rPr>
              <w:t>2</w:t>
            </w:r>
          </w:p>
        </w:tc>
        <w:tc>
          <w:tcPr>
            <w:tcW w:w="993" w:type="dxa"/>
            <w:vAlign w:val="center"/>
          </w:tcPr>
          <w:p w:rsidR="00145529" w:rsidRPr="003A2F67" w:rsidRDefault="00145529" w:rsidP="004E3E92">
            <w:pPr>
              <w:pStyle w:val="TableParagraph"/>
              <w:ind w:left="480"/>
              <w:jc w:val="left"/>
              <w:rPr>
                <w:rFonts w:ascii="Arial" w:hAnsi="Arial" w:cs="Arial"/>
                <w:sz w:val="20"/>
              </w:rPr>
            </w:pPr>
            <w:r w:rsidRPr="003A2F67">
              <w:rPr>
                <w:rFonts w:ascii="Arial" w:hAnsi="Arial" w:cs="Arial"/>
                <w:w w:val="99"/>
                <w:sz w:val="20"/>
              </w:rPr>
              <w:t>8</w:t>
            </w:r>
          </w:p>
        </w:tc>
        <w:tc>
          <w:tcPr>
            <w:tcW w:w="850" w:type="dxa"/>
            <w:vAlign w:val="center"/>
          </w:tcPr>
          <w:p w:rsidR="00145529" w:rsidRPr="003A2F67" w:rsidRDefault="00145529" w:rsidP="004E3E92">
            <w:pPr>
              <w:pStyle w:val="TableParagraph"/>
              <w:ind w:left="225" w:right="167"/>
              <w:jc w:val="left"/>
              <w:rPr>
                <w:rFonts w:ascii="Arial" w:hAnsi="Arial" w:cs="Arial"/>
                <w:sz w:val="20"/>
              </w:rPr>
            </w:pPr>
            <w:r w:rsidRPr="003A2F67">
              <w:rPr>
                <w:rFonts w:ascii="Arial" w:hAnsi="Arial" w:cs="Arial"/>
                <w:sz w:val="20"/>
              </w:rPr>
              <w:t>86</w:t>
            </w:r>
          </w:p>
        </w:tc>
        <w:tc>
          <w:tcPr>
            <w:tcW w:w="1134" w:type="dxa"/>
            <w:vAlign w:val="center"/>
          </w:tcPr>
          <w:p w:rsidR="00145529" w:rsidRPr="003A2F67" w:rsidRDefault="00145529" w:rsidP="004E3E92">
            <w:pPr>
              <w:pStyle w:val="TableParagraph"/>
              <w:spacing w:line="227" w:lineRule="exact"/>
              <w:ind w:left="367"/>
              <w:jc w:val="left"/>
              <w:rPr>
                <w:rFonts w:ascii="Arial" w:hAnsi="Arial" w:cs="Arial"/>
                <w:b/>
                <w:sz w:val="20"/>
              </w:rPr>
            </w:pPr>
            <w:r w:rsidRPr="003A2F67">
              <w:rPr>
                <w:rFonts w:ascii="Arial" w:hAnsi="Arial" w:cs="Arial"/>
                <w:b/>
                <w:sz w:val="20"/>
              </w:rPr>
              <w:t>318</w:t>
            </w:r>
          </w:p>
        </w:tc>
      </w:tr>
      <w:tr w:rsidR="00145529" w:rsidRPr="003A2F67" w:rsidTr="004E3E92">
        <w:trPr>
          <w:trHeight w:val="343"/>
        </w:trPr>
        <w:tc>
          <w:tcPr>
            <w:tcW w:w="872"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i/>
                <w:sz w:val="20"/>
              </w:rPr>
            </w:pPr>
            <w:r w:rsidRPr="003A2F67">
              <w:rPr>
                <w:rFonts w:ascii="Arial" w:hAnsi="Arial" w:cs="Arial"/>
                <w:i/>
                <w:sz w:val="20"/>
              </w:rPr>
              <w:t>SCH</w:t>
            </w:r>
          </w:p>
        </w:tc>
        <w:tc>
          <w:tcPr>
            <w:tcW w:w="992" w:type="dxa"/>
            <w:tcBorders>
              <w:left w:val="single" w:sz="4" w:space="0" w:color="7E7E7E"/>
            </w:tcBorders>
            <w:shd w:val="clear" w:color="auto" w:fill="F1F1F1"/>
            <w:vAlign w:val="center"/>
          </w:tcPr>
          <w:p w:rsidR="00145529" w:rsidRPr="003A2F67" w:rsidRDefault="00145529" w:rsidP="004E3E92">
            <w:pPr>
              <w:pStyle w:val="TableParagraph"/>
              <w:ind w:left="257" w:right="283"/>
              <w:jc w:val="left"/>
              <w:rPr>
                <w:rFonts w:ascii="Arial" w:hAnsi="Arial" w:cs="Arial"/>
                <w:sz w:val="20"/>
              </w:rPr>
            </w:pPr>
            <w:r w:rsidRPr="003A2F67">
              <w:rPr>
                <w:rFonts w:ascii="Arial" w:hAnsi="Arial" w:cs="Arial"/>
                <w:sz w:val="20"/>
              </w:rPr>
              <w:t>189</w:t>
            </w:r>
          </w:p>
        </w:tc>
        <w:tc>
          <w:tcPr>
            <w:tcW w:w="992" w:type="dxa"/>
            <w:shd w:val="clear" w:color="auto" w:fill="F1F1F1"/>
            <w:vAlign w:val="center"/>
          </w:tcPr>
          <w:p w:rsidR="00145529" w:rsidRPr="003A2F67" w:rsidRDefault="00145529" w:rsidP="004E3E92">
            <w:pPr>
              <w:pStyle w:val="TableParagraph"/>
              <w:ind w:left="295" w:right="312"/>
              <w:jc w:val="left"/>
              <w:rPr>
                <w:rFonts w:ascii="Arial" w:hAnsi="Arial" w:cs="Arial"/>
                <w:sz w:val="20"/>
              </w:rPr>
            </w:pPr>
            <w:r w:rsidRPr="003A2F67">
              <w:rPr>
                <w:rFonts w:ascii="Arial" w:hAnsi="Arial" w:cs="Arial"/>
                <w:sz w:val="20"/>
              </w:rPr>
              <w:t>32</w:t>
            </w:r>
          </w:p>
        </w:tc>
        <w:tc>
          <w:tcPr>
            <w:tcW w:w="851" w:type="dxa"/>
            <w:shd w:val="clear" w:color="auto" w:fill="F1F1F1"/>
            <w:vAlign w:val="center"/>
          </w:tcPr>
          <w:p w:rsidR="00145529" w:rsidRPr="003A2F67" w:rsidRDefault="00145529" w:rsidP="004E3E92">
            <w:pPr>
              <w:pStyle w:val="TableParagraph"/>
              <w:ind w:left="225" w:right="217"/>
              <w:jc w:val="left"/>
              <w:rPr>
                <w:rFonts w:ascii="Arial" w:hAnsi="Arial" w:cs="Arial"/>
                <w:sz w:val="20"/>
              </w:rPr>
            </w:pPr>
            <w:r w:rsidRPr="003A2F67">
              <w:rPr>
                <w:rFonts w:ascii="Arial" w:hAnsi="Arial" w:cs="Arial"/>
                <w:sz w:val="20"/>
              </w:rPr>
              <w:t>25</w:t>
            </w:r>
          </w:p>
        </w:tc>
        <w:tc>
          <w:tcPr>
            <w:tcW w:w="992" w:type="dxa"/>
            <w:shd w:val="clear" w:color="auto" w:fill="F1F1F1"/>
            <w:vAlign w:val="center"/>
          </w:tcPr>
          <w:p w:rsidR="00145529" w:rsidRPr="003A2F67" w:rsidRDefault="00145529" w:rsidP="004E3E92">
            <w:pPr>
              <w:pStyle w:val="TableParagraph"/>
              <w:spacing w:line="229" w:lineRule="exact"/>
              <w:ind w:left="225" w:right="206"/>
              <w:jc w:val="left"/>
              <w:rPr>
                <w:rFonts w:ascii="Arial" w:hAnsi="Arial" w:cs="Arial"/>
                <w:sz w:val="20"/>
              </w:rPr>
            </w:pPr>
            <w:r w:rsidRPr="003A2F67">
              <w:rPr>
                <w:rFonts w:ascii="Arial" w:hAnsi="Arial" w:cs="Arial"/>
                <w:sz w:val="20"/>
              </w:rPr>
              <w:t>16</w:t>
            </w:r>
          </w:p>
        </w:tc>
        <w:tc>
          <w:tcPr>
            <w:tcW w:w="283" w:type="dxa"/>
            <w:shd w:val="clear" w:color="auto" w:fill="F1F1F1"/>
            <w:vAlign w:val="center"/>
          </w:tcPr>
          <w:p w:rsidR="00145529" w:rsidRPr="003A2F67" w:rsidRDefault="00145529" w:rsidP="004E3E92">
            <w:pPr>
              <w:pStyle w:val="TableParagraph"/>
              <w:ind w:right="17"/>
              <w:jc w:val="left"/>
              <w:rPr>
                <w:rFonts w:ascii="Arial" w:hAnsi="Arial" w:cs="Arial"/>
                <w:sz w:val="20"/>
              </w:rPr>
            </w:pPr>
            <w:r w:rsidRPr="003A2F67">
              <w:rPr>
                <w:rFonts w:ascii="Arial" w:hAnsi="Arial" w:cs="Arial"/>
                <w:w w:val="99"/>
                <w:sz w:val="20"/>
              </w:rPr>
              <w:t>1</w:t>
            </w:r>
          </w:p>
        </w:tc>
        <w:tc>
          <w:tcPr>
            <w:tcW w:w="993" w:type="dxa"/>
            <w:shd w:val="clear" w:color="auto" w:fill="F1F1F1"/>
            <w:vAlign w:val="center"/>
          </w:tcPr>
          <w:p w:rsidR="00145529" w:rsidRPr="003A2F67" w:rsidRDefault="00145529" w:rsidP="004E3E92">
            <w:pPr>
              <w:pStyle w:val="TableParagraph"/>
              <w:ind w:left="422"/>
              <w:jc w:val="left"/>
              <w:rPr>
                <w:rFonts w:ascii="Arial" w:hAnsi="Arial" w:cs="Arial"/>
                <w:sz w:val="20"/>
              </w:rPr>
            </w:pPr>
            <w:r w:rsidRPr="003A2F67">
              <w:rPr>
                <w:rFonts w:ascii="Arial" w:hAnsi="Arial" w:cs="Arial"/>
                <w:sz w:val="20"/>
              </w:rPr>
              <w:t>10</w:t>
            </w:r>
          </w:p>
        </w:tc>
        <w:tc>
          <w:tcPr>
            <w:tcW w:w="850" w:type="dxa"/>
            <w:shd w:val="clear" w:color="auto" w:fill="F1F1F1"/>
            <w:vAlign w:val="center"/>
          </w:tcPr>
          <w:p w:rsidR="00145529" w:rsidRPr="003A2F67" w:rsidRDefault="00145529" w:rsidP="004E3E92">
            <w:pPr>
              <w:pStyle w:val="TableParagraph"/>
              <w:ind w:left="225" w:right="167"/>
              <w:jc w:val="left"/>
              <w:rPr>
                <w:rFonts w:ascii="Arial" w:hAnsi="Arial" w:cs="Arial"/>
                <w:sz w:val="20"/>
              </w:rPr>
            </w:pPr>
            <w:r w:rsidRPr="003A2F67">
              <w:rPr>
                <w:rFonts w:ascii="Arial" w:hAnsi="Arial" w:cs="Arial"/>
                <w:sz w:val="20"/>
              </w:rPr>
              <w:t>90</w:t>
            </w:r>
          </w:p>
        </w:tc>
        <w:tc>
          <w:tcPr>
            <w:tcW w:w="1134" w:type="dxa"/>
            <w:shd w:val="clear" w:color="auto" w:fill="F1F1F1"/>
            <w:vAlign w:val="center"/>
          </w:tcPr>
          <w:p w:rsidR="00145529" w:rsidRPr="003A2F67" w:rsidRDefault="00145529" w:rsidP="004E3E92">
            <w:pPr>
              <w:pStyle w:val="TableParagraph"/>
              <w:spacing w:line="227" w:lineRule="exact"/>
              <w:ind w:left="367"/>
              <w:jc w:val="left"/>
              <w:rPr>
                <w:rFonts w:ascii="Arial" w:hAnsi="Arial" w:cs="Arial"/>
                <w:b/>
                <w:sz w:val="20"/>
              </w:rPr>
            </w:pPr>
            <w:r w:rsidRPr="003A2F67">
              <w:rPr>
                <w:rFonts w:ascii="Arial" w:hAnsi="Arial" w:cs="Arial"/>
                <w:b/>
                <w:sz w:val="20"/>
              </w:rPr>
              <w:t>363</w:t>
            </w:r>
          </w:p>
        </w:tc>
      </w:tr>
      <w:tr w:rsidR="00145529" w:rsidRPr="003A2F67" w:rsidTr="004E3E92">
        <w:trPr>
          <w:trHeight w:val="345"/>
        </w:trPr>
        <w:tc>
          <w:tcPr>
            <w:tcW w:w="872" w:type="dxa"/>
            <w:tcBorders>
              <w:right w:val="single" w:sz="4" w:space="0" w:color="7E7E7E"/>
            </w:tcBorders>
          </w:tcPr>
          <w:p w:rsidR="00145529" w:rsidRPr="003A2F67" w:rsidRDefault="00145529" w:rsidP="004E3E92">
            <w:pPr>
              <w:pStyle w:val="TableParagraph"/>
              <w:ind w:left="112"/>
              <w:jc w:val="left"/>
              <w:rPr>
                <w:rFonts w:ascii="Arial" w:hAnsi="Arial" w:cs="Arial"/>
                <w:b/>
                <w:i/>
                <w:sz w:val="20"/>
              </w:rPr>
            </w:pPr>
            <w:r w:rsidRPr="003A2F67">
              <w:rPr>
                <w:rFonts w:ascii="Arial" w:hAnsi="Arial" w:cs="Arial"/>
                <w:b/>
                <w:i/>
                <w:sz w:val="20"/>
              </w:rPr>
              <w:t>insges.</w:t>
            </w:r>
          </w:p>
        </w:tc>
        <w:tc>
          <w:tcPr>
            <w:tcW w:w="992" w:type="dxa"/>
            <w:tcBorders>
              <w:left w:val="single" w:sz="4" w:space="0" w:color="7E7E7E"/>
            </w:tcBorders>
            <w:vAlign w:val="center"/>
          </w:tcPr>
          <w:p w:rsidR="00145529" w:rsidRPr="003A2F67" w:rsidRDefault="00145529" w:rsidP="004E3E92">
            <w:pPr>
              <w:pStyle w:val="TableParagraph"/>
              <w:spacing w:line="227" w:lineRule="exact"/>
              <w:ind w:left="257" w:right="283"/>
              <w:jc w:val="left"/>
              <w:rPr>
                <w:rFonts w:ascii="Arial" w:hAnsi="Arial" w:cs="Arial"/>
                <w:b/>
                <w:sz w:val="20"/>
              </w:rPr>
            </w:pPr>
            <w:r w:rsidRPr="003A2F67">
              <w:rPr>
                <w:rFonts w:ascii="Arial" w:hAnsi="Arial" w:cs="Arial"/>
                <w:b/>
                <w:sz w:val="20"/>
              </w:rPr>
              <w:t>1275</w:t>
            </w:r>
          </w:p>
        </w:tc>
        <w:tc>
          <w:tcPr>
            <w:tcW w:w="992" w:type="dxa"/>
            <w:vAlign w:val="center"/>
          </w:tcPr>
          <w:p w:rsidR="00145529" w:rsidRPr="003A2F67" w:rsidRDefault="00145529" w:rsidP="004E3E92">
            <w:pPr>
              <w:pStyle w:val="TableParagraph"/>
              <w:spacing w:line="227" w:lineRule="exact"/>
              <w:ind w:left="295" w:right="312"/>
              <w:jc w:val="left"/>
              <w:rPr>
                <w:rFonts w:ascii="Arial" w:hAnsi="Arial" w:cs="Arial"/>
                <w:b/>
                <w:sz w:val="20"/>
              </w:rPr>
            </w:pPr>
            <w:r w:rsidRPr="003A2F67">
              <w:rPr>
                <w:rFonts w:ascii="Arial" w:hAnsi="Arial" w:cs="Arial"/>
                <w:b/>
                <w:sz w:val="20"/>
              </w:rPr>
              <w:t>203</w:t>
            </w:r>
          </w:p>
        </w:tc>
        <w:tc>
          <w:tcPr>
            <w:tcW w:w="851" w:type="dxa"/>
            <w:vAlign w:val="center"/>
          </w:tcPr>
          <w:p w:rsidR="00145529" w:rsidRPr="003A2F67" w:rsidRDefault="00145529" w:rsidP="004E3E92">
            <w:pPr>
              <w:pStyle w:val="TableParagraph"/>
              <w:spacing w:line="227" w:lineRule="exact"/>
              <w:ind w:left="225" w:right="217"/>
              <w:jc w:val="left"/>
              <w:rPr>
                <w:rFonts w:ascii="Arial" w:hAnsi="Arial" w:cs="Arial"/>
                <w:b/>
                <w:sz w:val="20"/>
              </w:rPr>
            </w:pPr>
            <w:r w:rsidRPr="003A2F67">
              <w:rPr>
                <w:rFonts w:ascii="Arial" w:hAnsi="Arial" w:cs="Arial"/>
                <w:b/>
                <w:sz w:val="20"/>
              </w:rPr>
              <w:t>223</w:t>
            </w:r>
          </w:p>
        </w:tc>
        <w:tc>
          <w:tcPr>
            <w:tcW w:w="992" w:type="dxa"/>
            <w:vAlign w:val="center"/>
          </w:tcPr>
          <w:p w:rsidR="00145529" w:rsidRPr="003A2F67" w:rsidRDefault="00145529" w:rsidP="004E3E92">
            <w:pPr>
              <w:pStyle w:val="TableParagraph"/>
              <w:spacing w:line="227" w:lineRule="exact"/>
              <w:ind w:left="257" w:right="283"/>
              <w:jc w:val="left"/>
              <w:rPr>
                <w:rFonts w:ascii="Arial" w:hAnsi="Arial" w:cs="Arial"/>
                <w:b/>
                <w:sz w:val="20"/>
              </w:rPr>
            </w:pPr>
            <w:r w:rsidRPr="003A2F67">
              <w:rPr>
                <w:rFonts w:ascii="Arial" w:hAnsi="Arial" w:cs="Arial"/>
                <w:b/>
                <w:sz w:val="20"/>
              </w:rPr>
              <w:t>133</w:t>
            </w:r>
          </w:p>
        </w:tc>
        <w:tc>
          <w:tcPr>
            <w:tcW w:w="283" w:type="dxa"/>
            <w:vAlign w:val="center"/>
          </w:tcPr>
          <w:p w:rsidR="00145529" w:rsidRPr="003A2F67" w:rsidRDefault="00145529" w:rsidP="004E3E92">
            <w:pPr>
              <w:pStyle w:val="TableParagraph"/>
              <w:spacing w:line="227" w:lineRule="exact"/>
              <w:ind w:right="17"/>
              <w:jc w:val="left"/>
              <w:rPr>
                <w:rFonts w:ascii="Arial" w:hAnsi="Arial" w:cs="Arial"/>
                <w:b/>
                <w:sz w:val="20"/>
              </w:rPr>
            </w:pPr>
            <w:r w:rsidRPr="003A2F67">
              <w:rPr>
                <w:rFonts w:ascii="Arial" w:hAnsi="Arial" w:cs="Arial"/>
                <w:b/>
                <w:sz w:val="20"/>
              </w:rPr>
              <w:t>9</w:t>
            </w:r>
          </w:p>
        </w:tc>
        <w:tc>
          <w:tcPr>
            <w:tcW w:w="993" w:type="dxa"/>
            <w:vAlign w:val="center"/>
          </w:tcPr>
          <w:p w:rsidR="00145529" w:rsidRPr="003A2F67" w:rsidRDefault="00145529" w:rsidP="004E3E92">
            <w:pPr>
              <w:pStyle w:val="TableParagraph"/>
              <w:spacing w:line="227" w:lineRule="exact"/>
              <w:ind w:left="257" w:right="283"/>
              <w:jc w:val="left"/>
              <w:rPr>
                <w:rFonts w:ascii="Arial" w:hAnsi="Arial" w:cs="Arial"/>
                <w:b/>
                <w:sz w:val="20"/>
              </w:rPr>
            </w:pPr>
            <w:r w:rsidRPr="003A2F67">
              <w:rPr>
                <w:rFonts w:ascii="Arial" w:hAnsi="Arial" w:cs="Arial"/>
                <w:b/>
                <w:sz w:val="20"/>
              </w:rPr>
              <w:t>84</w:t>
            </w:r>
          </w:p>
        </w:tc>
        <w:tc>
          <w:tcPr>
            <w:tcW w:w="850" w:type="dxa"/>
            <w:vAlign w:val="center"/>
          </w:tcPr>
          <w:p w:rsidR="00145529" w:rsidRPr="003A2F67" w:rsidRDefault="00145529" w:rsidP="004E3E92">
            <w:pPr>
              <w:pStyle w:val="TableParagraph"/>
              <w:spacing w:line="227" w:lineRule="exact"/>
              <w:ind w:left="225" w:right="167"/>
              <w:jc w:val="left"/>
              <w:rPr>
                <w:rFonts w:ascii="Arial" w:hAnsi="Arial" w:cs="Arial"/>
                <w:b/>
                <w:sz w:val="20"/>
              </w:rPr>
            </w:pPr>
            <w:r w:rsidRPr="003A2F67">
              <w:rPr>
                <w:rFonts w:ascii="Arial" w:hAnsi="Arial" w:cs="Arial"/>
                <w:b/>
                <w:sz w:val="20"/>
              </w:rPr>
              <w:t>731</w:t>
            </w:r>
          </w:p>
        </w:tc>
        <w:tc>
          <w:tcPr>
            <w:tcW w:w="1134" w:type="dxa"/>
            <w:vAlign w:val="center"/>
          </w:tcPr>
          <w:p w:rsidR="00145529" w:rsidRPr="003A2F67" w:rsidRDefault="00145529" w:rsidP="004E3E92">
            <w:pPr>
              <w:pStyle w:val="TableParagraph"/>
              <w:spacing w:line="227" w:lineRule="exact"/>
              <w:ind w:left="312"/>
              <w:jc w:val="left"/>
              <w:rPr>
                <w:rFonts w:ascii="Arial" w:hAnsi="Arial" w:cs="Arial"/>
                <w:b/>
                <w:sz w:val="20"/>
              </w:rPr>
            </w:pPr>
            <w:r w:rsidRPr="003A2F67">
              <w:rPr>
                <w:rFonts w:ascii="Arial" w:hAnsi="Arial" w:cs="Arial"/>
                <w:b/>
                <w:sz w:val="20"/>
              </w:rPr>
              <w:t>2658</w:t>
            </w:r>
          </w:p>
        </w:tc>
      </w:tr>
    </w:tbl>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Default="00145529" w:rsidP="00145529">
      <w:pPr>
        <w:pStyle w:val="Textkrper"/>
        <w:rPr>
          <w:b/>
          <w:i/>
          <w:sz w:val="22"/>
        </w:rPr>
      </w:pPr>
    </w:p>
    <w:p w:rsidR="00145529" w:rsidRPr="003A2F67" w:rsidRDefault="00145529" w:rsidP="00145529">
      <w:pPr>
        <w:pStyle w:val="Textkrper"/>
        <w:spacing w:before="92"/>
        <w:ind w:left="118"/>
        <w:rPr>
          <w:rFonts w:ascii="Arial" w:hAnsi="Arial" w:cs="Arial"/>
          <w:sz w:val="22"/>
        </w:rPr>
      </w:pPr>
      <w:r w:rsidRPr="003A2F67">
        <w:rPr>
          <w:rFonts w:ascii="Arial" w:hAnsi="Arial" w:cs="Arial"/>
          <w:b/>
          <w:sz w:val="22"/>
        </w:rPr>
        <w:t xml:space="preserve">Tabelle 3b: </w:t>
      </w:r>
      <w:r w:rsidRPr="003A2F67">
        <w:rPr>
          <w:rFonts w:ascii="Arial" w:hAnsi="Arial" w:cs="Arial"/>
          <w:sz w:val="22"/>
        </w:rPr>
        <w:t>Prozentualer Anteil der Schulen mit flächendeckendem WLAN (Daten des StMUK – in Prozent) und aktueller Breitbandanbindung von mindestens 30 Mbit/s (Daten des StMFH – in Prozent)</w:t>
      </w:r>
    </w:p>
    <w:p w:rsidR="00145529" w:rsidRDefault="00145529" w:rsidP="00145529">
      <w:pPr>
        <w:tabs>
          <w:tab w:val="left" w:pos="1232"/>
          <w:tab w:val="left" w:pos="2240"/>
          <w:tab w:val="left" w:pos="3248"/>
          <w:tab w:val="left" w:pos="4256"/>
          <w:tab w:val="left" w:pos="5264"/>
          <w:tab w:val="left" w:pos="6273"/>
          <w:tab w:val="left" w:pos="7281"/>
          <w:tab w:val="left" w:pos="8289"/>
        </w:tabs>
        <w:ind w:left="226"/>
        <w:rPr>
          <w:i/>
        </w:rPr>
      </w:pPr>
    </w:p>
    <w:p w:rsidR="00145529" w:rsidRPr="008461F7" w:rsidRDefault="00145529" w:rsidP="00145529">
      <w:pPr>
        <w:tabs>
          <w:tab w:val="left" w:pos="340"/>
        </w:tabs>
        <w:spacing w:before="138"/>
        <w:ind w:left="227"/>
      </w:pPr>
      <w:r w:rsidRPr="008461F7">
        <w:t>Reg.bez</w:t>
      </w:r>
      <w:r w:rsidRPr="008461F7">
        <w:tab/>
      </w:r>
      <w:r>
        <w:tab/>
      </w:r>
      <w:r w:rsidRPr="008461F7">
        <w:t>GMS</w:t>
      </w:r>
      <w:r w:rsidRPr="008461F7">
        <w:tab/>
      </w:r>
      <w:r>
        <w:tab/>
      </w:r>
      <w:r w:rsidRPr="008461F7">
        <w:t>RS</w:t>
      </w:r>
      <w:r w:rsidRPr="008461F7">
        <w:tab/>
      </w:r>
      <w:r>
        <w:tab/>
      </w:r>
      <w:r w:rsidRPr="008461F7">
        <w:t>GY</w:t>
      </w:r>
      <w:r>
        <w:tab/>
      </w:r>
      <w:r w:rsidRPr="008461F7">
        <w:tab/>
        <w:t>FöS</w:t>
      </w:r>
      <w:r w:rsidRPr="008461F7">
        <w:tab/>
      </w:r>
      <w:r>
        <w:tab/>
      </w:r>
      <w:r>
        <w:tab/>
      </w:r>
      <w:r w:rsidRPr="008461F7">
        <w:t>Sonst.</w:t>
      </w:r>
      <w:r w:rsidRPr="008461F7">
        <w:tab/>
      </w:r>
      <w:r>
        <w:tab/>
      </w:r>
      <w:r w:rsidRPr="008461F7">
        <w:t>BS</w:t>
      </w:r>
      <w:r w:rsidRPr="008461F7">
        <w:tab/>
      </w:r>
      <w:r>
        <w:tab/>
      </w:r>
      <w:r w:rsidRPr="008461F7">
        <w:t>Berufl.</w:t>
      </w:r>
      <w:r w:rsidRPr="008461F7">
        <w:tab/>
      </w:r>
      <w:r>
        <w:tab/>
      </w:r>
      <w:r w:rsidRPr="008461F7">
        <w:rPr>
          <w:b/>
        </w:rPr>
        <w:t>zus.</w:t>
      </w:r>
      <w:r w:rsidRPr="008461F7">
        <w:rPr>
          <w:b/>
        </w:rPr>
        <w:br/>
      </w:r>
    </w:p>
    <w:p w:rsidR="00145529" w:rsidRDefault="00145529" w:rsidP="00145529">
      <w:pPr>
        <w:pStyle w:val="Textkrper"/>
        <w:spacing w:before="1"/>
        <w:rPr>
          <w:b/>
          <w:i/>
          <w:sz w:val="10"/>
        </w:rPr>
      </w:pPr>
    </w:p>
    <w:tbl>
      <w:tblPr>
        <w:tblStyle w:val="TableNormal"/>
        <w:tblW w:w="7676" w:type="dxa"/>
        <w:tblInd w:w="121" w:type="dxa"/>
        <w:tblLayout w:type="fixed"/>
        <w:tblLook w:val="01E0" w:firstRow="1" w:lastRow="1" w:firstColumn="1" w:lastColumn="1" w:noHBand="0" w:noVBand="0"/>
      </w:tblPr>
      <w:tblGrid>
        <w:gridCol w:w="1008"/>
        <w:gridCol w:w="856"/>
        <w:gridCol w:w="850"/>
        <w:gridCol w:w="567"/>
        <w:gridCol w:w="709"/>
        <w:gridCol w:w="992"/>
        <w:gridCol w:w="851"/>
        <w:gridCol w:w="850"/>
        <w:gridCol w:w="993"/>
      </w:tblGrid>
      <w:tr w:rsidR="00145529" w:rsidRPr="003A2F67" w:rsidTr="002764E4">
        <w:trPr>
          <w:trHeight w:val="345"/>
        </w:trPr>
        <w:tc>
          <w:tcPr>
            <w:tcW w:w="1008" w:type="dxa"/>
            <w:tcBorders>
              <w:top w:val="single" w:sz="4" w:space="0" w:color="7E7E7E"/>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OBB</w:t>
            </w:r>
          </w:p>
        </w:tc>
        <w:tc>
          <w:tcPr>
            <w:tcW w:w="856" w:type="dxa"/>
            <w:tcBorders>
              <w:top w:val="single" w:sz="4" w:space="0" w:color="7E7E7E"/>
              <w:left w:val="single" w:sz="4" w:space="0" w:color="7E7E7E"/>
            </w:tcBorders>
            <w:shd w:val="clear" w:color="auto" w:fill="F1F1F1"/>
          </w:tcPr>
          <w:p w:rsidR="00145529" w:rsidRPr="003A2F67" w:rsidRDefault="00145529" w:rsidP="004E3E92">
            <w:pPr>
              <w:pStyle w:val="TableParagraph"/>
              <w:spacing w:line="229" w:lineRule="exact"/>
              <w:ind w:left="279" w:right="279"/>
              <w:rPr>
                <w:rFonts w:ascii="Arial" w:hAnsi="Arial" w:cs="Arial"/>
                <w:sz w:val="20"/>
              </w:rPr>
            </w:pPr>
            <w:r w:rsidRPr="003A2F67">
              <w:rPr>
                <w:rFonts w:ascii="Arial" w:hAnsi="Arial" w:cs="Arial"/>
                <w:sz w:val="20"/>
              </w:rPr>
              <w:t xml:space="preserve">35 </w:t>
            </w:r>
          </w:p>
        </w:tc>
        <w:tc>
          <w:tcPr>
            <w:tcW w:w="850" w:type="dxa"/>
            <w:tcBorders>
              <w:top w:val="single" w:sz="4" w:space="0" w:color="7E7E7E"/>
            </w:tcBorders>
            <w:shd w:val="clear" w:color="auto" w:fill="F1F1F1"/>
          </w:tcPr>
          <w:p w:rsidR="00145529" w:rsidRPr="003A2F67" w:rsidRDefault="00145529" w:rsidP="004E3E92">
            <w:pPr>
              <w:pStyle w:val="TableParagraph"/>
              <w:spacing w:line="229" w:lineRule="exact"/>
              <w:ind w:right="299"/>
              <w:rPr>
                <w:rFonts w:ascii="Arial" w:hAnsi="Arial" w:cs="Arial"/>
                <w:sz w:val="20"/>
              </w:rPr>
            </w:pPr>
            <w:r w:rsidRPr="003A2F67">
              <w:rPr>
                <w:rFonts w:ascii="Arial" w:hAnsi="Arial" w:cs="Arial"/>
                <w:w w:val="95"/>
                <w:sz w:val="20"/>
              </w:rPr>
              <w:t xml:space="preserve">49 </w:t>
            </w:r>
          </w:p>
        </w:tc>
        <w:tc>
          <w:tcPr>
            <w:tcW w:w="567" w:type="dxa"/>
            <w:tcBorders>
              <w:top w:val="single" w:sz="4" w:space="0" w:color="7E7E7E"/>
            </w:tcBorders>
            <w:shd w:val="clear" w:color="auto" w:fill="F1F1F1"/>
          </w:tcPr>
          <w:p w:rsidR="00145529" w:rsidRPr="003A2F67" w:rsidRDefault="00145529" w:rsidP="004E3E92">
            <w:pPr>
              <w:pStyle w:val="TableParagraph"/>
              <w:spacing w:line="229" w:lineRule="exact"/>
              <w:ind w:right="219"/>
              <w:rPr>
                <w:rFonts w:ascii="Arial" w:hAnsi="Arial" w:cs="Arial"/>
                <w:sz w:val="20"/>
              </w:rPr>
            </w:pPr>
            <w:r w:rsidRPr="003A2F67">
              <w:rPr>
                <w:rFonts w:ascii="Arial" w:hAnsi="Arial" w:cs="Arial"/>
                <w:sz w:val="20"/>
              </w:rPr>
              <w:t xml:space="preserve">52 </w:t>
            </w:r>
          </w:p>
        </w:tc>
        <w:tc>
          <w:tcPr>
            <w:tcW w:w="709" w:type="dxa"/>
            <w:tcBorders>
              <w:top w:val="single" w:sz="4" w:space="0" w:color="7E7E7E"/>
            </w:tcBorders>
            <w:shd w:val="clear" w:color="auto" w:fill="F1F1F1"/>
          </w:tcPr>
          <w:p w:rsidR="00145529" w:rsidRPr="003A2F67" w:rsidRDefault="00145529" w:rsidP="004E3E92">
            <w:pPr>
              <w:pStyle w:val="TableParagraph"/>
              <w:spacing w:line="229" w:lineRule="exact"/>
              <w:ind w:right="219"/>
              <w:rPr>
                <w:rFonts w:ascii="Arial" w:hAnsi="Arial" w:cs="Arial"/>
                <w:sz w:val="20"/>
              </w:rPr>
            </w:pPr>
            <w:r w:rsidRPr="003A2F67">
              <w:rPr>
                <w:rFonts w:ascii="Arial" w:hAnsi="Arial" w:cs="Arial"/>
                <w:sz w:val="20"/>
              </w:rPr>
              <w:t xml:space="preserve">40 </w:t>
            </w:r>
          </w:p>
        </w:tc>
        <w:tc>
          <w:tcPr>
            <w:tcW w:w="992" w:type="dxa"/>
            <w:tcBorders>
              <w:top w:val="single" w:sz="4" w:space="0" w:color="7E7E7E"/>
            </w:tcBorders>
            <w:shd w:val="clear" w:color="auto" w:fill="F1F1F1"/>
          </w:tcPr>
          <w:p w:rsidR="00145529" w:rsidRPr="003A2F67" w:rsidRDefault="00145529" w:rsidP="004E3E92">
            <w:pPr>
              <w:pStyle w:val="TableParagraph"/>
              <w:spacing w:line="229" w:lineRule="exact"/>
              <w:ind w:right="219"/>
              <w:rPr>
                <w:rFonts w:ascii="Arial" w:hAnsi="Arial" w:cs="Arial"/>
                <w:sz w:val="20"/>
              </w:rPr>
            </w:pPr>
            <w:r w:rsidRPr="003A2F67">
              <w:rPr>
                <w:rFonts w:ascii="Arial" w:hAnsi="Arial" w:cs="Arial"/>
                <w:sz w:val="20"/>
              </w:rPr>
              <w:t xml:space="preserve">11 </w:t>
            </w:r>
          </w:p>
        </w:tc>
        <w:tc>
          <w:tcPr>
            <w:tcW w:w="851" w:type="dxa"/>
            <w:tcBorders>
              <w:top w:val="single" w:sz="4" w:space="0" w:color="7E7E7E"/>
            </w:tcBorders>
            <w:shd w:val="clear" w:color="auto" w:fill="F1F1F1"/>
          </w:tcPr>
          <w:p w:rsidR="00145529" w:rsidRPr="003A2F67" w:rsidRDefault="00145529" w:rsidP="004E3E92">
            <w:pPr>
              <w:pStyle w:val="TableParagraph"/>
              <w:spacing w:line="229" w:lineRule="exact"/>
              <w:ind w:right="219"/>
              <w:rPr>
                <w:rFonts w:ascii="Arial" w:hAnsi="Arial" w:cs="Arial"/>
                <w:sz w:val="20"/>
              </w:rPr>
            </w:pPr>
            <w:r w:rsidRPr="003A2F67">
              <w:rPr>
                <w:rFonts w:ascii="Arial" w:hAnsi="Arial" w:cs="Arial"/>
                <w:sz w:val="20"/>
              </w:rPr>
              <w:t xml:space="preserve">49 </w:t>
            </w:r>
          </w:p>
        </w:tc>
        <w:tc>
          <w:tcPr>
            <w:tcW w:w="850" w:type="dxa"/>
            <w:tcBorders>
              <w:top w:val="single" w:sz="4" w:space="0" w:color="7E7E7E"/>
            </w:tcBorders>
            <w:shd w:val="clear" w:color="auto" w:fill="F1F1F1"/>
          </w:tcPr>
          <w:p w:rsidR="00145529" w:rsidRPr="003A2F67" w:rsidRDefault="00145529" w:rsidP="004E3E92">
            <w:pPr>
              <w:pStyle w:val="TableParagraph"/>
              <w:spacing w:line="229" w:lineRule="exact"/>
              <w:ind w:right="219"/>
              <w:rPr>
                <w:rFonts w:ascii="Arial" w:hAnsi="Arial" w:cs="Arial"/>
                <w:sz w:val="20"/>
              </w:rPr>
            </w:pPr>
            <w:r w:rsidRPr="003A2F67">
              <w:rPr>
                <w:rFonts w:ascii="Arial" w:hAnsi="Arial" w:cs="Arial"/>
                <w:sz w:val="20"/>
              </w:rPr>
              <w:t xml:space="preserve">55 </w:t>
            </w:r>
          </w:p>
        </w:tc>
        <w:tc>
          <w:tcPr>
            <w:tcW w:w="993" w:type="dxa"/>
            <w:tcBorders>
              <w:top w:val="single" w:sz="4" w:space="0" w:color="7E7E7E"/>
            </w:tcBorders>
            <w:shd w:val="clear" w:color="auto" w:fill="F1F1F1"/>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42 </w:t>
            </w:r>
          </w:p>
        </w:tc>
      </w:tr>
      <w:tr w:rsidR="00145529" w:rsidRPr="003A2F67" w:rsidTr="002764E4">
        <w:trPr>
          <w:trHeight w:val="346"/>
        </w:trPr>
        <w:tc>
          <w:tcPr>
            <w:tcW w:w="1008"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NDB</w:t>
            </w:r>
          </w:p>
        </w:tc>
        <w:tc>
          <w:tcPr>
            <w:tcW w:w="856" w:type="dxa"/>
            <w:tcBorders>
              <w:left w:val="single" w:sz="4" w:space="0" w:color="7E7E7E"/>
            </w:tcBorders>
          </w:tcPr>
          <w:p w:rsidR="00145529" w:rsidRPr="003A2F67" w:rsidRDefault="00145529" w:rsidP="004E3E92">
            <w:pPr>
              <w:pStyle w:val="TableParagraph"/>
              <w:ind w:left="279" w:right="279"/>
              <w:rPr>
                <w:rFonts w:ascii="Arial" w:hAnsi="Arial" w:cs="Arial"/>
                <w:sz w:val="20"/>
              </w:rPr>
            </w:pPr>
            <w:r w:rsidRPr="003A2F67">
              <w:rPr>
                <w:rFonts w:ascii="Arial" w:hAnsi="Arial" w:cs="Arial"/>
                <w:sz w:val="20"/>
              </w:rPr>
              <w:t xml:space="preserve">36 </w:t>
            </w:r>
          </w:p>
        </w:tc>
        <w:tc>
          <w:tcPr>
            <w:tcW w:w="850" w:type="dxa"/>
          </w:tcPr>
          <w:p w:rsidR="00145529" w:rsidRPr="003A2F67" w:rsidRDefault="00145529" w:rsidP="004E3E92">
            <w:pPr>
              <w:pStyle w:val="TableParagraph"/>
              <w:ind w:right="299"/>
              <w:rPr>
                <w:rFonts w:ascii="Arial" w:hAnsi="Arial" w:cs="Arial"/>
                <w:sz w:val="20"/>
              </w:rPr>
            </w:pPr>
            <w:r w:rsidRPr="003A2F67">
              <w:rPr>
                <w:rFonts w:ascii="Arial" w:hAnsi="Arial" w:cs="Arial"/>
                <w:w w:val="95"/>
                <w:sz w:val="20"/>
              </w:rPr>
              <w:t xml:space="preserve">68 </w:t>
            </w:r>
          </w:p>
        </w:tc>
        <w:tc>
          <w:tcPr>
            <w:tcW w:w="567"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62 </w:t>
            </w:r>
          </w:p>
        </w:tc>
        <w:tc>
          <w:tcPr>
            <w:tcW w:w="709"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33 </w:t>
            </w:r>
          </w:p>
        </w:tc>
        <w:tc>
          <w:tcPr>
            <w:tcW w:w="992" w:type="dxa"/>
          </w:tcPr>
          <w:p w:rsidR="00145529" w:rsidRPr="003A2F67" w:rsidRDefault="00145529" w:rsidP="004E3E92">
            <w:pPr>
              <w:pStyle w:val="TableParagraph"/>
              <w:ind w:left="13"/>
              <w:rPr>
                <w:rFonts w:ascii="Arial" w:hAnsi="Arial" w:cs="Arial"/>
                <w:sz w:val="20"/>
              </w:rPr>
            </w:pPr>
            <w:r w:rsidRPr="003A2F67">
              <w:rPr>
                <w:rFonts w:ascii="Arial" w:hAnsi="Arial" w:cs="Arial"/>
                <w:w w:val="99"/>
                <w:sz w:val="20"/>
              </w:rPr>
              <w:t>-</w:t>
            </w:r>
          </w:p>
        </w:tc>
        <w:tc>
          <w:tcPr>
            <w:tcW w:w="851"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44 </w:t>
            </w:r>
          </w:p>
        </w:tc>
        <w:tc>
          <w:tcPr>
            <w:tcW w:w="850"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51 </w:t>
            </w:r>
          </w:p>
        </w:tc>
        <w:tc>
          <w:tcPr>
            <w:tcW w:w="993" w:type="dxa"/>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43 </w:t>
            </w:r>
          </w:p>
        </w:tc>
      </w:tr>
      <w:tr w:rsidR="00145529" w:rsidRPr="003A2F67" w:rsidTr="002764E4">
        <w:trPr>
          <w:trHeight w:val="343"/>
        </w:trPr>
        <w:tc>
          <w:tcPr>
            <w:tcW w:w="1008"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OPF</w:t>
            </w:r>
          </w:p>
        </w:tc>
        <w:tc>
          <w:tcPr>
            <w:tcW w:w="856" w:type="dxa"/>
            <w:tcBorders>
              <w:left w:val="single" w:sz="4" w:space="0" w:color="7E7E7E"/>
            </w:tcBorders>
            <w:shd w:val="clear" w:color="auto" w:fill="F1F1F1"/>
          </w:tcPr>
          <w:p w:rsidR="00145529" w:rsidRPr="003A2F67" w:rsidRDefault="00145529" w:rsidP="004E3E92">
            <w:pPr>
              <w:pStyle w:val="TableParagraph"/>
              <w:spacing w:line="227" w:lineRule="exact"/>
              <w:ind w:left="279" w:right="279"/>
              <w:rPr>
                <w:rFonts w:ascii="Arial" w:hAnsi="Arial" w:cs="Arial"/>
                <w:sz w:val="20"/>
              </w:rPr>
            </w:pPr>
            <w:r w:rsidRPr="003A2F67">
              <w:rPr>
                <w:rFonts w:ascii="Arial" w:hAnsi="Arial" w:cs="Arial"/>
                <w:sz w:val="20"/>
              </w:rPr>
              <w:t xml:space="preserve">44 </w:t>
            </w:r>
          </w:p>
        </w:tc>
        <w:tc>
          <w:tcPr>
            <w:tcW w:w="850" w:type="dxa"/>
            <w:shd w:val="clear" w:color="auto" w:fill="F1F1F1"/>
          </w:tcPr>
          <w:p w:rsidR="00145529" w:rsidRPr="003A2F67" w:rsidRDefault="00145529" w:rsidP="004E3E92">
            <w:pPr>
              <w:pStyle w:val="TableParagraph"/>
              <w:spacing w:line="227" w:lineRule="exact"/>
              <w:ind w:right="299"/>
              <w:rPr>
                <w:rFonts w:ascii="Arial" w:hAnsi="Arial" w:cs="Arial"/>
                <w:sz w:val="20"/>
              </w:rPr>
            </w:pPr>
            <w:r w:rsidRPr="003A2F67">
              <w:rPr>
                <w:rFonts w:ascii="Arial" w:hAnsi="Arial" w:cs="Arial"/>
                <w:w w:val="95"/>
                <w:sz w:val="20"/>
              </w:rPr>
              <w:t xml:space="preserve">51 </w:t>
            </w:r>
          </w:p>
        </w:tc>
        <w:tc>
          <w:tcPr>
            <w:tcW w:w="567" w:type="dxa"/>
            <w:shd w:val="clear" w:color="auto" w:fill="F1F1F1"/>
          </w:tcPr>
          <w:p w:rsidR="00145529" w:rsidRPr="003A2F67" w:rsidRDefault="00145529" w:rsidP="004E3E92">
            <w:pPr>
              <w:pStyle w:val="TableParagraph"/>
              <w:spacing w:line="227" w:lineRule="exact"/>
              <w:ind w:right="219"/>
              <w:rPr>
                <w:rFonts w:ascii="Arial" w:hAnsi="Arial" w:cs="Arial"/>
                <w:sz w:val="20"/>
              </w:rPr>
            </w:pPr>
            <w:r w:rsidRPr="003A2F67">
              <w:rPr>
                <w:rFonts w:ascii="Arial" w:hAnsi="Arial" w:cs="Arial"/>
                <w:sz w:val="20"/>
              </w:rPr>
              <w:t xml:space="preserve">47 </w:t>
            </w:r>
          </w:p>
        </w:tc>
        <w:tc>
          <w:tcPr>
            <w:tcW w:w="709" w:type="dxa"/>
            <w:shd w:val="clear" w:color="auto" w:fill="F1F1F1"/>
          </w:tcPr>
          <w:p w:rsidR="00145529" w:rsidRPr="003A2F67" w:rsidRDefault="00145529" w:rsidP="004E3E92">
            <w:pPr>
              <w:pStyle w:val="TableParagraph"/>
              <w:spacing w:line="227" w:lineRule="exact"/>
              <w:ind w:right="219"/>
              <w:rPr>
                <w:rFonts w:ascii="Arial" w:hAnsi="Arial" w:cs="Arial"/>
                <w:sz w:val="20"/>
              </w:rPr>
            </w:pPr>
            <w:r w:rsidRPr="003A2F67">
              <w:rPr>
                <w:rFonts w:ascii="Arial" w:hAnsi="Arial" w:cs="Arial"/>
                <w:sz w:val="20"/>
              </w:rPr>
              <w:t xml:space="preserve">29 </w:t>
            </w:r>
          </w:p>
        </w:tc>
        <w:tc>
          <w:tcPr>
            <w:tcW w:w="992" w:type="dxa"/>
            <w:shd w:val="clear" w:color="auto" w:fill="F1F1F1"/>
          </w:tcPr>
          <w:p w:rsidR="00145529" w:rsidRPr="003A2F67" w:rsidRDefault="00145529" w:rsidP="004E3E92">
            <w:pPr>
              <w:pStyle w:val="TableParagraph"/>
              <w:spacing w:line="227" w:lineRule="exact"/>
              <w:ind w:left="13"/>
              <w:rPr>
                <w:rFonts w:ascii="Arial" w:hAnsi="Arial" w:cs="Arial"/>
                <w:sz w:val="20"/>
              </w:rPr>
            </w:pPr>
            <w:r w:rsidRPr="003A2F67">
              <w:rPr>
                <w:rFonts w:ascii="Arial" w:hAnsi="Arial" w:cs="Arial"/>
                <w:w w:val="99"/>
                <w:sz w:val="20"/>
              </w:rPr>
              <w:t>-</w:t>
            </w:r>
          </w:p>
        </w:tc>
        <w:tc>
          <w:tcPr>
            <w:tcW w:w="851" w:type="dxa"/>
            <w:shd w:val="clear" w:color="auto" w:fill="F1F1F1"/>
          </w:tcPr>
          <w:p w:rsidR="00145529" w:rsidRPr="003A2F67" w:rsidRDefault="00145529" w:rsidP="004E3E92">
            <w:pPr>
              <w:pStyle w:val="TableParagraph"/>
              <w:spacing w:line="227" w:lineRule="exact"/>
              <w:ind w:right="219"/>
              <w:rPr>
                <w:rFonts w:ascii="Arial" w:hAnsi="Arial" w:cs="Arial"/>
                <w:sz w:val="20"/>
              </w:rPr>
            </w:pPr>
            <w:r w:rsidRPr="003A2F67">
              <w:rPr>
                <w:rFonts w:ascii="Arial" w:hAnsi="Arial" w:cs="Arial"/>
                <w:sz w:val="20"/>
              </w:rPr>
              <w:t xml:space="preserve">58 </w:t>
            </w:r>
          </w:p>
        </w:tc>
        <w:tc>
          <w:tcPr>
            <w:tcW w:w="850" w:type="dxa"/>
            <w:shd w:val="clear" w:color="auto" w:fill="F1F1F1"/>
          </w:tcPr>
          <w:p w:rsidR="00145529" w:rsidRPr="003A2F67" w:rsidRDefault="00145529" w:rsidP="004E3E92">
            <w:pPr>
              <w:pStyle w:val="TableParagraph"/>
              <w:spacing w:line="227" w:lineRule="exact"/>
              <w:ind w:right="219"/>
              <w:rPr>
                <w:rFonts w:ascii="Arial" w:hAnsi="Arial" w:cs="Arial"/>
                <w:sz w:val="20"/>
              </w:rPr>
            </w:pPr>
            <w:r w:rsidRPr="003A2F67">
              <w:rPr>
                <w:rFonts w:ascii="Arial" w:hAnsi="Arial" w:cs="Arial"/>
                <w:sz w:val="20"/>
              </w:rPr>
              <w:t xml:space="preserve">57 </w:t>
            </w:r>
          </w:p>
        </w:tc>
        <w:tc>
          <w:tcPr>
            <w:tcW w:w="993" w:type="dxa"/>
            <w:shd w:val="clear" w:color="auto" w:fill="F1F1F1"/>
          </w:tcPr>
          <w:p w:rsidR="00145529" w:rsidRPr="003A2F67" w:rsidRDefault="00145529" w:rsidP="004E3E92">
            <w:pPr>
              <w:pStyle w:val="TableParagraph"/>
              <w:spacing w:line="225" w:lineRule="exact"/>
              <w:ind w:left="310"/>
              <w:jc w:val="left"/>
              <w:rPr>
                <w:rFonts w:ascii="Arial" w:hAnsi="Arial" w:cs="Arial"/>
                <w:b/>
                <w:sz w:val="20"/>
              </w:rPr>
            </w:pPr>
            <w:r w:rsidRPr="003A2F67">
              <w:rPr>
                <w:rFonts w:ascii="Arial" w:hAnsi="Arial" w:cs="Arial"/>
                <w:b/>
                <w:sz w:val="20"/>
              </w:rPr>
              <w:t xml:space="preserve">47 </w:t>
            </w:r>
          </w:p>
        </w:tc>
      </w:tr>
      <w:tr w:rsidR="00145529" w:rsidRPr="003A2F67" w:rsidTr="002764E4">
        <w:trPr>
          <w:trHeight w:val="345"/>
        </w:trPr>
        <w:tc>
          <w:tcPr>
            <w:tcW w:w="1008"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OFR</w:t>
            </w:r>
          </w:p>
        </w:tc>
        <w:tc>
          <w:tcPr>
            <w:tcW w:w="856" w:type="dxa"/>
            <w:tcBorders>
              <w:left w:val="single" w:sz="4" w:space="0" w:color="7E7E7E"/>
            </w:tcBorders>
          </w:tcPr>
          <w:p w:rsidR="00145529" w:rsidRPr="003A2F67" w:rsidRDefault="00145529" w:rsidP="004E3E92">
            <w:pPr>
              <w:pStyle w:val="TableParagraph"/>
              <w:ind w:left="279" w:right="279"/>
              <w:rPr>
                <w:rFonts w:ascii="Arial" w:hAnsi="Arial" w:cs="Arial"/>
                <w:sz w:val="20"/>
              </w:rPr>
            </w:pPr>
            <w:r w:rsidRPr="003A2F67">
              <w:rPr>
                <w:rFonts w:ascii="Arial" w:hAnsi="Arial" w:cs="Arial"/>
                <w:sz w:val="20"/>
              </w:rPr>
              <w:t xml:space="preserve">43 </w:t>
            </w:r>
          </w:p>
        </w:tc>
        <w:tc>
          <w:tcPr>
            <w:tcW w:w="850" w:type="dxa"/>
          </w:tcPr>
          <w:p w:rsidR="00145529" w:rsidRPr="003A2F67" w:rsidRDefault="00145529" w:rsidP="004E3E92">
            <w:pPr>
              <w:pStyle w:val="TableParagraph"/>
              <w:ind w:right="299"/>
              <w:rPr>
                <w:rFonts w:ascii="Arial" w:hAnsi="Arial" w:cs="Arial"/>
                <w:sz w:val="20"/>
              </w:rPr>
            </w:pPr>
            <w:r w:rsidRPr="003A2F67">
              <w:rPr>
                <w:rFonts w:ascii="Arial" w:hAnsi="Arial" w:cs="Arial"/>
                <w:w w:val="95"/>
                <w:sz w:val="20"/>
              </w:rPr>
              <w:t xml:space="preserve">59 </w:t>
            </w:r>
          </w:p>
        </w:tc>
        <w:tc>
          <w:tcPr>
            <w:tcW w:w="567"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53 </w:t>
            </w:r>
          </w:p>
        </w:tc>
        <w:tc>
          <w:tcPr>
            <w:tcW w:w="709"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24 </w:t>
            </w:r>
          </w:p>
        </w:tc>
        <w:tc>
          <w:tcPr>
            <w:tcW w:w="992"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50 </w:t>
            </w:r>
          </w:p>
        </w:tc>
        <w:tc>
          <w:tcPr>
            <w:tcW w:w="851"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41 </w:t>
            </w:r>
          </w:p>
        </w:tc>
        <w:tc>
          <w:tcPr>
            <w:tcW w:w="850"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57 </w:t>
            </w:r>
          </w:p>
        </w:tc>
        <w:tc>
          <w:tcPr>
            <w:tcW w:w="993" w:type="dxa"/>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46 </w:t>
            </w:r>
          </w:p>
        </w:tc>
      </w:tr>
      <w:tr w:rsidR="00145529" w:rsidRPr="003A2F67" w:rsidTr="002764E4">
        <w:trPr>
          <w:trHeight w:val="345"/>
        </w:trPr>
        <w:tc>
          <w:tcPr>
            <w:tcW w:w="1008"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MFR</w:t>
            </w:r>
          </w:p>
        </w:tc>
        <w:tc>
          <w:tcPr>
            <w:tcW w:w="856" w:type="dxa"/>
            <w:tcBorders>
              <w:left w:val="single" w:sz="4" w:space="0" w:color="7E7E7E"/>
            </w:tcBorders>
            <w:shd w:val="clear" w:color="auto" w:fill="F1F1F1"/>
          </w:tcPr>
          <w:p w:rsidR="00145529" w:rsidRPr="003A2F67" w:rsidRDefault="00145529" w:rsidP="004E3E92">
            <w:pPr>
              <w:pStyle w:val="TableParagraph"/>
              <w:ind w:left="279" w:right="279"/>
              <w:rPr>
                <w:rFonts w:ascii="Arial" w:hAnsi="Arial" w:cs="Arial"/>
                <w:sz w:val="20"/>
              </w:rPr>
            </w:pPr>
            <w:r w:rsidRPr="003A2F67">
              <w:rPr>
                <w:rFonts w:ascii="Arial" w:hAnsi="Arial" w:cs="Arial"/>
                <w:sz w:val="20"/>
              </w:rPr>
              <w:t xml:space="preserve">40 </w:t>
            </w:r>
          </w:p>
        </w:tc>
        <w:tc>
          <w:tcPr>
            <w:tcW w:w="850" w:type="dxa"/>
            <w:shd w:val="clear" w:color="auto" w:fill="F1F1F1"/>
          </w:tcPr>
          <w:p w:rsidR="00145529" w:rsidRPr="003A2F67" w:rsidRDefault="00145529" w:rsidP="004E3E92">
            <w:pPr>
              <w:pStyle w:val="TableParagraph"/>
              <w:ind w:right="299"/>
              <w:rPr>
                <w:rFonts w:ascii="Arial" w:hAnsi="Arial" w:cs="Arial"/>
                <w:sz w:val="20"/>
              </w:rPr>
            </w:pPr>
            <w:r w:rsidRPr="003A2F67">
              <w:rPr>
                <w:rFonts w:ascii="Arial" w:hAnsi="Arial" w:cs="Arial"/>
                <w:w w:val="95"/>
                <w:sz w:val="20"/>
              </w:rPr>
              <w:t xml:space="preserve">52 </w:t>
            </w:r>
          </w:p>
        </w:tc>
        <w:tc>
          <w:tcPr>
            <w:tcW w:w="567"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37 </w:t>
            </w:r>
          </w:p>
        </w:tc>
        <w:tc>
          <w:tcPr>
            <w:tcW w:w="709"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30 </w:t>
            </w:r>
          </w:p>
        </w:tc>
        <w:tc>
          <w:tcPr>
            <w:tcW w:w="992"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17 </w:t>
            </w:r>
          </w:p>
        </w:tc>
        <w:tc>
          <w:tcPr>
            <w:tcW w:w="851"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43 </w:t>
            </w:r>
          </w:p>
        </w:tc>
        <w:tc>
          <w:tcPr>
            <w:tcW w:w="850"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47 </w:t>
            </w:r>
          </w:p>
        </w:tc>
        <w:tc>
          <w:tcPr>
            <w:tcW w:w="993" w:type="dxa"/>
            <w:shd w:val="clear" w:color="auto" w:fill="F1F1F1"/>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42 </w:t>
            </w:r>
          </w:p>
        </w:tc>
      </w:tr>
      <w:tr w:rsidR="00145529" w:rsidRPr="003A2F67" w:rsidTr="002764E4">
        <w:trPr>
          <w:trHeight w:val="343"/>
        </w:trPr>
        <w:tc>
          <w:tcPr>
            <w:tcW w:w="1008"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UFR</w:t>
            </w:r>
          </w:p>
        </w:tc>
        <w:tc>
          <w:tcPr>
            <w:tcW w:w="856" w:type="dxa"/>
            <w:tcBorders>
              <w:left w:val="single" w:sz="4" w:space="0" w:color="7E7E7E"/>
            </w:tcBorders>
          </w:tcPr>
          <w:p w:rsidR="00145529" w:rsidRPr="003A2F67" w:rsidRDefault="00145529" w:rsidP="004E3E92">
            <w:pPr>
              <w:pStyle w:val="TableParagraph"/>
              <w:ind w:left="279" w:right="279"/>
              <w:rPr>
                <w:rFonts w:ascii="Arial" w:hAnsi="Arial" w:cs="Arial"/>
                <w:sz w:val="20"/>
              </w:rPr>
            </w:pPr>
            <w:r w:rsidRPr="003A2F67">
              <w:rPr>
                <w:rFonts w:ascii="Arial" w:hAnsi="Arial" w:cs="Arial"/>
                <w:sz w:val="20"/>
              </w:rPr>
              <w:t xml:space="preserve">40 </w:t>
            </w:r>
          </w:p>
        </w:tc>
        <w:tc>
          <w:tcPr>
            <w:tcW w:w="850" w:type="dxa"/>
          </w:tcPr>
          <w:p w:rsidR="00145529" w:rsidRPr="003A2F67" w:rsidRDefault="00145529" w:rsidP="004E3E92">
            <w:pPr>
              <w:pStyle w:val="TableParagraph"/>
              <w:ind w:right="299"/>
              <w:rPr>
                <w:rFonts w:ascii="Arial" w:hAnsi="Arial" w:cs="Arial"/>
                <w:sz w:val="20"/>
              </w:rPr>
            </w:pPr>
            <w:r w:rsidRPr="003A2F67">
              <w:rPr>
                <w:rFonts w:ascii="Arial" w:hAnsi="Arial" w:cs="Arial"/>
                <w:w w:val="95"/>
                <w:sz w:val="20"/>
              </w:rPr>
              <w:t xml:space="preserve">58 </w:t>
            </w:r>
          </w:p>
        </w:tc>
        <w:tc>
          <w:tcPr>
            <w:tcW w:w="567"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73 </w:t>
            </w:r>
          </w:p>
        </w:tc>
        <w:tc>
          <w:tcPr>
            <w:tcW w:w="709"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36 </w:t>
            </w:r>
          </w:p>
        </w:tc>
        <w:tc>
          <w:tcPr>
            <w:tcW w:w="992"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50 </w:t>
            </w:r>
          </w:p>
        </w:tc>
        <w:tc>
          <w:tcPr>
            <w:tcW w:w="851"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47 </w:t>
            </w:r>
          </w:p>
        </w:tc>
        <w:tc>
          <w:tcPr>
            <w:tcW w:w="850" w:type="dxa"/>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58 </w:t>
            </w:r>
          </w:p>
        </w:tc>
        <w:tc>
          <w:tcPr>
            <w:tcW w:w="993" w:type="dxa"/>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47 </w:t>
            </w:r>
          </w:p>
        </w:tc>
      </w:tr>
      <w:tr w:rsidR="00145529" w:rsidRPr="003A2F67" w:rsidTr="002764E4">
        <w:trPr>
          <w:trHeight w:val="345"/>
        </w:trPr>
        <w:tc>
          <w:tcPr>
            <w:tcW w:w="1008" w:type="dxa"/>
            <w:tcBorders>
              <w:right w:val="single" w:sz="4" w:space="0" w:color="7E7E7E"/>
            </w:tcBorders>
          </w:tcPr>
          <w:p w:rsidR="00145529" w:rsidRPr="003A2F67" w:rsidRDefault="00145529" w:rsidP="004E3E92">
            <w:pPr>
              <w:pStyle w:val="TableParagraph"/>
              <w:spacing w:line="227" w:lineRule="exact"/>
              <w:ind w:left="112"/>
              <w:jc w:val="left"/>
              <w:rPr>
                <w:rFonts w:ascii="Arial" w:hAnsi="Arial" w:cs="Arial"/>
                <w:sz w:val="20"/>
              </w:rPr>
            </w:pPr>
            <w:r w:rsidRPr="003A2F67">
              <w:rPr>
                <w:rFonts w:ascii="Arial" w:hAnsi="Arial" w:cs="Arial"/>
                <w:sz w:val="20"/>
              </w:rPr>
              <w:t>SCH</w:t>
            </w:r>
          </w:p>
        </w:tc>
        <w:tc>
          <w:tcPr>
            <w:tcW w:w="856" w:type="dxa"/>
            <w:tcBorders>
              <w:left w:val="single" w:sz="4" w:space="0" w:color="7E7E7E"/>
            </w:tcBorders>
            <w:shd w:val="clear" w:color="auto" w:fill="F1F1F1"/>
          </w:tcPr>
          <w:p w:rsidR="00145529" w:rsidRPr="003A2F67" w:rsidRDefault="00145529" w:rsidP="004E3E92">
            <w:pPr>
              <w:pStyle w:val="TableParagraph"/>
              <w:ind w:left="279" w:right="279"/>
              <w:rPr>
                <w:rFonts w:ascii="Arial" w:hAnsi="Arial" w:cs="Arial"/>
                <w:sz w:val="20"/>
              </w:rPr>
            </w:pPr>
            <w:r w:rsidRPr="003A2F67">
              <w:rPr>
                <w:rFonts w:ascii="Arial" w:hAnsi="Arial" w:cs="Arial"/>
                <w:sz w:val="20"/>
              </w:rPr>
              <w:t xml:space="preserve">39 </w:t>
            </w:r>
          </w:p>
        </w:tc>
        <w:tc>
          <w:tcPr>
            <w:tcW w:w="850" w:type="dxa"/>
            <w:shd w:val="clear" w:color="auto" w:fill="F1F1F1"/>
          </w:tcPr>
          <w:p w:rsidR="00145529" w:rsidRPr="003A2F67" w:rsidRDefault="00145529" w:rsidP="004E3E92">
            <w:pPr>
              <w:pStyle w:val="TableParagraph"/>
              <w:ind w:right="299"/>
              <w:rPr>
                <w:rFonts w:ascii="Arial" w:hAnsi="Arial" w:cs="Arial"/>
                <w:sz w:val="20"/>
              </w:rPr>
            </w:pPr>
            <w:r w:rsidRPr="003A2F67">
              <w:rPr>
                <w:rFonts w:ascii="Arial" w:hAnsi="Arial" w:cs="Arial"/>
                <w:w w:val="95"/>
                <w:sz w:val="20"/>
              </w:rPr>
              <w:t xml:space="preserve">53 </w:t>
            </w:r>
          </w:p>
        </w:tc>
        <w:tc>
          <w:tcPr>
            <w:tcW w:w="567"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44 </w:t>
            </w:r>
          </w:p>
        </w:tc>
        <w:tc>
          <w:tcPr>
            <w:tcW w:w="709"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30 </w:t>
            </w:r>
          </w:p>
        </w:tc>
        <w:tc>
          <w:tcPr>
            <w:tcW w:w="992"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20 </w:t>
            </w:r>
          </w:p>
        </w:tc>
        <w:tc>
          <w:tcPr>
            <w:tcW w:w="851"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38 </w:t>
            </w:r>
          </w:p>
        </w:tc>
        <w:tc>
          <w:tcPr>
            <w:tcW w:w="850" w:type="dxa"/>
            <w:shd w:val="clear" w:color="auto" w:fill="F1F1F1"/>
          </w:tcPr>
          <w:p w:rsidR="00145529" w:rsidRPr="003A2F67" w:rsidRDefault="00145529" w:rsidP="004E3E92">
            <w:pPr>
              <w:pStyle w:val="TableParagraph"/>
              <w:ind w:right="219"/>
              <w:rPr>
                <w:rFonts w:ascii="Arial" w:hAnsi="Arial" w:cs="Arial"/>
                <w:sz w:val="20"/>
              </w:rPr>
            </w:pPr>
            <w:r w:rsidRPr="003A2F67">
              <w:rPr>
                <w:rFonts w:ascii="Arial" w:hAnsi="Arial" w:cs="Arial"/>
                <w:sz w:val="20"/>
              </w:rPr>
              <w:t xml:space="preserve">49 </w:t>
            </w:r>
          </w:p>
        </w:tc>
        <w:tc>
          <w:tcPr>
            <w:tcW w:w="993" w:type="dxa"/>
            <w:shd w:val="clear" w:color="auto" w:fill="F1F1F1"/>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42 </w:t>
            </w:r>
          </w:p>
        </w:tc>
      </w:tr>
      <w:tr w:rsidR="00145529" w:rsidRPr="003A2F67" w:rsidTr="002764E4">
        <w:trPr>
          <w:trHeight w:val="345"/>
        </w:trPr>
        <w:tc>
          <w:tcPr>
            <w:tcW w:w="1008" w:type="dxa"/>
            <w:tcBorders>
              <w:right w:val="single" w:sz="4" w:space="0" w:color="7E7E7E"/>
            </w:tcBorders>
          </w:tcPr>
          <w:p w:rsidR="00145529" w:rsidRPr="003A2F67" w:rsidRDefault="00145529" w:rsidP="004E3E92">
            <w:pPr>
              <w:pStyle w:val="TableParagraph"/>
              <w:ind w:left="112"/>
              <w:jc w:val="left"/>
              <w:rPr>
                <w:rFonts w:ascii="Arial" w:hAnsi="Arial" w:cs="Arial"/>
                <w:b/>
                <w:sz w:val="20"/>
              </w:rPr>
            </w:pPr>
            <w:r w:rsidRPr="003A2F67">
              <w:rPr>
                <w:rFonts w:ascii="Arial" w:hAnsi="Arial" w:cs="Arial"/>
                <w:b/>
                <w:sz w:val="20"/>
              </w:rPr>
              <w:t>insges.</w:t>
            </w:r>
          </w:p>
        </w:tc>
        <w:tc>
          <w:tcPr>
            <w:tcW w:w="856" w:type="dxa"/>
            <w:tcBorders>
              <w:left w:val="single" w:sz="4" w:space="0" w:color="7E7E7E"/>
            </w:tcBorders>
          </w:tcPr>
          <w:p w:rsidR="00145529" w:rsidRPr="003A2F67" w:rsidRDefault="00145529" w:rsidP="004E3E92">
            <w:pPr>
              <w:pStyle w:val="TableParagraph"/>
              <w:spacing w:line="227" w:lineRule="exact"/>
              <w:ind w:left="279" w:right="279"/>
              <w:rPr>
                <w:rFonts w:ascii="Arial" w:hAnsi="Arial" w:cs="Arial"/>
                <w:b/>
                <w:sz w:val="20"/>
              </w:rPr>
            </w:pPr>
            <w:r w:rsidRPr="003A2F67">
              <w:rPr>
                <w:rFonts w:ascii="Arial" w:hAnsi="Arial" w:cs="Arial"/>
                <w:b/>
                <w:sz w:val="20"/>
              </w:rPr>
              <w:t xml:space="preserve">39 </w:t>
            </w:r>
          </w:p>
        </w:tc>
        <w:tc>
          <w:tcPr>
            <w:tcW w:w="850" w:type="dxa"/>
          </w:tcPr>
          <w:p w:rsidR="00145529" w:rsidRPr="003A2F67" w:rsidRDefault="00145529" w:rsidP="004E3E92">
            <w:pPr>
              <w:pStyle w:val="TableParagraph"/>
              <w:spacing w:line="227" w:lineRule="exact"/>
              <w:ind w:right="297"/>
              <w:rPr>
                <w:rFonts w:ascii="Arial" w:hAnsi="Arial" w:cs="Arial"/>
                <w:b/>
                <w:sz w:val="20"/>
              </w:rPr>
            </w:pPr>
            <w:r w:rsidRPr="003A2F67">
              <w:rPr>
                <w:rFonts w:ascii="Arial" w:hAnsi="Arial" w:cs="Arial"/>
                <w:b/>
                <w:w w:val="95"/>
                <w:sz w:val="20"/>
              </w:rPr>
              <w:t xml:space="preserve">54 </w:t>
            </w:r>
          </w:p>
        </w:tc>
        <w:tc>
          <w:tcPr>
            <w:tcW w:w="567" w:type="dxa"/>
          </w:tcPr>
          <w:p w:rsidR="00145529" w:rsidRPr="003A2F67" w:rsidRDefault="00145529" w:rsidP="004E3E92">
            <w:pPr>
              <w:pStyle w:val="TableParagraph"/>
              <w:spacing w:line="227" w:lineRule="exact"/>
              <w:ind w:right="217"/>
              <w:rPr>
                <w:rFonts w:ascii="Arial" w:hAnsi="Arial" w:cs="Arial"/>
                <w:b/>
                <w:sz w:val="20"/>
              </w:rPr>
            </w:pPr>
            <w:r w:rsidRPr="003A2F67">
              <w:rPr>
                <w:rFonts w:ascii="Arial" w:hAnsi="Arial" w:cs="Arial"/>
                <w:b/>
                <w:sz w:val="20"/>
              </w:rPr>
              <w:t xml:space="preserve">52 </w:t>
            </w:r>
          </w:p>
        </w:tc>
        <w:tc>
          <w:tcPr>
            <w:tcW w:w="709" w:type="dxa"/>
          </w:tcPr>
          <w:p w:rsidR="00145529" w:rsidRPr="003A2F67" w:rsidRDefault="00145529" w:rsidP="004E3E92">
            <w:pPr>
              <w:pStyle w:val="TableParagraph"/>
              <w:spacing w:line="227" w:lineRule="exact"/>
              <w:ind w:right="217"/>
              <w:rPr>
                <w:rFonts w:ascii="Arial" w:hAnsi="Arial" w:cs="Arial"/>
                <w:b/>
                <w:sz w:val="20"/>
              </w:rPr>
            </w:pPr>
            <w:r w:rsidRPr="003A2F67">
              <w:rPr>
                <w:rFonts w:ascii="Arial" w:hAnsi="Arial" w:cs="Arial"/>
                <w:b/>
                <w:sz w:val="20"/>
              </w:rPr>
              <w:t xml:space="preserve">33 </w:t>
            </w:r>
          </w:p>
        </w:tc>
        <w:tc>
          <w:tcPr>
            <w:tcW w:w="992" w:type="dxa"/>
          </w:tcPr>
          <w:p w:rsidR="00145529" w:rsidRPr="003A2F67" w:rsidRDefault="00145529" w:rsidP="004E3E92">
            <w:pPr>
              <w:pStyle w:val="TableParagraph"/>
              <w:spacing w:line="227" w:lineRule="exact"/>
              <w:ind w:right="216"/>
              <w:rPr>
                <w:rFonts w:ascii="Arial" w:hAnsi="Arial" w:cs="Arial"/>
                <w:b/>
                <w:sz w:val="20"/>
              </w:rPr>
            </w:pPr>
            <w:r w:rsidRPr="003A2F67">
              <w:rPr>
                <w:rFonts w:ascii="Arial" w:hAnsi="Arial" w:cs="Arial"/>
                <w:b/>
                <w:sz w:val="20"/>
              </w:rPr>
              <w:t xml:space="preserve">21 </w:t>
            </w:r>
          </w:p>
        </w:tc>
        <w:tc>
          <w:tcPr>
            <w:tcW w:w="851" w:type="dxa"/>
          </w:tcPr>
          <w:p w:rsidR="00145529" w:rsidRPr="003A2F67" w:rsidRDefault="00145529" w:rsidP="004E3E92">
            <w:pPr>
              <w:pStyle w:val="TableParagraph"/>
              <w:spacing w:line="227" w:lineRule="exact"/>
              <w:ind w:right="216"/>
              <w:rPr>
                <w:rFonts w:ascii="Arial" w:hAnsi="Arial" w:cs="Arial"/>
                <w:b/>
                <w:sz w:val="20"/>
              </w:rPr>
            </w:pPr>
            <w:r w:rsidRPr="003A2F67">
              <w:rPr>
                <w:rFonts w:ascii="Arial" w:hAnsi="Arial" w:cs="Arial"/>
                <w:b/>
                <w:sz w:val="20"/>
              </w:rPr>
              <w:t xml:space="preserve">46 </w:t>
            </w:r>
          </w:p>
        </w:tc>
        <w:tc>
          <w:tcPr>
            <w:tcW w:w="850" w:type="dxa"/>
          </w:tcPr>
          <w:p w:rsidR="00145529" w:rsidRPr="003A2F67" w:rsidRDefault="00145529" w:rsidP="004E3E92">
            <w:pPr>
              <w:pStyle w:val="TableParagraph"/>
              <w:spacing w:line="227" w:lineRule="exact"/>
              <w:ind w:right="216"/>
              <w:rPr>
                <w:rFonts w:ascii="Arial" w:hAnsi="Arial" w:cs="Arial"/>
                <w:b/>
                <w:sz w:val="20"/>
              </w:rPr>
            </w:pPr>
            <w:r w:rsidRPr="003A2F67">
              <w:rPr>
                <w:rFonts w:ascii="Arial" w:hAnsi="Arial" w:cs="Arial"/>
                <w:b/>
                <w:sz w:val="20"/>
              </w:rPr>
              <w:t xml:space="preserve">53 </w:t>
            </w:r>
          </w:p>
        </w:tc>
        <w:tc>
          <w:tcPr>
            <w:tcW w:w="993" w:type="dxa"/>
          </w:tcPr>
          <w:p w:rsidR="00145529" w:rsidRPr="003A2F67" w:rsidRDefault="00145529" w:rsidP="004E3E92">
            <w:pPr>
              <w:pStyle w:val="TableParagraph"/>
              <w:spacing w:line="227" w:lineRule="exact"/>
              <w:ind w:left="310"/>
              <w:jc w:val="left"/>
              <w:rPr>
                <w:rFonts w:ascii="Arial" w:hAnsi="Arial" w:cs="Arial"/>
                <w:b/>
                <w:sz w:val="20"/>
              </w:rPr>
            </w:pPr>
            <w:r w:rsidRPr="003A2F67">
              <w:rPr>
                <w:rFonts w:ascii="Arial" w:hAnsi="Arial" w:cs="Arial"/>
                <w:b/>
                <w:sz w:val="20"/>
              </w:rPr>
              <w:t xml:space="preserve">44 </w:t>
            </w:r>
          </w:p>
        </w:tc>
      </w:tr>
    </w:tbl>
    <w:p w:rsidR="00145529" w:rsidRDefault="00145529" w:rsidP="00145529">
      <w:pPr>
        <w:pStyle w:val="Textkrper"/>
        <w:rPr>
          <w:b/>
          <w:i/>
          <w:sz w:val="22"/>
        </w:rPr>
      </w:pPr>
    </w:p>
    <w:p w:rsidR="006E5140" w:rsidRDefault="006E5140" w:rsidP="006E5140">
      <w:pPr>
        <w:pStyle w:val="LTAntwortRessortText"/>
      </w:pPr>
    </w:p>
    <w:p w:rsidR="00145529" w:rsidRDefault="00145529" w:rsidP="006475D7">
      <w:pPr>
        <w:pStyle w:val="Textkrper"/>
        <w:spacing w:before="92"/>
        <w:ind w:left="118"/>
        <w:rPr>
          <w:rFonts w:ascii="Arial" w:hAnsi="Arial" w:cs="Arial"/>
          <w:b/>
          <w:sz w:val="20"/>
        </w:rPr>
      </w:pPr>
      <w:bookmarkStart w:id="64" w:name="Frage_Nr_31_Ende"/>
      <w:bookmarkEnd w:id="64"/>
    </w:p>
    <w:p w:rsidR="00145529" w:rsidRDefault="00145529" w:rsidP="006475D7">
      <w:pPr>
        <w:pStyle w:val="Textkrper"/>
        <w:spacing w:before="92"/>
        <w:ind w:left="118"/>
        <w:rPr>
          <w:rFonts w:ascii="Arial" w:hAnsi="Arial" w:cs="Arial"/>
          <w:b/>
          <w:sz w:val="20"/>
        </w:rPr>
      </w:pPr>
    </w:p>
    <w:p w:rsidR="006E5140" w:rsidRDefault="006E5140">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156DE2" w:rsidTr="00156DE2">
        <w:tc>
          <w:tcPr>
            <w:tcW w:w="1905" w:type="dxa"/>
          </w:tcPr>
          <w:p w:rsidR="00156DE2" w:rsidRDefault="00156DE2" w:rsidP="00156DE2">
            <w:pPr>
              <w:pStyle w:val="LTAnfrageInitiator"/>
            </w:pPr>
            <w:r>
              <w:t>Abgeordneter</w:t>
            </w:r>
            <w:r>
              <w:rPr>
                <w:b/>
              </w:rPr>
              <w:br/>
              <w:t>Matthias</w:t>
            </w:r>
            <w:r>
              <w:rPr>
                <w:b/>
              </w:rPr>
              <w:br/>
              <w:t>Fischbach</w:t>
            </w:r>
            <w:r>
              <w:rPr>
                <w:b/>
              </w:rPr>
              <w:br/>
            </w:r>
            <w:r>
              <w:t>(FDP)</w:t>
            </w:r>
            <w:bookmarkStart w:id="65" w:name="Frage_Nr_32"/>
            <w:bookmarkEnd w:id="65"/>
          </w:p>
        </w:tc>
        <w:tc>
          <w:tcPr>
            <w:tcW w:w="5711" w:type="dxa"/>
          </w:tcPr>
          <w:p w:rsidR="00156DE2" w:rsidRPr="000E31FC" w:rsidRDefault="00156DE2" w:rsidP="008D0076">
            <w:pPr>
              <w:pStyle w:val="LTAnfrageText"/>
            </w:pPr>
            <w:r w:rsidRPr="000E31FC">
              <w:t xml:space="preserve">Vor dem Hintergrund der breiten Unterstützung des Erlanger Stadtrats im Juli 2021 für die Teilnahme der örtlichen Wirtschaftsschule an einem Schulversuch „Wirtschaftsschule ab der 5. Jahrgangsstufe“ und der seitens der Stadtverwaltung in den Unterlagen hierzu übermittelten „Informationen des Kultusministeriums“, dass in den kommenden Jahren die Profile und Lehrpläne der bayerischen Wirtschaftsschulen weiterentwickelt werden sollen und im Zuge dessen dann auch die Einführung eines neuen Schulversuchs möglich wäre, frage ich die Staatsregierung, wie die konkreten Schritte zur Umsetzung eines entsprechenden Schulversuchs aussehen (bitte nötige Schritte und deren Vollzug bzw. Planungsstand darstellen und insbesondere auf die Möglichkeit eines Starts des Schulversuchs zum Schuljahr 2022/2023 eingehen), wie </w:t>
            </w:r>
            <w:r w:rsidR="008D0076">
              <w:t xml:space="preserve">sich </w:t>
            </w:r>
            <w:r w:rsidRPr="000E31FC">
              <w:t xml:space="preserve">die Anmeldezahlen in der Vorklasse 6 sowie in den Eingangsklassen der vier-, drei- und zweistufigen Wirtschaftsschule in Bayern </w:t>
            </w:r>
            <w:r w:rsidR="008D0076">
              <w:t xml:space="preserve">insgesamt </w:t>
            </w:r>
            <w:r w:rsidRPr="000E31FC">
              <w:t>und je einzelner Schule in diesem Jahr und den Vorjahren (möglichst Einzeljahre ab 2010) jeweils entwickelt haben und wie sie vor diesem Hintergrund die Lage, Bedeutung und Zukunft der Schulart beurteilt?</w:t>
            </w:r>
          </w:p>
        </w:tc>
        <w:tc>
          <w:tcPr>
            <w:tcW w:w="5711"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5861E2" w:rsidP="006E5140">
      <w:pPr>
        <w:pStyle w:val="LTAntwortRessortText"/>
      </w:pPr>
      <w:r>
        <w:t xml:space="preserve">Der </w:t>
      </w:r>
      <w:r w:rsidR="006E5140">
        <w:t>Landtag hat in seiner Sitzung vom 24. Juli 2020 beschlossen, ab dem</w:t>
      </w:r>
      <w:r w:rsidR="009509D9">
        <w:t xml:space="preserve"> </w:t>
      </w:r>
      <w:r w:rsidR="006E5140">
        <w:t>Schuljahr 2020/</w:t>
      </w:r>
      <w:r>
        <w:t>20</w:t>
      </w:r>
      <w:r w:rsidR="006E5140">
        <w:t>21 an allen bayerischen vierstufigen Wirtschaftsschulen die Einrichtung</w:t>
      </w:r>
      <w:r w:rsidR="009509D9">
        <w:t xml:space="preserve"> </w:t>
      </w:r>
      <w:r w:rsidR="006E5140">
        <w:t>einer 6. Jahrgangsstufe als optionale Vorklasse zu ermöglichen.</w:t>
      </w:r>
    </w:p>
    <w:p w:rsidR="006E5140" w:rsidRDefault="006E5140" w:rsidP="009509D9">
      <w:pPr>
        <w:pStyle w:val="LTAntwortRessortText"/>
        <w:spacing w:before="0"/>
      </w:pPr>
      <w:r>
        <w:t>Aktuell gilt es nun zunächst, die Jahrgangsstufe 6 erfolgreich in den Regelbetrieb zu</w:t>
      </w:r>
      <w:r w:rsidR="009509D9">
        <w:t xml:space="preserve"> </w:t>
      </w:r>
      <w:r>
        <w:t>überführen. Weiterhin müssen die Auswirkungen dieses neuen Bildungsangebotes</w:t>
      </w:r>
      <w:r w:rsidR="009509D9">
        <w:t xml:space="preserve"> </w:t>
      </w:r>
      <w:r>
        <w:t>auf die Schullaufbahnentscheidungen und damit auf die Entwicklung der anderen</w:t>
      </w:r>
      <w:r w:rsidR="009509D9">
        <w:t xml:space="preserve"> </w:t>
      </w:r>
      <w:r>
        <w:t>Schularten im Sekundarbereich I vor Ort beobachtet werden. Daher ist die Durchführung</w:t>
      </w:r>
      <w:r w:rsidR="009509D9">
        <w:t xml:space="preserve"> </w:t>
      </w:r>
      <w:r>
        <w:t xml:space="preserve">eines Schulversuchs </w:t>
      </w:r>
      <w:r w:rsidR="005C0F48">
        <w:t>„</w:t>
      </w:r>
      <w:r>
        <w:t>Wirtschaftsschule ab der 5. Jahrgangsstufe</w:t>
      </w:r>
      <w:r w:rsidR="005C0F48">
        <w:t>“</w:t>
      </w:r>
      <w:r>
        <w:t xml:space="preserve"> derzeit nicht</w:t>
      </w:r>
      <w:r w:rsidR="009509D9">
        <w:t xml:space="preserve"> </w:t>
      </w:r>
      <w:r>
        <w:t>vorgesehen.</w:t>
      </w:r>
    </w:p>
    <w:p w:rsidR="006E5140" w:rsidRDefault="006E5140" w:rsidP="006E5140">
      <w:pPr>
        <w:pStyle w:val="LTAntwortRessortText"/>
      </w:pPr>
      <w:r>
        <w:t>Aufgrund der Kurzfristigkeit ist eine Darstellung der Anmeldezahlen an allen 75 bayerischen</w:t>
      </w:r>
      <w:r w:rsidR="009509D9">
        <w:t xml:space="preserve"> </w:t>
      </w:r>
      <w:r>
        <w:t>Wirtschaftsschulen nicht möglich.</w:t>
      </w:r>
    </w:p>
    <w:p w:rsidR="006E5140" w:rsidRDefault="006E5140" w:rsidP="00F312A0">
      <w:pPr>
        <w:pStyle w:val="LTAntwortRessortText"/>
        <w:spacing w:before="0"/>
      </w:pPr>
      <w:r>
        <w:t>Die Entwicklung der bayernweiten Anmeldezahlen an den Wirtschaftsschulen zeigt</w:t>
      </w:r>
      <w:r w:rsidR="00F312A0">
        <w:t xml:space="preserve"> </w:t>
      </w:r>
      <w:r>
        <w:t>die folgende Tabelle:</w:t>
      </w:r>
    </w:p>
    <w:p w:rsidR="006E5140" w:rsidRDefault="006E5140" w:rsidP="006E5140">
      <w:pPr>
        <w:pStyle w:val="LTAntwortRessortText"/>
      </w:pPr>
    </w:p>
    <w:p w:rsidR="002764E4" w:rsidRDefault="002764E4" w:rsidP="006E5140">
      <w:pPr>
        <w:pStyle w:val="LTAntwortRessortText"/>
      </w:pPr>
    </w:p>
    <w:tbl>
      <w:tblPr>
        <w:tblStyle w:val="TableNormal"/>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275"/>
        <w:gridCol w:w="1134"/>
        <w:gridCol w:w="1134"/>
        <w:gridCol w:w="1134"/>
      </w:tblGrid>
      <w:tr w:rsidR="00F312A0" w:rsidTr="005861E2">
        <w:trPr>
          <w:trHeight w:val="763"/>
        </w:trPr>
        <w:tc>
          <w:tcPr>
            <w:tcW w:w="7654" w:type="dxa"/>
            <w:gridSpan w:val="5"/>
          </w:tcPr>
          <w:p w:rsidR="00F312A0" w:rsidRPr="005861E2" w:rsidRDefault="00F312A0" w:rsidP="001A050E">
            <w:pPr>
              <w:pStyle w:val="TableParagraph"/>
              <w:spacing w:before="103"/>
              <w:ind w:left="71" w:right="567"/>
              <w:jc w:val="left"/>
              <w:rPr>
                <w:rFonts w:ascii="Arial" w:hAnsi="Arial" w:cs="Arial"/>
                <w:sz w:val="18"/>
              </w:rPr>
            </w:pPr>
            <w:r w:rsidRPr="005861E2">
              <w:rPr>
                <w:rFonts w:ascii="Arial" w:hAnsi="Arial" w:cs="Arial"/>
                <w:sz w:val="18"/>
              </w:rPr>
              <w:t>Schülerinnen und Schü</w:t>
            </w:r>
            <w:r w:rsidR="002764E4">
              <w:rPr>
                <w:rFonts w:ascii="Arial" w:hAnsi="Arial" w:cs="Arial"/>
                <w:sz w:val="18"/>
              </w:rPr>
              <w:t>ler in den Eingangsklassen der zwei-, vier- und drei</w:t>
            </w:r>
            <w:r w:rsidRPr="005861E2">
              <w:rPr>
                <w:rFonts w:ascii="Arial" w:hAnsi="Arial" w:cs="Arial"/>
                <w:sz w:val="18"/>
              </w:rPr>
              <w:t>stufigen Wirtschaftsschulen in Bayern</w:t>
            </w:r>
          </w:p>
        </w:tc>
      </w:tr>
      <w:tr w:rsidR="00F312A0" w:rsidTr="005861E2">
        <w:trPr>
          <w:trHeight w:val="438"/>
        </w:trPr>
        <w:tc>
          <w:tcPr>
            <w:tcW w:w="2977" w:type="dxa"/>
          </w:tcPr>
          <w:p w:rsidR="00F312A0" w:rsidRPr="005861E2" w:rsidRDefault="00F312A0" w:rsidP="001A050E">
            <w:pPr>
              <w:pStyle w:val="TableParagraph"/>
              <w:spacing w:before="79"/>
              <w:ind w:left="71"/>
              <w:jc w:val="left"/>
              <w:rPr>
                <w:rFonts w:ascii="Arial" w:hAnsi="Arial" w:cs="Arial"/>
                <w:b/>
                <w:sz w:val="18"/>
              </w:rPr>
            </w:pPr>
            <w:r w:rsidRPr="005861E2">
              <w:rPr>
                <w:rFonts w:ascii="Arial" w:hAnsi="Arial" w:cs="Arial"/>
                <w:b/>
                <w:sz w:val="18"/>
              </w:rPr>
              <w:t>Jahr</w:t>
            </w:r>
          </w:p>
        </w:tc>
        <w:tc>
          <w:tcPr>
            <w:tcW w:w="1275" w:type="dxa"/>
            <w:vAlign w:val="center"/>
          </w:tcPr>
          <w:p w:rsidR="00F312A0" w:rsidRPr="005861E2" w:rsidRDefault="00F312A0" w:rsidP="005861E2">
            <w:pPr>
              <w:pStyle w:val="TableParagraph"/>
              <w:spacing w:before="79"/>
              <w:ind w:left="359" w:right="351"/>
              <w:jc w:val="left"/>
              <w:rPr>
                <w:rFonts w:ascii="Arial" w:hAnsi="Arial" w:cs="Arial"/>
                <w:b/>
                <w:sz w:val="18"/>
              </w:rPr>
            </w:pPr>
            <w:r w:rsidRPr="005861E2">
              <w:rPr>
                <w:rFonts w:ascii="Arial" w:hAnsi="Arial" w:cs="Arial"/>
                <w:b/>
                <w:sz w:val="18"/>
              </w:rPr>
              <w:t>2009</w:t>
            </w:r>
          </w:p>
        </w:tc>
        <w:tc>
          <w:tcPr>
            <w:tcW w:w="1134" w:type="dxa"/>
            <w:vAlign w:val="center"/>
          </w:tcPr>
          <w:p w:rsidR="00F312A0" w:rsidRPr="005861E2" w:rsidRDefault="00F312A0" w:rsidP="005861E2">
            <w:pPr>
              <w:pStyle w:val="TableParagraph"/>
              <w:spacing w:before="79"/>
              <w:ind w:left="279" w:right="269"/>
              <w:jc w:val="left"/>
              <w:rPr>
                <w:rFonts w:ascii="Arial" w:hAnsi="Arial" w:cs="Arial"/>
                <w:b/>
                <w:sz w:val="18"/>
              </w:rPr>
            </w:pPr>
            <w:r w:rsidRPr="005861E2">
              <w:rPr>
                <w:rFonts w:ascii="Arial" w:hAnsi="Arial" w:cs="Arial"/>
                <w:b/>
                <w:sz w:val="18"/>
              </w:rPr>
              <w:t>2013</w:t>
            </w:r>
          </w:p>
        </w:tc>
        <w:tc>
          <w:tcPr>
            <w:tcW w:w="1134" w:type="dxa"/>
            <w:vAlign w:val="center"/>
          </w:tcPr>
          <w:p w:rsidR="00F312A0" w:rsidRPr="005861E2" w:rsidRDefault="00F312A0" w:rsidP="005861E2">
            <w:pPr>
              <w:pStyle w:val="TableParagraph"/>
              <w:spacing w:before="79"/>
              <w:ind w:left="279" w:right="269"/>
              <w:jc w:val="left"/>
              <w:rPr>
                <w:rFonts w:ascii="Arial" w:hAnsi="Arial" w:cs="Arial"/>
                <w:b/>
                <w:sz w:val="18"/>
              </w:rPr>
            </w:pPr>
            <w:r w:rsidRPr="005861E2">
              <w:rPr>
                <w:rFonts w:ascii="Arial" w:hAnsi="Arial" w:cs="Arial"/>
                <w:b/>
                <w:sz w:val="18"/>
              </w:rPr>
              <w:t>2017</w:t>
            </w:r>
          </w:p>
        </w:tc>
        <w:tc>
          <w:tcPr>
            <w:tcW w:w="1134" w:type="dxa"/>
            <w:vAlign w:val="center"/>
          </w:tcPr>
          <w:p w:rsidR="00F312A0" w:rsidRPr="005861E2" w:rsidRDefault="00F312A0" w:rsidP="005861E2">
            <w:pPr>
              <w:pStyle w:val="TableParagraph"/>
              <w:spacing w:before="79"/>
              <w:ind w:left="279" w:right="269"/>
              <w:jc w:val="left"/>
              <w:rPr>
                <w:rFonts w:ascii="Arial" w:hAnsi="Arial" w:cs="Arial"/>
                <w:b/>
                <w:sz w:val="18"/>
              </w:rPr>
            </w:pPr>
            <w:r w:rsidRPr="005861E2">
              <w:rPr>
                <w:rFonts w:ascii="Arial" w:hAnsi="Arial" w:cs="Arial"/>
                <w:b/>
                <w:sz w:val="18"/>
              </w:rPr>
              <w:t>2020</w:t>
            </w:r>
          </w:p>
        </w:tc>
      </w:tr>
      <w:tr w:rsidR="00F312A0" w:rsidTr="005861E2">
        <w:trPr>
          <w:trHeight w:val="373"/>
        </w:trPr>
        <w:tc>
          <w:tcPr>
            <w:tcW w:w="2977" w:type="dxa"/>
          </w:tcPr>
          <w:p w:rsidR="00F312A0" w:rsidRPr="005861E2" w:rsidRDefault="00F312A0" w:rsidP="001A050E">
            <w:pPr>
              <w:pStyle w:val="TableParagraph"/>
              <w:ind w:left="71"/>
              <w:jc w:val="left"/>
              <w:rPr>
                <w:rFonts w:ascii="Arial" w:hAnsi="Arial" w:cs="Arial"/>
                <w:sz w:val="18"/>
              </w:rPr>
            </w:pPr>
            <w:r w:rsidRPr="005861E2">
              <w:rPr>
                <w:rFonts w:ascii="Arial" w:hAnsi="Arial" w:cs="Arial"/>
                <w:sz w:val="18"/>
              </w:rPr>
              <w:t>zweistufig in Jahrgangsstufe 10</w:t>
            </w:r>
          </w:p>
        </w:tc>
        <w:tc>
          <w:tcPr>
            <w:tcW w:w="1275" w:type="dxa"/>
            <w:vAlign w:val="center"/>
          </w:tcPr>
          <w:p w:rsidR="00F312A0" w:rsidRPr="005861E2" w:rsidRDefault="00083AFA" w:rsidP="005861E2">
            <w:pPr>
              <w:pStyle w:val="TableParagraph"/>
              <w:ind w:left="359" w:right="351"/>
              <w:jc w:val="left"/>
              <w:rPr>
                <w:rFonts w:ascii="Arial" w:hAnsi="Arial" w:cs="Arial"/>
                <w:sz w:val="18"/>
              </w:rPr>
            </w:pPr>
            <w:r>
              <w:rPr>
                <w:rFonts w:ascii="Arial" w:hAnsi="Arial" w:cs="Arial"/>
                <w:sz w:val="18"/>
              </w:rPr>
              <w:t>4 </w:t>
            </w:r>
            <w:r w:rsidR="00F312A0" w:rsidRPr="005861E2">
              <w:rPr>
                <w:rFonts w:ascii="Arial" w:hAnsi="Arial" w:cs="Arial"/>
                <w:sz w:val="18"/>
              </w:rPr>
              <w:t>145</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3 </w:t>
            </w:r>
            <w:r w:rsidR="00F312A0" w:rsidRPr="005861E2">
              <w:rPr>
                <w:rFonts w:ascii="Arial" w:hAnsi="Arial" w:cs="Arial"/>
                <w:sz w:val="18"/>
              </w:rPr>
              <w:t>277</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3 </w:t>
            </w:r>
            <w:r w:rsidR="00F312A0" w:rsidRPr="005861E2">
              <w:rPr>
                <w:rFonts w:ascii="Arial" w:hAnsi="Arial" w:cs="Arial"/>
                <w:sz w:val="18"/>
              </w:rPr>
              <w:t>145</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2 </w:t>
            </w:r>
            <w:r w:rsidR="00F312A0" w:rsidRPr="005861E2">
              <w:rPr>
                <w:rFonts w:ascii="Arial" w:hAnsi="Arial" w:cs="Arial"/>
                <w:sz w:val="18"/>
              </w:rPr>
              <w:t>604</w:t>
            </w:r>
          </w:p>
        </w:tc>
      </w:tr>
      <w:tr w:rsidR="00F312A0" w:rsidTr="005861E2">
        <w:trPr>
          <w:trHeight w:val="374"/>
        </w:trPr>
        <w:tc>
          <w:tcPr>
            <w:tcW w:w="2977" w:type="dxa"/>
          </w:tcPr>
          <w:p w:rsidR="00F312A0" w:rsidRPr="005861E2" w:rsidRDefault="00F312A0" w:rsidP="001A050E">
            <w:pPr>
              <w:pStyle w:val="TableParagraph"/>
              <w:ind w:left="71"/>
              <w:jc w:val="left"/>
              <w:rPr>
                <w:rFonts w:ascii="Arial" w:hAnsi="Arial" w:cs="Arial"/>
                <w:sz w:val="18"/>
              </w:rPr>
            </w:pPr>
            <w:r w:rsidRPr="005861E2">
              <w:rPr>
                <w:rFonts w:ascii="Arial" w:hAnsi="Arial" w:cs="Arial"/>
                <w:sz w:val="18"/>
              </w:rPr>
              <w:t>vierstufig in Jahrgangsstufe 7</w:t>
            </w:r>
          </w:p>
        </w:tc>
        <w:tc>
          <w:tcPr>
            <w:tcW w:w="1275" w:type="dxa"/>
            <w:vAlign w:val="center"/>
          </w:tcPr>
          <w:p w:rsidR="00F312A0" w:rsidRPr="005861E2" w:rsidRDefault="00083AFA" w:rsidP="005861E2">
            <w:pPr>
              <w:pStyle w:val="TableParagraph"/>
              <w:ind w:left="359" w:right="351"/>
              <w:jc w:val="left"/>
              <w:rPr>
                <w:rFonts w:ascii="Arial" w:hAnsi="Arial" w:cs="Arial"/>
                <w:sz w:val="18"/>
              </w:rPr>
            </w:pPr>
            <w:r>
              <w:rPr>
                <w:rFonts w:ascii="Arial" w:hAnsi="Arial" w:cs="Arial"/>
                <w:sz w:val="18"/>
              </w:rPr>
              <w:t>3 </w:t>
            </w:r>
            <w:r w:rsidR="00F312A0" w:rsidRPr="005861E2">
              <w:rPr>
                <w:rFonts w:ascii="Arial" w:hAnsi="Arial" w:cs="Arial"/>
                <w:sz w:val="18"/>
              </w:rPr>
              <w:t>309</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2 </w:t>
            </w:r>
            <w:r w:rsidR="00F312A0" w:rsidRPr="005861E2">
              <w:rPr>
                <w:rFonts w:ascii="Arial" w:hAnsi="Arial" w:cs="Arial"/>
                <w:sz w:val="18"/>
              </w:rPr>
              <w:t>599</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2 </w:t>
            </w:r>
            <w:r w:rsidR="00F312A0" w:rsidRPr="005861E2">
              <w:rPr>
                <w:rFonts w:ascii="Arial" w:hAnsi="Arial" w:cs="Arial"/>
                <w:sz w:val="18"/>
              </w:rPr>
              <w:t>244</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1 </w:t>
            </w:r>
            <w:r w:rsidR="00F312A0" w:rsidRPr="005861E2">
              <w:rPr>
                <w:rFonts w:ascii="Arial" w:hAnsi="Arial" w:cs="Arial"/>
                <w:sz w:val="18"/>
              </w:rPr>
              <w:t>899</w:t>
            </w:r>
          </w:p>
        </w:tc>
      </w:tr>
      <w:tr w:rsidR="00F312A0" w:rsidTr="005861E2">
        <w:trPr>
          <w:trHeight w:val="373"/>
        </w:trPr>
        <w:tc>
          <w:tcPr>
            <w:tcW w:w="2977" w:type="dxa"/>
          </w:tcPr>
          <w:p w:rsidR="00F312A0" w:rsidRPr="005861E2" w:rsidRDefault="00F312A0" w:rsidP="001A050E">
            <w:pPr>
              <w:pStyle w:val="TableParagraph"/>
              <w:ind w:left="71"/>
              <w:jc w:val="left"/>
              <w:rPr>
                <w:rFonts w:ascii="Arial" w:hAnsi="Arial" w:cs="Arial"/>
                <w:sz w:val="18"/>
              </w:rPr>
            </w:pPr>
            <w:r w:rsidRPr="005861E2">
              <w:rPr>
                <w:rFonts w:ascii="Arial" w:hAnsi="Arial" w:cs="Arial"/>
                <w:sz w:val="18"/>
              </w:rPr>
              <w:t>dreistufig in Jahrgangsstufe 8</w:t>
            </w:r>
          </w:p>
        </w:tc>
        <w:tc>
          <w:tcPr>
            <w:tcW w:w="1275" w:type="dxa"/>
            <w:vAlign w:val="center"/>
          </w:tcPr>
          <w:p w:rsidR="00F312A0" w:rsidRPr="005861E2" w:rsidRDefault="00F312A0" w:rsidP="005861E2">
            <w:pPr>
              <w:pStyle w:val="TableParagraph"/>
              <w:ind w:left="358" w:right="351"/>
              <w:jc w:val="left"/>
              <w:rPr>
                <w:rFonts w:ascii="Arial" w:hAnsi="Arial" w:cs="Arial"/>
                <w:sz w:val="18"/>
              </w:rPr>
            </w:pPr>
            <w:r w:rsidRPr="005861E2">
              <w:rPr>
                <w:rFonts w:ascii="Arial" w:hAnsi="Arial" w:cs="Arial"/>
                <w:sz w:val="18"/>
              </w:rPr>
              <w:t>897</w:t>
            </w:r>
          </w:p>
        </w:tc>
        <w:tc>
          <w:tcPr>
            <w:tcW w:w="1134" w:type="dxa"/>
            <w:vAlign w:val="center"/>
          </w:tcPr>
          <w:p w:rsidR="00F312A0" w:rsidRPr="005861E2" w:rsidRDefault="00083AFA" w:rsidP="005861E2">
            <w:pPr>
              <w:pStyle w:val="TableParagraph"/>
              <w:ind w:left="279" w:right="269"/>
              <w:jc w:val="left"/>
              <w:rPr>
                <w:rFonts w:ascii="Arial" w:hAnsi="Arial" w:cs="Arial"/>
                <w:sz w:val="18"/>
              </w:rPr>
            </w:pPr>
            <w:r>
              <w:rPr>
                <w:rFonts w:ascii="Arial" w:hAnsi="Arial" w:cs="Arial"/>
                <w:sz w:val="18"/>
              </w:rPr>
              <w:t>1 </w:t>
            </w:r>
            <w:r w:rsidR="00F312A0" w:rsidRPr="005861E2">
              <w:rPr>
                <w:rFonts w:ascii="Arial" w:hAnsi="Arial" w:cs="Arial"/>
                <w:sz w:val="18"/>
              </w:rPr>
              <w:t>029</w:t>
            </w:r>
          </w:p>
        </w:tc>
        <w:tc>
          <w:tcPr>
            <w:tcW w:w="1134" w:type="dxa"/>
            <w:vAlign w:val="center"/>
          </w:tcPr>
          <w:p w:rsidR="00F312A0" w:rsidRPr="005861E2" w:rsidRDefault="00F312A0" w:rsidP="005861E2">
            <w:pPr>
              <w:pStyle w:val="TableParagraph"/>
              <w:ind w:left="279" w:right="269"/>
              <w:jc w:val="left"/>
              <w:rPr>
                <w:rFonts w:ascii="Arial" w:hAnsi="Arial" w:cs="Arial"/>
                <w:sz w:val="18"/>
              </w:rPr>
            </w:pPr>
            <w:r w:rsidRPr="005861E2">
              <w:rPr>
                <w:rFonts w:ascii="Arial" w:hAnsi="Arial" w:cs="Arial"/>
                <w:sz w:val="18"/>
              </w:rPr>
              <w:t>609</w:t>
            </w:r>
          </w:p>
        </w:tc>
        <w:tc>
          <w:tcPr>
            <w:tcW w:w="1134" w:type="dxa"/>
            <w:vAlign w:val="center"/>
          </w:tcPr>
          <w:p w:rsidR="00F312A0" w:rsidRPr="005861E2" w:rsidRDefault="00F312A0" w:rsidP="005861E2">
            <w:pPr>
              <w:pStyle w:val="TableParagraph"/>
              <w:ind w:left="279" w:right="269"/>
              <w:jc w:val="left"/>
              <w:rPr>
                <w:rFonts w:ascii="Arial" w:hAnsi="Arial" w:cs="Arial"/>
                <w:sz w:val="18"/>
              </w:rPr>
            </w:pPr>
            <w:r w:rsidRPr="005861E2">
              <w:rPr>
                <w:rFonts w:ascii="Arial" w:hAnsi="Arial" w:cs="Arial"/>
                <w:sz w:val="18"/>
              </w:rPr>
              <w:t>388</w:t>
            </w:r>
          </w:p>
        </w:tc>
      </w:tr>
    </w:tbl>
    <w:p w:rsidR="006E5140" w:rsidRDefault="006E5140" w:rsidP="006E5140">
      <w:pPr>
        <w:pStyle w:val="LTAntwortRessortText"/>
      </w:pPr>
      <w:r>
        <w:t>Die Möglichkeit der Einrichtung einer 6. Jahrgangsstufe an allen Wirtschaftsschulen</w:t>
      </w:r>
      <w:r w:rsidR="00F312A0">
        <w:t xml:space="preserve"> </w:t>
      </w:r>
      <w:r>
        <w:t>verdeutlicht und unterstreicht das Interesse des Staatsministeriums für</w:t>
      </w:r>
      <w:r w:rsidR="00F312A0">
        <w:t xml:space="preserve"> </w:t>
      </w:r>
      <w:r>
        <w:t>Unterricht und Kultus, die Schulart Wirtschaftsschule zu stärken.</w:t>
      </w:r>
    </w:p>
    <w:p w:rsidR="006E5140" w:rsidRDefault="006E5140" w:rsidP="00F312A0">
      <w:pPr>
        <w:pStyle w:val="LTAntwortRessortText"/>
        <w:spacing w:before="0"/>
      </w:pPr>
      <w:r>
        <w:t>Neben diesem wichtigen strukturellen Entwicklungsschritt hat das Bayerische Staatsministerium</w:t>
      </w:r>
      <w:r w:rsidR="00F312A0">
        <w:t xml:space="preserve"> </w:t>
      </w:r>
      <w:r>
        <w:t>für Unterricht und Kultus eine Arbeitsgruppe eingerichtet, um die Wirtschaftsschule</w:t>
      </w:r>
      <w:r w:rsidR="00F312A0">
        <w:t xml:space="preserve"> </w:t>
      </w:r>
      <w:r>
        <w:t>in ihrem Bildungsangebot den aktuellen Anforderungen anzupassen</w:t>
      </w:r>
      <w:r w:rsidR="00F312A0">
        <w:t xml:space="preserve"> </w:t>
      </w:r>
      <w:r>
        <w:t>und damit die Attraktivität dieser Schulart zu steigern.</w:t>
      </w:r>
      <w:r w:rsidR="00F312A0">
        <w:t xml:space="preserve"> </w:t>
      </w:r>
      <w:r>
        <w:t>Die strategische Grundausrichtung des Konzepts besteht in der Stärkung und Schärfung</w:t>
      </w:r>
      <w:r w:rsidR="00F312A0">
        <w:t xml:space="preserve"> </w:t>
      </w:r>
      <w:r>
        <w:t>des Profils der Wirtschaftsschule als berufliche Schule. Dazu werden im Lehrplan</w:t>
      </w:r>
      <w:r w:rsidR="00F312A0">
        <w:t xml:space="preserve"> </w:t>
      </w:r>
      <w:r>
        <w:t>folgende drei Kompetenzbereiche gestärkt:</w:t>
      </w:r>
    </w:p>
    <w:p w:rsidR="006E5140" w:rsidRDefault="006E5140" w:rsidP="001751A9">
      <w:pPr>
        <w:pStyle w:val="LTAntwortRessortText"/>
        <w:numPr>
          <w:ilvl w:val="1"/>
          <w:numId w:val="45"/>
        </w:numPr>
        <w:spacing w:before="0"/>
        <w:ind w:left="709"/>
      </w:pPr>
      <w:r>
        <w:t>Digitale Kompetenzen</w:t>
      </w:r>
    </w:p>
    <w:p w:rsidR="006E5140" w:rsidRDefault="006E5140" w:rsidP="001751A9">
      <w:pPr>
        <w:pStyle w:val="LTAntwortRessortText"/>
        <w:numPr>
          <w:ilvl w:val="1"/>
          <w:numId w:val="45"/>
        </w:numPr>
        <w:spacing w:before="0"/>
        <w:ind w:left="709"/>
      </w:pPr>
      <w:r>
        <w:t>Naturwissenschaftliche Kompetenzen</w:t>
      </w:r>
    </w:p>
    <w:p w:rsidR="006E5140" w:rsidRDefault="006E5140" w:rsidP="001751A9">
      <w:pPr>
        <w:pStyle w:val="LTAntwortRessortText"/>
        <w:numPr>
          <w:ilvl w:val="1"/>
          <w:numId w:val="45"/>
        </w:numPr>
        <w:spacing w:before="0"/>
        <w:ind w:left="709"/>
      </w:pPr>
      <w:r>
        <w:t>Berufliche Handlungskompetenzen</w:t>
      </w:r>
    </w:p>
    <w:p w:rsidR="006E5140" w:rsidRDefault="006E5140" w:rsidP="006E5140">
      <w:pPr>
        <w:pStyle w:val="LTAntwortRessortText"/>
      </w:pPr>
      <w:r>
        <w:t xml:space="preserve">Die Reform soll </w:t>
      </w:r>
      <w:r w:rsidR="005C0F48">
        <w:t>„</w:t>
      </w:r>
      <w:r>
        <w:t>hochwachsend</w:t>
      </w:r>
      <w:r w:rsidR="005C0F48">
        <w:t>“</w:t>
      </w:r>
      <w:r w:rsidR="00083AFA">
        <w:t xml:space="preserve"> implementiert werden, d. </w:t>
      </w:r>
      <w:r>
        <w:t>h. mit jedem neuen Schuljahr</w:t>
      </w:r>
      <w:r w:rsidR="00F312A0">
        <w:t xml:space="preserve"> </w:t>
      </w:r>
      <w:r>
        <w:t>steigt die nächsthöhere Jahrgangsstufe in den Reformprozess mit ein. Alle vierstufigen</w:t>
      </w:r>
      <w:r w:rsidR="00F312A0">
        <w:t xml:space="preserve"> </w:t>
      </w:r>
      <w:r>
        <w:t>Wirtschaftsschulen beginnen im September 2022 mit der Implementierung</w:t>
      </w:r>
      <w:r w:rsidR="00F312A0">
        <w:t xml:space="preserve"> </w:t>
      </w:r>
      <w:r>
        <w:t>des Reformkonzepts in der 7. Jahrgangsstufe.</w:t>
      </w:r>
    </w:p>
    <w:p w:rsidR="006E5140" w:rsidRDefault="006E5140" w:rsidP="006E5140">
      <w:pPr>
        <w:pStyle w:val="LTAntwortRessortText"/>
      </w:pPr>
      <w:r>
        <w:t>Das Staatsministerium verbindet mit diesem Reformkonzept das klare Ziel, die Wirtschaftsschulen</w:t>
      </w:r>
      <w:r w:rsidR="00F312A0">
        <w:t xml:space="preserve"> </w:t>
      </w:r>
      <w:r>
        <w:t>nicht nur in ihrem Fortbestand zu sichern, sondern in eine erfolgreiche</w:t>
      </w:r>
      <w:r w:rsidR="00F312A0">
        <w:t xml:space="preserve"> </w:t>
      </w:r>
      <w:r>
        <w:t>Zukunft zu führen.</w:t>
      </w:r>
    </w:p>
    <w:p w:rsidR="006E5140" w:rsidRDefault="006E5140">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56DE2" w:rsidTr="00156DE2">
        <w:tc>
          <w:tcPr>
            <w:tcW w:w="1883" w:type="dxa"/>
          </w:tcPr>
          <w:p w:rsidR="00156DE2" w:rsidRDefault="00156DE2" w:rsidP="00156DE2">
            <w:pPr>
              <w:pStyle w:val="LTAnfrageInitiator"/>
            </w:pPr>
            <w:r>
              <w:t>Abgeordnete</w:t>
            </w:r>
            <w:r>
              <w:rPr>
                <w:b/>
              </w:rPr>
              <w:br/>
              <w:t>Anne</w:t>
            </w:r>
            <w:r>
              <w:rPr>
                <w:b/>
              </w:rPr>
              <w:br/>
              <w:t>Franke</w:t>
            </w:r>
            <w:r>
              <w:rPr>
                <w:b/>
              </w:rPr>
              <w:br/>
            </w:r>
            <w:r>
              <w:t>(BÜNDNIS 90/DIE GRÜNEN)</w:t>
            </w:r>
            <w:bookmarkStart w:id="67" w:name="Frage_Nr_33"/>
            <w:bookmarkEnd w:id="67"/>
          </w:p>
        </w:tc>
        <w:tc>
          <w:tcPr>
            <w:tcW w:w="5733" w:type="dxa"/>
          </w:tcPr>
          <w:p w:rsidR="00156DE2" w:rsidRPr="000E31FC" w:rsidRDefault="00156DE2" w:rsidP="000E31FC">
            <w:pPr>
              <w:pStyle w:val="LTAnfrageText"/>
            </w:pPr>
            <w:r w:rsidRPr="000E31FC">
              <w:t xml:space="preserve">Ich frage die Staatsregierung, wie viel Geld in die Hochbegabtenförderung an bayerischen Schulen fließt, wie viel höher die Pro-Kopf-Ausgaben für die Schülerinnen und Schüler entsprechender Förderprogramme und -klassen (eingerechnet die kleinere Klassengröße) im Vergleich zu den durchschnittlichen Ausgaben für bayerische Schülerinnen und Schüler sind und </w:t>
            </w:r>
            <w:r w:rsidR="001751A9">
              <w:t xml:space="preserve">ob </w:t>
            </w:r>
            <w:r w:rsidRPr="000E31FC">
              <w:t xml:space="preserve">es Evaluationen gibt, die diese Mehrausgaben langfristig rechtfertigen? </w:t>
            </w:r>
          </w:p>
        </w:tc>
        <w:tc>
          <w:tcPr>
            <w:tcW w:w="5733"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Der Auftrag zur und die Rechtfertigung der Hochbegabtenförderung ergibt sich aus</w:t>
      </w:r>
      <w:r w:rsidR="00C759A0">
        <w:t xml:space="preserve"> </w:t>
      </w:r>
      <w:r>
        <w:t xml:space="preserve">Art. 128 und Art. 132 </w:t>
      </w:r>
      <w:r w:rsidR="00083AFA">
        <w:t>Bayerische Verfassung (</w:t>
      </w:r>
      <w:r>
        <w:t>BV</w:t>
      </w:r>
      <w:r w:rsidR="00083AFA">
        <w:t>)</w:t>
      </w:r>
      <w:r>
        <w:t xml:space="preserve">, in denen der Anspruch auf eine den </w:t>
      </w:r>
      <w:r w:rsidR="005C0F48">
        <w:t>„</w:t>
      </w:r>
      <w:r>
        <w:t>erkennbaren Fähigkeiten</w:t>
      </w:r>
      <w:r w:rsidR="00C759A0">
        <w:t xml:space="preserve"> </w:t>
      </w:r>
      <w:r>
        <w:t>entsprechende Ausbildung</w:t>
      </w:r>
      <w:r w:rsidR="005C0F48">
        <w:t>“</w:t>
      </w:r>
      <w:r>
        <w:t xml:space="preserve"> sowie eine den </w:t>
      </w:r>
      <w:r w:rsidR="005C0F48">
        <w:t>„</w:t>
      </w:r>
      <w:r>
        <w:t>Anlagen</w:t>
      </w:r>
      <w:r w:rsidR="005C0F48">
        <w:t>“</w:t>
      </w:r>
      <w:r>
        <w:t xml:space="preserve"> und der </w:t>
      </w:r>
      <w:r w:rsidR="005C0F48">
        <w:t>„</w:t>
      </w:r>
      <w:r>
        <w:t>Leistung</w:t>
      </w:r>
      <w:r w:rsidR="005C0F48">
        <w:t>“</w:t>
      </w:r>
      <w:r>
        <w:t xml:space="preserve"> entsprechende</w:t>
      </w:r>
      <w:r w:rsidR="00C759A0">
        <w:t xml:space="preserve"> </w:t>
      </w:r>
      <w:r>
        <w:t>schulische Förderung festgeschrieben sind:</w:t>
      </w:r>
    </w:p>
    <w:p w:rsidR="006E5140" w:rsidRPr="00C759A0" w:rsidRDefault="001751A9" w:rsidP="006E5140">
      <w:pPr>
        <w:pStyle w:val="LTAntwortRessortText"/>
        <w:rPr>
          <w:u w:val="single"/>
        </w:rPr>
      </w:pPr>
      <w:r>
        <w:rPr>
          <w:u w:val="single"/>
        </w:rPr>
        <w:t>„</w:t>
      </w:r>
      <w:r w:rsidR="006E5140" w:rsidRPr="00C759A0">
        <w:rPr>
          <w:u w:val="single"/>
        </w:rPr>
        <w:t>Art. 128</w:t>
      </w:r>
    </w:p>
    <w:p w:rsidR="006E5140" w:rsidRDefault="006E5140" w:rsidP="00C759A0">
      <w:pPr>
        <w:pStyle w:val="LTAntwortRessortText"/>
        <w:spacing w:before="0"/>
      </w:pPr>
      <w:r>
        <w:t>(1) Jeder Bewohner Bayerns hat Anspruch darauf, eine seinen erkennbaren Fähigkeiten</w:t>
      </w:r>
      <w:r w:rsidR="00C759A0">
        <w:t xml:space="preserve"> </w:t>
      </w:r>
      <w:r>
        <w:t>und seiner inneren Berufung entsprechende Ausbildung zu erhalten.</w:t>
      </w:r>
    </w:p>
    <w:p w:rsidR="006E5140" w:rsidRDefault="006E5140" w:rsidP="006E5140">
      <w:pPr>
        <w:pStyle w:val="LTAntwortRessortText"/>
      </w:pPr>
      <w:r>
        <w:t>(2) Begabten ist der Besuch von Schulen und Hochschulen, nötigenfalls aus öffentlichen</w:t>
      </w:r>
      <w:r w:rsidR="00C759A0">
        <w:t xml:space="preserve"> </w:t>
      </w:r>
      <w:r>
        <w:t>Mitteln zu ermöglichen.</w:t>
      </w:r>
      <w:r w:rsidR="001751A9">
        <w:t>“</w:t>
      </w:r>
    </w:p>
    <w:p w:rsidR="006E5140" w:rsidRPr="00C759A0" w:rsidRDefault="001751A9" w:rsidP="006E5140">
      <w:pPr>
        <w:pStyle w:val="LTAntwortRessortText"/>
        <w:rPr>
          <w:u w:val="single"/>
        </w:rPr>
      </w:pPr>
      <w:r>
        <w:rPr>
          <w:u w:val="single"/>
        </w:rPr>
        <w:t>„</w:t>
      </w:r>
      <w:r w:rsidR="006E5140" w:rsidRPr="00C759A0">
        <w:rPr>
          <w:u w:val="single"/>
        </w:rPr>
        <w:t>Art. 132</w:t>
      </w:r>
    </w:p>
    <w:p w:rsidR="006E5140" w:rsidRDefault="006E5140" w:rsidP="00C759A0">
      <w:pPr>
        <w:pStyle w:val="LTAntwortRessortText"/>
        <w:spacing w:before="0"/>
      </w:pPr>
      <w:r>
        <w:t>Für den Aufbau des Schulwesens ist die Mannigfaltigkeit der Lebensberufe, für die</w:t>
      </w:r>
      <w:r w:rsidR="00C759A0">
        <w:t xml:space="preserve"> </w:t>
      </w:r>
      <w:r>
        <w:t>Aufnahme eines Kindes in eine bestimmte Schule sind seine Anlagen, seine Neigung,</w:t>
      </w:r>
      <w:r w:rsidR="00C759A0">
        <w:t xml:space="preserve"> </w:t>
      </w:r>
      <w:r>
        <w:t>seine Leistung und seine innere Berufung maßgebend, nicht aber die wirtschaftliche</w:t>
      </w:r>
      <w:r w:rsidR="00C759A0">
        <w:t xml:space="preserve"> </w:t>
      </w:r>
      <w:r>
        <w:t>und gesellschaftliche Stellung der Eltern.</w:t>
      </w:r>
      <w:r w:rsidR="001751A9">
        <w:t>“</w:t>
      </w:r>
    </w:p>
    <w:p w:rsidR="006E5140" w:rsidRDefault="006E5140" w:rsidP="006E5140">
      <w:pPr>
        <w:pStyle w:val="LTAntwortRessortText"/>
      </w:pPr>
      <w:r>
        <w:t>Begabtenförderung gehört daher ebenso wie die Förderung von Kindern und Jugendlichen</w:t>
      </w:r>
      <w:r w:rsidR="00C759A0">
        <w:t xml:space="preserve"> </w:t>
      </w:r>
      <w:r>
        <w:t>mit schwierigeren Startbedingungen zum Kern von Bildungsgerechtigkeit.</w:t>
      </w:r>
    </w:p>
    <w:p w:rsidR="006E5140" w:rsidRDefault="006E5140" w:rsidP="006E5140">
      <w:pPr>
        <w:pStyle w:val="LTAntwortRessortText"/>
      </w:pPr>
      <w:r>
        <w:t>Das bayerische Gesamtkonzept der Begabtenförderung geht von einem breiten Begabungsbegriff</w:t>
      </w:r>
      <w:r w:rsidR="00C759A0">
        <w:t xml:space="preserve"> </w:t>
      </w:r>
      <w:r>
        <w:t>aus. Hochbegabtenförderung stellt damit einen Teil möglicher Förderkonzepte</w:t>
      </w:r>
      <w:r w:rsidR="00C759A0">
        <w:t xml:space="preserve"> </w:t>
      </w:r>
      <w:r>
        <w:t>an verschiedenen Schularten dar. Hochbegabtenförderung ist Förderung von</w:t>
      </w:r>
      <w:r w:rsidR="00C759A0">
        <w:t xml:space="preserve"> </w:t>
      </w:r>
      <w:r>
        <w:t>Schülerinnen und Schülern, die durch psychodiagnostische Verfahren als besonders</w:t>
      </w:r>
      <w:r w:rsidR="00C759A0">
        <w:t xml:space="preserve"> </w:t>
      </w:r>
      <w:r>
        <w:t>intelligent eingestuft werden. In Bayern wird Hochbegabtenförderung hauptsächlich in</w:t>
      </w:r>
      <w:r w:rsidR="00C759A0">
        <w:t xml:space="preserve"> </w:t>
      </w:r>
      <w:r>
        <w:t>den Förderklassen für Hochbegabte an Gymnasien angeboten. Gemäß der Fragestellung</w:t>
      </w:r>
      <w:r w:rsidR="00C759A0">
        <w:t xml:space="preserve"> </w:t>
      </w:r>
      <w:r>
        <w:t>der Anfrage zum Plenum wird daher im Folgenden vor allem auf Maßnahmen der</w:t>
      </w:r>
      <w:r w:rsidR="00C759A0">
        <w:t xml:space="preserve"> </w:t>
      </w:r>
      <w:r>
        <w:t>Hochbegabtenförderung sowie auf Förderangebote, für die ein Auswahlverfahren zu</w:t>
      </w:r>
      <w:r w:rsidR="00C759A0">
        <w:t xml:space="preserve"> </w:t>
      </w:r>
      <w:r>
        <w:t>durchlaufen ist, an bayerischen Gymnasien Bezug genommen.</w:t>
      </w:r>
      <w:r w:rsidR="00C759A0">
        <w:t xml:space="preserve"> </w:t>
      </w:r>
      <w:r>
        <w:t>Für die Hochbe</w:t>
      </w:r>
      <w:r w:rsidR="00083AFA">
        <w:t xml:space="preserve">gabtenklassen im Vollausbau (Jahrgang 5 bis </w:t>
      </w:r>
      <w:r>
        <w:t>11 im G</w:t>
      </w:r>
      <w:r w:rsidR="00083AFA">
        <w:t> </w:t>
      </w:r>
      <w:r>
        <w:t>9) beträgt der Mehrbedarf</w:t>
      </w:r>
      <w:r w:rsidR="00C759A0">
        <w:t xml:space="preserve"> </w:t>
      </w:r>
      <w:r>
        <w:t>pro Schule ca. vier Stellenäquivalente (derzeit existieren an acht Gymnasien voll ausgebaute</w:t>
      </w:r>
      <w:r w:rsidR="00C759A0">
        <w:t xml:space="preserve"> </w:t>
      </w:r>
      <w:r>
        <w:t>Förderklassen, an einem Gymnasium ist diese im Aufbau). Zudem standen</w:t>
      </w:r>
      <w:r w:rsidR="00C759A0">
        <w:t xml:space="preserve"> </w:t>
      </w:r>
      <w:r>
        <w:t>im Jahr 2019 (letztes Vor-Corona-Jahr, letzte vollständige Datenabfrage) im Einzelplan</w:t>
      </w:r>
      <w:r w:rsidR="00C759A0">
        <w:t xml:space="preserve"> </w:t>
      </w:r>
      <w:r w:rsidR="00083AFA">
        <w:t>05 des Staatshaushalts bei Tit. 547 </w:t>
      </w:r>
      <w:r>
        <w:t xml:space="preserve">13-4 </w:t>
      </w:r>
      <w:r w:rsidR="005C0F48">
        <w:t>„</w:t>
      </w:r>
      <w:r>
        <w:t>Förderung hochbegabter und besonders</w:t>
      </w:r>
      <w:r w:rsidR="00C759A0">
        <w:t xml:space="preserve"> </w:t>
      </w:r>
      <w:r>
        <w:t>leistungsfähiger Schülerinnen und Schüler am Gymnasium</w:t>
      </w:r>
      <w:r w:rsidR="005C0F48">
        <w:t>“</w:t>
      </w:r>
      <w:r>
        <w:t xml:space="preserve"> Haushaltsmittel in Höhe</w:t>
      </w:r>
      <w:r w:rsidR="00C759A0">
        <w:t xml:space="preserve"> </w:t>
      </w:r>
      <w:r w:rsidR="001751A9">
        <w:t>von 350.600</w:t>
      </w:r>
      <w:r>
        <w:t xml:space="preserve"> </w:t>
      </w:r>
      <w:r w:rsidR="005C0F48">
        <w:t>Euro</w:t>
      </w:r>
      <w:r>
        <w:t xml:space="preserve"> (abzüglich der haushaltsgesetzlichen Sperre) </w:t>
      </w:r>
      <w:r w:rsidR="00083AFA">
        <w:t>u. </w:t>
      </w:r>
      <w:r w:rsidR="005C0F48">
        <w:t>a.</w:t>
      </w:r>
      <w:r>
        <w:t xml:space="preserve"> für Fördermaßnahmen</w:t>
      </w:r>
      <w:r w:rsidR="00B86E32">
        <w:t xml:space="preserve"> </w:t>
      </w:r>
      <w:r>
        <w:t>im Rahmen der Ferienseminare, schulübergreifenden Schülerakademien, Hochbegabtenklassen,</w:t>
      </w:r>
      <w:r w:rsidR="00B86E32">
        <w:t xml:space="preserve"> </w:t>
      </w:r>
      <w:r>
        <w:t>Angebote des Elitenetzwerks Bayern, des Unitags und der Kompetenz-</w:t>
      </w:r>
      <w:r w:rsidR="00B86E32">
        <w:t xml:space="preserve"> </w:t>
      </w:r>
      <w:r>
        <w:t>sowie Regionalzentren für Begabtenförderung zur Verfügung, an denen im</w:t>
      </w:r>
      <w:r w:rsidR="00B86E32">
        <w:t xml:space="preserve"> </w:t>
      </w:r>
      <w:r>
        <w:t>Schuljahr 2018/</w:t>
      </w:r>
      <w:r w:rsidR="00083AFA">
        <w:t>2019 knapp 20 </w:t>
      </w:r>
      <w:r>
        <w:t>000 Schülerinnen und Schüler teilnahmen. Da diese von</w:t>
      </w:r>
      <w:r w:rsidR="00B86E32">
        <w:t xml:space="preserve"> </w:t>
      </w:r>
      <w:r>
        <w:t>verschiedenen Schulen kamen und zum Teil mehrere Förderangebote wahrnahmen,</w:t>
      </w:r>
      <w:r w:rsidR="00B86E32">
        <w:t xml:space="preserve"> </w:t>
      </w:r>
      <w:r>
        <w:t>ist eine Berechnung der Pro-Kopf-Ausgaben nicht möglich.</w:t>
      </w:r>
    </w:p>
    <w:p w:rsidR="006E5140" w:rsidRDefault="006E5140" w:rsidP="00B86E32">
      <w:pPr>
        <w:pStyle w:val="LTAntwortRessortText"/>
        <w:spacing w:before="0"/>
      </w:pPr>
      <w:r>
        <w:t>Neben der Umsetzung des eingangs genannten Verfassungsauftrags und des damit</w:t>
      </w:r>
      <w:r w:rsidR="00B86E32">
        <w:t xml:space="preserve"> </w:t>
      </w:r>
      <w:r>
        <w:t>verbundenen Ziels der Bildungsgerechtigkeit rechtfertigen auch wissenschaftliche</w:t>
      </w:r>
      <w:r w:rsidR="00B86E32">
        <w:t xml:space="preserve"> </w:t>
      </w:r>
      <w:r>
        <w:t>Evaluationen, die die Effizienz der bayerischen Hochbegabtenförderung belegen, die</w:t>
      </w:r>
      <w:r w:rsidR="00B86E32">
        <w:t xml:space="preserve"> </w:t>
      </w:r>
      <w:r>
        <w:t>Maßnahmen der Hochbegabtenförderung. Beispielhaft seien die Evaluation der Hochbegabtenklassen</w:t>
      </w:r>
      <w:r w:rsidR="00B86E32">
        <w:t xml:space="preserve"> </w:t>
      </w:r>
      <w:r>
        <w:t>(PULSS - Projekt zur Evaluation der Begabtenklassen in Bayern und</w:t>
      </w:r>
      <w:r w:rsidR="00B86E32">
        <w:t xml:space="preserve"> </w:t>
      </w:r>
      <w:r>
        <w:t>Baden-Württemberg) unter Federführung von Prof. Wolfgang Schneider in den Jahren</w:t>
      </w:r>
      <w:r w:rsidR="00B86E32">
        <w:t xml:space="preserve"> </w:t>
      </w:r>
      <w:r>
        <w:t>2008 bis 2015 sowie die Evaluation der bayerischen Ferienseminare für vielseitig interessierte</w:t>
      </w:r>
      <w:r w:rsidR="00B86E32">
        <w:t xml:space="preserve"> </w:t>
      </w:r>
      <w:r>
        <w:t>und begabte Gymnasiasten unter Federführung von PD Dr. Eva Stumpf</w:t>
      </w:r>
      <w:r w:rsidR="00B86E32">
        <w:t xml:space="preserve"> </w:t>
      </w:r>
      <w:r>
        <w:t>(2014) genannt.</w:t>
      </w:r>
    </w:p>
    <w:p w:rsidR="006E5140" w:rsidRDefault="006E5140">
      <w:bookmarkStart w:id="68" w:name="Frage_Nr_33_Ende"/>
      <w:bookmarkEnd w:id="6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56DE2" w:rsidTr="00156DE2">
        <w:tc>
          <w:tcPr>
            <w:tcW w:w="1854" w:type="dxa"/>
          </w:tcPr>
          <w:p w:rsidR="00156DE2" w:rsidRDefault="00156DE2" w:rsidP="00156DE2">
            <w:pPr>
              <w:pStyle w:val="LTAnfrageInitiator"/>
            </w:pPr>
            <w:r>
              <w:t>Abgeordneter</w:t>
            </w:r>
            <w:r>
              <w:rPr>
                <w:b/>
              </w:rPr>
              <w:br/>
              <w:t>Alexander</w:t>
            </w:r>
            <w:r>
              <w:rPr>
                <w:b/>
              </w:rPr>
              <w:br/>
              <w:t>Muthmann</w:t>
            </w:r>
            <w:r>
              <w:rPr>
                <w:b/>
              </w:rPr>
              <w:br/>
            </w:r>
            <w:r>
              <w:t>(FDP)</w:t>
            </w:r>
            <w:bookmarkStart w:id="69" w:name="Frage_Nr_34"/>
            <w:bookmarkEnd w:id="69"/>
          </w:p>
        </w:tc>
        <w:tc>
          <w:tcPr>
            <w:tcW w:w="5762" w:type="dxa"/>
          </w:tcPr>
          <w:p w:rsidR="00156DE2" w:rsidRPr="000E31FC" w:rsidRDefault="00156DE2" w:rsidP="001751A9">
            <w:pPr>
              <w:pStyle w:val="LTAnfrageText"/>
            </w:pPr>
            <w:r w:rsidRPr="000E31FC">
              <w:t xml:space="preserve">Vor dem Hintergrund des Vollzugsberichts vom 11.10.2021 zu Drs. 16/18238 frage ich die Staatsregierung, welche Elemente des Gesamtkonzepts zur MINT-Förderung (MINT = Mathematik, Informatik, Naturwissenschaft und Technik) sie als umgesetzt betrachtet (bitte einzeln und mit Begründung auf die Punkte MINT-Bildungskette vom Kindergarten bis zur Studien- und Berufswahl, </w:t>
            </w:r>
            <w:r w:rsidR="001751A9">
              <w:t>a</w:t>
            </w:r>
            <w:r w:rsidRPr="000E31FC">
              <w:t>ußerschulische MINT-Lernorte, Ausbau regionaler MINT-Netzwerke und Aufbau einer zentralen Datenbank zur MINT-Unterstützung vor Ort eingehen), wie sich der Fortschritt je MINT-Region gestaltet (bitte insbesondere auf das Vorhandensein von Schülerlaboren und Schülerforschungszentren, den Anstellungszeitraum des jeweiligen MINT-</w:t>
            </w:r>
            <w:r w:rsidR="001751A9">
              <w:t>Managers und die eventuelle Kof</w:t>
            </w:r>
            <w:r w:rsidRPr="000E31FC">
              <w:t>inanzierung durch den Bund eingehen) und worin der im aktuellen Zwischenbericht erwähnte weitere Abstimmungsbedarf genau besteht?</w:t>
            </w:r>
          </w:p>
        </w:tc>
        <w:tc>
          <w:tcPr>
            <w:tcW w:w="5762"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Mit Zwischenbericht vom 27.02.2020 wurde ausführlich über die seit April</w:t>
      </w:r>
      <w:r w:rsidR="005F5034">
        <w:t xml:space="preserve"> </w:t>
      </w:r>
      <w:r>
        <w:t>2017 geförderten acht MINT-Regionen berichtet. Darüber hinaus wurden</w:t>
      </w:r>
      <w:r w:rsidR="005F5034">
        <w:t xml:space="preserve"> </w:t>
      </w:r>
      <w:r>
        <w:t>Informationen zu den weiteren drei MINT-Regionen (MINT-Region Landkreis</w:t>
      </w:r>
      <w:r w:rsidR="005F5034">
        <w:t xml:space="preserve"> </w:t>
      </w:r>
      <w:r>
        <w:t>Miesbach, MINT-Region Regensburg, MINT-Region Schwandorf) der</w:t>
      </w:r>
      <w:r w:rsidR="005F5034">
        <w:t xml:space="preserve"> </w:t>
      </w:r>
      <w:r>
        <w:t>zweiten Förderperiode ab Mai 2019 übermittelt. Auch diese drei MINT-Regionen</w:t>
      </w:r>
      <w:r w:rsidR="005F5034">
        <w:t xml:space="preserve"> </w:t>
      </w:r>
      <w:r>
        <w:t>haben sich nach Rückmeldung des MINT-Büros Bayern, das die</w:t>
      </w:r>
      <w:r w:rsidR="005F5034">
        <w:t xml:space="preserve"> </w:t>
      </w:r>
      <w:r>
        <w:t>Projektkoordination innehat, positiv entwickelt. Im Rahmen der Förderung</w:t>
      </w:r>
      <w:r w:rsidR="005F5034">
        <w:t xml:space="preserve"> </w:t>
      </w:r>
      <w:r>
        <w:t>finanziert die Staatsregierung den MINT-Regionen über einen Zeitraum von</w:t>
      </w:r>
      <w:r w:rsidR="005F5034">
        <w:t xml:space="preserve"> </w:t>
      </w:r>
      <w:r>
        <w:t>zwei Jahren das regionale MINT-Management. Diese Förderung ist in den</w:t>
      </w:r>
      <w:r w:rsidR="005F5034">
        <w:t xml:space="preserve"> </w:t>
      </w:r>
      <w:r>
        <w:t>MINT-Regionen Landkreis Miesbach und Schwandorf im Sommer 2021</w:t>
      </w:r>
      <w:r w:rsidR="005F5034">
        <w:t xml:space="preserve"> </w:t>
      </w:r>
      <w:r>
        <w:t>ausgelaufen. Der Vertrag des MINT-Managers der MINT-Region Regensburg</w:t>
      </w:r>
      <w:r w:rsidR="005F5034">
        <w:t xml:space="preserve"> </w:t>
      </w:r>
      <w:r>
        <w:t>wurde aufgrund einer Elternzeit noch bis zum 15.11.2021 verlängert.</w:t>
      </w:r>
    </w:p>
    <w:p w:rsidR="006E5140" w:rsidRDefault="006E5140" w:rsidP="005F5034">
      <w:pPr>
        <w:pStyle w:val="LTAntwortRessortText"/>
        <w:spacing w:before="0"/>
      </w:pPr>
      <w:r>
        <w:t>Das MINT-Büro Bayern begleitet im Anschluss an die staatliche Finanzierung</w:t>
      </w:r>
      <w:r w:rsidR="005F5034">
        <w:t xml:space="preserve"> </w:t>
      </w:r>
      <w:r>
        <w:t>den Transformationsprozess hin zur regionalen Finanzierung. Ausschließlich</w:t>
      </w:r>
      <w:r w:rsidR="005F5034">
        <w:t xml:space="preserve"> </w:t>
      </w:r>
      <w:r>
        <w:t>der Transformationsprozess der MINT-Region Regensburg steht</w:t>
      </w:r>
      <w:r w:rsidR="005F5034">
        <w:t xml:space="preserve"> </w:t>
      </w:r>
      <w:r>
        <w:t>aufgrund der Verlängerung noch aus. Mit erfolgreicher Transformation dieser</w:t>
      </w:r>
      <w:r w:rsidR="005F5034">
        <w:t xml:space="preserve"> </w:t>
      </w:r>
      <w:r>
        <w:t>MINT-Region gilt die Umsetzung des o.</w:t>
      </w:r>
      <w:r w:rsidR="00951E60">
        <w:t> </w:t>
      </w:r>
      <w:r>
        <w:t>g. Beschlusses seitens der</w:t>
      </w:r>
      <w:r w:rsidR="005F5034">
        <w:t xml:space="preserve"> </w:t>
      </w:r>
      <w:r>
        <w:t>Staatsregierung als vollzogen.</w:t>
      </w:r>
    </w:p>
    <w:p w:rsidR="006E5140" w:rsidRDefault="006E5140" w:rsidP="005F5034">
      <w:pPr>
        <w:pStyle w:val="LTAntwortRessortText"/>
        <w:spacing w:before="0"/>
      </w:pPr>
      <w:r>
        <w:t>Das MINT-Büro Bayern erstellt mit Abschluss der Maßnahme einen ausführlichen</w:t>
      </w:r>
      <w:r w:rsidR="005F5034">
        <w:t xml:space="preserve"> </w:t>
      </w:r>
      <w:r>
        <w:t>Bericht über die Entwicklung und den Status des MINT-Netzes</w:t>
      </w:r>
      <w:r w:rsidR="005F5034">
        <w:t xml:space="preserve"> </w:t>
      </w:r>
      <w:r>
        <w:t>Bayern, der als Grundlage für den mit Zwischenbericht vom 11.10.2021 voraussichtlich</w:t>
      </w:r>
      <w:r w:rsidR="005F5034">
        <w:t xml:space="preserve"> </w:t>
      </w:r>
      <w:r>
        <w:t>zum 01.02.2022 in Aussicht gestellten Bericht dient. Neben</w:t>
      </w:r>
      <w:r w:rsidR="005F5034">
        <w:t xml:space="preserve"> </w:t>
      </w:r>
      <w:r>
        <w:t>den im Rahmen der Vernetzungs- und Unterstützungsarbeit gewonnenen</w:t>
      </w:r>
      <w:r w:rsidR="005F5034">
        <w:t xml:space="preserve"> </w:t>
      </w:r>
      <w:r>
        <w:t>Erkenntnissen des MINT-Büros Bayern sind Abschlussberichte aller elf</w:t>
      </w:r>
      <w:r w:rsidR="005F5034">
        <w:t xml:space="preserve"> </w:t>
      </w:r>
      <w:r>
        <w:t>MINT-Regionen Grundlage des Berichts. Die Abschlussberichte der MINT</w:t>
      </w:r>
      <w:r w:rsidR="001751A9">
        <w:t>-</w:t>
      </w:r>
      <w:r>
        <w:t>Regionen</w:t>
      </w:r>
      <w:r w:rsidR="005F5034">
        <w:t xml:space="preserve"> </w:t>
      </w:r>
      <w:r>
        <w:t>werden von den MINT-Managements der MINT-Regionen erstellt</w:t>
      </w:r>
      <w:r w:rsidR="005F5034">
        <w:t xml:space="preserve"> </w:t>
      </w:r>
      <w:r>
        <w:t>und an das MINT-Büro Bayern gegeben. Nachdem insbesondere die MINT</w:t>
      </w:r>
      <w:r w:rsidR="001751A9">
        <w:t>-</w:t>
      </w:r>
      <w:r>
        <w:t>Region</w:t>
      </w:r>
      <w:r w:rsidR="005F5034">
        <w:t xml:space="preserve"> </w:t>
      </w:r>
      <w:r>
        <w:t>Regensburg diesen Bericht nicht vor Dezember 2021 übermitteln</w:t>
      </w:r>
      <w:r w:rsidR="005F5034">
        <w:t xml:space="preserve"> </w:t>
      </w:r>
      <w:r w:rsidR="00AC47A0">
        <w:t>kann, wurde –</w:t>
      </w:r>
      <w:r>
        <w:t xml:space="preserve"> auch um in Folge der Auswirkungen der </w:t>
      </w:r>
      <w:r w:rsidR="005C0F48">
        <w:t>Coronapandemie</w:t>
      </w:r>
      <w:r w:rsidR="005F5034">
        <w:t xml:space="preserve"> </w:t>
      </w:r>
      <w:r>
        <w:t>eine gewisse Entlastung zu</w:t>
      </w:r>
      <w:r w:rsidR="00AC47A0">
        <w:t xml:space="preserve"> schaffen –</w:t>
      </w:r>
      <w:r>
        <w:t xml:space="preserve"> der Abgabetermin für alle anderen</w:t>
      </w:r>
      <w:r w:rsidR="005F5034">
        <w:t xml:space="preserve"> </w:t>
      </w:r>
      <w:r>
        <w:t>MINT-Regionen ebenfalls auf Dezember 2021 terminiert.</w:t>
      </w:r>
    </w:p>
    <w:p w:rsidR="006E5140" w:rsidRDefault="006E5140" w:rsidP="006E5140">
      <w:pPr>
        <w:pStyle w:val="LTAntwortRessortText"/>
      </w:pPr>
      <w:r>
        <w:t>Nach Einschätzung der Leiterin des MINT-Büros Bayern vom 18.10.2021</w:t>
      </w:r>
      <w:r w:rsidR="005F5034">
        <w:t xml:space="preserve"> </w:t>
      </w:r>
      <w:r>
        <w:t>entwickelten sich die MINT-Regionen des MINT-Netzes Bayern im Jahr</w:t>
      </w:r>
      <w:r w:rsidR="005F5034">
        <w:t xml:space="preserve"> </w:t>
      </w:r>
      <w:r>
        <w:t>2021 sehr zufriedenstellend weiter. Trotz Einschränkungen durch die</w:t>
      </w:r>
      <w:r w:rsidR="005F5034">
        <w:t xml:space="preserve"> </w:t>
      </w:r>
      <w:r w:rsidR="005C0F48">
        <w:t>Coronapandemie</w:t>
      </w:r>
      <w:r>
        <w:t xml:space="preserve"> konnten die MINT-Managerinnen und MINT-Manager</w:t>
      </w:r>
      <w:r w:rsidR="005F5034">
        <w:t xml:space="preserve"> </w:t>
      </w:r>
      <w:r>
        <w:t>ihre regionalen MINT-Bildungsnetzwerke weiter ausbauen und viele regionale</w:t>
      </w:r>
      <w:r w:rsidR="005F5034">
        <w:t xml:space="preserve"> </w:t>
      </w:r>
      <w:r>
        <w:t>MINT-Projekte umsetzen. In den MINT-Regionen ist die MINT-Bildungskette</w:t>
      </w:r>
      <w:r w:rsidR="005F5034">
        <w:t xml:space="preserve"> </w:t>
      </w:r>
      <w:r>
        <w:t xml:space="preserve">trotz der </w:t>
      </w:r>
      <w:r w:rsidR="005C0F48">
        <w:t>Coronapandemie</w:t>
      </w:r>
      <w:r>
        <w:t xml:space="preserve"> durch unterschiedlichste Angebote,</w:t>
      </w:r>
      <w:r w:rsidR="005F5034">
        <w:t xml:space="preserve"> </w:t>
      </w:r>
      <w:r>
        <w:t>Veranstaltungen, Projekte und Aktionen weitestgehend geschlossen. Ausschlaggebend</w:t>
      </w:r>
      <w:r w:rsidR="005F5034">
        <w:t xml:space="preserve"> </w:t>
      </w:r>
      <w:r>
        <w:t>für eine durchgängige MINT-Bildungskette vor Ort ist vor allem</w:t>
      </w:r>
      <w:r w:rsidR="005F5034">
        <w:t xml:space="preserve"> </w:t>
      </w:r>
      <w:r>
        <w:t>die Unterstützung des MINT-Managements in den Regionen sowie die</w:t>
      </w:r>
      <w:r w:rsidR="005F5034">
        <w:t xml:space="preserve"> </w:t>
      </w:r>
      <w:r>
        <w:t>Unterstützung von und Zusammenarbeit mit lokalen, aber auch überregionalen</w:t>
      </w:r>
      <w:r w:rsidR="005F5034">
        <w:t xml:space="preserve"> </w:t>
      </w:r>
      <w:r>
        <w:t>Netzwerkpartnern. Vielerorts gibt es bereits außerschulische Lernorte</w:t>
      </w:r>
      <w:r w:rsidR="005F5034">
        <w:t xml:space="preserve"> </w:t>
      </w:r>
      <w:r>
        <w:t>wie S</w:t>
      </w:r>
      <w:r w:rsidR="00C83D71">
        <w:t>chülerlabore / </w:t>
      </w:r>
      <w:r>
        <w:t>digitale Schülerlabore, Schülerforschungszentren oder</w:t>
      </w:r>
      <w:r w:rsidR="005F5034">
        <w:t xml:space="preserve"> </w:t>
      </w:r>
      <w:r>
        <w:t>FabLabs (Mobile Labore), die einen wertvollen Beitrag zur MINT-Bildung</w:t>
      </w:r>
      <w:r w:rsidR="005F5034">
        <w:t xml:space="preserve"> </w:t>
      </w:r>
      <w:r>
        <w:t xml:space="preserve">leisten, </w:t>
      </w:r>
      <w:r w:rsidR="00C83D71">
        <w:t>z. </w:t>
      </w:r>
      <w:r w:rsidR="005C0F48">
        <w:t>B.</w:t>
      </w:r>
      <w:r>
        <w:t xml:space="preserve"> in den MINT-Regionen A³, Cham, Mittelfranken, Münchner</w:t>
      </w:r>
      <w:r w:rsidR="005F5034">
        <w:t xml:space="preserve"> </w:t>
      </w:r>
      <w:r>
        <w:t>Umland, Landkreis Miesbach und Regensburg. Weitere MINT-Regionen</w:t>
      </w:r>
      <w:r w:rsidR="005F5034">
        <w:t xml:space="preserve"> </w:t>
      </w:r>
      <w:r>
        <w:t>haben bereits Konzepte für außerschulische Lernorte entwickelt und arbeiten</w:t>
      </w:r>
      <w:r w:rsidR="005F5034">
        <w:t xml:space="preserve"> </w:t>
      </w:r>
      <w:r>
        <w:t>an der Umsetzung.</w:t>
      </w:r>
    </w:p>
    <w:p w:rsidR="006E5140" w:rsidRDefault="006E5140" w:rsidP="006E5140">
      <w:pPr>
        <w:pStyle w:val="LTAntwortRessortText"/>
      </w:pPr>
      <w:r>
        <w:t>Der erwähnte weitere Abstimmungsbedarf bezieht sich auf die Zukunft der</w:t>
      </w:r>
      <w:r w:rsidR="0062042F">
        <w:t xml:space="preserve"> </w:t>
      </w:r>
      <w:r>
        <w:t>aufgebauten MINT-Regionen nach Abschluss der Maßnahme. Im Zwischenbericht</w:t>
      </w:r>
      <w:r w:rsidR="0062042F">
        <w:t xml:space="preserve"> </w:t>
      </w:r>
      <w:r>
        <w:t>vom 27.02.2020 wurde darüber berichtet, dass mit der MINT</w:t>
      </w:r>
      <w:r w:rsidR="001751A9">
        <w:t>-</w:t>
      </w:r>
      <w:r>
        <w:t>Allianz</w:t>
      </w:r>
      <w:r w:rsidR="0062042F">
        <w:t xml:space="preserve"> </w:t>
      </w:r>
      <w:r>
        <w:t>Bayern parallel ein weiteres Netzwerk, das aktuell acht Regionen</w:t>
      </w:r>
      <w:r w:rsidR="0062042F">
        <w:t xml:space="preserve"> </w:t>
      </w:r>
      <w:r>
        <w:t>umfasst, existiert. Dieses Netzwerk wird finanziell und personell von der Initiative</w:t>
      </w:r>
      <w:r w:rsidR="0062042F">
        <w:t xml:space="preserve"> </w:t>
      </w:r>
      <w:r>
        <w:t>Junge Forscherinnen und Forscher e.</w:t>
      </w:r>
      <w:r w:rsidR="00C83D71">
        <w:t> </w:t>
      </w:r>
      <w:r>
        <w:t>V. (ijf) getragen. Zur Nutzung</w:t>
      </w:r>
      <w:r w:rsidR="0062042F">
        <w:t xml:space="preserve"> </w:t>
      </w:r>
      <w:r>
        <w:t>von Synergieeffekten sowie zur Verstetigung der mit dem MINT-Netz Bayern</w:t>
      </w:r>
      <w:r w:rsidR="0062042F">
        <w:t xml:space="preserve"> </w:t>
      </w:r>
      <w:r>
        <w:t>aufgebauten Strukturen wird mit der MINT-Allianz Bayern aktuell ein</w:t>
      </w:r>
      <w:r w:rsidR="0062042F">
        <w:t xml:space="preserve"> </w:t>
      </w:r>
      <w:r>
        <w:t>neues Konzept zur Zusammenführung der bisherigen Parallelstruktur entwickelt,</w:t>
      </w:r>
      <w:r w:rsidR="0062042F">
        <w:t xml:space="preserve"> </w:t>
      </w:r>
      <w:r>
        <w:t>mit dem Ziel der Errichtung einer Anlaufstelle für alle MINT-Akteure,</w:t>
      </w:r>
      <w:r w:rsidR="0062042F">
        <w:t xml:space="preserve"> </w:t>
      </w:r>
      <w:r>
        <w:t>welche die bestehenden MINT-Regionen weiterhin begleitet, berät und vernetzt,</w:t>
      </w:r>
      <w:r w:rsidR="0062042F">
        <w:t xml:space="preserve"> </w:t>
      </w:r>
      <w:r>
        <w:t>aber auch bei der Initiierung n</w:t>
      </w:r>
      <w:r w:rsidR="0062042F">
        <w:t>euer MINT-Regionen unterstützt.</w:t>
      </w:r>
    </w:p>
    <w:p w:rsidR="006E5140" w:rsidRDefault="0062042F" w:rsidP="005B0960">
      <w:pPr>
        <w:pStyle w:val="LTAntwortRessortText"/>
      </w:pPr>
      <w:r>
        <w:t>*) Von einem Abdruck wurde abges</w:t>
      </w:r>
      <w:r w:rsidR="005B0960">
        <w:t>ehen. Die Anlage</w:t>
      </w:r>
      <w:r>
        <w:t xml:space="preserve"> </w:t>
      </w:r>
      <w:r w:rsidR="00AC47A0">
        <w:t xml:space="preserve">1 </w:t>
      </w:r>
      <w:r>
        <w:t xml:space="preserve">ist als pdf-Dokument </w:t>
      </w:r>
      <w:hyperlink r:id="rId17" w:history="1">
        <w:r w:rsidRPr="000E0A28">
          <w:rPr>
            <w:rStyle w:val="LTHyperlinkZchn"/>
            <w:b w:val="0"/>
          </w:rPr>
          <w:t>hier</w:t>
        </w:r>
      </w:hyperlink>
      <w:r>
        <w:t xml:space="preserve"> einsehbar.</w:t>
      </w:r>
    </w:p>
    <w:p w:rsidR="00AC47A0" w:rsidRDefault="00FC4D4D" w:rsidP="005B0960">
      <w:pPr>
        <w:pStyle w:val="LTAntwortRessortText"/>
      </w:pPr>
      <w:r>
        <w:t>*</w:t>
      </w:r>
      <w:r w:rsidR="00AC47A0">
        <w:t xml:space="preserve">*) Von einem Abdruck wurde abgesehen. Die Anlage 2 ist als pdf-Dokument </w:t>
      </w:r>
      <w:hyperlink r:id="rId18" w:history="1">
        <w:r w:rsidR="00AC47A0" w:rsidRPr="00251088">
          <w:rPr>
            <w:rStyle w:val="LTHyperlinkZchn"/>
            <w:b w:val="0"/>
          </w:rPr>
          <w:t>hier</w:t>
        </w:r>
      </w:hyperlink>
      <w:r w:rsidR="00AC47A0">
        <w:t xml:space="preserve"> einsehbar.</w:t>
      </w:r>
    </w:p>
    <w:p w:rsidR="00AC47A0" w:rsidRDefault="00AC47A0" w:rsidP="005B0960">
      <w:pPr>
        <w:pStyle w:val="LTAntwortRessortText"/>
      </w:pPr>
    </w:p>
    <w:p w:rsidR="006E5140" w:rsidRDefault="006E5140">
      <w:bookmarkStart w:id="70" w:name="Frage_Nr_34_Ende"/>
      <w:bookmarkEnd w:id="7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156DE2" w:rsidTr="00156DE2">
        <w:tc>
          <w:tcPr>
            <w:tcW w:w="1856" w:type="dxa"/>
          </w:tcPr>
          <w:p w:rsidR="00156DE2" w:rsidRDefault="00156DE2" w:rsidP="00156DE2">
            <w:pPr>
              <w:pStyle w:val="LTAnfrageInitiator"/>
            </w:pPr>
            <w:r>
              <w:t>Abgeordnete</w:t>
            </w:r>
            <w:r>
              <w:rPr>
                <w:b/>
              </w:rPr>
              <w:br/>
              <w:t>Julika</w:t>
            </w:r>
            <w:r>
              <w:rPr>
                <w:b/>
              </w:rPr>
              <w:br/>
              <w:t>Sandt</w:t>
            </w:r>
            <w:r>
              <w:rPr>
                <w:b/>
              </w:rPr>
              <w:br/>
            </w:r>
            <w:r>
              <w:t>(FDP)</w:t>
            </w:r>
            <w:bookmarkStart w:id="71" w:name="Frage_Nr_35"/>
            <w:bookmarkEnd w:id="71"/>
          </w:p>
        </w:tc>
        <w:tc>
          <w:tcPr>
            <w:tcW w:w="5760" w:type="dxa"/>
          </w:tcPr>
          <w:p w:rsidR="00156DE2" w:rsidRPr="000E31FC" w:rsidRDefault="00156DE2" w:rsidP="000552F5">
            <w:pPr>
              <w:pStyle w:val="LTAnfrageText"/>
            </w:pPr>
            <w:r w:rsidRPr="000E31FC">
              <w:t xml:space="preserve">Ich frage die Staatsregierung, wie viele Auszubildende haben im aktuellen Ausbildungsjahr eine Ausbildung zur Erzieherin bzw. zum Erzieher begonnen (bitte aufschlüsseln nach Ausbildungsarten insbesondere </w:t>
            </w:r>
            <w:r w:rsidR="000552F5">
              <w:t>im Modellversuch „Erzieherausbildung mit optimierten Praxisphasen(OptiPrax)“</w:t>
            </w:r>
            <w:r w:rsidRPr="000E31FC">
              <w:t>, sofern keine Daten vorliegen, bitte schätzen), wie viele Personen mit ausländischem Abschluss wurden dieses Jahr anerkannt (sofern keine Daten vorliegen, bitte schätzen) und wie viele Erzieherinnen und Erzieher gehen im nächstem Jahr in Ruhestand (sofern keine Daten vorliegen, bitte schätzen)?</w:t>
            </w:r>
          </w:p>
        </w:tc>
        <w:tc>
          <w:tcPr>
            <w:tcW w:w="5760"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Im Rahmen des Verfahrens Amtliche Schuldaten (ASD) werden jährlich zum Stichtag</w:t>
      </w:r>
      <w:r w:rsidR="00A93867">
        <w:t xml:space="preserve"> </w:t>
      </w:r>
      <w:r>
        <w:t>20. Oktober Daten zu den Schülerinnen und Schülern der beruflichen Schulen erhoben.</w:t>
      </w:r>
      <w:r w:rsidR="00A93867">
        <w:t xml:space="preserve"> </w:t>
      </w:r>
      <w:r>
        <w:t>Da für das aktuelle Schuljahr 2021/2022 noch keine ASD-Daten vorliegen, werden</w:t>
      </w:r>
      <w:r w:rsidR="00A93867">
        <w:t xml:space="preserve"> </w:t>
      </w:r>
      <w:r>
        <w:t>Zahlen aus dem Schuljahr 2020/2021 angegeben. Daten der Schüler- und Absolventenprognose</w:t>
      </w:r>
      <w:r w:rsidR="00A93867">
        <w:t xml:space="preserve"> </w:t>
      </w:r>
      <w:r>
        <w:t>liegen nicht auf Ebene der einzelnen Ausbildungsrichtungen vor.</w:t>
      </w:r>
      <w:r w:rsidR="00A93867">
        <w:t xml:space="preserve"> </w:t>
      </w:r>
      <w:r>
        <w:t>Insgesamt befanden</w:t>
      </w:r>
      <w:r w:rsidR="00C83D71">
        <w:t xml:space="preserve"> sich 3 </w:t>
      </w:r>
      <w:r>
        <w:t>904 Personen im Schuljahr 2020/2021 in ihrem ersten</w:t>
      </w:r>
      <w:r w:rsidR="00A93867">
        <w:t xml:space="preserve"> </w:t>
      </w:r>
      <w:r w:rsidR="000552F5">
        <w:t xml:space="preserve">Ausbildungsjahr zur Erzieherin bzw. </w:t>
      </w:r>
      <w:r>
        <w:t>zum Erzieher (davon 703 Studierende im Modellversuch</w:t>
      </w:r>
      <w:r w:rsidR="00A93867">
        <w:t xml:space="preserve"> </w:t>
      </w:r>
      <w:r w:rsidR="005C0F48">
        <w:t>„</w:t>
      </w:r>
      <w:r w:rsidR="000552F5">
        <w:t>OptiPrax</w:t>
      </w:r>
      <w:r w:rsidR="005C0F48">
        <w:t>“</w:t>
      </w:r>
      <w:r>
        <w:t>).</w:t>
      </w:r>
    </w:p>
    <w:p w:rsidR="006E5140" w:rsidRDefault="006E5140" w:rsidP="006E5140">
      <w:pPr>
        <w:pStyle w:val="LTAntwortRessortText"/>
      </w:pPr>
      <w:r>
        <w:t>Vom Landesamt für Schule (LAS) wurden im Jahr 2021 bislang (Stand:</w:t>
      </w:r>
      <w:r w:rsidR="00A93867">
        <w:t xml:space="preserve"> </w:t>
      </w:r>
      <w:r w:rsidR="00C83D71">
        <w:t xml:space="preserve">19. Oktober </w:t>
      </w:r>
      <w:r>
        <w:t xml:space="preserve">2021) 44 Anerkennungen (Gleichwertigkeit) für den Referenzberuf </w:t>
      </w:r>
      <w:r w:rsidR="005C0F48">
        <w:t>„</w:t>
      </w:r>
      <w:r>
        <w:t>Staatlich</w:t>
      </w:r>
      <w:r w:rsidR="00A93867">
        <w:t xml:space="preserve"> </w:t>
      </w:r>
      <w:r>
        <w:t>anerkannte Erzieherin</w:t>
      </w:r>
      <w:r w:rsidR="005C0F48">
        <w:t>“</w:t>
      </w:r>
      <w:r>
        <w:t xml:space="preserve"> / </w:t>
      </w:r>
      <w:r w:rsidR="005C0F48">
        <w:t>„</w:t>
      </w:r>
      <w:r>
        <w:t>Staatlich anerkannter Erzieher</w:t>
      </w:r>
      <w:r w:rsidR="005C0F48">
        <w:t>“</w:t>
      </w:r>
      <w:r>
        <w:t xml:space="preserve"> vorgenommen.</w:t>
      </w:r>
      <w:r w:rsidR="00A93867">
        <w:t xml:space="preserve"> </w:t>
      </w:r>
      <w:r>
        <w:t>Es kann davon ausgegangen werden, dass die Anzahl der Anerkennungen bis Jahresende</w:t>
      </w:r>
      <w:r w:rsidR="00A93867">
        <w:t xml:space="preserve"> </w:t>
      </w:r>
      <w:r>
        <w:t>ungefähr auf dem Wert des Vorjahres (2020: 60 Anerkennungen) liegen</w:t>
      </w:r>
      <w:r w:rsidR="00A93867">
        <w:t xml:space="preserve"> </w:t>
      </w:r>
      <w:r>
        <w:t>wird.</w:t>
      </w:r>
    </w:p>
    <w:p w:rsidR="006E5140" w:rsidRDefault="006E5140" w:rsidP="006E5140">
      <w:pPr>
        <w:pStyle w:val="LTAntwortRessortText"/>
      </w:pPr>
      <w:r>
        <w:t xml:space="preserve">Konkrete Zahlen dazu, wie viele Erzieherinnen </w:t>
      </w:r>
      <w:r w:rsidR="000552F5">
        <w:t>bzw.</w:t>
      </w:r>
      <w:r>
        <w:t xml:space="preserve"> Erzieher in Bayern im nächsten</w:t>
      </w:r>
      <w:r w:rsidR="00A93867">
        <w:t xml:space="preserve"> </w:t>
      </w:r>
      <w:r>
        <w:t>Jahr in den Ruhestand gehen, liegen dem Staatsministerium für Familie, Arbeit und</w:t>
      </w:r>
      <w:r w:rsidR="00A93867">
        <w:t xml:space="preserve"> </w:t>
      </w:r>
      <w:r>
        <w:t>Soziales noch nicht vor. Auch Prognosen sind aufgrund vieler Unsicherheitsfaktoren</w:t>
      </w:r>
      <w:r w:rsidR="00A93867">
        <w:t xml:space="preserve"> </w:t>
      </w:r>
      <w:r>
        <w:t>nicht möglich, da das tatsächliche Rentenalter von vielen individuellen Faktoren bestimmt</w:t>
      </w:r>
      <w:r w:rsidR="00A93867">
        <w:t xml:space="preserve"> </w:t>
      </w:r>
      <w:r>
        <w:t>wird.</w:t>
      </w:r>
    </w:p>
    <w:p w:rsidR="006E5140" w:rsidRDefault="006E5140" w:rsidP="006E5140">
      <w:pPr>
        <w:pStyle w:val="LTAntwortRessortText"/>
      </w:pPr>
      <w:r>
        <w:t xml:space="preserve">Laut dem in diesem Jahr veröffentlichten </w:t>
      </w:r>
      <w:r w:rsidR="005C0F48">
        <w:t>„</w:t>
      </w:r>
      <w:r>
        <w:t>Fachkräftebarometer Frühe Bildung 2021</w:t>
      </w:r>
      <w:r w:rsidR="005C0F48">
        <w:t>“</w:t>
      </w:r>
      <w:r w:rsidR="000552F5">
        <w:rPr>
          <w:rStyle w:val="Funotenzeichen"/>
        </w:rPr>
        <w:footnoteReference w:id="4"/>
      </w:r>
    </w:p>
    <w:p w:rsidR="00A93867" w:rsidRDefault="00A93867" w:rsidP="006E5140">
      <w:pPr>
        <w:pStyle w:val="LTAntwortRessortText"/>
      </w:pPr>
    </w:p>
    <w:p w:rsidR="006E5140" w:rsidRDefault="006E5140">
      <w:bookmarkStart w:id="72" w:name="Frage_Nr_35_Ende"/>
      <w:bookmarkEnd w:id="7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56DE2" w:rsidTr="00156DE2">
        <w:tc>
          <w:tcPr>
            <w:tcW w:w="1852" w:type="dxa"/>
          </w:tcPr>
          <w:p w:rsidR="00156DE2" w:rsidRDefault="00156DE2" w:rsidP="00156DE2">
            <w:pPr>
              <w:pStyle w:val="LTAnfrageInitiator"/>
            </w:pPr>
            <w:r>
              <w:t>Abgeordneter</w:t>
            </w:r>
            <w:r>
              <w:rPr>
                <w:b/>
              </w:rPr>
              <w:br/>
              <w:t>Dr. Dominik</w:t>
            </w:r>
            <w:r>
              <w:rPr>
                <w:b/>
              </w:rPr>
              <w:br/>
              <w:t>Spitzer</w:t>
            </w:r>
            <w:r>
              <w:rPr>
                <w:b/>
              </w:rPr>
              <w:br/>
            </w:r>
            <w:r>
              <w:t>(FDP)</w:t>
            </w:r>
            <w:bookmarkStart w:id="73" w:name="Frage_Nr_36"/>
            <w:bookmarkEnd w:id="73"/>
          </w:p>
        </w:tc>
        <w:tc>
          <w:tcPr>
            <w:tcW w:w="5764" w:type="dxa"/>
          </w:tcPr>
          <w:p w:rsidR="00156DE2" w:rsidRPr="000E31FC" w:rsidRDefault="00156DE2" w:rsidP="00881030">
            <w:pPr>
              <w:pStyle w:val="LTAnfrageText"/>
            </w:pPr>
            <w:r w:rsidRPr="000E31FC">
              <w:t>Ich frage die Staatsregierung, inwiefern die Schulen, die von einer Reduzierung der Lehrerwochenstunden im Ganztagsbetrieb im Schuljahr 2021/2022 betroffen sind, über die Kompensation grundsätzlich und deren Ausschüttung konkret informiert</w:t>
            </w:r>
            <w:r w:rsidR="00881030">
              <w:t xml:space="preserve"> wurden</w:t>
            </w:r>
            <w:r w:rsidRPr="000E31FC">
              <w:t>, wie hoch der Anteil der betreffenden Schulen</w:t>
            </w:r>
            <w:r w:rsidR="00881030">
              <w:t xml:space="preserve"> ist</w:t>
            </w:r>
            <w:r w:rsidRPr="000E31FC">
              <w:t xml:space="preserve">, die die zugesagte Kompensation bereits erhalten haben (bitte aufschlüsseln nach Schulart, Regierungsbezirk und ausgeschüttete Kompensation) und welche Gründe Schulen die Kompensation bisher noch nicht erhalten haben? </w:t>
            </w:r>
          </w:p>
        </w:tc>
        <w:tc>
          <w:tcPr>
            <w:tcW w:w="5764"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Um Lehrerstunden für den Kernbereich der Unterrichtsversorgung zu gewinnen, beträgt</w:t>
      </w:r>
      <w:r w:rsidR="00660532">
        <w:t xml:space="preserve"> </w:t>
      </w:r>
      <w:r>
        <w:t xml:space="preserve">die </w:t>
      </w:r>
      <w:r w:rsidR="00881030">
        <w:t>Zuweisung je gebundener Ganztag</w:t>
      </w:r>
      <w:r>
        <w:t>sklasse an Mittelschulen und Förderschulen</w:t>
      </w:r>
      <w:r w:rsidR="00660532">
        <w:t xml:space="preserve"> </w:t>
      </w:r>
      <w:r>
        <w:t>im Schuljahr 2021/2022 neun statt bisher zwölf Lehrerwochenstunden.</w:t>
      </w:r>
    </w:p>
    <w:p w:rsidR="006E5140" w:rsidRDefault="006E5140" w:rsidP="00660532">
      <w:pPr>
        <w:pStyle w:val="LTAntwortRessortText"/>
        <w:spacing w:before="0"/>
      </w:pPr>
      <w:r>
        <w:t>Zum Ausgleich wird das finanzielle Budget für jede gebundene Ganztagsklasse entsprechend</w:t>
      </w:r>
      <w:r w:rsidR="00660532">
        <w:t xml:space="preserve"> </w:t>
      </w:r>
      <w:r>
        <w:t>erhöht. Mit diesem erhöhten finanziellen Budget kann externes Personal</w:t>
      </w:r>
      <w:r w:rsidR="00660532">
        <w:t xml:space="preserve"> </w:t>
      </w:r>
      <w:r>
        <w:t>im Umfang der betreffenden drei Lehrerwochenstunden pro gebundenem Ganztag</w:t>
      </w:r>
      <w:r w:rsidR="00660532">
        <w:t xml:space="preserve"> </w:t>
      </w:r>
      <w:r>
        <w:t>finanziert werden.</w:t>
      </w:r>
      <w:r w:rsidR="00506F07">
        <w:t xml:space="preserve"> </w:t>
      </w:r>
      <w:r>
        <w:t>Damit bleibt das Volumen der Unterrichtsstunden, die für die Schülerinnen und Schüler</w:t>
      </w:r>
      <w:r w:rsidR="00660532">
        <w:t xml:space="preserve"> </w:t>
      </w:r>
      <w:r>
        <w:t>zur Verfügung stehen, vollumfänglich auf dem bisherigen Niveau erhalten.</w:t>
      </w:r>
    </w:p>
    <w:p w:rsidR="006E5140" w:rsidRDefault="006E5140" w:rsidP="006E5140">
      <w:pPr>
        <w:pStyle w:val="LTAntwortRessortText"/>
      </w:pPr>
      <w:r>
        <w:t>Die Regierungen wurden im März 2021 darüber in Kenntnis gesetzt. Zeitgleich wurden</w:t>
      </w:r>
      <w:r w:rsidR="00660532">
        <w:t xml:space="preserve"> </w:t>
      </w:r>
      <w:r>
        <w:t>im Rahmen des Antragsverfahrens für die Einrichtung gebundener Ganztagsangebote</w:t>
      </w:r>
      <w:r w:rsidR="00660532">
        <w:t xml:space="preserve"> </w:t>
      </w:r>
      <w:r>
        <w:t>an staatlichen Mittelschulen sowie an staatlichen Förderschulen die Schulen</w:t>
      </w:r>
      <w:r w:rsidR="00660532">
        <w:t xml:space="preserve"> </w:t>
      </w:r>
      <w:r>
        <w:t>in den genannten Schularten über die Änderung informiert.</w:t>
      </w:r>
    </w:p>
    <w:p w:rsidR="006E5140" w:rsidRDefault="006E5140" w:rsidP="00660532">
      <w:pPr>
        <w:pStyle w:val="LTAntwortRessortText"/>
        <w:spacing w:before="0"/>
      </w:pPr>
      <w:r>
        <w:t>Ergänzende Informationen zur Ausgestaltung der Maßnahme an die Regierungen erfolgten</w:t>
      </w:r>
      <w:r w:rsidR="00660532">
        <w:t xml:space="preserve"> </w:t>
      </w:r>
      <w:r>
        <w:t>im April 2021.</w:t>
      </w:r>
    </w:p>
    <w:p w:rsidR="006E5140" w:rsidRDefault="006E5140" w:rsidP="00660532">
      <w:pPr>
        <w:pStyle w:val="LTAntwortRessortText"/>
        <w:spacing w:before="0"/>
      </w:pPr>
      <w:r>
        <w:t xml:space="preserve">Die in der Anfrage als </w:t>
      </w:r>
      <w:r w:rsidR="005C0F48">
        <w:t>„</w:t>
      </w:r>
      <w:r>
        <w:t>Kompensation</w:t>
      </w:r>
      <w:r w:rsidR="005C0F48">
        <w:t>“</w:t>
      </w:r>
      <w:r>
        <w:t xml:space="preserve"> bezeichneten Mittel werden den Schulen nicht</w:t>
      </w:r>
      <w:r w:rsidR="00660532">
        <w:t xml:space="preserve"> </w:t>
      </w:r>
      <w:r>
        <w:t>im Rahmen eines eigenständigen Verfahrens zur Verfügung gestellt, sondern im</w:t>
      </w:r>
      <w:r w:rsidR="00660532">
        <w:t xml:space="preserve"> </w:t>
      </w:r>
      <w:r>
        <w:t>Rahmen des ohnehin vorgesehenen Verfahrens zur Genehmigung und Förderung</w:t>
      </w:r>
      <w:r w:rsidR="00660532">
        <w:t xml:space="preserve"> </w:t>
      </w:r>
      <w:r>
        <w:t>von gebundenen Ganztagsangeboten. Im Rahmen dieses Verfahrens entscheidet</w:t>
      </w:r>
      <w:r w:rsidR="00660532">
        <w:t xml:space="preserve"> </w:t>
      </w:r>
      <w:r>
        <w:t>die antragstellende Kommune zusammen mit der Schule, ob mit dem finanziellen</w:t>
      </w:r>
      <w:r w:rsidR="00660532">
        <w:t xml:space="preserve"> </w:t>
      </w:r>
      <w:r>
        <w:t>Budget ein externer Kooperationspartner (</w:t>
      </w:r>
      <w:r w:rsidR="00C83D71">
        <w:t>z. </w:t>
      </w:r>
      <w:r w:rsidR="005C0F48">
        <w:t>B.</w:t>
      </w:r>
      <w:r>
        <w:t xml:space="preserve"> ein Träger der Kinder- und Jugendhilfe)</w:t>
      </w:r>
      <w:r w:rsidR="00660532">
        <w:t xml:space="preserve"> </w:t>
      </w:r>
      <w:r>
        <w:t xml:space="preserve">finanziert oder Personal beim Freistaat angestellt werden soll </w:t>
      </w:r>
      <w:r w:rsidR="00881030">
        <w:t>Vertrag nach dem Tarifvertrag für den öffentlichen Dienst der Länder-TV-L).</w:t>
      </w:r>
    </w:p>
    <w:p w:rsidR="006E5140" w:rsidRDefault="006E5140" w:rsidP="00660532">
      <w:pPr>
        <w:pStyle w:val="LTAntwortRessortText"/>
        <w:spacing w:before="0"/>
      </w:pPr>
      <w:r>
        <w:t>Dem Staatsministerium liegen keine Hinweise vor, dass es bei der Durchführung des</w:t>
      </w:r>
      <w:r w:rsidR="00660532">
        <w:t xml:space="preserve"> </w:t>
      </w:r>
      <w:r>
        <w:t>diesjährigen Antrags- und Genehmigungsverfahrens zu Auffälligkeiten kam.</w:t>
      </w:r>
    </w:p>
    <w:p w:rsidR="006E5140" w:rsidRDefault="006E5140">
      <w:bookmarkStart w:id="74" w:name="Frage_Nr_36_Ende"/>
      <w:bookmarkEnd w:id="7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156DE2" w:rsidTr="00156DE2">
        <w:tc>
          <w:tcPr>
            <w:tcW w:w="1862" w:type="dxa"/>
          </w:tcPr>
          <w:p w:rsidR="00156DE2" w:rsidRDefault="00156DE2" w:rsidP="00156DE2">
            <w:pPr>
              <w:pStyle w:val="LTAnfrageInitiator"/>
            </w:pPr>
            <w:r>
              <w:t>Abgeordnete</w:t>
            </w:r>
            <w:r>
              <w:rPr>
                <w:b/>
              </w:rPr>
              <w:br/>
              <w:t>Dr. Simone</w:t>
            </w:r>
            <w:r>
              <w:rPr>
                <w:b/>
              </w:rPr>
              <w:br/>
              <w:t>Strohmayr</w:t>
            </w:r>
            <w:r>
              <w:rPr>
                <w:b/>
              </w:rPr>
              <w:br/>
            </w:r>
            <w:r>
              <w:t>(SPD)</w:t>
            </w:r>
            <w:bookmarkStart w:id="75" w:name="Frage_Nr_37"/>
            <w:bookmarkEnd w:id="75"/>
          </w:p>
        </w:tc>
        <w:tc>
          <w:tcPr>
            <w:tcW w:w="5754" w:type="dxa"/>
          </w:tcPr>
          <w:p w:rsidR="00156DE2" w:rsidRPr="000E31FC" w:rsidRDefault="00156DE2" w:rsidP="00881030">
            <w:pPr>
              <w:pStyle w:val="LTAnfrageText"/>
            </w:pPr>
            <w:r w:rsidRPr="000E31FC">
              <w:t xml:space="preserve">Ich frage die Staatsregierung, wie viele Schulen </w:t>
            </w:r>
            <w:r w:rsidR="00881030">
              <w:t xml:space="preserve">in Bayern </w:t>
            </w:r>
            <w:r w:rsidRPr="000E31FC">
              <w:t>(bitte jeweils auch prozentual im Vergleich zur Gesamtzahl der bayerischen Schulen angeben) eine Anbindung mit einer Geschwindigkeit von nur 16 Mbit/s oder weniger</w:t>
            </w:r>
            <w:r w:rsidR="00881030">
              <w:t xml:space="preserve"> haben</w:t>
            </w:r>
            <w:r w:rsidRPr="000E31FC">
              <w:t>, wie viele Schulen in Bayern kein WLAN</w:t>
            </w:r>
            <w:r w:rsidR="00881030">
              <w:t xml:space="preserve"> haben</w:t>
            </w:r>
            <w:r w:rsidRPr="000E31FC">
              <w:t xml:space="preserve"> und wi</w:t>
            </w:r>
            <w:r w:rsidR="00881030">
              <w:t xml:space="preserve">e viele Schulen in Bayern </w:t>
            </w:r>
            <w:r w:rsidRPr="000E31FC">
              <w:t>keine Unterrichtsräume mit LAN</w:t>
            </w:r>
            <w:r w:rsidR="00881030">
              <w:t xml:space="preserve"> haben</w:t>
            </w:r>
            <w:r w:rsidRPr="000E31FC">
              <w:t xml:space="preserve">? </w:t>
            </w:r>
          </w:p>
        </w:tc>
        <w:tc>
          <w:tcPr>
            <w:tcW w:w="5754"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Nach einer aktue</w:t>
      </w:r>
      <w:r w:rsidR="00C83D71">
        <w:t xml:space="preserve">llen Auswertung des </w:t>
      </w:r>
      <w:r>
        <w:t>Staatsministeriums der Finanzen</w:t>
      </w:r>
      <w:r w:rsidR="00C33CF8">
        <w:t xml:space="preserve"> </w:t>
      </w:r>
      <w:r>
        <w:t xml:space="preserve">und für Heimat sind an 99 </w:t>
      </w:r>
      <w:r w:rsidR="005C0F48">
        <w:t>Prozent</w:t>
      </w:r>
      <w:r w:rsidR="003F434E">
        <w:t xml:space="preserve"> (6 </w:t>
      </w:r>
      <w:r>
        <w:t>041) der bayerischen Schulen Bandbreiten von mindestens</w:t>
      </w:r>
      <w:r w:rsidR="00C33CF8">
        <w:t xml:space="preserve"> </w:t>
      </w:r>
      <w:r>
        <w:t xml:space="preserve">30 Mbit/s verfügbar (70 </w:t>
      </w:r>
      <w:r w:rsidR="005C0F48">
        <w:t>Prozent</w:t>
      </w:r>
      <w:r>
        <w:t xml:space="preserve"> aller Schulen sind gigabitfähig angebunden). Die</w:t>
      </w:r>
      <w:r w:rsidR="00C33CF8">
        <w:t xml:space="preserve"> </w:t>
      </w:r>
      <w:r>
        <w:t>tatsächlich gebuchten Bandbreiten können davon abweichen. Für die Bandbreite</w:t>
      </w:r>
      <w:r w:rsidR="00C33CF8">
        <w:t xml:space="preserve"> </w:t>
      </w:r>
      <w:r>
        <w:t>16 Mbit/s liegen auf einzelne Schulstandorte bezogene Daten nicht vor. Die Breitbandversorgung</w:t>
      </w:r>
      <w:r w:rsidR="00C33CF8">
        <w:t xml:space="preserve"> </w:t>
      </w:r>
      <w:r>
        <w:t xml:space="preserve">der einzelnen Schulen ist im Schulatlas unter </w:t>
      </w:r>
      <w:hyperlink r:id="rId19" w:history="1">
        <w:r w:rsidR="003F434E" w:rsidRPr="003F434E">
          <w:rPr>
            <w:rStyle w:val="LTHyperlinkZchn"/>
            <w:b w:val="0"/>
          </w:rPr>
          <w:t>https://</w:t>
        </w:r>
        <w:r w:rsidRPr="003F434E">
          <w:rPr>
            <w:rStyle w:val="LTHyperlinkZchn"/>
            <w:b w:val="0"/>
          </w:rPr>
          <w:t>www.schulatlas.bayern.de</w:t>
        </w:r>
      </w:hyperlink>
      <w:r>
        <w:t xml:space="preserve"> öffentlich einsehbar.</w:t>
      </w:r>
    </w:p>
    <w:p w:rsidR="006E5140" w:rsidRDefault="006E5140" w:rsidP="00C33CF8">
      <w:pPr>
        <w:pStyle w:val="LTAntwortRessortText"/>
        <w:spacing w:before="0"/>
      </w:pPr>
      <w:r>
        <w:t>Im Rahmen der regelmäßig von der Akademie für Lehrerfortbildung und Personalführung</w:t>
      </w:r>
      <w:r w:rsidR="00C33CF8">
        <w:t xml:space="preserve"> </w:t>
      </w:r>
      <w:r>
        <w:t>(ALP) Dillingen durchgeführten Umfrage zur IT-Ausstattung bayerischer Schulen</w:t>
      </w:r>
      <w:r w:rsidR="00C33CF8">
        <w:t xml:space="preserve"> </w:t>
      </w:r>
      <w:r w:rsidR="003F434E">
        <w:t>(Stand 02.08.2021) gaben 1 </w:t>
      </w:r>
      <w:r>
        <w:t xml:space="preserve">426 Schulen (23 </w:t>
      </w:r>
      <w:r w:rsidR="005C0F48">
        <w:t>Prozent</w:t>
      </w:r>
      <w:r>
        <w:t>) an, über kein WLAN in den Unterrichtsräumen</w:t>
      </w:r>
      <w:r w:rsidR="00C33CF8">
        <w:t xml:space="preserve"> </w:t>
      </w:r>
      <w:r>
        <w:t xml:space="preserve">zu verfügen. 450 Schulen (7 </w:t>
      </w:r>
      <w:r w:rsidR="005C0F48">
        <w:t>Prozent</w:t>
      </w:r>
      <w:r>
        <w:t>) verfügen laut eigenen Angaben über</w:t>
      </w:r>
      <w:r w:rsidR="00C33CF8">
        <w:t xml:space="preserve"> </w:t>
      </w:r>
      <w:r>
        <w:t>kein LAN in den Unterrichtsräumen. Gemäß Auswertung der Umfrage zur IT-Ausstattung</w:t>
      </w:r>
      <w:r w:rsidR="00C33CF8">
        <w:t xml:space="preserve"> </w:t>
      </w:r>
      <w:r>
        <w:t>an Schulen verfügen über 99</w:t>
      </w:r>
      <w:r w:rsidR="003F434E">
        <w:t xml:space="preserve"> </w:t>
      </w:r>
      <w:r w:rsidR="005C0F48">
        <w:t>Prozent</w:t>
      </w:r>
      <w:r w:rsidR="003F434E">
        <w:t xml:space="preserve"> (6 </w:t>
      </w:r>
      <w:r>
        <w:t>046) der bayerischen Schulen in den Unterrichträumen</w:t>
      </w:r>
      <w:r w:rsidR="00C33CF8">
        <w:t xml:space="preserve"> </w:t>
      </w:r>
      <w:r>
        <w:t>über eine Internetverbindung durch mindestens eine der beiden Zugangsmöglichkeiten</w:t>
      </w:r>
      <w:r w:rsidR="00C33CF8">
        <w:t xml:space="preserve"> </w:t>
      </w:r>
      <w:r w:rsidR="003F434E">
        <w:t>(d. </w:t>
      </w:r>
      <w:r>
        <w:t>h. WLAN oder LAN in den Unterrichtsräumen).</w:t>
      </w:r>
    </w:p>
    <w:p w:rsidR="006E5140" w:rsidRDefault="006E5140">
      <w:bookmarkStart w:id="76" w:name="Frage_Nr_37_Ende"/>
      <w:bookmarkEnd w:id="7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56DE2" w:rsidTr="00156DE2">
        <w:tc>
          <w:tcPr>
            <w:tcW w:w="1883" w:type="dxa"/>
          </w:tcPr>
          <w:p w:rsidR="00156DE2" w:rsidRDefault="00156DE2" w:rsidP="00156DE2">
            <w:pPr>
              <w:pStyle w:val="LTAnfrageInitiator"/>
            </w:pPr>
            <w:r>
              <w:t>Abgeordnete</w:t>
            </w:r>
            <w:r>
              <w:rPr>
                <w:b/>
              </w:rPr>
              <w:br/>
              <w:t>Gabriele</w:t>
            </w:r>
            <w:r>
              <w:rPr>
                <w:b/>
              </w:rPr>
              <w:br/>
              <w:t>Triebel</w:t>
            </w:r>
            <w:r>
              <w:rPr>
                <w:b/>
              </w:rPr>
              <w:br/>
            </w:r>
            <w:r>
              <w:t>(BÜNDNIS 90/DIE GRÜNEN)</w:t>
            </w:r>
            <w:bookmarkStart w:id="77" w:name="Frage_Nr_38"/>
            <w:bookmarkEnd w:id="77"/>
          </w:p>
        </w:tc>
        <w:tc>
          <w:tcPr>
            <w:tcW w:w="5733" w:type="dxa"/>
          </w:tcPr>
          <w:p w:rsidR="00156DE2" w:rsidRPr="000E31FC" w:rsidRDefault="00156DE2" w:rsidP="00881030">
            <w:pPr>
              <w:pStyle w:val="LTAnfrageText"/>
            </w:pPr>
            <w:r w:rsidRPr="000E31FC">
              <w:t xml:space="preserve">Da die Staatsregierung für die Berufseinstiegsbegleitung </w:t>
            </w:r>
            <w:r w:rsidR="00506F07">
              <w:br/>
            </w:r>
            <w:r w:rsidRPr="000E31FC">
              <w:t xml:space="preserve">(BerEb), welche im Frühjahr 2022 an den bayerischen Mittel- und Realschulen wieder angeboten werden soll, eine Ausschreibung mit den entsprechenden Vertragsunterlagen für die möglichen Träger des Programms veröffentlicht hat, frage ich </w:t>
            </w:r>
            <w:r w:rsidR="00881030">
              <w:t>sie</w:t>
            </w:r>
            <w:r w:rsidRPr="000E31FC">
              <w:t>, warum in der aktuellen Ausschreibung der Betreuungsschlüssel von 1:20 auf 1:25 angehoben wurde, ob sie für die kommenden Haushalte (Haushalt 2022 ff.) Mittel für die Fortführung des Programms einstellen wird und wenn ja, in welcher Höhe?</w:t>
            </w:r>
          </w:p>
        </w:tc>
        <w:tc>
          <w:tcPr>
            <w:tcW w:w="5733" w:type="dxa"/>
          </w:tcPr>
          <w:p w:rsidR="00156DE2" w:rsidRDefault="00156DE2" w:rsidP="00156DE2">
            <w:pPr>
              <w:pStyle w:val="LTAnfrageText"/>
            </w:pPr>
          </w:p>
        </w:tc>
      </w:tr>
    </w:tbl>
    <w:p w:rsidR="006E5140" w:rsidRDefault="006E5140" w:rsidP="006E5140">
      <w:pPr>
        <w:pStyle w:val="LTUeberschrAntwortRessort"/>
      </w:pPr>
      <w:r>
        <w:t>Antwort des Staatsministeriums für Unterricht und Kultus</w:t>
      </w:r>
    </w:p>
    <w:p w:rsidR="006E5140" w:rsidRDefault="006E5140" w:rsidP="006E5140">
      <w:pPr>
        <w:pStyle w:val="LTAntwortRessortText"/>
      </w:pPr>
      <w:r>
        <w:t>Die Berufseinstiegsbegleitung wurde bis zum Schuljahr 2018/</w:t>
      </w:r>
      <w:r w:rsidR="003F434E">
        <w:t>20</w:t>
      </w:r>
      <w:r>
        <w:t>19 jeweils zur Hälfte</w:t>
      </w:r>
      <w:r w:rsidR="00282CB2">
        <w:t xml:space="preserve"> </w:t>
      </w:r>
      <w:r>
        <w:t>von Bund und Bundes-ESF finanziert. Für die Einstiegskohorten 2019/</w:t>
      </w:r>
      <w:r w:rsidR="003F434E">
        <w:t>20</w:t>
      </w:r>
      <w:r>
        <w:t>20 sowie</w:t>
      </w:r>
      <w:r w:rsidR="00282CB2">
        <w:t xml:space="preserve"> </w:t>
      </w:r>
      <w:r>
        <w:t>2020/</w:t>
      </w:r>
      <w:r w:rsidR="003F434E">
        <w:t>20</w:t>
      </w:r>
      <w:r>
        <w:t>21 ist die Finanzierung durch Mittel der Bundesagentur für Arbeit sowie aus</w:t>
      </w:r>
      <w:r w:rsidR="00282CB2">
        <w:t xml:space="preserve"> </w:t>
      </w:r>
      <w:r>
        <w:t>dem Bayerischen ESF-Landesprogramm gesichert. Eine Förderung der Berufseinstiegsbegleitung</w:t>
      </w:r>
      <w:r w:rsidR="00282CB2">
        <w:t xml:space="preserve"> </w:t>
      </w:r>
      <w:r>
        <w:t>aus dem Baye</w:t>
      </w:r>
      <w:r w:rsidR="003F434E">
        <w:t xml:space="preserve">rischen ESF-Förderprogramm 2021 bis </w:t>
      </w:r>
      <w:r>
        <w:t>2027 wird aufgrund</w:t>
      </w:r>
      <w:r w:rsidR="00282CB2">
        <w:t xml:space="preserve"> </w:t>
      </w:r>
      <w:r>
        <w:t>einer deutlich reduzierten Mittelausstattung nicht mehr möglich sein.</w:t>
      </w:r>
    </w:p>
    <w:p w:rsidR="006E5140" w:rsidRDefault="006E5140" w:rsidP="00481722">
      <w:pPr>
        <w:pStyle w:val="LTAntwortRessortText"/>
        <w:spacing w:before="0"/>
      </w:pPr>
      <w:r>
        <w:t>Nach Auslau</w:t>
      </w:r>
      <w:r w:rsidR="00506F07">
        <w:t>fen der ESF-Fördermittel wurde –</w:t>
      </w:r>
      <w:r>
        <w:t xml:space="preserve"> um pandemiebedingte Nachteile auszugleichen</w:t>
      </w:r>
      <w:r w:rsidR="00282CB2">
        <w:t xml:space="preserve"> </w:t>
      </w:r>
      <w:r w:rsidR="00881030">
        <w:t>– die Kof</w:t>
      </w:r>
      <w:r>
        <w:t>inanzierung für die Berufseinstiegsbegleitung hälftig durch das</w:t>
      </w:r>
      <w:r w:rsidR="00282CB2">
        <w:t xml:space="preserve"> </w:t>
      </w:r>
      <w:r>
        <w:t>St</w:t>
      </w:r>
      <w:r w:rsidR="003F434E">
        <w:t>aatsministerium für Unterricht und Kultus</w:t>
      </w:r>
      <w:r>
        <w:t xml:space="preserve"> </w:t>
      </w:r>
      <w:r w:rsidR="003F434E">
        <w:t xml:space="preserve">(StMUK) </w:t>
      </w:r>
      <w:r>
        <w:t>und das St</w:t>
      </w:r>
      <w:r w:rsidR="003F434E">
        <w:t>aatsministerium für Familie, Arbeit und Soziales (StMAS)</w:t>
      </w:r>
      <w:r>
        <w:t xml:space="preserve"> in Höhe von insgesamt 16,38 Mio. Euro für eine weitere Kohorte</w:t>
      </w:r>
      <w:r w:rsidR="00282CB2">
        <w:t xml:space="preserve"> </w:t>
      </w:r>
      <w:r>
        <w:t>(2021/2022) aus Landesmitteln übernommen.</w:t>
      </w:r>
    </w:p>
    <w:p w:rsidR="006E5140" w:rsidRDefault="006E5140" w:rsidP="00481722">
      <w:pPr>
        <w:pStyle w:val="LTAntwortRessortText"/>
        <w:spacing w:before="0"/>
      </w:pPr>
      <w:r>
        <w:t>Über die Aufstellung künftiger Haushalte ist noch nicht entschieden.</w:t>
      </w:r>
    </w:p>
    <w:p w:rsidR="006E5140" w:rsidRDefault="006E5140" w:rsidP="00481722">
      <w:pPr>
        <w:pStyle w:val="LTAntwortRessortText"/>
        <w:spacing w:before="0"/>
      </w:pPr>
      <w:r>
        <w:t xml:space="preserve">Gleichzeitig werden die Angebote für Jugendliche im Bereich </w:t>
      </w:r>
      <w:r w:rsidR="005C0F48">
        <w:t>„</w:t>
      </w:r>
      <w:r>
        <w:t>Übergang Schule-Beruf</w:t>
      </w:r>
      <w:r w:rsidR="005C0F48">
        <w:t>“</w:t>
      </w:r>
      <w:r>
        <w:t>,</w:t>
      </w:r>
      <w:r w:rsidR="00481722">
        <w:t xml:space="preserve"> </w:t>
      </w:r>
      <w:r>
        <w:t xml:space="preserve">die im Zuständigkeitsbereich des </w:t>
      </w:r>
      <w:r w:rsidR="003F434E">
        <w:t>StMAS</w:t>
      </w:r>
      <w:r w:rsidR="00481722">
        <w:t xml:space="preserve"> </w:t>
      </w:r>
      <w:r>
        <w:t xml:space="preserve">(inkl. der Maßnahmen der Bundesagentur für Arbeit) sowie des </w:t>
      </w:r>
      <w:r w:rsidR="003F434E">
        <w:t>StMUK</w:t>
      </w:r>
      <w:r>
        <w:t xml:space="preserve"> liegen, derzeit einer Analyse unterzogen. In diesem</w:t>
      </w:r>
      <w:r w:rsidR="00481722">
        <w:t xml:space="preserve"> </w:t>
      </w:r>
      <w:r>
        <w:t>Rahmen kann festgestellt werden, dass für Jugendliche zur Berufsorientierung am</w:t>
      </w:r>
      <w:r w:rsidR="00481722">
        <w:t xml:space="preserve"> </w:t>
      </w:r>
      <w:r>
        <w:t>Übergang Schule und Beruf eine ganze Reihe von Angeboten mit sehr ähnlicher</w:t>
      </w:r>
      <w:r w:rsidR="00481722">
        <w:t xml:space="preserve"> </w:t>
      </w:r>
      <w:r>
        <w:t>Zielsetzung bestehen, wie sie auch im Programm der Berufseinstiegsbegleitung formuliert</w:t>
      </w:r>
      <w:r w:rsidR="00481722">
        <w:t xml:space="preserve"> </w:t>
      </w:r>
      <w:r>
        <w:t>werden (</w:t>
      </w:r>
      <w:r w:rsidR="003F434E">
        <w:t>z. </w:t>
      </w:r>
      <w:r w:rsidR="005C0F48">
        <w:t>B.</w:t>
      </w:r>
      <w:r>
        <w:t xml:space="preserve"> Erreichung des Abschlusses der allgemeinbildenden Schule,</w:t>
      </w:r>
      <w:r w:rsidR="00481722">
        <w:t xml:space="preserve"> </w:t>
      </w:r>
      <w:r>
        <w:t>Berufsorientierung und Berufswahl, Ausbildungsstellensuche, Begleitung im Übergangssystem,</w:t>
      </w:r>
      <w:r w:rsidR="00481722">
        <w:t xml:space="preserve"> </w:t>
      </w:r>
      <w:r>
        <w:t>Stabilisierung des Berufsausbildungsverhältnisses). Es ist vorgesehen,</w:t>
      </w:r>
      <w:r w:rsidR="00481722">
        <w:t xml:space="preserve"> </w:t>
      </w:r>
      <w:r>
        <w:t>bewährte Maßnahmen in Kooperation mit der Bundesagentur für Arbeit gebündelt so</w:t>
      </w:r>
      <w:r w:rsidR="00481722">
        <w:t xml:space="preserve"> </w:t>
      </w:r>
      <w:r>
        <w:t>aufeinander abzustimmen und ggf. anzupassen, dass der Übergang von der Schule</w:t>
      </w:r>
      <w:r w:rsidR="00481722">
        <w:t xml:space="preserve"> </w:t>
      </w:r>
      <w:r>
        <w:t>in die Ausbildung noch weiter geglättet wird und Brüche vermieden werden. Ziel dabei</w:t>
      </w:r>
      <w:r w:rsidR="00481722">
        <w:t xml:space="preserve"> </w:t>
      </w:r>
      <w:r>
        <w:t>ist eine Optimierung und Verschlankung des Übergangs in eine Ausbildung, um</w:t>
      </w:r>
      <w:r w:rsidR="00481722">
        <w:t xml:space="preserve"> </w:t>
      </w:r>
      <w:r>
        <w:t>ohne Verluste beim Ergebnis (</w:t>
      </w:r>
      <w:r w:rsidR="00445A05">
        <w:t>z. </w:t>
      </w:r>
      <w:r w:rsidR="005C0F48">
        <w:t>B.</w:t>
      </w:r>
      <w:r>
        <w:t xml:space="preserve"> hinsichtlich der Zahl erreichter Schulabschlüsse,</w:t>
      </w:r>
      <w:r w:rsidR="00481722">
        <w:t xml:space="preserve"> </w:t>
      </w:r>
      <w:r>
        <w:t>Qualität der beruflichen Orientierung, Einmündungen in eine Ausbildung) die Übersichtlichkeit</w:t>
      </w:r>
      <w:r w:rsidR="00481722">
        <w:t xml:space="preserve"> </w:t>
      </w:r>
      <w:r>
        <w:t>der Maßnahmen zu erhöhen und Parallelstrukturen zu vermeiden.</w:t>
      </w:r>
      <w:r w:rsidR="00481722">
        <w:t xml:space="preserve"> </w:t>
      </w:r>
    </w:p>
    <w:p w:rsidR="006E5140" w:rsidRDefault="006E5140" w:rsidP="00506F07">
      <w:pPr>
        <w:pStyle w:val="LTAntwortRessortText"/>
      </w:pPr>
      <w:r>
        <w:t>In der Leistungsbeschreibung für die Berufseinstiegsbegleitung ist im Rahmen des</w:t>
      </w:r>
      <w:r w:rsidR="00481722">
        <w:t xml:space="preserve"> </w:t>
      </w:r>
      <w:r w:rsidR="00445A05">
        <w:t>Vergabeverfahrens u. </w:t>
      </w:r>
      <w:r>
        <w:t>a. eine Aussage zum Personalschlüssel enthalten, der (neben</w:t>
      </w:r>
      <w:r w:rsidR="00481722">
        <w:t xml:space="preserve"> </w:t>
      </w:r>
      <w:r>
        <w:t>der Platzzahl und der Laufzeit) Einfluss auf die zu erwartende Höhe der Angebote</w:t>
      </w:r>
      <w:r w:rsidR="00481722">
        <w:t xml:space="preserve"> </w:t>
      </w:r>
      <w:r>
        <w:t>der Träger und damit der Kosten hat. Um mit den zur Verfügung stehenden Mitteln</w:t>
      </w:r>
      <w:r w:rsidR="00481722">
        <w:t xml:space="preserve"> </w:t>
      </w:r>
      <w:r>
        <w:t>bei gleichzeitiger Wahrung eines größtmöglichen Maßes an Kontinuität auch die</w:t>
      </w:r>
      <w:r w:rsidR="00481722">
        <w:t xml:space="preserve"> </w:t>
      </w:r>
      <w:r>
        <w:t>durch Landesmittel geförderte Kohorte mit Start im Jahr 2022 zu sichern, wurde der</w:t>
      </w:r>
      <w:r w:rsidR="0043001B">
        <w:t xml:space="preserve"> </w:t>
      </w:r>
      <w:r>
        <w:t>Betreuungsschlüssel von 1:20 auf 1:25 angehoben. Damit ist es möglich, bei weiterhin</w:t>
      </w:r>
      <w:r w:rsidR="0043001B">
        <w:t xml:space="preserve"> </w:t>
      </w:r>
      <w:r>
        <w:t>hoher Qua</w:t>
      </w:r>
      <w:r w:rsidR="00445A05">
        <w:t>lität des Angebotes insgesamt 3 </w:t>
      </w:r>
      <w:r>
        <w:t>500 Teilnehmerplätze zu gewährleisten.</w:t>
      </w:r>
      <w:bookmarkStart w:id="78" w:name="Frage_Nr_38_Ende"/>
      <w:bookmarkEnd w:id="78"/>
      <w:r>
        <w:br w:type="page"/>
      </w:r>
    </w:p>
    <w:p w:rsidR="006E5140" w:rsidRDefault="006E5140" w:rsidP="006E5140">
      <w:pPr>
        <w:pStyle w:val="LTUeberschrRessort"/>
      </w:pPr>
      <w:r>
        <w:t>Geschäftsbereich des Staatsministeriums für Wissenschaft und Kunst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56DE2" w:rsidTr="00156DE2">
        <w:tc>
          <w:tcPr>
            <w:tcW w:w="1854" w:type="dxa"/>
          </w:tcPr>
          <w:p w:rsidR="00156DE2" w:rsidRDefault="00156DE2" w:rsidP="00156DE2">
            <w:pPr>
              <w:pStyle w:val="LTAnfrageInitiator"/>
            </w:pPr>
            <w:r>
              <w:t>Abgeordneter</w:t>
            </w:r>
            <w:r>
              <w:rPr>
                <w:b/>
              </w:rPr>
              <w:br/>
              <w:t>Volkmar</w:t>
            </w:r>
            <w:r>
              <w:rPr>
                <w:b/>
              </w:rPr>
              <w:br/>
              <w:t>Halbleib</w:t>
            </w:r>
            <w:r>
              <w:rPr>
                <w:b/>
              </w:rPr>
              <w:br/>
            </w:r>
            <w:r>
              <w:t>(SPD)</w:t>
            </w:r>
            <w:bookmarkStart w:id="79" w:name="Frage_Nr_39"/>
            <w:bookmarkEnd w:id="79"/>
          </w:p>
        </w:tc>
        <w:tc>
          <w:tcPr>
            <w:tcW w:w="5762" w:type="dxa"/>
          </w:tcPr>
          <w:p w:rsidR="00156DE2" w:rsidRPr="000E31FC" w:rsidRDefault="00156DE2" w:rsidP="00881030">
            <w:pPr>
              <w:pStyle w:val="LTAnfrageText"/>
            </w:pPr>
            <w:r w:rsidRPr="000E31FC">
              <w:t>Ich frage die Staatsregierung, welche Beschäftigtengruppen an Universitätskliniken die Berechtigung haben, aktiv und passiv an Personalratswahlen teilzunehmen, unter welchen Voraussetzungen Assistenzärztinnen und Assistenzärzte zu den Wahlberechtigten</w:t>
            </w:r>
            <w:r w:rsidR="00881030">
              <w:t xml:space="preserve"> gehören</w:t>
            </w:r>
            <w:r w:rsidRPr="000E31FC">
              <w:t xml:space="preserve"> und inwieweit Befristungen oder eine Promotion der Beschäftigten dazu</w:t>
            </w:r>
            <w:r w:rsidR="00881030">
              <w:t xml:space="preserve"> führen</w:t>
            </w:r>
            <w:r w:rsidRPr="000E31FC">
              <w:t xml:space="preserve">, dass keine Wahlberechtigung zu den Personalratswahlen besteht? </w:t>
            </w:r>
          </w:p>
        </w:tc>
        <w:tc>
          <w:tcPr>
            <w:tcW w:w="5762" w:type="dxa"/>
          </w:tcPr>
          <w:p w:rsidR="00156DE2" w:rsidRDefault="00156DE2" w:rsidP="00156DE2">
            <w:pPr>
              <w:pStyle w:val="LTAnfrageText"/>
            </w:pPr>
          </w:p>
        </w:tc>
      </w:tr>
    </w:tbl>
    <w:p w:rsidR="006E5140" w:rsidRDefault="006E5140" w:rsidP="006E5140">
      <w:pPr>
        <w:pStyle w:val="LTUeberschrAntwortRessort"/>
      </w:pPr>
      <w:r>
        <w:t>Antwort des Staatsministeriums für Wissenschaft und Kunst</w:t>
      </w:r>
    </w:p>
    <w:p w:rsidR="006E5140" w:rsidRDefault="006E5140" w:rsidP="006E5140">
      <w:pPr>
        <w:pStyle w:val="LTAntwortRessortText"/>
      </w:pPr>
      <w:r>
        <w:t>Auch für die Universitätsklinika gilt, dass nach Art.</w:t>
      </w:r>
      <w:r w:rsidR="00445A05">
        <w:t xml:space="preserve"> 13 Abs. 1 Bayerisches Personal</w:t>
      </w:r>
      <w:r>
        <w:t>vertretungsgesetz (BayPVG) alle Beschäftigten wahlberechtigt sind, soweit diese unter den Beschäftigtenbegriff des Art. 4 BayPVG fal</w:t>
      </w:r>
      <w:r w:rsidR="00445A05">
        <w:t>len und nicht die Ausschlusstat</w:t>
      </w:r>
      <w:r>
        <w:t>bestände des Art. 13 Abs. 3 BayPVG erfüllt sind (h</w:t>
      </w:r>
      <w:r w:rsidR="00445A05">
        <w:t>ierzu gehört bspw. eine Einstel</w:t>
      </w:r>
      <w:r>
        <w:t>lung für die Erfüllung einer bestimmten Aufgabe für die Dauer von höchstens sechs Monaten). Im Übrigen sind Befristungen für die Anwendbarkeit des BayPVG ohne Bedeutung.</w:t>
      </w:r>
    </w:p>
    <w:p w:rsidR="006E5140" w:rsidRDefault="006E5140" w:rsidP="006E5140">
      <w:pPr>
        <w:pStyle w:val="LTAntwortRessortText"/>
      </w:pPr>
      <w:r>
        <w:t>Die Frage nach der Zugehörigkeit zum Beschäftigtenbegriff nach dem BayPVG lässt sich jedoch nicht für alle Beschäftigtengruppen pauschal beantworten. Insbesondere bei Ärztinnen und Ärzten handelt es sich in der R</w:t>
      </w:r>
      <w:r w:rsidR="00445A05">
        <w:t>egel um eine Einzelfallentschei</w:t>
      </w:r>
      <w:r>
        <w:t xml:space="preserve">dung, welche abhängig ist von der Frage, ob </w:t>
      </w:r>
      <w:r w:rsidR="00445A05">
        <w:t>die jeweilige Ärztin oder der jeweilige Arzt</w:t>
      </w:r>
      <w:r>
        <w:t xml:space="preserve"> nach Abschluss der Promotion mit Weiterqualifizierungsaufgaben i.</w:t>
      </w:r>
      <w:r w:rsidR="00445A05">
        <w:t> </w:t>
      </w:r>
      <w:r>
        <w:t>S.</w:t>
      </w:r>
      <w:r w:rsidR="00445A05">
        <w:t> </w:t>
      </w:r>
      <w:r>
        <w:t>v. Art. 22 Abs. 3 Bayerisches Hochschulpersonalgesetz (BayHSchPG) betraut ist oder nicht.</w:t>
      </w:r>
    </w:p>
    <w:p w:rsidR="006E5140" w:rsidRDefault="006E5140" w:rsidP="006E5140">
      <w:pPr>
        <w:pStyle w:val="LTAntwortRessortText"/>
      </w:pPr>
      <w:r>
        <w:t>Wissenschaftliche Mitarbeiterinnen und Mitarbeiter</w:t>
      </w:r>
      <w:r w:rsidR="00445A05">
        <w:t xml:space="preserve"> auf entsprechenden Weiterquali</w:t>
      </w:r>
      <w:r>
        <w:t>fizierungsstellen gelten nämlich nicht als Beschäf</w:t>
      </w:r>
      <w:r w:rsidR="00445A05">
        <w:t>tigte im Sinne des BayPVG (Art. </w:t>
      </w:r>
      <w:r>
        <w:t>4 Abs. 4 Buchst. a BayPVG i.</w:t>
      </w:r>
      <w:r w:rsidR="00445A05">
        <w:t> </w:t>
      </w:r>
      <w:r>
        <w:t>V.</w:t>
      </w:r>
      <w:r w:rsidR="00445A05">
        <w:t> </w:t>
      </w:r>
      <w:r>
        <w:t xml:space="preserve">m. Art. 22 Abs. 3 </w:t>
      </w:r>
      <w:r w:rsidR="00445A05">
        <w:t>BayHSchPG</w:t>
      </w:r>
      <w:r w:rsidR="00881030">
        <w:t>)</w:t>
      </w:r>
      <w:r>
        <w:t>. Dies gilt unabhängig davon, o</w:t>
      </w:r>
      <w:r w:rsidR="00445A05">
        <w:t>b eine Befristung oder eine Ver</w:t>
      </w:r>
      <w:r>
        <w:t>beamtung vorliegt.</w:t>
      </w:r>
    </w:p>
    <w:p w:rsidR="006E5140" w:rsidRDefault="006E5140" w:rsidP="006E5140">
      <w:pPr>
        <w:pStyle w:val="LTAntwortRessortText"/>
      </w:pPr>
      <w:r>
        <w:t>Andere wissenschaftliche Mitarbeiterinnen und Mitarbeiter, denen keine Aufgaben übertragen sind, die auch der Erbringung zusätzlicher wissenschaftlicher Leistungen</w:t>
      </w:r>
      <w:r w:rsidR="005026C9">
        <w:t xml:space="preserve"> </w:t>
      </w:r>
      <w:r>
        <w:t>förderlich sind, unterfallen dagegen dem Beschäftigtenbegriff des BayPVG. Eine Wahlberechtigung besteht daher für diese Personengruppe.</w:t>
      </w:r>
    </w:p>
    <w:p w:rsidR="006E5140" w:rsidRDefault="006E5140" w:rsidP="006E5140">
      <w:pPr>
        <w:pStyle w:val="LTAntwortRessortText"/>
      </w:pPr>
      <w:r>
        <w:t xml:space="preserve">Die an den Bayerischen Universitätsklinika befristet </w:t>
      </w:r>
      <w:r w:rsidR="00445A05">
        <w:t>beschäftigten Ärztinnen und Ärz</w:t>
      </w:r>
      <w:r>
        <w:t>te unterfallen nach Art. 23 BayHSchPG der Personal</w:t>
      </w:r>
      <w:r w:rsidR="00445A05">
        <w:t>kategorie wissenschaftliche Mit</w:t>
      </w:r>
      <w:r>
        <w:t>arbeiterinnen und Mitarbeiter. Zwar sind sie mit Blick auf ihre zeitliche B</w:t>
      </w:r>
      <w:r w:rsidR="00445A05">
        <w:t>eanspru</w:t>
      </w:r>
      <w:r>
        <w:t>chung oft in hohem Maße in der Patientenversorgun</w:t>
      </w:r>
      <w:r w:rsidR="00445A05">
        <w:t>g tätig. Hieraus lassen sich de</w:t>
      </w:r>
      <w:r>
        <w:t>ren Selbstverständnis ebenso wie die Forderung, w</w:t>
      </w:r>
      <w:r w:rsidR="00445A05">
        <w:t>ie Arbeitnehmerinnen und Arbeit</w:t>
      </w:r>
      <w:r>
        <w:t>nehmer ein Wahlrecht zum Personalrat zu erhalten, ableiten. Darüber hinaus streben viele dieser Ärztinnen und Ärzte auch nicht mehr den Beamtenstatus an, weil eine Eingruppi</w:t>
      </w:r>
      <w:r w:rsidR="0017138B">
        <w:t xml:space="preserve">erung und Entlohnung nach dem Tarifvertrag Ärzte (TVÄ) </w:t>
      </w:r>
      <w:r>
        <w:t>wirtschaftlich günstiger ist. Rechtlich bleibt die Tätigkeit jedoch unabhängig davon wisse</w:t>
      </w:r>
      <w:r w:rsidR="0017138B">
        <w:t>nschaftliche Tätigkeit. Das Bun</w:t>
      </w:r>
      <w:r>
        <w:t>desverfassungsgericht hat judiziert, dass für Ärztinnen</w:t>
      </w:r>
      <w:r w:rsidR="0017138B">
        <w:t xml:space="preserve"> und Ärzte an Universitätsklini</w:t>
      </w:r>
      <w:r>
        <w:t>ka eine wissenschaftliche Karriere losgelöst von der P</w:t>
      </w:r>
      <w:r w:rsidR="0017138B">
        <w:t>raxistätigkeit in der Patienten</w:t>
      </w:r>
      <w:r w:rsidR="00B51CDB">
        <w:t>versorgung nicht möglich ist.</w:t>
      </w:r>
      <w:r w:rsidR="00876590" w:rsidRPr="00876590">
        <w:rPr>
          <w:vertAlign w:val="superscript"/>
        </w:rPr>
        <w:t>1</w:t>
      </w:r>
      <w:r>
        <w:t xml:space="preserve"> Die personalvertretun</w:t>
      </w:r>
      <w:r w:rsidR="00B51CDB">
        <w:t>gsrechtliche Einordnung der Kli</w:t>
      </w:r>
      <w:r>
        <w:t>nikärztinnen und Klinikärzte kann allerdings nicht iso</w:t>
      </w:r>
      <w:r w:rsidR="00B51CDB">
        <w:t>liert vom Kreis der übrigen wis</w:t>
      </w:r>
      <w:r>
        <w:t xml:space="preserve">senschaftlichen Mitarbeiterinnen und Mitarbeiter auf </w:t>
      </w:r>
      <w:r w:rsidR="00B51CDB">
        <w:t>Weiterqualifizierungsstellen be</w:t>
      </w:r>
      <w:r>
        <w:t>urteilt werden, da es andernfalls zu willkürlichen Ungleichbehandlungen innerhalb einer Beschäftigtengruppe kommen würde.</w:t>
      </w:r>
    </w:p>
    <w:p w:rsidR="006E5140" w:rsidRDefault="006E5140" w:rsidP="006E5140">
      <w:pPr>
        <w:pStyle w:val="LTAntwortRessortText"/>
      </w:pPr>
      <w:r>
        <w:t>Soweit promovierte Ärztinnen und Ärzte daher mit Weiterqualifizierungsaufgaben i.</w:t>
      </w:r>
      <w:r w:rsidR="00B51CDB">
        <w:t> </w:t>
      </w:r>
      <w:r>
        <w:t>S.</w:t>
      </w:r>
      <w:r w:rsidR="00B51CDB">
        <w:t> </w:t>
      </w:r>
      <w:r>
        <w:t>v. Art. 22 Abs. 3 BayHSchPG betraut sind, steht ihnen keine Wahlberechtigung zu den Personalratswahlen zu, da sie nicht unter den Beschäftigtenbegriff des BayPVG fallen. Bei der Frage nach der Zugehörigkeit zum Beschäftigtenbegriff nach dem BayPVG müssen die Ärztinnen und Ärzte mit Weiterqualifizierungsaufgaben i.</w:t>
      </w:r>
      <w:r w:rsidR="00B51CDB">
        <w:t> </w:t>
      </w:r>
      <w:r>
        <w:t>S.</w:t>
      </w:r>
      <w:r w:rsidR="00B51CDB">
        <w:t> </w:t>
      </w:r>
      <w:r>
        <w:t>v. Art. 22 Abs. 3 BayHSchPG von solchen ohne de</w:t>
      </w:r>
      <w:r w:rsidR="00B51CDB">
        <w:t>rartige Aufgaben abgegrenzt wer</w:t>
      </w:r>
      <w:r>
        <w:t xml:space="preserve">den. Dies ist jeweils eine Einzelfallentscheidung und abhängig davon, inwieweit dem jeweiligen Arzt oder der jeweiligen Ärztin Aufgaben </w:t>
      </w:r>
      <w:r w:rsidR="00B51CDB">
        <w:t>übertragen wurden, die zusätzli</w:t>
      </w:r>
      <w:r>
        <w:t>chen wissenschaftlichen Leistungen förderlich sind.</w:t>
      </w:r>
    </w:p>
    <w:p w:rsidR="006E5140" w:rsidRDefault="006E5140" w:rsidP="006E5140">
      <w:pPr>
        <w:pStyle w:val="LTAntwortRessortText"/>
      </w:pPr>
      <w:r>
        <w:t>Für Doktorandinnen und Doktoranden mit entsprechenden Stellen gilt dagegen, dass sie Beschäftigte im Sinne des BayPVG sind, da Art. 4 BayPVG diese nicht unter die</w:t>
      </w:r>
      <w:r w:rsidR="005026C9">
        <w:t xml:space="preserve"> </w:t>
      </w:r>
      <w:r>
        <w:t xml:space="preserve">Ausnahmen des Beschäftigungsbegriffes </w:t>
      </w:r>
      <w:r w:rsidR="00B51CDB">
        <w:t>fasst und weder auf Art. 2 Abs. </w:t>
      </w:r>
      <w:r>
        <w:t>1 Satz 1 Nr. 3 noch auf Art. 22 Abs. 2 BayHSchPG verweist. Insoweit sind Doktorandinnen und Doktoranden wahlberechtigt bei den Personalratswahlen.</w:t>
      </w:r>
    </w:p>
    <w:p w:rsidR="005026C9" w:rsidRDefault="005026C9"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876590" w:rsidRDefault="00876590" w:rsidP="006E5140">
      <w:pPr>
        <w:pStyle w:val="LTAntwortRessortText"/>
      </w:pPr>
    </w:p>
    <w:p w:rsidR="005026C9" w:rsidRPr="00156DE2" w:rsidRDefault="005026C9" w:rsidP="005026C9">
      <w:pPr>
        <w:pStyle w:val="LTAntwortRessortText"/>
        <w:rPr>
          <w:sz w:val="16"/>
        </w:rPr>
      </w:pPr>
      <w:r w:rsidRPr="00156DE2">
        <w:rPr>
          <w:sz w:val="18"/>
          <w:vertAlign w:val="superscript"/>
        </w:rPr>
        <w:t>1</w:t>
      </w:r>
      <w:r w:rsidR="00876590">
        <w:tab/>
      </w:r>
      <w:r w:rsidRPr="00156DE2">
        <w:rPr>
          <w:sz w:val="16"/>
        </w:rPr>
        <w:t xml:space="preserve">Siehe Beschluss vom </w:t>
      </w:r>
      <w:r w:rsidR="00B51CDB" w:rsidRPr="00156DE2">
        <w:rPr>
          <w:sz w:val="16"/>
        </w:rPr>
        <w:t>0</w:t>
      </w:r>
      <w:r w:rsidRPr="00156DE2">
        <w:rPr>
          <w:sz w:val="16"/>
        </w:rPr>
        <w:t>8.</w:t>
      </w:r>
      <w:r w:rsidR="00B51CDB" w:rsidRPr="00156DE2">
        <w:rPr>
          <w:sz w:val="16"/>
        </w:rPr>
        <w:t>0</w:t>
      </w:r>
      <w:r w:rsidRPr="00156DE2">
        <w:rPr>
          <w:sz w:val="16"/>
        </w:rPr>
        <w:t>4.1981 (1BvR 608/79)</w:t>
      </w:r>
    </w:p>
    <w:p w:rsidR="005026C9" w:rsidRDefault="005026C9" w:rsidP="006E5140">
      <w:pPr>
        <w:pStyle w:val="LTAntwortRessortText"/>
      </w:pPr>
    </w:p>
    <w:p w:rsidR="006E5140" w:rsidRDefault="006E5140">
      <w:bookmarkStart w:id="80" w:name="Frage_Nr_39_Ende"/>
      <w:bookmarkEnd w:id="8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56DE2" w:rsidTr="00156DE2">
        <w:tc>
          <w:tcPr>
            <w:tcW w:w="1852" w:type="dxa"/>
          </w:tcPr>
          <w:p w:rsidR="00156DE2" w:rsidRDefault="00156DE2" w:rsidP="00156DE2">
            <w:pPr>
              <w:pStyle w:val="LTAnfrageInitiator"/>
            </w:pPr>
            <w:r>
              <w:t>Abgeordneter</w:t>
            </w:r>
            <w:r>
              <w:rPr>
                <w:b/>
              </w:rPr>
              <w:br/>
              <w:t>Dr. Wolfgang</w:t>
            </w:r>
            <w:r>
              <w:rPr>
                <w:b/>
              </w:rPr>
              <w:br/>
              <w:t>Heubisch</w:t>
            </w:r>
            <w:r>
              <w:rPr>
                <w:b/>
              </w:rPr>
              <w:br/>
            </w:r>
            <w:r>
              <w:t>(FDP)</w:t>
            </w:r>
            <w:bookmarkStart w:id="81" w:name="Frage_Nr_40"/>
            <w:bookmarkEnd w:id="81"/>
          </w:p>
        </w:tc>
        <w:tc>
          <w:tcPr>
            <w:tcW w:w="5764" w:type="dxa"/>
          </w:tcPr>
          <w:p w:rsidR="00156DE2" w:rsidRPr="000E31FC" w:rsidRDefault="00156DE2" w:rsidP="000E31FC">
            <w:pPr>
              <w:pStyle w:val="LTAnfrageText"/>
            </w:pPr>
            <w:r w:rsidRPr="000E31FC">
              <w:t>Ich frage die Staatsregierung, welche rechtlichen und finanziellen Voraussetzungen sie dafür schafft, dass der bayernweit eingeschlagene Weg zur Klimaneutralität auch an den Hochschulen entschlossen vorangetrieben werden kann, mit welchen Maßnahmen sie die einzelnen Hochschulen konkret auf diesem Weg unterstützt und bis wann die jeweiligen Teilbereiche der Hochschulen (Forschung, Lehre, Verwaltung etc.) dazu verpflichtet sind, vollständig klimaneutral zu operieren?</w:t>
            </w:r>
          </w:p>
        </w:tc>
        <w:tc>
          <w:tcPr>
            <w:tcW w:w="5764" w:type="dxa"/>
          </w:tcPr>
          <w:p w:rsidR="00156DE2" w:rsidRDefault="00156DE2" w:rsidP="00156DE2">
            <w:pPr>
              <w:pStyle w:val="LTAnfrageText"/>
            </w:pPr>
          </w:p>
        </w:tc>
      </w:tr>
    </w:tbl>
    <w:p w:rsidR="006E5140" w:rsidRDefault="006E5140" w:rsidP="006E5140">
      <w:pPr>
        <w:pStyle w:val="LTUeberschrAntwortRessort"/>
      </w:pPr>
      <w:r>
        <w:t>Antwort des Staatsministeriums für Wissenschaft und Kunst</w:t>
      </w:r>
    </w:p>
    <w:p w:rsidR="006E5140" w:rsidRDefault="006E5140" w:rsidP="006E5140">
      <w:pPr>
        <w:pStyle w:val="LTAntwortRessortText"/>
      </w:pPr>
      <w:r>
        <w:t xml:space="preserve">Im Rahmen des Hochschulinnovationsgesetzes sollen die Themen </w:t>
      </w:r>
      <w:r w:rsidR="005C0F48">
        <w:t>„</w:t>
      </w:r>
      <w:r>
        <w:t>Klimaschutz</w:t>
      </w:r>
      <w:r w:rsidR="005C0F48">
        <w:t>“</w:t>
      </w:r>
      <w:r>
        <w:t xml:space="preserve"> und </w:t>
      </w:r>
      <w:r w:rsidR="005C0F48">
        <w:t>„</w:t>
      </w:r>
      <w:r>
        <w:t>Bildung für nachhaltige Entwicklung</w:t>
      </w:r>
      <w:r w:rsidR="005C0F48">
        <w:t>“</w:t>
      </w:r>
      <w:r>
        <w:t xml:space="preserve"> als</w:t>
      </w:r>
      <w:r w:rsidR="00876590">
        <w:t xml:space="preserve"> Aufgabe der Hochschulen festge</w:t>
      </w:r>
      <w:r>
        <w:t>schrieben werden; damit wird die große Bedeutung deutlich, die die Staatsregierung diesen Themen im Hochschulkontext beimisst.</w:t>
      </w:r>
    </w:p>
    <w:p w:rsidR="006E5140" w:rsidRDefault="006E5140" w:rsidP="006E5140">
      <w:pPr>
        <w:pStyle w:val="LTAntwortRessortText"/>
      </w:pPr>
      <w:r>
        <w:t>Bereits jetzt haben die Präsidentinnen und Präsidenten aller staatlichen und staatlich anerkannten Hochschulen, Universitäten und Ho</w:t>
      </w:r>
      <w:r w:rsidR="00876590">
        <w:t>chschulen für angewandte Wissen</w:t>
      </w:r>
      <w:r>
        <w:t xml:space="preserve">schaften in Bayern das Memorandum of Understanding zur Zusammenarbeit von Hochschulen im Rahmen des Netzwerks </w:t>
      </w:r>
      <w:r w:rsidR="005C0F48">
        <w:t>„</w:t>
      </w:r>
      <w:r>
        <w:t>Hochschule</w:t>
      </w:r>
      <w:r w:rsidR="00876590">
        <w:t xml:space="preserve"> und Nachhaltigkeit Bay</w:t>
      </w:r>
      <w:r>
        <w:t>ern</w:t>
      </w:r>
      <w:r w:rsidR="005C0F48">
        <w:t>“</w:t>
      </w:r>
      <w:r>
        <w:t xml:space="preserve"> unterzeichnet und sich somit zu einem aktiven Klimaschutz verpflichtet.</w:t>
      </w:r>
    </w:p>
    <w:p w:rsidR="006E5140" w:rsidRDefault="006E5140" w:rsidP="006E5140">
      <w:pPr>
        <w:pStyle w:val="LTAntwortRessortText"/>
      </w:pPr>
      <w:r>
        <w:t>Die Klimaneutralität der Hochschulen geht mit nicht unerheblichen Kosten einher. Dies gilt für den Bezug von Strom und Wärme, die Einstellung von Personal und den Einkauf von Betriebsmitteln, aber in erster Linie f</w:t>
      </w:r>
      <w:r w:rsidR="00876590">
        <w:t>ür klimaneutralen Bau und Sanie</w:t>
      </w:r>
      <w:r>
        <w:t xml:space="preserve">rung. Diese Herausforderung ist der Staatsregierung bewusst. Daher sind nach der Regierungserklärung </w:t>
      </w:r>
      <w:r w:rsidR="005C0F48">
        <w:t>„</w:t>
      </w:r>
      <w:r>
        <w:t>Klimaland Bayern</w:t>
      </w:r>
      <w:r w:rsidR="005C0F48">
        <w:t>“</w:t>
      </w:r>
      <w:r>
        <w:t xml:space="preserve"> vom 21.07.2021 insbesondere über 250 Mio. </w:t>
      </w:r>
      <w:r w:rsidR="005C0F48">
        <w:t>Euro</w:t>
      </w:r>
      <w:r>
        <w:t xml:space="preserve"> für Klima-Bauen, Klima-Architektur sowie die energetische Sanierung staatlicher Gebäude vorgesehen.</w:t>
      </w:r>
    </w:p>
    <w:p w:rsidR="006E5140" w:rsidRDefault="006E5140" w:rsidP="006E5140">
      <w:pPr>
        <w:pStyle w:val="LTAntwortRessortText"/>
      </w:pPr>
      <w:r>
        <w:t>Gemeinsam gehen der Freistaat und die Hochschul</w:t>
      </w:r>
      <w:r w:rsidR="00876590">
        <w:t>en im bewährten partnerschaftli</w:t>
      </w:r>
      <w:r>
        <w:t xml:space="preserve">chen Verhältnis die großen Herausforderungen an </w:t>
      </w:r>
      <w:r w:rsidR="00881030">
        <w:t>–</w:t>
      </w:r>
      <w:r>
        <w:t xml:space="preserve"> einschließlich der immer</w:t>
      </w:r>
      <w:r w:rsidR="00B37F2B">
        <w:t xml:space="preserve"> </w:t>
      </w:r>
      <w:r>
        <w:t xml:space="preserve">dringlicher werdenden Themen </w:t>
      </w:r>
      <w:r w:rsidR="00B75212">
        <w:t>Nachhaltigkeit und Klimaschutz –</w:t>
      </w:r>
      <w:r>
        <w:t xml:space="preserve"> und schließen dazu über mehrere Jahre laufende Zielvereinbarungen. Entsprechend greift das </w:t>
      </w:r>
      <w:r w:rsidR="005C0F48">
        <w:t>„</w:t>
      </w:r>
      <w:r w:rsidR="00876590">
        <w:t>Innovati</w:t>
      </w:r>
      <w:r>
        <w:t>onsbündnis Hochschule 4.0</w:t>
      </w:r>
      <w:r w:rsidR="005C0F48">
        <w:t>“</w:t>
      </w:r>
      <w:r>
        <w:t xml:space="preserve"> das Thema Nachhaltigkeit auf. Auch in Zukunft werden partnerschaftliche Instrumente wie Rahmenverträg</w:t>
      </w:r>
      <w:r w:rsidR="00876590">
        <w:t>e oder Zielvereinbarungen geeig</w:t>
      </w:r>
      <w:r>
        <w:t>nete Instrumente sein, um die Klimaneutralität an den Hochschulen voranzubringen.</w:t>
      </w:r>
    </w:p>
    <w:p w:rsidR="006E5140" w:rsidRDefault="006E5140">
      <w:bookmarkStart w:id="82" w:name="Frage_Nr_40_Ende"/>
      <w:bookmarkEnd w:id="8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156DE2" w:rsidTr="00156DE2">
        <w:tc>
          <w:tcPr>
            <w:tcW w:w="1875" w:type="dxa"/>
          </w:tcPr>
          <w:p w:rsidR="00156DE2" w:rsidRDefault="00156DE2" w:rsidP="00156DE2">
            <w:pPr>
              <w:pStyle w:val="LTAnfrageInitiator"/>
            </w:pPr>
            <w:r>
              <w:t>Abgeordnete</w:t>
            </w:r>
            <w:r>
              <w:rPr>
                <w:b/>
              </w:rPr>
              <w:br/>
              <w:t>Alexandra</w:t>
            </w:r>
            <w:r>
              <w:rPr>
                <w:b/>
              </w:rPr>
              <w:br/>
              <w:t>Hiersemann</w:t>
            </w:r>
            <w:r>
              <w:rPr>
                <w:b/>
              </w:rPr>
              <w:br/>
            </w:r>
            <w:r>
              <w:t>(SPD)</w:t>
            </w:r>
            <w:bookmarkStart w:id="83" w:name="Frage_Nr_41"/>
            <w:bookmarkEnd w:id="83"/>
          </w:p>
        </w:tc>
        <w:tc>
          <w:tcPr>
            <w:tcW w:w="5741" w:type="dxa"/>
          </w:tcPr>
          <w:p w:rsidR="00156DE2" w:rsidRPr="000E31FC" w:rsidRDefault="00156DE2" w:rsidP="00881030">
            <w:pPr>
              <w:pStyle w:val="LTAnfrageText"/>
            </w:pPr>
            <w:r w:rsidRPr="000E31FC">
              <w:t>Da bei der diesjährigen Personalratswahl am Uni</w:t>
            </w:r>
            <w:r w:rsidR="00881030">
              <w:t>versitäts-Klinikum</w:t>
            </w:r>
            <w:r w:rsidRPr="000E31FC">
              <w:t xml:space="preserve"> Regensburg befristet angestellte promovierte Fachärzte, die als „wissenschaftliche Mitarbeiter mit ärztlichen Aufgaben“ beschäftigt sind, nicht an der Personalratswahl teilnehmen durften und zur Begründung angeführt wurde, dass befristet Beschäftigte nicht an der Wahl teilnehmen dürfen, sobald sie einen Doktortitel führen, und eine entsprechende Einschränkung des aktiven und passiven Wahlrecht</w:t>
            </w:r>
            <w:r w:rsidR="00881030">
              <w:t>s</w:t>
            </w:r>
            <w:r w:rsidRPr="000E31FC">
              <w:t xml:space="preserve"> zu Personalratswahlen weder dem Bayerischen Personalvertretungsgesetz</w:t>
            </w:r>
            <w:r w:rsidR="00881030">
              <w:t xml:space="preserve"> (BayPVG)</w:t>
            </w:r>
            <w:r w:rsidRPr="000E31FC">
              <w:t xml:space="preserve"> noch dem Bayerischen Hochschulpersonalgesetz </w:t>
            </w:r>
            <w:r w:rsidR="00881030">
              <w:t xml:space="preserve">(BayHSchPG) </w:t>
            </w:r>
            <w:r w:rsidRPr="000E31FC">
              <w:t>entnommen werden kann, frage ich die Staatsregierung, ob es rechtmäßig war, den genannten Personenkreis von der Teilnahme an der Personalratswahl auszuschließen und falls ja, aufgrund welcher Rechtsvorschrift und welcher hierfür maßgeblichen Überlegungen?</w:t>
            </w:r>
          </w:p>
        </w:tc>
        <w:tc>
          <w:tcPr>
            <w:tcW w:w="5741" w:type="dxa"/>
          </w:tcPr>
          <w:p w:rsidR="00156DE2" w:rsidRDefault="00156DE2" w:rsidP="00156DE2">
            <w:pPr>
              <w:pStyle w:val="LTAnfrageText"/>
            </w:pPr>
          </w:p>
        </w:tc>
      </w:tr>
    </w:tbl>
    <w:p w:rsidR="006E5140" w:rsidRDefault="006E5140" w:rsidP="006E5140">
      <w:pPr>
        <w:pStyle w:val="LTUeberschrAntwortRessort"/>
      </w:pPr>
      <w:r>
        <w:t>Antwort des Staatsministeriums für Wissenschaft und Kunst</w:t>
      </w:r>
    </w:p>
    <w:p w:rsidR="006E5140" w:rsidRDefault="006E5140" w:rsidP="006E5140">
      <w:pPr>
        <w:pStyle w:val="LTAntwortRessortText"/>
      </w:pPr>
      <w:r>
        <w:t>A</w:t>
      </w:r>
      <w:r w:rsidR="00881030">
        <w:t>rt. 4 des BayPVG</w:t>
      </w:r>
      <w:r w:rsidR="00876590">
        <w:t xml:space="preserve"> regelt, wer als Be</w:t>
      </w:r>
      <w:r>
        <w:t>schäftigter im Sinne dieses Gesetzes gilt und demnach grundsätzlich wahlberechtigt ist (Art. 13 BayPVG). Ausgenommen sind die in Art. 4 Abs. 4 BayPVG genannten Personengruppen. Hierzu gehören auch wissenschaf</w:t>
      </w:r>
      <w:r w:rsidR="00876590">
        <w:t>tliche Mitarbeiterinnen und Mit</w:t>
      </w:r>
      <w:r>
        <w:t>arbeiter, denen Aufgaben übertragen wurden, die auch der Erbringung zusätzlicher wissenschaftlicher Leistungen förderlich sind (Art. 4 Abs. 4a BayPVG i.</w:t>
      </w:r>
      <w:r w:rsidR="00876590">
        <w:t> </w:t>
      </w:r>
      <w:r>
        <w:t>V.</w:t>
      </w:r>
      <w:r w:rsidR="00876590">
        <w:t> </w:t>
      </w:r>
      <w:r w:rsidR="00881030">
        <w:t>m. Art. 22 Abs. 3 BayHSchPG</w:t>
      </w:r>
      <w:r>
        <w:t>.</w:t>
      </w:r>
    </w:p>
    <w:p w:rsidR="006E5140" w:rsidRDefault="006E5140" w:rsidP="006E5140">
      <w:pPr>
        <w:pStyle w:val="LTAntwortRessortText"/>
      </w:pPr>
      <w:r>
        <w:t xml:space="preserve">Bei der Frage nach der Zugehörigkeit zum Beschäftigtenbegriff nach dem BayPVG müssen also die wissenschaftlichen Mitarbeiterinnen </w:t>
      </w:r>
      <w:r w:rsidR="00876590">
        <w:t>und Mitarbeiter mit Weiterquali</w:t>
      </w:r>
      <w:r>
        <w:t>fizierungsaufgaben i.</w:t>
      </w:r>
      <w:r w:rsidR="008D3F9B">
        <w:t> </w:t>
      </w:r>
      <w:r>
        <w:t>S.</w:t>
      </w:r>
      <w:r w:rsidR="008D3F9B">
        <w:t> </w:t>
      </w:r>
      <w:r>
        <w:t>v. Art. 22 Abs. 3 BayHSchPG von solchen ohne derartige Aufgaben abgegrenzt werden. Diese Abgrenzung ist insbesondere bei Ärztinnen und Ärzten schwierig, da sich die Arbeit in der Patie</w:t>
      </w:r>
      <w:r w:rsidR="00876590">
        <w:t>ntenversorgung nicht von wissen</w:t>
      </w:r>
      <w:r>
        <w:t>schaftlicher Arbeit und auch nicht von wissenschaftlicher Weiterqualifizierung trennen lässt. Es handelt sich jeweils um eine Einzelfallentscheidung und ist abhängig davon, inwieweit dem jeweiligen Arzt oder der jeweiligen</w:t>
      </w:r>
      <w:r w:rsidR="00876590">
        <w:t xml:space="preserve"> Ärztin Aufgaben übertragen wur</w:t>
      </w:r>
      <w:r>
        <w:t>den, die zusätzlichen wissenschaftlichen Leistungen förderlich sind.</w:t>
      </w:r>
      <w:r w:rsidR="00B37F2B">
        <w:t xml:space="preserve"> </w:t>
      </w:r>
      <w:r>
        <w:t>Befristungen sind für die Anwendbarkeit des BayPVG grundsätzlich irrelevant. Eine Ausnahme gilt für den Fall, dass Beschäftigte für die</w:t>
      </w:r>
      <w:r w:rsidR="00876590">
        <w:t xml:space="preserve"> Erfüllung einer bestimmten Auf</w:t>
      </w:r>
      <w:r>
        <w:t>gabe für eine Dauer von höchstens sechs Monaten eingestellt sind (Art</w:t>
      </w:r>
      <w:r w:rsidR="00876590">
        <w:t>. 13 Abs. </w:t>
      </w:r>
      <w:r>
        <w:t>3a BayPVG).</w:t>
      </w:r>
    </w:p>
    <w:p w:rsidR="006E5140" w:rsidRDefault="006E5140" w:rsidP="006E5140">
      <w:pPr>
        <w:pStyle w:val="LTAntwortRessortText"/>
      </w:pPr>
      <w:r>
        <w:t>Doktorandinnen und Doktoranden mit entsprechenden Stellen gelten als Beschäftigte im Sinne des BayPVG, da Art. 4 BayPVG diese Pe</w:t>
      </w:r>
      <w:r w:rsidR="008D3F9B">
        <w:t>rsonengruppe nicht explizit aus</w:t>
      </w:r>
      <w:r>
        <w:t>nimmt; diese sind daher bei Personalratswahlen wahlberechtigt. Der Abschluss einer Promotion rechtfertigt pauschal nicht die Annahme, dass im Anschluss eine weitere wissenschaftliche Qualifizierung etwa in Form einer Habilitation erfolgt.</w:t>
      </w:r>
    </w:p>
    <w:p w:rsidR="006E5140" w:rsidRDefault="006E5140" w:rsidP="006E5140">
      <w:pPr>
        <w:pStyle w:val="LTAntwortRessortText"/>
      </w:pPr>
      <w:r>
        <w:t>Wie dargelegt bedarf es jeweils einer Einzelfallprüfung. Das alleinige Abstellen auf das Vorliegen einer Befristung oder das Vorliegen e</w:t>
      </w:r>
      <w:r w:rsidR="008D3F9B">
        <w:t>ines Doktortitels sind keine ge</w:t>
      </w:r>
      <w:r>
        <w:t>eigneten Kriterien, auf deren Grundlage nach Art. 4 Abs. 4a BayPVG i.</w:t>
      </w:r>
      <w:r w:rsidR="008D3F9B">
        <w:t> </w:t>
      </w:r>
      <w:r>
        <w:t>V.</w:t>
      </w:r>
      <w:r w:rsidR="008D3F9B">
        <w:t> </w:t>
      </w:r>
      <w:r>
        <w:t>m. Art.</w:t>
      </w:r>
      <w:r w:rsidR="008D3F9B">
        <w:t> </w:t>
      </w:r>
      <w:r>
        <w:t>22 Abs. 3 BayHSchPG der Ausschluss einer Wahlberechtigung festgestellt werden könnte.</w:t>
      </w:r>
    </w:p>
    <w:p w:rsidR="006E5140" w:rsidRDefault="006E5140" w:rsidP="006E5140">
      <w:pPr>
        <w:pStyle w:val="LTAntwortRessortText"/>
      </w:pPr>
      <w:r>
        <w:t xml:space="preserve">Das Staatsministerium beabsichtigt, die bayerischen Universitätsklinika bzgl. der mit Schreiben vom 23.11.2015 übermittelten und in der </w:t>
      </w:r>
      <w:r w:rsidR="008D3F9B">
        <w:t>Antwort skizzierten Vollzugshin</w:t>
      </w:r>
      <w:r>
        <w:t>weise zur Auslegung des Art. 22 Abs. 3 BayHSchPG erneut zu sensibilisieren und sie anzuhalten, diese zu beachten.</w:t>
      </w:r>
    </w:p>
    <w:p w:rsidR="006E5140" w:rsidRDefault="006E5140">
      <w:bookmarkStart w:id="84" w:name="Frage_Nr_41_Ende"/>
      <w:bookmarkEnd w:id="84"/>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156DE2" w:rsidTr="00156DE2">
        <w:tc>
          <w:tcPr>
            <w:tcW w:w="1909" w:type="dxa"/>
          </w:tcPr>
          <w:p w:rsidR="00156DE2" w:rsidRDefault="00156DE2" w:rsidP="00156DE2">
            <w:pPr>
              <w:pStyle w:val="LTAnfrageInitiator"/>
            </w:pPr>
            <w:r>
              <w:t>Abgeordnete</w:t>
            </w:r>
            <w:r>
              <w:rPr>
                <w:b/>
              </w:rPr>
              <w:br/>
              <w:t>Susanne</w:t>
            </w:r>
            <w:r>
              <w:rPr>
                <w:b/>
              </w:rPr>
              <w:br/>
              <w:t>Kurz</w:t>
            </w:r>
            <w:r>
              <w:rPr>
                <w:b/>
              </w:rPr>
              <w:br/>
            </w:r>
            <w:r>
              <w:t>(BÜNDNIS 90/DIE GRÜNEN)</w:t>
            </w:r>
            <w:bookmarkStart w:id="85" w:name="Frage_Nr_42"/>
            <w:bookmarkEnd w:id="85"/>
          </w:p>
        </w:tc>
        <w:tc>
          <w:tcPr>
            <w:tcW w:w="5707" w:type="dxa"/>
          </w:tcPr>
          <w:p w:rsidR="00156DE2" w:rsidRPr="000E31FC" w:rsidRDefault="00156DE2" w:rsidP="00881030">
            <w:pPr>
              <w:pStyle w:val="LTAnfrageText"/>
            </w:pPr>
            <w:r w:rsidRPr="000E31FC">
              <w:t xml:space="preserve">Vor dem Hintergrund, dass das Bundesverfassungsgericht in seinen Leitsätzen zum Beschluss des Ersten Senats vom 24. März 2021 feststellt, „Art. 20a GG verpflichtet den Staat zum Klimaschutz. Dies zielt auch auf die Herstellung von Klimaneutralität.“ (GG = Grundgesetz), frage ich die Staatsregierung, welche Bemühungen sie in Bezug auf die ökologische Nachhaltigkeit im Kulturbereich derzeit unternimmt, welche Daten, Erhebungen, Studien </w:t>
            </w:r>
            <w:r w:rsidR="00881030">
              <w:t>sie</w:t>
            </w:r>
            <w:r w:rsidRPr="000E31FC">
              <w:t xml:space="preserve"> hierzu bisher ausgewertet hat und was sie zukünftig an Maßnahmen zur Erreichung des Ziels</w:t>
            </w:r>
            <w:r w:rsidR="00881030">
              <w:t xml:space="preserve"> der</w:t>
            </w:r>
            <w:r w:rsidRPr="000E31FC">
              <w:t xml:space="preserve"> Klimaneutralität plant (bitte jeweils auflisten für staatlichen</w:t>
            </w:r>
            <w:r w:rsidR="00881030">
              <w:t xml:space="preserve"> und</w:t>
            </w:r>
            <w:r w:rsidRPr="000E31FC">
              <w:t xml:space="preserve"> staatlich geförderten Kulturbetrieb sowie Kulturbetrieb mit staatlicher Beteiligung</w:t>
            </w:r>
            <w:r w:rsidR="00881030">
              <w:t>,</w:t>
            </w:r>
            <w:r w:rsidRPr="000E31FC">
              <w:t xml:space="preserve"> z. B. in GmbHs)? </w:t>
            </w:r>
          </w:p>
        </w:tc>
        <w:tc>
          <w:tcPr>
            <w:tcW w:w="5707" w:type="dxa"/>
          </w:tcPr>
          <w:p w:rsidR="00156DE2" w:rsidRDefault="00156DE2" w:rsidP="00156DE2">
            <w:pPr>
              <w:pStyle w:val="LTAnfrageText"/>
            </w:pPr>
          </w:p>
        </w:tc>
      </w:tr>
    </w:tbl>
    <w:p w:rsidR="006E5140" w:rsidRDefault="006E5140" w:rsidP="00E64F98">
      <w:pPr>
        <w:pStyle w:val="LTUeberschrAntwortRessort"/>
        <w:spacing w:before="720"/>
      </w:pPr>
      <w:r>
        <w:t>Antwort des Staatsministeriums für Wissenschaft und Kunst</w:t>
      </w:r>
    </w:p>
    <w:p w:rsidR="006E5140" w:rsidRDefault="006E5140" w:rsidP="006E5140">
      <w:pPr>
        <w:pStyle w:val="LTAntwortRessortText"/>
      </w:pPr>
      <w:r>
        <w:t>Das Staatsministerium für Wissenschaft und Kuns</w:t>
      </w:r>
      <w:r w:rsidR="008D3F9B">
        <w:t>t beantwortet die Anfrage in Ab</w:t>
      </w:r>
      <w:r>
        <w:t>stimmung mit dem Staatsministerium für Umwelt und Verbrauchers</w:t>
      </w:r>
      <w:r w:rsidR="008D3F9B">
        <w:t xml:space="preserve">chutz (StMUV) sowie mit dem </w:t>
      </w:r>
      <w:r>
        <w:t xml:space="preserve">Staatsministerium für Wohnen, Bau und Verkehr </w:t>
      </w:r>
      <w:r w:rsidR="008D3F9B">
        <w:t xml:space="preserve">(StMB) </w:t>
      </w:r>
      <w:r>
        <w:t>wie folgt:</w:t>
      </w:r>
    </w:p>
    <w:p w:rsidR="006E5140" w:rsidRDefault="008D3F9B" w:rsidP="006E5140">
      <w:pPr>
        <w:pStyle w:val="LTAntwortRessortText"/>
      </w:pPr>
      <w:r>
        <w:t xml:space="preserve">Der Bayerische </w:t>
      </w:r>
      <w:r w:rsidR="006E5140">
        <w:t>Ministerrat hat im Rahmen der Bayerischen Klimaschutzoffensive bereits Ende 2019 ein Maßnahmenpaket der Sta</w:t>
      </w:r>
      <w:r>
        <w:t>atsregierung zum Klimaschutz be</w:t>
      </w:r>
      <w:r w:rsidR="006E5140">
        <w:t>schlossen. Dieses beinhaltet einen Zehn-Punkte-</w:t>
      </w:r>
      <w:r>
        <w:t>Plan, der etwa 100 Einzelmaßnah</w:t>
      </w:r>
      <w:r w:rsidR="006E5140">
        <w:t>men aus allen Ressorts bündelt und damit die Ziel</w:t>
      </w:r>
      <w:r>
        <w:t xml:space="preserve">e des Bayerischen Klimaschutzgesetzes vom 23. November </w:t>
      </w:r>
      <w:r w:rsidR="006E5140">
        <w:t>2020 konkretisiert. Federführend z</w:t>
      </w:r>
      <w:r>
        <w:t>uständig für die Bayerische Kli</w:t>
      </w:r>
      <w:r w:rsidR="006E5140">
        <w:t xml:space="preserve">maschutzoffensive ist das </w:t>
      </w:r>
      <w:r>
        <w:t>StMUV</w:t>
      </w:r>
      <w:r w:rsidR="006E5140">
        <w:t>. Ein Teil des Zehn-Punkte-Plans ist die Klimaneutralität von Staat und Kommunen. Während das Bayerische Klimaschutzgesetz für die Kommunen eine Reihe von Empfehlungen, jedoch keine neuen Verpfli</w:t>
      </w:r>
      <w:r>
        <w:t xml:space="preserve">chtungen enthält, soll die </w:t>
      </w:r>
      <w:r w:rsidR="006E5140">
        <w:t>Staatsverwaltung bis 2030 klimaneutral sein.</w:t>
      </w:r>
    </w:p>
    <w:p w:rsidR="006E5140" w:rsidRDefault="006E5140" w:rsidP="00AD15C0">
      <w:pPr>
        <w:pStyle w:val="LTAntwortRessortText"/>
        <w:spacing w:before="0"/>
      </w:pPr>
      <w:r>
        <w:t>Als Maßnahme zur Erreichung dieses Ziels hat der Ministerrat in diesem Jahr einen Beschluss zur Reduzierung von Flugreisen der Staatsregierung und Staatsbediensteten sowie zur Kompensation der CO</w:t>
      </w:r>
      <w:r w:rsidRPr="008D3F9B">
        <w:rPr>
          <w:vertAlign w:val="subscript"/>
        </w:rPr>
        <w:t>2</w:t>
      </w:r>
      <w:r>
        <w:t xml:space="preserve">-Emissionen, </w:t>
      </w:r>
      <w:r w:rsidR="008D3F9B">
        <w:t>die durch unvermeidliche dienst</w:t>
      </w:r>
      <w:r>
        <w:t>liche Flüge entstehen, getroffen. Die inhaltliche Um</w:t>
      </w:r>
      <w:r w:rsidR="008D3F9B">
        <w:t>setzung dieser Beschlüsse erfor</w:t>
      </w:r>
      <w:r>
        <w:t>dert, dass an jeder Dienststelle künftig andere Maßstäbe bei der Genehmigung von Dienstreisen angelegt werden und die notwendigen Daten zur Durchführung der</w:t>
      </w:r>
      <w:r w:rsidR="00AD15C0">
        <w:t xml:space="preserve"> </w:t>
      </w:r>
      <w:r>
        <w:t>CO</w:t>
      </w:r>
      <w:r w:rsidRPr="008D3F9B">
        <w:rPr>
          <w:vertAlign w:val="subscript"/>
        </w:rPr>
        <w:t>2</w:t>
      </w:r>
      <w:r>
        <w:t>-Kompensation zusammengestellt bzw. vorgehalten werden. Darüber hinaus sind ab sofort die mit der CO</w:t>
      </w:r>
      <w:r w:rsidRPr="008D3F9B">
        <w:rPr>
          <w:vertAlign w:val="subscript"/>
        </w:rPr>
        <w:t>2</w:t>
      </w:r>
      <w:r>
        <w:t>-Kompensation verbundenen Kosten bei der Planung von Dienstreisen und der Genehmigung von Dienstreiseanträgen zu berücksichtigen. Hiervon sind auch die staatlichen Dienststellen des Kulturbereichs umfasst.</w:t>
      </w:r>
    </w:p>
    <w:p w:rsidR="006E5140" w:rsidRDefault="006E5140" w:rsidP="006E5140">
      <w:pPr>
        <w:pStyle w:val="LTAntwortRessortText"/>
      </w:pPr>
      <w:r>
        <w:t>Auf die ökologische Nachhaltigkeit bei der Umse</w:t>
      </w:r>
      <w:r w:rsidR="008D3F9B">
        <w:t>tzung von staatlichen Baumaßnah</w:t>
      </w:r>
      <w:r>
        <w:t xml:space="preserve">men, insbesondere auch im Kunstbereich, achtet federführend das </w:t>
      </w:r>
      <w:r w:rsidR="008D3F9B">
        <w:t>StMB</w:t>
      </w:r>
      <w:r>
        <w:t>.</w:t>
      </w:r>
    </w:p>
    <w:p w:rsidR="006E5140" w:rsidRDefault="006E5140" w:rsidP="006E5140">
      <w:pPr>
        <w:pStyle w:val="LTAntwortRessortText"/>
      </w:pPr>
      <w:r>
        <w:t xml:space="preserve">Ungeachtet dessen, dass aktuell im Bereich des staatlichen und staatlich geförderten Kulturbetriebs die Stabilisierung der von der </w:t>
      </w:r>
      <w:r w:rsidR="005C0F48">
        <w:t>Coronapandemie</w:t>
      </w:r>
      <w:r w:rsidR="008D3F9B">
        <w:t xml:space="preserve"> besonders betroffe</w:t>
      </w:r>
      <w:r>
        <w:t xml:space="preserve">nen Kulturbranche höchste Priorität hat, wird dem </w:t>
      </w:r>
      <w:r w:rsidR="008D3F9B">
        <w:t>Thema Nachhaltigkeit grundlegen</w:t>
      </w:r>
      <w:r>
        <w:t>de und umfassende Bedeutung beigemessen. Sch</w:t>
      </w:r>
      <w:r w:rsidR="00881030">
        <w:t>laglichtartig sei das mit</w:t>
      </w:r>
      <w:r w:rsidR="008D3F9B">
        <w:t xml:space="preserve"> den An</w:t>
      </w:r>
      <w:r>
        <w:t xml:space="preserve">strengungen der Kunsthochschulen belegt: </w:t>
      </w:r>
      <w:r w:rsidR="00881030">
        <w:t>die</w:t>
      </w:r>
      <w:r>
        <w:t xml:space="preserve"> Selbstverpflichtung der Akademie der Bildenden Künste München zum Klimaschutz, d</w:t>
      </w:r>
      <w:r w:rsidR="00881030">
        <w:t xml:space="preserve">ie </w:t>
      </w:r>
      <w:r>
        <w:t xml:space="preserve">Integration von </w:t>
      </w:r>
      <w:r w:rsidR="005C0F48">
        <w:t>„</w:t>
      </w:r>
      <w:r w:rsidR="008D3F9B">
        <w:t>Green Produ</w:t>
      </w:r>
      <w:r>
        <w:t>cing</w:t>
      </w:r>
      <w:r w:rsidR="005C0F48">
        <w:t>“</w:t>
      </w:r>
      <w:r>
        <w:t xml:space="preserve"> in die Lehre an der Hochschule für Fernsehen und Film oder d</w:t>
      </w:r>
      <w:r w:rsidR="00881030">
        <w:t>ie</w:t>
      </w:r>
      <w:r>
        <w:t xml:space="preserve"> Installation einer Photovoltaikanlage an der Hochschule für Musik Würzburg. Zudem wird das neue Hochschulinnovationsgesetz </w:t>
      </w:r>
      <w:r w:rsidR="005C0F48">
        <w:t>„</w:t>
      </w:r>
      <w:r>
        <w:t>Klimaschutz</w:t>
      </w:r>
      <w:r w:rsidR="005C0F48">
        <w:t>“</w:t>
      </w:r>
      <w:r>
        <w:t xml:space="preserve"> und </w:t>
      </w:r>
      <w:r w:rsidR="005C0F48">
        <w:t>„</w:t>
      </w:r>
      <w:r w:rsidR="008D3F9B">
        <w:t>Bildung für nachhaltige Ent</w:t>
      </w:r>
      <w:r>
        <w:t>wicklung</w:t>
      </w:r>
      <w:r w:rsidR="005C0F48">
        <w:t>“</w:t>
      </w:r>
      <w:r>
        <w:t xml:space="preserve"> als Aufgaben aller Hochschulen festschreiben.</w:t>
      </w:r>
    </w:p>
    <w:p w:rsidR="006E5140" w:rsidRDefault="006E5140">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56DE2" w:rsidTr="00156DE2">
        <w:tc>
          <w:tcPr>
            <w:tcW w:w="1883" w:type="dxa"/>
          </w:tcPr>
          <w:p w:rsidR="00156DE2" w:rsidRDefault="00156DE2" w:rsidP="00156DE2">
            <w:pPr>
              <w:pStyle w:val="LTAnfrageInitiator"/>
            </w:pPr>
            <w:r>
              <w:t>Abgeordneter</w:t>
            </w:r>
            <w:r>
              <w:rPr>
                <w:b/>
              </w:rPr>
              <w:br/>
              <w:t>Christian</w:t>
            </w:r>
            <w:r>
              <w:rPr>
                <w:b/>
              </w:rPr>
              <w:br/>
              <w:t>Zwanziger</w:t>
            </w:r>
            <w:r>
              <w:rPr>
                <w:b/>
              </w:rPr>
              <w:br/>
            </w:r>
            <w:r>
              <w:t>(BÜNDNIS 90/DIE GRÜNEN)</w:t>
            </w:r>
            <w:bookmarkStart w:id="87" w:name="Frage_Nr_43"/>
            <w:bookmarkEnd w:id="87"/>
          </w:p>
        </w:tc>
        <w:tc>
          <w:tcPr>
            <w:tcW w:w="5733" w:type="dxa"/>
          </w:tcPr>
          <w:p w:rsidR="00156DE2" w:rsidRPr="000E31FC" w:rsidRDefault="00156DE2" w:rsidP="00881030">
            <w:pPr>
              <w:pStyle w:val="LTAnfrageText"/>
            </w:pPr>
            <w:r w:rsidRPr="000E31FC">
              <w:t>Ich frage die Staatsregierung, welche Kenntnisse sie zu erfolgten, geplanten und erforderlichen denkmalgerechten Instandsetzungs- und Erhaltungsmaßnahmen des denkmalgeschützten Gebäudes in Besitz der Friedrich-Alexander-Universität Erlangen-Nürn</w:t>
            </w:r>
            <w:r w:rsidR="00881030">
              <w:t>berg (FAU) in der Bismarckstr.</w:t>
            </w:r>
            <w:r w:rsidRPr="000E31FC">
              <w:t xml:space="preserve"> 4, Erlangen</w:t>
            </w:r>
            <w:r w:rsidR="00881030">
              <w:t>,</w:t>
            </w:r>
            <w:r w:rsidRPr="000E31FC">
              <w:t xml:space="preserve"> einschließlich</w:t>
            </w:r>
            <w:r w:rsidR="00881030">
              <w:t xml:space="preserve"> </w:t>
            </w:r>
            <w:r w:rsidRPr="000E31FC">
              <w:t>eventuell erfolgte</w:t>
            </w:r>
            <w:r w:rsidR="00881030">
              <w:t>r</w:t>
            </w:r>
            <w:r w:rsidRPr="000E31FC">
              <w:t xml:space="preserve"> Ertüchtigungen für eine der Denkmaleigenschaft würdigen Nutzung (bitte auflisten nach Jahr und Maßnahme erfolgt/geplant seit Aufnahme in die Denkmalliste im Jahr 2014, ggf. unter Bezug auf gutachterliche Erkenntnisse zum Erhaltungszustand und Pläne zur Nutzung)</w:t>
            </w:r>
            <w:r w:rsidR="00881030">
              <w:t xml:space="preserve"> hat</w:t>
            </w:r>
            <w:r w:rsidRPr="000E31FC">
              <w:t>, welche Pläne die FAU für die künftige Nutzung des Gebäudes (bitte auch auf Raumbedarfe der FAU eingehen, denen nach Kenntnis der Staatsregierung durch die Nutzung des Objekts Rechnung getragen werden könnte, falls konkrete Überlegungen v. a. auch unter Einbeziehung der Stadt Erlangen vorliegen, bitte Zeithorizont skizzieren)</w:t>
            </w:r>
            <w:r w:rsidR="00881030">
              <w:t xml:space="preserve"> verfolgt</w:t>
            </w:r>
            <w:r w:rsidRPr="000E31FC">
              <w:t xml:space="preserve">, und </w:t>
            </w:r>
            <w:r w:rsidR="00881030">
              <w:t xml:space="preserve">ob </w:t>
            </w:r>
            <w:r w:rsidRPr="000E31FC">
              <w:t>die Staatsregierung eine Nutzung zu Zwecken jenseits der FAU, beispielsweise durch die Jüdische Gemeinde Erlangen, die der medialen Berichterstattung zufolge Interesse geäußert hat, in Betracht</w:t>
            </w:r>
            <w:r w:rsidR="00881030">
              <w:t xml:space="preserve"> zieht</w:t>
            </w:r>
            <w:r w:rsidRPr="000E31FC">
              <w:t>?</w:t>
            </w:r>
          </w:p>
        </w:tc>
        <w:tc>
          <w:tcPr>
            <w:tcW w:w="5733" w:type="dxa"/>
          </w:tcPr>
          <w:p w:rsidR="00156DE2" w:rsidRDefault="00156DE2" w:rsidP="00156DE2">
            <w:pPr>
              <w:pStyle w:val="LTAnfrageText"/>
            </w:pPr>
          </w:p>
        </w:tc>
      </w:tr>
    </w:tbl>
    <w:p w:rsidR="006E5140" w:rsidRDefault="006E5140" w:rsidP="006E5140">
      <w:pPr>
        <w:pStyle w:val="LTUeberschrAntwortRessort"/>
      </w:pPr>
      <w:r>
        <w:t>Antwort des Staatsministeriums für Wissenschaft und Kunst</w:t>
      </w:r>
    </w:p>
    <w:p w:rsidR="006E5140" w:rsidRDefault="006E5140" w:rsidP="006E5140">
      <w:pPr>
        <w:pStyle w:val="LTAntwortRessortText"/>
      </w:pPr>
      <w:r>
        <w:t>Das Gebäude Bismarckstr. 4 in Erlangen liegt am Rande des derzeitigen Haupt-standorts der Philosophisc</w:t>
      </w:r>
      <w:r w:rsidR="00881030">
        <w:t>hen Fakultät der FAU</w:t>
      </w:r>
      <w:r>
        <w:t>, in einer Häuserzeile, in der weitere</w:t>
      </w:r>
      <w:r w:rsidR="008D3F9B">
        <w:t xml:space="preserve"> Institute der Fakultät unterge</w:t>
      </w:r>
      <w:r>
        <w:t>bracht sind. Der gesamte geisteswissenschaftli</w:t>
      </w:r>
      <w:r w:rsidR="00881030">
        <w:t>che Campus am Standort Bismarck</w:t>
      </w:r>
      <w:r>
        <w:t>straße wird von der Philosophischen Fakultät im</w:t>
      </w:r>
      <w:r w:rsidR="008D3F9B">
        <w:t xml:space="preserve"> Zuge des Umzugs in den Himbeer</w:t>
      </w:r>
      <w:r>
        <w:t>palast und das neue Hörsaalzentrum Henkestraß</w:t>
      </w:r>
      <w:r w:rsidR="008D3F9B">
        <w:t>e aufgegeben werden. Ob die Uni</w:t>
      </w:r>
      <w:r>
        <w:t>versität noch eine andere Verwendung für das Gebä</w:t>
      </w:r>
      <w:r w:rsidR="00E64F98">
        <w:t>ude hat, wird vor diesem Hinter</w:t>
      </w:r>
      <w:r>
        <w:t>grund derzeit geprüft. Erst nach Abschluss dieser Prüfung können sich zielgerichtete Planungen zum weiteren Vorgehen anschließen.</w:t>
      </w:r>
    </w:p>
    <w:p w:rsidR="006E5140" w:rsidRDefault="006E5140" w:rsidP="006E5140">
      <w:pPr>
        <w:pStyle w:val="LTAntwortRessortText"/>
      </w:pPr>
      <w:r>
        <w:t xml:space="preserve">Falls die FAU für die Liegenschaft keine weitere </w:t>
      </w:r>
      <w:r w:rsidR="008D3F9B">
        <w:t>Verwendung hat und das Staatsmi</w:t>
      </w:r>
      <w:r>
        <w:t xml:space="preserve">nisterium für Wissenschaft und Kunst den Staatsbedarf für deren Zwecke aufgibt, kann die Immobilien Freistaat Bayern </w:t>
      </w:r>
      <w:r w:rsidR="00D32741">
        <w:t xml:space="preserve">(IMBY) </w:t>
      </w:r>
      <w:r>
        <w:t>die weitere Verwendung abschließend prüfen. Sofern kein anderer Staatsbedarf gegeben ist, k</w:t>
      </w:r>
      <w:r w:rsidR="008D3F9B">
        <w:t>ommt eine Drittverwendung in Be</w:t>
      </w:r>
      <w:r>
        <w:t xml:space="preserve">tracht. Der </w:t>
      </w:r>
      <w:r w:rsidR="00D32741">
        <w:t>IMBY</w:t>
      </w:r>
      <w:r>
        <w:t xml:space="preserve"> ist die Jüdische Kultusgemeinde Erlangen</w:t>
      </w:r>
      <w:r w:rsidR="00185C12">
        <w:t xml:space="preserve"> </w:t>
      </w:r>
      <w:r>
        <w:t>K.</w:t>
      </w:r>
      <w:r w:rsidR="00D32741">
        <w:t> </w:t>
      </w:r>
      <w:r>
        <w:t>d.</w:t>
      </w:r>
      <w:r w:rsidR="00D32741">
        <w:t> </w:t>
      </w:r>
      <w:r>
        <w:t>ö.</w:t>
      </w:r>
      <w:r w:rsidR="00D32741">
        <w:t> </w:t>
      </w:r>
      <w:r>
        <w:t>R. als Interessent für eine Drittnutzung bekannt und sie steht mit dieser auch in Kontakt.</w:t>
      </w:r>
    </w:p>
    <w:p w:rsidR="006E5140" w:rsidRDefault="006E5140" w:rsidP="006E5140">
      <w:pPr>
        <w:pStyle w:val="LTAntwortRessortText"/>
      </w:pPr>
      <w:r>
        <w:t xml:space="preserve">Nach Kenntnis der Staatsregierung wurden und werden zum Bestandserhalt und zur Ertüchtigung des Gebäudes Bismarckstr. 4 seit Aufnahme </w:t>
      </w:r>
      <w:r w:rsidR="00D32741">
        <w:t>in die Denkmalliste fol</w:t>
      </w:r>
      <w:r>
        <w:t>gende Maßnahmen durchgeführt:</w:t>
      </w:r>
    </w:p>
    <w:p w:rsidR="006E5140" w:rsidRDefault="006E5140" w:rsidP="00881030">
      <w:pPr>
        <w:pStyle w:val="LTAntwortRessortText"/>
        <w:numPr>
          <w:ilvl w:val="1"/>
          <w:numId w:val="46"/>
        </w:numPr>
        <w:spacing w:before="0"/>
        <w:ind w:left="709"/>
      </w:pPr>
      <w:r>
        <w:t>2014: Sicherung von abrutschenden Dachziegeln</w:t>
      </w:r>
    </w:p>
    <w:p w:rsidR="006E5140" w:rsidRDefault="006E5140" w:rsidP="00881030">
      <w:pPr>
        <w:pStyle w:val="LTAntwortRessortText"/>
        <w:numPr>
          <w:ilvl w:val="1"/>
          <w:numId w:val="46"/>
        </w:numPr>
        <w:spacing w:before="0"/>
        <w:ind w:left="709"/>
      </w:pPr>
      <w:r>
        <w:t>2014: Statische Begutachtung</w:t>
      </w:r>
    </w:p>
    <w:p w:rsidR="006E5140" w:rsidRDefault="006E5140" w:rsidP="00881030">
      <w:pPr>
        <w:pStyle w:val="LTAntwortRessortText"/>
        <w:numPr>
          <w:ilvl w:val="1"/>
          <w:numId w:val="46"/>
        </w:numPr>
        <w:spacing w:before="0"/>
        <w:ind w:left="709"/>
      </w:pPr>
      <w:r>
        <w:t>2015: Behebung von Vandalismus-Schä</w:t>
      </w:r>
      <w:r w:rsidR="00D32741">
        <w:t>den</w:t>
      </w:r>
      <w:r w:rsidR="00881030">
        <w:t>m,</w:t>
      </w:r>
      <w:r w:rsidR="00D32741">
        <w:t xml:space="preserve"> Sicherung auch mittels ver</w:t>
      </w:r>
      <w:r>
        <w:t>schraubten Bauzaunes</w:t>
      </w:r>
    </w:p>
    <w:p w:rsidR="00881030" w:rsidRDefault="006E5140" w:rsidP="00881030">
      <w:pPr>
        <w:pStyle w:val="LTAntwortRessortText"/>
        <w:numPr>
          <w:ilvl w:val="1"/>
          <w:numId w:val="46"/>
        </w:numPr>
        <w:spacing w:before="0"/>
        <w:ind w:left="709"/>
      </w:pPr>
      <w:r>
        <w:t>2016: Sichern der Fenster und Türen gege</w:t>
      </w:r>
      <w:r w:rsidR="00D32741">
        <w:t>n unbefugtes Betreten durch Ver</w:t>
      </w:r>
      <w:r>
        <w:t>brettern</w:t>
      </w:r>
      <w:r w:rsidR="00881030">
        <w:t>,</w:t>
      </w:r>
      <w:r>
        <w:t xml:space="preserve"> Verschließen der Dachhaut</w:t>
      </w:r>
    </w:p>
    <w:p w:rsidR="006E5140" w:rsidRDefault="006E5140" w:rsidP="00881030">
      <w:pPr>
        <w:pStyle w:val="LTAntwortRessortText"/>
        <w:numPr>
          <w:ilvl w:val="1"/>
          <w:numId w:val="46"/>
        </w:numPr>
        <w:spacing w:before="0"/>
        <w:ind w:left="709"/>
      </w:pPr>
      <w:r>
        <w:t>2017: Instandhaltung, allgemeiner Bauunterhalt</w:t>
      </w:r>
    </w:p>
    <w:p w:rsidR="006E5140" w:rsidRDefault="006E5140" w:rsidP="00881030">
      <w:pPr>
        <w:pStyle w:val="LTAntwortRessortText"/>
        <w:numPr>
          <w:ilvl w:val="1"/>
          <w:numId w:val="47"/>
        </w:numPr>
        <w:spacing w:before="0"/>
        <w:ind w:left="709"/>
      </w:pPr>
      <w:r>
        <w:t>2018: Instandhaltung durch Dachrin</w:t>
      </w:r>
      <w:r w:rsidR="00D32741">
        <w:t>nenreinigung mittels Hubsteiger,</w:t>
      </w:r>
      <w:r>
        <w:t xml:space="preserve"> Verschließen von Zu- und Einstiegsmöglichkeiten</w:t>
      </w:r>
    </w:p>
    <w:p w:rsidR="006E5140" w:rsidRDefault="006E5140" w:rsidP="00881030">
      <w:pPr>
        <w:pStyle w:val="LTAntwortRessortText"/>
        <w:numPr>
          <w:ilvl w:val="1"/>
          <w:numId w:val="47"/>
        </w:numPr>
        <w:spacing w:before="0"/>
        <w:ind w:left="709"/>
      </w:pPr>
      <w:r>
        <w:t>2019: Statische Begutachtung eines Risses an der Außenfassade</w:t>
      </w:r>
    </w:p>
    <w:p w:rsidR="006E5140" w:rsidRDefault="006E5140" w:rsidP="00881030">
      <w:pPr>
        <w:pStyle w:val="LTAntwortRessortText"/>
        <w:numPr>
          <w:ilvl w:val="1"/>
          <w:numId w:val="47"/>
        </w:numPr>
        <w:spacing w:before="0"/>
        <w:ind w:left="709"/>
      </w:pPr>
      <w:r>
        <w:t>2019: Fassadensicherung und Verschluss eines Fensters</w:t>
      </w:r>
    </w:p>
    <w:p w:rsidR="006E5140" w:rsidRDefault="006E5140" w:rsidP="00881030">
      <w:pPr>
        <w:pStyle w:val="LTAntwortRessortText"/>
        <w:numPr>
          <w:ilvl w:val="1"/>
          <w:numId w:val="47"/>
        </w:numPr>
        <w:spacing w:before="0"/>
        <w:ind w:left="709"/>
      </w:pPr>
      <w:r>
        <w:t>2020: Ver</w:t>
      </w:r>
      <w:r w:rsidR="00881030">
        <w:t>schluss von Vandalismus-Schaden,</w:t>
      </w:r>
      <w:r>
        <w:t xml:space="preserve"> Verschluss des Grundstückes über Bauzaun</w:t>
      </w:r>
    </w:p>
    <w:p w:rsidR="006E5140" w:rsidRDefault="006E5140" w:rsidP="00881030">
      <w:pPr>
        <w:pStyle w:val="LTAntwortRessortText"/>
        <w:numPr>
          <w:ilvl w:val="1"/>
          <w:numId w:val="47"/>
        </w:numPr>
        <w:spacing w:before="0"/>
        <w:ind w:left="709"/>
      </w:pPr>
      <w:r>
        <w:t>Juli 2021: Provisorischer Verschluss der Dachluken von innen</w:t>
      </w:r>
    </w:p>
    <w:p w:rsidR="006E5140" w:rsidRDefault="006E5140" w:rsidP="00881030">
      <w:pPr>
        <w:pStyle w:val="LTAntwortRessortText"/>
        <w:numPr>
          <w:ilvl w:val="1"/>
          <w:numId w:val="47"/>
        </w:numPr>
        <w:spacing w:before="0"/>
        <w:ind w:left="709"/>
      </w:pPr>
      <w:r>
        <w:t>Juli 2021: Beauftragung eines Statikers mit</w:t>
      </w:r>
      <w:r w:rsidR="00D32741">
        <w:t xml:space="preserve"> erneuter Einschätzung des Trag</w:t>
      </w:r>
      <w:r>
        <w:t>werks zur Vorbereitung weiterer Maßnahmen (Gutachten liegt noch nicht vor)</w:t>
      </w:r>
    </w:p>
    <w:p w:rsidR="006E5140" w:rsidRDefault="006E5140" w:rsidP="00881030">
      <w:pPr>
        <w:pStyle w:val="LTAntwortRessortText"/>
        <w:numPr>
          <w:ilvl w:val="1"/>
          <w:numId w:val="47"/>
        </w:numPr>
        <w:spacing w:before="0"/>
        <w:ind w:left="709"/>
      </w:pPr>
      <w:r>
        <w:t>Ende Oktober 2021: Weitere vorläufige Dachabdichtung</w:t>
      </w:r>
    </w:p>
    <w:p w:rsidR="006E5140" w:rsidRDefault="006E5140" w:rsidP="006E5140">
      <w:pPr>
        <w:pStyle w:val="LTAntwortRessortText"/>
      </w:pPr>
      <w:r>
        <w:t>Die aktuellen Sicherungsmaßnahmen werden derzeit mit dem Lande</w:t>
      </w:r>
      <w:r w:rsidR="00D32741">
        <w:t>s</w:t>
      </w:r>
      <w:r>
        <w:t>amt für Denkmalpflege und der Stadt Erlangen abgestimmt, insbesondere auch im Hinblick auf die Konsequenzen aus dem noch ausstehenden o.</w:t>
      </w:r>
      <w:r w:rsidR="00D32741">
        <w:t> g. statischen Gutach</w:t>
      </w:r>
      <w:r>
        <w:t>ten.</w:t>
      </w:r>
    </w:p>
    <w:p w:rsidR="006E5140" w:rsidRDefault="006E5140">
      <w:bookmarkStart w:id="88" w:name="Frage_Nr_43_Ende"/>
      <w:bookmarkEnd w:id="88"/>
      <w:r>
        <w:br w:type="page"/>
      </w:r>
    </w:p>
    <w:p w:rsidR="006E5140" w:rsidRDefault="006E5140" w:rsidP="006E5140">
      <w:pPr>
        <w:pStyle w:val="LTUeberschrRessort"/>
      </w:pPr>
      <w:r>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56DE2" w:rsidTr="00156DE2">
        <w:tc>
          <w:tcPr>
            <w:tcW w:w="1883" w:type="dxa"/>
          </w:tcPr>
          <w:p w:rsidR="00156DE2" w:rsidRDefault="00156DE2" w:rsidP="00156DE2">
            <w:pPr>
              <w:pStyle w:val="LTAnfrageInitiator"/>
            </w:pPr>
            <w:r>
              <w:t>Abgeordnete</w:t>
            </w:r>
            <w:r>
              <w:rPr>
                <w:b/>
              </w:rPr>
              <w:br/>
              <w:t>Kerstin</w:t>
            </w:r>
            <w:r>
              <w:rPr>
                <w:b/>
              </w:rPr>
              <w:br/>
              <w:t>Celina</w:t>
            </w:r>
            <w:r>
              <w:rPr>
                <w:b/>
              </w:rPr>
              <w:br/>
            </w:r>
            <w:r>
              <w:t>(BÜNDNIS 90/DIE GRÜNEN)</w:t>
            </w:r>
            <w:bookmarkStart w:id="89" w:name="Frage_Nr_44"/>
            <w:bookmarkEnd w:id="89"/>
          </w:p>
        </w:tc>
        <w:tc>
          <w:tcPr>
            <w:tcW w:w="5733" w:type="dxa"/>
          </w:tcPr>
          <w:p w:rsidR="00156DE2" w:rsidRPr="000E31FC" w:rsidRDefault="00156DE2" w:rsidP="00F906F2">
            <w:pPr>
              <w:pStyle w:val="LTAnfrageText"/>
            </w:pPr>
            <w:r w:rsidRPr="000E31FC">
              <w:t>Das Steuerverwaltungsprogramm ELSTER wurde 2018 mit dem BITV-Test</w:t>
            </w:r>
            <w:r w:rsidR="00F906F2">
              <w:t xml:space="preserve"> (BITV = Bundes-Verordnung zur Schaffung barrierefreier Informationstechnik)</w:t>
            </w:r>
            <w:r w:rsidRPr="000E31FC">
              <w:t xml:space="preserve"> überprüft und erreichte 95,75 von 100 Punkten, womit das Webangebot Mein ELSTER als „sehr gut zugänglich“ beschrieben wird, dennoch häufen sich Berichte insbesondere von sehbehinderten oder blinden Bürgerinnen und Bürgern, dass sie bei ihrer Steuererklärung über das Portal immer wieder auf Hürden treffen, und vor diesem Hintergrund frage ich die Staatsregierung, welche Barrieren konkret bei ELSTER noch bestehen (Differenz zum Score von 100), wie </w:t>
            </w:r>
            <w:r w:rsidR="00F906F2">
              <w:t>sie</w:t>
            </w:r>
            <w:r w:rsidRPr="000E31FC">
              <w:t xml:space="preserve"> Menschen mit Behinderungen bei ihrer selbstständigen Finanz- und Steuerverwaltung unterstützt und ob ein Rechtsanspruch auf Assistenz von Menschen mit Behinderungen bei der Steuerklärung besteht?</w:t>
            </w:r>
          </w:p>
        </w:tc>
        <w:tc>
          <w:tcPr>
            <w:tcW w:w="5733" w:type="dxa"/>
          </w:tcPr>
          <w:p w:rsidR="00156DE2" w:rsidRDefault="00156DE2" w:rsidP="00156DE2">
            <w:pPr>
              <w:pStyle w:val="LTAnfrageText"/>
            </w:pPr>
          </w:p>
        </w:tc>
      </w:tr>
    </w:tbl>
    <w:p w:rsidR="006E5140" w:rsidRDefault="006E5140" w:rsidP="006E5140">
      <w:pPr>
        <w:pStyle w:val="LTUeberschrAntwortRessort"/>
      </w:pPr>
      <w:r>
        <w:t>Antwort des Staatsministeriums der Finanzen und für Heimat</w:t>
      </w:r>
    </w:p>
    <w:p w:rsidR="006E5140" w:rsidRDefault="006E5140" w:rsidP="006E5140">
      <w:pPr>
        <w:pStyle w:val="LTAntwortRessortText"/>
      </w:pPr>
      <w:r>
        <w:t>Die Finanzverwaltung legt großen Wert auf die barrierefreie Nutzbarkeit ihres Angebots für alle Bürger. Auch für Menschen mit Beeinträchtigung bietet Mein ELSTER den Zugang zu allen elektronischen Diensten und Inhalten.</w:t>
      </w:r>
    </w:p>
    <w:p w:rsidR="006E5140" w:rsidRDefault="006E5140" w:rsidP="00B06DCA">
      <w:pPr>
        <w:pStyle w:val="LTAntwortRessortText"/>
        <w:spacing w:before="0"/>
      </w:pPr>
      <w:r>
        <w:t xml:space="preserve">Grundlage für die barrierefreie Gestaltung von Mein ELSTER ist die Bundes-Verordnung zur Schaffung barrierefreier </w:t>
      </w:r>
      <w:r w:rsidR="00D32741">
        <w:t>Informationstechnik nach dem Be</w:t>
      </w:r>
      <w:r>
        <w:t>hindertengleichstellungsgesetz (BITV).</w:t>
      </w:r>
    </w:p>
    <w:p w:rsidR="006E5140" w:rsidRDefault="006E5140" w:rsidP="00B06DCA">
      <w:pPr>
        <w:pStyle w:val="LTAntwortRessortText"/>
        <w:spacing w:before="0"/>
      </w:pPr>
      <w:r>
        <w:t>Mein ELSTER a</w:t>
      </w:r>
      <w:r w:rsidR="007E0B60">
        <w:t>chtet zum Beispiel darauf, dass</w:t>
      </w:r>
    </w:p>
    <w:p w:rsidR="006E5140" w:rsidRDefault="006E5140" w:rsidP="00B06DCA">
      <w:pPr>
        <w:pStyle w:val="LTAntwortRessortText"/>
        <w:numPr>
          <w:ilvl w:val="1"/>
          <w:numId w:val="38"/>
        </w:numPr>
        <w:spacing w:before="0"/>
        <w:ind w:left="697" w:hanging="357"/>
      </w:pPr>
      <w:r>
        <w:t>informative Grafiken und Bilder mit Alt</w:t>
      </w:r>
      <w:r w:rsidR="00D32741">
        <w:t>ernativtexten versehen sind. Da</w:t>
      </w:r>
      <w:r>
        <w:t xml:space="preserve">mit sind diese Informationen unter Verwendung eines Screenreaders auch blinden Benutzern sowie für </w:t>
      </w:r>
      <w:r w:rsidR="00D32741">
        <w:t>Benutzer von einfachen Textbrow</w:t>
      </w:r>
      <w:r>
        <w:t>sern zugänglich.</w:t>
      </w:r>
    </w:p>
    <w:p w:rsidR="006E5140" w:rsidRDefault="006E5140" w:rsidP="00B06DCA">
      <w:pPr>
        <w:pStyle w:val="LTAntwortRessortText"/>
        <w:numPr>
          <w:ilvl w:val="1"/>
          <w:numId w:val="38"/>
        </w:numPr>
        <w:spacing w:before="0"/>
        <w:ind w:left="697" w:hanging="357"/>
      </w:pPr>
      <w:r>
        <w:t>die HTML-Seiten von Mein ELSTER richtig strukturier</w:t>
      </w:r>
      <w:r w:rsidR="007E0B60">
        <w:t>t sind. Die rich</w:t>
      </w:r>
      <w:r>
        <w:t>tige Gliederung der Seiten-Elemente erleichtert die Handhabung und das Verständnis für den Benutzer. Di</w:t>
      </w:r>
      <w:r w:rsidR="007E0B60">
        <w:t>es ist besonders wichtig für Be</w:t>
      </w:r>
      <w:r>
        <w:t>nutzer, die einen Screenreader verwenden. Screenreader lesen die Se</w:t>
      </w:r>
      <w:r w:rsidR="00F906F2">
        <w:t>iten-Elemente nacheinander vor –</w:t>
      </w:r>
      <w:r>
        <w:t xml:space="preserve"> und zwar in der Reihenfolge, in der sie im Quelltext der Webseite stehen.</w:t>
      </w:r>
    </w:p>
    <w:p w:rsidR="006E5140" w:rsidRDefault="006E5140" w:rsidP="00B06DCA">
      <w:pPr>
        <w:pStyle w:val="LTAntwortRessortText"/>
        <w:numPr>
          <w:ilvl w:val="1"/>
          <w:numId w:val="38"/>
        </w:numPr>
        <w:spacing w:before="0"/>
        <w:ind w:left="697" w:hanging="357"/>
      </w:pPr>
      <w:r>
        <w:t>die Navigation zwischen den Seiten intui</w:t>
      </w:r>
      <w:r w:rsidR="007E0B60">
        <w:t>tiv ist. Es besteht ein einheit</w:t>
      </w:r>
      <w:r>
        <w:t>licher Navigationsmechanismus zwischen den Seiten. Dies erleichtert es Benutzern, die Inhalte des Webangebots zu v</w:t>
      </w:r>
      <w:r w:rsidR="007E0B60">
        <w:t>erstehen und wieder</w:t>
      </w:r>
      <w:r>
        <w:t>zufinden.</w:t>
      </w:r>
    </w:p>
    <w:p w:rsidR="006E5140" w:rsidRDefault="006E5140" w:rsidP="00B06DCA">
      <w:pPr>
        <w:pStyle w:val="LTAntwortRessortText"/>
        <w:numPr>
          <w:ilvl w:val="1"/>
          <w:numId w:val="38"/>
        </w:numPr>
        <w:spacing w:before="0"/>
        <w:ind w:left="697" w:hanging="357"/>
      </w:pPr>
      <w:r>
        <w:t>die Benutzer die Schriftgröße nach ih</w:t>
      </w:r>
      <w:r w:rsidR="007E0B60">
        <w:t>ren Bedürfnissen einstellen kön</w:t>
      </w:r>
      <w:r>
        <w:t>nen. Die Benutzer können die klassische Nur-Text-Vergrößerung und die Zoom-Vergrößerung des gesa</w:t>
      </w:r>
      <w:r w:rsidR="007E0B60">
        <w:t>mten Layouts verwenden, ohne da</w:t>
      </w:r>
      <w:r>
        <w:t>bei Inhalt oder Funktionalität zu verlieren.</w:t>
      </w:r>
    </w:p>
    <w:p w:rsidR="006E5140" w:rsidRDefault="006E5140" w:rsidP="00B06DCA">
      <w:pPr>
        <w:pStyle w:val="LTAntwortRessortText"/>
        <w:numPr>
          <w:ilvl w:val="1"/>
          <w:numId w:val="38"/>
        </w:numPr>
        <w:spacing w:before="0"/>
        <w:ind w:left="697" w:hanging="357"/>
      </w:pPr>
      <w:r>
        <w:t xml:space="preserve">die Abkürzungen im Text ausgeschrieben sind. Damit ist der Text nicht nur leichter zu verstehen, sondern </w:t>
      </w:r>
      <w:r w:rsidR="007E0B60">
        <w:t>kann auch von Screenreadern bes</w:t>
      </w:r>
      <w:r>
        <w:t>ser vorgelesen werden.</w:t>
      </w:r>
    </w:p>
    <w:p w:rsidR="006E5140" w:rsidRDefault="006E5140" w:rsidP="00B06DCA">
      <w:pPr>
        <w:pStyle w:val="LTAntwortRessortText"/>
        <w:numPr>
          <w:ilvl w:val="1"/>
          <w:numId w:val="38"/>
        </w:numPr>
        <w:spacing w:before="0"/>
        <w:ind w:left="697" w:hanging="357"/>
      </w:pPr>
      <w:r>
        <w:t>Begriffe durchgängig in gleicher</w:t>
      </w:r>
      <w:r w:rsidR="007E0B60">
        <w:t xml:space="preserve"> Weise verwendet werden. Das er</w:t>
      </w:r>
      <w:r>
        <w:t>leichtert das Verständnis der Informationen.</w:t>
      </w:r>
    </w:p>
    <w:p w:rsidR="006E5140" w:rsidRDefault="006E5140" w:rsidP="006E5140">
      <w:pPr>
        <w:pStyle w:val="LTAntwortRessortText"/>
      </w:pPr>
      <w:r>
        <w:t>Der Funktionsumfang von ELSTER, als ei</w:t>
      </w:r>
      <w:r w:rsidR="007E0B60">
        <w:t>nes der bekanntesten und erfolg</w:t>
      </w:r>
      <w:r>
        <w:t>reichsten E-Government-Verfahren Deutschlands, wird ständig erweitert und an Nutzerwünsche angepasst.</w:t>
      </w:r>
    </w:p>
    <w:p w:rsidR="006E5140" w:rsidRDefault="006E5140" w:rsidP="00B06DCA">
      <w:pPr>
        <w:pStyle w:val="LTAntwortRessortText"/>
        <w:spacing w:before="0"/>
      </w:pPr>
      <w:r>
        <w:t>ELSTER bietet zudem einen ausführlichen Hilfesupport mi</w:t>
      </w:r>
      <w:r w:rsidR="007E0B60">
        <w:t>t ELSTER-Informa</w:t>
      </w:r>
      <w:r>
        <w:t>tionsassistent (Chatbot), Kontaktformular und Hotline für alle Nutzer an.</w:t>
      </w:r>
    </w:p>
    <w:p w:rsidR="006E5140" w:rsidRDefault="006E5140" w:rsidP="00B06DCA">
      <w:pPr>
        <w:pStyle w:val="LTAntwortRessortText"/>
        <w:spacing w:before="0"/>
      </w:pPr>
      <w:r>
        <w:t>Darüber hinaus haben ELSTER-Nutzer die Mö</w:t>
      </w:r>
      <w:r w:rsidR="007E0B60">
        <w:t>glichkeit, nach Abruf des elekt</w:t>
      </w:r>
      <w:r>
        <w:t>ronischen Steuerbescheids ein barrierefreies Duplikat anzufordern.</w:t>
      </w:r>
    </w:p>
    <w:p w:rsidR="006E5140" w:rsidRDefault="006E5140" w:rsidP="006E5140">
      <w:pPr>
        <w:pStyle w:val="LTAntwortRessortText"/>
      </w:pPr>
      <w:r>
        <w:t>Das steuerliche Verfahrensrecht sieht keinen Rechtsanspruch auf Assist</w:t>
      </w:r>
      <w:r w:rsidR="007E0B60">
        <w:t>enz bei der Steuererklärung vor,</w:t>
      </w:r>
      <w:r>
        <w:t xml:space="preserve"> mit o.</w:t>
      </w:r>
      <w:r w:rsidR="007E0B60">
        <w:t> </w:t>
      </w:r>
      <w:r>
        <w:t>g. Maßnahmen werden aber die Ziele des Behindertengleichstellungsgesetzes aktiv gefördert. Das Steuerrecht enthält zudem eine Reihe von Vergünstigungen, welche die finanziellen Nachteile von Menschen mit Behinderung angemessen berücksichtigen sollen (</w:t>
      </w:r>
      <w:r w:rsidR="007E0B60">
        <w:t>z. </w:t>
      </w:r>
      <w:r w:rsidR="005C0F48">
        <w:t>B.</w:t>
      </w:r>
      <w:r>
        <w:t xml:space="preserve"> Pauschbeträge für Menschen mit Behinderungen etc.). Rechtsansprüche aus anderen Gesetzen können aus Sicht des St</w:t>
      </w:r>
      <w:r w:rsidR="007E0B60">
        <w:t xml:space="preserve">aatsministeriums der Finanzen und für Heimat </w:t>
      </w:r>
      <w:r>
        <w:t>nicht beurteilt werden</w:t>
      </w:r>
    </w:p>
    <w:p w:rsidR="006E5140" w:rsidRDefault="006E5140">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E1770" w:rsidTr="00AE1770">
        <w:tc>
          <w:tcPr>
            <w:tcW w:w="1883" w:type="dxa"/>
          </w:tcPr>
          <w:p w:rsidR="00AE1770" w:rsidRDefault="00AE1770" w:rsidP="00AE1770">
            <w:pPr>
              <w:pStyle w:val="LTAnfrageInitiator"/>
            </w:pPr>
            <w:r>
              <w:t>Abgeordneter</w:t>
            </w:r>
            <w:r>
              <w:rPr>
                <w:b/>
              </w:rPr>
              <w:br/>
              <w:t>Tim</w:t>
            </w:r>
            <w:r>
              <w:rPr>
                <w:b/>
              </w:rPr>
              <w:br/>
              <w:t>Pargent</w:t>
            </w:r>
            <w:r>
              <w:rPr>
                <w:b/>
              </w:rPr>
              <w:br/>
            </w:r>
            <w:r>
              <w:t>(BÜNDNIS 90/DIE GRÜNEN)</w:t>
            </w:r>
            <w:bookmarkStart w:id="91" w:name="Frage_Nr_45"/>
            <w:bookmarkEnd w:id="91"/>
          </w:p>
        </w:tc>
        <w:tc>
          <w:tcPr>
            <w:tcW w:w="5733" w:type="dxa"/>
          </w:tcPr>
          <w:p w:rsidR="00AE1770" w:rsidRPr="000E31FC" w:rsidRDefault="00AE1770" w:rsidP="00F906F2">
            <w:pPr>
              <w:pStyle w:val="LTAnfrageText"/>
            </w:pPr>
            <w:r w:rsidRPr="000E31FC">
              <w:t xml:space="preserve">Ich frage die Staatsregierung mit Bezug auf den Bericht „Razzia bei 44 Millionären“ (Süddeutsche Zeitung, Digital-Ausgabe vom 18.10.2021), inwiefern </w:t>
            </w:r>
            <w:r w:rsidR="00F906F2">
              <w:t>ihrer</w:t>
            </w:r>
            <w:r w:rsidRPr="000E31FC">
              <w:t xml:space="preserve"> Erkenntnisse darüber vorliegen, dass das Umwandlungssteuergesetz das Modell „Cum Ex zwei“ (vgl. o. g. Bericht) seit 2013 ermöglicht (bitte etwaige Erkenntnisse dazu mit Datum angeben), wie viele Steuerfälle mit Bezug zu dem Modell „Cum Ex zwei“ bisher vorliegen (bitte aufgliedern nach Jahr, in dem der Steuerfall angelegt wurde) und inwiefern sich bayerische Behörden/Ministerien dazu mit dem Bundeszentralamt für Steuern auseinandergesetzt haben (bitte ggf. Austausch mit Datum angeben)? </w:t>
            </w:r>
          </w:p>
        </w:tc>
        <w:tc>
          <w:tcPr>
            <w:tcW w:w="5733" w:type="dxa"/>
          </w:tcPr>
          <w:p w:rsidR="00AE1770" w:rsidRDefault="00AE1770" w:rsidP="00AE1770">
            <w:pPr>
              <w:pStyle w:val="LTAnfrageText"/>
            </w:pPr>
          </w:p>
        </w:tc>
      </w:tr>
    </w:tbl>
    <w:p w:rsidR="006E5140" w:rsidRDefault="006E5140" w:rsidP="006E5140">
      <w:pPr>
        <w:pStyle w:val="LTUeberschrAntwortRessort"/>
      </w:pPr>
      <w:r>
        <w:t>Antwort des Staatsministeriums der Finanzen und für Heimat</w:t>
      </w:r>
    </w:p>
    <w:p w:rsidR="006E5140" w:rsidRDefault="006E5140" w:rsidP="006E5140">
      <w:pPr>
        <w:pStyle w:val="LTAntwortRessortText"/>
      </w:pPr>
      <w:r>
        <w:t xml:space="preserve">Die angesprochenen Fallgestaltungen wurden auf Bund-Länder-Fachebene erörtert. In den einschlägigen Fällen ist danach eine Verlustverrechnung auch nach der bisherigen Rechtslage nicht </w:t>
      </w:r>
      <w:r w:rsidR="00D02A0B">
        <w:t>anzuerkennen. Das mit dem Abzug</w:t>
      </w:r>
      <w:r>
        <w:t>steuerentlastungsmodernisierungsgesetz (AbzStEntModG) aus Gründen der Rechtssicherheit klarstellend eingeführte Verlustverrechnungsverbot ist aus diesem Grund auch in offenen Altfällen anzuwenden, in denen die äußeren Umstände darauf schließen lassen, dass di</w:t>
      </w:r>
      <w:r w:rsidR="00D02A0B">
        <w:t>e Verrechnung übergehender stil</w:t>
      </w:r>
      <w:r>
        <w:t>ler Lasten wesentlicher Zweck der Umwandlung oder Einbringung war und der Steuerpflichtige dies nicht widerlegen kann.</w:t>
      </w:r>
    </w:p>
    <w:p w:rsidR="006E5140" w:rsidRDefault="006E5140" w:rsidP="006E5140">
      <w:pPr>
        <w:pStyle w:val="LTAntwortRessortText"/>
      </w:pPr>
      <w:r>
        <w:t>Gegenstand von Ermittlungen, die in Bayern ge</w:t>
      </w:r>
      <w:r w:rsidR="00D02A0B">
        <w:t>leitet werden, sind aktuell ins</w:t>
      </w:r>
      <w:r>
        <w:t>gesamt 44 Fälle. Ausführungen zu den Einzelfällen sind aus Gründen des Steuergeheimnisses nicht möglich.</w:t>
      </w:r>
    </w:p>
    <w:p w:rsidR="006E5140" w:rsidRDefault="006E5140">
      <w:bookmarkStart w:id="92" w:name="Frage_Nr_45_Ende"/>
      <w:bookmarkEnd w:id="92"/>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AE1770" w:rsidTr="00AE1770">
        <w:tc>
          <w:tcPr>
            <w:tcW w:w="1918" w:type="dxa"/>
          </w:tcPr>
          <w:p w:rsidR="00AE1770" w:rsidRDefault="00AE1770" w:rsidP="00AE1770">
            <w:pPr>
              <w:pStyle w:val="LTAnfrageInitiator"/>
            </w:pPr>
            <w:r>
              <w:t>Abgeordnete</w:t>
            </w:r>
            <w:r>
              <w:rPr>
                <w:b/>
              </w:rPr>
              <w:br/>
              <w:t>Anna</w:t>
            </w:r>
            <w:r>
              <w:rPr>
                <w:b/>
              </w:rPr>
              <w:br/>
              <w:t>Schwamberger</w:t>
            </w:r>
            <w:r>
              <w:rPr>
                <w:b/>
              </w:rPr>
              <w:br/>
            </w:r>
            <w:r>
              <w:t>(BÜNDNIS 90/DIE GRÜNEN)</w:t>
            </w:r>
            <w:bookmarkStart w:id="93" w:name="Frage_Nr_46"/>
            <w:bookmarkEnd w:id="93"/>
          </w:p>
        </w:tc>
        <w:tc>
          <w:tcPr>
            <w:tcW w:w="5698" w:type="dxa"/>
          </w:tcPr>
          <w:p w:rsidR="00AE1770" w:rsidRPr="000E31FC" w:rsidRDefault="00AE1770" w:rsidP="000E31FC">
            <w:pPr>
              <w:pStyle w:val="LTAnfrageText"/>
            </w:pPr>
            <w:r w:rsidRPr="000E31FC">
              <w:t>Ich frage die Staatsregierung, warum nach dem Bayerischen Reisekostengesetz (BayRKG) bei Referendarinnen und Referendaren für Wegstrecken zu Seminar- oder Dienstreisen mit dem Pkw lediglich 0,1875 Euro (ohne triftigen Grund) bzw. 0,2625 Euro (mit triftigem Grund) berechnet werden und „fertige“ Lehrkräfte trotz höherer Besoldung und gleicher Kosten für Benzin nach Art. 6 BayRKG 0,25 Euro (ohne triftigen Grund) bzw. 0,35 Euro (mit triftigem Grund) für eine Seminar oder Dienstreise mit dem Pkw erhalten, wie diese ungleiche Auszahlung von dienstlichen Reisekosten mit dem Gleichstellungsprinzip zu vereinbaren ist und wann eine Reform des BayRKG angestrebt wird, durch welche die Referendarinnen und Referendare die volle Übernahme der Fahrtkosten erwarten können und nicht mehr gegenüber ihren Kolleginnen und Kollegen benachteiligt werden?</w:t>
            </w:r>
          </w:p>
        </w:tc>
        <w:tc>
          <w:tcPr>
            <w:tcW w:w="5698" w:type="dxa"/>
          </w:tcPr>
          <w:p w:rsidR="00AE1770" w:rsidRDefault="00AE1770" w:rsidP="00AE1770">
            <w:pPr>
              <w:pStyle w:val="LTAnfrageText"/>
            </w:pPr>
          </w:p>
        </w:tc>
      </w:tr>
    </w:tbl>
    <w:p w:rsidR="006E5140" w:rsidRDefault="006E5140" w:rsidP="006E5140">
      <w:pPr>
        <w:pStyle w:val="LTUeberschrAntwortRessort"/>
      </w:pPr>
      <w:r>
        <w:t>Antwort des Staatsministeriums der Finanzen und für Heimat</w:t>
      </w:r>
    </w:p>
    <w:p w:rsidR="006E5140" w:rsidRDefault="006E5140" w:rsidP="006E5140">
      <w:pPr>
        <w:pStyle w:val="LTAntwortRessortText"/>
      </w:pPr>
      <w:r>
        <w:t>Art. 6 BayRKG sieht zur Abgeltung des dienstreisebedingten Mehraufwands bei Benutzung privateigener Kraftfahrzeug</w:t>
      </w:r>
      <w:r w:rsidR="00D02A0B">
        <w:t>e eine pauschale Wegstreckenent</w:t>
      </w:r>
      <w:r>
        <w:t xml:space="preserve">schädigung von 0,35 </w:t>
      </w:r>
      <w:r w:rsidR="005C0F48">
        <w:t>Euro</w:t>
      </w:r>
      <w:r>
        <w:t xml:space="preserve"> mit und 0,25 </w:t>
      </w:r>
      <w:r w:rsidR="005C0F48">
        <w:t>Euro</w:t>
      </w:r>
      <w:r>
        <w:t xml:space="preserve"> ohne triftige Gründe je gefahrenem Kilometer vor. Bei Aus- und Fortbildungsreisen reduziert sich die</w:t>
      </w:r>
      <w:r w:rsidR="00D02A0B">
        <w:t xml:space="preserve"> Kilometerpauschale gemäß Art. </w:t>
      </w:r>
      <w:r>
        <w:t>24 BayRKG auf 75 Prozent der genannten Sätze. Den unterschiedlichen Pauschalen liegt die Annahme zu Grunde, dass Aus- und Fortbildungsreisen nicht ausschließlich im dienstlichen, sondern zu einem wesentlichen Teil auch im persönlichen In</w:t>
      </w:r>
      <w:r w:rsidR="00D02A0B">
        <w:t>teresse der Betroffenen durchge</w:t>
      </w:r>
      <w:r>
        <w:t>führt werden. Nach Art. 24 Abs. 2 BayRKG kann in besonderen Fällen mit Zustimmung der obersten Dienstbehörde Wegstreckenentschädigung wie bei Dienstreisen bewilligt werden. Ein besondere</w:t>
      </w:r>
      <w:r w:rsidR="00D02A0B">
        <w:t>r Fall kann insbesondere vorlie</w:t>
      </w:r>
      <w:r>
        <w:t>gen, wenn das persönliche Aus- und Fortbildungsinteresse ausnahmsweise nahezu vollständig von einem dienstlichen Interesse überlagert wird. Eine darüberhinausgehende Gleichstellung v</w:t>
      </w:r>
      <w:r w:rsidR="00F906F2">
        <w:t>on Dienstreisen</w:t>
      </w:r>
      <w:r w:rsidR="00D02A0B">
        <w:t xml:space="preserve"> und Aus- und Fortbil</w:t>
      </w:r>
      <w:r>
        <w:t>dungsreisen ist nicht vorgesehen.</w:t>
      </w:r>
    </w:p>
    <w:p w:rsidR="006E5140" w:rsidRDefault="006E5140">
      <w:bookmarkStart w:id="94" w:name="Frage_Nr_46_Ende"/>
      <w:bookmarkEnd w:id="94"/>
      <w:r>
        <w:br w:type="page"/>
      </w:r>
    </w:p>
    <w:p w:rsidR="006E5140" w:rsidRDefault="006E5140" w:rsidP="006E5140">
      <w:pPr>
        <w:pStyle w:val="LTUeberschrRessort"/>
      </w:pPr>
      <w:r>
        <w:t>Geschäftsbereich des Staatsministeriums für Wirtschaft, Landesentwicklung und Energie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E1770" w:rsidTr="00AE1770">
        <w:tc>
          <w:tcPr>
            <w:tcW w:w="1852" w:type="dxa"/>
          </w:tcPr>
          <w:p w:rsidR="00AE1770" w:rsidRDefault="00AE1770" w:rsidP="00AE1770">
            <w:pPr>
              <w:pStyle w:val="LTAnfrageInitiator"/>
            </w:pPr>
            <w:r>
              <w:t>Abgeordneter</w:t>
            </w:r>
            <w:r>
              <w:rPr>
                <w:b/>
              </w:rPr>
              <w:br/>
              <w:t>Albert</w:t>
            </w:r>
            <w:r>
              <w:rPr>
                <w:b/>
              </w:rPr>
              <w:br/>
              <w:t>Duin</w:t>
            </w:r>
            <w:r>
              <w:rPr>
                <w:b/>
              </w:rPr>
              <w:br/>
            </w:r>
            <w:r>
              <w:t>(FDP)</w:t>
            </w:r>
            <w:bookmarkStart w:id="95" w:name="Frage_Nr_47"/>
            <w:bookmarkEnd w:id="95"/>
          </w:p>
        </w:tc>
        <w:tc>
          <w:tcPr>
            <w:tcW w:w="5764" w:type="dxa"/>
          </w:tcPr>
          <w:p w:rsidR="00AE1770" w:rsidRPr="000E31FC" w:rsidRDefault="00AE1770" w:rsidP="000E31FC">
            <w:pPr>
              <w:pStyle w:val="LTAnfrageText"/>
            </w:pPr>
            <w:r w:rsidRPr="000E31FC">
              <w:t xml:space="preserve">Vor dem Hintergrund der Äußerungen des Staatsministers für Wirtschaft, Landesentwicklung und Energie Hubert Aiwanger u. a. in der Süddeutschen Zeitung („Ein Bündnis gegen die Not“ vom 10. Oktober 2021) und im Bayerischen Rundfunk (Chipmangel: „Die Situation spitzt sich zu“ vom 6. Oktober 2021) frage ich die Staatsregierung, welche Aufgaben das Bündnis übernehmen soll, welche Unternehmen sich an dem Bündnis beteiligen und welche kartellrechtlichen Problematiken sie bei der Gründung eines solchen Bündnisses sieht? </w:t>
            </w:r>
          </w:p>
        </w:tc>
        <w:tc>
          <w:tcPr>
            <w:tcW w:w="5764" w:type="dxa"/>
          </w:tcPr>
          <w:p w:rsidR="00AE1770" w:rsidRDefault="00AE1770" w:rsidP="00AE1770">
            <w:pPr>
              <w:pStyle w:val="LTAnfrageText"/>
            </w:pPr>
          </w:p>
        </w:tc>
      </w:tr>
    </w:tbl>
    <w:p w:rsidR="006E5140" w:rsidRDefault="006E5140" w:rsidP="006E5140">
      <w:pPr>
        <w:pStyle w:val="LTUeberschrAntwortRessort"/>
      </w:pPr>
      <w:r>
        <w:t>Antwort des Staatsministeriums für Wirtschaft, Landesentwicklung und Energie</w:t>
      </w:r>
    </w:p>
    <w:p w:rsidR="006E5140" w:rsidRDefault="006E5140" w:rsidP="006E5140">
      <w:pPr>
        <w:pStyle w:val="LTAntwortRessortText"/>
      </w:pPr>
      <w:r>
        <w:t>Zentrales Element der Bayerischen Halbleiterinitiativ</w:t>
      </w:r>
      <w:r w:rsidR="00D02A0B">
        <w:t>e ist die Schaffung eines Ökosys</w:t>
      </w:r>
      <w:r>
        <w:t xml:space="preserve">tems </w:t>
      </w:r>
      <w:r w:rsidR="005C0F48">
        <w:t>„</w:t>
      </w:r>
      <w:r>
        <w:t>Halbleiter</w:t>
      </w:r>
      <w:r w:rsidR="005C0F48">
        <w:t>“</w:t>
      </w:r>
      <w:r>
        <w:t>, verbunden mit der Gründung eines Halbleiter-Bündnisses nach dem erfolgreichen Vorbild des Wasserstoffbündnisses.</w:t>
      </w:r>
    </w:p>
    <w:p w:rsidR="006E5140" w:rsidRDefault="006E5140" w:rsidP="006E5140">
      <w:pPr>
        <w:pStyle w:val="LTAntwortRessortText"/>
      </w:pPr>
      <w:r>
        <w:t>Ziel ist es, Hersteller, Zulieferer, Dienstleister, Hochschulen, Forschungsins</w:t>
      </w:r>
      <w:r w:rsidR="00D02A0B">
        <w:t>titute, Clus</w:t>
      </w:r>
      <w:r>
        <w:t>ter, öffentlic</w:t>
      </w:r>
      <w:r w:rsidR="00D3123B">
        <w:t>he Einrichtungen sowie branchen</w:t>
      </w:r>
      <w:r>
        <w:t>relevan</w:t>
      </w:r>
      <w:r w:rsidR="00D02A0B">
        <w:t>te Start</w:t>
      </w:r>
      <w:r w:rsidR="00D3123B">
        <w:t>-</w:t>
      </w:r>
      <w:r w:rsidR="00D02A0B">
        <w:t>ups zu vernetzen, Syner</w:t>
      </w:r>
      <w:r>
        <w:t>gien und Kooperationen zu schaffen, Fördermittel ei</w:t>
      </w:r>
      <w:r w:rsidR="00D02A0B">
        <w:t>nzuwerben und der Politik wich</w:t>
      </w:r>
      <w:r>
        <w:t>tige Entscheidungskriterien zu verschaffen. Es geht um die Stärkung der Sichtbarkeit und des Images des Halbleiterstandorts Bayern nach außen.</w:t>
      </w:r>
    </w:p>
    <w:p w:rsidR="006E5140" w:rsidRDefault="006E5140" w:rsidP="006E5140">
      <w:pPr>
        <w:pStyle w:val="LTAntwortRessortText"/>
      </w:pPr>
      <w:r>
        <w:t>Das Halbleiter-Bündnis befindet sich derzeit in der</w:t>
      </w:r>
      <w:r w:rsidR="00D02A0B">
        <w:t xml:space="preserve"> Konzeptionsphase. Es werden Ge</w:t>
      </w:r>
      <w:r>
        <w:t>spräche geführt mit Unternehmen, Clustern, Hochschulen und weiteren Experten. Die kartellrechtlichen Vorgaben werden beachtet. Zu berücksichtigen sind insbesondere die Vorschriften über das Kartellverbot nach deut</w:t>
      </w:r>
      <w:r w:rsidR="00D02A0B">
        <w:t>schem und europäischem Recht ge</w:t>
      </w:r>
      <w:r>
        <w:t>mäß § 1 des Gesetzes gegen Wettbewerbsbeschrä</w:t>
      </w:r>
      <w:r w:rsidR="00D02A0B">
        <w:t>nkungen (GWB) bzw. Art. 101 Abs.</w:t>
      </w:r>
      <w:r>
        <w:t xml:space="preserve"> 1 des Vertrags über die Arbeitsweise der Euro</w:t>
      </w:r>
      <w:r w:rsidR="00D02A0B">
        <w:t>päischen Union (AEUV), wobei ge</w:t>
      </w:r>
      <w:r>
        <w:t>gebenenfalls auch Freistellungsmöglichkeiten ge</w:t>
      </w:r>
      <w:r w:rsidR="00D02A0B">
        <w:t>mäß § 2 GWB bzw. Art. 101 Abs.</w:t>
      </w:r>
      <w:r>
        <w:t xml:space="preserve"> 3 AEUV bestehen.</w:t>
      </w:r>
    </w:p>
    <w:p w:rsidR="006E5140" w:rsidRDefault="006E5140">
      <w:bookmarkStart w:id="96" w:name="Frage_Nr_47_Ende"/>
      <w:bookmarkEnd w:id="9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51C3E" w:rsidTr="00551C3E">
        <w:tc>
          <w:tcPr>
            <w:tcW w:w="1840" w:type="dxa"/>
          </w:tcPr>
          <w:p w:rsidR="00551C3E" w:rsidRDefault="00551C3E" w:rsidP="00551C3E">
            <w:pPr>
              <w:pStyle w:val="LTAnfrageInitiator"/>
            </w:pPr>
            <w:r>
              <w:t>Abgeordnete</w:t>
            </w:r>
            <w:r>
              <w:rPr>
                <w:b/>
              </w:rPr>
              <w:br/>
              <w:t>Katrin</w:t>
            </w:r>
            <w:r>
              <w:rPr>
                <w:b/>
              </w:rPr>
              <w:br/>
              <w:t>Ebner-Steiner</w:t>
            </w:r>
            <w:r>
              <w:rPr>
                <w:b/>
              </w:rPr>
              <w:br/>
            </w:r>
            <w:r>
              <w:t>(AfD)</w:t>
            </w:r>
            <w:bookmarkStart w:id="97" w:name="Frage_Nr_48"/>
            <w:bookmarkEnd w:id="97"/>
          </w:p>
        </w:tc>
        <w:tc>
          <w:tcPr>
            <w:tcW w:w="5776" w:type="dxa"/>
          </w:tcPr>
          <w:p w:rsidR="00551C3E" w:rsidRPr="000E31FC" w:rsidRDefault="00551C3E" w:rsidP="000E31FC">
            <w:pPr>
              <w:pStyle w:val="LTAnfrageText"/>
            </w:pPr>
            <w:r w:rsidRPr="000E31FC">
              <w:t xml:space="preserve">Ich frage die Staatsregierung, in wie vielen Haushalten in den letzten 24 Monaten der Strom abgeschaltet wurde (bitte nach Monat und Regierungsbezirk aufschlüsseln) und wie lange die Stromabschaltungen im Durchschnitt dauerten? </w:t>
            </w:r>
          </w:p>
        </w:tc>
        <w:tc>
          <w:tcPr>
            <w:tcW w:w="5776" w:type="dxa"/>
          </w:tcPr>
          <w:p w:rsidR="00551C3E" w:rsidRDefault="00551C3E" w:rsidP="00551C3E">
            <w:pPr>
              <w:pStyle w:val="LTAnfrageText"/>
            </w:pPr>
          </w:p>
        </w:tc>
      </w:tr>
    </w:tbl>
    <w:p w:rsidR="006E5140" w:rsidRDefault="006E5140" w:rsidP="006E5140">
      <w:pPr>
        <w:pStyle w:val="LTUeberschrAntwortRessort"/>
      </w:pPr>
      <w:r>
        <w:t>Antwort des Staatsministeriums für Wirtschaft, Landesentwicklung und Energie</w:t>
      </w:r>
    </w:p>
    <w:p w:rsidR="006E5140" w:rsidRDefault="006E5140" w:rsidP="006E5140">
      <w:pPr>
        <w:pStyle w:val="LTAntwortRessortText"/>
      </w:pPr>
      <w:r>
        <w:t>Die Bundesnetzagentur für Elektrizität, Gas, Telek</w:t>
      </w:r>
      <w:r w:rsidR="00D02A0B">
        <w:t>ommunikation, Post und Eisenbah</w:t>
      </w:r>
      <w:r>
        <w:t>nen (Bundesnetzagentur) und das Bundeskartellam</w:t>
      </w:r>
      <w:r w:rsidR="00D02A0B">
        <w:t>t erheben in ihrem Monitoringbe</w:t>
      </w:r>
      <w:r>
        <w:t>richt auf der Grundlage der §§ 35 und 63 Abs. 3 des Energiewirtschaftsgesetzes und § 53 Abs. 3 des Gesetzes gegen Wettbewerbsbe</w:t>
      </w:r>
      <w:r w:rsidR="00D02A0B">
        <w:t>schränkungen die Zahl der Strom</w:t>
      </w:r>
      <w:r>
        <w:t>sperrungen bei den Verteilnetzbetreibern (zuletzt im Monitoringbericht 2020 vom 1. März 2021). Dabei werden auch länderscharfe Aufst</w:t>
      </w:r>
      <w:r w:rsidR="00D02A0B">
        <w:t>ellungen zur Anzahl der Sperrun</w:t>
      </w:r>
      <w:r>
        <w:t>gen vorgenommen. Eine Aufschlüsselung nach Monaten und Regierungsbezirken wird hingegen nicht vorgenommen.</w:t>
      </w:r>
    </w:p>
    <w:p w:rsidR="006E5140" w:rsidRDefault="006E5140" w:rsidP="006E5140">
      <w:pPr>
        <w:pStyle w:val="LTAntwortRessortText"/>
      </w:pPr>
      <w:r>
        <w:t>Für die Jahre 2018 (Monitoringbericht vom 13. Janu</w:t>
      </w:r>
      <w:r w:rsidR="00D02A0B">
        <w:t>ar 2020) und 2019 (Monitoringbe</w:t>
      </w:r>
      <w:r>
        <w:t>richt vom 1. März 2021) liegen folgende Angaben vor:</w:t>
      </w:r>
    </w:p>
    <w:p w:rsidR="006E5140" w:rsidRDefault="006E5140" w:rsidP="006E5140">
      <w:pPr>
        <w:pStyle w:val="LTAntwortRessortText"/>
      </w:pPr>
    </w:p>
    <w:tbl>
      <w:tblPr>
        <w:tblStyle w:val="TableNormal"/>
        <w:tblW w:w="652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2789"/>
        <w:gridCol w:w="2409"/>
      </w:tblGrid>
      <w:tr w:rsidR="001A050E" w:rsidTr="00D02A0B">
        <w:trPr>
          <w:trHeight w:val="628"/>
        </w:trPr>
        <w:tc>
          <w:tcPr>
            <w:tcW w:w="1322" w:type="dxa"/>
            <w:vAlign w:val="center"/>
          </w:tcPr>
          <w:p w:rsidR="001A050E" w:rsidRPr="00D02A0B" w:rsidRDefault="001A050E" w:rsidP="00D02A0B">
            <w:pPr>
              <w:pStyle w:val="TableParagraph"/>
              <w:spacing w:before="154"/>
              <w:ind w:left="256"/>
              <w:jc w:val="left"/>
              <w:rPr>
                <w:rFonts w:ascii="Arial" w:hAnsi="Arial" w:cs="Arial"/>
                <w:sz w:val="18"/>
              </w:rPr>
            </w:pPr>
            <w:r w:rsidRPr="00D02A0B">
              <w:rPr>
                <w:rFonts w:ascii="Arial" w:hAnsi="Arial" w:cs="Arial"/>
                <w:sz w:val="18"/>
              </w:rPr>
              <w:t>Jahr</w:t>
            </w:r>
          </w:p>
        </w:tc>
        <w:tc>
          <w:tcPr>
            <w:tcW w:w="2789" w:type="dxa"/>
            <w:vAlign w:val="center"/>
          </w:tcPr>
          <w:p w:rsidR="001A050E" w:rsidRPr="00D02A0B" w:rsidRDefault="001A050E" w:rsidP="00D02A0B">
            <w:pPr>
              <w:pStyle w:val="TableParagraph"/>
              <w:spacing w:before="154"/>
              <w:ind w:left="256"/>
              <w:jc w:val="left"/>
              <w:rPr>
                <w:rFonts w:ascii="Arial" w:hAnsi="Arial" w:cs="Arial"/>
                <w:sz w:val="18"/>
              </w:rPr>
            </w:pPr>
            <w:r w:rsidRPr="00D02A0B">
              <w:rPr>
                <w:rFonts w:ascii="Arial" w:hAnsi="Arial" w:cs="Arial"/>
                <w:sz w:val="18"/>
              </w:rPr>
              <w:t>Sperrungen</w:t>
            </w:r>
            <w:r w:rsidR="00D02A0B">
              <w:rPr>
                <w:rFonts w:ascii="Arial" w:hAnsi="Arial" w:cs="Arial"/>
                <w:sz w:val="18"/>
              </w:rPr>
              <w:t xml:space="preserve"> </w:t>
            </w:r>
            <w:r w:rsidRPr="00D02A0B">
              <w:rPr>
                <w:rFonts w:ascii="Arial" w:hAnsi="Arial" w:cs="Arial"/>
                <w:sz w:val="18"/>
              </w:rPr>
              <w:t>deutschlandweit</w:t>
            </w:r>
          </w:p>
        </w:tc>
        <w:tc>
          <w:tcPr>
            <w:tcW w:w="2409" w:type="dxa"/>
            <w:vAlign w:val="center"/>
          </w:tcPr>
          <w:p w:rsidR="001A050E" w:rsidRPr="00D02A0B" w:rsidRDefault="001A050E" w:rsidP="00D02A0B">
            <w:pPr>
              <w:pStyle w:val="TableParagraph"/>
              <w:spacing w:before="154"/>
              <w:ind w:left="256"/>
              <w:jc w:val="left"/>
              <w:rPr>
                <w:rFonts w:ascii="Arial" w:hAnsi="Arial" w:cs="Arial"/>
                <w:sz w:val="18"/>
              </w:rPr>
            </w:pPr>
            <w:r w:rsidRPr="00D02A0B">
              <w:rPr>
                <w:rFonts w:ascii="Arial" w:hAnsi="Arial" w:cs="Arial"/>
                <w:sz w:val="18"/>
              </w:rPr>
              <w:t>Sperrungen in Bayern</w:t>
            </w:r>
          </w:p>
        </w:tc>
      </w:tr>
      <w:tr w:rsidR="001A050E" w:rsidTr="00D02A0B">
        <w:trPr>
          <w:trHeight w:val="553"/>
        </w:trPr>
        <w:tc>
          <w:tcPr>
            <w:tcW w:w="1322" w:type="dxa"/>
            <w:vAlign w:val="center"/>
          </w:tcPr>
          <w:p w:rsidR="001A050E" w:rsidRPr="00D02A0B" w:rsidRDefault="001A050E" w:rsidP="00D02A0B">
            <w:pPr>
              <w:pStyle w:val="TableParagraph"/>
              <w:ind w:left="225"/>
              <w:jc w:val="left"/>
              <w:rPr>
                <w:rFonts w:ascii="Arial" w:hAnsi="Arial" w:cs="Arial"/>
                <w:sz w:val="18"/>
              </w:rPr>
            </w:pPr>
            <w:r w:rsidRPr="00D02A0B">
              <w:rPr>
                <w:rFonts w:ascii="Arial" w:hAnsi="Arial" w:cs="Arial"/>
                <w:sz w:val="18"/>
              </w:rPr>
              <w:t>2018</w:t>
            </w:r>
          </w:p>
        </w:tc>
        <w:tc>
          <w:tcPr>
            <w:tcW w:w="2789" w:type="dxa"/>
            <w:vAlign w:val="center"/>
          </w:tcPr>
          <w:p w:rsidR="001A050E" w:rsidRPr="00D02A0B" w:rsidRDefault="00D02A0B" w:rsidP="00D02A0B">
            <w:pPr>
              <w:pStyle w:val="TableParagraph"/>
              <w:spacing w:before="154"/>
              <w:ind w:left="256"/>
              <w:jc w:val="left"/>
              <w:rPr>
                <w:rFonts w:ascii="Arial" w:hAnsi="Arial" w:cs="Arial"/>
                <w:sz w:val="18"/>
              </w:rPr>
            </w:pPr>
            <w:r>
              <w:rPr>
                <w:rFonts w:ascii="Arial" w:hAnsi="Arial" w:cs="Arial"/>
                <w:sz w:val="18"/>
              </w:rPr>
              <w:t>296 </w:t>
            </w:r>
            <w:r w:rsidR="001A050E" w:rsidRPr="00D02A0B">
              <w:rPr>
                <w:rFonts w:ascii="Arial" w:hAnsi="Arial" w:cs="Arial"/>
                <w:sz w:val="18"/>
              </w:rPr>
              <w:t>370</w:t>
            </w:r>
          </w:p>
        </w:tc>
        <w:tc>
          <w:tcPr>
            <w:tcW w:w="2409" w:type="dxa"/>
            <w:vAlign w:val="center"/>
          </w:tcPr>
          <w:p w:rsidR="001A050E" w:rsidRPr="00D02A0B" w:rsidRDefault="001A050E" w:rsidP="00D02A0B">
            <w:pPr>
              <w:pStyle w:val="TableParagraph"/>
              <w:spacing w:before="154"/>
              <w:ind w:left="256"/>
              <w:jc w:val="left"/>
              <w:rPr>
                <w:rFonts w:ascii="Arial" w:hAnsi="Arial" w:cs="Arial"/>
                <w:sz w:val="18"/>
              </w:rPr>
            </w:pPr>
            <w:r w:rsidRPr="00D02A0B">
              <w:rPr>
                <w:rFonts w:ascii="Arial" w:hAnsi="Arial" w:cs="Arial"/>
                <w:sz w:val="18"/>
              </w:rPr>
              <w:t>2</w:t>
            </w:r>
            <w:r w:rsidR="00D02A0B">
              <w:rPr>
                <w:rFonts w:ascii="Arial" w:hAnsi="Arial" w:cs="Arial"/>
                <w:sz w:val="18"/>
              </w:rPr>
              <w:t>9 </w:t>
            </w:r>
            <w:r w:rsidRPr="00D02A0B">
              <w:rPr>
                <w:rFonts w:ascii="Arial" w:hAnsi="Arial" w:cs="Arial"/>
                <w:sz w:val="18"/>
              </w:rPr>
              <w:t>506</w:t>
            </w:r>
          </w:p>
        </w:tc>
      </w:tr>
      <w:tr w:rsidR="001A050E" w:rsidTr="00D02A0B">
        <w:trPr>
          <w:trHeight w:val="561"/>
        </w:trPr>
        <w:tc>
          <w:tcPr>
            <w:tcW w:w="1322" w:type="dxa"/>
            <w:vAlign w:val="center"/>
          </w:tcPr>
          <w:p w:rsidR="001A050E" w:rsidRPr="00D02A0B" w:rsidRDefault="001A050E" w:rsidP="00D02A0B">
            <w:pPr>
              <w:pStyle w:val="TableParagraph"/>
              <w:spacing w:before="118"/>
              <w:ind w:left="225"/>
              <w:jc w:val="left"/>
              <w:rPr>
                <w:rFonts w:ascii="Arial" w:hAnsi="Arial" w:cs="Arial"/>
                <w:sz w:val="18"/>
              </w:rPr>
            </w:pPr>
            <w:r w:rsidRPr="00D02A0B">
              <w:rPr>
                <w:rFonts w:ascii="Arial" w:hAnsi="Arial" w:cs="Arial"/>
                <w:sz w:val="18"/>
              </w:rPr>
              <w:t>2019</w:t>
            </w:r>
          </w:p>
        </w:tc>
        <w:tc>
          <w:tcPr>
            <w:tcW w:w="2789" w:type="dxa"/>
            <w:vAlign w:val="center"/>
          </w:tcPr>
          <w:p w:rsidR="001A050E" w:rsidRPr="00D02A0B" w:rsidRDefault="00D02A0B" w:rsidP="00D02A0B">
            <w:pPr>
              <w:pStyle w:val="TableParagraph"/>
              <w:spacing w:before="154"/>
              <w:ind w:left="256"/>
              <w:jc w:val="left"/>
              <w:rPr>
                <w:rFonts w:ascii="Arial" w:hAnsi="Arial" w:cs="Arial"/>
                <w:sz w:val="18"/>
              </w:rPr>
            </w:pPr>
            <w:r>
              <w:rPr>
                <w:rFonts w:ascii="Arial" w:hAnsi="Arial" w:cs="Arial"/>
                <w:sz w:val="18"/>
              </w:rPr>
              <w:t>289 </w:t>
            </w:r>
            <w:r w:rsidR="001A050E" w:rsidRPr="00D02A0B">
              <w:rPr>
                <w:rFonts w:ascii="Arial" w:hAnsi="Arial" w:cs="Arial"/>
                <w:sz w:val="18"/>
              </w:rPr>
              <w:t>012</w:t>
            </w:r>
          </w:p>
        </w:tc>
        <w:tc>
          <w:tcPr>
            <w:tcW w:w="2409" w:type="dxa"/>
            <w:vAlign w:val="center"/>
          </w:tcPr>
          <w:p w:rsidR="001A050E" w:rsidRPr="00D02A0B" w:rsidRDefault="00D02A0B" w:rsidP="00D02A0B">
            <w:pPr>
              <w:pStyle w:val="TableParagraph"/>
              <w:spacing w:before="154"/>
              <w:ind w:left="256"/>
              <w:jc w:val="left"/>
              <w:rPr>
                <w:rFonts w:ascii="Arial" w:hAnsi="Arial" w:cs="Arial"/>
                <w:sz w:val="18"/>
              </w:rPr>
            </w:pPr>
            <w:r>
              <w:rPr>
                <w:rFonts w:ascii="Arial" w:hAnsi="Arial" w:cs="Arial"/>
                <w:sz w:val="18"/>
              </w:rPr>
              <w:t>27 </w:t>
            </w:r>
            <w:r w:rsidR="001A050E" w:rsidRPr="00D02A0B">
              <w:rPr>
                <w:rFonts w:ascii="Arial" w:hAnsi="Arial" w:cs="Arial"/>
                <w:sz w:val="18"/>
              </w:rPr>
              <w:t>040</w:t>
            </w:r>
          </w:p>
        </w:tc>
      </w:tr>
    </w:tbl>
    <w:p w:rsidR="006E5140" w:rsidRDefault="006E5140" w:rsidP="006E5140">
      <w:pPr>
        <w:pStyle w:val="LTAntwortRessortText"/>
      </w:pPr>
      <w:r>
        <w:t xml:space="preserve">Die durchschnittliche Dauer zwischen tatsächlicher </w:t>
      </w:r>
      <w:r w:rsidR="00D02A0B">
        <w:t>Sperrung und Entsperrung lag so</w:t>
      </w:r>
      <w:r>
        <w:t>wohl im Jahr 2018 als auch im Jahr 2019 bei 14 Tagen (zur besseren Abgrenzung</w:t>
      </w:r>
      <w:r w:rsidR="001A050E">
        <w:t xml:space="preserve"> </w:t>
      </w:r>
      <w:r>
        <w:t>berücksichtigt dies nur Werte, bei denen Sperrung und Entsperrung in demselben Jahr durchgeführt wurden).</w:t>
      </w:r>
    </w:p>
    <w:p w:rsidR="006E5140" w:rsidRDefault="006E5140" w:rsidP="006E5140">
      <w:pPr>
        <w:pStyle w:val="LTAntwortRessortText"/>
      </w:pPr>
      <w:r>
        <w:t>Der jüngste Monitoringbericht 2020 enthält noch keine Daten zu Stromsperrungen für den Zeitraum ab dem Jahr 2020. Diese Daten werden voraussichtlich erst im Rahmen der Ausarbeitung des Monitoringberichtes 2021 erhobe</w:t>
      </w:r>
      <w:r w:rsidR="00D02A0B">
        <w:t>n und anschließend veröffent</w:t>
      </w:r>
      <w:r>
        <w:t>licht.</w:t>
      </w:r>
    </w:p>
    <w:p w:rsidR="006E5140" w:rsidRDefault="006E5140">
      <w:bookmarkStart w:id="98" w:name="Frage_Nr_48_Ende"/>
      <w:bookmarkEnd w:id="98"/>
      <w:r>
        <w:br w:type="page"/>
      </w:r>
    </w:p>
    <w:tbl>
      <w:tblPr>
        <w:tblStyle w:val="Tabellenraster"/>
        <w:tblW w:w="133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gridCol w:w="5766"/>
      </w:tblGrid>
      <w:tr w:rsidR="00551C3E" w:rsidTr="00551C3E">
        <w:tc>
          <w:tcPr>
            <w:tcW w:w="1850" w:type="dxa"/>
          </w:tcPr>
          <w:p w:rsidR="00551C3E" w:rsidRDefault="00551C3E" w:rsidP="00551C3E">
            <w:pPr>
              <w:pStyle w:val="LTAnfrageInitiator"/>
            </w:pPr>
            <w:r>
              <w:t>Abgeordneter</w:t>
            </w:r>
            <w:r>
              <w:rPr>
                <w:b/>
              </w:rPr>
              <w:br/>
              <w:t>Ferdinand</w:t>
            </w:r>
            <w:r>
              <w:rPr>
                <w:b/>
              </w:rPr>
              <w:br/>
              <w:t>Mang</w:t>
            </w:r>
            <w:r>
              <w:rPr>
                <w:b/>
              </w:rPr>
              <w:br/>
            </w:r>
            <w:r>
              <w:t>(AfD)</w:t>
            </w:r>
            <w:bookmarkStart w:id="99" w:name="Frage_Nr_49"/>
            <w:bookmarkEnd w:id="99"/>
          </w:p>
        </w:tc>
        <w:tc>
          <w:tcPr>
            <w:tcW w:w="5766" w:type="dxa"/>
          </w:tcPr>
          <w:p w:rsidR="00551C3E" w:rsidRPr="000E31FC" w:rsidRDefault="00551C3E" w:rsidP="00D3123B">
            <w:pPr>
              <w:pStyle w:val="LTAnfrageText"/>
            </w:pPr>
            <w:r w:rsidRPr="000E31FC">
              <w:t xml:space="preserve">Ich frage die Staatsregierung, wie sie den Anstieg der Verbraucherpreise in Bayern beurteilt, wie lange die erhöhten Verbraucherpreise in Bayern nach ihrer Einschätzung bestehen werden und welche Maßnahmen </w:t>
            </w:r>
            <w:r w:rsidR="00D3123B">
              <w:t>sie</w:t>
            </w:r>
            <w:r w:rsidRPr="000E31FC">
              <w:t xml:space="preserve"> ergreift, um sich der Geldentwertung entgegenzustellen?</w:t>
            </w:r>
          </w:p>
        </w:tc>
        <w:tc>
          <w:tcPr>
            <w:tcW w:w="5766" w:type="dxa"/>
          </w:tcPr>
          <w:p w:rsidR="00551C3E" w:rsidRDefault="00551C3E" w:rsidP="00551C3E">
            <w:pPr>
              <w:pStyle w:val="LTAnfrageText"/>
            </w:pPr>
          </w:p>
        </w:tc>
      </w:tr>
    </w:tbl>
    <w:p w:rsidR="006E5140" w:rsidRDefault="006E5140" w:rsidP="006E5140">
      <w:pPr>
        <w:pStyle w:val="LTUeberschrAntwortRessort"/>
      </w:pPr>
      <w:r>
        <w:t>Antwort des Staatsministeriums für Wirtschaft, Landesentwicklung und Energie</w:t>
      </w:r>
    </w:p>
    <w:p w:rsidR="006E5140" w:rsidRDefault="006E5140" w:rsidP="006E5140">
      <w:pPr>
        <w:pStyle w:val="LTAntwortRessortText"/>
      </w:pPr>
      <w:r>
        <w:t>Der außergewöhnlich starke Anstieg der Verbraucherpreise in Bayern um zuletzt 4,2 Prozent (September 2021) gegenüber dem Vorjahresmonat ist ganz wesentlich auf zwei Faktoren zurückzuführen:</w:t>
      </w:r>
    </w:p>
    <w:p w:rsidR="006E5140" w:rsidRDefault="006E5140" w:rsidP="00D3123B">
      <w:pPr>
        <w:pStyle w:val="LTAntwortRessortText"/>
        <w:numPr>
          <w:ilvl w:val="0"/>
          <w:numId w:val="48"/>
        </w:numPr>
        <w:ind w:left="709"/>
      </w:pPr>
      <w:r>
        <w:t xml:space="preserve">Ein signifikanter Basiseffekt ergibt sich daraus, dass im letzten Jahr </w:t>
      </w:r>
      <w:r w:rsidR="00D3123B">
        <w:t>die Preise durch Pandemie</w:t>
      </w:r>
      <w:r>
        <w:t>bedingte Nachfrageausfälle und die befristete Absenkung der Mehrwertsteuer gefallen sind (im September 2020 um 0,2 Prozent).</w:t>
      </w:r>
    </w:p>
    <w:p w:rsidR="006E5140" w:rsidRDefault="006E5140" w:rsidP="00D3123B">
      <w:pPr>
        <w:pStyle w:val="LTAntwortRessortText"/>
        <w:numPr>
          <w:ilvl w:val="0"/>
          <w:numId w:val="48"/>
        </w:numPr>
        <w:spacing w:before="0"/>
        <w:ind w:left="709"/>
      </w:pPr>
      <w:r>
        <w:t>Die steigenden Preise sind ein Ausdruck der raschen wirtschaftlichen Erholung. Wel</w:t>
      </w:r>
      <w:r w:rsidR="00D02A0B">
        <w:t>tweit haben nach Auslaufen der corona</w:t>
      </w:r>
      <w:r>
        <w:t>bedingten Lockdown-Maßnahmen die Volkswirtschaften schneller als erwartet wieder angezogen. Viele Rohstoff-produzenten und Lieferanten hatten ihre Produ</w:t>
      </w:r>
      <w:r w:rsidR="00D02A0B">
        <w:t>ktionen noch gedrosselt, Fracht</w:t>
      </w:r>
      <w:r>
        <w:t>schiffe lagen noch still. Somit steht einer hohen Nachfrage in vielen Bereichen aktuell nur ein bes</w:t>
      </w:r>
      <w:r w:rsidR="00D02A0B">
        <w:t>chränktes Angebot gegenüber, so</w:t>
      </w:r>
      <w:r>
        <w:t>dass folglich die Preise steigen.</w:t>
      </w:r>
    </w:p>
    <w:p w:rsidR="006E5140" w:rsidRDefault="006E5140" w:rsidP="006E5140">
      <w:pPr>
        <w:pStyle w:val="LTAntwortRessortText"/>
      </w:pPr>
      <w:r>
        <w:t>Darüber hinaus hat auch die lockere Geldpolitik der Europäischen Zentralbank</w:t>
      </w:r>
      <w:r w:rsidR="00D3123B">
        <w:t xml:space="preserve"> (EZB)</w:t>
      </w:r>
      <w:r>
        <w:t xml:space="preserve"> einen preistreibenden Effekt, der längerfristig wirkt.</w:t>
      </w:r>
    </w:p>
    <w:p w:rsidR="006E5140" w:rsidRDefault="006E5140" w:rsidP="006E5140">
      <w:pPr>
        <w:pStyle w:val="LTAntwortRessortText"/>
      </w:pPr>
      <w:r>
        <w:t>Die führenden Wirtschaftsforschungsinstitute in Deutschl</w:t>
      </w:r>
      <w:r w:rsidR="00D02A0B">
        <w:t>and rechnen in ihrer gemein</w:t>
      </w:r>
      <w:r>
        <w:t>samen Herbstprognose 2021 damit, dass die Inflationsraten im Jahresverlauf 2022 wieder sinken werden, für das Gesamtjahr 2022 wird mit einer Preissteigerung von 2,5 Prozent in Deutschland gerechnet.</w:t>
      </w:r>
    </w:p>
    <w:p w:rsidR="006E5140" w:rsidRDefault="006E5140" w:rsidP="006E5140">
      <w:pPr>
        <w:pStyle w:val="LTAntwortRessortText"/>
      </w:pPr>
      <w:r>
        <w:t>Wirksame inflationsdämpfende Maßnahmen können nicht auf Landesebene ergriffen werden. Um den Belastungen entgegenzutreten, die sich durch die hohe Inflation für Privathaushalte und Wirtschaft ergeben, h</w:t>
      </w:r>
      <w:r w:rsidR="00D02A0B">
        <w:t>at der Ministerrat daher am 21. Septem</w:t>
      </w:r>
      <w:r>
        <w:t>ber 2021 eine Bundesratsinitiative beschlossen. Bayern fordert dabei insbesondere Entlastungen bei den Energiepreisen, zum Beispiel</w:t>
      </w:r>
      <w:r w:rsidR="00D02A0B">
        <w:t xml:space="preserve"> durch eine Absenkung der Strom</w:t>
      </w:r>
      <w:r>
        <w:t>steuer und der EEG-Umlage</w:t>
      </w:r>
      <w:r w:rsidR="008E4F9F">
        <w:t xml:space="preserve"> (EEG = Erneuerbare-Energien-Gesetz)</w:t>
      </w:r>
      <w:r>
        <w:t>. Außerdem wird die Bundesregierung aufgefordert, eine Initiative zur Verbesserung der steuerlichen Bedingunge</w:t>
      </w:r>
      <w:r w:rsidR="00D3123B">
        <w:t xml:space="preserve">n für Sparer zu ergreifen. Die </w:t>
      </w:r>
      <w:r w:rsidR="008E4F9F">
        <w:t>E</w:t>
      </w:r>
      <w:r>
        <w:t>ZB</w:t>
      </w:r>
      <w:r w:rsidR="00D3123B">
        <w:t xml:space="preserve"> </w:t>
      </w:r>
      <w:r>
        <w:t xml:space="preserve">soll darauf hingewiesen werden, im Falle einer </w:t>
      </w:r>
      <w:r w:rsidR="008E4F9F">
        <w:t>sich verfestigenden Teuerung an</w:t>
      </w:r>
      <w:r>
        <w:t>gemessene Gegenmaßnahmen zu ergreifen. Der An</w:t>
      </w:r>
      <w:r w:rsidR="008E4F9F">
        <w:t>trag Bayerns wird in der laufen</w:t>
      </w:r>
      <w:r>
        <w:t>den Kalenderwoche 42 in den zuständigen Ausschüssen des Bundesrates behandelt</w:t>
      </w:r>
      <w:r w:rsidR="008E4F9F">
        <w:t>.</w:t>
      </w:r>
    </w:p>
    <w:p w:rsidR="006E5140" w:rsidRDefault="006E5140">
      <w:bookmarkStart w:id="100" w:name="Frage_Nr_49_Ende"/>
      <w:bookmarkEnd w:id="10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551C3E" w:rsidTr="00551C3E">
        <w:tc>
          <w:tcPr>
            <w:tcW w:w="1896" w:type="dxa"/>
          </w:tcPr>
          <w:p w:rsidR="00551C3E" w:rsidRDefault="00551C3E" w:rsidP="00551C3E">
            <w:pPr>
              <w:pStyle w:val="LTAnfrageInitiator"/>
            </w:pPr>
            <w:r>
              <w:t>Abgeordneter</w:t>
            </w:r>
            <w:r>
              <w:rPr>
                <w:b/>
              </w:rPr>
              <w:br/>
              <w:t>Christoph</w:t>
            </w:r>
            <w:r>
              <w:rPr>
                <w:b/>
              </w:rPr>
              <w:br/>
              <w:t>Skutella</w:t>
            </w:r>
            <w:r>
              <w:rPr>
                <w:b/>
              </w:rPr>
              <w:br/>
            </w:r>
            <w:r>
              <w:t>(FDP)</w:t>
            </w:r>
            <w:bookmarkStart w:id="101" w:name="Frage_Nr_50"/>
            <w:bookmarkEnd w:id="101"/>
          </w:p>
        </w:tc>
        <w:tc>
          <w:tcPr>
            <w:tcW w:w="5720" w:type="dxa"/>
          </w:tcPr>
          <w:p w:rsidR="00551C3E" w:rsidRPr="000E31FC" w:rsidRDefault="00551C3E" w:rsidP="000E31FC">
            <w:pPr>
              <w:pStyle w:val="LTAnfrageText"/>
            </w:pPr>
            <w:r w:rsidRPr="000E31FC">
              <w:t>Ich frage die Staatsregierung, wie viele Unternehmen in Bayern unter die Regularien des europäischen und des deutschen Emissionshandels fallen (bitte nach Aufteilung in die vier entsprechenden Sektoren und in verschiedene Gewerbeprozesse – z. B. Stahl-, Aluminium-, Porzellanproduktion etc.)?</w:t>
            </w:r>
          </w:p>
        </w:tc>
        <w:tc>
          <w:tcPr>
            <w:tcW w:w="5720" w:type="dxa"/>
          </w:tcPr>
          <w:p w:rsidR="00551C3E" w:rsidRDefault="00551C3E" w:rsidP="00551C3E">
            <w:pPr>
              <w:pStyle w:val="LTAnfrageText"/>
            </w:pPr>
          </w:p>
        </w:tc>
      </w:tr>
    </w:tbl>
    <w:p w:rsidR="006E5140" w:rsidRDefault="006E5140" w:rsidP="006E5140">
      <w:pPr>
        <w:pStyle w:val="LTUeberschrAntwortRessort"/>
      </w:pPr>
      <w:r>
        <w:t>Antwort des Staatsministeriums für Wirtschaft, Landesentwicklung und Energie</w:t>
      </w:r>
    </w:p>
    <w:p w:rsidR="00D30273" w:rsidRPr="00D30273" w:rsidRDefault="00301B35" w:rsidP="00301B35">
      <w:pPr>
        <w:pStyle w:val="Default"/>
        <w:spacing w:before="240"/>
        <w:ind w:left="340"/>
        <w:jc w:val="both"/>
        <w:rPr>
          <w:rFonts w:cs="Times New Roman"/>
          <w:color w:val="auto"/>
          <w:sz w:val="20"/>
        </w:rPr>
      </w:pPr>
      <w:r>
        <w:rPr>
          <w:rFonts w:cs="Times New Roman"/>
          <w:color w:val="auto"/>
          <w:sz w:val="20"/>
        </w:rPr>
        <w:t xml:space="preserve">Die </w:t>
      </w:r>
      <w:r w:rsidR="00D30273" w:rsidRPr="00D30273">
        <w:rPr>
          <w:rFonts w:cs="Times New Roman"/>
          <w:color w:val="auto"/>
          <w:sz w:val="20"/>
        </w:rPr>
        <w:t>Deutsche Emissionshandelsstelle</w:t>
      </w:r>
      <w:r>
        <w:rPr>
          <w:rFonts w:cs="Times New Roman"/>
          <w:color w:val="auto"/>
          <w:sz w:val="20"/>
        </w:rPr>
        <w:t xml:space="preserve"> (DEHSt)</w:t>
      </w:r>
      <w:r w:rsidR="00D30273" w:rsidRPr="00D30273">
        <w:rPr>
          <w:rFonts w:cs="Times New Roman"/>
          <w:color w:val="auto"/>
          <w:sz w:val="20"/>
        </w:rPr>
        <w:t xml:space="preserve"> veröffentlicht jedes Jahr </w:t>
      </w:r>
      <w:r w:rsidR="00D3123B">
        <w:rPr>
          <w:rFonts w:cs="Times New Roman"/>
          <w:color w:val="auto"/>
          <w:sz w:val="20"/>
        </w:rPr>
        <w:t>auf</w:t>
      </w:r>
      <w:r w:rsidR="00D30273" w:rsidRPr="00D30273">
        <w:rPr>
          <w:rFonts w:cs="Times New Roman"/>
          <w:color w:val="auto"/>
          <w:sz w:val="20"/>
        </w:rPr>
        <w:t xml:space="preserve"> ihrem Inter-net-Auftritt, welche deutschen Unternehmen in den europäischen Emissionshandel einbezogen sind. Am 17.06.2021 wurde die </w:t>
      </w:r>
      <w:r w:rsidR="005C0F48">
        <w:rPr>
          <w:rFonts w:cs="Times New Roman"/>
          <w:color w:val="auto"/>
          <w:sz w:val="20"/>
        </w:rPr>
        <w:t>„</w:t>
      </w:r>
      <w:r w:rsidR="00D30273" w:rsidRPr="00D30273">
        <w:rPr>
          <w:rFonts w:cs="Times New Roman"/>
          <w:color w:val="auto"/>
          <w:sz w:val="20"/>
        </w:rPr>
        <w:t>Installation list 2020</w:t>
      </w:r>
      <w:r w:rsidR="005C0F48">
        <w:rPr>
          <w:rFonts w:cs="Times New Roman"/>
          <w:color w:val="auto"/>
          <w:sz w:val="20"/>
        </w:rPr>
        <w:t>“</w:t>
      </w:r>
      <w:r w:rsidR="00D30273" w:rsidRPr="00D30273">
        <w:rPr>
          <w:rFonts w:cs="Times New Roman"/>
          <w:color w:val="auto"/>
          <w:sz w:val="20"/>
        </w:rPr>
        <w:t xml:space="preserve"> veröffentlicht, in der unter anderem der Name des jeweiligen Unterne</w:t>
      </w:r>
      <w:r>
        <w:rPr>
          <w:rFonts w:cs="Times New Roman"/>
          <w:color w:val="auto"/>
          <w:sz w:val="20"/>
        </w:rPr>
        <w:t>hmens, der Standort, das Bundes</w:t>
      </w:r>
      <w:r w:rsidR="00D30273" w:rsidRPr="00D30273">
        <w:rPr>
          <w:rFonts w:cs="Times New Roman"/>
          <w:color w:val="auto"/>
          <w:sz w:val="20"/>
        </w:rPr>
        <w:t>land, die Tätigkeit des Unternehmens, die Treibhau</w:t>
      </w:r>
      <w:r>
        <w:rPr>
          <w:rFonts w:cs="Times New Roman"/>
          <w:color w:val="auto"/>
          <w:sz w:val="20"/>
        </w:rPr>
        <w:t>sgasemissionen und die zugeteil</w:t>
      </w:r>
      <w:r w:rsidR="00D30273" w:rsidRPr="00D30273">
        <w:rPr>
          <w:rFonts w:cs="Times New Roman"/>
          <w:color w:val="auto"/>
          <w:sz w:val="20"/>
        </w:rPr>
        <w:t xml:space="preserve">ten </w:t>
      </w:r>
      <w:r w:rsidR="00D3123B">
        <w:rPr>
          <w:rFonts w:cs="Times New Roman"/>
          <w:color w:val="auto"/>
          <w:sz w:val="20"/>
        </w:rPr>
        <w:t>Zertifikate angegeben sind</w:t>
      </w:r>
      <w:r w:rsidR="00D30273" w:rsidRPr="00D30273">
        <w:rPr>
          <w:rFonts w:cs="Times New Roman"/>
          <w:color w:val="auto"/>
          <w:sz w:val="20"/>
        </w:rPr>
        <w:t>.</w:t>
      </w:r>
      <w:r w:rsidR="00D3123B">
        <w:rPr>
          <w:rStyle w:val="Funotenzeichen"/>
          <w:rFonts w:cs="Times New Roman"/>
          <w:color w:val="auto"/>
          <w:sz w:val="20"/>
        </w:rPr>
        <w:footnoteReference w:id="5"/>
      </w:r>
      <w:r w:rsidR="00D30273" w:rsidRPr="00D30273">
        <w:rPr>
          <w:rFonts w:cs="Times New Roman"/>
          <w:color w:val="auto"/>
          <w:sz w:val="20"/>
        </w:rPr>
        <w:t xml:space="preserve"> Der von der DEHSt am gleichen Tag veröffentlichte Bericht </w:t>
      </w:r>
      <w:r w:rsidR="005C0F48">
        <w:rPr>
          <w:rFonts w:cs="Times New Roman"/>
          <w:color w:val="auto"/>
          <w:sz w:val="20"/>
        </w:rPr>
        <w:t>„</w:t>
      </w:r>
      <w:r w:rsidR="00D30273" w:rsidRPr="00D30273">
        <w:rPr>
          <w:rFonts w:cs="Times New Roman"/>
          <w:color w:val="auto"/>
          <w:sz w:val="20"/>
        </w:rPr>
        <w:t>Treibhausgasemissionen 2020</w:t>
      </w:r>
      <w:r w:rsidR="005C0F48">
        <w:rPr>
          <w:rFonts w:cs="Times New Roman"/>
          <w:color w:val="auto"/>
          <w:sz w:val="20"/>
        </w:rPr>
        <w:t>“</w:t>
      </w:r>
      <w:r w:rsidR="00D30273" w:rsidRPr="00D30273">
        <w:rPr>
          <w:rFonts w:cs="Times New Roman"/>
          <w:color w:val="auto"/>
          <w:sz w:val="20"/>
        </w:rPr>
        <w:t xml:space="preserve"> enthält in den Tabellen 32 bis 34 Angaben zu den Treibhausgasemissionen und den Zuteilungen geg</w:t>
      </w:r>
      <w:r w:rsidR="00D3123B">
        <w:rPr>
          <w:rFonts w:cs="Times New Roman"/>
          <w:color w:val="auto"/>
          <w:sz w:val="20"/>
        </w:rPr>
        <w:t>liedert nach Bundesländern.</w:t>
      </w:r>
      <w:r w:rsidR="00D3123B">
        <w:rPr>
          <w:rStyle w:val="Funotenzeichen"/>
          <w:rFonts w:cs="Times New Roman"/>
          <w:color w:val="auto"/>
          <w:sz w:val="20"/>
        </w:rPr>
        <w:footnoteReference w:id="6"/>
      </w:r>
      <w:r>
        <w:rPr>
          <w:rFonts w:cs="Times New Roman"/>
          <w:color w:val="auto"/>
          <w:sz w:val="20"/>
        </w:rPr>
        <w:t xml:space="preserve"> Die ge</w:t>
      </w:r>
      <w:r w:rsidR="00D30273" w:rsidRPr="00D30273">
        <w:rPr>
          <w:rFonts w:cs="Times New Roman"/>
          <w:color w:val="auto"/>
          <w:sz w:val="20"/>
        </w:rPr>
        <w:t xml:space="preserve">wünschte Aufstellung konnte in der Kürze der Zeit nicht erstellt werden. </w:t>
      </w:r>
    </w:p>
    <w:p w:rsidR="009831D6" w:rsidRPr="00D30273" w:rsidRDefault="00D30273" w:rsidP="00301B35">
      <w:pPr>
        <w:pStyle w:val="Default"/>
        <w:ind w:left="340"/>
        <w:jc w:val="both"/>
      </w:pPr>
      <w:r w:rsidRPr="00D30273">
        <w:rPr>
          <w:rFonts w:cs="Times New Roman"/>
          <w:color w:val="auto"/>
          <w:sz w:val="20"/>
        </w:rPr>
        <w:t>Bezüglich des deutschen Emissionshandels ist unklar</w:t>
      </w:r>
      <w:r w:rsidR="00301B35">
        <w:rPr>
          <w:rFonts w:cs="Times New Roman"/>
          <w:color w:val="auto"/>
          <w:sz w:val="20"/>
        </w:rPr>
        <w:t>, was der Fragesteller unter Un</w:t>
      </w:r>
      <w:r w:rsidRPr="00D30273">
        <w:rPr>
          <w:rFonts w:cs="Times New Roman"/>
          <w:color w:val="auto"/>
          <w:sz w:val="20"/>
        </w:rPr>
        <w:t>ternehmen versteht, die unter die Regularien des Emissionshandels fallen. Es wird angenommen, dass die Frage nicht auf die Veran</w:t>
      </w:r>
      <w:r w:rsidR="00301B35">
        <w:rPr>
          <w:rFonts w:cs="Times New Roman"/>
          <w:color w:val="auto"/>
          <w:sz w:val="20"/>
        </w:rPr>
        <w:t>twortlichen gemäß § 3 Brennstof</w:t>
      </w:r>
      <w:r w:rsidRPr="00D30273">
        <w:rPr>
          <w:rFonts w:cs="Times New Roman"/>
          <w:color w:val="auto"/>
          <w:sz w:val="20"/>
        </w:rPr>
        <w:t>femissionshandelsgesetz abstellt (Steuerschuldner für die Energiesteuer, in der Regel Energieversorgungsunternehmen), die die Emissionszertifikate an die zustän</w:t>
      </w:r>
      <w:r w:rsidR="00301B35">
        <w:rPr>
          <w:rFonts w:cs="Times New Roman"/>
          <w:color w:val="auto"/>
          <w:sz w:val="20"/>
        </w:rPr>
        <w:t>dige Be</w:t>
      </w:r>
      <w:r w:rsidRPr="00D30273">
        <w:rPr>
          <w:rFonts w:cs="Times New Roman"/>
          <w:color w:val="auto"/>
          <w:sz w:val="20"/>
        </w:rPr>
        <w:t>hörde abgeben müssen, sondern auf die Unternehmen, die wegen der nationalen CO</w:t>
      </w:r>
      <w:r w:rsidRPr="00301B35">
        <w:rPr>
          <w:rFonts w:cs="Times New Roman"/>
          <w:color w:val="auto"/>
          <w:sz w:val="20"/>
          <w:vertAlign w:val="subscript"/>
        </w:rPr>
        <w:t>2</w:t>
      </w:r>
      <w:r w:rsidR="00E64F98">
        <w:rPr>
          <w:rFonts w:cs="Times New Roman"/>
          <w:color w:val="auto"/>
          <w:sz w:val="20"/>
        </w:rPr>
        <w:t>-</w:t>
      </w:r>
      <w:r w:rsidRPr="00D30273">
        <w:rPr>
          <w:color w:val="auto"/>
          <w:sz w:val="20"/>
        </w:rPr>
        <w:t>Bepreisung höhere Preise für Brenn- und Kraftstoffe bezahl</w:t>
      </w:r>
      <w:r w:rsidR="00E64F98">
        <w:rPr>
          <w:color w:val="auto"/>
          <w:sz w:val="20"/>
        </w:rPr>
        <w:t>en müssen. Letztlich sind dies – in unterschiedlichem Ausmaß –</w:t>
      </w:r>
      <w:r w:rsidRPr="00D30273">
        <w:rPr>
          <w:color w:val="auto"/>
          <w:sz w:val="20"/>
        </w:rPr>
        <w:t xml:space="preserve"> weitgehend alle Unternehmen in Bayern.</w:t>
      </w:r>
    </w:p>
    <w:p w:rsidR="009831D6" w:rsidRPr="00D30273" w:rsidRDefault="009831D6" w:rsidP="00301B35">
      <w:pPr>
        <w:pStyle w:val="LTUeberschrAntwortRessort"/>
        <w:jc w:val="both"/>
        <w:rPr>
          <w:b w:val="0"/>
          <w:szCs w:val="24"/>
        </w:rPr>
      </w:pPr>
    </w:p>
    <w:p w:rsidR="006E5140" w:rsidRDefault="006E5140">
      <w:pPr>
        <w:rPr>
          <w:b/>
          <w:szCs w:val="22"/>
        </w:rPr>
      </w:pPr>
      <w:bookmarkStart w:id="102" w:name="Frage_Nr_50_Ende"/>
      <w:bookmarkEnd w:id="102"/>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551C3E" w:rsidTr="00551C3E">
        <w:tc>
          <w:tcPr>
            <w:tcW w:w="1846" w:type="dxa"/>
          </w:tcPr>
          <w:p w:rsidR="00551C3E" w:rsidRDefault="00551C3E" w:rsidP="00551C3E">
            <w:pPr>
              <w:pStyle w:val="LTAnfrageInitiator"/>
            </w:pPr>
            <w:r>
              <w:t>Abgeordneter</w:t>
            </w:r>
            <w:r>
              <w:rPr>
                <w:b/>
              </w:rPr>
              <w:br/>
              <w:t>Ralf</w:t>
            </w:r>
            <w:r>
              <w:rPr>
                <w:b/>
              </w:rPr>
              <w:br/>
              <w:t>Stadler</w:t>
            </w:r>
            <w:r>
              <w:rPr>
                <w:b/>
              </w:rPr>
              <w:br/>
            </w:r>
            <w:r>
              <w:t>(AfD)</w:t>
            </w:r>
            <w:bookmarkStart w:id="103" w:name="Frage_Nr_51"/>
            <w:bookmarkEnd w:id="103"/>
          </w:p>
        </w:tc>
        <w:tc>
          <w:tcPr>
            <w:tcW w:w="5770" w:type="dxa"/>
          </w:tcPr>
          <w:p w:rsidR="00551C3E" w:rsidRPr="000E31FC" w:rsidRDefault="00551C3E" w:rsidP="000E31FC">
            <w:pPr>
              <w:pStyle w:val="LTAnfrageText"/>
            </w:pPr>
            <w:r w:rsidRPr="000E31FC">
              <w:t>Ich frage die Staatsregierung, welche Strommenge Bayern in den Jahren 2012 bis 2021 aus anderen EU-Ländern importiert hat (bitte aufschlüsseln nach Jahr, Land und Art der Erzeugung), zu welchen durchschnittlichen Marktpreisen die importierten Strommengen abgerechnet wurden und welche Strommenge Bayern in den letzten zehn Jahren in andere EU-Ländern exportiert hat (bitte aufschlüsseln nach Jahr, Land und Art der Erzeugung)?</w:t>
            </w:r>
          </w:p>
        </w:tc>
        <w:tc>
          <w:tcPr>
            <w:tcW w:w="5770" w:type="dxa"/>
          </w:tcPr>
          <w:p w:rsidR="00551C3E" w:rsidRDefault="00551C3E" w:rsidP="00551C3E">
            <w:pPr>
              <w:pStyle w:val="LTAnfrageText"/>
            </w:pPr>
          </w:p>
        </w:tc>
      </w:tr>
    </w:tbl>
    <w:p w:rsidR="006E5140" w:rsidRDefault="006E5140" w:rsidP="006E5140">
      <w:pPr>
        <w:pStyle w:val="LTUeberschrAntwortRessort"/>
      </w:pPr>
      <w:r>
        <w:t>Antwort des Staatsministeriums für Wirtschaft, Landesentwicklung und Energie</w:t>
      </w:r>
    </w:p>
    <w:p w:rsidR="006E5140" w:rsidRDefault="006E5140" w:rsidP="006E5140">
      <w:pPr>
        <w:pStyle w:val="LTAntwortRessortText"/>
      </w:pPr>
      <w:r>
        <w:t xml:space="preserve">Die amtliche Statistik erfasst keine Daten zu bayerischen Stromex- und -importen. Die in der </w:t>
      </w:r>
      <w:r w:rsidR="00301B35">
        <w:t>bayerischen Energiebilanz ausge</w:t>
      </w:r>
      <w:r>
        <w:t>wiesenen Einfuhren bzw. Lieferungen von Elektrizität berechnen sich als Differenz aus Stromerzeugung und -verbrauch. Sie stellen somit den jährlichen Saldo des gesamten Stromaußenhandels dar und erlauben keinen Rückschluss auf Importe und Exporte, weder hinsichtlich Import-/Exportland noch Art der Erzeugung.</w:t>
      </w:r>
    </w:p>
    <w:p w:rsidR="006E5140" w:rsidRDefault="006E5140" w:rsidP="006E5140">
      <w:pPr>
        <w:pStyle w:val="LTAntwortRessortText"/>
      </w:pPr>
      <w:r>
        <w:t>Zu den zeitabhängigen Marktpreisen importierter Strommengen gibt es entsprechend ebenfalls keine amtliche Statistik.</w:t>
      </w:r>
    </w:p>
    <w:p w:rsidR="006E5140" w:rsidRDefault="006E5140" w:rsidP="006E5140">
      <w:pPr>
        <w:pStyle w:val="LTAntwortRessortText"/>
      </w:pPr>
      <w:r>
        <w:t>Folgende Tabelle weist den jährlichen Stromaustauschsaldo in TWh aus. Negatives Vorzeichen bedeutet Stromexport, positives Vorzeichen Stromimport. Da das Jahr 2021 noch nicht abgeschlossen ist, liegen diesbezüglich noch keine Zahlen vor.</w:t>
      </w:r>
    </w:p>
    <w:p w:rsidR="006E5140" w:rsidRDefault="006E5140" w:rsidP="006E5140">
      <w:pPr>
        <w:pStyle w:val="LTAntwortRessortText"/>
      </w:pPr>
    </w:p>
    <w:tbl>
      <w:tblPr>
        <w:tblStyle w:val="TableNormal"/>
        <w:tblW w:w="7654" w:type="dxa"/>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09"/>
        <w:gridCol w:w="850"/>
        <w:gridCol w:w="992"/>
        <w:gridCol w:w="851"/>
        <w:gridCol w:w="850"/>
        <w:gridCol w:w="851"/>
        <w:gridCol w:w="850"/>
        <w:gridCol w:w="851"/>
        <w:gridCol w:w="850"/>
      </w:tblGrid>
      <w:tr w:rsidR="008644AE" w:rsidRPr="00301B35" w:rsidTr="00301B35">
        <w:trPr>
          <w:trHeight w:val="414"/>
        </w:trPr>
        <w:tc>
          <w:tcPr>
            <w:tcW w:w="709"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2012</w:t>
            </w:r>
          </w:p>
        </w:tc>
        <w:tc>
          <w:tcPr>
            <w:tcW w:w="850"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2013</w:t>
            </w:r>
          </w:p>
        </w:tc>
        <w:tc>
          <w:tcPr>
            <w:tcW w:w="992" w:type="dxa"/>
            <w:vAlign w:val="center"/>
          </w:tcPr>
          <w:p w:rsidR="008644AE" w:rsidRPr="00301B35" w:rsidRDefault="008644AE" w:rsidP="00301B35">
            <w:pPr>
              <w:pStyle w:val="TableParagraph"/>
              <w:ind w:right="96"/>
              <w:jc w:val="center"/>
              <w:rPr>
                <w:rFonts w:ascii="Arial" w:hAnsi="Arial" w:cs="Arial"/>
                <w:sz w:val="18"/>
              </w:rPr>
            </w:pPr>
            <w:r w:rsidRPr="00301B35">
              <w:rPr>
                <w:rFonts w:ascii="Arial" w:hAnsi="Arial" w:cs="Arial"/>
                <w:sz w:val="18"/>
              </w:rPr>
              <w:t>2014</w:t>
            </w:r>
          </w:p>
        </w:tc>
        <w:tc>
          <w:tcPr>
            <w:tcW w:w="851"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2015</w:t>
            </w:r>
          </w:p>
        </w:tc>
        <w:tc>
          <w:tcPr>
            <w:tcW w:w="850"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2016</w:t>
            </w:r>
          </w:p>
        </w:tc>
        <w:tc>
          <w:tcPr>
            <w:tcW w:w="851"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2017</w:t>
            </w:r>
          </w:p>
        </w:tc>
        <w:tc>
          <w:tcPr>
            <w:tcW w:w="850"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2018</w:t>
            </w:r>
          </w:p>
        </w:tc>
        <w:tc>
          <w:tcPr>
            <w:tcW w:w="851"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2019*</w:t>
            </w:r>
          </w:p>
        </w:tc>
        <w:tc>
          <w:tcPr>
            <w:tcW w:w="850" w:type="dxa"/>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2020*</w:t>
            </w:r>
          </w:p>
        </w:tc>
      </w:tr>
      <w:tr w:rsidR="008644AE" w:rsidRPr="00301B35" w:rsidTr="00301B35">
        <w:trPr>
          <w:trHeight w:val="412"/>
        </w:trPr>
        <w:tc>
          <w:tcPr>
            <w:tcW w:w="709"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-7,6</w:t>
            </w:r>
          </w:p>
        </w:tc>
        <w:tc>
          <w:tcPr>
            <w:tcW w:w="850"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-5,6</w:t>
            </w:r>
          </w:p>
        </w:tc>
        <w:tc>
          <w:tcPr>
            <w:tcW w:w="992"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-5,1</w:t>
            </w:r>
          </w:p>
        </w:tc>
        <w:tc>
          <w:tcPr>
            <w:tcW w:w="851"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-1,7</w:t>
            </w:r>
          </w:p>
        </w:tc>
        <w:tc>
          <w:tcPr>
            <w:tcW w:w="850"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2,0</w:t>
            </w:r>
          </w:p>
        </w:tc>
        <w:tc>
          <w:tcPr>
            <w:tcW w:w="851"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-0,5</w:t>
            </w:r>
          </w:p>
        </w:tc>
        <w:tc>
          <w:tcPr>
            <w:tcW w:w="850"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12,8</w:t>
            </w:r>
          </w:p>
        </w:tc>
        <w:tc>
          <w:tcPr>
            <w:tcW w:w="851"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9,3</w:t>
            </w:r>
          </w:p>
        </w:tc>
        <w:tc>
          <w:tcPr>
            <w:tcW w:w="850" w:type="dxa"/>
            <w:shd w:val="clear" w:color="auto" w:fill="F1F1F1"/>
            <w:vAlign w:val="center"/>
          </w:tcPr>
          <w:p w:rsidR="008644AE" w:rsidRPr="00301B35" w:rsidRDefault="008644AE" w:rsidP="00301B35">
            <w:pPr>
              <w:pStyle w:val="TableParagraph"/>
              <w:jc w:val="center"/>
              <w:rPr>
                <w:rFonts w:ascii="Arial" w:hAnsi="Arial" w:cs="Arial"/>
                <w:sz w:val="18"/>
              </w:rPr>
            </w:pPr>
            <w:r w:rsidRPr="00301B35">
              <w:rPr>
                <w:rFonts w:ascii="Arial" w:hAnsi="Arial" w:cs="Arial"/>
                <w:sz w:val="18"/>
              </w:rPr>
              <w:t>4,0</w:t>
            </w:r>
          </w:p>
        </w:tc>
      </w:tr>
    </w:tbl>
    <w:p w:rsidR="006E5140" w:rsidRPr="00E64F98" w:rsidRDefault="008644AE" w:rsidP="008644AE">
      <w:pPr>
        <w:pStyle w:val="Textkrper"/>
        <w:spacing w:before="91"/>
        <w:ind w:left="156"/>
        <w:rPr>
          <w:sz w:val="22"/>
        </w:rPr>
      </w:pPr>
      <w:r w:rsidRPr="00E64F98">
        <w:rPr>
          <w:rFonts w:ascii="Arial" w:hAnsi="Arial" w:cs="Arial"/>
          <w:sz w:val="16"/>
        </w:rPr>
        <w:t>* vorläufige Werte, Quelle:</w:t>
      </w:r>
      <w:r w:rsidRPr="00E64F98">
        <w:rPr>
          <w:rFonts w:ascii="Arial" w:hAnsi="Arial"/>
          <w:sz w:val="18"/>
          <w:lang w:bidi="ar-SA"/>
        </w:rPr>
        <w:t xml:space="preserve"> </w:t>
      </w:r>
      <w:r w:rsidRPr="00E64F98">
        <w:rPr>
          <w:rFonts w:ascii="Arial" w:hAnsi="Arial" w:cs="Arial"/>
          <w:color w:val="0462C1"/>
          <w:sz w:val="16"/>
          <w:u w:val="single" w:color="0462C1"/>
        </w:rPr>
        <w:t>https://www.stmwi.bayern.de/energie-rohstoffe/daten-fak</w:t>
      </w:r>
      <w:hyperlink r:id="rId20">
        <w:r w:rsidRPr="00E64F98">
          <w:rPr>
            <w:rFonts w:ascii="Arial" w:hAnsi="Arial" w:cs="Arial"/>
            <w:color w:val="0462C1"/>
            <w:spacing w:val="-60"/>
            <w:sz w:val="16"/>
            <w:u w:val="single" w:color="0462C1"/>
          </w:rPr>
          <w:t xml:space="preserve"> </w:t>
        </w:r>
        <w:r w:rsidRPr="00E64F98">
          <w:rPr>
            <w:rFonts w:ascii="Arial" w:hAnsi="Arial" w:cs="Arial"/>
            <w:color w:val="0462C1"/>
            <w:sz w:val="16"/>
            <w:u w:val="single" w:color="0462C1"/>
          </w:rPr>
          <w:t>ten/</w:t>
        </w:r>
      </w:hyperlink>
    </w:p>
    <w:p w:rsidR="008644AE" w:rsidRDefault="008644AE" w:rsidP="006E5140">
      <w:pPr>
        <w:pStyle w:val="LTAntwortRessortText"/>
      </w:pPr>
    </w:p>
    <w:p w:rsidR="006E5140" w:rsidRDefault="006E5140">
      <w:bookmarkStart w:id="104" w:name="Frage_Nr_51_Ende"/>
      <w:bookmarkEnd w:id="104"/>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551C3E" w:rsidTr="00551C3E">
        <w:tc>
          <w:tcPr>
            <w:tcW w:w="1873" w:type="dxa"/>
          </w:tcPr>
          <w:p w:rsidR="00551C3E" w:rsidRDefault="00551C3E" w:rsidP="00551C3E">
            <w:pPr>
              <w:pStyle w:val="LTAnfrageInitiator"/>
            </w:pPr>
            <w:r>
              <w:t>Abgeordneter</w:t>
            </w:r>
            <w:r>
              <w:rPr>
                <w:b/>
              </w:rPr>
              <w:br/>
              <w:t>Arif</w:t>
            </w:r>
            <w:r>
              <w:rPr>
                <w:b/>
              </w:rPr>
              <w:br/>
              <w:t>Ta</w:t>
            </w:r>
            <w:r>
              <w:rPr>
                <w:rFonts w:cs="Arial"/>
                <w:b/>
              </w:rPr>
              <w:t>ş</w:t>
            </w:r>
            <w:r>
              <w:rPr>
                <w:b/>
              </w:rPr>
              <w:t>delen</w:t>
            </w:r>
            <w:r>
              <w:rPr>
                <w:b/>
              </w:rPr>
              <w:br/>
            </w:r>
            <w:r>
              <w:t>(SPD)</w:t>
            </w:r>
            <w:bookmarkStart w:id="105" w:name="Frage_Nr_52"/>
            <w:bookmarkEnd w:id="105"/>
          </w:p>
        </w:tc>
        <w:tc>
          <w:tcPr>
            <w:tcW w:w="5743" w:type="dxa"/>
          </w:tcPr>
          <w:p w:rsidR="00551C3E" w:rsidRPr="000E31FC" w:rsidRDefault="00551C3E" w:rsidP="00D3123B">
            <w:pPr>
              <w:pStyle w:val="LTAnfrageText"/>
            </w:pPr>
            <w:r w:rsidRPr="000E31FC">
              <w:t>Da Ministerpräsident Dr. Markus Söder im Zusammenhang mit der Bekämpfung der Coronakrise unter der hier im Betreff angeführten Überschrift in sozia</w:t>
            </w:r>
            <w:r w:rsidR="001C7CAC">
              <w:t>len Medien die Inhalte „fast 10 </w:t>
            </w:r>
            <w:r w:rsidRPr="000E31FC">
              <w:t xml:space="preserve">Mrd. Euro an Hilfen an Unternehmen ausbezahlt“ sowie davon „entfielen 46 Prozent allein auf die Gastro und je 12 Prozent auf Kultur und Handel“ veröffentlichte, frage ich die Staatsregierung, wie viel der genannten fast 10 Mrd. Euro sowie der 46 Prozent und der zweimal 12 Prozent waren jeweils Bundesmittel bzw. Landesmittel, für welchen Zeitraum gelten jeweils diese Zahlen über die geflossenen Wirtschaftshilfen und um welche Förderprogramme handelt es sich jeweils? </w:t>
            </w:r>
          </w:p>
        </w:tc>
        <w:tc>
          <w:tcPr>
            <w:tcW w:w="5743" w:type="dxa"/>
          </w:tcPr>
          <w:p w:rsidR="00551C3E" w:rsidRDefault="00551C3E" w:rsidP="00551C3E">
            <w:pPr>
              <w:pStyle w:val="LTAnfrageText"/>
            </w:pPr>
          </w:p>
        </w:tc>
      </w:tr>
    </w:tbl>
    <w:p w:rsidR="006E5140" w:rsidRDefault="006E5140" w:rsidP="006E5140">
      <w:pPr>
        <w:pStyle w:val="LTUeberschrAntwortRessort"/>
      </w:pPr>
      <w:r>
        <w:t>Antwort des Staatsministeriums für Wirtschaft, Landesentwicklung und Energie</w:t>
      </w:r>
    </w:p>
    <w:p w:rsidR="006E5140" w:rsidRDefault="006E5140" w:rsidP="006E5140">
      <w:pPr>
        <w:pStyle w:val="LTAntwortRessortText"/>
      </w:pPr>
      <w:r>
        <w:t>Der genannte Betrag bezieht sich auf die bisheri</w:t>
      </w:r>
      <w:r w:rsidR="00301B35">
        <w:t>ge Gesamtfördersumme aller bran</w:t>
      </w:r>
      <w:r>
        <w:t xml:space="preserve">chenübergreifenden Corona-Hilfsprogramme seit Beginn der </w:t>
      </w:r>
      <w:r w:rsidR="005C0F48">
        <w:t>Coronapandemie</w:t>
      </w:r>
      <w:r>
        <w:t xml:space="preserve"> im Frühjahr 2020. Dies beinhaltet die Soforthilfe (Förderzeitraum: März bis Mai 2020), die Überbrückungshilfen des Bundes, d.</w:t>
      </w:r>
      <w:r w:rsidR="00301B35">
        <w:t> </w:t>
      </w:r>
      <w:r>
        <w:t>h. Überbrückungshilfe I (Juni bis August 2020), Überbrückungshilfe II (September bis Dezember 20</w:t>
      </w:r>
      <w:r w:rsidR="00301B35">
        <w:t>20), Überbrückungshilfe III (No</w:t>
      </w:r>
      <w:r>
        <w:t>vember 2020 bis Juni 2021) und Überbrückungshilfe III Plus (Juli bis Dezember 2021) einschließlich der Neustarthilfe (Januar bis Juni 2021) bzw. Neustarthilfe Plus (Juli bis Dezember 2021), die außerordentlichen Wirtschaf</w:t>
      </w:r>
      <w:r w:rsidR="00301B35">
        <w:t>tshilfen des Bundes, d. h. Novem</w:t>
      </w:r>
      <w:r>
        <w:t>berhilfe (November 2020) und Dezemberhilfe (Dezember 2020) sowie die Bayerische Lockdown-Hilfe (Oktober 2020) und die Bayerische Corona-Härtefallhilfe (November 2020 bis Dezember 2021). Bis zum 18. Oktober 2</w:t>
      </w:r>
      <w:r w:rsidR="00301B35">
        <w:t>021 wurden im Rahmen dieser Pro</w:t>
      </w:r>
      <w:r>
        <w:t>gramme an bayerische Unternehmen und Selbständige Hilfen in Höhe von insgesamt 9,862 Mrd. Euro ausgezahlt.</w:t>
      </w:r>
    </w:p>
    <w:p w:rsidR="006E5140" w:rsidRDefault="006E5140" w:rsidP="006E5140">
      <w:pPr>
        <w:pStyle w:val="LTAntwortRessortText"/>
      </w:pPr>
      <w:r>
        <w:t>Die genannten Fördermittel sind im Wesentlichen Bundesmittel (ca. 9,5 Mrd. Euro). Aus Landesmitteln stammen nur die Soforthilfe des Freistaat</w:t>
      </w:r>
      <w:r w:rsidR="00301B35">
        <w:t>e</w:t>
      </w:r>
      <w:r>
        <w:t>s Bayern, die Bayerische</w:t>
      </w:r>
      <w:r w:rsidR="008644AE">
        <w:t xml:space="preserve"> </w:t>
      </w:r>
      <w:r>
        <w:t>Lockdown-Hilfe (Oktoberhilfe) und die Bayerische Corona-Härtefallhilfe: Von den März bis Mai 2020 bewilligten Corona-Soforthilfen in Höhe von ins</w:t>
      </w:r>
      <w:r w:rsidR="00301B35">
        <w:t>gesamt 2,2 </w:t>
      </w:r>
      <w:r>
        <w:t>Mrd. Euro entfielen 17 Prozent auf die Soforthilfe des Freistaats Bayern (ca. 370 Mio. Euro). Im Rahmen der Bayerischen Lockdown-Hilfe (Oktoberhilfe) wurden Hilfen in Höhe von 10,1 Mio. Euro gewährt. Aus Landesmitteln finanziert wird ferner 50 P</w:t>
      </w:r>
      <w:r w:rsidR="00301B35">
        <w:t>rozent der Bay</w:t>
      </w:r>
      <w:r>
        <w:t>erischen Corona-Härtefallhilfe in Höhe von bisher 0,4 Mio. Euro (Landesanteil aktuell ca. 192.000 Euro).</w:t>
      </w:r>
    </w:p>
    <w:p w:rsidR="006E5140" w:rsidRDefault="006E5140" w:rsidP="008644AE">
      <w:pPr>
        <w:pStyle w:val="LTAntwortRessortText"/>
      </w:pPr>
      <w:r>
        <w:t xml:space="preserve">Hinsichtlich der Branchenanteile wird auf eine programmübergreifende Auswertung der Industrie- und Handelskammer für München und Oberbayern aus dem September 2021 (Stand: 6. September 2021) Bezug genommen. Danach flossen 3,23 Mrd. Euro an das Gastgewerbe (45,8 Prozent), an Unternehmen des Branchenabschnitts </w:t>
      </w:r>
      <w:r w:rsidR="005C0F48">
        <w:t>„</w:t>
      </w:r>
      <w:r>
        <w:t>Kunst, Unterhaltung und Erholung</w:t>
      </w:r>
      <w:r w:rsidR="005C0F48">
        <w:t>“</w:t>
      </w:r>
      <w:r>
        <w:t xml:space="preserve"> 877 Mio. Euro (12,4 Prozent) und an den Handel 874 Mio. Euro (12,4 Prozent). Die zitierten branchenbezogenen Anteile beziehen sich auf die zitierten Hilfsprogramme ohne die Soforthilfe. Die A</w:t>
      </w:r>
      <w:r w:rsidR="00301B35">
        <w:t>ufstellung ist auch auf der Web</w:t>
      </w:r>
      <w:r>
        <w:t>seite der I</w:t>
      </w:r>
      <w:r w:rsidR="00301B35">
        <w:t>ndustrie und Handelskammer (I</w:t>
      </w:r>
      <w:r>
        <w:t>HK</w:t>
      </w:r>
      <w:r w:rsidR="00301B35">
        <w:t>)</w:t>
      </w:r>
      <w:r>
        <w:t xml:space="preserve"> abrufbar (</w:t>
      </w:r>
      <w:hyperlink r:id="rId21" w:history="1">
        <w:r w:rsidRPr="00B839DE">
          <w:rPr>
            <w:rStyle w:val="LTHyperlinkZchn"/>
            <w:b w:val="0"/>
          </w:rPr>
          <w:t>https://www.ihk-muench</w:t>
        </w:r>
        <w:r w:rsidR="00301B35" w:rsidRPr="00B839DE">
          <w:rPr>
            <w:rStyle w:val="LTHyperlinkZchn"/>
            <w:b w:val="0"/>
          </w:rPr>
          <w:t>en.de/ihk/Wirtschaftshilfen/Bay</w:t>
        </w:r>
        <w:r w:rsidRPr="00B839DE">
          <w:rPr>
            <w:rStyle w:val="LTHyperlinkZchn"/>
            <w:b w:val="0"/>
          </w:rPr>
          <w:t>ern_1.pdf</w:t>
        </w:r>
      </w:hyperlink>
      <w:r>
        <w:t>).</w:t>
      </w:r>
      <w:bookmarkStart w:id="106" w:name="Frage_Nr_52_Ende"/>
      <w:bookmarkEnd w:id="106"/>
      <w:r>
        <w:br w:type="page"/>
      </w:r>
    </w:p>
    <w:p w:rsidR="006E5140" w:rsidRDefault="006E5140" w:rsidP="006E5140">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1C3E" w:rsidTr="00551C3E">
        <w:tc>
          <w:tcPr>
            <w:tcW w:w="1883" w:type="dxa"/>
          </w:tcPr>
          <w:p w:rsidR="00551C3E" w:rsidRDefault="00551C3E" w:rsidP="00551C3E">
            <w:pPr>
              <w:pStyle w:val="LTAnfrageInitiator"/>
            </w:pPr>
            <w:r>
              <w:t>Abgeordneter</w:t>
            </w:r>
            <w:r>
              <w:rPr>
                <w:b/>
              </w:rPr>
              <w:br/>
              <w:t>Paul</w:t>
            </w:r>
            <w:r>
              <w:rPr>
                <w:b/>
              </w:rPr>
              <w:br/>
              <w:t>Knoblach</w:t>
            </w:r>
            <w:r>
              <w:rPr>
                <w:b/>
              </w:rPr>
              <w:br/>
            </w:r>
            <w:r>
              <w:t>(BÜNDNIS 90/DIE GRÜNEN)</w:t>
            </w:r>
            <w:bookmarkStart w:id="107" w:name="Frage_Nr_53"/>
            <w:bookmarkEnd w:id="107"/>
          </w:p>
        </w:tc>
        <w:tc>
          <w:tcPr>
            <w:tcW w:w="5733" w:type="dxa"/>
          </w:tcPr>
          <w:p w:rsidR="00551C3E" w:rsidRPr="000E31FC" w:rsidRDefault="00551C3E" w:rsidP="000E31FC">
            <w:pPr>
              <w:pStyle w:val="LTAnfrageText"/>
            </w:pPr>
            <w:r w:rsidRPr="000E31FC">
              <w:t xml:space="preserve">Ich frage die Staatsregierung, welche Belastungen in den letzten Jahren, sowohl bei der amtlichen Fleischuntersuchung als auch bei Untersuchungen durch übergeordnete Behörden, bei untersuchtem Wildfleisch festgestellt wurden (bitte unterscheiden nach Wildtieren und festgestellte Belastung), inwiefern bei diesen Untersuchungen auch Pestizidrückstände geprüft werden und wie sie die Notwendigkeit einschätzt, Wildfleisch auch explizit auf Glyphosatrückstände zu prüfen? </w:t>
            </w:r>
          </w:p>
        </w:tc>
        <w:tc>
          <w:tcPr>
            <w:tcW w:w="5733" w:type="dxa"/>
          </w:tcPr>
          <w:p w:rsidR="00551C3E" w:rsidRDefault="00551C3E" w:rsidP="00551C3E">
            <w:pPr>
              <w:pStyle w:val="LTAnfrageText"/>
            </w:pPr>
          </w:p>
        </w:tc>
      </w:tr>
    </w:tbl>
    <w:p w:rsidR="006E5140" w:rsidRDefault="006E5140" w:rsidP="006E5140">
      <w:pPr>
        <w:pStyle w:val="LTUeberschrAntwortRessort"/>
      </w:pPr>
      <w:r>
        <w:t>Antwort des Staatsministeriums für Umwelt und Verbraucherschutz</w:t>
      </w:r>
    </w:p>
    <w:p w:rsidR="006E5140" w:rsidRDefault="006E5140" w:rsidP="006E5140">
      <w:pPr>
        <w:pStyle w:val="LTAntwortRessortText"/>
      </w:pPr>
      <w:r>
        <w:t>Ergebnisse der amtlichen Fleischuntersuchung werden jeweils nach den Vorgaben der Verordnung über die Durchführung einer Statistik über die Schlachttier- und Fleischuntersuchung (Fleischunt</w:t>
      </w:r>
      <w:r w:rsidR="001C7CAC">
        <w:t>ersuchungsstatistik-Verordnung –</w:t>
      </w:r>
      <w:r>
        <w:t xml:space="preserve"> FlUStatV) erfasst und auf der Homepage des statistischen Bundesamts veröffentlicht. Daten für 2018 sind unter dem Link </w:t>
      </w:r>
      <w:hyperlink r:id="rId22" w:history="1">
        <w:r w:rsidRPr="00B839DE">
          <w:rPr>
            <w:rStyle w:val="LTHyperlinkZchn"/>
            <w:b w:val="0"/>
          </w:rPr>
          <w:t>https://www.destatis.de/DE/Themen/Branchen-Unternehmen/Landwirtschaft-Forstwirtschaft-Fischerei/Tiere-Tierische-Erzeugung/_inhalt.html#sprg239762</w:t>
        </w:r>
      </w:hyperlink>
      <w:r>
        <w:t xml:space="preserve"> zusammengefasst. Ab dem Jahr 2</w:t>
      </w:r>
      <w:r w:rsidR="001C7CAC">
        <w:t>019 werden keine Daten von frei</w:t>
      </w:r>
      <w:r>
        <w:t>lebendem Wild mehr in der Statistik aufgeführt. Weitergehende Daten werden nicht zentral und nicht für statistische Zwecke erfasst.</w:t>
      </w:r>
    </w:p>
    <w:p w:rsidR="006E5140" w:rsidRDefault="006E5140" w:rsidP="006E5140">
      <w:pPr>
        <w:pStyle w:val="LTAntwortRessortText"/>
      </w:pPr>
      <w:r>
        <w:t xml:space="preserve">Zu Untersuchung auf </w:t>
      </w:r>
      <w:r w:rsidR="005C0F48">
        <w:t>„</w:t>
      </w:r>
      <w:r>
        <w:t>Belastungen</w:t>
      </w:r>
      <w:r w:rsidR="005C0F48">
        <w:t>“</w:t>
      </w:r>
      <w:r>
        <w:t xml:space="preserve"> von Wildfleisch durch das Bayerische Landesamt für Gesundheit und Lebensmittelsicherheit (LGL) sind u. a. folgende Daten auf der Homepage des LGL veröffentlicht:</w:t>
      </w:r>
    </w:p>
    <w:p w:rsidR="006E5140" w:rsidRDefault="006E5140" w:rsidP="00DE6994">
      <w:pPr>
        <w:pStyle w:val="LTAntwortRessortText"/>
        <w:spacing w:before="0"/>
      </w:pPr>
      <w:r>
        <w:t>Zu per- und polyfluorierten Alkylverbindungen (PFAS) unter Lebensmittel: Untersuchung von Lebensmitteln tierischen Ursprungs auf PFT (bayern.de) und</w:t>
      </w:r>
      <w:r w:rsidR="00DE6994">
        <w:t xml:space="preserve"> </w:t>
      </w:r>
      <w:r>
        <w:t xml:space="preserve">zur Frage: </w:t>
      </w:r>
      <w:r w:rsidR="005C0F48">
        <w:t>„</w:t>
      </w:r>
      <w:r>
        <w:t>Entwurmungsa</w:t>
      </w:r>
      <w:r w:rsidR="001C7CAC">
        <w:t>ktionen bei Wild in Tschechien –</w:t>
      </w:r>
      <w:r>
        <w:t xml:space="preserve"> Führt grenzüberschreitender Wildwechsel zu einer Rückstandsbelastung von in Bayern erlegten Wildschweinen?</w:t>
      </w:r>
      <w:r w:rsidR="005C0F48">
        <w:t>“</w:t>
      </w:r>
      <w:r>
        <w:t xml:space="preserve"> unter Lebensmittel: Anthelminthika in Wildschweinleber (bayern.de).</w:t>
      </w:r>
    </w:p>
    <w:p w:rsidR="006E5140" w:rsidRDefault="006E5140" w:rsidP="00DE6994">
      <w:pPr>
        <w:pStyle w:val="LTAntwortRessortText"/>
        <w:spacing w:before="0"/>
      </w:pPr>
      <w:r>
        <w:t>Weiterhin untersucht das LGL regelmäßig Wild- und Wildschweinfleisch auf eine Belastung mit radioaktivem Cäsium. Die Ergebnisse können in den jeweiligen Jahresberichten des LGL (</w:t>
      </w:r>
      <w:hyperlink r:id="rId23" w:history="1">
        <w:r w:rsidR="001C7CAC" w:rsidRPr="001C7CAC">
          <w:rPr>
            <w:rStyle w:val="LTHyperlinkZchn"/>
            <w:b w:val="0"/>
          </w:rPr>
          <w:t>https://www.lgl.bayern.de/publikationen/jahresberichte.htm</w:t>
        </w:r>
      </w:hyperlink>
      <w:r w:rsidR="001C7CAC" w:rsidRPr="001C7CAC">
        <w:rPr>
          <w:rStyle w:val="LTHyperlinkZchn"/>
          <w:b w:val="0"/>
        </w:rPr>
        <w:t>l</w:t>
      </w:r>
      <w:r>
        <w:t>) eingesehen werden.</w:t>
      </w:r>
    </w:p>
    <w:p w:rsidR="006E5140" w:rsidRDefault="006E5140" w:rsidP="006E5140">
      <w:pPr>
        <w:pStyle w:val="LTAntwortRessortText"/>
      </w:pPr>
      <w:r>
        <w:t>In den Jahren 2018 bis 2020 untersuchte das LGL insgesamt 79 Proben Wildschwein- und 99 Proben Wildfleisch (Dam-, Reh- und Rotwild) auf ihren Gehalt an</w:t>
      </w:r>
      <w:r w:rsidR="00DE6994">
        <w:t xml:space="preserve"> </w:t>
      </w:r>
      <w:r>
        <w:t>Pflanzenschutzmittelrückständen. Dabei hat das LGL in insgesamt 37 Proben Wildschwein und 5</w:t>
      </w:r>
      <w:r w:rsidR="00DE6994">
        <w:t xml:space="preserve"> </w:t>
      </w:r>
      <w:r>
        <w:t>Wildproben Rückstände der Stoffe Hexachlorcyclohexan, Lindan und DDT nachgewiesen. Diese</w:t>
      </w:r>
      <w:r w:rsidR="00DE6994">
        <w:t xml:space="preserve"> </w:t>
      </w:r>
      <w:r>
        <w:t>Substanzen sind schwer abbaubar, als Altlasten in den Böden immer noch vorhanden und werden</w:t>
      </w:r>
      <w:r w:rsidR="00DE6994">
        <w:t xml:space="preserve"> </w:t>
      </w:r>
      <w:r>
        <w:t>deshalb von Wildtieren (insbesondere von Wildschweinen) aufgenommen. Bei insgesamt sechs</w:t>
      </w:r>
      <w:r w:rsidR="00DE6994">
        <w:t xml:space="preserve"> </w:t>
      </w:r>
      <w:r>
        <w:t>Proben Wildschwein und einer Probe Wild stellte das LGL im genannten Zeitraum eine</w:t>
      </w:r>
      <w:r w:rsidR="00DE6994">
        <w:t xml:space="preserve"> </w:t>
      </w:r>
      <w:r>
        <w:t>Überschreitung der geltenden Höchstgehalte fest.</w:t>
      </w:r>
    </w:p>
    <w:p w:rsidR="006E5140" w:rsidRDefault="006E5140" w:rsidP="001C7CAC">
      <w:pPr>
        <w:pStyle w:val="LTAntwortRessortText"/>
      </w:pPr>
      <w:r>
        <w:t>Nach Risikoeinschätzung des Bundesinstitutes für Risikobewertung wird Glyphosat im tierischen</w:t>
      </w:r>
      <w:r w:rsidR="006076F2">
        <w:t xml:space="preserve"> </w:t>
      </w:r>
      <w:r>
        <w:t>Organismus nicht metabolisiert und im Fleisch nicht angereichert. Des Weiteren ist auch auf Grund</w:t>
      </w:r>
      <w:r w:rsidR="006076F2">
        <w:t xml:space="preserve"> </w:t>
      </w:r>
      <w:r>
        <w:t>des Ernährungsverhaltens von Wildtieren nach Einschätzung des LGL nicht von einer Belastung</w:t>
      </w:r>
      <w:r w:rsidR="006076F2">
        <w:t xml:space="preserve"> </w:t>
      </w:r>
      <w:r>
        <w:t>von Wildfleisch mit Glyphosatrückständen auszugehen. Insofern ist eine Untersuchung von</w:t>
      </w:r>
      <w:r w:rsidR="006076F2">
        <w:t xml:space="preserve"> </w:t>
      </w:r>
      <w:r>
        <w:t>Wildfleisch auf Glyphosat aus Risikogesichtspunkten nicht angezeigt.</w:t>
      </w:r>
      <w:bookmarkStart w:id="108" w:name="Frage_Nr_53_Ende"/>
      <w:bookmarkEnd w:id="10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1C3E" w:rsidTr="00551C3E">
        <w:tc>
          <w:tcPr>
            <w:tcW w:w="1854" w:type="dxa"/>
          </w:tcPr>
          <w:p w:rsidR="00551C3E" w:rsidRDefault="00551C3E" w:rsidP="00551C3E">
            <w:pPr>
              <w:pStyle w:val="LTAnfrageInitiator"/>
            </w:pPr>
            <w:r>
              <w:t>Abgeordneter</w:t>
            </w:r>
            <w:r>
              <w:rPr>
                <w:b/>
              </w:rPr>
              <w:br/>
              <w:t>Florian</w:t>
            </w:r>
            <w:r>
              <w:rPr>
                <w:b/>
              </w:rPr>
              <w:br/>
              <w:t>Ritter</w:t>
            </w:r>
            <w:r>
              <w:rPr>
                <w:b/>
              </w:rPr>
              <w:br/>
            </w:r>
            <w:r>
              <w:t>(SPD)</w:t>
            </w:r>
            <w:bookmarkStart w:id="109" w:name="Frage_Nr_54"/>
            <w:bookmarkEnd w:id="109"/>
          </w:p>
        </w:tc>
        <w:tc>
          <w:tcPr>
            <w:tcW w:w="5762" w:type="dxa"/>
          </w:tcPr>
          <w:p w:rsidR="00551C3E" w:rsidRPr="000E31FC" w:rsidRDefault="00551C3E" w:rsidP="00D3123B">
            <w:pPr>
              <w:pStyle w:val="LTAnfrageText"/>
            </w:pPr>
            <w:r w:rsidRPr="000E31FC">
              <w:t>Ich frage die Staatsregierung, welche gesetzliche Grundlage in Bayern für die hoheitliche Verwahrung von Tieren durch einen privaten Verein</w:t>
            </w:r>
            <w:r w:rsidR="00D3123B">
              <w:t xml:space="preserve"> </w:t>
            </w:r>
            <w:r w:rsidR="00D3123B" w:rsidRPr="000E31FC">
              <w:t>gilt</w:t>
            </w:r>
            <w:r w:rsidRPr="000E31FC">
              <w:t>, bzw. inwiefern der Freistaat berechtigt</w:t>
            </w:r>
            <w:r w:rsidR="00D3123B">
              <w:t xml:space="preserve"> </w:t>
            </w:r>
            <w:r w:rsidR="00D3123B" w:rsidRPr="000E31FC">
              <w:t>ist</w:t>
            </w:r>
            <w:r w:rsidRPr="000E31FC">
              <w:t>, ein Verwahrtier einem privaten Dritten, beispielsweise Tierheimen, zu überlassen und wer ist verantwortlich, falls ein Tierheim trotz Aufforderung durch den Freistaat Bayern ein Tier nicht zurückgibt?</w:t>
            </w:r>
          </w:p>
        </w:tc>
        <w:tc>
          <w:tcPr>
            <w:tcW w:w="5762" w:type="dxa"/>
          </w:tcPr>
          <w:p w:rsidR="00551C3E" w:rsidRDefault="00551C3E" w:rsidP="00551C3E">
            <w:pPr>
              <w:pStyle w:val="LTAnfrageText"/>
            </w:pPr>
          </w:p>
        </w:tc>
      </w:tr>
    </w:tbl>
    <w:p w:rsidR="006E5140" w:rsidRDefault="006E5140" w:rsidP="006E5140">
      <w:pPr>
        <w:pStyle w:val="LTUeberschrAntwortRessort"/>
      </w:pPr>
      <w:r>
        <w:t>Antwort des Staatsministeriums für Umwelt und Verbraucherschutz</w:t>
      </w:r>
    </w:p>
    <w:p w:rsidR="006E5140" w:rsidRDefault="006E5140" w:rsidP="006E5140">
      <w:pPr>
        <w:pStyle w:val="LTAntwortRessortText"/>
      </w:pPr>
      <w:r>
        <w:t xml:space="preserve">Tiere, die ihren Haltern aus Tierschutzgründen nach § 16a des Tierschutzgesetzes </w:t>
      </w:r>
      <w:r w:rsidR="00F55312">
        <w:t xml:space="preserve">(TierSchG) </w:t>
      </w:r>
      <w:r>
        <w:t>fortgenommen werden, werden i.</w:t>
      </w:r>
      <w:r w:rsidR="00B05A3F">
        <w:t> </w:t>
      </w:r>
      <w:r>
        <w:t>d.</w:t>
      </w:r>
      <w:r w:rsidR="00B05A3F">
        <w:t> </w:t>
      </w:r>
      <w:r>
        <w:t>R. vorübergehend auf Kosten des Halters in einem Tierheim untergebracht, bis eine den Anforderunge</w:t>
      </w:r>
      <w:r w:rsidR="00F55312">
        <w:t>n des § 2 des TierSchG</w:t>
      </w:r>
      <w:r>
        <w:t xml:space="preserve"> entsprechende Haltung durch den Tierhalter sichergestellt ist. Dies wird im Einzelfall vertraglich zwischen dem Tierheim und der die Tierunterbringung veranlassenden Behörde geregelt.</w:t>
      </w:r>
    </w:p>
    <w:p w:rsidR="006E5140" w:rsidRDefault="006E5140" w:rsidP="00EA0671">
      <w:pPr>
        <w:pStyle w:val="LTAntwortRessortText"/>
        <w:spacing w:before="0"/>
      </w:pPr>
      <w:r>
        <w:t>Mit Aufhebung der behördlichen Anordnung zur Verwahrung endet die Tätigkeit des Tierheims für die Behörde. Sofern das Tierheim die Herausgabe der Tiere nach Aufhebung der behördlichen Anordnung verweigert, kann der Eigentümer die Herausgabe der Tiere nach zivilrechtlichen Grundsätzen verlangen.</w:t>
      </w:r>
    </w:p>
    <w:p w:rsidR="006E5140" w:rsidRDefault="006E5140">
      <w:bookmarkStart w:id="110" w:name="Frage_Nr_54_Ende"/>
      <w:bookmarkEnd w:id="110"/>
      <w:r>
        <w:br w:type="page"/>
      </w:r>
    </w:p>
    <w:p w:rsidR="006E5140" w:rsidRDefault="006E5140" w:rsidP="006E5140">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1C3E" w:rsidTr="00551C3E">
        <w:tc>
          <w:tcPr>
            <w:tcW w:w="1883" w:type="dxa"/>
          </w:tcPr>
          <w:p w:rsidR="00551C3E" w:rsidRDefault="00551C3E" w:rsidP="00551C3E">
            <w:pPr>
              <w:pStyle w:val="LTAnfrageInitiator"/>
            </w:pPr>
            <w:r>
              <w:t>Abgeordneter</w:t>
            </w:r>
            <w:r>
              <w:rPr>
                <w:b/>
              </w:rPr>
              <w:br/>
              <w:t>Benjamin</w:t>
            </w:r>
            <w:r>
              <w:rPr>
                <w:b/>
              </w:rPr>
              <w:br/>
              <w:t>Adjei</w:t>
            </w:r>
            <w:r>
              <w:rPr>
                <w:b/>
              </w:rPr>
              <w:br/>
            </w:r>
            <w:r>
              <w:t>(BÜNDNIS 90/DIE GRÜNEN)</w:t>
            </w:r>
            <w:bookmarkStart w:id="111" w:name="Frage_Nr_55"/>
            <w:bookmarkEnd w:id="111"/>
          </w:p>
        </w:tc>
        <w:tc>
          <w:tcPr>
            <w:tcW w:w="5733" w:type="dxa"/>
          </w:tcPr>
          <w:p w:rsidR="00551C3E" w:rsidRPr="000E31FC" w:rsidRDefault="00551C3E" w:rsidP="00F55312">
            <w:pPr>
              <w:pStyle w:val="LTAnfrageText"/>
            </w:pPr>
            <w:r w:rsidRPr="000E31FC">
              <w:t>Mit Blick auf das Vorhaben der Staatsregierung, einen Agrar-datenraum einzurichten, frage ich sie, was der aktuelle Planungsstand dieses Projekts ist, wann der Datenraum für Nutzerinnen und Nutzer zur Verfügung stehen soll und wie die im Haushalt (Kap. 08 03 Tit. 683</w:t>
            </w:r>
            <w:r w:rsidR="00F55312">
              <w:t xml:space="preserve"> 98) für das Jahr 2021 von 2,0 Euro auf 4,0 </w:t>
            </w:r>
            <w:r w:rsidRPr="000E31FC">
              <w:t>Euro dafür erhöhten Haushaltsmittel bisher eingesetzt wurden?</w:t>
            </w:r>
          </w:p>
        </w:tc>
        <w:tc>
          <w:tcPr>
            <w:tcW w:w="5733"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6E5140">
      <w:pPr>
        <w:pStyle w:val="LTAntwortRessortText"/>
      </w:pPr>
      <w:r>
        <w:t>Zunächst ist darauf hinzuweisen, dass es nicht Ziel der Staatsregierung ist</w:t>
      </w:r>
      <w:r w:rsidR="00F55312">
        <w:t>,</w:t>
      </w:r>
      <w:r>
        <w:t xml:space="preserve"> eigenverantwortlich einen bayerischen A</w:t>
      </w:r>
      <w:r w:rsidR="00B05A3F">
        <w:t>grardatenraum einzurichten, son</w:t>
      </w:r>
      <w:r>
        <w:t xml:space="preserve">dern diesen zusammen mit den bäuerlichen </w:t>
      </w:r>
      <w:r w:rsidR="00B05A3F">
        <w:t>Selbsthilfeeinrichtungen zu kon</w:t>
      </w:r>
      <w:r>
        <w:t>zipieren und umzusetzen. Die erste Projektphase befindet sich inzwischen mitten im Vergabeverfahren. Erste Anwe</w:t>
      </w:r>
      <w:r w:rsidR="00F55312">
        <w:t>ndungen, die auf dem Agrardaten</w:t>
      </w:r>
      <w:r>
        <w:t>raum basieren, werden frühestens 2024 zur Verfügung stehen. Aufgrund der notwendigen Vorbereitungsarbeiten im Bereich Konzeption, Koordinierung und Abstimmung mit den Partnerorganisati</w:t>
      </w:r>
      <w:r w:rsidR="00F55312">
        <w:t>onen, die später den Agrardaten</w:t>
      </w:r>
      <w:r>
        <w:t>raum eigenständig weiterführen sollen</w:t>
      </w:r>
      <w:r w:rsidR="00F55312">
        <w:t>,</w:t>
      </w:r>
      <w:r>
        <w:t xml:space="preserve"> konnten bisher noch keine Haushaltsmittel hierfür eingesetzt werden.</w:t>
      </w:r>
    </w:p>
    <w:p w:rsidR="006E5140" w:rsidRDefault="006E5140">
      <w:bookmarkStart w:id="112" w:name="Frage_Nr_55_Ende"/>
      <w:bookmarkEnd w:id="11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1C3E" w:rsidTr="00551C3E">
        <w:tc>
          <w:tcPr>
            <w:tcW w:w="1854" w:type="dxa"/>
          </w:tcPr>
          <w:p w:rsidR="00551C3E" w:rsidRDefault="00551C3E" w:rsidP="00551C3E">
            <w:pPr>
              <w:pStyle w:val="LTAnfrageInitiator"/>
            </w:pPr>
            <w:r>
              <w:t>Abgeordnete</w:t>
            </w:r>
            <w:r>
              <w:rPr>
                <w:b/>
              </w:rPr>
              <w:br/>
              <w:t>Martina</w:t>
            </w:r>
            <w:r>
              <w:rPr>
                <w:b/>
              </w:rPr>
              <w:br/>
              <w:t>Fehlner</w:t>
            </w:r>
            <w:r>
              <w:rPr>
                <w:b/>
              </w:rPr>
              <w:br/>
            </w:r>
            <w:r>
              <w:t>(SPD)</w:t>
            </w:r>
            <w:bookmarkStart w:id="113" w:name="Frage_Nr_56"/>
            <w:bookmarkEnd w:id="113"/>
          </w:p>
        </w:tc>
        <w:tc>
          <w:tcPr>
            <w:tcW w:w="5762" w:type="dxa"/>
          </w:tcPr>
          <w:p w:rsidR="00551C3E" w:rsidRPr="000E31FC" w:rsidRDefault="00551C3E" w:rsidP="00F55312">
            <w:pPr>
              <w:pStyle w:val="LTAnfrageText"/>
            </w:pPr>
            <w:r w:rsidRPr="000E31FC">
              <w:t xml:space="preserve">Ich frage die Staatsregierung, ob damit zu rechnen ist, dass im Rahmen des Rückzugs aus dem 2017 beschlossenen „Rückgang der staatlichen Betriebsleitung und Betriebsausführung im Kommunalwald“ und dem zu erwartenden Verbleib vieler Kommunen in der staatlichen Beförsterung eine Abkehr von der Personaleinsparungspolitik bei der Bayerischen Forstverwaltung erfolgt, wie viele neue Stellen in den kommenden Jahren geschaffen werden sollen und wie Kommunen, die auch in Zukunft die staatliche Beförsterung in Anspruch nehmen sollen und dafür künftig die Personalvollkosten (statt bislang 60 Prozent) zu tragen haben, finanziell unterstützt werden sollen? </w:t>
            </w:r>
          </w:p>
        </w:tc>
        <w:tc>
          <w:tcPr>
            <w:tcW w:w="5762"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6E5140">
      <w:pPr>
        <w:pStyle w:val="LTAntwortRessortText"/>
      </w:pPr>
      <w:r>
        <w:t xml:space="preserve">Wie der Landtagsbeschluss von 2017 </w:t>
      </w:r>
      <w:r w:rsidR="005C0F48">
        <w:t>„</w:t>
      </w:r>
      <w:r>
        <w:t>Rückg</w:t>
      </w:r>
      <w:r w:rsidR="00B05A3F">
        <w:t>ang der staatlichen Betriebslei</w:t>
      </w:r>
      <w:r>
        <w:t>tung und -ausführung im Kommunalwald verträglich gestalten</w:t>
      </w:r>
      <w:r w:rsidR="005C0F48">
        <w:t>“</w:t>
      </w:r>
      <w:r>
        <w:t xml:space="preserve"> umgesetzt wird, ist derzeit noch offen.</w:t>
      </w:r>
    </w:p>
    <w:p w:rsidR="006E5140" w:rsidRDefault="006E5140">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1C3E" w:rsidTr="00551C3E">
        <w:tc>
          <w:tcPr>
            <w:tcW w:w="1883" w:type="dxa"/>
          </w:tcPr>
          <w:p w:rsidR="00551C3E" w:rsidRDefault="00551C3E" w:rsidP="00551C3E">
            <w:pPr>
              <w:pStyle w:val="LTAnfrageInitiator"/>
            </w:pPr>
            <w:r>
              <w:t>Abgeordneter</w:t>
            </w:r>
            <w:r>
              <w:rPr>
                <w:b/>
              </w:rPr>
              <w:br/>
              <w:t>Patrick</w:t>
            </w:r>
            <w:r>
              <w:rPr>
                <w:b/>
              </w:rPr>
              <w:br/>
              <w:t>Friedl</w:t>
            </w:r>
            <w:r>
              <w:rPr>
                <w:b/>
              </w:rPr>
              <w:br/>
            </w:r>
            <w:r>
              <w:t>(BÜNDNIS 90/DIE GRÜNEN)</w:t>
            </w:r>
            <w:bookmarkStart w:id="115" w:name="Frage_Nr_57"/>
            <w:bookmarkEnd w:id="115"/>
          </w:p>
        </w:tc>
        <w:tc>
          <w:tcPr>
            <w:tcW w:w="5733" w:type="dxa"/>
          </w:tcPr>
          <w:p w:rsidR="00551C3E" w:rsidRPr="000E31FC" w:rsidRDefault="00551C3E" w:rsidP="000E31FC">
            <w:pPr>
              <w:pStyle w:val="LTAnfrageText"/>
            </w:pPr>
            <w:r w:rsidRPr="000E31FC">
              <w:t>Ich frage die Staatsregierung, in welchen unterfränkischen Fau</w:t>
            </w:r>
            <w:r w:rsidR="00B05A3F">
              <w:t>na-Flora-Habitat-Gebieten (FFH-</w:t>
            </w:r>
            <w:r w:rsidRPr="000E31FC">
              <w:t>Gebieten) der Kammmolch aktuell noch nachgewiesen werden konnte (bitte unter genauer Bezeichnung der Größe und Lage des Gebiets), welche Gesamtbeurteilung der einzelnen FFH-Gebiete wurde im Rahmen der FFH-Managementplanung für diese Art ermittelt (bitte unter genauer Bezeichnung des Gebiets) und wie groß sind die einzelnen Vorkommen (bitte unter genauer Bezeichnung des Gebiets)?</w:t>
            </w:r>
          </w:p>
        </w:tc>
        <w:tc>
          <w:tcPr>
            <w:tcW w:w="5733"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6E5140">
      <w:pPr>
        <w:pStyle w:val="LTAntwortRessortText"/>
      </w:pPr>
      <w:r>
        <w:t>Zur Beantwortung der Frage verweisen wir auf die beigefügte tabellarische Übersicht</w:t>
      </w:r>
      <w:r w:rsidR="00B05A3F" w:rsidRPr="00B05A3F">
        <w:rPr>
          <w:rStyle w:val="LTHyperlinkZchn"/>
          <w:b w:val="0"/>
        </w:rPr>
        <w:t>*)</w:t>
      </w:r>
      <w:r>
        <w:t>. Diese wurde von der Landesanstalt für Wald und Forstwirtschaft am 19.10.2021 auf Basis der im Rahmen der FFH-Managementplanung durch die Forst- und Umweltverwalt</w:t>
      </w:r>
      <w:r w:rsidR="00B05A3F">
        <w:t>ung gewonnen Erkenntnisse zusam</w:t>
      </w:r>
      <w:r>
        <w:t>mengestellt.</w:t>
      </w:r>
    </w:p>
    <w:p w:rsidR="006E5140" w:rsidRDefault="006E5140" w:rsidP="006E5140">
      <w:pPr>
        <w:pStyle w:val="LTAntwortRessortText"/>
      </w:pPr>
    </w:p>
    <w:p w:rsidR="006E5140" w:rsidRDefault="005A6AD9" w:rsidP="006E5140">
      <w:pPr>
        <w:pStyle w:val="LTAntwortRessortText"/>
      </w:pPr>
      <w:r>
        <w:t>*) Von einem Abdruck wurde abgesehen. Die Anlag</w:t>
      </w:r>
      <w:r w:rsidR="009A7F10">
        <w:t>e</w:t>
      </w:r>
      <w:r>
        <w:t xml:space="preserve"> ist als pdf-Dokument </w:t>
      </w:r>
      <w:hyperlink r:id="rId24" w:history="1">
        <w:r w:rsidRPr="005B1C81">
          <w:rPr>
            <w:rStyle w:val="LTHyperlinkZchn"/>
            <w:b w:val="0"/>
          </w:rPr>
          <w:t>hier</w:t>
        </w:r>
      </w:hyperlink>
      <w:r>
        <w:t xml:space="preserve"> einsehbar.</w:t>
      </w:r>
    </w:p>
    <w:p w:rsidR="005A6AD9" w:rsidRDefault="005A6AD9" w:rsidP="006E5140">
      <w:pPr>
        <w:pStyle w:val="LTAntwortRessortText"/>
      </w:pPr>
    </w:p>
    <w:p w:rsidR="006E5140" w:rsidRDefault="006E5140">
      <w:bookmarkStart w:id="116" w:name="Frage_Nr_57_Ende"/>
      <w:bookmarkEnd w:id="1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1C3E" w:rsidTr="00551C3E">
        <w:tc>
          <w:tcPr>
            <w:tcW w:w="1883" w:type="dxa"/>
          </w:tcPr>
          <w:p w:rsidR="00551C3E" w:rsidRDefault="00551C3E" w:rsidP="00551C3E">
            <w:pPr>
              <w:pStyle w:val="LTAnfrageInitiator"/>
            </w:pPr>
            <w:r>
              <w:t>Abgeordneter</w:t>
            </w:r>
            <w:r>
              <w:rPr>
                <w:b/>
              </w:rPr>
              <w:br/>
              <w:t>Ludwig</w:t>
            </w:r>
            <w:r>
              <w:rPr>
                <w:b/>
              </w:rPr>
              <w:br/>
              <w:t>Hartmann</w:t>
            </w:r>
            <w:r>
              <w:rPr>
                <w:b/>
              </w:rPr>
              <w:br/>
            </w:r>
            <w:r>
              <w:t>(BÜNDNIS 90/DIE GRÜNEN)</w:t>
            </w:r>
            <w:bookmarkStart w:id="117" w:name="Frage_Nr_58"/>
            <w:bookmarkEnd w:id="117"/>
          </w:p>
        </w:tc>
        <w:tc>
          <w:tcPr>
            <w:tcW w:w="5733" w:type="dxa"/>
          </w:tcPr>
          <w:p w:rsidR="00551C3E" w:rsidRPr="000E31FC" w:rsidRDefault="00551C3E" w:rsidP="00F55312">
            <w:pPr>
              <w:pStyle w:val="LTAnfrageText"/>
            </w:pPr>
            <w:r w:rsidRPr="000E31FC">
              <w:t>Ich frage die Staatsregierung, ob das Staatsg</w:t>
            </w:r>
            <w:r w:rsidR="00F55312">
              <w:t>ut Achselschwang von</w:t>
            </w:r>
            <w:r w:rsidRPr="000E31FC">
              <w:t xml:space="preserve"> Staatsministerien oder nachgelagerten Behörden eine Anfrage </w:t>
            </w:r>
            <w:r w:rsidR="00F55312">
              <w:t>auf</w:t>
            </w:r>
            <w:r w:rsidRPr="000E31FC">
              <w:t xml:space="preserve"> Stellungnahme zur Entbehrlichkeit von Flächen erhalten hat und falls ja, was jeweils der genaue Inhalt der Anfrage und was der genaue Inhalt der Stellungnahme war?</w:t>
            </w:r>
          </w:p>
        </w:tc>
        <w:tc>
          <w:tcPr>
            <w:tcW w:w="5733"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F55312">
      <w:pPr>
        <w:pStyle w:val="LTAntwortRessortText"/>
      </w:pPr>
      <w:r>
        <w:t>Es gibt noch keine formale Anfrage des St</w:t>
      </w:r>
      <w:r w:rsidR="00230C86">
        <w:t>aatsministeriums für Ernährung, Landwirtschaft und Forsten (St</w:t>
      </w:r>
      <w:r>
        <w:t>MELF</w:t>
      </w:r>
      <w:r w:rsidR="00230C86">
        <w:t>)</w:t>
      </w:r>
      <w:r>
        <w:t xml:space="preserve"> an das Staatsgut Achselschwang auf Stellungnahme zur Entbehrlichkeit von Flächen des Staatsgutes Achselschwang. Die formale Anfrage ist erst mit dem Abschluss der Bauleitplanung nötig und sinnvoll. Diese ist noch nicht abgeschlossen, so dass bisher noch keine Erklärung der Bay</w:t>
      </w:r>
      <w:r w:rsidR="00230C86">
        <w:t>erische</w:t>
      </w:r>
      <w:r w:rsidR="00F55312">
        <w:t>n</w:t>
      </w:r>
      <w:r w:rsidR="00230C86">
        <w:t xml:space="preserve"> Staatsgüter (Bay</w:t>
      </w:r>
      <w:r>
        <w:t>SG</w:t>
      </w:r>
      <w:r w:rsidR="00230C86">
        <w:t>)</w:t>
      </w:r>
      <w:r>
        <w:t xml:space="preserve"> zur Entbehrlichkeit notwendig war.</w:t>
      </w:r>
    </w:p>
    <w:p w:rsidR="006E5140" w:rsidRDefault="006E5140" w:rsidP="00F55312">
      <w:pPr>
        <w:pStyle w:val="LTAntwortRessortText"/>
        <w:spacing w:before="0"/>
      </w:pPr>
      <w:r>
        <w:t>Im Zusammenhang mit der Diskussion um eine Industrieansiedlung möglicher Firmen auf Flächen des Stiller</w:t>
      </w:r>
      <w:r w:rsidR="00230C86">
        <w:t xml:space="preserve">hofes wurde die </w:t>
      </w:r>
      <w:r w:rsidR="00F55312">
        <w:t>S</w:t>
      </w:r>
      <w:r w:rsidR="00230C86">
        <w:t>chriftliche An</w:t>
      </w:r>
      <w:r>
        <w:t xml:space="preserve">frage der Abgeordneten Ludwig Hartmann und Gabriele Triebel vom 11.05.2021 betreffend </w:t>
      </w:r>
      <w:r w:rsidR="005C0F48">
        <w:t>„</w:t>
      </w:r>
      <w:r>
        <w:t>Verkauf von St</w:t>
      </w:r>
      <w:r w:rsidR="00230C86">
        <w:t>aatswaldflächen für eine Indust</w:t>
      </w:r>
      <w:r>
        <w:t>rieansiedlung in der Nähe des Guts Stillern, Gemeinde</w:t>
      </w:r>
      <w:r w:rsidR="00230C86">
        <w:t xml:space="preserve"> Penzing, Land</w:t>
      </w:r>
      <w:r>
        <w:t>kreis Landsberg am Lech</w:t>
      </w:r>
      <w:r w:rsidR="005C0F48">
        <w:t>“</w:t>
      </w:r>
      <w:r>
        <w:t xml:space="preserve"> am 12.07.2021 beantwortet. Die Frage der Entbehrlichkeit der Flächen wurde dabei nicht gestellt.</w:t>
      </w:r>
    </w:p>
    <w:p w:rsidR="006E5140" w:rsidRDefault="006E5140" w:rsidP="00F55312">
      <w:pPr>
        <w:pStyle w:val="LTAntwortRessortText"/>
        <w:spacing w:before="0"/>
      </w:pPr>
      <w:r>
        <w:t xml:space="preserve">In der Petitions-Eingabe der Frau Claudia Endres, Unteranger 38, 86940 Schwifting, vom 23.06.2021 betreffend </w:t>
      </w:r>
      <w:r w:rsidR="005C0F48">
        <w:t>„</w:t>
      </w:r>
      <w:r>
        <w:t>Einwänd</w:t>
      </w:r>
      <w:r w:rsidR="00230C86">
        <w:t>e gegen geplante An</w:t>
      </w:r>
      <w:r>
        <w:t>siedlung der Fa. Steico auf dem Grundstück Fl.Nr. 1975, Gemarkung</w:t>
      </w:r>
      <w:r w:rsidR="00C648EF">
        <w:t xml:space="preserve"> </w:t>
      </w:r>
      <w:r>
        <w:t>Penzing, Ortsteil Stillern hat das St</w:t>
      </w:r>
      <w:r w:rsidR="00230C86">
        <w:t xml:space="preserve">aatsministerium für Wohnen, Bau und Verkehr </w:t>
      </w:r>
      <w:r>
        <w:t>schriftlich geantwortet. In der Beantwortung vom 19.08.2021 heißt es unter Punkt 2: Eine Entbehrlichkeitserklärung liegt nicht vor.</w:t>
      </w:r>
    </w:p>
    <w:p w:rsidR="006E5140" w:rsidRDefault="006E5140">
      <w:bookmarkStart w:id="118" w:name="Frage_Nr_58_Ende"/>
      <w:bookmarkEnd w:id="11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551C3E" w:rsidTr="00551C3E">
        <w:tc>
          <w:tcPr>
            <w:tcW w:w="1875" w:type="dxa"/>
          </w:tcPr>
          <w:p w:rsidR="00551C3E" w:rsidRDefault="00551C3E" w:rsidP="00551C3E">
            <w:pPr>
              <w:pStyle w:val="LTAnfrageInitiator"/>
            </w:pPr>
            <w:r>
              <w:t>Abgeordneter</w:t>
            </w:r>
            <w:r>
              <w:rPr>
                <w:b/>
              </w:rPr>
              <w:br/>
              <w:t>Nikolaus</w:t>
            </w:r>
            <w:r>
              <w:rPr>
                <w:b/>
              </w:rPr>
              <w:br/>
              <w:t>Kraus</w:t>
            </w:r>
            <w:r>
              <w:rPr>
                <w:b/>
              </w:rPr>
              <w:br/>
            </w:r>
            <w:r>
              <w:t>(FREIE WÄHLER)</w:t>
            </w:r>
            <w:bookmarkStart w:id="119" w:name="Frage_Nr_59"/>
            <w:bookmarkEnd w:id="119"/>
          </w:p>
        </w:tc>
        <w:tc>
          <w:tcPr>
            <w:tcW w:w="5741" w:type="dxa"/>
          </w:tcPr>
          <w:p w:rsidR="00551C3E" w:rsidRPr="000E31FC" w:rsidRDefault="00551C3E" w:rsidP="00F55312">
            <w:pPr>
              <w:pStyle w:val="LTAnfrageText"/>
            </w:pPr>
            <w:r w:rsidRPr="000E31FC">
              <w:t>Ich frage die Staatsregierung, wie viele Weideschu</w:t>
            </w:r>
            <w:r w:rsidR="00F55312">
              <w:t xml:space="preserve">tzzäune </w:t>
            </w:r>
            <w:r w:rsidRPr="000E31FC">
              <w:t xml:space="preserve">es in Bayern </w:t>
            </w:r>
            <w:r w:rsidR="00F55312">
              <w:t xml:space="preserve">gibt </w:t>
            </w:r>
            <w:r w:rsidRPr="000E31FC">
              <w:t>(bitte aufgeschlüsselt nach Landkreisen), wie viel Fläche umzäunt</w:t>
            </w:r>
            <w:r w:rsidR="00F55312">
              <w:t xml:space="preserve"> ist</w:t>
            </w:r>
            <w:r w:rsidRPr="000E31FC">
              <w:t xml:space="preserve"> (bitte aufgeschlüsselt nach</w:t>
            </w:r>
            <w:r w:rsidR="00F55312">
              <w:t xml:space="preserve"> Landkreisen), und wie hoch</w:t>
            </w:r>
            <w:r w:rsidRPr="000E31FC">
              <w:t xml:space="preserve"> die Arbeits- und Materialkosten für den Bau der Zäune</w:t>
            </w:r>
            <w:r w:rsidR="00F55312">
              <w:t xml:space="preserve"> sind</w:t>
            </w:r>
            <w:r w:rsidRPr="000E31FC">
              <w:t>?</w:t>
            </w:r>
          </w:p>
        </w:tc>
        <w:tc>
          <w:tcPr>
            <w:tcW w:w="5741"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6E5140">
      <w:pPr>
        <w:pStyle w:val="LTAntwortRessortText"/>
      </w:pPr>
      <w:r>
        <w:t>Die Anzahl der wolfsabweisenden Zäune in Bayern ist der Staatsregierung nicht bekannt. Diese Daten werden nicht erfasst. Gleiche</w:t>
      </w:r>
      <w:r w:rsidR="00230C86">
        <w:t>s gilt für den Um</w:t>
      </w:r>
      <w:r>
        <w:t>fang der mit wolfsabweisenden Zäunen um</w:t>
      </w:r>
      <w:r w:rsidR="00230C86">
        <w:t>zäunten Fläche. Neben den staat</w:t>
      </w:r>
      <w:r>
        <w:t>lich geförderten wolfsabweisenden Zäunen gibt es auch eine unbekannte Anzahl von Zäunen, die von den landwirtschaftlichen Betrieben auf eigene Kosten errichtet wurden.</w:t>
      </w:r>
    </w:p>
    <w:p w:rsidR="006E5140" w:rsidRDefault="006E5140" w:rsidP="006E5140">
      <w:pPr>
        <w:pStyle w:val="LTAntwortRessortText"/>
      </w:pPr>
      <w:r>
        <w:t>Die Arbeits- und Materialkosten aller wolfsabweisenden Zäune in Bayern sind der Staatsregierung nicht bekan</w:t>
      </w:r>
      <w:r w:rsidR="00230C86">
        <w:t>nt. Die im Rahmen des Förderpro</w:t>
      </w:r>
      <w:r>
        <w:t>gramms Herdenschutz Wolf in den Jahren 2020 und 2021 in den einzelnen Landkreisen ausbezahlten Förderbeträge für wol</w:t>
      </w:r>
      <w:r w:rsidR="00230C86">
        <w:t>fsabweisende Zäune (Ar</w:t>
      </w:r>
      <w:r>
        <w:t>beits- und Materialkosten) sind in Anlage 1</w:t>
      </w:r>
      <w:r w:rsidR="00230C86" w:rsidRPr="00230C86">
        <w:rPr>
          <w:rStyle w:val="LTHyperlinkZchn"/>
          <w:b w:val="0"/>
        </w:rPr>
        <w:t>*)</w:t>
      </w:r>
      <w:r>
        <w:t xml:space="preserve"> dargestellt.</w:t>
      </w:r>
    </w:p>
    <w:p w:rsidR="006E5140" w:rsidRDefault="006E5140" w:rsidP="006E5140">
      <w:pPr>
        <w:pStyle w:val="LTAntwortRessortText"/>
      </w:pPr>
    </w:p>
    <w:p w:rsidR="006E5140" w:rsidRDefault="000D5269" w:rsidP="006E5140">
      <w:pPr>
        <w:pStyle w:val="LTAntwortRessortText"/>
      </w:pPr>
      <w:r>
        <w:t xml:space="preserve">*) Von einem Abdruck wurde abgesehen. Die Anlage 1 ist als pdf-Dokument </w:t>
      </w:r>
      <w:hyperlink r:id="rId25" w:history="1">
        <w:r w:rsidRPr="009D5CA7">
          <w:rPr>
            <w:rStyle w:val="LTHyperlinkZchn"/>
            <w:b w:val="0"/>
          </w:rPr>
          <w:t>hier</w:t>
        </w:r>
      </w:hyperlink>
      <w:r>
        <w:t xml:space="preserve"> einsehbar.</w:t>
      </w:r>
    </w:p>
    <w:p w:rsidR="000D5269" w:rsidRDefault="000D5269" w:rsidP="006E5140">
      <w:pPr>
        <w:pStyle w:val="LTAntwortRessortText"/>
      </w:pPr>
    </w:p>
    <w:p w:rsidR="006E5140" w:rsidRDefault="006E5140">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1C3E" w:rsidTr="00551C3E">
        <w:tc>
          <w:tcPr>
            <w:tcW w:w="1883" w:type="dxa"/>
          </w:tcPr>
          <w:p w:rsidR="00551C3E" w:rsidRDefault="00551C3E" w:rsidP="00551C3E">
            <w:pPr>
              <w:pStyle w:val="LTAnfrageInitiator"/>
            </w:pPr>
            <w:r>
              <w:t>Abgeordnete</w:t>
            </w:r>
            <w:r>
              <w:rPr>
                <w:b/>
              </w:rPr>
              <w:br/>
              <w:t>Gisela</w:t>
            </w:r>
            <w:r>
              <w:rPr>
                <w:b/>
              </w:rPr>
              <w:br/>
              <w:t>Sengl</w:t>
            </w:r>
            <w:r>
              <w:rPr>
                <w:b/>
              </w:rPr>
              <w:br/>
            </w:r>
            <w:r>
              <w:t>(BÜNDNIS 90/DIE GRÜNEN)</w:t>
            </w:r>
            <w:bookmarkStart w:id="121" w:name="Frage_Nr_60"/>
            <w:bookmarkEnd w:id="121"/>
          </w:p>
        </w:tc>
        <w:tc>
          <w:tcPr>
            <w:tcW w:w="5733" w:type="dxa"/>
          </w:tcPr>
          <w:p w:rsidR="00551C3E" w:rsidRPr="000E31FC" w:rsidRDefault="00551C3E" w:rsidP="000E31FC">
            <w:pPr>
              <w:pStyle w:val="LTAnfrageText"/>
            </w:pPr>
            <w:r w:rsidRPr="000E31FC">
              <w:t xml:space="preserve">Ich frage die Staatsregierung, wie viele der im bayerischen </w:t>
            </w:r>
            <w:r w:rsidRPr="000E31FC">
              <w:br/>
              <w:t>Agrarbericht 2020 dargestellten knapp 65 000 Nebenerwerbsbetriebe nach biologischen Verbandsrichtlinien wirtschaften, welche durch</w:t>
            </w:r>
            <w:r w:rsidR="00F55312">
              <w:t>schnittliche Flächenausstattung</w:t>
            </w:r>
            <w:r w:rsidRPr="000E31FC">
              <w:t xml:space="preserve"> die biologisch wirtschaftenden</w:t>
            </w:r>
            <w:r w:rsidR="00F55312">
              <w:t xml:space="preserve"> Nebenerwerbsbetriebe aufweisen</w:t>
            </w:r>
            <w:r w:rsidRPr="000E31FC">
              <w:t xml:space="preserve"> und wie hoch der Anteil bei den Nebenerwerbsbetrieben ist, die Milchwirtschaft betreiben? </w:t>
            </w:r>
          </w:p>
        </w:tc>
        <w:tc>
          <w:tcPr>
            <w:tcW w:w="5733"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6E5140">
      <w:pPr>
        <w:pStyle w:val="LTAntwortRessortText"/>
      </w:pPr>
      <w:r>
        <w:t>Der Staatsregierung ist nicht bekannt</w:t>
      </w:r>
      <w:r w:rsidR="00F55312">
        <w:t>,</w:t>
      </w:r>
      <w:r>
        <w:t xml:space="preserve"> wie viele Nebenerwerbsbetriebe nach Verbandsrichtlinien wirtschaften. Bekann</w:t>
      </w:r>
      <w:r w:rsidR="00F55312">
        <w:t>t ist dagegen die Anzahl der Be</w:t>
      </w:r>
      <w:r>
        <w:t>triebe, die eine Förder</w:t>
      </w:r>
      <w:r w:rsidR="00230C86">
        <w:t>ung für die KULAP-Maßnahme B10 –</w:t>
      </w:r>
      <w:r>
        <w:t xml:space="preserve"> Ökologischer Landbau </w:t>
      </w:r>
      <w:r w:rsidR="00230C86">
        <w:t>(KULAP = Kulturlandschaftsprogramm) erhalten. Unter den 64 </w:t>
      </w:r>
      <w:r>
        <w:t>738 Nebene</w:t>
      </w:r>
      <w:r w:rsidR="00230C86">
        <w:t>rwerbsbetrieben befinden sich 5 </w:t>
      </w:r>
      <w:r>
        <w:t>581 Betriebe, die im Jahr 2021 die KULAP-Maßnahme B10 in Anspruch nahmen und ihren Gesamtbetrieb ökologisch bewirtschaften. Diese Betriebe bewirtschaften durchschnittlich 20,2 ha LF</w:t>
      </w:r>
      <w:r w:rsidR="00F55312">
        <w:t xml:space="preserve"> (= landwirtschaftlich genutzte Fläche)</w:t>
      </w:r>
      <w:r>
        <w:t>.</w:t>
      </w:r>
    </w:p>
    <w:p w:rsidR="006E5140" w:rsidRDefault="006E5140" w:rsidP="006E5140">
      <w:pPr>
        <w:pStyle w:val="LTAntwortRessortText"/>
      </w:pPr>
      <w:r>
        <w:t xml:space="preserve">Da die InVeKoS-Daten </w:t>
      </w:r>
      <w:r w:rsidR="00F55312">
        <w:t xml:space="preserve">(= Integriertes Verwaltungs- und Kontrollsystem) </w:t>
      </w:r>
      <w:r>
        <w:t>bei Kühen nicht n</w:t>
      </w:r>
      <w:r w:rsidR="00230C86">
        <w:t>ach Nutzungsrichtung unterschei</w:t>
      </w:r>
      <w:r>
        <w:t>den (Milch-, Mast- oder Mutterkühe), kann die Anzahl der Milchvie</w:t>
      </w:r>
      <w:r w:rsidR="00230C86">
        <w:t>hbe</w:t>
      </w:r>
      <w:r>
        <w:t>triebe unter den Nebenerwerbsbetrie</w:t>
      </w:r>
      <w:r w:rsidR="00230C86">
        <w:t>ben nicht ausgewertet werden. 9 </w:t>
      </w:r>
      <w:r>
        <w:t>235 Nebenerwer</w:t>
      </w:r>
      <w:r w:rsidR="00230C86">
        <w:t>bsbetriebe (14,3 Prozent) und 1 </w:t>
      </w:r>
      <w:r>
        <w:t>881 Öko-Nebenerwerbsbetriebe (33,7 Prozent) halten Kühe.</w:t>
      </w:r>
    </w:p>
    <w:p w:rsidR="006E5140" w:rsidRDefault="006E5140">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1C3E" w:rsidTr="00551C3E">
        <w:tc>
          <w:tcPr>
            <w:tcW w:w="1883" w:type="dxa"/>
          </w:tcPr>
          <w:p w:rsidR="00551C3E" w:rsidRDefault="00551C3E" w:rsidP="00551C3E">
            <w:pPr>
              <w:pStyle w:val="LTAnfrageInitiator"/>
            </w:pPr>
            <w:r>
              <w:t>Abgeordneter</w:t>
            </w:r>
            <w:r>
              <w:rPr>
                <w:b/>
              </w:rPr>
              <w:br/>
              <w:t>Hans</w:t>
            </w:r>
            <w:r>
              <w:rPr>
                <w:b/>
              </w:rPr>
              <w:br/>
              <w:t>Urban</w:t>
            </w:r>
            <w:r>
              <w:rPr>
                <w:b/>
              </w:rPr>
              <w:br/>
            </w:r>
            <w:r>
              <w:t>(BÜNDNIS 90/DIE GRÜNEN)</w:t>
            </w:r>
            <w:bookmarkStart w:id="123" w:name="Frage_Nr_61"/>
            <w:bookmarkEnd w:id="123"/>
          </w:p>
        </w:tc>
        <w:tc>
          <w:tcPr>
            <w:tcW w:w="5733" w:type="dxa"/>
          </w:tcPr>
          <w:p w:rsidR="00551C3E" w:rsidRPr="000E31FC" w:rsidRDefault="00551C3E" w:rsidP="00F55312">
            <w:pPr>
              <w:pStyle w:val="LTAnfrageText"/>
            </w:pPr>
            <w:r w:rsidRPr="000E31FC">
              <w:t xml:space="preserve">Ich frage die Staatsregierung, wie für Agroforstsysteme, die nach den Beschlüssen in Bundestag (BT-Drs. 19/24389) und Bundesrat (BT-Drs. 420/21) als wichtige Komponente zur Verbesserung von Klimaschutz, Klimaanpassung, Bodenschutz, Gewässerschutz und Biodiversität zu fördern </w:t>
            </w:r>
            <w:r w:rsidR="00F55312">
              <w:t xml:space="preserve">sind </w:t>
            </w:r>
            <w:r w:rsidRPr="000E31FC">
              <w:t>und deren Umsetzung in der Praxis wesentlich voranzubringen ist, die geplante neue Fördermaßnahme im bayerischen Kulturlandschaftsprogramm (KULAP) ab 2023 nach aktuellem Stand lauten</w:t>
            </w:r>
            <w:r w:rsidR="00F55312">
              <w:t xml:space="preserve"> wird</w:t>
            </w:r>
            <w:r w:rsidRPr="000E31FC">
              <w:t xml:space="preserve">, welche Mittelausstattung hierfür in den Haushalt eingestellt </w:t>
            </w:r>
            <w:r w:rsidR="00F55312">
              <w:t xml:space="preserve">ist </w:t>
            </w:r>
            <w:r w:rsidRPr="000E31FC">
              <w:t>und wie die Staatsregierung jene Agroforstsysteme, die nicht der Energie- oder Wertholzgewinnung dienen, in der Förderkulisse berücksichtigen</w:t>
            </w:r>
            <w:r w:rsidR="00F55312">
              <w:t xml:space="preserve"> möchte</w:t>
            </w:r>
            <w:r w:rsidRPr="000E31FC">
              <w:t xml:space="preserve">?  </w:t>
            </w:r>
          </w:p>
        </w:tc>
        <w:tc>
          <w:tcPr>
            <w:tcW w:w="5733" w:type="dxa"/>
          </w:tcPr>
          <w:p w:rsidR="00551C3E" w:rsidRDefault="00551C3E" w:rsidP="00551C3E">
            <w:pPr>
              <w:pStyle w:val="LTAnfrageText"/>
            </w:pPr>
          </w:p>
        </w:tc>
      </w:tr>
    </w:tbl>
    <w:p w:rsidR="006E5140" w:rsidRDefault="006E5140" w:rsidP="006E5140">
      <w:pPr>
        <w:pStyle w:val="LTUeberschrAntwortRessort"/>
      </w:pPr>
      <w:r>
        <w:t>Antwort des Staatsministeriums für Ernährung, Landwirtschaft und Forsten</w:t>
      </w:r>
    </w:p>
    <w:p w:rsidR="006E5140" w:rsidRDefault="006E5140" w:rsidP="006E5140">
      <w:pPr>
        <w:pStyle w:val="LTAntwortRessortText"/>
      </w:pPr>
      <w:r>
        <w:t>Die Beibehaltung einer agroforstlichen Bewirtschaftungsweise wird ab 2023 im Rahmen der sogenannten Öko-Regelungen (</w:t>
      </w:r>
      <w:r w:rsidR="005C0F48">
        <w:t>„</w:t>
      </w:r>
      <w:r>
        <w:t>eco schemes</w:t>
      </w:r>
      <w:r w:rsidR="005C0F48">
        <w:t>“</w:t>
      </w:r>
      <w:r>
        <w:t xml:space="preserve">) in der 1. Säule der Gemeinsamen Agrarpolitik </w:t>
      </w:r>
      <w:r w:rsidR="00F55312">
        <w:t xml:space="preserve">(GAP) </w:t>
      </w:r>
      <w:r>
        <w:t>gefördert. Grundlage sind das GAP-Direktzahlungengesetz (GAP-DZG) vom 16. Juli 2021 sowie die derzeit im Entwurf vorliegende GAP-Direktzah</w:t>
      </w:r>
      <w:r w:rsidR="00A77294">
        <w:t>lungen-Verordnung (GAP-DZV). Da</w:t>
      </w:r>
      <w:r>
        <w:t xml:space="preserve">mit reagiert der Bund auf die vorgenannten Beschlüsse von Bundestag und Bundesrat. Die Fördervoraussetzungen und -bedingungen hat das </w:t>
      </w:r>
      <w:r w:rsidR="00F55312">
        <w:t>Bundesministerium für Ernährung und Landwirtschaft (BMEL)</w:t>
      </w:r>
      <w:r>
        <w:t xml:space="preserve"> in Anlage 5 der GAP-DZV dargelegt. Demnach sind die Gehölze nur dann f</w:t>
      </w:r>
      <w:r w:rsidR="00A77294">
        <w:t>ör</w:t>
      </w:r>
      <w:r>
        <w:t>derfähig, wenn sie streifenförmig auf einer landwirtschaftlich genutzten Fläche angelegt sind und die Streifen gewisse Mindestanforderungen hins</w:t>
      </w:r>
      <w:r w:rsidR="003D4C86">
        <w:t>icht</w:t>
      </w:r>
      <w:r>
        <w:t>lich Anzahl, Breite und Abstand zueinander erfüllen. Für die Gehölze soll es eine Negativliste geben.</w:t>
      </w:r>
    </w:p>
    <w:p w:rsidR="006E5140" w:rsidRDefault="006E5140" w:rsidP="006E5140">
      <w:pPr>
        <w:pStyle w:val="LTAntwortRessortText"/>
      </w:pPr>
      <w:r>
        <w:t>Parallel dazu entwickelt das BMEL zusa</w:t>
      </w:r>
      <w:r w:rsidR="00A77294">
        <w:t>mmen mit den Ländern für die Ag</w:t>
      </w:r>
      <w:r>
        <w:t>rarumwelt- und Klimamaßnahmen (AUK</w:t>
      </w:r>
      <w:r w:rsidR="00A77294">
        <w:t xml:space="preserve">M) in der 2. Säule der </w:t>
      </w:r>
      <w:r w:rsidR="00F55312">
        <w:t xml:space="preserve">GAP </w:t>
      </w:r>
      <w:r>
        <w:t>einen investiven Fördergrundsatz für die Einrichtung von Agroforstsystemen (AFS) im Rahmen der Gemeinschaftsaufgabe zur Verbesserung der Agrarstruktur und des Küst</w:t>
      </w:r>
      <w:r w:rsidR="00A77294">
        <w:t>enschutzes (GAK). Erste Arbeits</w:t>
      </w:r>
      <w:r>
        <w:t>entwürfe hierzu liegen vor. Demnach sollen Investitionen zur Einrichtung von streifenförmigen Agroforstgehölzflächen, welche der Gewinnung von Holz zur energetischen und/oder stofflichen Nutzung dienen (Energie- und/oder Stamm-/Wertholz), förderfähig s</w:t>
      </w:r>
      <w:r w:rsidR="00A77294">
        <w:t>ein. Öko-Regelung und Investiti</w:t>
      </w:r>
      <w:r>
        <w:t>onsmaßnahme sollen Hand in Hand gehen und aufeinander abgestimmt sein.</w:t>
      </w:r>
    </w:p>
    <w:p w:rsidR="006E5140" w:rsidRDefault="006E5140" w:rsidP="006E5140">
      <w:pPr>
        <w:pStyle w:val="LTAntwortRessortText"/>
      </w:pPr>
      <w:r>
        <w:t>Au</w:t>
      </w:r>
      <w:r w:rsidR="00F55312">
        <w:t>ch im KULAP</w:t>
      </w:r>
      <w:r>
        <w:t xml:space="preserve"> ist erstmals eine Maßnahme zur Förderung der Anlage von AFS in Planung. Im Sinne eines stimmigen, säulenübergreifend durchgängigen Systems (För</w:t>
      </w:r>
      <w:r w:rsidR="00A77294">
        <w:t>derung der Investition in der zweiten</w:t>
      </w:r>
      <w:r>
        <w:t xml:space="preserve"> Säule, Förd</w:t>
      </w:r>
      <w:r w:rsidR="00A77294">
        <w:t>erung der Beibehaltung in der ersten</w:t>
      </w:r>
      <w:r>
        <w:t xml:space="preserve"> Säule) liegt es dabei nahe, die Fördervoraussetzungen und -bedingungen auf diejenigen des Bundes abzustimmen. Nur so es kann für die im Rahmen des KULAP angelegten AFS eine Ko</w:t>
      </w:r>
      <w:r w:rsidR="00A77294">
        <w:t>-F</w:t>
      </w:r>
      <w:r>
        <w:t>inanzierung aus GAK-Mitteln des Bundes sowie für die Antragsteller im Anschluss eine Beibehaltungsförderung über die Öko-Regelun</w:t>
      </w:r>
      <w:r w:rsidR="00A77294">
        <w:t>gen in der ersten</w:t>
      </w:r>
      <w:r>
        <w:t xml:space="preserve"> Säule geben.</w:t>
      </w:r>
    </w:p>
    <w:p w:rsidR="006E5140" w:rsidRDefault="006E5140" w:rsidP="006E5140">
      <w:pPr>
        <w:pStyle w:val="LTAntwortRessortText"/>
      </w:pPr>
      <w:r>
        <w:t>Aussagen zur Mittelausstattung für diese künftige Maßnahme können zum jetzigen Zeitpunkt noch nicht getätigt w</w:t>
      </w:r>
      <w:r w:rsidR="00A77294">
        <w:t>erden. Diese Festlegungen sind – über das KULAP hinausgehend –</w:t>
      </w:r>
      <w:r>
        <w:t xml:space="preserve"> im Kontext der Gesamtfinanzierung der 2. Säule zu treffen. Fakt ist, dass für die neue investive KULAP-Maßnahme für jede Antragsrunde ein eigener ausgewiesener Mittelpla</w:t>
      </w:r>
      <w:r w:rsidR="007C0CCD">
        <w:t>n</w:t>
      </w:r>
      <w:r>
        <w:t>fonds auszubringen und öffentlich anzukündigen ist.</w:t>
      </w:r>
    </w:p>
    <w:p w:rsidR="006E5140" w:rsidRDefault="006E5140" w:rsidP="006E5140">
      <w:pPr>
        <w:pStyle w:val="LTAntwortRessortText"/>
      </w:pPr>
      <w:r>
        <w:t>Wie bereits im Zusammenhang mit früheren Behandlungen des Themas im Landtag von uns ausgeführt, h</w:t>
      </w:r>
      <w:r w:rsidR="00A77294">
        <w:t>alten wir jenseits aller politi</w:t>
      </w:r>
      <w:r>
        <w:t>schen Beschlüsse an der fachlichen Auffassung fest, dass Agroforstsysteme</w:t>
      </w:r>
      <w:r w:rsidR="00B87C22">
        <w:t xml:space="preserve"> </w:t>
      </w:r>
      <w:r>
        <w:t xml:space="preserve">bei uns in Bayern </w:t>
      </w:r>
      <w:r w:rsidR="007C0CCD">
        <w:t>– trotz Förderung –</w:t>
      </w:r>
      <w:r>
        <w:t xml:space="preserve"> anges</w:t>
      </w:r>
      <w:r w:rsidR="00A77294">
        <w:t>ichts der ökologisch vorteilhaf</w:t>
      </w:r>
      <w:r>
        <w:t>ten Kleinstrukturiertheit der Agrarlandschaft und einem Pachtflächenanteil in den Betrieben von rund 50 Prozent auch künftig nur eine untergeordnete Bedeutung einnehmen werden. Die Integra</w:t>
      </w:r>
      <w:r w:rsidR="00A77294">
        <w:t>tion der Vielzahl weltweit exis</w:t>
      </w:r>
      <w:r>
        <w:t>tierender Variationen von Agroforstsystemen über weitere Agrarumwelt- und Klimamaßnahmen im KULAP ist vor diesem Hintergrund derzeit nicht vorgesehen.</w:t>
      </w:r>
    </w:p>
    <w:p w:rsidR="006E5140" w:rsidRDefault="006E5140">
      <w:bookmarkStart w:id="124" w:name="Frage_Nr_61_Ende"/>
      <w:bookmarkEnd w:id="124"/>
      <w:r>
        <w:br w:type="page"/>
      </w:r>
    </w:p>
    <w:p w:rsidR="006E5140" w:rsidRDefault="006E5140" w:rsidP="006E5140">
      <w:pPr>
        <w:pStyle w:val="LTUeberschrRessort"/>
      </w:pPr>
      <w:r>
        <w:t>Geschäftsbereich des Staatsministeriums für Familie, Arbeit und Soziales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1C3E" w:rsidTr="00551C3E">
        <w:tc>
          <w:tcPr>
            <w:tcW w:w="1854" w:type="dxa"/>
          </w:tcPr>
          <w:p w:rsidR="00551C3E" w:rsidRDefault="00551C3E" w:rsidP="00551C3E">
            <w:pPr>
              <w:pStyle w:val="LTAnfrageInitiator"/>
            </w:pPr>
            <w:r>
              <w:t>Abgeordnete</w:t>
            </w:r>
            <w:r>
              <w:rPr>
                <w:b/>
              </w:rPr>
              <w:br/>
              <w:t>Doris</w:t>
            </w:r>
            <w:r>
              <w:rPr>
                <w:b/>
              </w:rPr>
              <w:br/>
              <w:t>Rauscher</w:t>
            </w:r>
            <w:r>
              <w:rPr>
                <w:b/>
              </w:rPr>
              <w:br/>
            </w:r>
            <w:r>
              <w:t>(SPD)</w:t>
            </w:r>
            <w:bookmarkStart w:id="125" w:name="Frage_Nr_62"/>
            <w:bookmarkEnd w:id="125"/>
          </w:p>
        </w:tc>
        <w:tc>
          <w:tcPr>
            <w:tcW w:w="5762" w:type="dxa"/>
          </w:tcPr>
          <w:p w:rsidR="00551C3E" w:rsidRPr="000E31FC" w:rsidRDefault="00551C3E" w:rsidP="000E31FC">
            <w:pPr>
              <w:pStyle w:val="LTAnfrageText"/>
            </w:pPr>
            <w:r w:rsidRPr="000E31FC">
              <w:t xml:space="preserve">Ich frage die Staatsregierung, nachdem das Staatsministerium für Familie, Arbeit und Soziales </w:t>
            </w:r>
            <w:r w:rsidR="00A77294">
              <w:t xml:space="preserve">(StMAS) </w:t>
            </w:r>
            <w:r w:rsidRPr="000E31FC">
              <w:t>zwischenzeitlich eine Abfrage bei den bayerischen Kitas gestartet hat und die Antworten mittlerweile eingegangen sein sollten, wie viele Berechtigungsscheine für den Bezug von Corona-Selbsttests in den Apotheken ausgegeben und zurückgebracht wurden, wie sich die Resonanz der Eltern auf die Möglichkeiten zur freiwilligen Selbsttestung ihrer Kinder gestaltet (bitte mit Angabe über ausgegebene Berechtigungsscheine sowie zurückgebrachte Berechtigungsscheinen in absoluten Zahlen und prozentual an der Gesamtheit der betreuten Kinder), wie viele Kommunen hinsichtlich der neuen Möglichkeit der PCR-Pooltests für Kitas bereits tätig geworden sind und seit dem Zeitraum ab 15. September 2021 eine solche Testmöglichkeit vor Ort anbieten bzw. sich aufgrund der Ausschreibungsnotwendigkeit, der damit einhergehenden langen Zeitschiene zur Umsetzung der Tests und der nur bis Ende Februar 2022 gesicherten Finanzierung gegen PCR-Pooltests an Kitas entschieden haben?</w:t>
            </w:r>
          </w:p>
        </w:tc>
        <w:tc>
          <w:tcPr>
            <w:tcW w:w="5762" w:type="dxa"/>
          </w:tcPr>
          <w:p w:rsidR="00551C3E" w:rsidRDefault="00551C3E" w:rsidP="00551C3E">
            <w:pPr>
              <w:pStyle w:val="LTAnfrageText"/>
            </w:pPr>
          </w:p>
        </w:tc>
      </w:tr>
    </w:tbl>
    <w:p w:rsidR="006E5140" w:rsidRDefault="006E5140" w:rsidP="006E5140">
      <w:pPr>
        <w:pStyle w:val="LTUeberschrAntwortRessort"/>
      </w:pPr>
      <w:r>
        <w:t>Antwort des Staatsministeriums für Familie, Arbeit und Soziales</w:t>
      </w:r>
    </w:p>
    <w:p w:rsidR="006E5140" w:rsidRDefault="006E5140" w:rsidP="006E5140">
      <w:pPr>
        <w:pStyle w:val="LTAntwortRessortText"/>
      </w:pPr>
      <w:r>
        <w:t>Bei der Abfrage zur Inanspruchnahme der Berechtigungsscheine</w:t>
      </w:r>
      <w:r w:rsidR="00CD15FF">
        <w:t xml:space="preserve"> </w:t>
      </w:r>
      <w:r>
        <w:t>wurde die Anzahl der ausgegebenen und eingelösten Berechtigungsscheine</w:t>
      </w:r>
      <w:r w:rsidR="00CD15FF">
        <w:t xml:space="preserve"> </w:t>
      </w:r>
      <w:r>
        <w:t>für den Monat September 2021 zum Stichtag 27. September</w:t>
      </w:r>
      <w:r w:rsidR="00CD15FF">
        <w:t xml:space="preserve"> </w:t>
      </w:r>
      <w:r>
        <w:t>2021 erhoben. Im Rahmen der Abfrage haben 89 der 96 Landkreise</w:t>
      </w:r>
      <w:r w:rsidR="00CD15FF">
        <w:t xml:space="preserve"> </w:t>
      </w:r>
      <w:r>
        <w:t>und kreisfreien Städte zurückgemeldet. Bezogen auf die in den 89</w:t>
      </w:r>
      <w:r w:rsidR="00CD15FF">
        <w:t xml:space="preserve"> </w:t>
      </w:r>
      <w:r w:rsidR="00A77294">
        <w:t>Kommunen betreuten 429 </w:t>
      </w:r>
      <w:r>
        <w:t>612 Kinder wurden bis zum 27. September</w:t>
      </w:r>
      <w:r w:rsidR="00CD15FF">
        <w:t xml:space="preserve"> </w:t>
      </w:r>
      <w:r w:rsidR="00A77294">
        <w:t>2021 für 189 </w:t>
      </w:r>
      <w:r>
        <w:t>955 Kinder Berechtigungsscheine für September 2021</w:t>
      </w:r>
      <w:r w:rsidR="00CD15FF">
        <w:t xml:space="preserve"> </w:t>
      </w:r>
      <w:r>
        <w:t>ausgegeben (mithin 44,2 Prozent). Der Rücklauf der ausgegebenen</w:t>
      </w:r>
      <w:r w:rsidR="00CD15FF">
        <w:t xml:space="preserve"> </w:t>
      </w:r>
      <w:r>
        <w:t>Berechtigungsscheine wurde nicht durchgängig in allen Kommunen erfasst,</w:t>
      </w:r>
      <w:r w:rsidR="00CD15FF">
        <w:t xml:space="preserve"> </w:t>
      </w:r>
      <w:r>
        <w:t>da in manchen Kommunen diese Abfrage vergessen wurde. Außerdem</w:t>
      </w:r>
      <w:r w:rsidR="00CD15FF">
        <w:t xml:space="preserve"> </w:t>
      </w:r>
      <w:r>
        <w:t>erfolgte die Erhebung zum Stichtag 27. September 2021, sodass</w:t>
      </w:r>
      <w:r w:rsidR="00CD15FF">
        <w:t xml:space="preserve"> </w:t>
      </w:r>
      <w:r>
        <w:t>die Rückgabe durch die Familien für den Bezug der Oktober-Scheine zu diesem Zeitpunkt noch nicht erforderlich war. Unter diesen</w:t>
      </w:r>
      <w:r w:rsidR="00CD15FF">
        <w:t xml:space="preserve"> </w:t>
      </w:r>
      <w:r>
        <w:t>Prämissen wurden zum Stichtag 27. September 2021 bereits mindestens</w:t>
      </w:r>
      <w:r w:rsidR="00CD15FF">
        <w:t xml:space="preserve"> </w:t>
      </w:r>
      <w:r w:rsidR="00A77294">
        <w:t>83 </w:t>
      </w:r>
      <w:r>
        <w:t>387 (43,9 Prozent) der ausgegebenen Berechtigungsscheine</w:t>
      </w:r>
      <w:r w:rsidR="00CD15FF">
        <w:t xml:space="preserve"> </w:t>
      </w:r>
      <w:r>
        <w:t>zurückgegeben.</w:t>
      </w:r>
    </w:p>
    <w:p w:rsidR="006E5140" w:rsidRDefault="006E5140" w:rsidP="00CD15FF">
      <w:pPr>
        <w:pStyle w:val="LTAntwortRessortText"/>
        <w:spacing w:before="0"/>
      </w:pPr>
      <w:r>
        <w:t xml:space="preserve">Am 8. Oktober </w:t>
      </w:r>
      <w:r w:rsidR="00A77294">
        <w:t xml:space="preserve">2021 </w:t>
      </w:r>
      <w:r>
        <w:t>hat eine Informationsveranstaltung für die Landkreise</w:t>
      </w:r>
      <w:r w:rsidR="00CD15FF">
        <w:t xml:space="preserve"> </w:t>
      </w:r>
      <w:r>
        <w:t>und kreisfreien Städte stattgefunden, in der die Kommunen über die</w:t>
      </w:r>
      <w:r w:rsidR="00CD15FF">
        <w:t xml:space="preserve"> </w:t>
      </w:r>
      <w:r>
        <w:t>Möglichkeit der Planung informiert und bei der Entscheidungsfindung</w:t>
      </w:r>
      <w:r w:rsidR="00CD15FF">
        <w:t xml:space="preserve"> </w:t>
      </w:r>
      <w:r>
        <w:t>unterstützt wurden. Dabei haben ca. zwei Drittel der bayerischen Landkreise</w:t>
      </w:r>
      <w:r w:rsidR="00CD15FF">
        <w:t xml:space="preserve"> </w:t>
      </w:r>
      <w:r>
        <w:t>und kreisfreien Städte teilgenommen, damit war die Beteiligung</w:t>
      </w:r>
      <w:r w:rsidR="00CD15FF">
        <w:t xml:space="preserve"> </w:t>
      </w:r>
      <w:r>
        <w:t>der Kommunen sehr rege.</w:t>
      </w:r>
    </w:p>
    <w:p w:rsidR="006E5140" w:rsidRDefault="006E5140" w:rsidP="00CB7A33">
      <w:pPr>
        <w:pStyle w:val="LTAntwortRessortText"/>
        <w:spacing w:before="0"/>
      </w:pPr>
      <w:r>
        <w:t>Eine Meldung der Umstellung auf das PCR-Pool-Testverfahren durch</w:t>
      </w:r>
      <w:r w:rsidR="00CB7A33">
        <w:t xml:space="preserve"> </w:t>
      </w:r>
      <w:r>
        <w:t xml:space="preserve">die Landkreise und kreisfreien Städte an das </w:t>
      </w:r>
      <w:r w:rsidR="00A77294">
        <w:t>S</w:t>
      </w:r>
      <w:r w:rsidR="007C0CCD">
        <w:t>taatsministerium für Familie, Arbeit und Soziales</w:t>
      </w:r>
      <w:r w:rsidR="00A77294">
        <w:t xml:space="preserve"> </w:t>
      </w:r>
      <w:r>
        <w:t>war bis zum jetzigen Zeitpunkt</w:t>
      </w:r>
      <w:r w:rsidR="00CB7A33">
        <w:t xml:space="preserve"> </w:t>
      </w:r>
      <w:r>
        <w:t>all</w:t>
      </w:r>
      <w:r w:rsidR="00CB7A33">
        <w:t>erdings noch nicht vorgesehen.</w:t>
      </w:r>
    </w:p>
    <w:p w:rsidR="006E5140" w:rsidRDefault="006E5140">
      <w:bookmarkStart w:id="126" w:name="Frage_Nr_62_Ende"/>
      <w:bookmarkEnd w:id="12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1C3E" w:rsidTr="00551C3E">
        <w:tc>
          <w:tcPr>
            <w:tcW w:w="1854" w:type="dxa"/>
          </w:tcPr>
          <w:p w:rsidR="00551C3E" w:rsidRDefault="00551C3E" w:rsidP="00551C3E">
            <w:pPr>
              <w:pStyle w:val="LTAnfrageInitiator"/>
            </w:pPr>
            <w:r>
              <w:t>Abgeordneter</w:t>
            </w:r>
            <w:r>
              <w:rPr>
                <w:b/>
              </w:rPr>
              <w:br/>
              <w:t>Markus</w:t>
            </w:r>
            <w:r>
              <w:rPr>
                <w:b/>
              </w:rPr>
              <w:br/>
              <w:t>Rinderspacher</w:t>
            </w:r>
            <w:r>
              <w:rPr>
                <w:b/>
              </w:rPr>
              <w:br/>
            </w:r>
            <w:r>
              <w:t>(SPD)</w:t>
            </w:r>
            <w:bookmarkStart w:id="127" w:name="Frage_Nr_63"/>
            <w:bookmarkEnd w:id="127"/>
          </w:p>
        </w:tc>
        <w:tc>
          <w:tcPr>
            <w:tcW w:w="5762" w:type="dxa"/>
          </w:tcPr>
          <w:p w:rsidR="00551C3E" w:rsidRPr="000E31FC" w:rsidRDefault="00551C3E" w:rsidP="007C0CCD">
            <w:pPr>
              <w:pStyle w:val="LTAnfrageText"/>
            </w:pPr>
            <w:r w:rsidRPr="000E31FC">
              <w:t>Ich frage die Staatsregierung, wie viele Beschäftigte in Bayern (bitte Angabe in absoluten und relativen Zahlen, bitte aufgeschlüsselt nach Teil-/Vollzeit, geringfügig Beschäftigte und Beschäftigte mit/ohne Tarifbindung, Frauen/Männer, Branche angeben) gegenwärtig einen geringeren Bruttostundenlohn als 12 Euro die Stunde</w:t>
            </w:r>
            <w:r w:rsidR="007C0CCD">
              <w:t xml:space="preserve"> </w:t>
            </w:r>
            <w:r w:rsidR="007C0CCD" w:rsidRPr="000E31FC">
              <w:t>erhalten</w:t>
            </w:r>
            <w:r w:rsidRPr="000E31FC">
              <w:t>, bei welchem Bruttostundenlohn in Bayern aktuell die konkrete Niedriglohnschwelle</w:t>
            </w:r>
            <w:r w:rsidR="007C0CCD">
              <w:t xml:space="preserve"> </w:t>
            </w:r>
            <w:r w:rsidR="007C0CCD" w:rsidRPr="000E31FC">
              <w:t>liegt</w:t>
            </w:r>
            <w:r w:rsidR="007C0CCD">
              <w:t xml:space="preserve"> und</w:t>
            </w:r>
            <w:r w:rsidRPr="000E31FC">
              <w:t xml:space="preserve"> wie hoch in Bayern aktuell die Anzahl und der Anteil von Beschäftigten</w:t>
            </w:r>
            <w:r w:rsidR="007C0CCD">
              <w:t xml:space="preserve"> </w:t>
            </w:r>
            <w:r w:rsidR="007C0CCD" w:rsidRPr="000E31FC">
              <w:t>sind</w:t>
            </w:r>
            <w:r w:rsidRPr="000E31FC">
              <w:t>, die niedrige Löhne mit Leistungen der Grundsicherung für Arbeitsuchende (Arbeitslosengeld 2 – ALG II) aufstocken (bitte die zehn Branchen mit dem höchsten Anteil an Personen im ergänzenden ALG-II-Bezug ausweisen)?</w:t>
            </w:r>
          </w:p>
        </w:tc>
        <w:tc>
          <w:tcPr>
            <w:tcW w:w="5762" w:type="dxa"/>
          </w:tcPr>
          <w:p w:rsidR="00551C3E" w:rsidRDefault="00551C3E" w:rsidP="00551C3E">
            <w:pPr>
              <w:pStyle w:val="LTAnfrageText"/>
            </w:pPr>
          </w:p>
        </w:tc>
      </w:tr>
    </w:tbl>
    <w:p w:rsidR="006E5140" w:rsidRDefault="006E5140" w:rsidP="006E5140">
      <w:pPr>
        <w:pStyle w:val="LTUeberschrAntwortRessort"/>
      </w:pPr>
      <w:r>
        <w:t>Antwort des Staatsministeriums für Familie, Arbeit und Soziales</w:t>
      </w:r>
    </w:p>
    <w:p w:rsidR="006E5140" w:rsidRDefault="006E5140" w:rsidP="006E5140">
      <w:pPr>
        <w:pStyle w:val="LTAntwortRessortText"/>
      </w:pPr>
      <w:r>
        <w:t>Angaben zur Beschäftigung mit einem Stundenlohn von weniger als 12</w:t>
      </w:r>
      <w:r w:rsidR="00196A66">
        <w:t xml:space="preserve"> </w:t>
      </w:r>
      <w:r>
        <w:t>Euro liegen für Bayern und in der gewünschten Abgrenzung nicht vor.</w:t>
      </w:r>
      <w:r w:rsidR="00196A66">
        <w:t xml:space="preserve"> </w:t>
      </w:r>
      <w:r>
        <w:t>Aufgrund des erhöhten Lohnniveaus dürften die Anteilswerte im Freistaat</w:t>
      </w:r>
      <w:r w:rsidR="00196A66">
        <w:t xml:space="preserve"> </w:t>
      </w:r>
      <w:r>
        <w:t>jedoch geringer ausfallen als nachfolgend für Westdeutschland</w:t>
      </w:r>
      <w:r w:rsidR="00196A66">
        <w:t xml:space="preserve"> </w:t>
      </w:r>
      <w:r>
        <w:t>(</w:t>
      </w:r>
      <w:r w:rsidR="007C0CCD">
        <w:t>f</w:t>
      </w:r>
      <w:r>
        <w:t>rüheres Bundesgebiet einschließlich Berlin) insgesamt.</w:t>
      </w:r>
    </w:p>
    <w:p w:rsidR="006E5140" w:rsidRDefault="006E5140" w:rsidP="00196A66">
      <w:pPr>
        <w:pStyle w:val="LTAntwortRessortText"/>
        <w:spacing w:before="0"/>
      </w:pPr>
      <w:r>
        <w:t xml:space="preserve">Entsprechend </w:t>
      </w:r>
      <w:r w:rsidR="007C0CCD">
        <w:t xml:space="preserve">den </w:t>
      </w:r>
      <w:r>
        <w:t>Daten des Statistischen Bundesamtes auf Basis der</w:t>
      </w:r>
      <w:r w:rsidR="00196A66">
        <w:t xml:space="preserve"> </w:t>
      </w:r>
      <w:r>
        <w:t>vierjährigen Verdienststrukturerhebung wurde in Westdeutschland im</w:t>
      </w:r>
      <w:r w:rsidR="00196A66">
        <w:t xml:space="preserve"> </w:t>
      </w:r>
      <w:r>
        <w:t>April 2018 in rund 9,39 Mio. bzw. 27,4 Prozent der Beschäftigungsverhältnisse</w:t>
      </w:r>
      <w:r w:rsidR="00196A66">
        <w:t xml:space="preserve"> </w:t>
      </w:r>
      <w:r>
        <w:t>ein Bruttostundenverdienst von unter 12 Euro erzielt, darunter</w:t>
      </w:r>
      <w:r w:rsidR="00196A66">
        <w:t xml:space="preserve"> </w:t>
      </w:r>
      <w:r>
        <w:t>in</w:t>
      </w:r>
    </w:p>
    <w:p w:rsidR="006E5140" w:rsidRDefault="006E5140" w:rsidP="007C0CCD">
      <w:pPr>
        <w:pStyle w:val="LTAntwortRessortText"/>
        <w:numPr>
          <w:ilvl w:val="0"/>
          <w:numId w:val="49"/>
        </w:numPr>
        <w:ind w:left="709"/>
      </w:pPr>
      <w:r>
        <w:t>1,88 Mio. bzw. 9,9 Prozent der Vollzeitbeschäftigungsverhältnisse,</w:t>
      </w:r>
      <w:r w:rsidR="00196A66">
        <w:t xml:space="preserve"> </w:t>
      </w:r>
      <w:r>
        <w:t>2,33 Mio. bzw. 26,4 Prozent der Teilzeitbeschäftigungsverhältnisse</w:t>
      </w:r>
      <w:r w:rsidR="00196A66">
        <w:t xml:space="preserve"> </w:t>
      </w:r>
      <w:r>
        <w:t>und 3,97 Mio. bzw. 76,9 Prozent der geringfügig entlohnten Beschäftigungsverhältnisse,</w:t>
      </w:r>
    </w:p>
    <w:p w:rsidR="006E5140" w:rsidRDefault="006E5140" w:rsidP="007C0CCD">
      <w:pPr>
        <w:pStyle w:val="LTAntwortRessortText"/>
        <w:numPr>
          <w:ilvl w:val="0"/>
          <w:numId w:val="49"/>
        </w:numPr>
        <w:spacing w:before="0"/>
        <w:ind w:left="709"/>
      </w:pPr>
      <w:r>
        <w:t>5,47 Mio. bzw. 33,3 Prozent der von Frauen ausgeübten Beschäftigungsverhältnisse</w:t>
      </w:r>
      <w:r w:rsidR="00196A66">
        <w:t xml:space="preserve"> </w:t>
      </w:r>
      <w:r>
        <w:t>und 3,92 Mio. bzw. 22,0 Prozent der von Männern</w:t>
      </w:r>
      <w:r w:rsidR="00196A66">
        <w:t xml:space="preserve"> </w:t>
      </w:r>
      <w:r>
        <w:t>ausgeübten Beschäftigungsverhältnisse,</w:t>
      </w:r>
    </w:p>
    <w:p w:rsidR="006E5140" w:rsidRDefault="006E5140" w:rsidP="007C0CCD">
      <w:pPr>
        <w:pStyle w:val="LTAntwortRessortText"/>
        <w:numPr>
          <w:ilvl w:val="0"/>
          <w:numId w:val="49"/>
        </w:numPr>
        <w:spacing w:before="0"/>
        <w:ind w:left="709"/>
      </w:pPr>
      <w:r>
        <w:t>8,17 Mio. bzw. 24,7 Prozent der Beschäftigungsverhältnisse ohne</w:t>
      </w:r>
      <w:r w:rsidR="00196A66">
        <w:t xml:space="preserve"> </w:t>
      </w:r>
      <w:r>
        <w:t>Auszubildende.</w:t>
      </w:r>
    </w:p>
    <w:p w:rsidR="006E5140" w:rsidRDefault="006E5140" w:rsidP="006E5140">
      <w:pPr>
        <w:pStyle w:val="LTAntwortRessortText"/>
      </w:pPr>
      <w:r>
        <w:t>Angaben nach Beschäftigungsumfang und Wirtschaftsabschnitten können</w:t>
      </w:r>
      <w:r w:rsidR="00196A66">
        <w:t xml:space="preserve"> </w:t>
      </w:r>
      <w:r>
        <w:t>den Veröffentlichungen der Fachserie 16 des Statistischen Bundesamtes</w:t>
      </w:r>
      <w:r w:rsidR="00196A66">
        <w:t xml:space="preserve"> </w:t>
      </w:r>
      <w:r>
        <w:t>zur Verdienststrukturerhebung entnommen werden. Angaben</w:t>
      </w:r>
      <w:r w:rsidR="00196A66">
        <w:t xml:space="preserve"> </w:t>
      </w:r>
      <w:r>
        <w:t>nach Tarifbindung sind darin nicht verfügbar.</w:t>
      </w:r>
    </w:p>
    <w:p w:rsidR="006E5140" w:rsidRDefault="006E5140" w:rsidP="006E5140">
      <w:pPr>
        <w:pStyle w:val="LTAntwortRessortText"/>
      </w:pPr>
      <w:r>
        <w:t>In Bayern lag die Niedriglohnschwelle, die bei zwei Dritteln des medianen</w:t>
      </w:r>
      <w:r w:rsidR="00196A66">
        <w:t xml:space="preserve"> </w:t>
      </w:r>
      <w:r>
        <w:t>Bruttostundenlohns festgelegt ist, auf Basis der uns aktuell vorliegenden</w:t>
      </w:r>
      <w:r w:rsidR="00196A66">
        <w:t xml:space="preserve"> </w:t>
      </w:r>
      <w:r>
        <w:t>Auswertung des Sozio-oekonomischen Panels (SOEP) 2017</w:t>
      </w:r>
      <w:r w:rsidR="00196A66">
        <w:t xml:space="preserve"> </w:t>
      </w:r>
      <w:r>
        <w:t>bei einem Bruttostundenlohn von 11,55 Euro.</w:t>
      </w:r>
    </w:p>
    <w:p w:rsidR="006E5140" w:rsidRDefault="006E5140" w:rsidP="00A77294">
      <w:pPr>
        <w:pStyle w:val="LTAntwortRessortText"/>
      </w:pPr>
      <w:r>
        <w:t>Gemäß aktuellsten Angaben der Statistik der Bundesagentur für Arbeit</w:t>
      </w:r>
      <w:r w:rsidR="00196A66">
        <w:t xml:space="preserve"> </w:t>
      </w:r>
      <w:r>
        <w:t>für den März 2021 bezogen von den sozialversicherungspflichtig Beschäftigten</w:t>
      </w:r>
      <w:r w:rsidR="00196A66">
        <w:t xml:space="preserve"> </w:t>
      </w:r>
      <w:r>
        <w:t>in Bayern insgesamt 37</w:t>
      </w:r>
      <w:r w:rsidR="007C0CCD">
        <w:t> </w:t>
      </w:r>
      <w:r>
        <w:t>797 bzw. 0,7 Prozent der erwerbstätigen</w:t>
      </w:r>
      <w:r w:rsidR="00196A66">
        <w:t xml:space="preserve"> </w:t>
      </w:r>
      <w:r>
        <w:t>erwerbsfähigen Leistungsberechtigten (erwerbstätige ELB)</w:t>
      </w:r>
      <w:r w:rsidR="00196A66">
        <w:t xml:space="preserve"> </w:t>
      </w:r>
      <w:r>
        <w:t>und von den ausschließlich geringfügig Beschäftigten insgesamt</w:t>
      </w:r>
      <w:r w:rsidR="00196A66">
        <w:t xml:space="preserve"> </w:t>
      </w:r>
      <w:r>
        <w:t>17</w:t>
      </w:r>
      <w:r w:rsidR="007C0CCD">
        <w:t> </w:t>
      </w:r>
      <w:r>
        <w:t>788 bzw. 3,6 Prozent erwerbstätige ELB aufstockend Leistungen</w:t>
      </w:r>
      <w:r w:rsidR="00196A66">
        <w:t xml:space="preserve"> </w:t>
      </w:r>
      <w:r>
        <w:t>der Grundsicherung für Arbeitsuchende nach dem SGB II. Eine Aufschlüsselung</w:t>
      </w:r>
      <w:r w:rsidR="00196A66">
        <w:t xml:space="preserve"> </w:t>
      </w:r>
      <w:r>
        <w:t>der Zahlen und Anteile der erwerbstätigen ELB nach</w:t>
      </w:r>
      <w:r w:rsidR="00196A66">
        <w:t xml:space="preserve"> </w:t>
      </w:r>
      <w:r>
        <w:t>Wirtschaftszweigen erfolgt nur für Deutschland, West- und Ostdeutschland.</w:t>
      </w:r>
      <w:bookmarkStart w:id="128" w:name="Frage_Nr_63_Ende"/>
      <w:bookmarkEnd w:id="128"/>
      <w:r>
        <w:br w:type="page"/>
      </w:r>
    </w:p>
    <w:p w:rsidR="006E5140" w:rsidRDefault="006E5140" w:rsidP="006E5140">
      <w:pPr>
        <w:pStyle w:val="LTUeberschrRessort"/>
      </w:pPr>
      <w:r>
        <w:t>Geschäftsbereich des Staatsministeriums für Gesundheit und Pflege</w:t>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551C3E" w:rsidTr="00551C3E">
        <w:tc>
          <w:tcPr>
            <w:tcW w:w="1869" w:type="dxa"/>
          </w:tcPr>
          <w:p w:rsidR="00551C3E" w:rsidRDefault="00551C3E" w:rsidP="00551C3E">
            <w:pPr>
              <w:pStyle w:val="LTAnfrageInitiator"/>
            </w:pPr>
            <w:r>
              <w:t>Abgeordneter</w:t>
            </w:r>
            <w:r>
              <w:rPr>
                <w:b/>
              </w:rPr>
              <w:br/>
              <w:t>Markus</w:t>
            </w:r>
            <w:r>
              <w:rPr>
                <w:b/>
              </w:rPr>
              <w:br/>
              <w:t>Bayerbach</w:t>
            </w:r>
            <w:r>
              <w:rPr>
                <w:b/>
              </w:rPr>
              <w:br/>
            </w:r>
            <w:r>
              <w:t>(AfD)</w:t>
            </w:r>
            <w:bookmarkStart w:id="129" w:name="Frage_Nr_64"/>
            <w:bookmarkEnd w:id="129"/>
          </w:p>
        </w:tc>
        <w:tc>
          <w:tcPr>
            <w:tcW w:w="5747" w:type="dxa"/>
          </w:tcPr>
          <w:p w:rsidR="00551C3E" w:rsidRPr="000E31FC" w:rsidRDefault="00551C3E" w:rsidP="007C0CCD">
            <w:pPr>
              <w:pStyle w:val="LTAnfrageText"/>
            </w:pPr>
            <w:r w:rsidRPr="000E31FC">
              <w:t>Ich frage die Staatsregierung, wie hoch die Beschaffungskosten für die PCR-Lolli-Tests sind, welche an Bayerns Grundschulen verwendet werden (bitte genau erläutern), wie hoch bisher die Kosten für die Logistik/den Transport der Tests</w:t>
            </w:r>
            <w:r w:rsidR="007C0CCD">
              <w:t xml:space="preserve"> </w:t>
            </w:r>
            <w:r w:rsidR="007C0CCD" w:rsidRPr="000E31FC">
              <w:t>waren</w:t>
            </w:r>
            <w:r w:rsidRPr="000E31FC">
              <w:t xml:space="preserve"> (bitte die Kosten je Transportunternehmen auflisten) und wie hoch die Kosten insgesamt für die PCR-Pooltests für eine Schulklasse pro Tag </w:t>
            </w:r>
            <w:r w:rsidR="007C0CCD" w:rsidRPr="000E31FC">
              <w:t xml:space="preserve">sind </w:t>
            </w:r>
            <w:r w:rsidRPr="000E31FC">
              <w:t>(bitte auch die Kosten für Logistik und Transport miteinbeziehen)?</w:t>
            </w:r>
          </w:p>
        </w:tc>
        <w:tc>
          <w:tcPr>
            <w:tcW w:w="5747" w:type="dxa"/>
          </w:tcPr>
          <w:p w:rsidR="00551C3E" w:rsidRDefault="00551C3E" w:rsidP="00551C3E">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Die Kosten für die PCR-Pool-Testungen lassen sich unterteilen in Kosten für das Test- und</w:t>
      </w:r>
      <w:r w:rsidR="005B06AF">
        <w:t xml:space="preserve"> </w:t>
      </w:r>
      <w:r>
        <w:t>Transportmaterial, Kosten für die Laboranalytik inklusive der Verteilung des Testmaterials an die</w:t>
      </w:r>
      <w:r w:rsidR="005B06AF">
        <w:t xml:space="preserve"> </w:t>
      </w:r>
      <w:r>
        <w:t>Schulen sowie Kosten für den täglichen Transport der Proben von den Schulen zu den Laboren.</w:t>
      </w:r>
    </w:p>
    <w:p w:rsidR="006E5140" w:rsidRDefault="006E5140" w:rsidP="006E5140">
      <w:pPr>
        <w:pStyle w:val="LTAntwortRessortText"/>
      </w:pPr>
      <w:r>
        <w:t>Die Ausgaben für die Durchführung eines Pooltests belaufen sich auf 35,71 Euro. Dieser Betrag</w:t>
      </w:r>
      <w:r w:rsidR="005B06AF">
        <w:t xml:space="preserve"> </w:t>
      </w:r>
      <w:r>
        <w:t>setzt sich zusammen aus den Kosten für das Testmaterial inklusive des Testmaterials für die</w:t>
      </w:r>
      <w:r w:rsidR="005B06AF">
        <w:t xml:space="preserve"> </w:t>
      </w:r>
      <w:r>
        <w:t>Rückstellproben von 2,91 Euro pro Pool und den Kosten für die laborgestützte Auswertung eines</w:t>
      </w:r>
      <w:r w:rsidR="005B06AF">
        <w:t xml:space="preserve"> </w:t>
      </w:r>
      <w:r>
        <w:t>Pooltests, die über den Projektzeitraum vom aktuell 20.09.2021 bis 25.02.2022 gerechnet bei</w:t>
      </w:r>
      <w:r w:rsidR="005B06AF">
        <w:t xml:space="preserve"> </w:t>
      </w:r>
      <w:r>
        <w:t>durchschnittlich 32,80 Euro liegen. In dieser Aufstellung nicht berücksichtigt werden geringfügige</w:t>
      </w:r>
      <w:r w:rsidR="005B06AF">
        <w:t xml:space="preserve"> </w:t>
      </w:r>
      <w:r>
        <w:t>Kosten für das Transportmaterial, da dieses über den gesamten Projektzeitraum genutzt werden</w:t>
      </w:r>
      <w:r w:rsidR="005B06AF">
        <w:t xml:space="preserve"> </w:t>
      </w:r>
      <w:r>
        <w:t>kann</w:t>
      </w:r>
      <w:r w:rsidR="007C0CCD">
        <w:t>,</w:t>
      </w:r>
      <w:r>
        <w:t xml:space="preserve"> sowie die Kosten des Probentransportes, da dieser durch die Landkreise und kreisfreien</w:t>
      </w:r>
      <w:r w:rsidR="005B06AF">
        <w:t xml:space="preserve"> </w:t>
      </w:r>
      <w:r>
        <w:t>Städte erfolgt und dem St</w:t>
      </w:r>
      <w:r w:rsidR="00A77294">
        <w:t>aatsministerium für Gesundheit und Pflege (StM</w:t>
      </w:r>
      <w:r>
        <w:t>GP</w:t>
      </w:r>
      <w:r w:rsidR="00A77294">
        <w:t>)</w:t>
      </w:r>
      <w:r>
        <w:t xml:space="preserve"> noch keine Angaben zu den Kosten hierzu vorliegen.</w:t>
      </w:r>
    </w:p>
    <w:p w:rsidR="006E5140" w:rsidRDefault="006E5140" w:rsidP="006E5140">
      <w:pPr>
        <w:pStyle w:val="LTAntwortRessortText"/>
      </w:pPr>
      <w:r>
        <w:t>Die Gesamtausgaben für die PCR-Pool-Testungen an den Grund- und Förderschulen im Zeitraum</w:t>
      </w:r>
      <w:r w:rsidR="005B06AF">
        <w:t xml:space="preserve"> </w:t>
      </w:r>
      <w:r>
        <w:t>20.09.2021 bis 25.02.2022 liegen bei rund 47,1 Mio. Euro. Diese teilen sich auf in Materialkosten</w:t>
      </w:r>
      <w:r w:rsidR="005B06AF">
        <w:t xml:space="preserve"> </w:t>
      </w:r>
      <w:r>
        <w:t>(Test- und Transportmaterial) von rund 6,4 Mio. Euro und Laborkosten von rund 40,7 Mio. Euro.</w:t>
      </w:r>
    </w:p>
    <w:p w:rsidR="006E5140" w:rsidRDefault="006E5140" w:rsidP="005B06AF">
      <w:pPr>
        <w:pStyle w:val="LTAntwortRessortText"/>
        <w:spacing w:before="0"/>
      </w:pPr>
      <w:r>
        <w:t>Der Transport der Proben von den Schulen zu den Laboren wird dezentral durch die</w:t>
      </w:r>
      <w:r w:rsidR="005B06AF">
        <w:t xml:space="preserve"> </w:t>
      </w:r>
      <w:r>
        <w:t>Kreisverwaltungsbehörden gegen Kostenerstattung übernommen, eine Zahl zu den hier</w:t>
      </w:r>
      <w:r w:rsidR="005B06AF">
        <w:t xml:space="preserve"> </w:t>
      </w:r>
      <w:r>
        <w:t>entstehenden Kosten liegt dem StMGP noch nicht vor.</w:t>
      </w:r>
    </w:p>
    <w:p w:rsidR="006E5140" w:rsidRDefault="006E5140">
      <w:bookmarkStart w:id="130" w:name="Frage_Nr_64_Ende"/>
      <w:bookmarkEnd w:id="130"/>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551C3E" w:rsidTr="00551C3E">
        <w:tc>
          <w:tcPr>
            <w:tcW w:w="1917" w:type="dxa"/>
          </w:tcPr>
          <w:p w:rsidR="00551C3E" w:rsidRDefault="00551C3E" w:rsidP="00551C3E">
            <w:pPr>
              <w:pStyle w:val="LTAnfrageInitiator"/>
            </w:pPr>
            <w:r>
              <w:t>Abgeordneter</w:t>
            </w:r>
            <w:r>
              <w:rPr>
                <w:b/>
              </w:rPr>
              <w:br/>
              <w:t>Franz</w:t>
            </w:r>
            <w:r>
              <w:rPr>
                <w:b/>
              </w:rPr>
              <w:br/>
              <w:t>Bergmüller</w:t>
            </w:r>
            <w:r>
              <w:rPr>
                <w:b/>
              </w:rPr>
              <w:br/>
            </w:r>
            <w:r>
              <w:t>(AfD)</w:t>
            </w:r>
            <w:bookmarkStart w:id="131" w:name="Frage_Nr_65"/>
            <w:bookmarkEnd w:id="131"/>
          </w:p>
        </w:tc>
        <w:tc>
          <w:tcPr>
            <w:tcW w:w="5699" w:type="dxa"/>
          </w:tcPr>
          <w:p w:rsidR="00551C3E" w:rsidRPr="000E31FC" w:rsidRDefault="00551C3E" w:rsidP="002F6DCF">
            <w:pPr>
              <w:pStyle w:val="LTAnfrageText"/>
            </w:pPr>
            <w:r w:rsidRPr="000E31FC">
              <w:t>Angesichts der Tatsachen, dass sich die Staatsregierung dadurch auszeichnet, dass sie die Impfung Minderjähriger massiv vorantreibt, indem sie z. B. Druck auf die Ständige Impfkommission (STIKO) ausgeübt hat, inzwischen anerkannt ist, dass Kinder und Jugendliche praktisch nie derart an COVID-19 erkranken, dass kausal wegen COV</w:t>
            </w:r>
            <w:r w:rsidR="002F6DCF">
              <w:t>ID-19 ein Krankenhausaufenthalt</w:t>
            </w:r>
            <w:r w:rsidRPr="000E31FC">
              <w:t xml:space="preserve"> geschweige denn ein Aufenthalt auf einer Intensivstation nötig wäre</w:t>
            </w:r>
            <w:r w:rsidRPr="00A77294">
              <w:rPr>
                <w:vertAlign w:val="superscript"/>
              </w:rPr>
              <w:footnoteReference w:id="7"/>
            </w:r>
            <w:r w:rsidRPr="000E31FC">
              <w:t xml:space="preserve"> und Massentests in Schulen in Österreich und Thüringen inzwischen offengelegt haben, dass Kinder sich nicht einmal zu 0,015 Prozent mit COVID-19 infizieren</w:t>
            </w:r>
            <w:r w:rsidRPr="00A77294">
              <w:rPr>
                <w:vertAlign w:val="superscript"/>
              </w:rPr>
              <w:footnoteReference w:id="8"/>
            </w:r>
            <w:r w:rsidRPr="000E31FC">
              <w:t xml:space="preserve">, frage ich die Staatsregierung, welche konkreten Tatsachen den Minderjährigen aus ihrer Sicht im Rahmen einer Aufklärung vor einer Injektion mit einem mRNA-Serum mindestens mitzuteilen sind, damit der Minderjährige aus Sicht der Staatsregierung eine rechtswirksame Willenserklärung zu fällen in der Lage ist (bitte hierbei alle derartigen Informationen offenlegen, umfassend also auch Umfang und/oder Ausmaß der Impfschäden / schweren Impfschäden, die z. B. aus der VAERS-Datenbank / EMA-Datenbank / WHO-Datenbank hervorgehen, und das gegenüber Senioren bei Minderjährigen statistisch häufigere Auftreten von Impfreaktionen/Impfschäden), aufgrund welcher Tatsachen oder Einschätzungen die Staatsregierung annimmt, dass ein Minderjähriger, der rein statistisch noch mindestens 70 Lebensjahre vor sich hat, das Risiko und damit die Folgen für sich selbst einschätzen kann, die mit der Injektion einer Substanz, z. B. </w:t>
            </w:r>
            <w:r w:rsidR="002F6DCF">
              <w:t xml:space="preserve">in </w:t>
            </w:r>
            <w:r w:rsidRPr="000E31FC">
              <w:t>Gestalt eines mRNA-Serums verbunden sind, von dem es keinerlei mittelfristige und langfristige Erfahrungswerte über Wirkungen gibt, und welche Kriterien aus Sicht der Staatsregierung mindestens erfüllt sein müssen, damit ein im Direktorat hinterlegtes klares „Nein“ der Eltern zu einer Injektion mit einer Substanz mit unbekannten mittelfristigen und langfristigen Folgen, wie es z. B. bei mRNA-Seren der Fall ist, bei einer Impfung des zugehörigen Kindes ignoriert werden darf und der Minderjährige dennoch dieses Serum injiziert bekommt?</w:t>
            </w:r>
          </w:p>
        </w:tc>
        <w:tc>
          <w:tcPr>
            <w:tcW w:w="5699" w:type="dxa"/>
          </w:tcPr>
          <w:p w:rsidR="00551C3E" w:rsidRDefault="00551C3E" w:rsidP="00551C3E">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Kinder und Jugendliche tragen relevant zum Infektionsgeschehen in der Pandemie bei. Das</w:t>
      </w:r>
      <w:r w:rsidR="00700C3C">
        <w:t xml:space="preserve"> </w:t>
      </w:r>
      <w:r>
        <w:t>höchste Infektionsgeschehen wird derzeit bei Kindern im Alter von 6 bis 11 Jahren und im Alter</w:t>
      </w:r>
      <w:r w:rsidR="00700C3C">
        <w:t xml:space="preserve"> </w:t>
      </w:r>
      <w:r>
        <w:t xml:space="preserve">von 12 bis 15 Jahren mit einer 7-Tage-Inzidenz von 243,2 bzw. 233,7 gemessen (Daten </w:t>
      </w:r>
      <w:r w:rsidR="00A77294">
        <w:t>Landesamt für Gesundheit und Lebensmittelsicherheit</w:t>
      </w:r>
      <w:r>
        <w:t>,</w:t>
      </w:r>
      <w:r w:rsidR="00700C3C">
        <w:t xml:space="preserve"> </w:t>
      </w:r>
      <w:r>
        <w:t>Stand 18.10.2021). Auch wenn eine SARS-CoV-2-Infektion in der Regel bei Kindern und</w:t>
      </w:r>
      <w:r w:rsidR="00700C3C">
        <w:t xml:space="preserve"> </w:t>
      </w:r>
      <w:r>
        <w:t>Jugendlichen keinen schweren Verlauf nimmt, kann es in Einzelfällen in Folge der Erkrankung zu</w:t>
      </w:r>
      <w:r w:rsidR="00700C3C">
        <w:t xml:space="preserve"> </w:t>
      </w:r>
      <w:r>
        <w:t>schwerwiegenden Krankheitsmanifestationen kommen. Beispielhaft können auch kleine Kinder</w:t>
      </w:r>
      <w:r w:rsidR="00700C3C">
        <w:t xml:space="preserve"> </w:t>
      </w:r>
      <w:r>
        <w:t>noch Wochen nach einer SARS-CoV-2-Infektion eine schwere Immunreaktion, das sogenannte</w:t>
      </w:r>
      <w:r w:rsidR="00700C3C">
        <w:t xml:space="preserve"> </w:t>
      </w:r>
      <w:r>
        <w:t>Pediatric Inflammatory Multisystem Syndrome (PIMS), mit hohem Fieber, Ausschlägen und</w:t>
      </w:r>
      <w:r w:rsidR="00700C3C">
        <w:t xml:space="preserve"> </w:t>
      </w:r>
      <w:r>
        <w:t>Schwellungen entwickeln.</w:t>
      </w:r>
    </w:p>
    <w:p w:rsidR="006E5140" w:rsidRDefault="006E5140" w:rsidP="006E5140">
      <w:pPr>
        <w:pStyle w:val="LTAntwortRessortText"/>
      </w:pPr>
      <w:r>
        <w:t>Die Impfung gegen das Coronavirus SARS-CoV-2 ist freiwillig. Sie setzt eine vorherige</w:t>
      </w:r>
      <w:r w:rsidR="00700C3C">
        <w:t xml:space="preserve"> </w:t>
      </w:r>
      <w:r>
        <w:t>Einwilligung des zu Impfenden voraus, der zuvor über die für die Einwilligung wesentlichen</w:t>
      </w:r>
      <w:r w:rsidR="00700C3C">
        <w:t xml:space="preserve"> </w:t>
      </w:r>
      <w:r>
        <w:t>Umstände aufzuklären ist, insbesondere über die zu erwartenden Folgen und Risiken der</w:t>
      </w:r>
      <w:r w:rsidR="00700C3C">
        <w:t xml:space="preserve"> </w:t>
      </w:r>
      <w:r>
        <w:t>Maßnahme sowie ihre Notwendigkeit, Dringlichkeit und Eignung. Es gelten insoweit die</w:t>
      </w:r>
      <w:r w:rsidR="00700C3C">
        <w:t xml:space="preserve"> </w:t>
      </w:r>
      <w:r>
        <w:t xml:space="preserve">gesetzlichen Vorgaben des § 630e </w:t>
      </w:r>
      <w:r w:rsidR="00A77294">
        <w:t xml:space="preserve">Bürgerliches Gesetzbuch – </w:t>
      </w:r>
      <w:r>
        <w:t>BGB. Dies gilt selbstverständlich auch für die Impfung von</w:t>
      </w:r>
      <w:r w:rsidR="00700C3C">
        <w:t xml:space="preserve"> </w:t>
      </w:r>
      <w:r>
        <w:t>Kindern und Jugendlichen gegen das Coronavirus SARS-CoV-2.</w:t>
      </w:r>
    </w:p>
    <w:p w:rsidR="006E5140" w:rsidRDefault="00A77294" w:rsidP="006E5140">
      <w:pPr>
        <w:pStyle w:val="LTAntwortRessortText"/>
      </w:pPr>
      <w:r>
        <w:t>Bei der Einwilligungsfähigkeit –</w:t>
      </w:r>
      <w:r w:rsidR="006E5140">
        <w:t xml:space="preserve"> und damit einhergehend die Frage, an wen die erforderliche</w:t>
      </w:r>
      <w:r w:rsidR="00700C3C">
        <w:t xml:space="preserve"> </w:t>
      </w:r>
      <w:r>
        <w:t>Aufklärung zu richten ist –</w:t>
      </w:r>
      <w:r w:rsidR="006E5140">
        <w:t xml:space="preserve"> kommt es insoweit auf die Einsichts- und Urteilsfähigkeit des</w:t>
      </w:r>
      <w:r w:rsidR="00700C3C">
        <w:t xml:space="preserve"> </w:t>
      </w:r>
      <w:r w:rsidR="006E5140">
        <w:t>betroffenen Minderjährigen an. Nach der Rechtsprechung ist entscheidend, ob der betroffene</w:t>
      </w:r>
      <w:r w:rsidR="00700C3C">
        <w:t xml:space="preserve"> </w:t>
      </w:r>
      <w:r w:rsidR="006E5140">
        <w:t>Minderjährige die Bedeutung und Tragweite des Eingriffs erfassen kann. Entscheidend sind dafür</w:t>
      </w:r>
      <w:r w:rsidR="00700C3C">
        <w:t xml:space="preserve"> </w:t>
      </w:r>
      <w:r w:rsidR="006E5140">
        <w:t>auch Schwere und Risikopoten</w:t>
      </w:r>
      <w:r w:rsidR="002F6DCF">
        <w:t>z</w:t>
      </w:r>
      <w:r w:rsidR="006E5140">
        <w:t>ial des Eingriffs. Die allgemeinen Hinweise der STIKO zur</w:t>
      </w:r>
      <w:r w:rsidR="00700C3C">
        <w:t xml:space="preserve"> </w:t>
      </w:r>
      <w:r w:rsidR="006E5140">
        <w:t>Aufklärung bei Impfungen dienen insoweit zur Orientierung. So ist bei Minderjährigen unter 14</w:t>
      </w:r>
      <w:r w:rsidR="00700C3C">
        <w:t xml:space="preserve"> </w:t>
      </w:r>
      <w:r w:rsidR="006E5140">
        <w:t>Jahren regelmäßig die Einwilligung der Eltern bzw. Sorgeberechtigten einzuholen. Jugendliche</w:t>
      </w:r>
      <w:r w:rsidR="00700C3C">
        <w:t xml:space="preserve"> </w:t>
      </w:r>
      <w:r w:rsidR="006E5140">
        <w:t>können selbst einwilligen, wenn sie die erforderliche Einsichts- und Entscheidungsfähigkeit</w:t>
      </w:r>
      <w:r w:rsidR="00700C3C">
        <w:t xml:space="preserve"> </w:t>
      </w:r>
      <w:r w:rsidR="006E5140">
        <w:t>besitzen; das ist in der Regel mit 16 Jahren der Fall. Es ist Aufgabe des jeweiligen Arztes, im</w:t>
      </w:r>
      <w:r w:rsidR="00700C3C">
        <w:t xml:space="preserve"> </w:t>
      </w:r>
      <w:r w:rsidR="006E5140">
        <w:t>konkreten Einzelfall festzustellen, ob der Jugendliche die erforderliche Einsichtsfähigkeit aufweist.</w:t>
      </w:r>
      <w:r w:rsidR="00700C3C">
        <w:t xml:space="preserve"> </w:t>
      </w:r>
      <w:r w:rsidR="006E5140">
        <w:t>Ist dies nicht gegeben, ist die Aufklärung und Einwilligung der Sorgeberechtigten erforderlich.</w:t>
      </w:r>
    </w:p>
    <w:p w:rsidR="006E5140" w:rsidRDefault="006E5140" w:rsidP="006E5140">
      <w:pPr>
        <w:pStyle w:val="LTAntwortRessortText"/>
      </w:pPr>
      <w:r>
        <w:t>An diesen rechtlichen Vorgaben ändert sich nichts, wenn die Impfung in einem Impfzentrum bzw.</w:t>
      </w:r>
      <w:r w:rsidR="00AD291F">
        <w:t xml:space="preserve"> </w:t>
      </w:r>
      <w:r>
        <w:t>im Rahmen einer Reihenimpfung für Schülerinnen und Schüler in Schulen erfolgt. Eine Impfung</w:t>
      </w:r>
      <w:r w:rsidR="00AD291F">
        <w:t xml:space="preserve"> </w:t>
      </w:r>
      <w:r>
        <w:t>kann nicht stattfinden, wenn die Einwilligung der Eltern/Sorgeberechtigten bzw. des Kindes oder</w:t>
      </w:r>
      <w:r w:rsidR="00AD291F">
        <w:t xml:space="preserve"> </w:t>
      </w:r>
      <w:r>
        <w:t>des Jugendlichen (im Fall eigener Einwilligungsfähigkeit) gegenüber dem Arzt nicht vorliegt.</w:t>
      </w:r>
    </w:p>
    <w:p w:rsidR="006E5140" w:rsidRDefault="006E5140" w:rsidP="006E5140">
      <w:pPr>
        <w:pStyle w:val="LTAntwortRessortText"/>
      </w:pPr>
      <w:r>
        <w:t>Das Angebot von Reihenimpfungen in den Schulen bzw. Impfzentren für Kinder und Jugendliche</w:t>
      </w:r>
      <w:r w:rsidR="00AD291F">
        <w:t xml:space="preserve"> </w:t>
      </w:r>
      <w:r>
        <w:t>ab 12 Jahren nach Abstimmung zwischen Schulen und Impfzentren vor Ort ab Unterrichtsbeginn</w:t>
      </w:r>
      <w:r w:rsidR="00AD291F">
        <w:t xml:space="preserve"> </w:t>
      </w:r>
      <w:r>
        <w:t>(14.09.2021) versteht sich als zusätzliches, ergänzendes Impfangebot; daneben besteht die</w:t>
      </w:r>
      <w:r w:rsidR="00AD291F">
        <w:t xml:space="preserve"> </w:t>
      </w:r>
      <w:r>
        <w:t>Möglichkeit, falls gewünscht, sich insbesondere in Arztpraxen impfen zu lassen. Die Rolle der</w:t>
      </w:r>
      <w:r w:rsidR="00AD291F">
        <w:t xml:space="preserve"> </w:t>
      </w:r>
      <w:r>
        <w:t>Schulen beschränkt sich hierbei im Wesentlichen auf die organisatorische Unterstützung. Die</w:t>
      </w:r>
      <w:r w:rsidR="00AD291F">
        <w:t xml:space="preserve"> </w:t>
      </w:r>
      <w:r>
        <w:t>Prüfung und Dokumentation von Einwilligung und ärztlicher Aufklärung obliegt weiter dem</w:t>
      </w:r>
      <w:r w:rsidR="00AD291F">
        <w:t xml:space="preserve"> </w:t>
      </w:r>
      <w:r>
        <w:t>Impfzentrum bzw. dem Impfarzt. Die Freiwilligkeit der Impfungen wird durch dieses zusätzliche</w:t>
      </w:r>
      <w:r w:rsidR="00AD291F">
        <w:t xml:space="preserve"> </w:t>
      </w:r>
      <w:r>
        <w:t>Angebot nicht angetastet.</w:t>
      </w:r>
    </w:p>
    <w:p w:rsidR="006E5140" w:rsidRDefault="006E5140">
      <w:bookmarkStart w:id="132" w:name="Frage_Nr_65_Ende"/>
      <w:bookmarkEnd w:id="132"/>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0054B4" w:rsidTr="000054B4">
        <w:tc>
          <w:tcPr>
            <w:tcW w:w="1846" w:type="dxa"/>
          </w:tcPr>
          <w:p w:rsidR="000054B4" w:rsidRDefault="000054B4" w:rsidP="000054B4">
            <w:pPr>
              <w:pStyle w:val="LTAnfrageInitiator"/>
            </w:pPr>
            <w:r>
              <w:t>Abgeordnete</w:t>
            </w:r>
            <w:r>
              <w:rPr>
                <w:b/>
              </w:rPr>
              <w:br/>
              <w:t>Dr. Anne</w:t>
            </w:r>
            <w:r>
              <w:rPr>
                <w:b/>
              </w:rPr>
              <w:br/>
              <w:t>Cyron</w:t>
            </w:r>
            <w:r>
              <w:rPr>
                <w:b/>
              </w:rPr>
              <w:br/>
            </w:r>
            <w:r>
              <w:t>(AfD)</w:t>
            </w:r>
            <w:bookmarkStart w:id="133" w:name="Frage_Nr_66"/>
            <w:bookmarkEnd w:id="133"/>
          </w:p>
        </w:tc>
        <w:tc>
          <w:tcPr>
            <w:tcW w:w="5770" w:type="dxa"/>
          </w:tcPr>
          <w:p w:rsidR="000054B4" w:rsidRPr="000E31FC" w:rsidRDefault="000054B4" w:rsidP="002F6DCF">
            <w:pPr>
              <w:pStyle w:val="LTAnfrageText"/>
            </w:pPr>
            <w:r w:rsidRPr="000E31FC">
              <w:t xml:space="preserve">Ich frage die Staatsregierung, ob dem Staatsministerium für Gesundheit und Pflege das Konformitätsbewertungsverfahren zu den an Bayerns Grundschulen verwendeten PCR-Lolli-Tests der Firma Jinan Babio Biotechnology vorliegt, wenn ja, </w:t>
            </w:r>
            <w:r w:rsidR="002F6DCF">
              <w:t xml:space="preserve">wie </w:t>
            </w:r>
            <w:r w:rsidRPr="000E31FC">
              <w:t>die Bewertung aus</w:t>
            </w:r>
            <w:r w:rsidR="002F6DCF">
              <w:t>fällt</w:t>
            </w:r>
            <w:r w:rsidRPr="000E31FC">
              <w:t xml:space="preserve"> (bitte das Zertifikat zur Konformitätsbewertung anführen) und wenn nein, warum nicht (bitte genau erläutern)?</w:t>
            </w:r>
          </w:p>
        </w:tc>
        <w:tc>
          <w:tcPr>
            <w:tcW w:w="5770" w:type="dxa"/>
          </w:tcPr>
          <w:p w:rsidR="000054B4" w:rsidRDefault="000054B4" w:rsidP="000054B4">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Die zur Probenentnahme an bayerischen Grundschulen eingesetzten Abstrichtupfer tragen das</w:t>
      </w:r>
      <w:r w:rsidR="005D3807">
        <w:t xml:space="preserve"> </w:t>
      </w:r>
      <w:r>
        <w:t>vorgeschriebene CE-Kennzeichen und wurden gemäß den medizinprodukterechtlichen</w:t>
      </w:r>
      <w:r w:rsidR="005D3807">
        <w:t xml:space="preserve"> </w:t>
      </w:r>
      <w:r>
        <w:t>Vorschriften in Verkehr gebracht. Das CE-Kennzeichnen kann nur angebracht werden, wenn das</w:t>
      </w:r>
      <w:r w:rsidR="005D3807">
        <w:t xml:space="preserve"> </w:t>
      </w:r>
      <w:r>
        <w:t>betroffene Produkt das Konformitätsbewertungsverfahren abgeschlossen hat. Die Durchführung</w:t>
      </w:r>
      <w:r w:rsidR="005D3807">
        <w:t xml:space="preserve"> </w:t>
      </w:r>
      <w:r>
        <w:t>des Konformitätsbewertungsverfahren obliegt dem Hersteller der Abstrichtupfer, also der Jinan</w:t>
      </w:r>
      <w:r w:rsidR="005D3807">
        <w:t xml:space="preserve"> </w:t>
      </w:r>
      <w:r>
        <w:t>babio Biotechnology Co., Ltd. Das Konformitätsbewertungsverfahren dient dem Nachweis der</w:t>
      </w:r>
      <w:r w:rsidR="005D3807">
        <w:t xml:space="preserve"> </w:t>
      </w:r>
      <w:r>
        <w:t>Einhaltung der grundlegenden Sicherheits- und Leistungsanforderungen nach Anhang I der</w:t>
      </w:r>
      <w:r w:rsidR="005D3807">
        <w:t xml:space="preserve"> </w:t>
      </w:r>
      <w:r>
        <w:t>Medical Device Regulation (MDR) und dies schließt regelmäßig auch eine Risikobewertung</w:t>
      </w:r>
      <w:r w:rsidR="005D3807">
        <w:t xml:space="preserve"> </w:t>
      </w:r>
      <w:r>
        <w:t>mitsamt einer biologischen und technischen Sicherheitsbewertung einschließlich der Prüfung auf</w:t>
      </w:r>
      <w:r w:rsidR="005D3807">
        <w:t xml:space="preserve"> </w:t>
      </w:r>
      <w:r>
        <w:t>Biokompatibilität nach den geltenden Normen ein.</w:t>
      </w:r>
    </w:p>
    <w:p w:rsidR="006E5140" w:rsidRDefault="006E5140" w:rsidP="005D3807">
      <w:pPr>
        <w:pStyle w:val="LTAntwortRessortText"/>
        <w:spacing w:before="0"/>
      </w:pPr>
      <w:r>
        <w:t>Das CE-Zertifikat und die Konformitätsbewertung liegen dem St</w:t>
      </w:r>
      <w:r w:rsidR="00A77294">
        <w:t>aatsministerium für Gesundheit und Pflege</w:t>
      </w:r>
      <w:r>
        <w:t xml:space="preserve"> vor. Aus diesen geht hervor,</w:t>
      </w:r>
      <w:r w:rsidR="005D3807">
        <w:t xml:space="preserve"> </w:t>
      </w:r>
      <w:r>
        <w:t>dass die Abstrichtupfer diese Voraussetzungen erfüllen.</w:t>
      </w:r>
    </w:p>
    <w:p w:rsidR="006E5140" w:rsidRDefault="006E5140">
      <w:bookmarkStart w:id="134" w:name="Frage_Nr_66_Ende"/>
      <w:bookmarkEnd w:id="1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054B4" w:rsidTr="000054B4">
        <w:tc>
          <w:tcPr>
            <w:tcW w:w="1883" w:type="dxa"/>
          </w:tcPr>
          <w:p w:rsidR="000054B4" w:rsidRDefault="000054B4" w:rsidP="000054B4">
            <w:pPr>
              <w:pStyle w:val="LTAnfrageInitiator"/>
            </w:pPr>
            <w:r>
              <w:t>Abgeordnete</w:t>
            </w:r>
            <w:r>
              <w:rPr>
                <w:b/>
              </w:rPr>
              <w:br/>
              <w:t>Christina</w:t>
            </w:r>
            <w:r>
              <w:rPr>
                <w:b/>
              </w:rPr>
              <w:br/>
              <w:t>Haubrich</w:t>
            </w:r>
            <w:r>
              <w:rPr>
                <w:b/>
              </w:rPr>
              <w:br/>
            </w:r>
            <w:r>
              <w:t>(BÜNDNIS 90/DIE GRÜNEN)</w:t>
            </w:r>
            <w:bookmarkStart w:id="135" w:name="Frage_Nr_67"/>
            <w:bookmarkEnd w:id="135"/>
          </w:p>
        </w:tc>
        <w:tc>
          <w:tcPr>
            <w:tcW w:w="5733" w:type="dxa"/>
          </w:tcPr>
          <w:p w:rsidR="000054B4" w:rsidRPr="000E31FC" w:rsidRDefault="000054B4" w:rsidP="000E31FC">
            <w:pPr>
              <w:pStyle w:val="LTAnfrageText"/>
            </w:pPr>
            <w:r w:rsidRPr="000E31FC">
              <w:t>Ich frage die Staatsregierung, wie viele Kinder mit dem Respiratorischen Synzytial-Virus und anderen Atemwegserkrankungen derzeit stationär in Bayern behandelt werden, wie die derzeitige Aus- bzw. Überlastung der Kinderstationen bzw. Kinderintensivstationen im Freistaat Bayern ist (aufgeschlüsselt nach Kliniken) und welche Maßnahmen im Überlastungsfall ergriffen werden sollen?</w:t>
            </w:r>
          </w:p>
        </w:tc>
        <w:tc>
          <w:tcPr>
            <w:tcW w:w="5733" w:type="dxa"/>
          </w:tcPr>
          <w:p w:rsidR="000054B4" w:rsidRDefault="000054B4" w:rsidP="000054B4">
            <w:pPr>
              <w:pStyle w:val="LTAnfrageText"/>
            </w:pPr>
          </w:p>
        </w:tc>
      </w:tr>
    </w:tbl>
    <w:p w:rsidR="006E5140" w:rsidRDefault="006E5140" w:rsidP="006E5140">
      <w:pPr>
        <w:pStyle w:val="LTUeberschrAntwortRessort"/>
      </w:pPr>
      <w:r>
        <w:t>Antwort des Staatsministeriums für Gesundheit und Pflege</w:t>
      </w:r>
    </w:p>
    <w:p w:rsidR="006E5140" w:rsidRDefault="006E5140" w:rsidP="002F6DCF">
      <w:pPr>
        <w:pStyle w:val="LTAntwortRessortText"/>
      </w:pPr>
      <w:r>
        <w:t xml:space="preserve">Die angeforderten Daten sind aus dem Modul Sonderlage des IVENA-Tools </w:t>
      </w:r>
      <w:r w:rsidR="002F6DCF">
        <w:t xml:space="preserve">(= Interdisziplinärer Versorgungsnachweis) nicht ersichtlich. </w:t>
      </w:r>
      <w:r>
        <w:t>Pädiatrische Kapazitäten werden nicht erfasst.</w:t>
      </w:r>
    </w:p>
    <w:p w:rsidR="006E5140" w:rsidRDefault="006E5140" w:rsidP="006E5140">
      <w:pPr>
        <w:pStyle w:val="LTAntwortRessortText"/>
      </w:pPr>
      <w:r>
        <w:t>Im Rahmen des DIVI-Intensivregisters besteht derzeit keine explizite Meldeverpflichtung zu den</w:t>
      </w:r>
      <w:r w:rsidR="008F2F1C">
        <w:t xml:space="preserve"> </w:t>
      </w:r>
      <w:r>
        <w:t>Belegungsdaten im Kinder- und Jugendbereich. Kliniken können optional lediglich angeben, ob es</w:t>
      </w:r>
      <w:r w:rsidR="008F2F1C">
        <w:t xml:space="preserve"> </w:t>
      </w:r>
      <w:r>
        <w:t>sich um eine pädiatrische Intensivbehandlung von COVID-19-Patienten oder um eine</w:t>
      </w:r>
      <w:r w:rsidR="008F2F1C">
        <w:t xml:space="preserve"> </w:t>
      </w:r>
      <w:r>
        <w:t>Intensivbehandlung von erwachsenen COVID-19-Patienten handelt. Auf der Website des DIVI</w:t>
      </w:r>
      <w:r w:rsidR="00DD3A29">
        <w:t>-</w:t>
      </w:r>
      <w:r>
        <w:t>Intensivregisters</w:t>
      </w:r>
      <w:r w:rsidR="008F2F1C">
        <w:t xml:space="preserve"> </w:t>
      </w:r>
      <w:r>
        <w:t xml:space="preserve">ist täglich mittels der Ländertabelle jeweils nur der Abgleich von </w:t>
      </w:r>
      <w:r w:rsidR="005C0F48">
        <w:t>„</w:t>
      </w:r>
      <w:r>
        <w:t>Nur</w:t>
      </w:r>
      <w:r w:rsidR="008F2F1C">
        <w:t xml:space="preserve"> </w:t>
      </w:r>
      <w:r>
        <w:t>Erwachsenenkapazitäten</w:t>
      </w:r>
      <w:r w:rsidR="005C0F48">
        <w:t>“</w:t>
      </w:r>
      <w:r>
        <w:t xml:space="preserve"> und </w:t>
      </w:r>
      <w:r w:rsidR="005C0F48">
        <w:t>„</w:t>
      </w:r>
      <w:r>
        <w:t>Alle Kapazitäten</w:t>
      </w:r>
      <w:r w:rsidR="005C0F48">
        <w:t>“</w:t>
      </w:r>
      <w:r>
        <w:t xml:space="preserve"> auf gesamtbayerischer Ebene möglich. Die</w:t>
      </w:r>
      <w:r w:rsidR="008F2F1C">
        <w:t xml:space="preserve"> </w:t>
      </w:r>
      <w:r>
        <w:t>Differenz zwischen beiden Werten, die damit den gemeldeten pädiatrischen Versorgungseinheiten</w:t>
      </w:r>
      <w:r w:rsidR="008F2F1C">
        <w:t xml:space="preserve"> </w:t>
      </w:r>
      <w:r>
        <w:t>entspricht, beläuft sich bayernweit derzeit lediglich auf einen Fall. Außerdem kann die Meldung von</w:t>
      </w:r>
      <w:r w:rsidR="008F2F1C">
        <w:t xml:space="preserve"> </w:t>
      </w:r>
      <w:r>
        <w:t>pädiatrischen Intensivkapazitäten im DIVI-Intensivregister nicht einrichtungsbezogen</w:t>
      </w:r>
      <w:r w:rsidR="008F2F1C">
        <w:t xml:space="preserve"> </w:t>
      </w:r>
      <w:r>
        <w:t>nachvollzogen werden.</w:t>
      </w:r>
    </w:p>
    <w:p w:rsidR="006E5140" w:rsidRDefault="006E5140" w:rsidP="006E5140">
      <w:pPr>
        <w:pStyle w:val="LTAntwortRessortText"/>
      </w:pPr>
      <w:r>
        <w:t>Im Übrigen melden die Krankenhäuser ihre Belegungsdaten und weitere Informationen über</w:t>
      </w:r>
      <w:r w:rsidR="008F2F1C">
        <w:t xml:space="preserve"> </w:t>
      </w:r>
      <w:r>
        <w:t>codierte Diagnosen und Prozeduren jeweils erst im Frühjahr eines Jahres für das vorangegangene</w:t>
      </w:r>
      <w:r w:rsidR="008F2F1C">
        <w:t xml:space="preserve"> </w:t>
      </w:r>
      <w:r>
        <w:t>Kalenderjahr. Tagesaktuelle Daten wären demgegenüber für die Zwecke der Krankenhausplanung</w:t>
      </w:r>
      <w:r w:rsidR="008F2F1C">
        <w:t xml:space="preserve"> </w:t>
      </w:r>
      <w:r>
        <w:t>und der Krankenhausförderung weder notwendig noch sinnvoll.</w:t>
      </w:r>
    </w:p>
    <w:p w:rsidR="006E5140" w:rsidRDefault="006E5140" w:rsidP="006E5140">
      <w:pPr>
        <w:pStyle w:val="LTAntwortRessortText"/>
      </w:pPr>
      <w:r>
        <w:t>Insbesondere für den Fall der Überlastung einzelner Kliniken wurde am 30.09.2021 die</w:t>
      </w:r>
      <w:r w:rsidR="008F2F1C">
        <w:t xml:space="preserve"> </w:t>
      </w:r>
      <w:r>
        <w:t>Allgemeinverfügung zur Bewältigung erheblicher Patientenzahlen in Krankenhäusern erlassen</w:t>
      </w:r>
      <w:r w:rsidR="008F2F1C">
        <w:t xml:space="preserve"> </w:t>
      </w:r>
      <w:r>
        <w:t>(BayMBl. 2021 Nr. 709). Mit ihr wurde in Abhängigkeit vom Anteil der COVID-19-Patienten auf den</w:t>
      </w:r>
      <w:r w:rsidR="008F2F1C">
        <w:t xml:space="preserve"> </w:t>
      </w:r>
      <w:r>
        <w:t>Intensivstationen erneut die Möglichkeit der Regierungen geschaffen, die in den bisherigen</w:t>
      </w:r>
      <w:r w:rsidR="008F2F1C">
        <w:t xml:space="preserve"> </w:t>
      </w:r>
      <w:r>
        <w:t>pandemischen Wellen bewährten Organisationsstrukturen zur Steuerung der Patientenströme</w:t>
      </w:r>
      <w:r w:rsidR="008F2F1C">
        <w:t xml:space="preserve"> </w:t>
      </w:r>
      <w:r>
        <w:t>einzusetzen. Hierzu gehören insbesondere die Bestellung der Ärztlichen Leiter</w:t>
      </w:r>
      <w:r w:rsidR="008F2F1C">
        <w:t xml:space="preserve"> </w:t>
      </w:r>
      <w:r>
        <w:t>Krankenhauskoordinierung, aber ggf. auch der COVID-19-Koordinierungsgruppen der</w:t>
      </w:r>
      <w:r w:rsidR="008F2F1C">
        <w:t xml:space="preserve"> </w:t>
      </w:r>
      <w:r>
        <w:t>Krankenhäuser. Zudem werden mit der Bestellung Ärztlicher Leiter Krankenhauskoordinierung</w:t>
      </w:r>
      <w:r w:rsidR="008F2F1C">
        <w:t xml:space="preserve"> </w:t>
      </w:r>
      <w:r>
        <w:t>Ärztliche Koordinatoren der Regierungen bestellt, die vor allem für die überregionale Koordination</w:t>
      </w:r>
      <w:r w:rsidR="008F2F1C">
        <w:t xml:space="preserve"> </w:t>
      </w:r>
      <w:r>
        <w:t>benötigt werden.</w:t>
      </w:r>
    </w:p>
    <w:p w:rsidR="006E5140" w:rsidRDefault="006E5140">
      <w:bookmarkStart w:id="136" w:name="Frage_Nr_67_Ende"/>
      <w:bookmarkEnd w:id="1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267C3" w:rsidTr="007267C3">
        <w:tc>
          <w:tcPr>
            <w:tcW w:w="1883" w:type="dxa"/>
          </w:tcPr>
          <w:p w:rsidR="007267C3" w:rsidRDefault="007267C3" w:rsidP="007267C3">
            <w:pPr>
              <w:pStyle w:val="LTAnfrageInitiator"/>
            </w:pPr>
            <w:r>
              <w:t>Abgeordneter</w:t>
            </w:r>
            <w:r>
              <w:rPr>
                <w:b/>
              </w:rPr>
              <w:br/>
              <w:t>Andreas</w:t>
            </w:r>
            <w:r>
              <w:rPr>
                <w:b/>
              </w:rPr>
              <w:br/>
              <w:t>Krahl</w:t>
            </w:r>
            <w:r>
              <w:rPr>
                <w:b/>
              </w:rPr>
              <w:br/>
            </w:r>
            <w:r>
              <w:t>(BÜNDNIS 90/DIE GRÜNEN)</w:t>
            </w:r>
            <w:bookmarkStart w:id="137" w:name="Frage_Nr_68"/>
            <w:bookmarkEnd w:id="137"/>
          </w:p>
        </w:tc>
        <w:tc>
          <w:tcPr>
            <w:tcW w:w="5733" w:type="dxa"/>
          </w:tcPr>
          <w:p w:rsidR="007267C3" w:rsidRPr="000E31FC" w:rsidRDefault="007267C3" w:rsidP="008D08DE">
            <w:pPr>
              <w:pStyle w:val="LTAnfrageText"/>
            </w:pPr>
            <w:r w:rsidRPr="000E31FC">
              <w:t xml:space="preserve">Vor dem Hintergrund, dass im Rahmen der Monitoring-Studie der </w:t>
            </w:r>
            <w:r w:rsidR="008D08DE">
              <w:t>Vereinigung der Pflegenden in Bayern (</w:t>
            </w:r>
            <w:r w:rsidRPr="000E31FC">
              <w:t>VdPB</w:t>
            </w:r>
            <w:r w:rsidR="008D08DE">
              <w:t>)</w:t>
            </w:r>
            <w:r w:rsidRPr="000E31FC">
              <w:t xml:space="preserve"> deutlich wurde, dass es starke regionale Unterschiede bei den Bedarfen und Ressourcen zur Sicherstellung der pflegerischen Versorgung gibt, frage ich die Staatsregierung, welche Schlüsse sie bisher aus den Ergebnissen zur Monitoringstudie bezüglich der regionalen Unterschiede für die Versorgungsplanung (zum Beispiel hinsichtlich einer Vereinfachung durch Pflichtregistrierung aller Pflegekräfte) zieht, wie viele Praxisanleiterinnen bzw. -anleiter in der VdPB derzeit bereits registriert sind und wie hoch deren Anteil innerhalb der Mitgliedschaft der VdPB ist?</w:t>
            </w:r>
          </w:p>
        </w:tc>
        <w:tc>
          <w:tcPr>
            <w:tcW w:w="5733"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DD3A29" w:rsidP="006E5140">
      <w:pPr>
        <w:pStyle w:val="LTAntwortRessortText"/>
      </w:pPr>
      <w:r>
        <w:t>Auch die Erkenntnisse des St</w:t>
      </w:r>
      <w:r w:rsidR="006E5140">
        <w:t xml:space="preserve">MGP-Gutachtens zur Pflege 2050 </w:t>
      </w:r>
      <w:r>
        <w:t xml:space="preserve">(StMGP = Staatsministerium für Gesundheit und Pflege) </w:t>
      </w:r>
      <w:r w:rsidR="006E5140">
        <w:t>zeigen Handlungsbedarf an. Um</w:t>
      </w:r>
      <w:r w:rsidR="00BB23C5">
        <w:t xml:space="preserve"> </w:t>
      </w:r>
      <w:r w:rsidR="006E5140">
        <w:t>die räumliche Verteilung der Pflegefachkräfte besser nachvollziehen zu können und ggf. Anreize</w:t>
      </w:r>
      <w:r w:rsidR="00BB23C5">
        <w:t xml:space="preserve"> </w:t>
      </w:r>
      <w:r w:rsidR="006E5140">
        <w:t>zu schaffen, um einer Unterversorgung in einzelnen Regionen gegenzusteuern, begrüßt das</w:t>
      </w:r>
      <w:r w:rsidR="00BB23C5">
        <w:t xml:space="preserve"> </w:t>
      </w:r>
      <w:r w:rsidR="006E5140">
        <w:t>StMGP grundsätzlich die Schaffung von Möglichkeiten, Pflegefachkräfte zu registrieren.</w:t>
      </w:r>
    </w:p>
    <w:p w:rsidR="006E5140" w:rsidRDefault="006E5140" w:rsidP="006E5140">
      <w:pPr>
        <w:pStyle w:val="LTAntwortRessortText"/>
      </w:pPr>
      <w:r>
        <w:t>Geplant ist eine Registrierungspflicht für alle in Bayern tätigen Pflegefachpersonen. Die</w:t>
      </w:r>
      <w:r w:rsidR="00BB23C5">
        <w:t xml:space="preserve"> </w:t>
      </w:r>
      <w:r>
        <w:t>Registrierung soll Grundlage für die Errichtung eines Berufsregisters durch die</w:t>
      </w:r>
      <w:r w:rsidR="00FD71E3">
        <w:t xml:space="preserve"> VdPB</w:t>
      </w:r>
      <w:r>
        <w:t xml:space="preserve"> sein. Derzeit findet die interne Abstimmung in der Staatsregierung</w:t>
      </w:r>
      <w:r w:rsidR="00BB23C5">
        <w:t xml:space="preserve"> </w:t>
      </w:r>
      <w:r>
        <w:t>zur möglichen Verankerung einer solchen Registrierungspflicht statt.</w:t>
      </w:r>
    </w:p>
    <w:p w:rsidR="006E5140" w:rsidRDefault="00FD71E3" w:rsidP="006E5140">
      <w:pPr>
        <w:pStyle w:val="LTAntwortRessortText"/>
      </w:pPr>
      <w:r>
        <w:t>Aktuell sind bereits über 11 </w:t>
      </w:r>
      <w:r w:rsidR="006E5140">
        <w:t>000 Praxisanleitende bei der VdPB registriert. Zu der Frage, wie viele</w:t>
      </w:r>
      <w:r w:rsidR="00BB23C5">
        <w:t xml:space="preserve"> </w:t>
      </w:r>
      <w:r w:rsidR="006E5140">
        <w:t>der registrierten Praxisanleitenden auch Mitglied der VdPB sind, kann das StMGP mangels Daten</w:t>
      </w:r>
      <w:r w:rsidR="00BB23C5">
        <w:t xml:space="preserve"> </w:t>
      </w:r>
      <w:r w:rsidR="006E5140">
        <w:t>keine Stellung nehmen. In der Kürze der für die Beantwortung einer Anfrage zum Plenum zur</w:t>
      </w:r>
      <w:r w:rsidR="00BB23C5">
        <w:t xml:space="preserve"> </w:t>
      </w:r>
      <w:r w:rsidR="006E5140">
        <w:t>Verfügung stehenden Zeit wurde von einer Abfrage bei der hierfür zuständigen VdPB abgesehen.</w:t>
      </w:r>
    </w:p>
    <w:p w:rsidR="006E5140" w:rsidRDefault="006E5140">
      <w:bookmarkStart w:id="138" w:name="Frage_Nr_68_Ende"/>
      <w:bookmarkEnd w:id="13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267C3" w:rsidTr="007267C3">
        <w:tc>
          <w:tcPr>
            <w:tcW w:w="1840" w:type="dxa"/>
          </w:tcPr>
          <w:p w:rsidR="007267C3" w:rsidRDefault="007267C3" w:rsidP="007267C3">
            <w:pPr>
              <w:pStyle w:val="LTAnfrageInitiator"/>
            </w:pPr>
            <w:r>
              <w:t>Abgeordneter</w:t>
            </w:r>
            <w:r>
              <w:rPr>
                <w:b/>
              </w:rPr>
              <w:br/>
              <w:t>Roland</w:t>
            </w:r>
            <w:r>
              <w:rPr>
                <w:b/>
              </w:rPr>
              <w:br/>
              <w:t>Magerl</w:t>
            </w:r>
            <w:r>
              <w:rPr>
                <w:b/>
              </w:rPr>
              <w:br/>
            </w:r>
            <w:r>
              <w:t>(AfD)</w:t>
            </w:r>
            <w:bookmarkStart w:id="139" w:name="Frage_Nr_69"/>
            <w:bookmarkEnd w:id="139"/>
          </w:p>
        </w:tc>
        <w:tc>
          <w:tcPr>
            <w:tcW w:w="5776" w:type="dxa"/>
          </w:tcPr>
          <w:p w:rsidR="007267C3" w:rsidRPr="000E31FC" w:rsidRDefault="007267C3" w:rsidP="008D08DE">
            <w:pPr>
              <w:pStyle w:val="LTAnfrageText"/>
            </w:pPr>
            <w:r w:rsidRPr="000E31FC">
              <w:t xml:space="preserve">Ich frage die Staatsregierung, </w:t>
            </w:r>
            <w:r w:rsidR="008D08DE">
              <w:t>ob</w:t>
            </w:r>
            <w:r w:rsidRPr="000E31FC">
              <w:t xml:space="preserve"> die PCR-Lolli-Tests der Firma Jinan Babio Biotechnology, welche an Bayerns Grundschulen verwendet werden, seitens des Landesamts für Gesundheit und Lebensmittelsicherheit untersucht/begutachtet</w:t>
            </w:r>
            <w:r w:rsidR="008D08DE">
              <w:t xml:space="preserve"> wurden</w:t>
            </w:r>
            <w:r w:rsidRPr="000E31FC">
              <w:t xml:space="preserve">, wenn ja, welche Ergebnisse die Untersuchung/Begutachtung </w:t>
            </w:r>
            <w:r w:rsidR="008D08DE" w:rsidRPr="000E31FC">
              <w:t xml:space="preserve">lieferte </w:t>
            </w:r>
            <w:r w:rsidRPr="000E31FC">
              <w:t>(bitte die Ergebnisse der Untersuchung inkl. Begutachtungszertifikat anführen) und wenn nein, warum nicht (bitte genau Art und Weise erläutern, anhand der die Unbedenklichkeit der PCR-Lolli-Tests garantiert werden kann)?</w:t>
            </w:r>
          </w:p>
        </w:tc>
        <w:tc>
          <w:tcPr>
            <w:tcW w:w="5776"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Bei den an den Grund- und Förderschulen durchgeführten Pool-Tests handelt es sich nicht um ein</w:t>
      </w:r>
      <w:r w:rsidR="007021BA">
        <w:t xml:space="preserve"> </w:t>
      </w:r>
      <w:r>
        <w:t>Testkit im Sinne eines Gesamtpakets, sondern um ein Verfahren, das sich zusammensetzt aus der</w:t>
      </w:r>
      <w:r w:rsidR="007021BA">
        <w:t xml:space="preserve"> </w:t>
      </w:r>
      <w:r>
        <w:t>Beschaffung geeigneter Testmaterialien und der Auswertung durc</w:t>
      </w:r>
      <w:r w:rsidR="007021BA">
        <w:t>h die Laborpartner als In-Vitro-</w:t>
      </w:r>
      <w:r>
        <w:t>Diagnostikum aus Eigenherstellung.</w:t>
      </w:r>
    </w:p>
    <w:p w:rsidR="006E5140" w:rsidRDefault="006E5140" w:rsidP="006E5140">
      <w:pPr>
        <w:pStyle w:val="LTAntwortRessortText"/>
      </w:pPr>
      <w:r>
        <w:t>Die Testmaterialien wurden in Abstimmung mit dem Landesamt für Gesundheit und</w:t>
      </w:r>
      <w:r w:rsidR="00E60C7D">
        <w:t xml:space="preserve"> </w:t>
      </w:r>
      <w:r>
        <w:t>Lebensmittelsicherheit (LGL) durch das St</w:t>
      </w:r>
      <w:r w:rsidR="00FD71E3">
        <w:t xml:space="preserve">aatsministerium für Gesundheit und Pflege </w:t>
      </w:r>
      <w:r>
        <w:t>beschafft. Hierbei wurde überprüft und bestätigt,</w:t>
      </w:r>
      <w:r w:rsidR="00E60C7D">
        <w:t xml:space="preserve"> </w:t>
      </w:r>
      <w:r>
        <w:t>dass die Tupfer gemäß den medizinprodukterechtlichen Vorschriften in Verkehr gebracht wurden</w:t>
      </w:r>
      <w:r w:rsidR="00E60C7D">
        <w:t xml:space="preserve"> </w:t>
      </w:r>
      <w:r>
        <w:t>und eingesetzt werden können. Insbesondere tragen die bei der Probenentnahme eingesetzten</w:t>
      </w:r>
      <w:r w:rsidR="00E60C7D">
        <w:t xml:space="preserve"> </w:t>
      </w:r>
      <w:r>
        <w:t>Abstrichtupfer das CE-Kennzeichen. Dies bedeutet, dass der Hersteller unter Einbindung einer</w:t>
      </w:r>
      <w:r w:rsidR="00E60C7D">
        <w:t xml:space="preserve"> </w:t>
      </w:r>
      <w:r>
        <w:t>benannten Stelle ein Konformitätsbewertungsverfahren durchlaufen hat. Das</w:t>
      </w:r>
      <w:r w:rsidR="00E60C7D">
        <w:t xml:space="preserve"> </w:t>
      </w:r>
      <w:r>
        <w:t>Konformitätsbewertungsverfahren dient dem Nachweis der Einhaltung der grundlegenden</w:t>
      </w:r>
      <w:r w:rsidR="00E60C7D">
        <w:t xml:space="preserve"> </w:t>
      </w:r>
      <w:r>
        <w:t>Sicherheits- und Leistungsanforderungen nach Anhang I der MDR (Medical Device Regulation).</w:t>
      </w:r>
      <w:r w:rsidR="00E60C7D">
        <w:t xml:space="preserve"> </w:t>
      </w:r>
      <w:r>
        <w:t>Dies schließt regelmäßig auch eine Risikobewertung mitsamt einer biologischen und technischen</w:t>
      </w:r>
      <w:r w:rsidR="00E60C7D">
        <w:t xml:space="preserve"> </w:t>
      </w:r>
      <w:r>
        <w:t>Sicherheitsbewertung einschließlich der Prüfung auf Biokompatibilität nach den geltenden Normen</w:t>
      </w:r>
      <w:r w:rsidR="00E60C7D">
        <w:t xml:space="preserve"> </w:t>
      </w:r>
      <w:r>
        <w:t>ein. Nachdem der Hersteller das Produkt mit dem CE-Konformitätskennzeichen gekennzeichnet</w:t>
      </w:r>
      <w:r w:rsidR="00E60C7D">
        <w:t xml:space="preserve"> </w:t>
      </w:r>
      <w:r>
        <w:t>hat, sind die Tupfer dementsprechend als konform zu bewerten. Eine weitere</w:t>
      </w:r>
      <w:r w:rsidR="00E60C7D">
        <w:t xml:space="preserve"> </w:t>
      </w:r>
      <w:r>
        <w:t>Untersuchung/Begutachtung durch das LGL war und ist demnach nicht angezeigt.</w:t>
      </w:r>
    </w:p>
    <w:p w:rsidR="006E5140" w:rsidRDefault="006E5140" w:rsidP="006E5140">
      <w:pPr>
        <w:pStyle w:val="LTAntwortRessortText"/>
      </w:pPr>
      <w:r>
        <w:t>Die Auswertung der Schulproben erfolgt durch die akkreditierten Laborpartner. Vorteil dieser</w:t>
      </w:r>
      <w:r w:rsidR="00E60C7D">
        <w:t xml:space="preserve"> </w:t>
      </w:r>
      <w:r>
        <w:t>Praxis ist, dass die Qualität des PCR-Poolings im jeweiligen Labor mittels eines internen</w:t>
      </w:r>
      <w:r w:rsidR="00E60C7D">
        <w:t xml:space="preserve"> </w:t>
      </w:r>
      <w:r>
        <w:t>Validierungsprozesses sichergestellt wird und so dem wissenschaftlichen Stand entspricht. Die</w:t>
      </w:r>
      <w:r w:rsidR="00E60C7D">
        <w:t xml:space="preserve"> </w:t>
      </w:r>
      <w:r>
        <w:t>Labore haben übereinstimmend festgestellt, dass die eingesetzten Lolli-Tests zur</w:t>
      </w:r>
      <w:r w:rsidR="00E60C7D">
        <w:t xml:space="preserve"> </w:t>
      </w:r>
      <w:r>
        <w:t>Probengewinnung geeignet sind.</w:t>
      </w:r>
    </w:p>
    <w:p w:rsidR="006E5140" w:rsidRDefault="006E5140">
      <w:bookmarkStart w:id="140" w:name="Frage_Nr_69_Ende"/>
      <w:bookmarkEnd w:id="140"/>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7267C3" w:rsidTr="007267C3">
        <w:tc>
          <w:tcPr>
            <w:tcW w:w="1860" w:type="dxa"/>
          </w:tcPr>
          <w:p w:rsidR="007267C3" w:rsidRDefault="007267C3" w:rsidP="007267C3">
            <w:pPr>
              <w:pStyle w:val="LTAnfrageInitiator"/>
            </w:pPr>
            <w:r>
              <w:t>Abgeordneter</w:t>
            </w:r>
            <w:r>
              <w:rPr>
                <w:b/>
              </w:rPr>
              <w:br/>
              <w:t>Christoph</w:t>
            </w:r>
            <w:r>
              <w:rPr>
                <w:b/>
              </w:rPr>
              <w:br/>
              <w:t>Maier</w:t>
            </w:r>
            <w:r>
              <w:rPr>
                <w:b/>
              </w:rPr>
              <w:br/>
            </w:r>
            <w:r>
              <w:t>(AfD)</w:t>
            </w:r>
            <w:bookmarkStart w:id="141" w:name="Frage_Nr_70"/>
            <w:bookmarkEnd w:id="141"/>
          </w:p>
        </w:tc>
        <w:tc>
          <w:tcPr>
            <w:tcW w:w="5756" w:type="dxa"/>
          </w:tcPr>
          <w:p w:rsidR="007267C3" w:rsidRPr="000E31FC" w:rsidRDefault="007267C3" w:rsidP="008D08DE">
            <w:pPr>
              <w:pStyle w:val="LTAnfrageText"/>
            </w:pPr>
            <w:r w:rsidRPr="000E31FC">
              <w:t xml:space="preserve">Vor dem Hintergrund der neuesten Corona-Maßnahmen, wonach zum einen der Zwang für Wirte, Kontaktlisten von ihren Gästen zu verlangen, teilweise beendet wurde und zum anderen Bürgertests nun kostenpflichtig sind, frage ich die Staatsregierung, in wie vielen Fällen in Bayern bislang  personenbezogene Daten, die Gäste im Rahmen von Corona-Vorschriften in Gaststätten angeben mussten, für andere Zwecke als für die Ermittlung von Infektionsketten – beispielsweise für Ermittlungen in Strafverfahren – verwertet wurden, wie sich diese Fälle nach Datum, Ort und Verwertungsart aufschlüsseln und warum Menschen, die sich nun wegen des staatlichen Drucks </w:t>
            </w:r>
            <w:r w:rsidR="008D08DE">
              <w:t>impfen</w:t>
            </w:r>
            <w:r w:rsidRPr="000E31FC">
              <w:t xml:space="preserve"> ließen, ihre Tests trotz erster Impfung selber bezahlen müssen?</w:t>
            </w:r>
          </w:p>
        </w:tc>
        <w:tc>
          <w:tcPr>
            <w:tcW w:w="5756"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r w:rsidR="00395811">
        <w:t xml:space="preserve"> unter Einbezug des Staatsministeriums des Innern, für Sport und Integration und des Staatsministeriums der Justiz</w:t>
      </w:r>
    </w:p>
    <w:p w:rsidR="006E5140" w:rsidRDefault="006E5140" w:rsidP="006E5140">
      <w:pPr>
        <w:pStyle w:val="LTAntwortRessortText"/>
      </w:pPr>
      <w:r>
        <w:t>Zum Vollzug des Bundesi</w:t>
      </w:r>
      <w:r w:rsidR="00FD71E3">
        <w:t>nfektionsschutzgesetzes (IfSG) –</w:t>
      </w:r>
      <w:r>
        <w:t xml:space="preserve"> und den darauf gründenden</w:t>
      </w:r>
      <w:r w:rsidR="00395811">
        <w:t xml:space="preserve"> </w:t>
      </w:r>
      <w:r>
        <w:t xml:space="preserve">Bayerischen Infektionsschutzmaßnahmenverordnungen </w:t>
      </w:r>
      <w:r w:rsidR="008D08DE">
        <w:t>–</w:t>
      </w:r>
      <w:r>
        <w:t xml:space="preserve"> wurde ein Rahmenkonzept für</w:t>
      </w:r>
      <w:r w:rsidR="00395811">
        <w:t xml:space="preserve"> </w:t>
      </w:r>
      <w:r>
        <w:t>betriebliche Schutz- und Hygienekonzepte von Gastronomiebetrieben bekannt gemacht (vgl.</w:t>
      </w:r>
      <w:r w:rsidR="00395811">
        <w:t xml:space="preserve"> </w:t>
      </w:r>
      <w:r>
        <w:t>Gemeinsame Bekanntmachung der Staatsministerien für Gesundheit und Pflege und für</w:t>
      </w:r>
      <w:r w:rsidR="00395811">
        <w:t xml:space="preserve"> </w:t>
      </w:r>
      <w:r>
        <w:t>Wirtschaft, Landesentwicklung und Energie vom 14.05.2020, Az. GZ6aG8000-2020/122-321,</w:t>
      </w:r>
      <w:r w:rsidR="00395811">
        <w:t xml:space="preserve"> </w:t>
      </w:r>
      <w:r>
        <w:t>geändert durch Bek. vom 25.05.2020, BayMBl. Nr. 291). Das Rahmenkonzept sah vor, dass zur</w:t>
      </w:r>
      <w:r w:rsidR="00AA7566">
        <w:t xml:space="preserve"> </w:t>
      </w:r>
      <w:r>
        <w:t>Kontaktpersonenermittlung im Falle eines nachträglich identifizierten COVID-19-Falles unter</w:t>
      </w:r>
      <w:r w:rsidR="00AA7566">
        <w:t xml:space="preserve"> </w:t>
      </w:r>
      <w:r>
        <w:t>Gästen oder Personal durch die Gastronomiebetriebe eine Dokumentation mit Angaben von</w:t>
      </w:r>
      <w:r w:rsidR="00AA7566">
        <w:t xml:space="preserve"> </w:t>
      </w:r>
      <w:r>
        <w:t>Namen und sicherer Erreichbarkeit einer Person je Hausstand und Zeitraum des Aufenthaltes zu</w:t>
      </w:r>
      <w:r w:rsidR="00AA7566">
        <w:t xml:space="preserve"> </w:t>
      </w:r>
      <w:r>
        <w:t>führen ist (sog. Gästeliste). Eine Erhebung und Nutzung dieser Gästelistendaten war den</w:t>
      </w:r>
      <w:r w:rsidR="00AA7566">
        <w:t xml:space="preserve"> </w:t>
      </w:r>
      <w:r>
        <w:t>Strafverfolgungsbehörden auf Basis der St</w:t>
      </w:r>
      <w:r w:rsidR="00FD71E3">
        <w:t>rafprozessordnung (StPO)</w:t>
      </w:r>
      <w:r>
        <w:t xml:space="preserve"> und der Bayerischen Polizei zu präventivpolizeilichen</w:t>
      </w:r>
      <w:r w:rsidR="00AA7566">
        <w:t xml:space="preserve"> </w:t>
      </w:r>
      <w:r>
        <w:t xml:space="preserve">Zwecken nach dem PAG </w:t>
      </w:r>
      <w:r w:rsidR="008D08DE">
        <w:t xml:space="preserve">(= Polizeiaufgabengesetz) </w:t>
      </w:r>
      <w:r>
        <w:t>zunächst grundsätzlich möglich.</w:t>
      </w:r>
    </w:p>
    <w:p w:rsidR="006E5140" w:rsidRDefault="006E5140" w:rsidP="006E5140">
      <w:pPr>
        <w:pStyle w:val="LTAntwortRessortText"/>
      </w:pPr>
      <w:r>
        <w:t>Der Bundesgesetzgeber hat schließlich mit dem Dritten Gesetz zum Schutz der Bevölkerung bei</w:t>
      </w:r>
      <w:r w:rsidR="00AA7566">
        <w:t xml:space="preserve"> </w:t>
      </w:r>
      <w:r>
        <w:t>einer epidemischen Lage von nationaler Tragweite eine Novellierung des IfSG und dem darin neu</w:t>
      </w:r>
      <w:r w:rsidR="00AA7566">
        <w:t xml:space="preserve"> </w:t>
      </w:r>
      <w:r>
        <w:t>eingeführten § 28a Abs. 1 Nr. 17, Abs. 4 IfSG rechtliche Rahmenbedingungen für die</w:t>
      </w:r>
      <w:r w:rsidR="00AA7566">
        <w:t xml:space="preserve"> </w:t>
      </w:r>
      <w:r>
        <w:t xml:space="preserve">Kontaktdatenerhebung von </w:t>
      </w:r>
      <w:r w:rsidR="005C0F48">
        <w:t>„</w:t>
      </w:r>
      <w:r>
        <w:t>Kunden, Gästen oder Veranstaltungsteilnehmern</w:t>
      </w:r>
      <w:r w:rsidR="005C0F48">
        <w:t>“</w:t>
      </w:r>
      <w:r>
        <w:t xml:space="preserve"> zu Zwecken des</w:t>
      </w:r>
      <w:r w:rsidR="00AA7566">
        <w:t xml:space="preserve"> </w:t>
      </w:r>
      <w:r>
        <w:t>Infektionsschutzes geschaffen.</w:t>
      </w:r>
    </w:p>
    <w:p w:rsidR="006E5140" w:rsidRDefault="006E5140" w:rsidP="006E5140">
      <w:pPr>
        <w:pStyle w:val="LTAntwortRessortText"/>
      </w:pPr>
      <w:r>
        <w:t>Gemäß § 28a Abs. 4 Sätze 3 bis 6 IfSG dürfen Kontaktdaten, welche von Kunden, Gästen oder</w:t>
      </w:r>
      <w:r w:rsidR="00AA7566">
        <w:t xml:space="preserve"> </w:t>
      </w:r>
      <w:r>
        <w:t>Veranstaltungsteilnehmern zur Nachverfolgung von Infektionsketten erhoben worden sind (§ 28 a</w:t>
      </w:r>
      <w:r w:rsidR="00AA7566">
        <w:t xml:space="preserve"> </w:t>
      </w:r>
      <w:r>
        <w:t>Abs. 1 Satz 1 Nr. 17 IfSG), nicht für andere Zwecke als der Kontaktnachverfolgung gemäß § 25</w:t>
      </w:r>
      <w:r w:rsidR="00AA7566">
        <w:t xml:space="preserve"> </w:t>
      </w:r>
      <w:r>
        <w:t>Abs. 1 IfSG verwendet werden. Diese Regelung ist am 19.11.2020 in Kraft getreten. Die Frage</w:t>
      </w:r>
      <w:r w:rsidR="00AA7566">
        <w:t xml:space="preserve"> </w:t>
      </w:r>
      <w:r>
        <w:t>nach einer Verwendung personenbezogener Daten der vorbezeichneten Art für strafprozessuale</w:t>
      </w:r>
      <w:r w:rsidR="00AA7566">
        <w:t xml:space="preserve"> </w:t>
      </w:r>
      <w:r>
        <w:t>und präventivpolizeiliche Zwecke stellt sich daher zwischenzeitlich nicht mehr.</w:t>
      </w:r>
    </w:p>
    <w:p w:rsidR="006E5140" w:rsidRDefault="006E5140" w:rsidP="006E5140">
      <w:pPr>
        <w:pStyle w:val="LTAntwortRessortText"/>
      </w:pPr>
      <w:r>
        <w:t>In der polizeilichen Vorgangsverwaltung sind keine Rechercheparameter vorhanden, die eine</w:t>
      </w:r>
      <w:r w:rsidR="0006659F">
        <w:t xml:space="preserve"> </w:t>
      </w:r>
      <w:r>
        <w:t>automatisierte statistische Auswertung hinsichtlich der Fragestellung ermöglichen. Demnach ist</w:t>
      </w:r>
      <w:r w:rsidR="0006659F">
        <w:t xml:space="preserve"> </w:t>
      </w:r>
      <w:r>
        <w:t>eine Beantwortung der Fragestellung für den Zeitraum vor der Rechtsänderung im Rahmen der zur</w:t>
      </w:r>
      <w:r w:rsidR="0006659F">
        <w:t xml:space="preserve"> </w:t>
      </w:r>
      <w:r>
        <w:t>Beantwortung der Anfrage zur Verfügung stehenden Zeit nicht möglich. Auf die Antwort der</w:t>
      </w:r>
      <w:r w:rsidR="0006659F">
        <w:t xml:space="preserve"> </w:t>
      </w:r>
      <w:r>
        <w:t>Staatsregierung zur Schriftlichen Anfrage des Abgeordneten Horst Arnold vom 21.07.20</w:t>
      </w:r>
      <w:r w:rsidR="00FD71E3">
        <w:t>20 (</w:t>
      </w:r>
      <w:r>
        <w:t>Drs.</w:t>
      </w:r>
      <w:r w:rsidR="0006659F">
        <w:t xml:space="preserve"> </w:t>
      </w:r>
      <w:r>
        <w:t>18/9582), zur Schriftlichen Anfrage des Abgeordneten Fra</w:t>
      </w:r>
      <w:r w:rsidR="00FD71E3">
        <w:t>nz Bergmüller vom 09.09.2020 (</w:t>
      </w:r>
      <w:r>
        <w:t>Drs.</w:t>
      </w:r>
      <w:r w:rsidR="00FD71E3">
        <w:t> </w:t>
      </w:r>
      <w:r>
        <w:t>18/10437), zur Schriftlichen Anfrage der Abgeordneten Katrin Ebner-Steiner vom 08.09.2020</w:t>
      </w:r>
      <w:r w:rsidR="0006659F">
        <w:t xml:space="preserve"> </w:t>
      </w:r>
      <w:r w:rsidR="00FD71E3">
        <w:t>(</w:t>
      </w:r>
      <w:r>
        <w:t>Drs. 18/10403), zur Schriftlichen Anfrage der Abgeordneten Ebner-Steiner vom 20.10.2020</w:t>
      </w:r>
      <w:r w:rsidR="0006659F">
        <w:t xml:space="preserve"> </w:t>
      </w:r>
      <w:r w:rsidR="008D08DE">
        <w:t>(</w:t>
      </w:r>
      <w:r>
        <w:t>Drs. 18/11755), zur Schriftlichen Anfrage des Abgeordneten Florian Ritter vom 20.07.2020</w:t>
      </w:r>
      <w:r w:rsidR="0006659F">
        <w:t xml:space="preserve"> </w:t>
      </w:r>
      <w:r w:rsidR="00FD71E3">
        <w:t>(</w:t>
      </w:r>
      <w:r>
        <w:t>Drs. 9571), zur Schriftlichen Anfrage des Abgeordneten C</w:t>
      </w:r>
      <w:r w:rsidR="00FD71E3">
        <w:t xml:space="preserve">hristoph Maier vom </w:t>
      </w:r>
      <w:r w:rsidR="008D08DE">
        <w:t>0</w:t>
      </w:r>
      <w:r w:rsidR="00FD71E3">
        <w:t>5.10.2020 (</w:t>
      </w:r>
      <w:r>
        <w:t>Drs.</w:t>
      </w:r>
      <w:r w:rsidR="0006659F">
        <w:t xml:space="preserve"> </w:t>
      </w:r>
      <w:r>
        <w:t>18/11463) sowie der Abgeordneten Katharina Schulze, Benjamin Adjei und Toni Schuberl</w:t>
      </w:r>
      <w:r w:rsidR="0006659F">
        <w:t xml:space="preserve"> </w:t>
      </w:r>
      <w:r w:rsidR="00FD71E3">
        <w:t>vom 23.07.2020 (Drs. </w:t>
      </w:r>
      <w:r>
        <w:t>18/9595) wird ergänzend verwiesen.</w:t>
      </w:r>
    </w:p>
    <w:p w:rsidR="006E5140" w:rsidRDefault="006E5140" w:rsidP="006E5140">
      <w:pPr>
        <w:pStyle w:val="LTAntwortRessortText"/>
      </w:pPr>
      <w:r>
        <w:t>Im Sommer 2021 konnte allen Bürgern in Deutschland ein Impfangebot gemacht werden. Daher ist</w:t>
      </w:r>
      <w:r w:rsidR="0006659F">
        <w:t xml:space="preserve"> </w:t>
      </w:r>
      <w:r>
        <w:t>eine dauerhafte Übernahme der Kosten für alle Tests durch den Bund und damit den Steuerzahler</w:t>
      </w:r>
      <w:r w:rsidR="0006659F">
        <w:t xml:space="preserve"> </w:t>
      </w:r>
      <w:r>
        <w:t>nicht angezeigt, sodass der Bund das Angebot kostenloser Bürgertests mit Wirkung vom</w:t>
      </w:r>
      <w:r w:rsidR="0006659F">
        <w:t xml:space="preserve"> </w:t>
      </w:r>
      <w:r>
        <w:t>11</w:t>
      </w:r>
      <w:r w:rsidR="00FD71E3">
        <w:t>.</w:t>
      </w:r>
      <w:r>
        <w:t>10.2021 beendet hat. Für Personen, die nicht geimpft werden können und für die keine</w:t>
      </w:r>
      <w:r w:rsidR="0006659F">
        <w:t xml:space="preserve"> </w:t>
      </w:r>
      <w:r>
        <w:t>allgemeine Impfempfehlung vorliegt, besteht aber weiterhin die Möglichkeit zur kostenlosen</w:t>
      </w:r>
      <w:r w:rsidR="0006659F">
        <w:t xml:space="preserve"> </w:t>
      </w:r>
      <w:r>
        <w:t>Testung. Zudem sind Karenzzeiten mit kostenlosen Testungen vorgesehen, um die Impfungen</w:t>
      </w:r>
      <w:r w:rsidR="0006659F">
        <w:t xml:space="preserve"> </w:t>
      </w:r>
      <w:r>
        <w:t>abschließen zu können, so für Schwangere</w:t>
      </w:r>
      <w:r w:rsidR="00FD71E3">
        <w:t xml:space="preserve">, Kinder und Jugendliche von 12 bis </w:t>
      </w:r>
      <w:r>
        <w:t>18 Ja</w:t>
      </w:r>
      <w:r w:rsidR="008D08DE">
        <w:t>hren, Studentinnen- und Studenten</w:t>
      </w:r>
      <w:r w:rsidR="0006659F">
        <w:t xml:space="preserve"> </w:t>
      </w:r>
      <w:r>
        <w:t>und Stillende.</w:t>
      </w:r>
    </w:p>
    <w:p w:rsidR="006E5140" w:rsidRDefault="006E5140">
      <w:bookmarkStart w:id="142" w:name="Frage_Nr_70_Ende"/>
      <w:bookmarkEnd w:id="14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267C3" w:rsidTr="007267C3">
        <w:tc>
          <w:tcPr>
            <w:tcW w:w="1854" w:type="dxa"/>
          </w:tcPr>
          <w:p w:rsidR="007267C3" w:rsidRDefault="007267C3" w:rsidP="007267C3">
            <w:pPr>
              <w:pStyle w:val="LTAnfrageInitiator"/>
            </w:pPr>
            <w:r>
              <w:t>Abgeordnete</w:t>
            </w:r>
            <w:r>
              <w:rPr>
                <w:b/>
              </w:rPr>
              <w:br/>
              <w:t>Ruth</w:t>
            </w:r>
            <w:r>
              <w:rPr>
                <w:b/>
              </w:rPr>
              <w:br/>
              <w:t>Müller</w:t>
            </w:r>
            <w:r>
              <w:rPr>
                <w:b/>
              </w:rPr>
              <w:br/>
            </w:r>
            <w:r>
              <w:t>(SPD)</w:t>
            </w:r>
            <w:bookmarkStart w:id="143" w:name="Frage_Nr_71"/>
            <w:bookmarkEnd w:id="143"/>
          </w:p>
        </w:tc>
        <w:tc>
          <w:tcPr>
            <w:tcW w:w="5762" w:type="dxa"/>
          </w:tcPr>
          <w:p w:rsidR="007267C3" w:rsidRPr="000E31FC" w:rsidRDefault="007267C3" w:rsidP="000D6C4B">
            <w:pPr>
              <w:pStyle w:val="LTAnfrageText"/>
            </w:pPr>
            <w:r w:rsidRPr="000E31FC">
              <w:t xml:space="preserve">Ich frage die Staatsregierung, wie positioniert </w:t>
            </w:r>
            <w:r w:rsidR="000D6C4B">
              <w:t xml:space="preserve">sie </w:t>
            </w:r>
            <w:r w:rsidRPr="000E31FC">
              <w:t>sich gegenüber der Tatsache, dass das Krankenhaus Mainburg des Klinikverbunds Ilmtalklinik GmbH bei der gegenwärtig geplanten Vorhaltung nur eines Operationssaals eine durchgängige 24-stündige Basisnotfallversorgung an 7</w:t>
            </w:r>
            <w:r w:rsidR="000D6C4B">
              <w:t> </w:t>
            </w:r>
            <w:r w:rsidRPr="000E31FC">
              <w:t xml:space="preserve">Tagen pro Woche nicht gewährleisten kann, da mit der Auslastung des OP-Saals durch planbare Eingriffe eine Einbeziehung in die regionale Notfallversorgung obsolet wäre, könnte unter Einbeziehung dieser Tatsache sowie des aktuellen Finanzierungskonzepts des Trägers eine Neuberechnung des finanziellen Anteils durch den Freistaat Bayern an der Sanierung überdacht werden und wie beurteilt die Staatsregierung die gegenwärtigen Pläne der Klinikträger – Landkreis Pfaffenhofen </w:t>
            </w:r>
            <w:r w:rsidR="000D6C4B">
              <w:t xml:space="preserve">a. d. Ilm </w:t>
            </w:r>
            <w:r w:rsidRPr="000E31FC">
              <w:t>und Landkreis Kelheim – das Sanierungsvolumen von den 2020 im Kreistag beschlossenen 56 Mio. Euro auf 10 Mio. Euro ohne staatliche Fördermittel in Eigenleistung durch die Träger zu reduzieren?</w:t>
            </w:r>
          </w:p>
        </w:tc>
        <w:tc>
          <w:tcPr>
            <w:tcW w:w="5762"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Dem St</w:t>
      </w:r>
      <w:r w:rsidR="00FD71E3">
        <w:t>aatsministerium für Gesundheit und Pflege (StMG</w:t>
      </w:r>
      <w:r>
        <w:t>P</w:t>
      </w:r>
      <w:r w:rsidR="00FD71E3">
        <w:t>)</w:t>
      </w:r>
      <w:r>
        <w:t xml:space="preserve"> liegt aktuell zur Gesamtsanierung des Krankenhauses in Mainburg kein konkreter</w:t>
      </w:r>
      <w:r w:rsidR="005F1F79">
        <w:t xml:space="preserve"> </w:t>
      </w:r>
      <w:r>
        <w:t>Projektantrag vor.</w:t>
      </w:r>
    </w:p>
    <w:p w:rsidR="006E5140" w:rsidRDefault="006E5140" w:rsidP="006E5140">
      <w:pPr>
        <w:pStyle w:val="LTAntwortRessortText"/>
      </w:pPr>
      <w:r>
        <w:t>Bislang wurden im Rahmen des Bedarfsfeststellungverfahrens die künftig für die akutstationäre</w:t>
      </w:r>
      <w:r w:rsidR="005F1F79">
        <w:t xml:space="preserve"> </w:t>
      </w:r>
      <w:r>
        <w:t>Versorgung notwendige Bettenkapazität und die medizinischen Aufgaben festgelegt. Darüber</w:t>
      </w:r>
      <w:r w:rsidR="005F1F79">
        <w:t xml:space="preserve"> </w:t>
      </w:r>
      <w:r>
        <w:t>hinaus wurden erste Gespräche zu den erforderlichen räumlichen und betrieblichen Strukturen</w:t>
      </w:r>
      <w:r w:rsidR="005F1F79">
        <w:t xml:space="preserve"> </w:t>
      </w:r>
      <w:r>
        <w:t>sowie zu Varianten der baulichen Umsetzung geführt. Planungen, die eine konkrete</w:t>
      </w:r>
      <w:r w:rsidR="005F1F79">
        <w:t xml:space="preserve"> </w:t>
      </w:r>
      <w:r>
        <w:t>Kostenaussage zur Fördersumme bzw. zum Eigenanteil des Trägers stützen könnten, sind nicht</w:t>
      </w:r>
      <w:r w:rsidR="005F1F79">
        <w:t xml:space="preserve"> </w:t>
      </w:r>
      <w:r>
        <w:t>bekannt. Belastbare Kostenangaben wären im Übrigen erst nach Vorlage und Prüfung konkreter</w:t>
      </w:r>
      <w:r w:rsidR="005F1F79">
        <w:t xml:space="preserve"> </w:t>
      </w:r>
      <w:r>
        <w:t>Planungs- und Berechnungsunterlagen möglich.</w:t>
      </w:r>
    </w:p>
    <w:p w:rsidR="006E5140" w:rsidRDefault="006E5140" w:rsidP="006E5140">
      <w:pPr>
        <w:pStyle w:val="LTAntwortRessortText"/>
      </w:pPr>
      <w:r>
        <w:t>Im Rahmen der staatlichen Krankenhausförderung werden die notwendigen Investitionen für die</w:t>
      </w:r>
      <w:r w:rsidR="005F1F79">
        <w:t xml:space="preserve"> </w:t>
      </w:r>
      <w:r>
        <w:t>Erfüllung des akutstationären Versorgungsauftrags des jeweiligen Krankenhauses finanziert.</w:t>
      </w:r>
      <w:r w:rsidR="005F1F79">
        <w:t xml:space="preserve"> </w:t>
      </w:r>
      <w:r>
        <w:t>Dies betrifft auch im Einzelnen die Betriebsstellen wie die angesprochene Operationstherapie. Die</w:t>
      </w:r>
      <w:r w:rsidR="005F1F79">
        <w:t xml:space="preserve"> </w:t>
      </w:r>
      <w:r>
        <w:t>staatliche Förderung von Krankenhauseinrichtungen, wie zum Beispiel OP-Räumen, richtet sich</w:t>
      </w:r>
      <w:r w:rsidR="005F1F79">
        <w:t xml:space="preserve"> </w:t>
      </w:r>
      <w:r>
        <w:t>dabei vorrangig nach den Leistungszahlen, die sich aus der akutstationären Versorgung ableiten</w:t>
      </w:r>
      <w:r w:rsidR="005F1F79">
        <w:t xml:space="preserve"> </w:t>
      </w:r>
      <w:r>
        <w:t>lassen. Im Übrigen sieht der Gemeinsame Bundesausschuss keine bestimmte Anzahl von OP</w:t>
      </w:r>
      <w:r w:rsidR="00FD71E3">
        <w:t>-</w:t>
      </w:r>
      <w:r>
        <w:t>Sälen</w:t>
      </w:r>
      <w:r w:rsidR="005F1F79">
        <w:t xml:space="preserve"> </w:t>
      </w:r>
      <w:r>
        <w:t>in der Notfallversorgung vor. Der Träger ist aufgerufen, seine organisatorischen Abläufe so</w:t>
      </w:r>
      <w:r w:rsidR="005F1F79">
        <w:t xml:space="preserve"> </w:t>
      </w:r>
      <w:r>
        <w:t>zu gestalten, dass bei Notfällen eine Operationsmöglichkeit zeitnah zur Verfügung gestellt werden</w:t>
      </w:r>
      <w:r w:rsidR="005F1F79">
        <w:t xml:space="preserve"> </w:t>
      </w:r>
      <w:r>
        <w:t>kann. Ohnehin verfügt das Krankenhaus Mainburg nach Kenntnis des StMGP über zwei OP</w:t>
      </w:r>
      <w:r w:rsidR="00FD71E3">
        <w:t>-</w:t>
      </w:r>
      <w:r>
        <w:t>Räume,</w:t>
      </w:r>
      <w:r w:rsidR="005F1F79">
        <w:t xml:space="preserve"> </w:t>
      </w:r>
      <w:r>
        <w:t>von denen einer vorwiegend für ambulante Leistungen vorgesehen ist. Dieser kann</w:t>
      </w:r>
      <w:r w:rsidR="005F1F79">
        <w:t xml:space="preserve"> </w:t>
      </w:r>
      <w:r>
        <w:t>selbstverständlich auch für Notfalloperationen verwendet werden.</w:t>
      </w:r>
    </w:p>
    <w:p w:rsidR="006E5140" w:rsidRDefault="006E5140">
      <w:bookmarkStart w:id="144" w:name="Frage_Nr_71_Ende"/>
      <w:bookmarkEnd w:id="144"/>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7267C3" w:rsidTr="007267C3">
        <w:tc>
          <w:tcPr>
            <w:tcW w:w="1894" w:type="dxa"/>
          </w:tcPr>
          <w:p w:rsidR="007267C3" w:rsidRDefault="007267C3" w:rsidP="007267C3">
            <w:pPr>
              <w:pStyle w:val="LTAnfrageInitiator"/>
            </w:pPr>
            <w:r>
              <w:t>Abgeordnete</w:t>
            </w:r>
            <w:r>
              <w:rPr>
                <w:b/>
              </w:rPr>
              <w:br/>
              <w:t>Katharina</w:t>
            </w:r>
            <w:r>
              <w:rPr>
                <w:b/>
              </w:rPr>
              <w:br/>
              <w:t>Schulze</w:t>
            </w:r>
            <w:r>
              <w:rPr>
                <w:b/>
              </w:rPr>
              <w:br/>
            </w:r>
            <w:r>
              <w:t>(BÜNDNIS 90/DIE GRÜNEN)</w:t>
            </w:r>
            <w:bookmarkStart w:id="145" w:name="Frage_Nr_72"/>
            <w:bookmarkEnd w:id="145"/>
          </w:p>
        </w:tc>
        <w:tc>
          <w:tcPr>
            <w:tcW w:w="5722" w:type="dxa"/>
          </w:tcPr>
          <w:p w:rsidR="007267C3" w:rsidRPr="000E31FC" w:rsidRDefault="007267C3" w:rsidP="000E31FC">
            <w:pPr>
              <w:pStyle w:val="LTAnfrageText"/>
            </w:pPr>
            <w:r w:rsidRPr="000E31FC">
              <w:t>Ich frage die Staatsregierung, aus welchen Gründen genau möchte sie den Sputnik V-Impfstoff nach dessen Zulassung für Bayern erwerben, obwohl es mittlerweile genug erprobten und wirksamen Corona-Impfstoff gibt, welche Rolle spielt der russische Impfstoff dann in der bayerischen Impfstrategie (bitte genau erläutern) und wie viele Dosen zu welchem Preis sollen dann beschafft werden?</w:t>
            </w:r>
          </w:p>
        </w:tc>
        <w:tc>
          <w:tcPr>
            <w:tcW w:w="5722"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Für die bayerische Impfstrategie steht nicht allein das Vakzin im Mittelpunkt. Ziel ist auch die</w:t>
      </w:r>
      <w:r w:rsidR="009D33EE">
        <w:t xml:space="preserve"> </w:t>
      </w:r>
      <w:r>
        <w:t>Schaffung von Produktionskapazitäten in der Region und eine Impfstoffproduktion in Bayern, die</w:t>
      </w:r>
      <w:r w:rsidR="009D33EE">
        <w:t xml:space="preserve"> </w:t>
      </w:r>
      <w:r>
        <w:t>gerade mit Blick auf eine künftige Versorgungssicherheit von Interesse sind.</w:t>
      </w:r>
    </w:p>
    <w:p w:rsidR="006E5140" w:rsidRDefault="006E5140" w:rsidP="006E5140">
      <w:pPr>
        <w:pStyle w:val="LTAntwortRessortText"/>
      </w:pPr>
      <w:r>
        <w:t>Wesentliches Kriterium für einen Kauf des Impfstoffs Sputnik V ist für das St</w:t>
      </w:r>
      <w:r w:rsidR="00FD71E3">
        <w:t>aatsministerium für Gesundheit und Pflege</w:t>
      </w:r>
      <w:r>
        <w:t xml:space="preserve"> die Zulassung</w:t>
      </w:r>
      <w:r w:rsidR="009D33EE">
        <w:t xml:space="preserve"> </w:t>
      </w:r>
      <w:r>
        <w:t>des Impfstoffs in der EU. Hierzu sind zunächst die Zulassungsempfehlung des Impfstoffs durch die</w:t>
      </w:r>
      <w:r w:rsidR="009D33EE">
        <w:t xml:space="preserve"> </w:t>
      </w:r>
      <w:r w:rsidR="000D6C4B">
        <w:t>Europäische Arzneimittel-Agentur (</w:t>
      </w:r>
      <w:r>
        <w:t>EMA</w:t>
      </w:r>
      <w:r w:rsidR="000D6C4B">
        <w:t>)</w:t>
      </w:r>
      <w:r>
        <w:t xml:space="preserve"> und die damit einhergehenden Informationen bzgl. Wirksamkeit und Sicherheit des Impfstoffs</w:t>
      </w:r>
      <w:r w:rsidR="009D33EE">
        <w:t xml:space="preserve"> </w:t>
      </w:r>
      <w:r>
        <w:t xml:space="preserve">abzuwarten. Wann die dafür zuständige </w:t>
      </w:r>
      <w:r w:rsidR="000D6C4B">
        <w:t>EMA</w:t>
      </w:r>
      <w:r>
        <w:t xml:space="preserve"> bzw. die EU-Kommission über die Zulassung</w:t>
      </w:r>
      <w:r w:rsidR="009D33EE">
        <w:t xml:space="preserve"> </w:t>
      </w:r>
      <w:r>
        <w:t>entscheiden wird, ist derzeit noch unklar. Erst nach einer Zulassung wird eine Entscheidung über</w:t>
      </w:r>
      <w:r w:rsidR="009D33EE">
        <w:t xml:space="preserve"> </w:t>
      </w:r>
      <w:r>
        <w:t>einen Kaufvertrag zu treffen sein.</w:t>
      </w:r>
    </w:p>
    <w:p w:rsidR="006E5140" w:rsidRDefault="006E5140">
      <w:bookmarkStart w:id="146" w:name="Frage_Nr_72_Ende"/>
      <w:bookmarkEnd w:id="14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267C3" w:rsidTr="007267C3">
        <w:tc>
          <w:tcPr>
            <w:tcW w:w="1840" w:type="dxa"/>
          </w:tcPr>
          <w:p w:rsidR="007267C3" w:rsidRDefault="007267C3" w:rsidP="007267C3">
            <w:pPr>
              <w:pStyle w:val="LTAnfrageInitiator"/>
            </w:pPr>
            <w:r>
              <w:t>Abgeordneter</w:t>
            </w:r>
            <w:r>
              <w:rPr>
                <w:b/>
              </w:rPr>
              <w:br/>
              <w:t>Ulrich</w:t>
            </w:r>
            <w:r>
              <w:rPr>
                <w:b/>
              </w:rPr>
              <w:br/>
              <w:t>Singer</w:t>
            </w:r>
            <w:r>
              <w:rPr>
                <w:b/>
              </w:rPr>
              <w:br/>
            </w:r>
            <w:r>
              <w:t>(AfD)</w:t>
            </w:r>
            <w:bookmarkStart w:id="147" w:name="Frage_Nr_73"/>
            <w:bookmarkEnd w:id="147"/>
          </w:p>
        </w:tc>
        <w:tc>
          <w:tcPr>
            <w:tcW w:w="5776" w:type="dxa"/>
          </w:tcPr>
          <w:p w:rsidR="007267C3" w:rsidRPr="000E31FC" w:rsidRDefault="007267C3" w:rsidP="000E31FC">
            <w:pPr>
              <w:pStyle w:val="LTAnfrageText"/>
            </w:pPr>
            <w:r w:rsidRPr="000E31FC">
              <w:t>Ich frage die Staatsregierung, wer das Konformitätsbewertungsverfahren zu den an Bayerns Grundschulen verwendeten PCR-Lolli-Tests durchführte (bitte genau erläutern), wer die so-genannte benannte Stelle ist, welche b</w:t>
            </w:r>
            <w:r w:rsidR="00A15839">
              <w:t xml:space="preserve">ei Medizinprodukten der Klasse I </w:t>
            </w:r>
            <w:r w:rsidRPr="000E31FC">
              <w:t>s in das Konformitätsbewertungsverfahren miteinbezogen werden muss (bitte genau erläutern) und wie die Bewertung der benannten Stelle zu diesen PCR-Lolli-Tests ausfällt (bitte die Bewertung und das Zertifikat der benannten Stelle anhängen)?</w:t>
            </w:r>
          </w:p>
        </w:tc>
        <w:tc>
          <w:tcPr>
            <w:tcW w:w="5776"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Bei den PCR-Pool-Testungen an den bayerischen Grund- und Förderschulen handelt es sich nicht</w:t>
      </w:r>
      <w:r w:rsidR="003011B1">
        <w:t xml:space="preserve"> </w:t>
      </w:r>
      <w:r>
        <w:t>um ein Testkit im Sinne eines Gesamtpakets, sondern um ein Verfahren, das sich zusammensetzt</w:t>
      </w:r>
      <w:r w:rsidR="003011B1">
        <w:t xml:space="preserve"> </w:t>
      </w:r>
      <w:r>
        <w:t>aus der Probenentnahme mittels geeigneter Testmaterialien (Abstrichtupfer) und der Auswertung</w:t>
      </w:r>
      <w:r w:rsidR="003011B1">
        <w:t xml:space="preserve"> </w:t>
      </w:r>
      <w:r>
        <w:t>der Proben durch die akkreditierten Laborpartner als sogenanntes In-Vitro-Diagnostikum aus</w:t>
      </w:r>
      <w:r w:rsidR="003011B1">
        <w:t xml:space="preserve"> </w:t>
      </w:r>
      <w:r>
        <w:t>Eigenherstellung. Der z</w:t>
      </w:r>
      <w:r w:rsidR="00FD71E3">
        <w:t>weite Teil – die Laboranalytik –</w:t>
      </w:r>
      <w:r>
        <w:t xml:space="preserve"> unterliegt hierbei keinem</w:t>
      </w:r>
      <w:r w:rsidR="003011B1">
        <w:t xml:space="preserve"> </w:t>
      </w:r>
      <w:r>
        <w:t>Konformitätsbewertungsverfahren.</w:t>
      </w:r>
    </w:p>
    <w:p w:rsidR="006E5140" w:rsidRDefault="006E5140" w:rsidP="006E5140">
      <w:pPr>
        <w:pStyle w:val="LTAntwortRessortText"/>
      </w:pPr>
      <w:r>
        <w:t>Die zur Probenentnahme eingesetzten Abstrichtupfer tragen das vorgeschriebene CE-Kennzeichen</w:t>
      </w:r>
      <w:r w:rsidR="003011B1">
        <w:t xml:space="preserve"> </w:t>
      </w:r>
      <w:r>
        <w:t>und wurden gemäß den medizinprodukterechtlichen Vorschriften in Verkehr gebracht. Das CEKennzeichnen</w:t>
      </w:r>
      <w:r w:rsidR="003011B1">
        <w:t xml:space="preserve"> </w:t>
      </w:r>
      <w:r w:rsidR="00FD71E3">
        <w:t>kann nur angebracht werden</w:t>
      </w:r>
      <w:r>
        <w:t>, wenn das betroffene Produkt das</w:t>
      </w:r>
      <w:r w:rsidR="003011B1">
        <w:t xml:space="preserve"> </w:t>
      </w:r>
      <w:r>
        <w:t>Konformitätsbewertungsverfahren abgeschlossen hat. Die Durchführung des</w:t>
      </w:r>
      <w:r w:rsidR="003011B1">
        <w:t xml:space="preserve"> </w:t>
      </w:r>
      <w:r>
        <w:t>Konformitätsbewertungsverfahren obliegt dem Hersteller der Abstrichtupfer, also der Jinan babio</w:t>
      </w:r>
      <w:r w:rsidR="003011B1">
        <w:t xml:space="preserve"> </w:t>
      </w:r>
      <w:r>
        <w:t>Biotechnology Co., Ltd.</w:t>
      </w:r>
    </w:p>
    <w:p w:rsidR="006E5140" w:rsidRDefault="006E5140" w:rsidP="006E5140">
      <w:pPr>
        <w:pStyle w:val="LTAntwortRessortText"/>
      </w:pPr>
      <w:r>
        <w:t>Es handelt sich beim Abstrichtupfer um ein Medizinprodukt der Klasse I s, welches in sterilem</w:t>
      </w:r>
      <w:r w:rsidR="006F461D">
        <w:t xml:space="preserve"> </w:t>
      </w:r>
      <w:r>
        <w:t>Zustand in Verkehr zu bringen ist. Beim Konformitätsbewertungsverfahren zur Klasse I s ist eine</w:t>
      </w:r>
      <w:r w:rsidR="006F461D">
        <w:t xml:space="preserve"> </w:t>
      </w:r>
      <w:r>
        <w:t>benannte Stelle in das Verfahren einzubeziehen. Hierbei handelt es sich um die Zertifizierungsstelle</w:t>
      </w:r>
      <w:r w:rsidR="006F461D">
        <w:t xml:space="preserve"> </w:t>
      </w:r>
      <w:r>
        <w:t>Intertek Semko AB in Schweden.</w:t>
      </w:r>
    </w:p>
    <w:p w:rsidR="006E5140" w:rsidRDefault="006E5140" w:rsidP="006E5140">
      <w:pPr>
        <w:pStyle w:val="LTAntwortRessortText"/>
      </w:pPr>
      <w:r>
        <w:t>Das Konformitätsbewertungsverfahren dient dem Nachweis der Einhaltung der grundlegenden</w:t>
      </w:r>
      <w:r w:rsidR="006F461D">
        <w:t xml:space="preserve"> </w:t>
      </w:r>
      <w:r>
        <w:t>Sicherheits- und Leistungsanforderungen nach Anhang I der Medical Device</w:t>
      </w:r>
      <w:r w:rsidR="00A15839">
        <w:t xml:space="preserve"> Regulation</w:t>
      </w:r>
      <w:r>
        <w:t>.</w:t>
      </w:r>
      <w:r w:rsidR="0063186E">
        <w:t xml:space="preserve"> </w:t>
      </w:r>
      <w:r>
        <w:t>Dies schließt regelmäßig auch eine Risikobewertung mitsamt einer biologischen und technischen</w:t>
      </w:r>
      <w:r w:rsidR="0063186E">
        <w:t xml:space="preserve"> </w:t>
      </w:r>
      <w:r>
        <w:t>Sicherheitsbewertung einschließlich der Prüfung auf Biokompatibilität nach den geltenden Normen</w:t>
      </w:r>
      <w:r w:rsidR="0063186E">
        <w:t xml:space="preserve"> </w:t>
      </w:r>
      <w:r>
        <w:t>ein. Ergebnis des Verfahrens war, dass die Abstrichtupfer diese Voraussetzungen erfüllen.</w:t>
      </w:r>
    </w:p>
    <w:p w:rsidR="006E5140" w:rsidRDefault="006E5140">
      <w:bookmarkStart w:id="148" w:name="Frage_Nr_73_Ende"/>
      <w:bookmarkEnd w:id="148"/>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7267C3" w:rsidTr="007267C3">
        <w:tc>
          <w:tcPr>
            <w:tcW w:w="1890" w:type="dxa"/>
          </w:tcPr>
          <w:p w:rsidR="007267C3" w:rsidRDefault="007267C3" w:rsidP="007267C3">
            <w:pPr>
              <w:pStyle w:val="LTAnfrageInitiator"/>
            </w:pPr>
            <w:r>
              <w:t>Abgeordnete</w:t>
            </w:r>
            <w:r>
              <w:rPr>
                <w:b/>
              </w:rPr>
              <w:br/>
              <w:t>Diana</w:t>
            </w:r>
            <w:r>
              <w:rPr>
                <w:b/>
              </w:rPr>
              <w:br/>
              <w:t>Stachowitz</w:t>
            </w:r>
            <w:r>
              <w:rPr>
                <w:b/>
              </w:rPr>
              <w:br/>
            </w:r>
            <w:r>
              <w:t>(SPD)</w:t>
            </w:r>
            <w:bookmarkStart w:id="149" w:name="Frage_Nr_74"/>
            <w:bookmarkEnd w:id="149"/>
          </w:p>
        </w:tc>
        <w:tc>
          <w:tcPr>
            <w:tcW w:w="5726" w:type="dxa"/>
          </w:tcPr>
          <w:p w:rsidR="007267C3" w:rsidRPr="000E31FC" w:rsidRDefault="007267C3" w:rsidP="00A15839">
            <w:pPr>
              <w:pStyle w:val="LTAnfrageText"/>
            </w:pPr>
            <w:r w:rsidRPr="000E31FC">
              <w:t xml:space="preserve">Ich frage die Staatsregierung, wie sie sich gegenüber den gegenwärtigen Plänen der Klinikträger des Krankenhauses in Mainburg </w:t>
            </w:r>
            <w:r w:rsidR="00A15839" w:rsidRPr="000E31FC">
              <w:t xml:space="preserve">positioniert </w:t>
            </w:r>
            <w:r w:rsidRPr="000E31FC">
              <w:t>(Klinkverbund Ilmtalklinik GmbH) – Landkreis Pfaffenhofen</w:t>
            </w:r>
            <w:r w:rsidR="00A15839">
              <w:t xml:space="preserve"> a. d. Ilm</w:t>
            </w:r>
            <w:r w:rsidRPr="000E31FC">
              <w:t xml:space="preserve"> und Landkreis Kelheim –</w:t>
            </w:r>
            <w:r w:rsidR="00A15839">
              <w:t>,</w:t>
            </w:r>
            <w:r w:rsidRPr="000E31FC">
              <w:t xml:space="preserve"> das Sanierungsvolumen von den 2020 im Kreistag beschlossenen 56 Mio. Euro auf 10 Mio. Euro ohne staatliche Fördermittel in Eigenleistung durch die Träger zu reduzieren, </w:t>
            </w:r>
            <w:r w:rsidR="00A15839" w:rsidRPr="000E31FC">
              <w:t xml:space="preserve">positioniert </w:t>
            </w:r>
            <w:r w:rsidR="00A15839">
              <w:t>,</w:t>
            </w:r>
            <w:r w:rsidRPr="000E31FC">
              <w:t xml:space="preserve">könnte unter Einbeziehung dieser Tatsache zur Sicherstellung einer hochwertigen Klinikausstattung eine Neuberechnung des finanziellen Anteils durch den Freistaat Bayern an der Sanierung überdacht werden und wie wird </w:t>
            </w:r>
            <w:r w:rsidR="00A15839">
              <w:t>sie</w:t>
            </w:r>
            <w:r w:rsidRPr="000E31FC">
              <w:t xml:space="preserve"> alternativ den Bestand des bedarfsnotwendigen Krankenhauses sicherstellen, falls der Klinikträger zu einem späteren Zeitpunkt unvermeidbare Sanierungen nicht mit Eigenanteilen finanzieren kann?</w:t>
            </w:r>
          </w:p>
        </w:tc>
        <w:tc>
          <w:tcPr>
            <w:tcW w:w="5726"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Dem St</w:t>
      </w:r>
      <w:r w:rsidR="00FD71E3">
        <w:t xml:space="preserve">aatsministerium für Gesundheit und Pflege (StMGP) </w:t>
      </w:r>
      <w:r>
        <w:t>liegt aktuell zur Gesamtsanierung des Krankenhauses in Mainburg kein konkreter</w:t>
      </w:r>
      <w:r w:rsidR="0063186E">
        <w:t xml:space="preserve"> </w:t>
      </w:r>
      <w:r>
        <w:t>Projektantrag vor.</w:t>
      </w:r>
    </w:p>
    <w:p w:rsidR="006E5140" w:rsidRDefault="006E5140" w:rsidP="006E5140">
      <w:pPr>
        <w:pStyle w:val="LTAntwortRessortText"/>
      </w:pPr>
      <w:r>
        <w:t>Bislang wurden im Rahmen des Bedarfsfeststellungverfahrens die künftig für die akutstationäre</w:t>
      </w:r>
      <w:r w:rsidR="0063186E">
        <w:t xml:space="preserve"> </w:t>
      </w:r>
      <w:r>
        <w:t>Versorgung notwendige Bettenkapazität und die medizinischen Aufgaben festgelegt. Darüber hinaus</w:t>
      </w:r>
      <w:r w:rsidR="0063186E">
        <w:t xml:space="preserve"> </w:t>
      </w:r>
      <w:r>
        <w:t>wurden erste Gespräche zu den erforderlichen räumlichen und betrieblichen Strukturen sowie</w:t>
      </w:r>
      <w:r w:rsidR="0063186E">
        <w:t xml:space="preserve"> </w:t>
      </w:r>
      <w:r>
        <w:t>zu Varianten der baulichen Umsetzung geführt. Planungen, die die genannte Kostenaussage mit</w:t>
      </w:r>
      <w:r w:rsidR="0063186E">
        <w:t xml:space="preserve"> </w:t>
      </w:r>
      <w:r>
        <w:t>56 Mio. Euro Fördersumme bzw. 10 Mio. Euro Eigenanteil des Trägers stützen könnten, sind nicht</w:t>
      </w:r>
      <w:r w:rsidR="0063186E">
        <w:t xml:space="preserve"> </w:t>
      </w:r>
      <w:r>
        <w:t>bekannt. Belastbare Kostenangaben wären im Übrigen erst nach Vorlage und Prüfung konkreter</w:t>
      </w:r>
      <w:r w:rsidR="0063186E">
        <w:t xml:space="preserve"> </w:t>
      </w:r>
      <w:r>
        <w:t>Planungs- und Berechnungsunterlagen möglich.</w:t>
      </w:r>
    </w:p>
    <w:p w:rsidR="006E5140" w:rsidRDefault="006E5140" w:rsidP="006E5140">
      <w:pPr>
        <w:pStyle w:val="LTAntwortRessortText"/>
      </w:pPr>
      <w:r>
        <w:t>Im Rahmen der staatlichen Krankenhausförderung werden die notwendigen Investitionen für die</w:t>
      </w:r>
      <w:r w:rsidR="0063186E">
        <w:t xml:space="preserve"> </w:t>
      </w:r>
      <w:r>
        <w:t>Erfüllung des akutstationären Versorgungsauftrags des jeweiligen Krankenhauses finanziert. Dem</w:t>
      </w:r>
      <w:r w:rsidR="0063186E">
        <w:t xml:space="preserve"> </w:t>
      </w:r>
      <w:r>
        <w:t>Krankenhausträger steht es jederzeit frei, entsprechende Planungen für das Krankenhaus Mainburg</w:t>
      </w:r>
      <w:r w:rsidR="0063186E">
        <w:t xml:space="preserve"> </w:t>
      </w:r>
      <w:r>
        <w:t>zur Abstimmung mit dem StMGP vorzulegen. Im nachfolgenden Verfahren werden die konkreten</w:t>
      </w:r>
      <w:r w:rsidR="0063186E">
        <w:t xml:space="preserve"> </w:t>
      </w:r>
      <w:r>
        <w:t>Förderinhalte und Fördersummen für ein etwaiges Projekt festgelegt.</w:t>
      </w:r>
    </w:p>
    <w:p w:rsidR="006E5140" w:rsidRDefault="006E5140" w:rsidP="006E5140">
      <w:pPr>
        <w:pStyle w:val="LTAntwortRessortText"/>
      </w:pPr>
      <w:r>
        <w:t>Dabei sind die Vorgaben der Investitionskostenförderung nach dem Krankenhausfinanzierungsgesetz</w:t>
      </w:r>
      <w:r w:rsidR="0063186E">
        <w:t xml:space="preserve"> </w:t>
      </w:r>
      <w:r>
        <w:t>und dem Bayerischen Krankenhausgesetz zu beachten.</w:t>
      </w:r>
    </w:p>
    <w:p w:rsidR="006E5140" w:rsidRDefault="006E5140">
      <w:bookmarkStart w:id="150" w:name="Frage_Nr_74_Ende"/>
      <w:bookmarkEnd w:id="15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267C3" w:rsidTr="007267C3">
        <w:tc>
          <w:tcPr>
            <w:tcW w:w="1852" w:type="dxa"/>
          </w:tcPr>
          <w:p w:rsidR="007267C3" w:rsidRDefault="007267C3" w:rsidP="007267C3">
            <w:pPr>
              <w:pStyle w:val="LTAnfrageInitiator"/>
            </w:pPr>
            <w:r>
              <w:t>Abgeordneter</w:t>
            </w:r>
            <w:r>
              <w:rPr>
                <w:b/>
              </w:rPr>
              <w:br/>
              <w:t>Andreas</w:t>
            </w:r>
            <w:r>
              <w:rPr>
                <w:b/>
              </w:rPr>
              <w:br/>
              <w:t>Winhart</w:t>
            </w:r>
            <w:r>
              <w:rPr>
                <w:b/>
              </w:rPr>
              <w:br/>
            </w:r>
            <w:r>
              <w:t>(AfD)</w:t>
            </w:r>
            <w:bookmarkStart w:id="151" w:name="Frage_Nr_75"/>
            <w:bookmarkEnd w:id="151"/>
          </w:p>
        </w:tc>
        <w:tc>
          <w:tcPr>
            <w:tcW w:w="5764" w:type="dxa"/>
          </w:tcPr>
          <w:p w:rsidR="007267C3" w:rsidRPr="000E31FC" w:rsidRDefault="007267C3" w:rsidP="00855DD2">
            <w:pPr>
              <w:pStyle w:val="LTAnfrageText"/>
            </w:pPr>
            <w:r w:rsidRPr="000E31FC">
              <w:t xml:space="preserve">Ich frage die Staatsregierung, </w:t>
            </w:r>
            <w:r w:rsidR="00855DD2">
              <w:t xml:space="preserve">ob </w:t>
            </w:r>
            <w:r w:rsidRPr="000E31FC">
              <w:t>es eine öffentliche Ausschreibung zur Vergabe eines Auftrages zur Beschaffung von sogenannten PCR-Lolli-Tests, die aktuell an Bayerns Grundschulen verwendet werden (bitte genau erläutern),</w:t>
            </w:r>
            <w:r w:rsidR="00855DD2">
              <w:t xml:space="preserve"> gab,</w:t>
            </w:r>
            <w:r w:rsidRPr="000E31FC">
              <w:t xml:space="preserve"> wenn ja, welche Anbieter bewarben sich auf diese Ausschreibung (bitte alle Anbieter inkl. Preisangebote auflisten) und wenn nein, warum nicht (bitte den Grund genau erläutern)?</w:t>
            </w:r>
          </w:p>
        </w:tc>
        <w:tc>
          <w:tcPr>
            <w:tcW w:w="5764" w:type="dxa"/>
          </w:tcPr>
          <w:p w:rsidR="007267C3" w:rsidRDefault="007267C3" w:rsidP="007267C3">
            <w:pPr>
              <w:pStyle w:val="LTAnfrageText"/>
            </w:pPr>
          </w:p>
        </w:tc>
      </w:tr>
    </w:tbl>
    <w:p w:rsidR="006E5140" w:rsidRDefault="006E5140" w:rsidP="006E5140">
      <w:pPr>
        <w:pStyle w:val="LTUeberschrAntwortRessort"/>
      </w:pPr>
      <w:r>
        <w:t>Antwort des Staatsministeriums für Gesundheit und Pflege</w:t>
      </w:r>
    </w:p>
    <w:p w:rsidR="006E5140" w:rsidRDefault="006E5140" w:rsidP="006E5140">
      <w:pPr>
        <w:pStyle w:val="LTAntwortRessortText"/>
      </w:pPr>
      <w:r>
        <w:t>Bei Beschaffungen von Materialien und Laborleistungen für die Durchführung von PCR-Pooltests</w:t>
      </w:r>
      <w:r w:rsidR="009339A5">
        <w:t xml:space="preserve"> </w:t>
      </w:r>
      <w:r>
        <w:t>an Bayerns Grund- und Förderschulen kamen Öffentliche Ausschreibungen bzw. (für</w:t>
      </w:r>
      <w:r w:rsidR="009339A5">
        <w:t xml:space="preserve"> </w:t>
      </w:r>
      <w:r>
        <w:t>Beschaffungen oberhalb der EU-Schwellenwerte) Offene Verfahren als Verfahrensart bislang nicht</w:t>
      </w:r>
      <w:r w:rsidR="009339A5">
        <w:t xml:space="preserve"> </w:t>
      </w:r>
      <w:r>
        <w:t>zur Anwendung.</w:t>
      </w:r>
    </w:p>
    <w:p w:rsidR="006E5140" w:rsidRDefault="006E5140" w:rsidP="006E5140">
      <w:pPr>
        <w:pStyle w:val="LTAntwortRessortText"/>
      </w:pPr>
      <w:r>
        <w:t>Für diese Beschaffungen musste aus Gründen der Dringlichkeit auf die in der Vergabeverordnung</w:t>
      </w:r>
      <w:r w:rsidR="009339A5">
        <w:t xml:space="preserve"> </w:t>
      </w:r>
      <w:r>
        <w:t xml:space="preserve">bzw. in der Unterschwellenvergabeordnung vorgesehenen Verfahrensarten </w:t>
      </w:r>
      <w:r w:rsidR="005C0F48">
        <w:t>„</w:t>
      </w:r>
      <w:r>
        <w:t>Verhandlungsvergabe</w:t>
      </w:r>
      <w:r w:rsidR="009339A5">
        <w:t xml:space="preserve"> </w:t>
      </w:r>
      <w:r>
        <w:t>ohne Teilnahmewettbewerb</w:t>
      </w:r>
      <w:r w:rsidR="005C0F48">
        <w:t>“</w:t>
      </w:r>
      <w:r>
        <w:t xml:space="preserve"> bzw. (für Beschaffungen oberhalb der EU-Schwellenwerte)</w:t>
      </w:r>
      <w:r w:rsidR="009339A5">
        <w:t xml:space="preserve"> </w:t>
      </w:r>
      <w:r w:rsidR="005C0F48">
        <w:t>„</w:t>
      </w:r>
      <w:r>
        <w:t>Verhandlungsverfahren ohne Teilnahmewettbewerb</w:t>
      </w:r>
      <w:r w:rsidR="005C0F48">
        <w:t>“</w:t>
      </w:r>
      <w:r>
        <w:t xml:space="preserve"> zurückgegriffen werden. Der Grund hierfür</w:t>
      </w:r>
      <w:r w:rsidR="009339A5">
        <w:t xml:space="preserve"> </w:t>
      </w:r>
      <w:r>
        <w:t>lag jeweils darin, dass es bei Durchführung von Öffentlichen Ausschreibungen bzw. Offenen</w:t>
      </w:r>
      <w:r w:rsidR="009339A5">
        <w:t xml:space="preserve"> </w:t>
      </w:r>
      <w:r>
        <w:t>Verfahren aufgrund der Verfahrensdauer dieser förmlichen Verfahren nicht möglich gewesen wäre,</w:t>
      </w:r>
      <w:r w:rsidR="009339A5">
        <w:t xml:space="preserve"> </w:t>
      </w:r>
      <w:r>
        <w:t>mit den Pooltestungen rechtzeitig zum Start des Unterrichts nach den Sommerferien zu beginnen.</w:t>
      </w:r>
    </w:p>
    <w:p w:rsidR="006E5140" w:rsidRDefault="006E5140" w:rsidP="006E5140">
      <w:pPr>
        <w:pStyle w:val="LTAntwortRessortText"/>
      </w:pPr>
      <w:r>
        <w:t xml:space="preserve">Der Ministerrat hat am 06.07.2021 im Zusammenhang mit der Bekämpfung der </w:t>
      </w:r>
      <w:r w:rsidR="005C0F48">
        <w:t>Coronapandemie</w:t>
      </w:r>
      <w:r w:rsidR="00FD4675">
        <w:t xml:space="preserve"> </w:t>
      </w:r>
      <w:r>
        <w:t>beschlossen, das St</w:t>
      </w:r>
      <w:r w:rsidR="00FD71E3">
        <w:t>aatsministerium für Gesundheit und Pflege (St</w:t>
      </w:r>
      <w:r>
        <w:t>MGP</w:t>
      </w:r>
      <w:r w:rsidR="00FD71E3">
        <w:t>)</w:t>
      </w:r>
      <w:r>
        <w:t xml:space="preserve"> mit der Einführung und Organisation von Pool-PCR-Tests in</w:t>
      </w:r>
      <w:r w:rsidR="00FD4675">
        <w:t xml:space="preserve"> </w:t>
      </w:r>
      <w:r>
        <w:t>Grundschulen und Förderschulen (Grundschulstufe) für das erste Schulhalbjahr 2021/</w:t>
      </w:r>
      <w:r w:rsidR="00FD71E3">
        <w:t>20</w:t>
      </w:r>
      <w:r>
        <w:t>22 zu</w:t>
      </w:r>
      <w:r w:rsidR="00FD4675">
        <w:t xml:space="preserve"> </w:t>
      </w:r>
      <w:r>
        <w:t>beauftragen. Grundlage dafür waren auch die Erfahrungen aus den im Frühjahr/Frühsommer</w:t>
      </w:r>
      <w:r w:rsidR="00FD4675">
        <w:t xml:space="preserve"> </w:t>
      </w:r>
      <w:r>
        <w:t>durchgeführten Pilotversuchen. Die in den darauffolgenden Wochen erstellten konzeptionellen</w:t>
      </w:r>
      <w:r w:rsidR="00FD4675">
        <w:t xml:space="preserve"> </w:t>
      </w:r>
      <w:r>
        <w:t>Planungen bildeten erst die Grundlage für die Beschaffungen von Materialien und weiteren</w:t>
      </w:r>
      <w:r w:rsidR="00FD4675">
        <w:t xml:space="preserve"> </w:t>
      </w:r>
      <w:r>
        <w:t>Leistungen im Hinblick auf die genaue Art und Menge des Bedarfs. Die Beschaffung des für die</w:t>
      </w:r>
      <w:r w:rsidR="00FD4675">
        <w:t xml:space="preserve"> </w:t>
      </w:r>
      <w:r>
        <w:t>Durchführung der PCR-Pooltestungen erforderlichen Materials musste dementsprechend eilig</w:t>
      </w:r>
      <w:r w:rsidR="00FD4675">
        <w:t xml:space="preserve"> </w:t>
      </w:r>
      <w:r>
        <w:t>erfolgen, um den Beginn dieser Testungen möglichst zeitnah zum Unterrichtsbeginn zu</w:t>
      </w:r>
      <w:r w:rsidR="00FD4675">
        <w:t xml:space="preserve"> </w:t>
      </w:r>
      <w:r>
        <w:t>ermöglichen, zumal angesichts der angespannten Marktlage im Bereich Material für Testungen</w:t>
      </w:r>
      <w:r w:rsidR="00FD4675">
        <w:t xml:space="preserve"> </w:t>
      </w:r>
      <w:r>
        <w:t>Lieferfristen und Zeiträume für Produktimport und Logistik einzuplanen waren. Es ging dabei um</w:t>
      </w:r>
      <w:r w:rsidR="00FD4675">
        <w:t xml:space="preserve"> </w:t>
      </w:r>
      <w:r>
        <w:t>den präventiven Schutz der Schülerinnen und Schüler sowie mittelbar auch der im Schulbetrieb</w:t>
      </w:r>
      <w:r w:rsidR="00FD4675">
        <w:t xml:space="preserve"> </w:t>
      </w:r>
      <w:r>
        <w:t>Tätigen vor Ansteckungen mit dem Coronavirus SARS-CoV-2. Angesichts der Entwicklung der</w:t>
      </w:r>
      <w:r w:rsidR="00FD4675">
        <w:t xml:space="preserve"> </w:t>
      </w:r>
      <w:r>
        <w:t>Pandemie im Sommer 2021 durch erneut steigende Infektionszahlen kommt den Testungen als</w:t>
      </w:r>
      <w:r w:rsidR="00FD4675">
        <w:t xml:space="preserve"> </w:t>
      </w:r>
      <w:r>
        <w:t>präventives Mittel des Schutzes der Gesundheit der Bevölkerung eine überragende Bedeutung zu,</w:t>
      </w:r>
      <w:r w:rsidR="00FD4675">
        <w:t xml:space="preserve"> </w:t>
      </w:r>
      <w:r>
        <w:t>insbesondere da eine Impfempfehlung sowie ein Impfangebot an alle Kinder unter 12 Jahren</w:t>
      </w:r>
      <w:r w:rsidR="00FD4675">
        <w:t xml:space="preserve"> </w:t>
      </w:r>
      <w:r>
        <w:t>derzeit nicht vorliegt und damit das Mittel der Impfung bei Schülerinnern und Schülern unter 12</w:t>
      </w:r>
      <w:r w:rsidR="00FD4675">
        <w:t xml:space="preserve"> </w:t>
      </w:r>
      <w:r>
        <w:t>Jahren als bestem Schutz vor einer COVID-19-Erkrankung ausscheidet</w:t>
      </w:r>
      <w:r w:rsidR="00FD4675">
        <w:t>.</w:t>
      </w:r>
    </w:p>
    <w:p w:rsidR="006E5140" w:rsidRDefault="006E5140">
      <w:bookmarkStart w:id="152" w:name="Frage_Nr_75_Ende"/>
      <w:bookmarkEnd w:id="152"/>
      <w:r>
        <w:br w:type="page"/>
      </w:r>
    </w:p>
    <w:p w:rsidR="006E5140" w:rsidRDefault="006E5140" w:rsidP="006E5140">
      <w:pPr>
        <w:pStyle w:val="LTUeberschrRessort"/>
      </w:pPr>
      <w:r>
        <w:t>Geschäftsbereich des Staatsministeriums für Digitales</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267C3" w:rsidTr="007267C3">
        <w:tc>
          <w:tcPr>
            <w:tcW w:w="1852" w:type="dxa"/>
          </w:tcPr>
          <w:p w:rsidR="007267C3" w:rsidRDefault="007267C3" w:rsidP="007267C3">
            <w:pPr>
              <w:pStyle w:val="LTAnfrageInitiator"/>
            </w:pPr>
            <w:r>
              <w:t>Abgeordneter</w:t>
            </w:r>
            <w:r>
              <w:rPr>
                <w:b/>
              </w:rPr>
              <w:br/>
              <w:t>Helmut</w:t>
            </w:r>
            <w:r>
              <w:rPr>
                <w:b/>
              </w:rPr>
              <w:br/>
              <w:t>Markwort</w:t>
            </w:r>
            <w:r>
              <w:rPr>
                <w:b/>
              </w:rPr>
              <w:br/>
            </w:r>
            <w:r>
              <w:t>(FDP)</w:t>
            </w:r>
            <w:bookmarkStart w:id="153" w:name="Frage_Nr_76"/>
            <w:bookmarkEnd w:id="153"/>
          </w:p>
        </w:tc>
        <w:tc>
          <w:tcPr>
            <w:tcW w:w="5764" w:type="dxa"/>
          </w:tcPr>
          <w:p w:rsidR="007267C3" w:rsidRPr="000E31FC" w:rsidRDefault="007267C3" w:rsidP="00855DD2">
            <w:pPr>
              <w:pStyle w:val="LTAnfrageText"/>
            </w:pPr>
            <w:r w:rsidRPr="000E31FC">
              <w:t>Ich frage die Staatsregierung, welche Qualifikationen dazu geführt haben, die Leitung des Berei</w:t>
            </w:r>
            <w:r w:rsidR="00855DD2">
              <w:t>chs Kommunikationsstrategie im Staatsm</w:t>
            </w:r>
            <w:r w:rsidRPr="000E31FC">
              <w:t xml:space="preserve">inisterium </w:t>
            </w:r>
            <w:r w:rsidR="00855DD2">
              <w:t xml:space="preserve">für Digitales </w:t>
            </w:r>
            <w:r w:rsidRPr="000E31FC">
              <w:t xml:space="preserve">an den aktuellen Inhaber dieser Stelle zu vergeben (bitte hierbei das Datum des Antritts der Stelle nennen), welche Rolle dabei seine langjährige CSU-Mitgliedschaft gespielt hat und ob es ein vorangegangenes Angestelltenverhältnis zwischen Staatsministerin </w:t>
            </w:r>
            <w:r w:rsidR="00855DD2">
              <w:t xml:space="preserve">für Digitales </w:t>
            </w:r>
            <w:r w:rsidRPr="000E31FC">
              <w:t>Judith Gerlach und dem Leiter der Kommunikationsstrategie gab?</w:t>
            </w:r>
          </w:p>
        </w:tc>
        <w:tc>
          <w:tcPr>
            <w:tcW w:w="5764" w:type="dxa"/>
          </w:tcPr>
          <w:p w:rsidR="007267C3" w:rsidRDefault="007267C3" w:rsidP="007267C3">
            <w:pPr>
              <w:pStyle w:val="LTAnfrageText"/>
            </w:pPr>
          </w:p>
        </w:tc>
      </w:tr>
    </w:tbl>
    <w:p w:rsidR="006E5140" w:rsidRDefault="006E5140" w:rsidP="006E5140">
      <w:pPr>
        <w:pStyle w:val="LTUeberschrAntwortRessort"/>
      </w:pPr>
      <w:r>
        <w:t>Antwort des Staatsministeriums für Digitales</w:t>
      </w:r>
    </w:p>
    <w:p w:rsidR="006E5140" w:rsidRDefault="006E5140" w:rsidP="006E5140">
      <w:pPr>
        <w:pStyle w:val="LTAntwortRessortText"/>
      </w:pPr>
      <w:r>
        <w:t>Stellenbesetzungen im öffentlichen Diens</w:t>
      </w:r>
      <w:r w:rsidR="00855DD2">
        <w:t>t (und damit auch beim Staatsmi</w:t>
      </w:r>
      <w:r>
        <w:t xml:space="preserve">nisterium für Digitales) erfolgen unter Berücksichtigung des Grundsatzes der Bestenauslese gemäß Art. 33 Abs. 2 </w:t>
      </w:r>
      <w:r w:rsidR="00372062">
        <w:t>Grundgesetz (</w:t>
      </w:r>
      <w:r>
        <w:t>GG</w:t>
      </w:r>
      <w:r w:rsidR="00372062">
        <w:t>)</w:t>
      </w:r>
      <w:r w:rsidR="00E03EEF">
        <w:t xml:space="preserve">, wonach jeder bzw. jede Deutsche nach seiner bzw. </w:t>
      </w:r>
      <w:r>
        <w:t>ihrer Eignung, Befähigung und fachlichen Leistung gleichen Zugang zu jedem öffentlichen Amt hat. Ausschlaggebend ist dafür das Anforderungsprofil der jeweiligen Stelle sowie</w:t>
      </w:r>
      <w:r w:rsidR="0042448D">
        <w:t xml:space="preserve"> die Aus- und Vorbildung des je</w:t>
      </w:r>
      <w:r>
        <w:t>weiligen Bewerbers bzw. der jeweiligen Be</w:t>
      </w:r>
      <w:r w:rsidR="0042448D">
        <w:t>werberin. Eine etwaige Parteizu</w:t>
      </w:r>
      <w:r>
        <w:t>gehörigkeit spielt hierbei keine Rolle.</w:t>
      </w:r>
    </w:p>
    <w:p w:rsidR="006E5140" w:rsidRDefault="006E5140" w:rsidP="006E5140">
      <w:pPr>
        <w:pStyle w:val="LTAntwortRessortText"/>
      </w:pPr>
      <w:r>
        <w:t>Der betroffene Beschäftigte ist seit dem 01.01.2019 im Staatsministerium für Digitales beschäftigt. Die aktuelle Auf</w:t>
      </w:r>
      <w:r w:rsidR="00372062">
        <w:t>gabe als Leiter des Bereich Kom</w:t>
      </w:r>
      <w:r>
        <w:t>munikationsstrategie übt er seit dem 01.04.2020 aus.</w:t>
      </w:r>
    </w:p>
    <w:p w:rsidR="006E5140" w:rsidRDefault="006E5140" w:rsidP="00A9157E">
      <w:pPr>
        <w:pStyle w:val="LTAntwortRessortText"/>
        <w:spacing w:before="0"/>
      </w:pPr>
      <w:r>
        <w:t>Im Übrigen können unter Berücksichtigung des Rechts auf informationelle Selbstbestimmung sowie des Personald</w:t>
      </w:r>
      <w:r w:rsidR="00372062">
        <w:t>atenschutzes des betroffenen Be</w:t>
      </w:r>
      <w:r>
        <w:t>schäftigten keine personenbezogenen Angaben gemacht werden.</w:t>
      </w:r>
    </w:p>
    <w:p w:rsidR="006E5140" w:rsidRDefault="006E5140" w:rsidP="006E5140">
      <w:pPr>
        <w:pStyle w:val="LTAntwortRessortText"/>
      </w:pPr>
      <w:bookmarkStart w:id="154" w:name="Frage_Nr_76_Ende"/>
      <w:bookmarkEnd w:id="154"/>
    </w:p>
    <w:sectPr w:rsidR="006E5140" w:rsidSect="00232806">
      <w:headerReference w:type="even" r:id="rId26"/>
      <w:headerReference w:type="default" r:id="rId27"/>
      <w:footerReference w:type="default" r:id="rId28"/>
      <w:footnotePr>
        <w:numRestart w:val="eachPage"/>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CE" w:rsidRDefault="00B74ACE">
      <w:r>
        <w:separator/>
      </w:r>
    </w:p>
  </w:endnote>
  <w:endnote w:type="continuationSeparator" w:id="0">
    <w:p w:rsidR="00B74ACE" w:rsidRDefault="00B7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Default="00B74ACE"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Pr="009C32BE" w:rsidRDefault="00B74ACE"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Pr="00311533" w:rsidRDefault="00B74ACE"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CE" w:rsidRDefault="00B74ACE">
      <w:r>
        <w:separator/>
      </w:r>
    </w:p>
  </w:footnote>
  <w:footnote w:type="continuationSeparator" w:id="0">
    <w:p w:rsidR="00B74ACE" w:rsidRDefault="00B74ACE">
      <w:r>
        <w:continuationSeparator/>
      </w:r>
    </w:p>
  </w:footnote>
  <w:footnote w:id="1">
    <w:p w:rsidR="00B74ACE" w:rsidRDefault="00B74ACE" w:rsidP="00986FD3">
      <w:pPr>
        <w:pStyle w:val="Funotentext"/>
        <w:ind w:left="340" w:hanging="340"/>
      </w:pPr>
      <w:r>
        <w:rPr>
          <w:rStyle w:val="Funotenzeichen"/>
        </w:rPr>
        <w:footnoteRef/>
      </w:r>
      <w:r>
        <w:tab/>
      </w:r>
      <w:r w:rsidRPr="003F0480">
        <w:rPr>
          <w:rFonts w:cs="Arial"/>
          <w:sz w:val="16"/>
          <w:szCs w:val="16"/>
        </w:rPr>
        <w:t xml:space="preserve">siehe Artikel </w:t>
      </w:r>
      <w:hyperlink r:id="rId1" w:history="1">
        <w:r w:rsidRPr="00986FD3">
          <w:rPr>
            <w:rStyle w:val="LTHyperlinkZchn"/>
            <w:b w:val="0"/>
            <w:sz w:val="16"/>
          </w:rPr>
          <w:t>https://www.nordbayern.de/region/roth/ice-werk-bei-harrlach-oder-wendelstein-wir-gehen-auf-die-barrikaden-1.11327131</w:t>
        </w:r>
      </w:hyperlink>
      <w:r w:rsidRPr="003F0480">
        <w:rPr>
          <w:rFonts w:cs="Arial"/>
          <w:sz w:val="16"/>
          <w:szCs w:val="16"/>
        </w:rPr>
        <w:t xml:space="preserve"> vom 03.09.2021</w:t>
      </w:r>
    </w:p>
  </w:footnote>
  <w:footnote w:id="2">
    <w:p w:rsidR="00B74ACE" w:rsidRDefault="00B74ACE" w:rsidP="007B6A4B">
      <w:pPr>
        <w:pStyle w:val="Funotentext"/>
        <w:ind w:left="340" w:hanging="340"/>
      </w:pPr>
      <w:r>
        <w:rPr>
          <w:rStyle w:val="Funotenzeichen"/>
        </w:rPr>
        <w:footnoteRef/>
      </w:r>
      <w:r>
        <w:tab/>
      </w:r>
      <w:r w:rsidRPr="000B2230">
        <w:rPr>
          <w:rFonts w:cs="Arial"/>
          <w:sz w:val="16"/>
          <w:szCs w:val="24"/>
        </w:rPr>
        <w:t xml:space="preserve">siehe BR-Bericht vom 13.05.2021 : </w:t>
      </w:r>
      <w:hyperlink r:id="rId2" w:history="1">
        <w:r w:rsidRPr="007B6A4B">
          <w:rPr>
            <w:rStyle w:val="LTHyperlinkZchn"/>
            <w:b w:val="0"/>
            <w:sz w:val="16"/>
          </w:rPr>
          <w:t>https://www.br.de/nachrichten/wirtschaft/bahn-lehnt-standort-interfranken-fuer-neues-ice-werk-ab,SXHh50t</w:t>
        </w:r>
      </w:hyperlink>
    </w:p>
  </w:footnote>
  <w:footnote w:id="3">
    <w:p w:rsidR="00B74ACE" w:rsidRDefault="00B74ACE" w:rsidP="007B6A4B">
      <w:pPr>
        <w:pStyle w:val="Funotentext"/>
        <w:ind w:left="340" w:hanging="340"/>
      </w:pPr>
      <w:r>
        <w:rPr>
          <w:rStyle w:val="Funotenzeichen"/>
        </w:rPr>
        <w:footnoteRef/>
      </w:r>
      <w:r>
        <w:tab/>
      </w:r>
      <w:hyperlink r:id="rId3" w:history="1">
        <w:r w:rsidRPr="007B6A4B">
          <w:rPr>
            <w:rStyle w:val="LTHyperlinkZchn"/>
            <w:b w:val="0"/>
            <w:sz w:val="16"/>
          </w:rPr>
          <w:t>https://www.nordbayern.de/region/feucht/ice-werk-bahn-will-munaareal-von-kampfmitteln-befreien-aber-nicht-dafur-zahlen-1.11193753</w:t>
        </w:r>
      </w:hyperlink>
    </w:p>
  </w:footnote>
  <w:footnote w:id="4">
    <w:p w:rsidR="00B74ACE" w:rsidRDefault="00B74ACE">
      <w:pPr>
        <w:pStyle w:val="Funotentext"/>
      </w:pPr>
      <w:r>
        <w:rPr>
          <w:rStyle w:val="Funotenzeichen"/>
        </w:rPr>
        <w:footnoteRef/>
      </w:r>
      <w:r>
        <w:tab/>
      </w:r>
      <w:hyperlink r:id="rId4" w:history="1">
        <w:r w:rsidRPr="00C83D71">
          <w:rPr>
            <w:rStyle w:val="LTHyperlinkZchn"/>
            <w:b w:val="0"/>
          </w:rPr>
          <w:t>https://www.fachkraeftebarometer.de/fileadmin/Redaktion/Publikation_FKB2017/Publikation_FKB2021/WiFF_FKB_2021_web.pdf</w:t>
        </w:r>
      </w:hyperlink>
      <w:r>
        <w:t xml:space="preserve"> ist in Deutschland bis zum Jahr 2025 mit einem altersbedingten Ersatzbedarf von 68 100 Beschäftigten beim pädagogischen und leitenden Personals in Kindertageseinrichtungen zu rechnen (S. 164).</w:t>
      </w:r>
    </w:p>
  </w:footnote>
  <w:footnote w:id="5">
    <w:p w:rsidR="00B74ACE" w:rsidRPr="00D3123B" w:rsidRDefault="00B74ACE" w:rsidP="00D3123B">
      <w:pPr>
        <w:pStyle w:val="Funotentext"/>
        <w:ind w:left="227" w:hanging="227"/>
        <w:rPr>
          <w:sz w:val="16"/>
        </w:rPr>
      </w:pPr>
      <w:r w:rsidRPr="00D3123B">
        <w:rPr>
          <w:rStyle w:val="Funotenzeichen"/>
          <w:sz w:val="16"/>
        </w:rPr>
        <w:footnoteRef/>
      </w:r>
      <w:r w:rsidRPr="00D3123B">
        <w:rPr>
          <w:sz w:val="16"/>
        </w:rPr>
        <w:tab/>
      </w:r>
      <w:hyperlink r:id="rId5" w:history="1">
        <w:r w:rsidRPr="00D3123B">
          <w:rPr>
            <w:rStyle w:val="LTHyperlinkZchn"/>
            <w:b w:val="0"/>
            <w:sz w:val="16"/>
          </w:rPr>
          <w:t>https://www.dehst.de/SiteGlobals/Forms/su-che/publikationssuche-formular.html?gtp=10276350_listProzent253D5</w:t>
        </w:r>
      </w:hyperlink>
    </w:p>
  </w:footnote>
  <w:footnote w:id="6">
    <w:p w:rsidR="00B74ACE" w:rsidRDefault="00B74ACE" w:rsidP="00D3123B">
      <w:pPr>
        <w:pStyle w:val="Funotentext"/>
        <w:ind w:left="227" w:hanging="227"/>
      </w:pPr>
      <w:r w:rsidRPr="00D3123B">
        <w:rPr>
          <w:rStyle w:val="Funotenzeichen"/>
          <w:sz w:val="16"/>
        </w:rPr>
        <w:footnoteRef/>
      </w:r>
      <w:r w:rsidRPr="00D3123B">
        <w:rPr>
          <w:sz w:val="16"/>
        </w:rPr>
        <w:tab/>
      </w:r>
      <w:hyperlink r:id="rId6" w:history="1">
        <w:r w:rsidRPr="00D3123B">
          <w:rPr>
            <w:rStyle w:val="LTHyperlinkZchn"/>
            <w:b w:val="0"/>
            <w:sz w:val="16"/>
          </w:rPr>
          <w:t>https://www.dehst.de/SharedDocs/down-loads/DE/publikationen/VET-Bericht-2020.pdf?__blob=publicationFile&amp;v=4</w:t>
        </w:r>
      </w:hyperlink>
    </w:p>
  </w:footnote>
  <w:footnote w:id="7">
    <w:p w:rsidR="00B74ACE" w:rsidRDefault="00B74ACE" w:rsidP="00551C3E">
      <w:pPr>
        <w:pStyle w:val="Funotentext"/>
        <w:ind w:left="340" w:hanging="340"/>
      </w:pPr>
      <w:r>
        <w:rPr>
          <w:rStyle w:val="Funotenzeichen"/>
        </w:rPr>
        <w:footnoteRef/>
      </w:r>
      <w:r>
        <w:tab/>
      </w:r>
      <w:r w:rsidRPr="002C08A5">
        <w:rPr>
          <w:rFonts w:cs="Arial"/>
          <w:sz w:val="16"/>
          <w:szCs w:val="24"/>
        </w:rPr>
        <w:t xml:space="preserve">(vgl. Bild 10 RKI-Wochenbericht </w:t>
      </w:r>
      <w:r>
        <w:rPr>
          <w:rFonts w:cs="Arial"/>
          <w:sz w:val="16"/>
          <w:szCs w:val="24"/>
        </w:rPr>
        <w:t xml:space="preserve">(RKI = Robert Koch-Institut) </w:t>
      </w:r>
      <w:hyperlink r:id="rId7" w:history="1">
        <w:r w:rsidRPr="000054B4">
          <w:rPr>
            <w:rStyle w:val="LTHyperlinkZchn"/>
            <w:b w:val="0"/>
            <w:sz w:val="16"/>
          </w:rPr>
          <w:t>https://www.rki.de/DE/Content/InfAZ/N/Neuartiges_Coronavirus/Situationsberichte/Wochenbericht/Wochenbericht_2021-10-07.pdf?__blob=publicationFile</w:t>
        </w:r>
      </w:hyperlink>
      <w:r w:rsidRPr="002C08A5">
        <w:rPr>
          <w:rFonts w:cs="Arial"/>
          <w:sz w:val="16"/>
          <w:szCs w:val="24"/>
        </w:rPr>
        <w:t xml:space="preserve"> )</w:t>
      </w:r>
    </w:p>
  </w:footnote>
  <w:footnote w:id="8">
    <w:p w:rsidR="00B74ACE" w:rsidRDefault="00B74ACE" w:rsidP="00551C3E">
      <w:pPr>
        <w:pStyle w:val="Funotentext"/>
        <w:ind w:left="340" w:hanging="340"/>
      </w:pPr>
      <w:r>
        <w:rPr>
          <w:rStyle w:val="Funotenzeichen"/>
        </w:rPr>
        <w:footnoteRef/>
      </w:r>
      <w:r>
        <w:tab/>
      </w:r>
      <w:hyperlink r:id="rId8" w:history="1">
        <w:r w:rsidRPr="000054B4">
          <w:rPr>
            <w:rStyle w:val="LTHyperlinkZchn"/>
            <w:b w:val="0"/>
            <w:sz w:val="16"/>
          </w:rPr>
          <w:t>https://de.rt.com/inland/125512-schadlich-ndunverhaltnismassig-bayerische-eltern/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Default="00B74ACE"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B366F8">
      <w:fldChar w:fldCharType="begin"/>
    </w:r>
    <w:r w:rsidR="00B366F8">
      <w:instrText xml:space="preserve"> DOCVARIABLE  "Wp" \* MERGEFORMAT </w:instrText>
    </w:r>
    <w:r w:rsidR="00B366F8">
      <w:fldChar w:fldCharType="separate"/>
    </w:r>
    <w:r>
      <w:t>18</w:t>
    </w:r>
    <w:r w:rsidR="00B366F8">
      <w:fldChar w:fldCharType="end"/>
    </w:r>
    <w:r w:rsidRPr="00CA6785">
      <w:t>/</w:t>
    </w:r>
    <w:r>
      <w:rPr>
        <w:b/>
      </w:rPr>
      <w:fldChar w:fldCharType="begin"/>
    </w:r>
    <w:r>
      <w:rPr>
        <w:b/>
      </w:rPr>
      <w:instrText xml:space="preserve"> DOCVARIABLE  "Drsnr" \* MERGEFORMAT </w:instrText>
    </w:r>
    <w:r>
      <w:rPr>
        <w:b/>
      </w:rPr>
      <w:fldChar w:fldCharType="separate"/>
    </w:r>
    <w:r>
      <w:rPr>
        <w:b/>
      </w:rPr>
      <w:t>18542</w:t>
    </w:r>
    <w:r>
      <w:rPr>
        <w:b/>
      </w:rPr>
      <w:fldChar w:fldCharType="end"/>
    </w:r>
    <w:r>
      <w:tab/>
    </w:r>
    <w:r>
      <w:tab/>
    </w:r>
    <w:r w:rsidRPr="009A2D8C">
      <w:t>Bayerischer Landtag</w:t>
    </w:r>
    <w:r>
      <w:t xml:space="preserve"> -</w:t>
    </w:r>
    <w:r w:rsidR="00B366F8">
      <w:fldChar w:fldCharType="begin"/>
    </w:r>
    <w:r w:rsidR="00B366F8">
      <w:instrText xml:space="preserve"> DOCVARIABLE  "Wp" \* MERGEFORMAT </w:instrText>
    </w:r>
    <w:r w:rsidR="00B366F8">
      <w:fldChar w:fldCharType="separate"/>
    </w:r>
    <w:r>
      <w:t>18</w:t>
    </w:r>
    <w:r w:rsidR="00B366F8">
      <w:fldChar w:fldCharType="end"/>
    </w:r>
    <w:r>
      <w:t>. Wahlperiode</w:t>
    </w:r>
  </w:p>
  <w:p w:rsidR="00B74ACE" w:rsidRDefault="00B74ACE"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Default="00B74ACE"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B366F8">
      <w:fldChar w:fldCharType="begin"/>
    </w:r>
    <w:r w:rsidR="00B366F8">
      <w:instrText xml:space="preserve"> DOCVARIABLE  "Wp" \* MERGEFORMAT </w:instrText>
    </w:r>
    <w:r w:rsidR="00B366F8">
      <w:fldChar w:fldCharType="separate"/>
    </w:r>
    <w:r>
      <w:t>18</w:t>
    </w:r>
    <w:r w:rsidR="00B366F8">
      <w:fldChar w:fldCharType="end"/>
    </w:r>
    <w:r>
      <w:t>. Wahlperiode</w:t>
    </w:r>
    <w:r>
      <w:tab/>
    </w:r>
    <w:r>
      <w:tab/>
    </w:r>
    <w:r w:rsidRPr="009A2D8C">
      <w:rPr>
        <w:b/>
      </w:rPr>
      <w:t>Drucksache</w:t>
    </w:r>
    <w:r>
      <w:rPr>
        <w:b/>
      </w:rPr>
      <w:t xml:space="preserve"> </w:t>
    </w:r>
    <w:r w:rsidR="00B366F8">
      <w:fldChar w:fldCharType="begin"/>
    </w:r>
    <w:r w:rsidR="00B366F8">
      <w:instrText xml:space="preserve"> DOCVARIABLE  "Wp" \* MERGEFORMAT </w:instrText>
    </w:r>
    <w:r w:rsidR="00B366F8">
      <w:fldChar w:fldCharType="separate"/>
    </w:r>
    <w:r>
      <w:t>18</w:t>
    </w:r>
    <w:r w:rsidR="00B366F8">
      <w:fldChar w:fldCharType="end"/>
    </w:r>
    <w:r w:rsidRPr="00CA6785">
      <w:t>/</w:t>
    </w:r>
    <w:r>
      <w:rPr>
        <w:b/>
      </w:rPr>
      <w:fldChar w:fldCharType="begin"/>
    </w:r>
    <w:r>
      <w:rPr>
        <w:b/>
      </w:rPr>
      <w:instrText xml:space="preserve"> DOCVARIABLE  "Drsnr" \* MERGEFORMAT </w:instrText>
    </w:r>
    <w:r>
      <w:rPr>
        <w:b/>
      </w:rPr>
      <w:fldChar w:fldCharType="separate"/>
    </w:r>
    <w:r>
      <w:rPr>
        <w:b/>
      </w:rPr>
      <w:t>18542</w:t>
    </w:r>
    <w:r>
      <w:rPr>
        <w:b/>
      </w:rPr>
      <w:fldChar w:fldCharType="end"/>
    </w:r>
  </w:p>
  <w:p w:rsidR="00B74ACE" w:rsidRPr="00C127DA" w:rsidRDefault="00B74ACE"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Default="00B74ACE"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Pr="00B74ACE">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Pr>
        <w:sz w:val="22"/>
        <w:szCs w:val="22"/>
      </w:rPr>
      <w:t>18.10.2021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Pr="00B74ACE">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Pr="00B74ACE">
      <w:rPr>
        <w:b/>
        <w:bCs/>
        <w:sz w:val="42"/>
        <w:szCs w:val="42"/>
      </w:rPr>
      <w:t>18542</w:t>
    </w:r>
    <w:r w:rsidRPr="00853926">
      <w:rPr>
        <w:b/>
        <w:sz w:val="42"/>
        <w:szCs w:val="42"/>
      </w:rPr>
      <w:fldChar w:fldCharType="end"/>
    </w:r>
  </w:p>
  <w:p w:rsidR="00B74ACE" w:rsidRPr="004453BF" w:rsidRDefault="00B74ACE"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Pr="00A44F63" w:rsidRDefault="00B74ACE"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18542</w:t>
    </w:r>
    <w:r w:rsidRPr="00A44F63">
      <w:rPr>
        <w:b/>
        <w:szCs w:val="20"/>
      </w:rPr>
      <w:fldChar w:fldCharType="end"/>
    </w:r>
  </w:p>
  <w:p w:rsidR="00B74ACE" w:rsidRPr="00861320" w:rsidRDefault="00B74ACE"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CE" w:rsidRPr="00DE5B17" w:rsidRDefault="00B74ACE"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18542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D168D">
      <w:rPr>
        <w:rStyle w:val="Seitenzahl"/>
        <w:noProof/>
        <w:szCs w:val="20"/>
      </w:rPr>
      <w:t>96</w:t>
    </w:r>
    <w:r w:rsidRPr="00DE5B17">
      <w:rPr>
        <w:rStyle w:val="Seitenzahl"/>
        <w:szCs w:val="20"/>
      </w:rPr>
      <w:fldChar w:fldCharType="end"/>
    </w:r>
  </w:p>
  <w:p w:rsidR="00B74ACE" w:rsidRPr="00601929" w:rsidRDefault="00B74ACE"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49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6A0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04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309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AAE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67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F88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AE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29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FA6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E6960"/>
    <w:multiLevelType w:val="hybridMultilevel"/>
    <w:tmpl w:val="34A4EA72"/>
    <w:lvl w:ilvl="0" w:tplc="04070001">
      <w:start w:val="1"/>
      <w:numFmt w:val="bullet"/>
      <w:lvlText w:val=""/>
      <w:lvlJc w:val="left"/>
      <w:pPr>
        <w:ind w:left="1060" w:hanging="360"/>
      </w:pPr>
      <w:rPr>
        <w:rFonts w:ascii="Symbol" w:hAnsi="Symbol" w:hint="default"/>
      </w:rPr>
    </w:lvl>
    <w:lvl w:ilvl="1" w:tplc="AF5AC21A">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98E407F"/>
    <w:multiLevelType w:val="hybridMultilevel"/>
    <w:tmpl w:val="07D00BDC"/>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4095802"/>
    <w:multiLevelType w:val="hybridMultilevel"/>
    <w:tmpl w:val="2DA69E5E"/>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B0138A1"/>
    <w:multiLevelType w:val="hybridMultilevel"/>
    <w:tmpl w:val="3C981C7A"/>
    <w:lvl w:ilvl="0" w:tplc="04070001">
      <w:start w:val="1"/>
      <w:numFmt w:val="bullet"/>
      <w:lvlText w:val=""/>
      <w:lvlJc w:val="left"/>
      <w:pPr>
        <w:ind w:left="1060" w:hanging="360"/>
      </w:pPr>
      <w:rPr>
        <w:rFonts w:ascii="Symbol" w:hAnsi="Symbol" w:hint="default"/>
      </w:rPr>
    </w:lvl>
    <w:lvl w:ilvl="1" w:tplc="E9923E68">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BD6DDE"/>
    <w:multiLevelType w:val="hybridMultilevel"/>
    <w:tmpl w:val="653C3072"/>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5A608FC"/>
    <w:multiLevelType w:val="hybridMultilevel"/>
    <w:tmpl w:val="CEB69AA8"/>
    <w:lvl w:ilvl="0" w:tplc="C6CCF41A">
      <w:start w:val="1"/>
      <w:numFmt w:val="bullet"/>
      <w:lvlText w:val=""/>
      <w:lvlJc w:val="left"/>
      <w:pPr>
        <w:ind w:left="1060" w:hanging="360"/>
      </w:pPr>
      <w:rPr>
        <w:rFonts w:ascii="Symbol" w:hAnsi="Symbol" w:hint="default"/>
      </w:rPr>
    </w:lvl>
    <w:lvl w:ilvl="1" w:tplc="AF5AC21A">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25AB5C87"/>
    <w:multiLevelType w:val="hybridMultilevel"/>
    <w:tmpl w:val="E6EC720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C4B7EF1"/>
    <w:multiLevelType w:val="hybridMultilevel"/>
    <w:tmpl w:val="51E65032"/>
    <w:lvl w:ilvl="0" w:tplc="C6CCF41A">
      <w:start w:val="1"/>
      <w:numFmt w:val="bullet"/>
      <w:lvlText w:val=""/>
      <w:lvlJc w:val="left"/>
      <w:pPr>
        <w:ind w:left="1778"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2CCD6AA7"/>
    <w:multiLevelType w:val="hybridMultilevel"/>
    <w:tmpl w:val="B8CE58F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38717BF2"/>
    <w:multiLevelType w:val="hybridMultilevel"/>
    <w:tmpl w:val="B2724572"/>
    <w:lvl w:ilvl="0" w:tplc="04070001">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3D9239F4"/>
    <w:multiLevelType w:val="hybridMultilevel"/>
    <w:tmpl w:val="F9F25C4A"/>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82E5AC0"/>
    <w:multiLevelType w:val="hybridMultilevel"/>
    <w:tmpl w:val="937696BC"/>
    <w:lvl w:ilvl="0" w:tplc="04070001">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331008"/>
    <w:multiLevelType w:val="hybridMultilevel"/>
    <w:tmpl w:val="72D493BA"/>
    <w:lvl w:ilvl="0" w:tplc="C6CCF41A">
      <w:start w:val="1"/>
      <w:numFmt w:val="bullet"/>
      <w:lvlText w:val=""/>
      <w:lvlJc w:val="left"/>
      <w:pPr>
        <w:ind w:left="1060" w:hanging="360"/>
      </w:pPr>
      <w:rPr>
        <w:rFonts w:ascii="Symbol" w:hAnsi="Symbol" w:hint="default"/>
      </w:rPr>
    </w:lvl>
    <w:lvl w:ilvl="1" w:tplc="E9923E68">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1413DBD"/>
    <w:multiLevelType w:val="hybridMultilevel"/>
    <w:tmpl w:val="5B729B12"/>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2FA65FF"/>
    <w:multiLevelType w:val="hybridMultilevel"/>
    <w:tmpl w:val="8D047220"/>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642407AD"/>
    <w:multiLevelType w:val="hybridMultilevel"/>
    <w:tmpl w:val="00D8DE50"/>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7D2A9C"/>
    <w:multiLevelType w:val="hybridMultilevel"/>
    <w:tmpl w:val="DA88132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B5D2573"/>
    <w:multiLevelType w:val="hybridMultilevel"/>
    <w:tmpl w:val="C8C0FD2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9" w15:restartNumberingAfterBreak="0">
    <w:nsid w:val="6C4316AD"/>
    <w:multiLevelType w:val="hybridMultilevel"/>
    <w:tmpl w:val="2A4C020A"/>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0" w15:restartNumberingAfterBreak="0">
    <w:nsid w:val="71AE7649"/>
    <w:multiLevelType w:val="hybridMultilevel"/>
    <w:tmpl w:val="5E5A3442"/>
    <w:lvl w:ilvl="0" w:tplc="04070001">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8DA0556"/>
    <w:multiLevelType w:val="hybridMultilevel"/>
    <w:tmpl w:val="E96C887E"/>
    <w:lvl w:ilvl="0" w:tplc="04070001">
      <w:start w:val="1"/>
      <w:numFmt w:val="bullet"/>
      <w:lvlText w:val=""/>
      <w:lvlJc w:val="left"/>
      <w:pPr>
        <w:ind w:left="1060" w:hanging="360"/>
      </w:pPr>
      <w:rPr>
        <w:rFonts w:ascii="Symbol" w:hAnsi="Symbol" w:hint="default"/>
      </w:rPr>
    </w:lvl>
    <w:lvl w:ilvl="1" w:tplc="0407000F">
      <w:start w:val="1"/>
      <w:numFmt w:val="decimal"/>
      <w:lvlText w:val="%2."/>
      <w:lvlJc w:val="left"/>
      <w:pPr>
        <w:ind w:left="1780" w:hanging="360"/>
      </w:pPr>
      <w:rPr>
        <w:rFonts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3" w15:restartNumberingAfterBreak="0">
    <w:nsid w:val="7AD05266"/>
    <w:multiLevelType w:val="hybridMultilevel"/>
    <w:tmpl w:val="7DB03BB2"/>
    <w:lvl w:ilvl="0" w:tplc="9E525C1E">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15:restartNumberingAfterBreak="0">
    <w:nsid w:val="7B8C0329"/>
    <w:multiLevelType w:val="hybridMultilevel"/>
    <w:tmpl w:val="BCCEBC4C"/>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5" w15:restartNumberingAfterBreak="0">
    <w:nsid w:val="7EFD7476"/>
    <w:multiLevelType w:val="hybridMultilevel"/>
    <w:tmpl w:val="5AE8D510"/>
    <w:lvl w:ilvl="0" w:tplc="0407000F">
      <w:start w:val="1"/>
      <w:numFmt w:val="decimal"/>
      <w:lvlText w:val="%1."/>
      <w:lvlJc w:val="left"/>
      <w:pPr>
        <w:ind w:left="1060" w:hanging="360"/>
      </w:pPr>
      <w:rPr>
        <w:rFonts w:hint="default"/>
      </w:rPr>
    </w:lvl>
    <w:lvl w:ilvl="1" w:tplc="AF5AC21A">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6" w15:restartNumberingAfterBreak="0">
    <w:nsid w:val="7FBF0F68"/>
    <w:multiLevelType w:val="hybridMultilevel"/>
    <w:tmpl w:val="704228A6"/>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1"/>
  </w:num>
  <w:num w:numId="2">
    <w:abstractNumId w:val="16"/>
  </w:num>
  <w:num w:numId="3">
    <w:abstractNumId w:val="31"/>
  </w:num>
  <w:num w:numId="4">
    <w:abstractNumId w:val="35"/>
  </w:num>
  <w:num w:numId="5">
    <w:abstractNumId w:val="34"/>
  </w:num>
  <w:num w:numId="6">
    <w:abstractNumId w:val="28"/>
  </w:num>
  <w:num w:numId="7">
    <w:abstractNumId w:val="14"/>
  </w:num>
  <w:num w:numId="8">
    <w:abstractNumId w:val="15"/>
  </w:num>
  <w:num w:numId="9">
    <w:abstractNumId w:val="37"/>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22"/>
  </w:num>
  <w:num w:numId="27">
    <w:abstractNumId w:val="43"/>
  </w:num>
  <w:num w:numId="28">
    <w:abstractNumId w:val="44"/>
  </w:num>
  <w:num w:numId="29">
    <w:abstractNumId w:val="39"/>
  </w:num>
  <w:num w:numId="30">
    <w:abstractNumId w:val="33"/>
  </w:num>
  <w:num w:numId="31">
    <w:abstractNumId w:val="10"/>
  </w:num>
  <w:num w:numId="32">
    <w:abstractNumId w:val="11"/>
  </w:num>
  <w:num w:numId="33">
    <w:abstractNumId w:val="36"/>
  </w:num>
  <w:num w:numId="34">
    <w:abstractNumId w:val="17"/>
  </w:num>
  <w:num w:numId="35">
    <w:abstractNumId w:val="42"/>
  </w:num>
  <w:num w:numId="36">
    <w:abstractNumId w:val="19"/>
  </w:num>
  <w:num w:numId="37">
    <w:abstractNumId w:val="32"/>
  </w:num>
  <w:num w:numId="38">
    <w:abstractNumId w:val="30"/>
  </w:num>
  <w:num w:numId="39">
    <w:abstractNumId w:val="23"/>
  </w:num>
  <w:num w:numId="40">
    <w:abstractNumId w:val="46"/>
  </w:num>
  <w:num w:numId="41">
    <w:abstractNumId w:val="38"/>
  </w:num>
  <w:num w:numId="42">
    <w:abstractNumId w:val="29"/>
  </w:num>
  <w:num w:numId="43">
    <w:abstractNumId w:val="45"/>
  </w:num>
  <w:num w:numId="44">
    <w:abstractNumId w:val="18"/>
  </w:num>
  <w:num w:numId="45">
    <w:abstractNumId w:val="24"/>
  </w:num>
  <w:num w:numId="46">
    <w:abstractNumId w:val="40"/>
  </w:num>
  <w:num w:numId="47">
    <w:abstractNumId w:val="26"/>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tgRb1RFpj/MRvIleLYxLVHiNYKLKHc44JJv76vyuGQzfnqcqdbi1QNqQRTXP31WHjssI9DpvVDjDX14jxO4CsA==" w:salt="UZjKhDYMdkHZ+ZcGUc/aWg=="/>
  <w:defaultTabStop w:val="227"/>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9.10.2021"/>
    <w:docVar w:name="Drsnr" w:val="18542"/>
    <w:docVar w:name="Eingangsdatum" w:val="18.10.2021"/>
    <w:docVar w:name="Passwort" w:val="Elan&amp;Internet"/>
    <w:docVar w:name="Wochendatum" w:val="18. Oktober 2021"/>
    <w:docVar w:name="Wp" w:val="18"/>
  </w:docVars>
  <w:rsids>
    <w:rsidRoot w:val="006E5140"/>
    <w:rsid w:val="00000324"/>
    <w:rsid w:val="00002517"/>
    <w:rsid w:val="000054B4"/>
    <w:rsid w:val="00006292"/>
    <w:rsid w:val="000371B5"/>
    <w:rsid w:val="000419F2"/>
    <w:rsid w:val="00043B70"/>
    <w:rsid w:val="000552F5"/>
    <w:rsid w:val="0006145E"/>
    <w:rsid w:val="000614E0"/>
    <w:rsid w:val="00061EB3"/>
    <w:rsid w:val="00065FD5"/>
    <w:rsid w:val="0006659F"/>
    <w:rsid w:val="000779F7"/>
    <w:rsid w:val="00083AFA"/>
    <w:rsid w:val="00083D54"/>
    <w:rsid w:val="0008617E"/>
    <w:rsid w:val="00097682"/>
    <w:rsid w:val="000A56F5"/>
    <w:rsid w:val="000B2A68"/>
    <w:rsid w:val="000B764D"/>
    <w:rsid w:val="000C480A"/>
    <w:rsid w:val="000C71A5"/>
    <w:rsid w:val="000C72A9"/>
    <w:rsid w:val="000C7D5A"/>
    <w:rsid w:val="000D5269"/>
    <w:rsid w:val="000D6C4B"/>
    <w:rsid w:val="000E0A28"/>
    <w:rsid w:val="000E0C46"/>
    <w:rsid w:val="000E21D9"/>
    <w:rsid w:val="000E31FC"/>
    <w:rsid w:val="000E73CC"/>
    <w:rsid w:val="000F109F"/>
    <w:rsid w:val="000F3417"/>
    <w:rsid w:val="000F610C"/>
    <w:rsid w:val="00114B66"/>
    <w:rsid w:val="001356F0"/>
    <w:rsid w:val="00135D97"/>
    <w:rsid w:val="00136D38"/>
    <w:rsid w:val="001376A1"/>
    <w:rsid w:val="00141C03"/>
    <w:rsid w:val="00145529"/>
    <w:rsid w:val="00150A1D"/>
    <w:rsid w:val="00154F5F"/>
    <w:rsid w:val="00156DE2"/>
    <w:rsid w:val="001576CA"/>
    <w:rsid w:val="001579D6"/>
    <w:rsid w:val="00163927"/>
    <w:rsid w:val="00165D18"/>
    <w:rsid w:val="001671C3"/>
    <w:rsid w:val="001676F2"/>
    <w:rsid w:val="0017138B"/>
    <w:rsid w:val="00171CDA"/>
    <w:rsid w:val="001751A9"/>
    <w:rsid w:val="00185C12"/>
    <w:rsid w:val="00193AB7"/>
    <w:rsid w:val="00196A66"/>
    <w:rsid w:val="001A050E"/>
    <w:rsid w:val="001B06C7"/>
    <w:rsid w:val="001C0752"/>
    <w:rsid w:val="001C6140"/>
    <w:rsid w:val="001C7CAC"/>
    <w:rsid w:val="001D073A"/>
    <w:rsid w:val="001D756E"/>
    <w:rsid w:val="001E102B"/>
    <w:rsid w:val="001E298D"/>
    <w:rsid w:val="001E3461"/>
    <w:rsid w:val="001E41D1"/>
    <w:rsid w:val="001F240A"/>
    <w:rsid w:val="001F2B7D"/>
    <w:rsid w:val="001F3CDA"/>
    <w:rsid w:val="00200E4B"/>
    <w:rsid w:val="00215CAA"/>
    <w:rsid w:val="002214D5"/>
    <w:rsid w:val="00226E30"/>
    <w:rsid w:val="0022754A"/>
    <w:rsid w:val="00227E77"/>
    <w:rsid w:val="002302DA"/>
    <w:rsid w:val="00230C86"/>
    <w:rsid w:val="00231278"/>
    <w:rsid w:val="00232806"/>
    <w:rsid w:val="0023365B"/>
    <w:rsid w:val="002349A7"/>
    <w:rsid w:val="00235318"/>
    <w:rsid w:val="00235942"/>
    <w:rsid w:val="002375B2"/>
    <w:rsid w:val="00240728"/>
    <w:rsid w:val="00246DE7"/>
    <w:rsid w:val="00251088"/>
    <w:rsid w:val="002764E4"/>
    <w:rsid w:val="00277DD9"/>
    <w:rsid w:val="00281AAE"/>
    <w:rsid w:val="002822CD"/>
    <w:rsid w:val="00282CB2"/>
    <w:rsid w:val="00283D88"/>
    <w:rsid w:val="0028470E"/>
    <w:rsid w:val="00284AA1"/>
    <w:rsid w:val="00293F06"/>
    <w:rsid w:val="002B27E5"/>
    <w:rsid w:val="002C5905"/>
    <w:rsid w:val="002D2A91"/>
    <w:rsid w:val="002D3B28"/>
    <w:rsid w:val="002D53C0"/>
    <w:rsid w:val="002D5E77"/>
    <w:rsid w:val="002F6DCF"/>
    <w:rsid w:val="003011B1"/>
    <w:rsid w:val="00301B35"/>
    <w:rsid w:val="003078E2"/>
    <w:rsid w:val="00310388"/>
    <w:rsid w:val="00310A7B"/>
    <w:rsid w:val="00311533"/>
    <w:rsid w:val="0031185F"/>
    <w:rsid w:val="00315B5B"/>
    <w:rsid w:val="003175F9"/>
    <w:rsid w:val="003176BB"/>
    <w:rsid w:val="003220C1"/>
    <w:rsid w:val="00330AC4"/>
    <w:rsid w:val="003317ED"/>
    <w:rsid w:val="003343E3"/>
    <w:rsid w:val="00354E4E"/>
    <w:rsid w:val="003571B7"/>
    <w:rsid w:val="0036081C"/>
    <w:rsid w:val="00372062"/>
    <w:rsid w:val="00381386"/>
    <w:rsid w:val="00384BCC"/>
    <w:rsid w:val="003865DE"/>
    <w:rsid w:val="00390643"/>
    <w:rsid w:val="00390B65"/>
    <w:rsid w:val="00395811"/>
    <w:rsid w:val="003A0B46"/>
    <w:rsid w:val="003A2F67"/>
    <w:rsid w:val="003A4AF7"/>
    <w:rsid w:val="003A6DDF"/>
    <w:rsid w:val="003B09EA"/>
    <w:rsid w:val="003B10EA"/>
    <w:rsid w:val="003B21D3"/>
    <w:rsid w:val="003B4646"/>
    <w:rsid w:val="003B4656"/>
    <w:rsid w:val="003B5C11"/>
    <w:rsid w:val="003B7D59"/>
    <w:rsid w:val="003C3519"/>
    <w:rsid w:val="003C4151"/>
    <w:rsid w:val="003D4C86"/>
    <w:rsid w:val="003E107C"/>
    <w:rsid w:val="003E2C57"/>
    <w:rsid w:val="003E2DEE"/>
    <w:rsid w:val="003E36C6"/>
    <w:rsid w:val="003E4991"/>
    <w:rsid w:val="003E7E4B"/>
    <w:rsid w:val="003F434E"/>
    <w:rsid w:val="003F467B"/>
    <w:rsid w:val="00401AF1"/>
    <w:rsid w:val="004055BD"/>
    <w:rsid w:val="004104B6"/>
    <w:rsid w:val="004148C6"/>
    <w:rsid w:val="0042448D"/>
    <w:rsid w:val="00424CF8"/>
    <w:rsid w:val="004271B4"/>
    <w:rsid w:val="0043001B"/>
    <w:rsid w:val="00431F16"/>
    <w:rsid w:val="00443858"/>
    <w:rsid w:val="004453BF"/>
    <w:rsid w:val="00445A05"/>
    <w:rsid w:val="0045402F"/>
    <w:rsid w:val="00465F83"/>
    <w:rsid w:val="00476B56"/>
    <w:rsid w:val="00476F93"/>
    <w:rsid w:val="00481722"/>
    <w:rsid w:val="00496299"/>
    <w:rsid w:val="004A0B31"/>
    <w:rsid w:val="004A1638"/>
    <w:rsid w:val="004B184E"/>
    <w:rsid w:val="004B5A87"/>
    <w:rsid w:val="004C1BA3"/>
    <w:rsid w:val="004C3433"/>
    <w:rsid w:val="004D060D"/>
    <w:rsid w:val="004D4829"/>
    <w:rsid w:val="004D7B2E"/>
    <w:rsid w:val="004E1031"/>
    <w:rsid w:val="004E3E92"/>
    <w:rsid w:val="004E66D3"/>
    <w:rsid w:val="004F2494"/>
    <w:rsid w:val="005026C9"/>
    <w:rsid w:val="00502FBE"/>
    <w:rsid w:val="00502FCC"/>
    <w:rsid w:val="00503F3C"/>
    <w:rsid w:val="005040C2"/>
    <w:rsid w:val="00506F07"/>
    <w:rsid w:val="00514380"/>
    <w:rsid w:val="00523170"/>
    <w:rsid w:val="005321C0"/>
    <w:rsid w:val="0053309B"/>
    <w:rsid w:val="00534594"/>
    <w:rsid w:val="00544156"/>
    <w:rsid w:val="005517B2"/>
    <w:rsid w:val="00551C3E"/>
    <w:rsid w:val="00551E43"/>
    <w:rsid w:val="00555AE5"/>
    <w:rsid w:val="00567084"/>
    <w:rsid w:val="0057046C"/>
    <w:rsid w:val="0057191B"/>
    <w:rsid w:val="00572482"/>
    <w:rsid w:val="005833DD"/>
    <w:rsid w:val="005834A1"/>
    <w:rsid w:val="005861E2"/>
    <w:rsid w:val="00586FAB"/>
    <w:rsid w:val="005878CA"/>
    <w:rsid w:val="00593818"/>
    <w:rsid w:val="005A0EEC"/>
    <w:rsid w:val="005A6AD9"/>
    <w:rsid w:val="005A79EC"/>
    <w:rsid w:val="005B06AF"/>
    <w:rsid w:val="005B0960"/>
    <w:rsid w:val="005B1C81"/>
    <w:rsid w:val="005B6943"/>
    <w:rsid w:val="005C0F48"/>
    <w:rsid w:val="005C55DD"/>
    <w:rsid w:val="005C5701"/>
    <w:rsid w:val="005D0F29"/>
    <w:rsid w:val="005D3807"/>
    <w:rsid w:val="005D3C42"/>
    <w:rsid w:val="005F1F79"/>
    <w:rsid w:val="005F371F"/>
    <w:rsid w:val="005F5034"/>
    <w:rsid w:val="00601929"/>
    <w:rsid w:val="0060377E"/>
    <w:rsid w:val="00606488"/>
    <w:rsid w:val="006076A5"/>
    <w:rsid w:val="006076F2"/>
    <w:rsid w:val="00610EFD"/>
    <w:rsid w:val="00611FE7"/>
    <w:rsid w:val="0062036D"/>
    <w:rsid w:val="0062042F"/>
    <w:rsid w:val="00620B1D"/>
    <w:rsid w:val="0063186E"/>
    <w:rsid w:val="00633488"/>
    <w:rsid w:val="006475D7"/>
    <w:rsid w:val="00651968"/>
    <w:rsid w:val="00653E6D"/>
    <w:rsid w:val="00660532"/>
    <w:rsid w:val="00661F4C"/>
    <w:rsid w:val="00671035"/>
    <w:rsid w:val="00675AED"/>
    <w:rsid w:val="0068306E"/>
    <w:rsid w:val="00693CB1"/>
    <w:rsid w:val="006B0212"/>
    <w:rsid w:val="006B1709"/>
    <w:rsid w:val="006C4DB6"/>
    <w:rsid w:val="006C5C31"/>
    <w:rsid w:val="006D0D3F"/>
    <w:rsid w:val="006D0FD8"/>
    <w:rsid w:val="006D2E83"/>
    <w:rsid w:val="006E0274"/>
    <w:rsid w:val="006E0829"/>
    <w:rsid w:val="006E5140"/>
    <w:rsid w:val="006E5B9D"/>
    <w:rsid w:val="006F0AB3"/>
    <w:rsid w:val="006F28CC"/>
    <w:rsid w:val="006F461D"/>
    <w:rsid w:val="006F4997"/>
    <w:rsid w:val="00700C3C"/>
    <w:rsid w:val="007021BA"/>
    <w:rsid w:val="00702C84"/>
    <w:rsid w:val="007061D4"/>
    <w:rsid w:val="00714C18"/>
    <w:rsid w:val="00717184"/>
    <w:rsid w:val="007267C3"/>
    <w:rsid w:val="007347C5"/>
    <w:rsid w:val="007422D4"/>
    <w:rsid w:val="0075012C"/>
    <w:rsid w:val="0075769E"/>
    <w:rsid w:val="00760A53"/>
    <w:rsid w:val="00761779"/>
    <w:rsid w:val="007649D6"/>
    <w:rsid w:val="00764C64"/>
    <w:rsid w:val="0077709E"/>
    <w:rsid w:val="00781527"/>
    <w:rsid w:val="00781FB1"/>
    <w:rsid w:val="007868AE"/>
    <w:rsid w:val="00787923"/>
    <w:rsid w:val="00797183"/>
    <w:rsid w:val="007A5A47"/>
    <w:rsid w:val="007B0B33"/>
    <w:rsid w:val="007B6A4B"/>
    <w:rsid w:val="007C0CCD"/>
    <w:rsid w:val="007C31C4"/>
    <w:rsid w:val="007E0B60"/>
    <w:rsid w:val="007F1A60"/>
    <w:rsid w:val="00805E8A"/>
    <w:rsid w:val="008062A0"/>
    <w:rsid w:val="00816C6F"/>
    <w:rsid w:val="00825C50"/>
    <w:rsid w:val="008278B7"/>
    <w:rsid w:val="00844005"/>
    <w:rsid w:val="008461F7"/>
    <w:rsid w:val="00846D02"/>
    <w:rsid w:val="008540E3"/>
    <w:rsid w:val="00855DD2"/>
    <w:rsid w:val="008606C1"/>
    <w:rsid w:val="00863A28"/>
    <w:rsid w:val="00863D7F"/>
    <w:rsid w:val="008644AE"/>
    <w:rsid w:val="008703BB"/>
    <w:rsid w:val="00876590"/>
    <w:rsid w:val="00880170"/>
    <w:rsid w:val="008803A9"/>
    <w:rsid w:val="00881030"/>
    <w:rsid w:val="00881163"/>
    <w:rsid w:val="008930C0"/>
    <w:rsid w:val="00897172"/>
    <w:rsid w:val="008A0617"/>
    <w:rsid w:val="008A671A"/>
    <w:rsid w:val="008C3EAF"/>
    <w:rsid w:val="008C6176"/>
    <w:rsid w:val="008D0076"/>
    <w:rsid w:val="008D08DE"/>
    <w:rsid w:val="008D132B"/>
    <w:rsid w:val="008D2301"/>
    <w:rsid w:val="008D3F9B"/>
    <w:rsid w:val="008E2258"/>
    <w:rsid w:val="008E3C99"/>
    <w:rsid w:val="008E41C5"/>
    <w:rsid w:val="008E4F9F"/>
    <w:rsid w:val="008E7B3B"/>
    <w:rsid w:val="008F2F1C"/>
    <w:rsid w:val="0091136E"/>
    <w:rsid w:val="00911F24"/>
    <w:rsid w:val="009149D4"/>
    <w:rsid w:val="009229F8"/>
    <w:rsid w:val="009234BF"/>
    <w:rsid w:val="0092602C"/>
    <w:rsid w:val="009310B8"/>
    <w:rsid w:val="00932D27"/>
    <w:rsid w:val="009339A5"/>
    <w:rsid w:val="0093739F"/>
    <w:rsid w:val="009414D9"/>
    <w:rsid w:val="009509D9"/>
    <w:rsid w:val="00951E60"/>
    <w:rsid w:val="0095379B"/>
    <w:rsid w:val="00962732"/>
    <w:rsid w:val="00966E35"/>
    <w:rsid w:val="00976810"/>
    <w:rsid w:val="00977682"/>
    <w:rsid w:val="009831D6"/>
    <w:rsid w:val="009837B0"/>
    <w:rsid w:val="009856F6"/>
    <w:rsid w:val="00986FD3"/>
    <w:rsid w:val="00987B22"/>
    <w:rsid w:val="009924CE"/>
    <w:rsid w:val="00995D8F"/>
    <w:rsid w:val="009A2D8C"/>
    <w:rsid w:val="009A5A06"/>
    <w:rsid w:val="009A7F10"/>
    <w:rsid w:val="009B30DA"/>
    <w:rsid w:val="009B3DA8"/>
    <w:rsid w:val="009B6B5E"/>
    <w:rsid w:val="009B7205"/>
    <w:rsid w:val="009C1AC7"/>
    <w:rsid w:val="009C32BE"/>
    <w:rsid w:val="009D30DE"/>
    <w:rsid w:val="009D33EE"/>
    <w:rsid w:val="009D5962"/>
    <w:rsid w:val="009D5CA7"/>
    <w:rsid w:val="009E25A3"/>
    <w:rsid w:val="009E41B6"/>
    <w:rsid w:val="009E671E"/>
    <w:rsid w:val="009E6DDB"/>
    <w:rsid w:val="009F6B94"/>
    <w:rsid w:val="00A15839"/>
    <w:rsid w:val="00A17038"/>
    <w:rsid w:val="00A208D1"/>
    <w:rsid w:val="00A2276D"/>
    <w:rsid w:val="00A25D7C"/>
    <w:rsid w:val="00A265DC"/>
    <w:rsid w:val="00A27016"/>
    <w:rsid w:val="00A3195E"/>
    <w:rsid w:val="00A3336A"/>
    <w:rsid w:val="00A42376"/>
    <w:rsid w:val="00A42EAA"/>
    <w:rsid w:val="00A44F63"/>
    <w:rsid w:val="00A45E06"/>
    <w:rsid w:val="00A47020"/>
    <w:rsid w:val="00A5482B"/>
    <w:rsid w:val="00A603C5"/>
    <w:rsid w:val="00A76D72"/>
    <w:rsid w:val="00A77294"/>
    <w:rsid w:val="00A84172"/>
    <w:rsid w:val="00A9157E"/>
    <w:rsid w:val="00A919B7"/>
    <w:rsid w:val="00A93867"/>
    <w:rsid w:val="00A94FB9"/>
    <w:rsid w:val="00A96B48"/>
    <w:rsid w:val="00AA3478"/>
    <w:rsid w:val="00AA7233"/>
    <w:rsid w:val="00AA7566"/>
    <w:rsid w:val="00AB28EE"/>
    <w:rsid w:val="00AC47A0"/>
    <w:rsid w:val="00AC4FC6"/>
    <w:rsid w:val="00AD15C0"/>
    <w:rsid w:val="00AD168D"/>
    <w:rsid w:val="00AD291F"/>
    <w:rsid w:val="00AD7E0F"/>
    <w:rsid w:val="00AE1029"/>
    <w:rsid w:val="00AE15B5"/>
    <w:rsid w:val="00AE1770"/>
    <w:rsid w:val="00AE2EA3"/>
    <w:rsid w:val="00B05A3F"/>
    <w:rsid w:val="00B06DCA"/>
    <w:rsid w:val="00B12993"/>
    <w:rsid w:val="00B246BA"/>
    <w:rsid w:val="00B366F8"/>
    <w:rsid w:val="00B3698E"/>
    <w:rsid w:val="00B37F2B"/>
    <w:rsid w:val="00B45132"/>
    <w:rsid w:val="00B51CDB"/>
    <w:rsid w:val="00B557E4"/>
    <w:rsid w:val="00B57DE6"/>
    <w:rsid w:val="00B73A20"/>
    <w:rsid w:val="00B74ACE"/>
    <w:rsid w:val="00B75212"/>
    <w:rsid w:val="00B753A4"/>
    <w:rsid w:val="00B8046D"/>
    <w:rsid w:val="00B82BE0"/>
    <w:rsid w:val="00B839DE"/>
    <w:rsid w:val="00B85638"/>
    <w:rsid w:val="00B86E32"/>
    <w:rsid w:val="00B86EB1"/>
    <w:rsid w:val="00B87C22"/>
    <w:rsid w:val="00B902FE"/>
    <w:rsid w:val="00B91015"/>
    <w:rsid w:val="00B9456C"/>
    <w:rsid w:val="00BA5501"/>
    <w:rsid w:val="00BA7AAC"/>
    <w:rsid w:val="00BB117A"/>
    <w:rsid w:val="00BB23C5"/>
    <w:rsid w:val="00BB3E7A"/>
    <w:rsid w:val="00BB6019"/>
    <w:rsid w:val="00BC1C8F"/>
    <w:rsid w:val="00BC4D4B"/>
    <w:rsid w:val="00BD7DB0"/>
    <w:rsid w:val="00BE0A75"/>
    <w:rsid w:val="00C034C9"/>
    <w:rsid w:val="00C11892"/>
    <w:rsid w:val="00C127DA"/>
    <w:rsid w:val="00C20D25"/>
    <w:rsid w:val="00C31000"/>
    <w:rsid w:val="00C33CF8"/>
    <w:rsid w:val="00C4558C"/>
    <w:rsid w:val="00C45DAE"/>
    <w:rsid w:val="00C54C38"/>
    <w:rsid w:val="00C648EF"/>
    <w:rsid w:val="00C64946"/>
    <w:rsid w:val="00C67283"/>
    <w:rsid w:val="00C743BB"/>
    <w:rsid w:val="00C759A0"/>
    <w:rsid w:val="00C83A7D"/>
    <w:rsid w:val="00C83D71"/>
    <w:rsid w:val="00C841E1"/>
    <w:rsid w:val="00C84F6F"/>
    <w:rsid w:val="00C93C15"/>
    <w:rsid w:val="00C95F05"/>
    <w:rsid w:val="00CA46E4"/>
    <w:rsid w:val="00CB1499"/>
    <w:rsid w:val="00CB7A33"/>
    <w:rsid w:val="00CC20C5"/>
    <w:rsid w:val="00CC43A0"/>
    <w:rsid w:val="00CC6B36"/>
    <w:rsid w:val="00CC77D8"/>
    <w:rsid w:val="00CC7D0D"/>
    <w:rsid w:val="00CD15FF"/>
    <w:rsid w:val="00CD631D"/>
    <w:rsid w:val="00CD6B4E"/>
    <w:rsid w:val="00CE2154"/>
    <w:rsid w:val="00CE5E4F"/>
    <w:rsid w:val="00CF26CD"/>
    <w:rsid w:val="00CF5AA4"/>
    <w:rsid w:val="00CF77F6"/>
    <w:rsid w:val="00D02A0B"/>
    <w:rsid w:val="00D043F8"/>
    <w:rsid w:val="00D0623A"/>
    <w:rsid w:val="00D07F06"/>
    <w:rsid w:val="00D135B2"/>
    <w:rsid w:val="00D168D3"/>
    <w:rsid w:val="00D20DB5"/>
    <w:rsid w:val="00D30273"/>
    <w:rsid w:val="00D3123B"/>
    <w:rsid w:val="00D3232E"/>
    <w:rsid w:val="00D32741"/>
    <w:rsid w:val="00D32A7D"/>
    <w:rsid w:val="00D32E88"/>
    <w:rsid w:val="00D33D48"/>
    <w:rsid w:val="00D3404D"/>
    <w:rsid w:val="00D45EB8"/>
    <w:rsid w:val="00D46E54"/>
    <w:rsid w:val="00D47CB5"/>
    <w:rsid w:val="00D5247F"/>
    <w:rsid w:val="00D6160D"/>
    <w:rsid w:val="00D82366"/>
    <w:rsid w:val="00D83DC5"/>
    <w:rsid w:val="00DA1063"/>
    <w:rsid w:val="00DA2424"/>
    <w:rsid w:val="00DA74F1"/>
    <w:rsid w:val="00DB29C5"/>
    <w:rsid w:val="00DC6F57"/>
    <w:rsid w:val="00DD3A29"/>
    <w:rsid w:val="00DD48D5"/>
    <w:rsid w:val="00DE5B17"/>
    <w:rsid w:val="00DE6994"/>
    <w:rsid w:val="00DF7A33"/>
    <w:rsid w:val="00E03EEF"/>
    <w:rsid w:val="00E06311"/>
    <w:rsid w:val="00E14AA5"/>
    <w:rsid w:val="00E175A9"/>
    <w:rsid w:val="00E2431C"/>
    <w:rsid w:val="00E30692"/>
    <w:rsid w:val="00E3270E"/>
    <w:rsid w:val="00E36ACD"/>
    <w:rsid w:val="00E40371"/>
    <w:rsid w:val="00E60C7D"/>
    <w:rsid w:val="00E64F98"/>
    <w:rsid w:val="00E6572C"/>
    <w:rsid w:val="00E72D19"/>
    <w:rsid w:val="00E7333F"/>
    <w:rsid w:val="00E73E5A"/>
    <w:rsid w:val="00E7475C"/>
    <w:rsid w:val="00E77AC9"/>
    <w:rsid w:val="00E960B7"/>
    <w:rsid w:val="00EA0671"/>
    <w:rsid w:val="00EA4168"/>
    <w:rsid w:val="00EB3510"/>
    <w:rsid w:val="00EB6C16"/>
    <w:rsid w:val="00EC2594"/>
    <w:rsid w:val="00EC2C1B"/>
    <w:rsid w:val="00EC75D6"/>
    <w:rsid w:val="00ED4839"/>
    <w:rsid w:val="00ED7023"/>
    <w:rsid w:val="00EF116E"/>
    <w:rsid w:val="00EF398E"/>
    <w:rsid w:val="00EF67A7"/>
    <w:rsid w:val="00F0047B"/>
    <w:rsid w:val="00F00864"/>
    <w:rsid w:val="00F23429"/>
    <w:rsid w:val="00F312A0"/>
    <w:rsid w:val="00F36983"/>
    <w:rsid w:val="00F44D16"/>
    <w:rsid w:val="00F47ED8"/>
    <w:rsid w:val="00F51041"/>
    <w:rsid w:val="00F55312"/>
    <w:rsid w:val="00F73B72"/>
    <w:rsid w:val="00F74938"/>
    <w:rsid w:val="00F769C0"/>
    <w:rsid w:val="00F76B51"/>
    <w:rsid w:val="00F827A4"/>
    <w:rsid w:val="00F906F2"/>
    <w:rsid w:val="00F9374C"/>
    <w:rsid w:val="00FA64C1"/>
    <w:rsid w:val="00FB269D"/>
    <w:rsid w:val="00FB64A8"/>
    <w:rsid w:val="00FB6A9B"/>
    <w:rsid w:val="00FC4D4D"/>
    <w:rsid w:val="00FD4675"/>
    <w:rsid w:val="00FD71E3"/>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F04DFEF-B668-48DB-BC8D-0A5BA0D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2214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214D5"/>
    <w:pPr>
      <w:widowControl w:val="0"/>
      <w:autoSpaceDE w:val="0"/>
      <w:autoSpaceDN w:val="0"/>
      <w:spacing w:line="255" w:lineRule="exact"/>
      <w:jc w:val="right"/>
    </w:pPr>
    <w:rPr>
      <w:rFonts w:ascii="Times New Roman" w:hAnsi="Times New Roman"/>
      <w:sz w:val="22"/>
      <w:szCs w:val="22"/>
      <w:lang w:bidi="de-DE"/>
    </w:rPr>
  </w:style>
  <w:style w:type="paragraph" w:styleId="Textkrper">
    <w:name w:val="Body Text"/>
    <w:basedOn w:val="Standard"/>
    <w:link w:val="TextkrperZchn"/>
    <w:uiPriority w:val="1"/>
    <w:qFormat/>
    <w:rsid w:val="002214D5"/>
    <w:pPr>
      <w:widowControl w:val="0"/>
      <w:autoSpaceDE w:val="0"/>
      <w:autoSpaceDN w:val="0"/>
    </w:pPr>
    <w:rPr>
      <w:rFonts w:ascii="Times New Roman" w:hAnsi="Times New Roman"/>
      <w:sz w:val="24"/>
      <w:lang w:bidi="de-DE"/>
    </w:rPr>
  </w:style>
  <w:style w:type="character" w:customStyle="1" w:styleId="TextkrperZchn">
    <w:name w:val="Textkörper Zchn"/>
    <w:basedOn w:val="Absatz-Standardschriftart"/>
    <w:link w:val="Textkrper"/>
    <w:uiPriority w:val="1"/>
    <w:rsid w:val="002214D5"/>
    <w:rPr>
      <w:sz w:val="24"/>
      <w:szCs w:val="24"/>
      <w:lang w:bidi="de-DE"/>
    </w:rPr>
  </w:style>
  <w:style w:type="paragraph" w:customStyle="1" w:styleId="Default">
    <w:name w:val="Default"/>
    <w:rsid w:val="00D30273"/>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B51CDB"/>
    <w:rPr>
      <w:szCs w:val="20"/>
    </w:rPr>
  </w:style>
  <w:style w:type="character" w:customStyle="1" w:styleId="FunotentextZchn">
    <w:name w:val="Fußnotentext Zchn"/>
    <w:basedOn w:val="Absatz-Standardschriftart"/>
    <w:link w:val="Funotentext"/>
    <w:uiPriority w:val="99"/>
    <w:semiHidden/>
    <w:rsid w:val="00B51CDB"/>
    <w:rPr>
      <w:rFonts w:ascii="Arial" w:hAnsi="Arial"/>
    </w:rPr>
  </w:style>
  <w:style w:type="character" w:styleId="Funotenzeichen">
    <w:name w:val="footnote reference"/>
    <w:basedOn w:val="Absatz-Standardschriftart"/>
    <w:uiPriority w:val="99"/>
    <w:semiHidden/>
    <w:unhideWhenUsed/>
    <w:rsid w:val="00B51CDB"/>
    <w:rPr>
      <w:vertAlign w:val="superscript"/>
    </w:rPr>
  </w:style>
  <w:style w:type="paragraph" w:styleId="Endnotentext">
    <w:name w:val="endnote text"/>
    <w:basedOn w:val="Standard"/>
    <w:link w:val="EndnotentextZchn"/>
    <w:semiHidden/>
    <w:unhideWhenUsed/>
    <w:rsid w:val="00B51CDB"/>
    <w:rPr>
      <w:szCs w:val="20"/>
    </w:rPr>
  </w:style>
  <w:style w:type="character" w:customStyle="1" w:styleId="EndnotentextZchn">
    <w:name w:val="Endnotentext Zchn"/>
    <w:basedOn w:val="Absatz-Standardschriftart"/>
    <w:link w:val="Endnotentext"/>
    <w:semiHidden/>
    <w:rsid w:val="00B51CDB"/>
    <w:rPr>
      <w:rFonts w:ascii="Arial" w:hAnsi="Arial"/>
    </w:rPr>
  </w:style>
  <w:style w:type="character" w:styleId="Endnotenzeichen">
    <w:name w:val="endnote reference"/>
    <w:basedOn w:val="Absatz-Standardschriftart"/>
    <w:semiHidden/>
    <w:unhideWhenUsed/>
    <w:rsid w:val="00B51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port-antisemitism.de/rias-bayern/" TargetMode="External"/><Relationship Id="rId18" Type="http://schemas.openxmlformats.org/officeDocument/2006/relationships/hyperlink" Target="https://www.bayern.landtag.de/www/ElanTextAblage_WP18/Drucksachen/Basisdrucksachen/0000011500/0000011614_Muthmann_Anlage%202.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ihk-muenchen.de/ihk/Wirtschaftshilfen/Bayern_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1500/0000011614_Muthmann_Anlage%201.pdf" TargetMode="External"/><Relationship Id="rId25" Type="http://schemas.openxmlformats.org/officeDocument/2006/relationships/hyperlink" Target="https://www.bayern.landtag.de/www/ElanTextAblage_WP18/Drucksachen/Basisdrucksachen/0000011500/0000011614_Kraus_Anlage.pdf" TargetMode="External"/><Relationship Id="rId2" Type="http://schemas.openxmlformats.org/officeDocument/2006/relationships/numbering" Target="numbering.xml"/><Relationship Id="rId16" Type="http://schemas.openxmlformats.org/officeDocument/2006/relationships/hyperlink" Target="http://www.schulatlas.bayern.de" TargetMode="External"/><Relationship Id="rId20" Type="http://schemas.openxmlformats.org/officeDocument/2006/relationships/hyperlink" Target="https://www.stmwi.bayern.de/energie-rohstoffe/daten-fakt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11500/0000011614_Friedl_P_Anlage.pdf" TargetMode="External"/><Relationship Id="rId5" Type="http://schemas.openxmlformats.org/officeDocument/2006/relationships/webSettings" Target="webSettings.xml"/><Relationship Id="rId15" Type="http://schemas.openxmlformats.org/officeDocument/2006/relationships/hyperlink" Target="https://www.schulatlas.bayern.de" TargetMode="External"/><Relationship Id="rId23" Type="http://schemas.openxmlformats.org/officeDocument/2006/relationships/hyperlink" Target="https://www.lgl.bayern.de/publikationen/jahresberichte.htm"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schulatlas.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port-antisemitism.de/rias-bayern/" TargetMode="External"/><Relationship Id="rId22" Type="http://schemas.openxmlformats.org/officeDocument/2006/relationships/hyperlink" Target="https://www.destatis.de/DE/Themen/Branchen-Unternehmen/Landwirtschaft-Forstwirtschaft-Fischerei/Tiere-Tierische-Erzeugung/_inhalt.html%23sprg239762"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e.rt.com/inland/125512-schadlich-ndunverhaltnismassig-bayerische-eltern/" TargetMode="External"/><Relationship Id="rId3" Type="http://schemas.openxmlformats.org/officeDocument/2006/relationships/hyperlink" Target="https://www.nordbayern.de/region/feucht/ice-werk-bahn-will-munaareal-von-kampfmitteln-befreien-aber-nicht-dafur-zahlen-1.11193753" TargetMode="External"/><Relationship Id="rId7" Type="http://schemas.openxmlformats.org/officeDocument/2006/relationships/hyperlink" Target="https://www.rki.de/DE/Content/InfAZ/N/Neuartiges_Coronavirus/Situationsberichte/Wochenbericht/Wochenbericht_2021-10-07.pdf?__blob=publicationFile" TargetMode="External"/><Relationship Id="rId2" Type="http://schemas.openxmlformats.org/officeDocument/2006/relationships/hyperlink" Target="https://www.br.de/nachrichten/wirtschaft/bahn-lehnt-standort-interfranken-fuer-neues-ice-werk-ab,SXHh50t" TargetMode="External"/><Relationship Id="rId1" Type="http://schemas.openxmlformats.org/officeDocument/2006/relationships/hyperlink" Target="https://www.nordbayern.de/region/roth/ice-werk-bei-harrlach-oder-wendelstein-wir-gehen-auf-die-barrikaden-1.11327131" TargetMode="External"/><Relationship Id="rId6" Type="http://schemas.openxmlformats.org/officeDocument/2006/relationships/hyperlink" Target="https://www.dehst.de/SharedDocs/down-loads/DE/publikationen/VET-Bericht-2020.pdf?__blob=publicationFile&amp;v=4" TargetMode="External"/><Relationship Id="rId5" Type="http://schemas.openxmlformats.org/officeDocument/2006/relationships/hyperlink" Target="https://www.dehst.de/SiteGlobals/Forms/su-che/publikationssuche-formular.html?gtp=10276350_listProzent253D5" TargetMode="External"/><Relationship Id="rId4" Type="http://schemas.openxmlformats.org/officeDocument/2006/relationships/hyperlink" Target="https://www.fachkraeftebarometer.de/fileadmin/Redaktion/Publikation_FKB2017/Publikation_FKB2021/WiFF_FKB_2021_web.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5CE3-C860-47F2-8EF8-F30EBE8F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2</Pages>
  <Words>25732</Words>
  <Characters>162117</Characters>
  <Application>Microsoft Office Word</Application>
  <DocSecurity>8</DocSecurity>
  <Lines>1350</Lines>
  <Paragraphs>374</Paragraphs>
  <ScaleCrop>false</ScaleCrop>
  <HeadingPairs>
    <vt:vector size="2" baseType="variant">
      <vt:variant>
        <vt:lpstr>Titel</vt:lpstr>
      </vt:variant>
      <vt:variant>
        <vt:i4>1</vt:i4>
      </vt:variant>
    </vt:vector>
  </HeadingPairs>
  <TitlesOfParts>
    <vt:vector size="1" baseType="lpstr">
      <vt:lpstr>Drucksache 18/18542</vt:lpstr>
    </vt:vector>
  </TitlesOfParts>
  <Company>LfStaD</Company>
  <LinksUpToDate>false</LinksUpToDate>
  <CharactersWithSpaces>187475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18/18542</dc:title>
  <dc:creator>Geier, Stephanie</dc:creator>
  <cp:lastModifiedBy>Geier, Stephanie (Bay. Landtag)</cp:lastModifiedBy>
  <cp:revision>2</cp:revision>
  <cp:lastPrinted>2006-11-23T10:15:00Z</cp:lastPrinted>
  <dcterms:created xsi:type="dcterms:W3CDTF">2021-11-02T15:14:00Z</dcterms:created>
  <dcterms:modified xsi:type="dcterms:W3CDTF">2021-11-02T15:14:00Z</dcterms:modified>
</cp:coreProperties>
</file>