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374ED8">
      <w:pPr>
        <w:spacing w:before="72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7184" w:rsidRPr="00717184">
        <w:rPr>
          <w:b/>
        </w:rPr>
        <w:t xml:space="preserve"> </w:t>
      </w:r>
      <w:r w:rsidR="00824A6A">
        <w:rPr>
          <w:b/>
        </w:rPr>
        <w:t>10</w:t>
      </w:r>
      <w:r w:rsidR="00B04F18">
        <w:rPr>
          <w:b/>
        </w:rPr>
        <w:t>. April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374ED8">
      <w:pPr>
        <w:spacing w:before="600" w:after="36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730906" w:rsidRDefault="00463DFF" w:rsidP="00374ED8">
      <w:pPr>
        <w:pStyle w:val="Index2"/>
        <w:tabs>
          <w:tab w:val="right" w:leader="dot" w:pos="7644"/>
        </w:tabs>
        <w:rPr>
          <w:b/>
          <w:bCs/>
          <w:noProof/>
        </w:rPr>
        <w:sectPr w:rsidR="00730906" w:rsidSect="00730906">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bCs/>
          <w:noProof/>
        </w:rPr>
        <w:fldChar w:fldCharType="begin"/>
      </w:r>
      <w:r>
        <w:rPr>
          <w:b/>
          <w:bCs/>
          <w:noProof/>
        </w:rPr>
        <w:instrText xml:space="preserve"> INDEX \e " " \c "1" \z "1031" </w:instrText>
      </w:r>
      <w:r>
        <w:rPr>
          <w:b/>
          <w:bCs/>
          <w:noProof/>
        </w:rPr>
        <w:fldChar w:fldCharType="separate"/>
      </w:r>
    </w:p>
    <w:p w:rsidR="00730906" w:rsidRDefault="00730906">
      <w:pPr>
        <w:pStyle w:val="Index1"/>
        <w:tabs>
          <w:tab w:val="right" w:leader="dot" w:pos="7644"/>
        </w:tabs>
        <w:rPr>
          <w:noProof/>
        </w:rPr>
      </w:pPr>
      <w:r>
        <w:rPr>
          <w:noProof/>
        </w:rPr>
        <w:t>Adjei, Benjamin (BÜNDNIS 90/DIE GRÜNEN)</w:t>
      </w:r>
    </w:p>
    <w:p w:rsidR="00730906" w:rsidRDefault="00730906">
      <w:pPr>
        <w:pStyle w:val="Index2"/>
        <w:tabs>
          <w:tab w:val="right" w:leader="dot" w:pos="7644"/>
        </w:tabs>
        <w:rPr>
          <w:noProof/>
        </w:rPr>
      </w:pPr>
      <w:r>
        <w:rPr>
          <w:noProof/>
        </w:rPr>
        <w:t xml:space="preserve">Digital-TÜV </w:t>
      </w:r>
      <w:r>
        <w:rPr>
          <w:noProof/>
        </w:rPr>
        <w:tab/>
        <w:t>50</w:t>
      </w:r>
    </w:p>
    <w:p w:rsidR="00730906" w:rsidRDefault="00730906">
      <w:pPr>
        <w:pStyle w:val="Index1"/>
        <w:tabs>
          <w:tab w:val="right" w:leader="dot" w:pos="7644"/>
        </w:tabs>
        <w:rPr>
          <w:noProof/>
        </w:rPr>
      </w:pPr>
      <w:r>
        <w:rPr>
          <w:noProof/>
        </w:rPr>
        <w:t>Arnold, Horst (SPD)</w:t>
      </w:r>
    </w:p>
    <w:p w:rsidR="00730906" w:rsidRDefault="00730906">
      <w:pPr>
        <w:pStyle w:val="Index2"/>
        <w:tabs>
          <w:tab w:val="right" w:leader="dot" w:pos="7644"/>
        </w:tabs>
        <w:rPr>
          <w:noProof/>
        </w:rPr>
      </w:pPr>
      <w:r>
        <w:rPr>
          <w:noProof/>
        </w:rPr>
        <w:t xml:space="preserve">Prekäre Beschäftigung in Bayern </w:t>
      </w:r>
      <w:r>
        <w:rPr>
          <w:noProof/>
        </w:rPr>
        <w:tab/>
        <w:t>43</w:t>
      </w:r>
    </w:p>
    <w:p w:rsidR="00730906" w:rsidRDefault="00730906">
      <w:pPr>
        <w:pStyle w:val="Index1"/>
        <w:tabs>
          <w:tab w:val="right" w:leader="dot" w:pos="7644"/>
        </w:tabs>
        <w:rPr>
          <w:noProof/>
        </w:rPr>
      </w:pPr>
      <w:r>
        <w:rPr>
          <w:noProof/>
        </w:rPr>
        <w:t>Aures, Inge (SPD)</w:t>
      </w:r>
    </w:p>
    <w:p w:rsidR="00730906" w:rsidRDefault="00730906">
      <w:pPr>
        <w:pStyle w:val="Index2"/>
        <w:tabs>
          <w:tab w:val="right" w:leader="dot" w:pos="7644"/>
        </w:tabs>
        <w:rPr>
          <w:noProof/>
        </w:rPr>
      </w:pPr>
      <w:r>
        <w:rPr>
          <w:noProof/>
        </w:rPr>
        <w:t xml:space="preserve">Baukostenzuschüsse für Kindertageseinrichtungen </w:t>
      </w:r>
      <w:r>
        <w:rPr>
          <w:noProof/>
        </w:rPr>
        <w:tab/>
        <w:t>27</w:t>
      </w:r>
    </w:p>
    <w:p w:rsidR="00730906" w:rsidRDefault="00730906">
      <w:pPr>
        <w:pStyle w:val="Index1"/>
        <w:tabs>
          <w:tab w:val="right" w:leader="dot" w:pos="7644"/>
        </w:tabs>
        <w:rPr>
          <w:noProof/>
        </w:rPr>
      </w:pPr>
      <w:r>
        <w:rPr>
          <w:noProof/>
        </w:rPr>
        <w:t>Becher, Johannes (BÜNDNIS 90/DIE GRÜNEN)</w:t>
      </w:r>
    </w:p>
    <w:p w:rsidR="00730906" w:rsidRDefault="00730906">
      <w:pPr>
        <w:pStyle w:val="Index2"/>
        <w:tabs>
          <w:tab w:val="right" w:leader="dot" w:pos="7644"/>
        </w:tabs>
        <w:rPr>
          <w:noProof/>
        </w:rPr>
      </w:pPr>
      <w:r>
        <w:rPr>
          <w:noProof/>
        </w:rPr>
        <w:t>Kürzungen der Leistungen der wirtschaftlichen Jugendhilfe durch die Aus</w:t>
      </w:r>
      <w:r>
        <w:rPr>
          <w:noProof/>
        </w:rPr>
        <w:softHyphen/>
        <w:t>-</w:t>
      </w:r>
      <w:r>
        <w:rPr>
          <w:noProof/>
        </w:rPr>
        <w:br/>
        <w:t xml:space="preserve">weitung der Beitragszuschüsse auf die gesamte Kindergartenzeit </w:t>
      </w:r>
      <w:r>
        <w:rPr>
          <w:noProof/>
        </w:rPr>
        <w:tab/>
        <w:t>44</w:t>
      </w:r>
    </w:p>
    <w:p w:rsidR="00730906" w:rsidRDefault="00730906">
      <w:pPr>
        <w:pStyle w:val="Index1"/>
        <w:tabs>
          <w:tab w:val="right" w:leader="dot" w:pos="7644"/>
        </w:tabs>
        <w:rPr>
          <w:noProof/>
        </w:rPr>
      </w:pPr>
      <w:r>
        <w:rPr>
          <w:noProof/>
        </w:rPr>
        <w:t>Bergmüller, Franz (AfD)</w:t>
      </w:r>
    </w:p>
    <w:p w:rsidR="00730906" w:rsidRDefault="00730906">
      <w:pPr>
        <w:pStyle w:val="Index2"/>
        <w:tabs>
          <w:tab w:val="right" w:leader="dot" w:pos="7644"/>
        </w:tabs>
        <w:rPr>
          <w:noProof/>
        </w:rPr>
      </w:pPr>
      <w:r>
        <w:rPr>
          <w:noProof/>
        </w:rPr>
        <w:t xml:space="preserve">Vorkaufsrecht der öffentlichen Hand nach Art. 39 Abs. 1 Nr. 1 Bayerisches Naturschutzgesetz </w:t>
      </w:r>
      <w:r>
        <w:rPr>
          <w:noProof/>
        </w:rPr>
        <w:tab/>
        <w:t>34</w:t>
      </w:r>
    </w:p>
    <w:p w:rsidR="00730906" w:rsidRDefault="00730906">
      <w:pPr>
        <w:pStyle w:val="Index1"/>
        <w:tabs>
          <w:tab w:val="right" w:leader="dot" w:pos="7644"/>
        </w:tabs>
        <w:rPr>
          <w:noProof/>
        </w:rPr>
      </w:pPr>
      <w:r>
        <w:rPr>
          <w:noProof/>
        </w:rPr>
        <w:t>Bozo</w:t>
      </w:r>
      <w:r>
        <w:rPr>
          <w:rFonts w:cs="Arial"/>
          <w:noProof/>
        </w:rPr>
        <w:t>ğ</w:t>
      </w:r>
      <w:r>
        <w:rPr>
          <w:noProof/>
        </w:rPr>
        <w:t>lu, Cemal (BÜNDNIS 90/DIE GRÜNEN)</w:t>
      </w:r>
    </w:p>
    <w:p w:rsidR="00730906" w:rsidRDefault="00730906">
      <w:pPr>
        <w:pStyle w:val="Index2"/>
        <w:tabs>
          <w:tab w:val="right" w:leader="dot" w:pos="7644"/>
        </w:tabs>
        <w:rPr>
          <w:noProof/>
        </w:rPr>
      </w:pPr>
      <w:r>
        <w:rPr>
          <w:noProof/>
        </w:rPr>
        <w:t xml:space="preserve">Ausgleich der Straßenausbaubeiträge (Augsburg) </w:t>
      </w:r>
      <w:r>
        <w:rPr>
          <w:noProof/>
        </w:rPr>
        <w:tab/>
        <w:t>27</w:t>
      </w:r>
    </w:p>
    <w:p w:rsidR="00730906" w:rsidRDefault="00730906">
      <w:pPr>
        <w:pStyle w:val="Index1"/>
        <w:tabs>
          <w:tab w:val="right" w:leader="dot" w:pos="7644"/>
        </w:tabs>
        <w:rPr>
          <w:noProof/>
        </w:rPr>
      </w:pPr>
      <w:r>
        <w:rPr>
          <w:noProof/>
        </w:rPr>
        <w:t>von Brunn, Florian (SPD)</w:t>
      </w:r>
    </w:p>
    <w:p w:rsidR="00730906" w:rsidRDefault="00730906">
      <w:pPr>
        <w:pStyle w:val="Index2"/>
        <w:tabs>
          <w:tab w:val="right" w:leader="dot" w:pos="7644"/>
        </w:tabs>
        <w:rPr>
          <w:noProof/>
        </w:rPr>
      </w:pPr>
      <w:r>
        <w:rPr>
          <w:noProof/>
        </w:rPr>
        <w:t xml:space="preserve">Entschädigung der Betroffenen der Sicherheitspanne am Münchner Flughafen </w:t>
      </w:r>
      <w:r>
        <w:rPr>
          <w:noProof/>
        </w:rPr>
        <w:br/>
        <w:t xml:space="preserve">im Juli 2018 </w:t>
      </w:r>
      <w:r>
        <w:rPr>
          <w:noProof/>
        </w:rPr>
        <w:tab/>
        <w:t>10</w:t>
      </w:r>
    </w:p>
    <w:p w:rsidR="00730906" w:rsidRDefault="00730906">
      <w:pPr>
        <w:pStyle w:val="Index1"/>
        <w:tabs>
          <w:tab w:val="right" w:leader="dot" w:pos="7644"/>
        </w:tabs>
        <w:rPr>
          <w:noProof/>
        </w:rPr>
      </w:pPr>
      <w:r>
        <w:rPr>
          <w:noProof/>
        </w:rPr>
        <w:t>Büchler, Dr., Markus (BÜNDNIS 90/DIE GRÜNEN)</w:t>
      </w:r>
    </w:p>
    <w:p w:rsidR="00730906" w:rsidRDefault="00730906">
      <w:pPr>
        <w:pStyle w:val="Index2"/>
        <w:tabs>
          <w:tab w:val="right" w:leader="dot" w:pos="7644"/>
        </w:tabs>
        <w:rPr>
          <w:noProof/>
        </w:rPr>
      </w:pPr>
      <w:r>
        <w:rPr>
          <w:noProof/>
        </w:rPr>
        <w:t xml:space="preserve">Angekündigte Ausschreibung des Liniensterns Mühldorf im EU-Amtsblatt </w:t>
      </w:r>
      <w:r>
        <w:rPr>
          <w:noProof/>
        </w:rPr>
        <w:tab/>
        <w:t>10</w:t>
      </w:r>
    </w:p>
    <w:p w:rsidR="00730906" w:rsidRDefault="00730906">
      <w:pPr>
        <w:pStyle w:val="Index1"/>
        <w:tabs>
          <w:tab w:val="right" w:leader="dot" w:pos="7644"/>
        </w:tabs>
        <w:rPr>
          <w:noProof/>
        </w:rPr>
      </w:pPr>
      <w:r>
        <w:rPr>
          <w:noProof/>
        </w:rPr>
        <w:t>Celina, Kerstin (BÜNDNIS 90/DIE GRÜNEN)</w:t>
      </w:r>
    </w:p>
    <w:p w:rsidR="00730906" w:rsidRDefault="00730906">
      <w:pPr>
        <w:pStyle w:val="Index2"/>
        <w:tabs>
          <w:tab w:val="right" w:leader="dot" w:pos="7644"/>
        </w:tabs>
        <w:rPr>
          <w:noProof/>
        </w:rPr>
      </w:pPr>
      <w:r>
        <w:rPr>
          <w:noProof/>
        </w:rPr>
        <w:t xml:space="preserve">Unterstützungsangebote für </w:t>
      </w:r>
      <w:r>
        <w:rPr>
          <w:rFonts w:cs="Arial"/>
          <w:noProof/>
        </w:rPr>
        <w:t>„</w:t>
      </w:r>
      <w:r>
        <w:rPr>
          <w:noProof/>
        </w:rPr>
        <w:t xml:space="preserve">Care Leaver“ in Bayern </w:t>
      </w:r>
      <w:r>
        <w:rPr>
          <w:noProof/>
        </w:rPr>
        <w:tab/>
        <w:t>45</w:t>
      </w:r>
    </w:p>
    <w:p w:rsidR="00730906" w:rsidRDefault="00730906">
      <w:pPr>
        <w:pStyle w:val="Index1"/>
        <w:tabs>
          <w:tab w:val="right" w:leader="dot" w:pos="7644"/>
        </w:tabs>
        <w:rPr>
          <w:noProof/>
        </w:rPr>
      </w:pPr>
      <w:r>
        <w:rPr>
          <w:noProof/>
        </w:rPr>
        <w:t>Deisenhofer, Maximilian (BÜNDNIS 90/DIE GRÜNEN)</w:t>
      </w:r>
    </w:p>
    <w:p w:rsidR="00730906" w:rsidRDefault="00730906">
      <w:pPr>
        <w:pStyle w:val="Index2"/>
        <w:tabs>
          <w:tab w:val="right" w:leader="dot" w:pos="7644"/>
        </w:tabs>
        <w:rPr>
          <w:noProof/>
        </w:rPr>
      </w:pPr>
      <w:r>
        <w:rPr>
          <w:noProof/>
        </w:rPr>
        <w:t xml:space="preserve">Digitalbudget für Schulen </w:t>
      </w:r>
      <w:r>
        <w:rPr>
          <w:noProof/>
        </w:rPr>
        <w:tab/>
        <w:t>14</w:t>
      </w:r>
    </w:p>
    <w:p w:rsidR="00730906" w:rsidRDefault="00730906">
      <w:pPr>
        <w:pStyle w:val="Index1"/>
        <w:tabs>
          <w:tab w:val="right" w:leader="dot" w:pos="7644"/>
        </w:tabs>
        <w:rPr>
          <w:noProof/>
        </w:rPr>
      </w:pPr>
      <w:r>
        <w:rPr>
          <w:noProof/>
        </w:rPr>
        <w:t>Demirel, Gülseren (BÜNDNIS 90/DIE GRÜNEN)</w:t>
      </w:r>
    </w:p>
    <w:p w:rsidR="00730906" w:rsidRDefault="00730906">
      <w:pPr>
        <w:pStyle w:val="Index2"/>
        <w:tabs>
          <w:tab w:val="right" w:leader="dot" w:pos="7644"/>
        </w:tabs>
        <w:rPr>
          <w:noProof/>
        </w:rPr>
      </w:pPr>
      <w:r>
        <w:rPr>
          <w:noProof/>
        </w:rPr>
        <w:t xml:space="preserve">Dependance der ANKER-Einrichtung in München-Trudering </w:t>
      </w:r>
      <w:r>
        <w:rPr>
          <w:noProof/>
        </w:rPr>
        <w:tab/>
        <w:t>1</w:t>
      </w:r>
    </w:p>
    <w:p w:rsidR="00730906" w:rsidRDefault="00730906">
      <w:pPr>
        <w:pStyle w:val="Index1"/>
        <w:tabs>
          <w:tab w:val="right" w:leader="dot" w:pos="7644"/>
        </w:tabs>
        <w:rPr>
          <w:noProof/>
        </w:rPr>
      </w:pPr>
      <w:r>
        <w:rPr>
          <w:noProof/>
        </w:rPr>
        <w:t>Ebner-Steiner, Katrin (AfD)</w:t>
      </w:r>
    </w:p>
    <w:p w:rsidR="00730906" w:rsidRDefault="00730906">
      <w:pPr>
        <w:pStyle w:val="Index2"/>
        <w:tabs>
          <w:tab w:val="right" w:leader="dot" w:pos="7644"/>
        </w:tabs>
        <w:rPr>
          <w:noProof/>
        </w:rPr>
      </w:pPr>
      <w:r>
        <w:rPr>
          <w:noProof/>
        </w:rPr>
        <w:t>Wiederbelebung von stillgelegten Bahnstrecken</w:t>
      </w:r>
      <w:r>
        <w:rPr>
          <w:noProof/>
        </w:rPr>
        <w:tab/>
        <w:t xml:space="preserve"> 11</w:t>
      </w:r>
    </w:p>
    <w:p w:rsidR="00730906" w:rsidRDefault="00730906">
      <w:pPr>
        <w:pStyle w:val="Index1"/>
        <w:tabs>
          <w:tab w:val="right" w:leader="dot" w:pos="7644"/>
        </w:tabs>
        <w:rPr>
          <w:noProof/>
        </w:rPr>
      </w:pPr>
      <w:r>
        <w:rPr>
          <w:noProof/>
        </w:rPr>
        <w:lastRenderedPageBreak/>
        <w:t>Fehlner, Martina (SPD)</w:t>
      </w:r>
    </w:p>
    <w:p w:rsidR="00730906" w:rsidRDefault="00730906">
      <w:pPr>
        <w:pStyle w:val="Index2"/>
        <w:tabs>
          <w:tab w:val="right" w:leader="dot" w:pos="7644"/>
        </w:tabs>
        <w:rPr>
          <w:noProof/>
        </w:rPr>
      </w:pPr>
      <w:r>
        <w:rPr>
          <w:noProof/>
        </w:rPr>
        <w:t xml:space="preserve">Gewerbliche Nutztierhaltung in Bayern </w:t>
      </w:r>
      <w:r>
        <w:rPr>
          <w:noProof/>
        </w:rPr>
        <w:tab/>
        <w:t>38</w:t>
      </w:r>
    </w:p>
    <w:p w:rsidR="00730906" w:rsidRDefault="00730906">
      <w:pPr>
        <w:pStyle w:val="Index1"/>
        <w:tabs>
          <w:tab w:val="right" w:leader="dot" w:pos="7644"/>
        </w:tabs>
        <w:rPr>
          <w:noProof/>
        </w:rPr>
      </w:pPr>
      <w:r>
        <w:rPr>
          <w:noProof/>
        </w:rPr>
        <w:t>Fischbach, Matthias (FDP)</w:t>
      </w:r>
    </w:p>
    <w:p w:rsidR="00730906" w:rsidRDefault="00730906">
      <w:pPr>
        <w:pStyle w:val="Index2"/>
        <w:tabs>
          <w:tab w:val="right" w:leader="dot" w:pos="7644"/>
        </w:tabs>
        <w:rPr>
          <w:noProof/>
        </w:rPr>
      </w:pPr>
      <w:r>
        <w:rPr>
          <w:noProof/>
        </w:rPr>
        <w:t xml:space="preserve">Umsetzung des Ziels 50.000 digitaler Klassenzimmer in Bayern </w:t>
      </w:r>
      <w:r>
        <w:rPr>
          <w:noProof/>
        </w:rPr>
        <w:tab/>
        <w:t>15</w:t>
      </w:r>
    </w:p>
    <w:p w:rsidR="00730906" w:rsidRDefault="00730906">
      <w:pPr>
        <w:pStyle w:val="Index1"/>
        <w:tabs>
          <w:tab w:val="right" w:leader="dot" w:pos="7644"/>
        </w:tabs>
        <w:rPr>
          <w:noProof/>
        </w:rPr>
      </w:pPr>
      <w:r>
        <w:rPr>
          <w:noProof/>
        </w:rPr>
        <w:t>Friedl, Patrick (BÜNDNIS 90/DIE GRÜNEN)</w:t>
      </w:r>
    </w:p>
    <w:p w:rsidR="00730906" w:rsidRDefault="00730906">
      <w:pPr>
        <w:pStyle w:val="Index2"/>
        <w:tabs>
          <w:tab w:val="right" w:leader="dot" w:pos="7644"/>
        </w:tabs>
        <w:rPr>
          <w:noProof/>
        </w:rPr>
      </w:pPr>
      <w:r>
        <w:rPr>
          <w:noProof/>
        </w:rPr>
        <w:t xml:space="preserve">Mittelerhalt und Mittelverwendung des Tourismusverbands Franken e. V. </w:t>
      </w:r>
      <w:r w:rsidR="00446A87">
        <w:rPr>
          <w:noProof/>
        </w:rPr>
        <w:br/>
      </w:r>
      <w:r>
        <w:rPr>
          <w:noProof/>
        </w:rPr>
        <w:t xml:space="preserve">und seiner Gebietsausschüsse </w:t>
      </w:r>
      <w:r>
        <w:rPr>
          <w:noProof/>
        </w:rPr>
        <w:tab/>
        <w:t>30</w:t>
      </w:r>
    </w:p>
    <w:p w:rsidR="00730906" w:rsidRDefault="00730906">
      <w:pPr>
        <w:pStyle w:val="Index1"/>
        <w:tabs>
          <w:tab w:val="right" w:leader="dot" w:pos="7644"/>
        </w:tabs>
        <w:rPr>
          <w:noProof/>
        </w:rPr>
      </w:pPr>
      <w:r>
        <w:rPr>
          <w:noProof/>
        </w:rPr>
        <w:t>Fuchs, Barbara (BÜNDNIS 90/DIE GRÜNEN)</w:t>
      </w:r>
    </w:p>
    <w:p w:rsidR="00730906" w:rsidRDefault="00730906">
      <w:pPr>
        <w:pStyle w:val="Index2"/>
        <w:tabs>
          <w:tab w:val="right" w:leader="dot" w:pos="7644"/>
        </w:tabs>
        <w:rPr>
          <w:noProof/>
        </w:rPr>
      </w:pPr>
      <w:r>
        <w:rPr>
          <w:noProof/>
        </w:rPr>
        <w:t xml:space="preserve">Demonstrationszentrum Handwerk Innovativ </w:t>
      </w:r>
      <w:r>
        <w:rPr>
          <w:noProof/>
        </w:rPr>
        <w:tab/>
        <w:t>30</w:t>
      </w:r>
    </w:p>
    <w:p w:rsidR="00730906" w:rsidRDefault="00730906">
      <w:pPr>
        <w:pStyle w:val="Index1"/>
        <w:tabs>
          <w:tab w:val="right" w:leader="dot" w:pos="7644"/>
        </w:tabs>
        <w:rPr>
          <w:noProof/>
        </w:rPr>
      </w:pPr>
      <w:r>
        <w:rPr>
          <w:noProof/>
        </w:rPr>
        <w:t>Ganserer, Markus (Tessa) (BÜNDNIS 90/DIE GRÜNEN)</w:t>
      </w:r>
    </w:p>
    <w:p w:rsidR="00730906" w:rsidRDefault="00730906">
      <w:pPr>
        <w:pStyle w:val="Index2"/>
        <w:tabs>
          <w:tab w:val="right" w:leader="dot" w:pos="7644"/>
        </w:tabs>
        <w:rPr>
          <w:noProof/>
        </w:rPr>
      </w:pPr>
      <w:r>
        <w:rPr>
          <w:noProof/>
        </w:rPr>
        <w:t xml:space="preserve">Korrektur des Bildungsplans für Akzeptanz von LGBTIQ*-Personen </w:t>
      </w:r>
      <w:r>
        <w:rPr>
          <w:noProof/>
        </w:rPr>
        <w:tab/>
        <w:t>17</w:t>
      </w:r>
    </w:p>
    <w:p w:rsidR="00730906" w:rsidRDefault="00730906">
      <w:pPr>
        <w:pStyle w:val="Index1"/>
        <w:tabs>
          <w:tab w:val="right" w:leader="dot" w:pos="7644"/>
        </w:tabs>
        <w:rPr>
          <w:noProof/>
        </w:rPr>
      </w:pPr>
      <w:r>
        <w:rPr>
          <w:noProof/>
        </w:rPr>
        <w:t>Gehring, Thomas (BÜNDNIS 90/DIE GRÜNEN)</w:t>
      </w:r>
    </w:p>
    <w:p w:rsidR="00730906" w:rsidRDefault="00730906">
      <w:pPr>
        <w:pStyle w:val="Index2"/>
        <w:tabs>
          <w:tab w:val="right" w:leader="dot" w:pos="7644"/>
        </w:tabs>
        <w:rPr>
          <w:noProof/>
        </w:rPr>
      </w:pPr>
      <w:r>
        <w:rPr>
          <w:noProof/>
        </w:rPr>
        <w:t xml:space="preserve">Unterricht durch Referendarinnen und Referendare im 4. Grundschuljahr </w:t>
      </w:r>
      <w:r>
        <w:rPr>
          <w:noProof/>
        </w:rPr>
        <w:tab/>
        <w:t>19</w:t>
      </w:r>
    </w:p>
    <w:p w:rsidR="00730906" w:rsidRDefault="00730906">
      <w:pPr>
        <w:pStyle w:val="Index1"/>
        <w:tabs>
          <w:tab w:val="right" w:leader="dot" w:pos="7644"/>
        </w:tabs>
        <w:rPr>
          <w:noProof/>
        </w:rPr>
      </w:pPr>
      <w:r>
        <w:rPr>
          <w:noProof/>
        </w:rPr>
        <w:t>Hagen, Martin (FDP)</w:t>
      </w:r>
    </w:p>
    <w:p w:rsidR="00730906" w:rsidRDefault="00730906">
      <w:pPr>
        <w:pStyle w:val="Index2"/>
        <w:tabs>
          <w:tab w:val="right" w:leader="dot" w:pos="7644"/>
        </w:tabs>
        <w:rPr>
          <w:noProof/>
        </w:rPr>
      </w:pPr>
      <w:r>
        <w:rPr>
          <w:noProof/>
        </w:rPr>
        <w:t xml:space="preserve">Asylfolgeantrag des vietnamesischen Autors und Menschrechtsaktivisten Herrn Quang Hong Nhan </w:t>
      </w:r>
      <w:r>
        <w:rPr>
          <w:noProof/>
        </w:rPr>
        <w:tab/>
        <w:t>2</w:t>
      </w:r>
    </w:p>
    <w:p w:rsidR="00730906" w:rsidRDefault="00730906">
      <w:pPr>
        <w:pStyle w:val="Index1"/>
        <w:tabs>
          <w:tab w:val="right" w:leader="dot" w:pos="7644"/>
        </w:tabs>
        <w:rPr>
          <w:noProof/>
        </w:rPr>
      </w:pPr>
      <w:r>
        <w:rPr>
          <w:noProof/>
        </w:rPr>
        <w:t>Hartmann, Ludwig (BÜNDNIS 90/DIE GRÜNEN)</w:t>
      </w:r>
    </w:p>
    <w:p w:rsidR="00730906" w:rsidRDefault="00730906">
      <w:pPr>
        <w:pStyle w:val="Index2"/>
        <w:tabs>
          <w:tab w:val="right" w:leader="dot" w:pos="7644"/>
        </w:tabs>
        <w:rPr>
          <w:noProof/>
        </w:rPr>
      </w:pPr>
      <w:r>
        <w:rPr>
          <w:noProof/>
        </w:rPr>
        <w:t>Zustand der bayerischen Grundwasserkörper</w:t>
      </w:r>
      <w:r>
        <w:rPr>
          <w:noProof/>
        </w:rPr>
        <w:tab/>
        <w:t xml:space="preserve"> 35</w:t>
      </w:r>
    </w:p>
    <w:p w:rsidR="00730906" w:rsidRDefault="00730906">
      <w:pPr>
        <w:pStyle w:val="Index1"/>
        <w:tabs>
          <w:tab w:val="right" w:leader="dot" w:pos="7644"/>
        </w:tabs>
        <w:rPr>
          <w:noProof/>
        </w:rPr>
      </w:pPr>
      <w:r>
        <w:rPr>
          <w:noProof/>
        </w:rPr>
        <w:t>Haubrich, Christina (BÜNDNIS 90/DIE GRÜNEN)</w:t>
      </w:r>
    </w:p>
    <w:p w:rsidR="00730906" w:rsidRDefault="00730906">
      <w:pPr>
        <w:pStyle w:val="Index2"/>
        <w:tabs>
          <w:tab w:val="right" w:leader="dot" w:pos="7644"/>
        </w:tabs>
        <w:rPr>
          <w:noProof/>
        </w:rPr>
      </w:pPr>
      <w:r>
        <w:rPr>
          <w:noProof/>
        </w:rPr>
        <w:t>Status Gesundheitsbonus</w:t>
      </w:r>
      <w:r>
        <w:rPr>
          <w:noProof/>
        </w:rPr>
        <w:tab/>
        <w:t xml:space="preserve"> 21</w:t>
      </w:r>
    </w:p>
    <w:p w:rsidR="00730906" w:rsidRDefault="00730906">
      <w:pPr>
        <w:pStyle w:val="Index1"/>
        <w:tabs>
          <w:tab w:val="right" w:leader="dot" w:pos="7644"/>
        </w:tabs>
        <w:rPr>
          <w:noProof/>
        </w:rPr>
      </w:pPr>
      <w:r>
        <w:rPr>
          <w:noProof/>
        </w:rPr>
        <w:t>Hierneis, Christian (BÜNDNIS 90/DIE GRÜNEN)</w:t>
      </w:r>
    </w:p>
    <w:p w:rsidR="00730906" w:rsidRDefault="00730906">
      <w:pPr>
        <w:pStyle w:val="Index2"/>
        <w:tabs>
          <w:tab w:val="right" w:leader="dot" w:pos="7644"/>
        </w:tabs>
        <w:rPr>
          <w:noProof/>
        </w:rPr>
      </w:pPr>
      <w:r>
        <w:rPr>
          <w:noProof/>
        </w:rPr>
        <w:t xml:space="preserve">Alter Botanischer Garten </w:t>
      </w:r>
      <w:r>
        <w:rPr>
          <w:noProof/>
        </w:rPr>
        <w:tab/>
        <w:t>12</w:t>
      </w:r>
    </w:p>
    <w:p w:rsidR="00730906" w:rsidRDefault="00730906">
      <w:pPr>
        <w:pStyle w:val="Index1"/>
        <w:tabs>
          <w:tab w:val="right" w:leader="dot" w:pos="7644"/>
        </w:tabs>
        <w:rPr>
          <w:noProof/>
        </w:rPr>
      </w:pPr>
      <w:r>
        <w:rPr>
          <w:noProof/>
        </w:rPr>
        <w:t>Karl, Annette (SPD)</w:t>
      </w:r>
    </w:p>
    <w:p w:rsidR="00730906" w:rsidRDefault="00730906">
      <w:pPr>
        <w:pStyle w:val="Index2"/>
        <w:tabs>
          <w:tab w:val="right" w:leader="dot" w:pos="7644"/>
        </w:tabs>
        <w:rPr>
          <w:noProof/>
        </w:rPr>
      </w:pPr>
      <w:r>
        <w:rPr>
          <w:noProof/>
        </w:rPr>
        <w:t xml:space="preserve">Ausweitung von Verkehrsverbünden </w:t>
      </w:r>
      <w:r>
        <w:rPr>
          <w:noProof/>
        </w:rPr>
        <w:tab/>
        <w:t>12</w:t>
      </w:r>
    </w:p>
    <w:p w:rsidR="00730906" w:rsidRDefault="00730906">
      <w:pPr>
        <w:pStyle w:val="Index1"/>
        <w:tabs>
          <w:tab w:val="right" w:leader="dot" w:pos="7644"/>
        </w:tabs>
        <w:rPr>
          <w:noProof/>
        </w:rPr>
      </w:pPr>
      <w:r>
        <w:rPr>
          <w:noProof/>
        </w:rPr>
        <w:t>Knoblach, Paul (BÜNDNIS 90/DIE GRÜNEN)</w:t>
      </w:r>
    </w:p>
    <w:p w:rsidR="00730906" w:rsidRDefault="00730906">
      <w:pPr>
        <w:pStyle w:val="Index2"/>
        <w:tabs>
          <w:tab w:val="right" w:leader="dot" w:pos="7644"/>
        </w:tabs>
        <w:rPr>
          <w:noProof/>
        </w:rPr>
      </w:pPr>
      <w:r>
        <w:rPr>
          <w:noProof/>
        </w:rPr>
        <w:t xml:space="preserve">Ergebnisse der Ministerrunde mit Bundeswirtschaftsminister Peter Altmaier </w:t>
      </w:r>
      <w:r>
        <w:rPr>
          <w:noProof/>
        </w:rPr>
        <w:br/>
        <w:t xml:space="preserve">zum Stromleitungsbau P43 und P44 </w:t>
      </w:r>
      <w:r>
        <w:rPr>
          <w:noProof/>
        </w:rPr>
        <w:tab/>
        <w:t>31</w:t>
      </w:r>
    </w:p>
    <w:p w:rsidR="00730906" w:rsidRDefault="00730906">
      <w:pPr>
        <w:pStyle w:val="Index1"/>
        <w:tabs>
          <w:tab w:val="right" w:leader="dot" w:pos="7644"/>
        </w:tabs>
        <w:rPr>
          <w:noProof/>
        </w:rPr>
      </w:pPr>
      <w:r>
        <w:rPr>
          <w:noProof/>
        </w:rPr>
        <w:t>Köhler, Claudia (BÜNDNIS 90/DIE GRÜNEN)</w:t>
      </w:r>
    </w:p>
    <w:p w:rsidR="00730906" w:rsidRDefault="00730906">
      <w:pPr>
        <w:pStyle w:val="Index2"/>
        <w:tabs>
          <w:tab w:val="right" w:leader="dot" w:pos="7644"/>
        </w:tabs>
        <w:rPr>
          <w:noProof/>
        </w:rPr>
      </w:pPr>
      <w:r>
        <w:rPr>
          <w:noProof/>
        </w:rPr>
        <w:t>Anzahl der Förderschulen in Bayern</w:t>
      </w:r>
      <w:r>
        <w:rPr>
          <w:noProof/>
        </w:rPr>
        <w:tab/>
        <w:t xml:space="preserve"> 23</w:t>
      </w:r>
    </w:p>
    <w:p w:rsidR="00730906" w:rsidRDefault="00730906">
      <w:pPr>
        <w:pStyle w:val="Index1"/>
        <w:tabs>
          <w:tab w:val="right" w:leader="dot" w:pos="7644"/>
        </w:tabs>
        <w:rPr>
          <w:noProof/>
        </w:rPr>
      </w:pPr>
      <w:r>
        <w:rPr>
          <w:noProof/>
        </w:rPr>
        <w:t>Krahl, Andreas (BÜNDNIS 90/DIE GRÜNEN)</w:t>
      </w:r>
    </w:p>
    <w:p w:rsidR="00730906" w:rsidRDefault="00730906">
      <w:pPr>
        <w:pStyle w:val="Index2"/>
        <w:tabs>
          <w:tab w:val="right" w:leader="dot" w:pos="7644"/>
        </w:tabs>
        <w:rPr>
          <w:noProof/>
        </w:rPr>
      </w:pPr>
      <w:r>
        <w:rPr>
          <w:noProof/>
        </w:rPr>
        <w:t xml:space="preserve">Entwicklung der Schülerinnen- und Schülerzahlen der Landwirtschaftsschule Weilheim in OB. im Verlauf der vergangenen Dekade </w:t>
      </w:r>
      <w:r>
        <w:rPr>
          <w:noProof/>
        </w:rPr>
        <w:tab/>
        <w:t>38</w:t>
      </w:r>
    </w:p>
    <w:p w:rsidR="00730906" w:rsidRDefault="00730906">
      <w:pPr>
        <w:pStyle w:val="Index1"/>
        <w:tabs>
          <w:tab w:val="right" w:leader="dot" w:pos="7644"/>
        </w:tabs>
        <w:rPr>
          <w:noProof/>
        </w:rPr>
      </w:pPr>
      <w:r>
        <w:rPr>
          <w:noProof/>
        </w:rPr>
        <w:t>Kurz, Susanne (BÜNDNIS 90/DIE GRÜNEN)</w:t>
      </w:r>
    </w:p>
    <w:p w:rsidR="00730906" w:rsidRDefault="00730906">
      <w:pPr>
        <w:pStyle w:val="Index2"/>
        <w:tabs>
          <w:tab w:val="right" w:leader="dot" w:pos="7644"/>
        </w:tabs>
        <w:rPr>
          <w:noProof/>
        </w:rPr>
      </w:pPr>
      <w:r>
        <w:rPr>
          <w:noProof/>
        </w:rPr>
        <w:t xml:space="preserve">Biennale Bavaria </w:t>
      </w:r>
      <w:r>
        <w:rPr>
          <w:noProof/>
        </w:rPr>
        <w:tab/>
        <w:t>50</w:t>
      </w:r>
    </w:p>
    <w:p w:rsidR="00730906" w:rsidRDefault="00730906">
      <w:pPr>
        <w:pStyle w:val="Index1"/>
        <w:tabs>
          <w:tab w:val="right" w:leader="dot" w:pos="7644"/>
        </w:tabs>
        <w:rPr>
          <w:noProof/>
        </w:rPr>
      </w:pPr>
      <w:r>
        <w:rPr>
          <w:noProof/>
        </w:rPr>
        <w:t>Lettenbauer, Eva (BÜNDNIS 90/DIE GRÜNEN)</w:t>
      </w:r>
    </w:p>
    <w:p w:rsidR="00730906" w:rsidRDefault="00730906">
      <w:pPr>
        <w:pStyle w:val="Index2"/>
        <w:tabs>
          <w:tab w:val="right" w:leader="dot" w:pos="7644"/>
        </w:tabs>
        <w:rPr>
          <w:noProof/>
        </w:rPr>
      </w:pPr>
      <w:r>
        <w:rPr>
          <w:noProof/>
        </w:rPr>
        <w:t xml:space="preserve">Landwirtschaftliche Entwicklung in den Landkreisen Donau-Ries und Dillingen </w:t>
      </w:r>
      <w:r>
        <w:rPr>
          <w:noProof/>
        </w:rPr>
        <w:br/>
        <w:t xml:space="preserve">a. d. Donau </w:t>
      </w:r>
      <w:r>
        <w:rPr>
          <w:noProof/>
        </w:rPr>
        <w:tab/>
        <w:t>39</w:t>
      </w:r>
    </w:p>
    <w:p w:rsidR="00730906" w:rsidRDefault="00730906">
      <w:pPr>
        <w:pStyle w:val="Index1"/>
        <w:tabs>
          <w:tab w:val="right" w:leader="dot" w:pos="7644"/>
        </w:tabs>
        <w:rPr>
          <w:noProof/>
        </w:rPr>
      </w:pPr>
      <w:r>
        <w:rPr>
          <w:noProof/>
        </w:rPr>
        <w:t>Magerl, Roland (AfD)</w:t>
      </w:r>
    </w:p>
    <w:p w:rsidR="00730906" w:rsidRDefault="00730906">
      <w:pPr>
        <w:pStyle w:val="Index2"/>
        <w:tabs>
          <w:tab w:val="right" w:leader="dot" w:pos="7644"/>
        </w:tabs>
        <w:rPr>
          <w:noProof/>
        </w:rPr>
      </w:pPr>
      <w:r>
        <w:rPr>
          <w:noProof/>
        </w:rPr>
        <w:t xml:space="preserve">Entwicklung der Bettenkapazität bayerischer Krankenhäusern in Bezug auf die Mortalität </w:t>
      </w:r>
      <w:r>
        <w:rPr>
          <w:noProof/>
        </w:rPr>
        <w:tab/>
        <w:t>48</w:t>
      </w:r>
    </w:p>
    <w:p w:rsidR="00730906" w:rsidRDefault="00730906">
      <w:pPr>
        <w:pStyle w:val="Index1"/>
        <w:tabs>
          <w:tab w:val="right" w:leader="dot" w:pos="7644"/>
        </w:tabs>
        <w:rPr>
          <w:noProof/>
        </w:rPr>
      </w:pPr>
      <w:r>
        <w:rPr>
          <w:noProof/>
        </w:rPr>
        <w:t>Maier, Christoph (AfD)</w:t>
      </w:r>
    </w:p>
    <w:p w:rsidR="00730906" w:rsidRDefault="00730906">
      <w:pPr>
        <w:pStyle w:val="Index2"/>
        <w:tabs>
          <w:tab w:val="right" w:leader="dot" w:pos="7644"/>
        </w:tabs>
        <w:rPr>
          <w:noProof/>
        </w:rPr>
      </w:pPr>
      <w:r>
        <w:rPr>
          <w:noProof/>
        </w:rPr>
        <w:t xml:space="preserve">Umwandlung von Lebenspartnerschaften in </w:t>
      </w:r>
      <w:r>
        <w:rPr>
          <w:rFonts w:cs="Arial"/>
          <w:noProof/>
        </w:rPr>
        <w:t>„</w:t>
      </w:r>
      <w:r>
        <w:rPr>
          <w:noProof/>
        </w:rPr>
        <w:t>Ehen“</w:t>
      </w:r>
      <w:r>
        <w:rPr>
          <w:noProof/>
        </w:rPr>
        <w:tab/>
        <w:t xml:space="preserve"> 3</w:t>
      </w:r>
    </w:p>
    <w:p w:rsidR="00730906" w:rsidRDefault="00730906">
      <w:pPr>
        <w:pStyle w:val="Index1"/>
        <w:tabs>
          <w:tab w:val="right" w:leader="dot" w:pos="7644"/>
        </w:tabs>
        <w:rPr>
          <w:noProof/>
        </w:rPr>
      </w:pPr>
      <w:r>
        <w:rPr>
          <w:noProof/>
        </w:rPr>
        <w:t>Müller, Ruth (SPD)</w:t>
      </w:r>
    </w:p>
    <w:p w:rsidR="00730906" w:rsidRDefault="00730906">
      <w:pPr>
        <w:pStyle w:val="Index2"/>
        <w:tabs>
          <w:tab w:val="right" w:leader="dot" w:pos="7644"/>
        </w:tabs>
        <w:rPr>
          <w:noProof/>
        </w:rPr>
      </w:pPr>
      <w:r>
        <w:rPr>
          <w:noProof/>
        </w:rPr>
        <w:t xml:space="preserve">Tierschutzgerechte Weide- und Hofschlachtungen in Bayern </w:t>
      </w:r>
      <w:r>
        <w:rPr>
          <w:noProof/>
        </w:rPr>
        <w:tab/>
        <w:t>36</w:t>
      </w:r>
    </w:p>
    <w:p w:rsidR="00730906" w:rsidRDefault="00730906">
      <w:pPr>
        <w:pStyle w:val="Index1"/>
        <w:tabs>
          <w:tab w:val="right" w:leader="dot" w:pos="7644"/>
        </w:tabs>
        <w:rPr>
          <w:noProof/>
        </w:rPr>
      </w:pPr>
      <w:r>
        <w:rPr>
          <w:noProof/>
        </w:rPr>
        <w:t>Osgyan, Verena (BÜNDNIS 90/DIE GRÜNEN)</w:t>
      </w:r>
    </w:p>
    <w:p w:rsidR="00730906" w:rsidRDefault="00730906">
      <w:pPr>
        <w:pStyle w:val="Index2"/>
        <w:tabs>
          <w:tab w:val="right" w:leader="dot" w:pos="7644"/>
        </w:tabs>
        <w:rPr>
          <w:noProof/>
        </w:rPr>
      </w:pPr>
      <w:r>
        <w:rPr>
          <w:noProof/>
        </w:rPr>
        <w:t xml:space="preserve">Fördergelder für entfallene Straßenausbau- und Erschließungsbeiträge </w:t>
      </w:r>
      <w:r>
        <w:rPr>
          <w:noProof/>
        </w:rPr>
        <w:tab/>
        <w:t>28</w:t>
      </w:r>
    </w:p>
    <w:p w:rsidR="00730906" w:rsidRDefault="00730906">
      <w:pPr>
        <w:pStyle w:val="Index1"/>
        <w:tabs>
          <w:tab w:val="right" w:leader="dot" w:pos="7644"/>
        </w:tabs>
        <w:rPr>
          <w:noProof/>
        </w:rPr>
      </w:pPr>
      <w:r>
        <w:rPr>
          <w:noProof/>
        </w:rPr>
        <w:t>Rauscher, Doris (SPD)</w:t>
      </w:r>
    </w:p>
    <w:p w:rsidR="00730906" w:rsidRDefault="00730906">
      <w:pPr>
        <w:pStyle w:val="Index2"/>
        <w:tabs>
          <w:tab w:val="right" w:leader="dot" w:pos="7644"/>
        </w:tabs>
        <w:rPr>
          <w:noProof/>
        </w:rPr>
      </w:pPr>
      <w:r>
        <w:rPr>
          <w:noProof/>
        </w:rPr>
        <w:t xml:space="preserve">Zone 30 bei Staatsstraßen </w:t>
      </w:r>
      <w:r>
        <w:rPr>
          <w:noProof/>
        </w:rPr>
        <w:tab/>
        <w:t>3</w:t>
      </w:r>
    </w:p>
    <w:p w:rsidR="00730906" w:rsidRDefault="00730906">
      <w:pPr>
        <w:pStyle w:val="Index1"/>
        <w:tabs>
          <w:tab w:val="right" w:leader="dot" w:pos="7644"/>
        </w:tabs>
        <w:rPr>
          <w:noProof/>
        </w:rPr>
      </w:pPr>
      <w:r>
        <w:rPr>
          <w:noProof/>
        </w:rPr>
        <w:t>Rinderspacher, Markus (SPD)</w:t>
      </w:r>
    </w:p>
    <w:p w:rsidR="00730906" w:rsidRDefault="00730906">
      <w:pPr>
        <w:pStyle w:val="Index2"/>
        <w:tabs>
          <w:tab w:val="right" w:leader="dot" w:pos="7644"/>
        </w:tabs>
        <w:rPr>
          <w:noProof/>
        </w:rPr>
      </w:pPr>
      <w:r>
        <w:rPr>
          <w:noProof/>
        </w:rPr>
        <w:t xml:space="preserve">Folgen des Staatsbesuchs 2017 in Russland </w:t>
      </w:r>
      <w:r>
        <w:rPr>
          <w:noProof/>
        </w:rPr>
        <w:tab/>
        <w:t>25</w:t>
      </w:r>
    </w:p>
    <w:p w:rsidR="00730906" w:rsidRDefault="00730906">
      <w:pPr>
        <w:pStyle w:val="Index1"/>
        <w:tabs>
          <w:tab w:val="right" w:leader="dot" w:pos="7644"/>
        </w:tabs>
        <w:rPr>
          <w:noProof/>
        </w:rPr>
      </w:pPr>
      <w:r>
        <w:rPr>
          <w:noProof/>
        </w:rPr>
        <w:t>Ritter, Florian (SPD)</w:t>
      </w:r>
    </w:p>
    <w:p w:rsidR="00730906" w:rsidRDefault="00730906">
      <w:pPr>
        <w:pStyle w:val="Index2"/>
        <w:tabs>
          <w:tab w:val="right" w:leader="dot" w:pos="7644"/>
        </w:tabs>
        <w:rPr>
          <w:noProof/>
        </w:rPr>
      </w:pPr>
      <w:r>
        <w:rPr>
          <w:noProof/>
        </w:rPr>
        <w:t xml:space="preserve">Bedarf an Schulturnhallen </w:t>
      </w:r>
      <w:r>
        <w:rPr>
          <w:noProof/>
        </w:rPr>
        <w:tab/>
        <w:t>24</w:t>
      </w:r>
    </w:p>
    <w:p w:rsidR="00730906" w:rsidRDefault="00730906">
      <w:pPr>
        <w:pStyle w:val="Index1"/>
        <w:tabs>
          <w:tab w:val="right" w:leader="dot" w:pos="7644"/>
        </w:tabs>
        <w:rPr>
          <w:noProof/>
        </w:rPr>
      </w:pPr>
      <w:r>
        <w:rPr>
          <w:noProof/>
        </w:rPr>
        <w:t>Schuberl, Toni (BÜNDNIS 90/DIE GRÜNEN)</w:t>
      </w:r>
    </w:p>
    <w:p w:rsidR="00730906" w:rsidRDefault="00730906">
      <w:pPr>
        <w:pStyle w:val="Index2"/>
        <w:tabs>
          <w:tab w:val="right" w:leader="dot" w:pos="7644"/>
        </w:tabs>
        <w:rPr>
          <w:noProof/>
        </w:rPr>
      </w:pPr>
      <w:r>
        <w:rPr>
          <w:noProof/>
        </w:rPr>
        <w:t>Ausstellung eines Visums trotz Einreisesperre</w:t>
      </w:r>
      <w:r>
        <w:rPr>
          <w:noProof/>
        </w:rPr>
        <w:tab/>
        <w:t xml:space="preserve"> 4</w:t>
      </w:r>
    </w:p>
    <w:p w:rsidR="00730906" w:rsidRDefault="00730906">
      <w:pPr>
        <w:pStyle w:val="Index1"/>
        <w:tabs>
          <w:tab w:val="right" w:leader="dot" w:pos="7644"/>
        </w:tabs>
        <w:rPr>
          <w:noProof/>
        </w:rPr>
      </w:pPr>
      <w:r>
        <w:rPr>
          <w:noProof/>
        </w:rPr>
        <w:t>Schuhknecht, Stephanie (BÜNDNIS 90/DIE GRÜNEN)</w:t>
      </w:r>
    </w:p>
    <w:p w:rsidR="00730906" w:rsidRDefault="00730906">
      <w:pPr>
        <w:pStyle w:val="Index2"/>
        <w:tabs>
          <w:tab w:val="right" w:leader="dot" w:pos="7644"/>
        </w:tabs>
        <w:rPr>
          <w:noProof/>
        </w:rPr>
      </w:pPr>
      <w:r>
        <w:rPr>
          <w:noProof/>
        </w:rPr>
        <w:t xml:space="preserve">Klagen gegen Windkraftanlagen in Bayern </w:t>
      </w:r>
      <w:r>
        <w:rPr>
          <w:noProof/>
        </w:rPr>
        <w:tab/>
        <w:t>32</w:t>
      </w:r>
    </w:p>
    <w:p w:rsidR="00730906" w:rsidRDefault="00730906">
      <w:pPr>
        <w:pStyle w:val="Index1"/>
        <w:tabs>
          <w:tab w:val="right" w:leader="dot" w:pos="7644"/>
        </w:tabs>
        <w:rPr>
          <w:noProof/>
        </w:rPr>
      </w:pPr>
      <w:r>
        <w:rPr>
          <w:noProof/>
        </w:rPr>
        <w:t>Schulze, Katharina (BÜNDNIS 90/DIE GRÜNEN)</w:t>
      </w:r>
    </w:p>
    <w:p w:rsidR="00730906" w:rsidRDefault="00730906">
      <w:pPr>
        <w:pStyle w:val="Index2"/>
        <w:tabs>
          <w:tab w:val="right" w:leader="dot" w:pos="7644"/>
        </w:tabs>
        <w:rPr>
          <w:noProof/>
        </w:rPr>
      </w:pPr>
      <w:r>
        <w:rPr>
          <w:noProof/>
        </w:rPr>
        <w:t xml:space="preserve">Polizeiliche Großkontrolle im Umgriff der Würzburger Hafentreppe </w:t>
      </w:r>
      <w:r>
        <w:rPr>
          <w:noProof/>
        </w:rPr>
        <w:tab/>
        <w:t>5</w:t>
      </w:r>
    </w:p>
    <w:p w:rsidR="00730906" w:rsidRDefault="00730906">
      <w:pPr>
        <w:pStyle w:val="Index1"/>
        <w:tabs>
          <w:tab w:val="right" w:leader="dot" w:pos="7644"/>
        </w:tabs>
        <w:rPr>
          <w:noProof/>
        </w:rPr>
      </w:pPr>
      <w:r>
        <w:rPr>
          <w:noProof/>
        </w:rPr>
        <w:t>Sengl, Gisela (BÜNDNIS 90/DIE GRÜNEN)</w:t>
      </w:r>
    </w:p>
    <w:p w:rsidR="00730906" w:rsidRDefault="00730906">
      <w:pPr>
        <w:pStyle w:val="Index2"/>
        <w:tabs>
          <w:tab w:val="right" w:leader="dot" w:pos="7644"/>
        </w:tabs>
        <w:rPr>
          <w:noProof/>
        </w:rPr>
      </w:pPr>
      <w:r>
        <w:rPr>
          <w:noProof/>
        </w:rPr>
        <w:t xml:space="preserve">Abschlussprüfungen an Berufs- und Fachschulen </w:t>
      </w:r>
      <w:r>
        <w:rPr>
          <w:noProof/>
        </w:rPr>
        <w:tab/>
        <w:t>40</w:t>
      </w:r>
    </w:p>
    <w:p w:rsidR="00730906" w:rsidRDefault="00730906">
      <w:pPr>
        <w:pStyle w:val="Index1"/>
        <w:tabs>
          <w:tab w:val="right" w:leader="dot" w:pos="7644"/>
        </w:tabs>
        <w:rPr>
          <w:noProof/>
        </w:rPr>
      </w:pPr>
      <w:r>
        <w:rPr>
          <w:noProof/>
        </w:rPr>
        <w:t>Sowa, Ursula (BÜNDNIS 90/DIE GRÜNEN)</w:t>
      </w:r>
    </w:p>
    <w:p w:rsidR="00730906" w:rsidRDefault="00730906">
      <w:pPr>
        <w:pStyle w:val="Index2"/>
        <w:tabs>
          <w:tab w:val="right" w:leader="dot" w:pos="7644"/>
        </w:tabs>
        <w:rPr>
          <w:noProof/>
        </w:rPr>
      </w:pPr>
      <w:r>
        <w:rPr>
          <w:noProof/>
        </w:rPr>
        <w:t>Tempo 80 auf der A 73 in Forchheim</w:t>
      </w:r>
      <w:r>
        <w:rPr>
          <w:noProof/>
        </w:rPr>
        <w:tab/>
        <w:t xml:space="preserve"> 7</w:t>
      </w:r>
    </w:p>
    <w:p w:rsidR="00730906" w:rsidRDefault="00730906">
      <w:pPr>
        <w:pStyle w:val="Index1"/>
        <w:tabs>
          <w:tab w:val="right" w:leader="dot" w:pos="7644"/>
        </w:tabs>
        <w:rPr>
          <w:noProof/>
        </w:rPr>
      </w:pPr>
      <w:r>
        <w:rPr>
          <w:noProof/>
        </w:rPr>
        <w:t>Spitzer, Dr., Dominik (FDP)</w:t>
      </w:r>
    </w:p>
    <w:p w:rsidR="00730906" w:rsidRDefault="00730906">
      <w:pPr>
        <w:pStyle w:val="Index2"/>
        <w:tabs>
          <w:tab w:val="right" w:leader="dot" w:pos="7644"/>
        </w:tabs>
        <w:rPr>
          <w:noProof/>
        </w:rPr>
      </w:pPr>
      <w:r>
        <w:rPr>
          <w:noProof/>
        </w:rPr>
        <w:t xml:space="preserve">Ausweitung des Kindergartenzuschusses ab April 2019 </w:t>
      </w:r>
      <w:r>
        <w:rPr>
          <w:noProof/>
        </w:rPr>
        <w:tab/>
        <w:t>46</w:t>
      </w:r>
    </w:p>
    <w:p w:rsidR="00730906" w:rsidRDefault="00730906">
      <w:pPr>
        <w:pStyle w:val="Index1"/>
        <w:tabs>
          <w:tab w:val="right" w:leader="dot" w:pos="7644"/>
        </w:tabs>
        <w:rPr>
          <w:noProof/>
        </w:rPr>
      </w:pPr>
      <w:r>
        <w:rPr>
          <w:noProof/>
        </w:rPr>
        <w:t>Steinberger, Rosi (BÜNDNIS 90/DIE GRÜNEN)</w:t>
      </w:r>
    </w:p>
    <w:p w:rsidR="00730906" w:rsidRDefault="00730906">
      <w:pPr>
        <w:pStyle w:val="Index2"/>
        <w:tabs>
          <w:tab w:val="right" w:leader="dot" w:pos="7644"/>
        </w:tabs>
        <w:rPr>
          <w:noProof/>
        </w:rPr>
      </w:pPr>
      <w:r>
        <w:rPr>
          <w:noProof/>
        </w:rPr>
        <w:t xml:space="preserve">Überregionaler Flughafenexpress (ÜFEX) </w:t>
      </w:r>
      <w:r>
        <w:rPr>
          <w:noProof/>
        </w:rPr>
        <w:tab/>
        <w:t>13</w:t>
      </w:r>
    </w:p>
    <w:p w:rsidR="00730906" w:rsidRDefault="00730906">
      <w:pPr>
        <w:pStyle w:val="Index1"/>
        <w:tabs>
          <w:tab w:val="right" w:leader="dot" w:pos="7644"/>
        </w:tabs>
        <w:rPr>
          <w:noProof/>
        </w:rPr>
      </w:pPr>
      <w:r>
        <w:rPr>
          <w:noProof/>
        </w:rPr>
        <w:t>Stümpfig, Martin (BÜNDNIS 90/DIE GRÜNEN)</w:t>
      </w:r>
    </w:p>
    <w:p w:rsidR="00730906" w:rsidRDefault="00730906">
      <w:pPr>
        <w:pStyle w:val="Index2"/>
        <w:tabs>
          <w:tab w:val="right" w:leader="dot" w:pos="7644"/>
        </w:tabs>
        <w:rPr>
          <w:noProof/>
        </w:rPr>
      </w:pPr>
      <w:r>
        <w:rPr>
          <w:noProof/>
        </w:rPr>
        <w:t xml:space="preserve">Jugendklima-Konferenzen </w:t>
      </w:r>
      <w:r>
        <w:rPr>
          <w:noProof/>
        </w:rPr>
        <w:tab/>
        <w:t>37</w:t>
      </w:r>
    </w:p>
    <w:p w:rsidR="00730906" w:rsidRDefault="00730906">
      <w:pPr>
        <w:pStyle w:val="Index1"/>
        <w:tabs>
          <w:tab w:val="right" w:leader="dot" w:pos="7644"/>
        </w:tabs>
        <w:rPr>
          <w:noProof/>
        </w:rPr>
      </w:pPr>
      <w:r>
        <w:rPr>
          <w:noProof/>
        </w:rPr>
        <w:t>Urban, Hans (BÜNDNIS 90/DIE GRÜNEN)</w:t>
      </w:r>
    </w:p>
    <w:p w:rsidR="00730906" w:rsidRDefault="00730906">
      <w:pPr>
        <w:pStyle w:val="Index2"/>
        <w:tabs>
          <w:tab w:val="right" w:leader="dot" w:pos="7644"/>
        </w:tabs>
        <w:rPr>
          <w:noProof/>
        </w:rPr>
      </w:pPr>
      <w:r>
        <w:rPr>
          <w:noProof/>
        </w:rPr>
        <w:t>Dokumentation des Waldumbaus im Forstlichen Gutachten</w:t>
      </w:r>
      <w:r>
        <w:rPr>
          <w:noProof/>
        </w:rPr>
        <w:tab/>
        <w:t xml:space="preserve"> 42</w:t>
      </w:r>
    </w:p>
    <w:p w:rsidR="00730906" w:rsidRDefault="00730906">
      <w:pPr>
        <w:pStyle w:val="Index1"/>
        <w:tabs>
          <w:tab w:val="right" w:leader="dot" w:pos="7644"/>
        </w:tabs>
        <w:rPr>
          <w:noProof/>
        </w:rPr>
      </w:pPr>
      <w:r>
        <w:rPr>
          <w:noProof/>
        </w:rPr>
        <w:t>Waldmann, Ruth (SPD)</w:t>
      </w:r>
    </w:p>
    <w:p w:rsidR="00730906" w:rsidRDefault="00730906">
      <w:pPr>
        <w:pStyle w:val="Index2"/>
        <w:tabs>
          <w:tab w:val="right" w:leader="dot" w:pos="7644"/>
        </w:tabs>
        <w:rPr>
          <w:noProof/>
        </w:rPr>
      </w:pPr>
      <w:r>
        <w:rPr>
          <w:noProof/>
        </w:rPr>
        <w:t xml:space="preserve">Bund-Länder-Arbeitsgruppe </w:t>
      </w:r>
      <w:r>
        <w:rPr>
          <w:rFonts w:cs="Arial"/>
          <w:noProof/>
        </w:rPr>
        <w:t>„</w:t>
      </w:r>
      <w:r>
        <w:rPr>
          <w:noProof/>
        </w:rPr>
        <w:t>Sektorenübergreifende Versorgung“</w:t>
      </w:r>
      <w:r>
        <w:rPr>
          <w:noProof/>
        </w:rPr>
        <w:tab/>
        <w:t xml:space="preserve"> 48</w:t>
      </w:r>
    </w:p>
    <w:p w:rsidR="00730906" w:rsidRDefault="00730906">
      <w:pPr>
        <w:pStyle w:val="Index1"/>
        <w:tabs>
          <w:tab w:val="right" w:leader="dot" w:pos="7644"/>
        </w:tabs>
        <w:rPr>
          <w:noProof/>
        </w:rPr>
      </w:pPr>
      <w:r>
        <w:rPr>
          <w:noProof/>
        </w:rPr>
        <w:t>Winhart, Andreas (AfD)</w:t>
      </w:r>
    </w:p>
    <w:p w:rsidR="00730906" w:rsidRDefault="00730906">
      <w:pPr>
        <w:pStyle w:val="Index2"/>
        <w:tabs>
          <w:tab w:val="right" w:leader="dot" w:pos="7644"/>
        </w:tabs>
        <w:rPr>
          <w:noProof/>
        </w:rPr>
      </w:pPr>
      <w:r>
        <w:rPr>
          <w:noProof/>
        </w:rPr>
        <w:t xml:space="preserve">Blitzmarathon vom 03.04.2019 </w:t>
      </w:r>
      <w:r>
        <w:rPr>
          <w:noProof/>
        </w:rPr>
        <w:tab/>
        <w:t>8</w:t>
      </w:r>
    </w:p>
    <w:p w:rsidR="00730906" w:rsidRDefault="00730906">
      <w:pPr>
        <w:pStyle w:val="Index1"/>
        <w:tabs>
          <w:tab w:val="right" w:leader="dot" w:pos="7644"/>
        </w:tabs>
        <w:rPr>
          <w:noProof/>
        </w:rPr>
      </w:pPr>
      <w:r>
        <w:rPr>
          <w:noProof/>
        </w:rPr>
        <w:t>Zwanziger, Christian (BÜNDNIS 90/DIE GRÜNEN)</w:t>
      </w:r>
    </w:p>
    <w:p w:rsidR="00730906" w:rsidRDefault="00730906">
      <w:pPr>
        <w:pStyle w:val="Index2"/>
        <w:tabs>
          <w:tab w:val="right" w:leader="dot" w:pos="7644"/>
        </w:tabs>
        <w:rPr>
          <w:noProof/>
        </w:rPr>
      </w:pPr>
      <w:r>
        <w:rPr>
          <w:noProof/>
        </w:rPr>
        <w:t xml:space="preserve">Ergebnisse der </w:t>
      </w:r>
      <w:r>
        <w:rPr>
          <w:rFonts w:cs="Arial"/>
          <w:noProof/>
        </w:rPr>
        <w:t>„</w:t>
      </w:r>
      <w:r>
        <w:rPr>
          <w:noProof/>
        </w:rPr>
        <w:t xml:space="preserve">Flächensparoffensive“ und Pläne der Staatsregierung zum Flächensparen </w:t>
      </w:r>
      <w:r>
        <w:rPr>
          <w:noProof/>
        </w:rPr>
        <w:tab/>
        <w:t>32</w:t>
      </w:r>
    </w:p>
    <w:p w:rsidR="00730906" w:rsidRDefault="00730906" w:rsidP="00374ED8">
      <w:pPr>
        <w:pStyle w:val="Index2"/>
        <w:tabs>
          <w:tab w:val="right" w:leader="dot" w:pos="7644"/>
        </w:tabs>
        <w:rPr>
          <w:b/>
          <w:bCs/>
          <w:noProof/>
        </w:rPr>
        <w:sectPr w:rsidR="00730906" w:rsidSect="00730906">
          <w:type w:val="continuous"/>
          <w:pgSz w:w="11906" w:h="16838" w:code="9"/>
          <w:pgMar w:top="1418" w:right="2126" w:bottom="964" w:left="2126" w:header="1418" w:footer="567" w:gutter="0"/>
          <w:pgNumType w:fmt="upperRoman"/>
          <w:cols w:space="720"/>
          <w:titlePg/>
          <w:docGrid w:linePitch="360"/>
        </w:sectPr>
      </w:pPr>
    </w:p>
    <w:p w:rsidR="00C95F05" w:rsidRPr="00E06311" w:rsidRDefault="00463DFF" w:rsidP="00374ED8">
      <w:pPr>
        <w:pStyle w:val="Index2"/>
        <w:tabs>
          <w:tab w:val="right" w:leader="dot" w:pos="7644"/>
        </w:tabs>
      </w:pPr>
      <w:r>
        <w:rPr>
          <w:b/>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730906">
          <w:type w:val="continuous"/>
          <w:pgSz w:w="11906" w:h="16838" w:code="9"/>
          <w:pgMar w:top="1418" w:right="2126" w:bottom="964" w:left="2126" w:header="1418" w:footer="567" w:gutter="0"/>
          <w:pgNumType w:fmt="upperRoman"/>
          <w:cols w:space="708"/>
          <w:titlePg/>
          <w:docGrid w:linePitch="360"/>
        </w:sectPr>
      </w:pPr>
    </w:p>
    <w:p w:rsidR="00BB3E7A" w:rsidRDefault="00BD06BB" w:rsidP="00BD06BB">
      <w:pPr>
        <w:pStyle w:val="LTUeberschrRessort"/>
      </w:pPr>
      <w:r>
        <w:t>Geschäftsbereich des Staatsministeriums des Innern, für Sport und Integration</w:t>
      </w:r>
      <w:r>
        <w:fldChar w:fldCharType="begin"/>
      </w:r>
      <w:r>
        <w:instrText xml:space="preserve"> TC </w:instrText>
      </w:r>
      <w:r w:rsidR="007B3866">
        <w:instrText>„</w:instrText>
      </w:r>
      <w:r>
        <w:instrText>Geschäftsbereich des Staatsministeriums des Innern, für Sport und Integration</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Gülseren</w:t>
            </w:r>
            <w:r w:rsidRPr="00BD06BB">
              <w:rPr>
                <w:b/>
              </w:rPr>
              <w:br/>
              <w:t>Demirel</w:t>
            </w:r>
            <w:r w:rsidRPr="00BD06BB">
              <w:rPr>
                <w:b/>
              </w:rPr>
              <w:br/>
            </w:r>
            <w:r w:rsidRPr="00BD06BB">
              <w:t>(BÜNDNIS 90/DIE GRÜNEN)</w:t>
            </w:r>
            <w:r>
              <w:fldChar w:fldCharType="begin"/>
            </w:r>
            <w:r>
              <w:instrText xml:space="preserve"> XE </w:instrText>
            </w:r>
            <w:r w:rsidR="007B3866">
              <w:instrText>„</w:instrText>
            </w:r>
            <w:r>
              <w:instrText xml:space="preserve">Demirel, Gülseren (BÜNDNIS 90/DIE GRÜNEN):Dependance der ANKER-Einrichtung in München-Trudering </w:instrText>
            </w:r>
            <w:r>
              <w:fldChar w:fldCharType="end"/>
            </w:r>
            <w:r>
              <w:fldChar w:fldCharType="begin"/>
            </w:r>
            <w:r>
              <w:instrText xml:space="preserve"> TC </w:instrText>
            </w:r>
            <w:r w:rsidR="007B3866">
              <w:instrText>„</w:instrText>
            </w:r>
            <w:r>
              <w:instrText>Demirel, Gülseren (BÜNDNIS 90/DIE GRÜNEN)</w:instrText>
            </w:r>
            <w:r>
              <w:br/>
              <w:instrText xml:space="preserve">Dependance der ANKER-Einrichtung in München-Trudering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wie viele Personen sollen in der geplanten ANKER-Dependance in München-Trudering untergebracht werden, durch welche sozialen Träger wird die Betreuung und Versorgung der Bewohnerinnen und Bewohner der Einrichtung übernommen (bitte </w:t>
            </w:r>
            <w:r w:rsidR="007B3866">
              <w:t>das</w:t>
            </w:r>
            <w:r>
              <w:t xml:space="preserve"> Betreuungskonzept hinzufügen) und wie werden die Bewohnerinnen und Bewohner in Trudering bei der Entstehung und Installierung der ANKER-Dependance hinzugezogen?</w:t>
            </w:r>
          </w:p>
          <w:p w:rsidR="00BD06BB" w:rsidRDefault="00BD06BB" w:rsidP="00BD06BB">
            <w:pPr>
              <w:pStyle w:val="LTAnfrageText"/>
            </w:pPr>
          </w:p>
        </w:tc>
      </w:tr>
    </w:tbl>
    <w:p w:rsidR="00BD06BB" w:rsidRDefault="00BD06BB" w:rsidP="00BD06BB">
      <w:pPr>
        <w:pStyle w:val="LTUeberschrAntwortRessort"/>
      </w:pPr>
      <w:r>
        <w:t>Antwort des Staatsministeriums des Innern, für Sport und Integration</w:t>
      </w:r>
    </w:p>
    <w:p w:rsidR="00BD06BB" w:rsidRDefault="00BD06BB" w:rsidP="00BD06BB">
      <w:pPr>
        <w:pStyle w:val="LTAntwortRessortText"/>
      </w:pPr>
      <w:r>
        <w:t>Die sog. ANKER-Dependance dient ausschließlich als Unterkunft für bis zu maximal 350 Personen. Die für deren Verfahren zuständigen Behörden sind in der ANKER-Einrichtung in Manching-Ingolstadt tätig.</w:t>
      </w:r>
    </w:p>
    <w:p w:rsidR="00BD06BB" w:rsidRDefault="00BD06BB" w:rsidP="00BD06BB">
      <w:pPr>
        <w:pStyle w:val="LTAntwortRessortText"/>
      </w:pPr>
      <w:r>
        <w:t>Den Betrieb der Einrichtung soll ein externer Dienstleister (PulsM</w:t>
      </w:r>
      <w:r w:rsidR="00C60ECD">
        <w:t>) übernehmen (Verwal</w:t>
      </w:r>
      <w:r>
        <w:t xml:space="preserve">tung, Betreuung, Hausmeisterdienste und Reinigung). Die </w:t>
      </w:r>
      <w:r w:rsidR="00C60ECD">
        <w:t>Betreuungsleistungen des Dienst</w:t>
      </w:r>
      <w:r>
        <w:t>leisters umfassen tagesstrukturierende Maßnahmen (Freize</w:t>
      </w:r>
      <w:r w:rsidR="00C60ECD">
        <w:t>it- und Sportangebote, Spielzim</w:t>
      </w:r>
      <w:r>
        <w:t>mer) und die Koordinierung und Betreuung der 80-Cent-Arbeitsgelegenheiten (z.</w:t>
      </w:r>
      <w:r w:rsidR="00C60ECD">
        <w:t> B. Arbei</w:t>
      </w:r>
      <w:r>
        <w:t>ten auf der Außenanlage, Reinigung von Gemeinschaftsräumen). Die Betreuung durch den Dienstleister ist 24 Stunden/7 Tage sichergestellt.</w:t>
      </w:r>
    </w:p>
    <w:p w:rsidR="00BD06BB" w:rsidRDefault="00BD06BB" w:rsidP="00BD06BB">
      <w:pPr>
        <w:pStyle w:val="LTAntwortRessortText"/>
      </w:pPr>
      <w:r>
        <w:t>Die Flüchtlings- und Integrationsberatung sowie die Koordi</w:t>
      </w:r>
      <w:r w:rsidR="00AE7571">
        <w:t>nation ehrenamtlicher Aktivität</w:t>
      </w:r>
      <w:r>
        <w:t>en wird nach derzeitigem Planungsstand die Innere Mission München (IMM) übernehmen. Das Konzept der IMM liegt der Regierung von Oberbayern (ROB) noch nicht vor. Vorgesehen sind auch Integrations- und Sprachschulungen.</w:t>
      </w:r>
      <w:r w:rsidR="00C60ECD">
        <w:t xml:space="preserve"> Eine ärztliche Ambulanz (insbe</w:t>
      </w:r>
      <w:r>
        <w:t>sondere Allgemeinmedizin, Gynäkologie, Pädiatrie) wird in der Unterkunft eingerichtet; die Ausschreibung läuft.</w:t>
      </w:r>
    </w:p>
    <w:p w:rsidR="00BD06BB" w:rsidRDefault="00BD06BB" w:rsidP="00BD06BB">
      <w:pPr>
        <w:pStyle w:val="LTAntwortRessortText"/>
      </w:pPr>
      <w:r>
        <w:t>Der Bezirksausschussvorsitzende wurde vorinformiert. Gepla</w:t>
      </w:r>
      <w:r w:rsidR="00C60ECD">
        <w:t>nt sind eine schriftliche Infor</w:t>
      </w:r>
      <w:r>
        <w:t>mation der Anwohnerinnen und Anwohner, eine Informationsv</w:t>
      </w:r>
      <w:r w:rsidR="00C60ECD">
        <w:t>eranstaltung sowie ein Tag der o</w:t>
      </w:r>
      <w:r>
        <w:t>ffenen Tür.</w:t>
      </w:r>
    </w:p>
    <w:p w:rsidR="00D04095" w:rsidRDefault="00D04095">
      <w:r>
        <w:br w:type="page"/>
      </w:r>
    </w:p>
    <w:p w:rsidR="00D04095" w:rsidRDefault="00D04095"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Martin</w:t>
            </w:r>
            <w:r w:rsidRPr="00BD06BB">
              <w:rPr>
                <w:b/>
              </w:rPr>
              <w:br/>
              <w:t>Hagen</w:t>
            </w:r>
            <w:r w:rsidRPr="00BD06BB">
              <w:rPr>
                <w:b/>
              </w:rPr>
              <w:br/>
            </w:r>
            <w:r w:rsidRPr="00BD06BB">
              <w:t>(FDP)</w:t>
            </w:r>
            <w:r>
              <w:fldChar w:fldCharType="begin"/>
            </w:r>
            <w:r>
              <w:instrText xml:space="preserve"> XE </w:instrText>
            </w:r>
            <w:r w:rsidR="007B3866">
              <w:instrText>„</w:instrText>
            </w:r>
            <w:r>
              <w:instrText xml:space="preserve">Hagen, Martin (FDP):Asylfolgeantrag des vietnamesischen Autors und Menschrechtsaktivisten Herrn Quang Hong Nhan </w:instrText>
            </w:r>
            <w:r>
              <w:fldChar w:fldCharType="end"/>
            </w:r>
            <w:r>
              <w:fldChar w:fldCharType="begin"/>
            </w:r>
            <w:r>
              <w:instrText xml:space="preserve"> TC </w:instrText>
            </w:r>
            <w:r w:rsidR="007B3866">
              <w:instrText>„</w:instrText>
            </w:r>
            <w:r>
              <w:instrText>Hagen, Martin (FDP)</w:instrText>
            </w:r>
            <w:r>
              <w:br/>
              <w:instrText xml:space="preserve">Asylfolgeantrag des vietnamesischen Autors und Menschrechtsaktivisten Herrn Quang Hong Nhan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warum wurde der Asylfolgeantrag des vietnamesischen Autors und Menschenrechtsaktivisten Herrn Quang Hong Nhan und der seiner Ehefrau und deren Tochter vom Landesamt für Asyl und Rückführungen bearbeitet, obwohl die Anträge vietnamesischer Staatsangehöriger üblicherweise in den Außenstellen des Bundesamts für Migration und Flüchtlinge (BAMF) der Länder Berlin, Brandenburg, Nordrhein-Westfalen und Hessen bearbeitet werden, warum haben die Verbote der Abschiebung, insbesondere diejenigen nach §</w:t>
            </w:r>
            <w:r w:rsidR="00463DFF">
              <w:t> </w:t>
            </w:r>
            <w:r>
              <w:t>60 Abs. 1, 5 und 7 Aufenthaltsgesetz (AufenthG), keine Anwendung gefunden und warum hat das Landesamt für Asyl und Rückführungen keine vorübergehende Aussetzung ihrer Abschiebung nach § 60a AufenthG (Duldung) aufgrund des laufenden Verfahrens über die Ablehnung der Asylfolgeanträge angeordnet?</w:t>
            </w:r>
          </w:p>
          <w:p w:rsidR="00BD06BB" w:rsidRDefault="00BD06BB" w:rsidP="00BD06BB">
            <w:pPr>
              <w:pStyle w:val="LTAnfrageText"/>
            </w:pPr>
          </w:p>
        </w:tc>
      </w:tr>
    </w:tbl>
    <w:p w:rsidR="00BD06BB" w:rsidRDefault="00BD06BB" w:rsidP="00D04095">
      <w:pPr>
        <w:pStyle w:val="LTUeberschrAntwortRessort"/>
        <w:spacing w:before="0"/>
      </w:pPr>
      <w:r>
        <w:t>Antwort des Staatsministeriums des Innern, für Sport und Integration</w:t>
      </w:r>
    </w:p>
    <w:p w:rsidR="00BD06BB" w:rsidRDefault="00BD06BB" w:rsidP="00BD06BB">
      <w:pPr>
        <w:pStyle w:val="LTAntwortRessortText"/>
      </w:pPr>
      <w:r>
        <w:t xml:space="preserve">Das Landesamt für Asyl und Rückführungen (LfAR) ist nicht für die Entscheidung über Asylanträge zuständig. Über Asylanträge (Erst- und Folgeanträge) und damit über die Schutzgewährung und die Feststellung von Abschiebungsverboten entscheidet ausschließlich das Bundesamt für Migration und Flüchtlinge (BAMF). An dessen Entscheidungen sind die Ausländerbehörden kraft Gesetzes gebunden (vgl. § 42 Satz 1 </w:t>
      </w:r>
      <w:r w:rsidR="00463DFF">
        <w:t xml:space="preserve">Asylgesetz – </w:t>
      </w:r>
      <w:r>
        <w:t>AsylG). Auch die Verteilung der Asylsuchenden auf die Länder noch vor der formalen Asyla</w:t>
      </w:r>
      <w:r w:rsidR="00F85E96">
        <w:t>ntragstellung beim Bundesamt er</w:t>
      </w:r>
      <w:r>
        <w:t xml:space="preserve">folgt durch das bundesbehördlich betriebene sogenannte </w:t>
      </w:r>
      <w:r w:rsidR="00F85E96">
        <w:t>EASY-System</w:t>
      </w:r>
      <w:r>
        <w:t xml:space="preserve"> (Erstverteilung der Asylsuchenden).</w:t>
      </w:r>
    </w:p>
    <w:p w:rsidR="00BD06BB" w:rsidRDefault="00BD06BB" w:rsidP="00BD06BB">
      <w:pPr>
        <w:pStyle w:val="LTAntwortRessortText"/>
      </w:pPr>
      <w:r>
        <w:t xml:space="preserve">Da Klagen vor dem Verwaltungsgericht gegen die ablehnende Entscheidung des BAMF über einen Asylfolgeantrag keine aufschiebende Wirkung haben, </w:t>
      </w:r>
      <w:r w:rsidR="00F85E96">
        <w:t>kann die Aussetzung der Abschie</w:t>
      </w:r>
      <w:r>
        <w:t>bung in diesen Fällen nur auf Antrag des Betroffenen im Wege des Eilrechtsschutzes durch die Verwaltungsgerichte erreicht werden.</w:t>
      </w:r>
    </w:p>
    <w:p w:rsidR="00BD06BB" w:rsidRDefault="00BD06BB" w:rsidP="00BD06BB">
      <w:pPr>
        <w:pStyle w:val="LTAntwortRessortText"/>
      </w:pPr>
      <w:r>
        <w:t>Die Betroffenen reisten erstmals im Jahr 2015 in die Bundesrep</w:t>
      </w:r>
      <w:r w:rsidR="00F85E96">
        <w:t>ublik Deutschland ein und stell</w:t>
      </w:r>
      <w:r>
        <w:t>ten Asylanträge, die das Bundesamt für Migration und Flüc</w:t>
      </w:r>
      <w:r w:rsidR="00F85E96">
        <w:t>htlinge (BAMF) ablehnte. Die ab</w:t>
      </w:r>
      <w:r>
        <w:t>lehnende Entscheidung des BAMF wurde verwaltungsgerichtlich bestätigt. Auch der Antrag</w:t>
      </w:r>
      <w:r w:rsidR="00F85E96">
        <w:t xml:space="preserve"> </w:t>
      </w:r>
      <w:r>
        <w:t>auf Zulassung der Berufung gegen das Urteil des Verwaltungsgerichts Ansbach blieb erfolglos. Die danach gestellten Asylfolgeanträge wurden seitens des BAMF</w:t>
      </w:r>
      <w:r w:rsidR="00F85E96">
        <w:t xml:space="preserve"> als unzulässig abgelehnt. Aufg</w:t>
      </w:r>
      <w:r>
        <w:t>rund der inzwischen eingetretenen Volljährigkeit der Tochter, wurde das Asylverfahren der Tochter abgetrennt. Gegen die ablehnenden Entscheidungen des BAMF über die Asylfolgeanträge erhoben die Betroffenen Klagen vor dem Verwaltungsgericht Ansbach, die noch anhängig sind, aber keine aufschiebende Wirkung entfalten. Einen Antrag auf einstweiligen Rechtsschutz auf Aussetzung der Abschiebung stellten die Be</w:t>
      </w:r>
      <w:r w:rsidR="00F85E96">
        <w:t>troffenen nicht. Die im Erstver</w:t>
      </w:r>
      <w:r>
        <w:t>fahren erlassene Abschiebungsandrohung war damit weiterhin v</w:t>
      </w:r>
      <w:r w:rsidR="008C0DAE">
        <w:t>ollziehbar. Da die Betroffenen i</w:t>
      </w:r>
      <w:r>
        <w:t xml:space="preserve">hrer Pflicht zur Ausreise nicht freiwillig nachkamen, wurde Herr Quang schließlich am </w:t>
      </w:r>
      <w:r w:rsidR="00F85E96">
        <w:t>26.03.</w:t>
      </w:r>
      <w:r>
        <w:t>2019, gemeinsam mit seiner Ehefrau, nach Vietnam ab</w:t>
      </w:r>
      <w:r w:rsidR="00F85E96">
        <w:t>geschoben. Die volljährige Toch</w:t>
      </w:r>
      <w:r>
        <w:t>ter hält sich weiterhin in der Bundesrepublik Deutschland auf.</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5850"/>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Christoph</w:t>
            </w:r>
            <w:r w:rsidRPr="00BD06BB">
              <w:rPr>
                <w:b/>
              </w:rPr>
              <w:br/>
              <w:t>Maier</w:t>
            </w:r>
            <w:r w:rsidRPr="00BD06BB">
              <w:rPr>
                <w:b/>
              </w:rPr>
              <w:br/>
            </w:r>
            <w:r w:rsidRPr="00BD06BB">
              <w:t>(AfD)</w:t>
            </w:r>
            <w:r>
              <w:fldChar w:fldCharType="begin"/>
            </w:r>
            <w:r>
              <w:instrText xml:space="preserve"> XE </w:instrText>
            </w:r>
            <w:r w:rsidR="007B3866">
              <w:instrText>„</w:instrText>
            </w:r>
            <w:r>
              <w:instrText>Maier, Christoph (AfD):Umwandlung von Lebenspartnerschaften in \</w:instrText>
            </w:r>
            <w:r w:rsidR="007B3866">
              <w:instrText>“</w:instrText>
            </w:r>
            <w:r>
              <w:instrText>Ehen\</w:instrText>
            </w:r>
            <w:r w:rsidR="007B3866">
              <w:instrText>“</w:instrText>
            </w:r>
            <w:r>
              <w:instrText xml:space="preserve"> </w:instrText>
            </w:r>
            <w:r>
              <w:fldChar w:fldCharType="end"/>
            </w:r>
            <w:r>
              <w:fldChar w:fldCharType="begin"/>
            </w:r>
            <w:r>
              <w:instrText xml:space="preserve"> TC </w:instrText>
            </w:r>
            <w:r w:rsidR="007B3866">
              <w:instrText>„</w:instrText>
            </w:r>
            <w:r>
              <w:instrText>Maier, Christoph (AfD)</w:instrText>
            </w:r>
            <w:r>
              <w:br/>
              <w:instrText>Umwandlung von Lebenspartnerschaften in \</w:instrText>
            </w:r>
            <w:r w:rsidR="007B3866">
              <w:instrText>“</w:instrText>
            </w:r>
            <w:r>
              <w:instrText>Ehen\</w:instrText>
            </w:r>
            <w:r w:rsidR="007B3866">
              <w:instrText>“</w:instrText>
            </w:r>
            <w:r>
              <w:instrText xml:space="preserve">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welche Kosten dem Freistaat Bayern seit dem 01.10.2017 durch Umwandlungen von Lebenspartnerschaften in </w:t>
            </w:r>
            <w:r w:rsidR="007B3866">
              <w:t>„</w:t>
            </w:r>
            <w:r>
              <w:t>Ehen</w:t>
            </w:r>
            <w:r w:rsidR="007B3866">
              <w:t>“</w:t>
            </w:r>
            <w:r>
              <w:t xml:space="preserve"> entstanden sind, wie viele Lebenspartnerschaften von August 2001 bis einschließlich September 2017 in Bayern geschlossen wurden und bis zum 30.09.2017 bestanden und wie viele davon seit dem 01.10.2017 in </w:t>
            </w:r>
            <w:r w:rsidR="007B3866">
              <w:t>„</w:t>
            </w:r>
            <w:r>
              <w:t>Ehen</w:t>
            </w:r>
            <w:r w:rsidR="007B3866">
              <w:t>“</w:t>
            </w:r>
            <w:r>
              <w:t xml:space="preserve"> umgewandelt wurden?</w:t>
            </w:r>
          </w:p>
          <w:p w:rsidR="00BD06BB" w:rsidRDefault="00BD06BB" w:rsidP="00BD06BB">
            <w:pPr>
              <w:pStyle w:val="LTAnfrageText"/>
            </w:pPr>
          </w:p>
        </w:tc>
      </w:tr>
    </w:tbl>
    <w:p w:rsidR="00BD06BB" w:rsidRDefault="00BD06BB" w:rsidP="00BD06BB">
      <w:pPr>
        <w:pStyle w:val="LTUeberschrAntwortRessort"/>
      </w:pPr>
      <w:r>
        <w:t>Antwort des Staatsministeriums des Innern, für Sport und Integration</w:t>
      </w:r>
    </w:p>
    <w:p w:rsidR="00BD06BB" w:rsidRDefault="00BD06BB" w:rsidP="00BD06BB">
      <w:pPr>
        <w:pStyle w:val="LTAntwortRessortText"/>
      </w:pPr>
      <w:r>
        <w:t xml:space="preserve">Dem Freistaat Bayern sind durch Umwandlungen von Lebenspartnerschaften in Ehen keine Kosten entstanden. Den Rechtsträgern der Standesämter wurde empfohlen, im Hinblick auf die bereits bei der Anmeldung der Begründung der Lebenspartnerschaft entrichteten Gebühren, die im Wesentlichen denen bei Anmeldung einer Eheschließung </w:t>
      </w:r>
      <w:r w:rsidR="00636278">
        <w:t>entsprechen, und den vergleichs</w:t>
      </w:r>
      <w:r>
        <w:t>weise geringen Prüfaufwand des Standesamts bei der Umwan</w:t>
      </w:r>
      <w:r w:rsidR="00636278">
        <w:t>dlung auf eine neuerliche Gebüh</w:t>
      </w:r>
      <w:r>
        <w:t>renerhebung zu verzichten.</w:t>
      </w:r>
    </w:p>
    <w:p w:rsidR="00BD06BB" w:rsidRDefault="00BD06BB" w:rsidP="00BD06BB">
      <w:pPr>
        <w:pStyle w:val="LTAntwortRessortText"/>
      </w:pPr>
      <w:r>
        <w:t>Von August 2001 bis einschließlich September 2017 wurden</w:t>
      </w:r>
      <w:r w:rsidR="00636278">
        <w:t xml:space="preserve"> in Bayern 11.173 Lebenspartner</w:t>
      </w:r>
      <w:r>
        <w:t>schaften begründet. Zu der Frage, wie viele der in Bayern begründeten Lebenspartnerschaften am 30.09.2017 noch bestanden haben, liegen keine Daten vor.</w:t>
      </w:r>
    </w:p>
    <w:p w:rsidR="00BD06BB" w:rsidRDefault="00BD06BB" w:rsidP="00BD06BB">
      <w:pPr>
        <w:pStyle w:val="LTAntwortRessortText"/>
      </w:pPr>
      <w:r>
        <w:t>Seit 01.10.2017 bis zum 09.04.2019 wurden in Bayern 2.588 Lebenspartnerschaften in Ehen umgewandelt. Dabei handelt es sich nicht nur um Lebenspa</w:t>
      </w:r>
      <w:r w:rsidR="00636278">
        <w:t>rtnerschaften, die in Bayern be</w:t>
      </w:r>
      <w:r>
        <w:t xml:space="preserve">gründet worden sind, da nach erfolgter Anmeldung beim Wohnsitzstandesamt </w:t>
      </w:r>
      <w:r w:rsidR="00636278">
        <w:t>die Umwand</w:t>
      </w:r>
      <w:r>
        <w:t>lung selbst bei jedem deutschen Standesamt erfolgen kann.</w:t>
      </w:r>
    </w:p>
    <w:p w:rsidR="00D04095" w:rsidRDefault="00D04095"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Doris</w:t>
            </w:r>
            <w:r w:rsidRPr="00BD06BB">
              <w:rPr>
                <w:b/>
              </w:rPr>
              <w:br/>
              <w:t>Rauscher</w:t>
            </w:r>
            <w:r w:rsidRPr="00BD06BB">
              <w:rPr>
                <w:b/>
              </w:rPr>
              <w:br/>
            </w:r>
            <w:r w:rsidRPr="00BD06BB">
              <w:t>(SPD)</w:t>
            </w:r>
            <w:r>
              <w:fldChar w:fldCharType="begin"/>
            </w:r>
            <w:r>
              <w:instrText xml:space="preserve"> XE </w:instrText>
            </w:r>
            <w:r w:rsidR="007B3866">
              <w:instrText>„</w:instrText>
            </w:r>
            <w:r>
              <w:instrText xml:space="preserve">Rauscher, Doris (SPD):Zone 30 bei Staatsstraßen </w:instrText>
            </w:r>
            <w:r>
              <w:fldChar w:fldCharType="end"/>
            </w:r>
            <w:r>
              <w:fldChar w:fldCharType="begin"/>
            </w:r>
            <w:r>
              <w:instrText xml:space="preserve"> TC </w:instrText>
            </w:r>
            <w:r w:rsidR="007B3866">
              <w:instrText>„</w:instrText>
            </w:r>
            <w:r>
              <w:instrText>Rauscher, Doris (SPD)</w:instrText>
            </w:r>
            <w:r>
              <w:br/>
              <w:instrText xml:space="preserve">Zone 30 bei Staatsstraßen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wo in Bayern wurde eine Zone 30 entlang einer Staatsstraße innerorts eingeführt (bitte mit Nennung der Orte), welche Voraussetzungen waren jeweils erfüllt, sodass diese Einführung möglich war, und zu welchem Ergebnis kommt eine Prüfung, inwiefern eine Zone 30 entlang der Staatsstraße 2080 durch die Stadt Ebersberg möglich oder nicht möglich wäre?</w:t>
            </w:r>
          </w:p>
          <w:p w:rsidR="00BD06BB" w:rsidRDefault="00BD06BB" w:rsidP="00BD06BB">
            <w:pPr>
              <w:pStyle w:val="LTAnfrageText"/>
            </w:pPr>
          </w:p>
        </w:tc>
      </w:tr>
    </w:tbl>
    <w:p w:rsidR="00D04095" w:rsidRDefault="00D04095" w:rsidP="00BD06BB">
      <w:pPr>
        <w:pStyle w:val="LTUeberschrAntwortRessort"/>
      </w:pPr>
    </w:p>
    <w:p w:rsidR="00BD06BB" w:rsidRDefault="00BD06BB" w:rsidP="00BD06BB">
      <w:pPr>
        <w:pStyle w:val="LTUeberschrAntwortRessort"/>
      </w:pPr>
      <w:r>
        <w:t>Antwort des Staatsministeriums des Innern, für Sport und Integration</w:t>
      </w:r>
    </w:p>
    <w:p w:rsidR="00BD06BB" w:rsidRDefault="00BD06BB" w:rsidP="00E62A89">
      <w:pPr>
        <w:pStyle w:val="LTAntwortRessortText"/>
        <w:spacing w:before="120"/>
      </w:pPr>
      <w:r>
        <w:t>Eine Statistik, wo in Bayern eine Zone 30 entlang einer Staatsstraße innerorts eingeführt ist, besteht nicht.</w:t>
      </w:r>
    </w:p>
    <w:p w:rsidR="00BD06BB" w:rsidRDefault="00BD06BB" w:rsidP="00E62A89">
      <w:pPr>
        <w:pStyle w:val="LTAntwortRessortText"/>
        <w:spacing w:before="120"/>
      </w:pPr>
      <w:r>
        <w:t xml:space="preserve">Beschränkungen des fließenden Verkehrs können nach § 45 </w:t>
      </w:r>
      <w:r w:rsidR="00C93DB6">
        <w:t>Straßenverkehrs-Ordnung (</w:t>
      </w:r>
      <w:r>
        <w:t>StVO</w:t>
      </w:r>
      <w:r w:rsidR="00C93DB6">
        <w:t>)</w:t>
      </w:r>
      <w:r>
        <w:t xml:space="preserve"> nur angeordnet werden, wenn aufgrund der besonderen örtlichen Verhältnisse eine Gefa</w:t>
      </w:r>
      <w:r w:rsidR="00C93DB6">
        <w:t>hrenlage besteht, die das allge</w:t>
      </w:r>
      <w:r>
        <w:t>meine Risiko einer Beeinträchtigung der in § 45 Abs. 1 StVO genannt</w:t>
      </w:r>
      <w:r w:rsidR="00C93DB6">
        <w:t>en Schutzgüter, insbe</w:t>
      </w:r>
      <w:r>
        <w:t>sondere der Sicherheit und Ordnung des Verkehrs erheblich übersteigt.</w:t>
      </w:r>
    </w:p>
    <w:p w:rsidR="00BD06BB" w:rsidRDefault="00BD06BB" w:rsidP="00E62A89">
      <w:pPr>
        <w:pStyle w:val="LTAntwortRessortText"/>
        <w:spacing w:before="120"/>
      </w:pPr>
      <w:r>
        <w:t xml:space="preserve">Die Stadt Ebersberg ist als örtliche Straßenverkehrsbehörde nicht für die Staatsstraße 2080 in Ebersberg zuständig. Zuständig ist als untere Straßenverkehrsbehörde </w:t>
      </w:r>
      <w:r w:rsidR="00C93DB6">
        <w:t>das Landratsamt Ebers</w:t>
      </w:r>
      <w:r>
        <w:t>berg. Nach dessen Einschätzung liegen derzeit die Voraussetzung des § 45 StVO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Toni</w:t>
            </w:r>
            <w:r w:rsidRPr="00BD06BB">
              <w:rPr>
                <w:b/>
              </w:rPr>
              <w:br/>
              <w:t>Schuberl</w:t>
            </w:r>
            <w:r w:rsidRPr="00BD06BB">
              <w:rPr>
                <w:b/>
              </w:rPr>
              <w:br/>
            </w:r>
            <w:r w:rsidRPr="00BD06BB">
              <w:t>(BÜNDNIS 90/DIE GRÜNEN)</w:t>
            </w:r>
            <w:r>
              <w:fldChar w:fldCharType="begin"/>
            </w:r>
            <w:r>
              <w:instrText xml:space="preserve"> XE </w:instrText>
            </w:r>
            <w:r w:rsidR="007B3866">
              <w:instrText>„</w:instrText>
            </w:r>
            <w:r>
              <w:instrText xml:space="preserve">Schuberl, Toni (BÜNDNIS 90/DIE GRÜNEN):Ausstellung eines Visums trotz Einreisesperre </w:instrText>
            </w:r>
            <w:r>
              <w:fldChar w:fldCharType="end"/>
            </w:r>
            <w:r>
              <w:fldChar w:fldCharType="begin"/>
            </w:r>
            <w:r>
              <w:instrText xml:space="preserve"> TC </w:instrText>
            </w:r>
            <w:r w:rsidR="007B3866">
              <w:instrText>„</w:instrText>
            </w:r>
            <w:r>
              <w:instrText>Schuberl, Toni (BÜNDNIS 90/DIE GRÜNEN)</w:instrText>
            </w:r>
            <w:r>
              <w:br/>
              <w:instrText xml:space="preserve">Ausstellung eines Visums trotz Einreisesperre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welche Aussichten auf Genehmigung hat der Visumsantrag einer Person, gegen die eine Einreisesperre vorliegt (bitte beantworten für Länder mit und ohne Visumsfreiheit), in wie vielen Fällen in den letzten zehn Jahren wurden von bayerischen Ausländerbehörden Einreisesperren aufgrund eines im Ausland gestellten Visumsantrages verkürzt bzw. aufgehoben, und welchen Einfluss haben Beschlüsse des Landtags bzw. einzelner Ausschüsse zu einreisebezogenen Einzelfällen auf die Entscheidungen der zuständigen Behörden, bzw. auf die der Staatsregierung?</w:t>
            </w:r>
          </w:p>
          <w:p w:rsidR="00BD06BB" w:rsidRDefault="00BD06BB" w:rsidP="00BD06BB">
            <w:pPr>
              <w:pStyle w:val="LTAnfrageText"/>
            </w:pPr>
          </w:p>
        </w:tc>
      </w:tr>
    </w:tbl>
    <w:p w:rsidR="00E62A89" w:rsidRDefault="00E62A89" w:rsidP="00BD06BB">
      <w:pPr>
        <w:pStyle w:val="LTUeberschrAntwortRessort"/>
      </w:pPr>
    </w:p>
    <w:p w:rsidR="00BD06BB" w:rsidRDefault="00BD06BB" w:rsidP="00BD06BB">
      <w:pPr>
        <w:pStyle w:val="LTUeberschrAntwortRessort"/>
      </w:pPr>
      <w:r>
        <w:t>Antwort des Staatsministeriums des Innern, für Sport und Integration</w:t>
      </w:r>
    </w:p>
    <w:p w:rsidR="00BD06BB" w:rsidRPr="00222299" w:rsidRDefault="00BD06BB" w:rsidP="00BD06BB">
      <w:pPr>
        <w:pStyle w:val="LTAntwortRessortText"/>
        <w:rPr>
          <w:u w:val="single"/>
        </w:rPr>
      </w:pPr>
      <w:r w:rsidRPr="00222299">
        <w:rPr>
          <w:u w:val="single"/>
        </w:rPr>
        <w:t>Aussichten auf Erteilung eines Visums, falls Einreisesperre vorlieg</w:t>
      </w:r>
      <w:r w:rsidR="00222299">
        <w:rPr>
          <w:u w:val="single"/>
        </w:rPr>
        <w:t>t:</w:t>
      </w:r>
    </w:p>
    <w:p w:rsidR="00BD06BB" w:rsidRDefault="00BD06BB" w:rsidP="00222299">
      <w:pPr>
        <w:pStyle w:val="LTAntwortRessortText"/>
        <w:spacing w:before="120"/>
      </w:pPr>
      <w:r>
        <w:t>Ein</w:t>
      </w:r>
      <w:r w:rsidR="00222299">
        <w:t>e</w:t>
      </w:r>
      <w:r>
        <w:t xml:space="preserve"> Ausländer</w:t>
      </w:r>
      <w:r w:rsidR="00222299">
        <w:t>in bzw. ein Ausländer</w:t>
      </w:r>
      <w:r>
        <w:t xml:space="preserve">, der ausgewiesen, zurückgeschoben oder abgeschoben worden ist, darf nicht erneut in das Bundesgebiet einreisen und sich darin aufhalten. Ihm wird auch bei Vorliegen der Voraussetzungen eines Anspruchs kein Aufenthaltstitel erteilt, § 11 Abs. 1 </w:t>
      </w:r>
      <w:r w:rsidR="00222299">
        <w:t>Aufenthaltsgesetz (</w:t>
      </w:r>
      <w:r>
        <w:t>AufenthG</w:t>
      </w:r>
      <w:r w:rsidR="00222299">
        <w:t>)</w:t>
      </w:r>
      <w:r>
        <w:t>. Eine Einreisesperre wird i.</w:t>
      </w:r>
      <w:r w:rsidR="00222299">
        <w:t> </w:t>
      </w:r>
      <w:r>
        <w:t>d.</w:t>
      </w:r>
      <w:r w:rsidR="00222299">
        <w:t> </w:t>
      </w:r>
      <w:r>
        <w:t>R. von den Ausländerbehörden oder dem Bundesamt für Migration und Flüchtlinge, aber auch von der Bundespolizei unter Beach</w:t>
      </w:r>
      <w:r w:rsidR="00222299">
        <w:t>tung der Regelungen in § 11 Auf</w:t>
      </w:r>
      <w:r>
        <w:t>enthG, auf die verwiesen wird, verhängt.</w:t>
      </w:r>
    </w:p>
    <w:p w:rsidR="00BD06BB" w:rsidRDefault="00BD06BB" w:rsidP="00BD06BB">
      <w:pPr>
        <w:pStyle w:val="LTAntwortRessortText"/>
      </w:pPr>
      <w:r>
        <w:t>Bei Ländern, deren Staatsangehörige der Visumpflicht unterliegen, tangiert die Fragestellung bezüglich der Visumerteilung nicht den Zuständigkeitsbereich des Freistaat</w:t>
      </w:r>
      <w:r w:rsidR="00222299">
        <w:t>e</w:t>
      </w:r>
      <w:r>
        <w:t>s Bayern, sondern des Bundes (Auswärtiges Amt). Die zuständige Auslandsvertretung entscheidet über die Visumerteilung im Rahmen einer Ermessensentscheidung, i</w:t>
      </w:r>
      <w:r w:rsidR="00222299">
        <w:t>n die sämtliche Umstände des je</w:t>
      </w:r>
      <w:r>
        <w:t>weiligen Einzelfalles einfließen. Das Vorliegen einer Einreisesperre stellt in jedem Fall einen zwingenden Visumversagungsgrund dar.</w:t>
      </w:r>
    </w:p>
    <w:p w:rsidR="00BD06BB" w:rsidRPr="00222299" w:rsidRDefault="00BD06BB" w:rsidP="00222299">
      <w:pPr>
        <w:pStyle w:val="LTAntwortRessortText"/>
        <w:spacing w:before="360"/>
        <w:rPr>
          <w:u w:val="single"/>
        </w:rPr>
      </w:pPr>
      <w:r w:rsidRPr="00222299">
        <w:rPr>
          <w:u w:val="single"/>
        </w:rPr>
        <w:t>Anzahl der Verkürzung bzw. Aufhebung von Einreisesperren</w:t>
      </w:r>
      <w:r w:rsidR="00222299">
        <w:rPr>
          <w:u w:val="single"/>
        </w:rPr>
        <w:t>:</w:t>
      </w:r>
    </w:p>
    <w:p w:rsidR="00BD06BB" w:rsidRDefault="00BD06BB" w:rsidP="00222299">
      <w:pPr>
        <w:pStyle w:val="LTAntwortRessortText"/>
        <w:spacing w:before="120"/>
      </w:pPr>
      <w:r>
        <w:t>Daten, in wie vielen Fällen von bayerischen Ausländerbehörden Einreisesperren aufgrund eines im Ausland gestellten Visumantrages verkürzt bzw. aufgehoben wurden, werden nicht statistisch erfasst und sind mit vertretbarem Aufwand und in der Kürze der für die Beantwortung einer Anfrage zum Plenum zur Verfügung stehenden Zeit auch nicht ermittelbar.</w:t>
      </w:r>
    </w:p>
    <w:p w:rsidR="00BD06BB" w:rsidRPr="00222299" w:rsidRDefault="00BD06BB" w:rsidP="00222299">
      <w:pPr>
        <w:pStyle w:val="LTAntwortRessortText"/>
        <w:spacing w:before="360"/>
        <w:rPr>
          <w:u w:val="single"/>
        </w:rPr>
      </w:pPr>
      <w:r w:rsidRPr="00222299">
        <w:rPr>
          <w:u w:val="single"/>
        </w:rPr>
        <w:t>Einfluss der Beschlüsse des Landtags bzw. einzelner Ausschüsse zu einreisebezogenen Einzelfällen:</w:t>
      </w:r>
    </w:p>
    <w:p w:rsidR="00E62A89" w:rsidRDefault="00BD06BB" w:rsidP="00B57480">
      <w:pPr>
        <w:pStyle w:val="LTAntwortRessortText"/>
        <w:spacing w:before="120"/>
      </w:pPr>
      <w:r>
        <w:t>Eingaben an den Landtag haben im föderalen Staatsaufbau der Bundesrepublik Deutschland grundsätzlich keine Wirkung auf die Entscheidung von Bundes</w:t>
      </w:r>
      <w:r w:rsidR="00D30903">
        <w:t>behörden, die für die Visaertei</w:t>
      </w:r>
      <w:r>
        <w:t xml:space="preserve">lung zuständig sind. Bei einem Berücksichtigungsbeschluss prüft das Staatsministerium des Innern, für Sport und Integration, ob die Einreisesperre durch die Ausländerbehörde (insoweit Länderzuständigkeit) aufgehoben </w:t>
      </w:r>
      <w:r w:rsidR="00D30903">
        <w:br/>
      </w:r>
      <w:r>
        <w:t>oder verkürzt werden kann. Die endgültige Entscheidung über die Erteilung des Visums liegt in Bundeszuständigkeit bei der deutschen Auslandsvertretung.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BD06BB" w:rsidTr="00E62A89">
        <w:tc>
          <w:tcPr>
            <w:tcW w:w="1801" w:type="dxa"/>
            <w:shd w:val="clear" w:color="auto" w:fill="auto"/>
          </w:tcPr>
          <w:p w:rsidR="00BD06BB" w:rsidRPr="00BD06BB" w:rsidRDefault="00BD06BB" w:rsidP="00BD06BB">
            <w:pPr>
              <w:pStyle w:val="LTAnfrageIni1"/>
            </w:pPr>
            <w:r w:rsidRPr="00BD06BB">
              <w:t>Abgeordnete</w:t>
            </w:r>
            <w:r w:rsidRPr="00BD06BB">
              <w:br/>
            </w:r>
            <w:r w:rsidRPr="00BD06BB">
              <w:rPr>
                <w:b/>
              </w:rPr>
              <w:t>Katharina</w:t>
            </w:r>
            <w:r w:rsidRPr="00BD06BB">
              <w:rPr>
                <w:b/>
              </w:rPr>
              <w:br/>
              <w:t>Schulze</w:t>
            </w:r>
            <w:r w:rsidRPr="00BD06BB">
              <w:rPr>
                <w:b/>
              </w:rPr>
              <w:br/>
            </w:r>
            <w:r w:rsidRPr="00BD06BB">
              <w:t>(BÜNDNIS 90/DIE GRÜNEN)</w:t>
            </w:r>
            <w:r>
              <w:fldChar w:fldCharType="begin"/>
            </w:r>
            <w:r>
              <w:instrText xml:space="preserve"> XE </w:instrText>
            </w:r>
            <w:r w:rsidR="007B3866">
              <w:instrText>„</w:instrText>
            </w:r>
            <w:r>
              <w:instrText xml:space="preserve">Schulze, Katharina (BÜNDNIS 90/DIE GRÜNEN):Polizeiliche Großkontrolle im Umgriff der Würzburger Hafentreppe </w:instrText>
            </w:r>
            <w:r>
              <w:fldChar w:fldCharType="end"/>
            </w:r>
            <w:r>
              <w:fldChar w:fldCharType="begin"/>
            </w:r>
            <w:r>
              <w:instrText xml:space="preserve"> TC </w:instrText>
            </w:r>
            <w:r w:rsidR="007B3866">
              <w:instrText>„</w:instrText>
            </w:r>
            <w:r>
              <w:instrText>Schulze, Katharina (BÜNDNIS 90/DIE GRÜNEN)</w:instrText>
            </w:r>
            <w:r>
              <w:br/>
              <w:instrText xml:space="preserve">Polizeiliche Großkontrolle im Umgriff der Würzburger Hafentreppe </w:instrText>
            </w:r>
            <w:r w:rsidR="007B3866">
              <w:instrText>„</w:instrText>
            </w:r>
            <w:r>
              <w:instrText xml:space="preserve"> \l 2 </w:instrText>
            </w:r>
            <w:r>
              <w:fldChar w:fldCharType="end"/>
            </w:r>
          </w:p>
        </w:tc>
        <w:tc>
          <w:tcPr>
            <w:tcW w:w="5815" w:type="dxa"/>
            <w:shd w:val="clear" w:color="auto" w:fill="auto"/>
          </w:tcPr>
          <w:p w:rsidR="00BD06BB" w:rsidRDefault="00BD06BB" w:rsidP="00E62A89">
            <w:pPr>
              <w:pStyle w:val="LTAnfrageText"/>
            </w:pPr>
            <w:r>
              <w:t>Ich frage die Staatsregierung, auf welcher rechtlichen Grundlage (bitte unter Nennung der genauen polizeilichen Eingriffsmaßnahme, der jeweiligen Rechtsgrundlage und Subsumtion des Sachverhalts unter die Rechtsgrundlage) wurden bei einer Großkontrolle im Umgriff der Würzburger Hafentreppe in der Nacht vom 22.03. auf den 23.03.2019 insgesamt 137 Menschen kontrolliert, wie lange wurden die Personen jeweils festgehalten und wie viele Personen waren von den polizeilichen Maßnahmen betroffen, obwohl sie sich nicht direkt am Ort der Hafentreppe aufgehalten hatten?</w:t>
            </w:r>
          </w:p>
        </w:tc>
      </w:tr>
    </w:tbl>
    <w:p w:rsidR="00BD06BB" w:rsidRDefault="00BD06BB" w:rsidP="00BD06BB">
      <w:pPr>
        <w:pStyle w:val="LTUeberschrAntwortRessort"/>
      </w:pPr>
      <w:r>
        <w:t>Antwort des Staatsministeriums des Innern, für Sport und Integration</w:t>
      </w:r>
    </w:p>
    <w:p w:rsidR="00BD06BB" w:rsidRDefault="00BD06BB" w:rsidP="00BD06BB">
      <w:pPr>
        <w:pStyle w:val="LTAntwortRessortText"/>
      </w:pPr>
      <w:r>
        <w:t xml:space="preserve">Bei der in der Anfrage </w:t>
      </w:r>
      <w:r w:rsidR="007D1236">
        <w:t xml:space="preserve">zum Plenum </w:t>
      </w:r>
      <w:r>
        <w:t xml:space="preserve">genannten Örtlichkeit </w:t>
      </w:r>
      <w:r w:rsidR="007B3866">
        <w:t>„</w:t>
      </w:r>
      <w:r>
        <w:t>Heizkraftwerk im Alten Hafen</w:t>
      </w:r>
      <w:r w:rsidR="007B3866">
        <w:t>“</w:t>
      </w:r>
      <w:r>
        <w:t xml:space="preserve"> handelt es sich um den Bereich der Hafentreppe am Oskar-Laredo-Platz in Würzburg.</w:t>
      </w:r>
    </w:p>
    <w:p w:rsidR="00BD06BB" w:rsidRDefault="00BD06BB" w:rsidP="00BD06BB">
      <w:pPr>
        <w:pStyle w:val="LTAntwortRessortText"/>
      </w:pPr>
      <w:r>
        <w:t xml:space="preserve">Seit der zweiten Jahreshälfte des letzten Jahres halten sich </w:t>
      </w:r>
      <w:r w:rsidR="007D1236">
        <w:t>dort insbesondere an den Wochen</w:t>
      </w:r>
      <w:r>
        <w:t>enden (in den Abendstunden) Jugendliche und junge Erwachsene in größeren Gruppen auf.</w:t>
      </w:r>
    </w:p>
    <w:p w:rsidR="00BD06BB" w:rsidRDefault="00BD06BB" w:rsidP="00BD06BB">
      <w:pPr>
        <w:pStyle w:val="LTAntwortRessortText"/>
      </w:pPr>
      <w:r>
        <w:t>In den vergangenen acht Monaten kam es dort immer wied</w:t>
      </w:r>
      <w:r w:rsidR="007D1236">
        <w:t>er zu schweren Ordnungs- und Si</w:t>
      </w:r>
      <w:r>
        <w:t>cherheitsstörungen (z.</w:t>
      </w:r>
      <w:r w:rsidR="007D1236">
        <w:t> </w:t>
      </w:r>
      <w:r>
        <w:t>B. Müllablagerungen, Alkoholmissbra</w:t>
      </w:r>
      <w:r w:rsidR="007D1236">
        <w:t>uch durch Minderjährige und Van</w:t>
      </w:r>
      <w:r>
        <w:t>dalismus) sowie zu schweren Straftaten (u.</w:t>
      </w:r>
      <w:r w:rsidR="007D1236">
        <w:t> </w:t>
      </w:r>
      <w:r>
        <w:t xml:space="preserve">a. Sexualdelikte, </w:t>
      </w:r>
      <w:r w:rsidR="007D1236">
        <w:t>Raubdelikte, gefährliche Körper</w:t>
      </w:r>
      <w:r>
        <w:t>verletzungen, Betäubungsmitteldelikte, Waffendelikte).</w:t>
      </w:r>
    </w:p>
    <w:p w:rsidR="00BD06BB" w:rsidRDefault="00BD06BB" w:rsidP="00BD06BB">
      <w:pPr>
        <w:pStyle w:val="LTAntwortRessortText"/>
      </w:pPr>
      <w:r>
        <w:t xml:space="preserve">Darüber hinaus wandte sich auch die Stadt Würzburg bezüglich </w:t>
      </w:r>
      <w:r w:rsidR="007D1236">
        <w:t>der Situation an dieser Örtlich</w:t>
      </w:r>
      <w:r>
        <w:t>keit an die Polizeiinspektion Würzburg-Stadt. Daneben gingen auch Bürgerbeschwerden ein, insbesondere des ortsansässigen Theaters am Kulturspeicher.</w:t>
      </w:r>
    </w:p>
    <w:p w:rsidR="00BD06BB" w:rsidRDefault="00BD06BB" w:rsidP="00BD06BB">
      <w:pPr>
        <w:pStyle w:val="LTAntwortRessortText"/>
      </w:pPr>
      <w:r>
        <w:t>Um dieser negativen Entwicklung entgegenzutreten, führte d</w:t>
      </w:r>
      <w:r w:rsidR="007D1236">
        <w:t>ie örtlich zuständige Polizeiin</w:t>
      </w:r>
      <w:r>
        <w:t>spektion Würzburg-Stadt verstärkte Kontrollen an dieser Örtlichkeit durch. Am 16.02.2019 fand dort auch mit dem Jugendamt und dem kommunalen Ordnungsdienst der Stadt Würzburg eine gemeinsame Kontrolle statt.</w:t>
      </w:r>
    </w:p>
    <w:p w:rsidR="00BD06BB" w:rsidRDefault="00BD06BB" w:rsidP="00BD06BB">
      <w:pPr>
        <w:pStyle w:val="LTAntwortRessortText"/>
      </w:pPr>
      <w:r>
        <w:t>In den Abendstunden des Freitags, den 22.03.2019, wurde durch die Polizei eine Großkontrolle durchgeführt. Hierbei erhielt die Polizeiinspektion Würzburg-Stadt Unterstützung von Kräften der Bayerischen Bereitschaftspolizei.</w:t>
      </w:r>
    </w:p>
    <w:p w:rsidR="00BD06BB" w:rsidRDefault="00BD06BB" w:rsidP="00BD06BB">
      <w:pPr>
        <w:pStyle w:val="LTAntwortRessortText"/>
      </w:pPr>
      <w:r>
        <w:t>Bei dieser Kontrolle wurden bei 137 Personen Identitätsfeststellungen durchgeführt. Hiervon wurden mehrere Personen durchsucht. Die Auswahl erfolgte einzelfallbezogen. Die genaue Anzahl der durchsuchten Personen wurde nicht dokumentiert.</w:t>
      </w:r>
    </w:p>
    <w:p w:rsidR="00BD06BB" w:rsidRDefault="00BD06BB" w:rsidP="00BD06BB">
      <w:pPr>
        <w:pStyle w:val="LTAntwortRessortText"/>
      </w:pPr>
      <w:r>
        <w:t>Zudem wurde eine Person in Gewahrsam genommen, welche die Amtshandlungen der Polizei nach vorausgegangenem Platzverweis fortgesetzt störte.</w:t>
      </w:r>
    </w:p>
    <w:p w:rsidR="00BD06BB" w:rsidRDefault="00BD06BB" w:rsidP="00BD06BB">
      <w:pPr>
        <w:pStyle w:val="LTAntwortRessortText"/>
      </w:pPr>
      <w:r>
        <w:t>Außerdem wurden drei Jugendliche aufgrund erheblicher Alkoholisierung in Schutzgewahrsam genommen und anschließend den Erziehungsberechtigten übergeben.</w:t>
      </w:r>
    </w:p>
    <w:p w:rsidR="00BD06BB" w:rsidRDefault="00BD06BB" w:rsidP="00BD06BB">
      <w:pPr>
        <w:pStyle w:val="LTAntwortRessortText"/>
      </w:pPr>
      <w:r>
        <w:t>Die Rechtsgrundlage für die vorgenannten Identitätsfeststellungen findet sich in Art.</w:t>
      </w:r>
      <w:r w:rsidR="001E4B6C">
        <w:t> </w:t>
      </w:r>
      <w:r>
        <w:t xml:space="preserve">13 Abs. 1 Nr. 2 </w:t>
      </w:r>
      <w:r w:rsidR="00FA18F0">
        <w:t xml:space="preserve">Buchst. </w:t>
      </w:r>
      <w:r>
        <w:t xml:space="preserve">a, </w:t>
      </w:r>
      <w:r w:rsidR="00FA18F0">
        <w:t xml:space="preserve">Doppelbuchst. </w:t>
      </w:r>
      <w:r>
        <w:t xml:space="preserve">aa </w:t>
      </w:r>
      <w:r w:rsidR="007D1236">
        <w:t>Polizeiaufgabengesetz</w:t>
      </w:r>
      <w:r>
        <w:t xml:space="preserve"> (PAG). Demnach kann die Polizei die Identität einer Person feststellen, wenn sie sich an einem Ort</w:t>
      </w:r>
      <w:r w:rsidR="001E4B6C">
        <w:t xml:space="preserve"> aufhält, von dem aufgrund tat</w:t>
      </w:r>
      <w:r>
        <w:t xml:space="preserve">sächlicher Anhaltspunkte anzunehmen ist, dass dort Personen </w:t>
      </w:r>
      <w:r w:rsidR="001E4B6C">
        <w:t>Straftaten verabreden, vorberei</w:t>
      </w:r>
      <w:r>
        <w:t>ten oder verüben. Derartige Anhaltspunkte liegen vor, wenn au</w:t>
      </w:r>
      <w:r w:rsidR="001E4B6C">
        <w:t>fgrund objektiver, der Nachprüf</w:t>
      </w:r>
      <w:r>
        <w:t>ung zugänglicher Kriterien sich am Ort nach den Erkenntnissen der Behörde die genannten Vorgänge erfahrungsgemäß zu ereignen pflegen. Dabei ist nicht erforderlich, dass alle oder die meisten sich an diesen Orten aufhaltenden Personen der vorh</w:t>
      </w:r>
      <w:r w:rsidR="001E4B6C">
        <w:t>er bezeichneten Tätigkeiten ver</w:t>
      </w:r>
      <w:r>
        <w:t xml:space="preserve">dächtig sind (vgl. Nr. 13.4. der </w:t>
      </w:r>
      <w:r w:rsidR="001E4B6C">
        <w:t xml:space="preserve">Vollzugsbekanntmachung – </w:t>
      </w:r>
      <w:r>
        <w:t>VollzBek). Zudem bedarf es zur Identitätsfeststellung nach Art. 13 Abs. 1 Nr. 2 PAG weder einer konkreten noch einer drohenden Gefahr für ein bedeutendes Rechtsgut.</w:t>
      </w:r>
    </w:p>
    <w:p w:rsidR="00BD06BB" w:rsidRDefault="00BD06BB" w:rsidP="00BD06BB">
      <w:pPr>
        <w:pStyle w:val="LTAntwortRessortText"/>
      </w:pPr>
      <w:r>
        <w:t>Aufgrund objektiver und der Nachprüfung zugänglicher tatsächlicher Anhaltspunkte (siehe oben) eröffnete sich somit für die Polizei die Befugnis zur Identitätsfeststellung.</w:t>
      </w:r>
    </w:p>
    <w:p w:rsidR="00BD06BB" w:rsidRDefault="00BD06BB" w:rsidP="00BD06BB">
      <w:pPr>
        <w:pStyle w:val="LTAntwortRessortText"/>
      </w:pPr>
      <w:r>
        <w:t>Gemäß Art. 13 Abs. 2 PAG kann die Polizei die zur Feststellung der Identität erforderlichen Maßnahmen treffen. Die Personen können insbesondere angehalten, nach ihren Personalien befragt und mitgeführte Ausweispapiere verlangt werden. Wenn die Identität auf andere Weise nicht oder nur unter erheblichen Schwierigkeiten festgest</w:t>
      </w:r>
      <w:r w:rsidR="001E4B6C">
        <w:t>ellt werden kann, können die Be</w:t>
      </w:r>
      <w:r>
        <w:t>troffenen auch festgehalten werden.</w:t>
      </w:r>
    </w:p>
    <w:p w:rsidR="00BD06BB" w:rsidRDefault="00BD06BB" w:rsidP="00BD06BB">
      <w:pPr>
        <w:pStyle w:val="LTAntwortRessortText"/>
      </w:pPr>
      <w:r>
        <w:t xml:space="preserve">Die Befugnis zur Durchsuchung ergab sich aus Art. 13 Abs. 2 Satz 4 PAG bzw. aus Art. 21 Abs. 1 Nr. 1, 4 und Abs. 2 PAG. Diese Entscheidung zur </w:t>
      </w:r>
      <w:r w:rsidR="001E4B6C">
        <w:t>Durchsuchung wurde einzelfallab</w:t>
      </w:r>
      <w:r>
        <w:t>hängig getroffen.</w:t>
      </w:r>
    </w:p>
    <w:p w:rsidR="00BD06BB" w:rsidRDefault="00BD06BB" w:rsidP="00BD06BB">
      <w:pPr>
        <w:pStyle w:val="LTAntwortRessortText"/>
      </w:pPr>
      <w:r>
        <w:t>Auch die erteilten Platzverweise gem. Art 16 PAG wurden nach erfolgter Einzelfallprüfung ausgesprochen.</w:t>
      </w:r>
    </w:p>
    <w:p w:rsidR="00BD06BB" w:rsidRDefault="00BD06BB" w:rsidP="00BD06BB">
      <w:pPr>
        <w:pStyle w:val="LTAntwortRessortText"/>
      </w:pPr>
      <w:r>
        <w:t>Die Gewahrsamnahmen (siehe oben) basierten auf Art. 17 Abs. 1 Nr. 3 PAG (Gewahrsam zur Durchsetzung eines Platzverweises) sowie auf Art. 17 Abs. 1 Nr. 1 PAG (Schutzgewahrsam).</w:t>
      </w:r>
    </w:p>
    <w:p w:rsidR="00BD06BB" w:rsidRDefault="00BD06BB" w:rsidP="00BD06BB">
      <w:pPr>
        <w:pStyle w:val="LTAntwortRessortText"/>
      </w:pPr>
      <w:r>
        <w:t>Alle vorgenannten Befugnisse enthielt auch schon das PAG in der früheren Fassung.</w:t>
      </w:r>
    </w:p>
    <w:p w:rsidR="00BD06BB" w:rsidRDefault="00BD06BB" w:rsidP="00BD06BB">
      <w:pPr>
        <w:pStyle w:val="LTAntwortRessortText"/>
      </w:pPr>
      <w:r>
        <w:t>Bei den polizeilichen Maßnahmen wurde der Grundsatz der Verhältnismäßigkeit gem. Art. 4 PAG beachtet. Insbesondere priorisierten Polizeibeamte in Zusammenarbeit mit Mitarbeitern des Jugendamtes die zu kontrollierenden Personen, um eine schnellstmögliche Kontrolle zu gewährleisten. Außerdem wurde zur Beschleunigung teilwe</w:t>
      </w:r>
      <w:r w:rsidR="001E4B6C">
        <w:t>ise auf Maßnahmen (z. B. Durchsu</w:t>
      </w:r>
      <w:r>
        <w:t>chungen) verzichtet.</w:t>
      </w:r>
    </w:p>
    <w:p w:rsidR="00BD06BB" w:rsidRDefault="00BD06BB" w:rsidP="00BD06BB">
      <w:pPr>
        <w:pStyle w:val="LTAntwortRessortText"/>
      </w:pPr>
      <w:r>
        <w:t>Wie lange einzelne Personen jeweils vor Ort festgehalten wurden</w:t>
      </w:r>
      <w:r w:rsidR="001E4B6C">
        <w:t>, ist nachträglich nicht indivi</w:t>
      </w:r>
      <w:r>
        <w:t>duell feststellbar. Die polizeilichen Kontrollen der vor Ort befindlichen Personen begannen gleichzeitig am 22.03.2019 um 21.30 Uhr. Die Personen, die kontrolliert waren, konnten die Örtlichkeit verlassen. Während der Kontrolle kamen weitere Personen zur Kontrollörtlichkeit, die ebenfalls überprüft wurden. Gegen 23.30 Uhr wurde der letzte Ausweis ausgehändigt.</w:t>
      </w:r>
    </w:p>
    <w:p w:rsidR="00BD06BB" w:rsidRDefault="00BD06BB" w:rsidP="00BD06BB">
      <w:pPr>
        <w:pStyle w:val="LTAntwortRessortText"/>
      </w:pPr>
      <w:r>
        <w:t>Während der Maßnahmen wurde zur Beschleunigung und damit Verkürzung der Verweildauer ständig nach Alter der Personen und Dringlichkeit, z.</w:t>
      </w:r>
      <w:r w:rsidR="001E4B6C">
        <w:t> </w:t>
      </w:r>
      <w:r>
        <w:t>B. evtl. Busverbindungen zur Heimfahrt, priorisiert, um eine schnellere Abarbeitung gewährleisten zu können.</w:t>
      </w:r>
    </w:p>
    <w:p w:rsidR="00BD06BB" w:rsidRDefault="00BD06BB" w:rsidP="00BD06BB">
      <w:pPr>
        <w:pStyle w:val="LTAntwortRessortText"/>
      </w:pPr>
      <w:r>
        <w:t>Während der Kontrolle wurden insgesamt ca. 15 Personen angesprochen und zum Aufentha</w:t>
      </w:r>
      <w:r w:rsidR="001E4B6C">
        <w:t>lts</w:t>
      </w:r>
      <w:r>
        <w:t>grund befragt, die sich nicht unmittelbar an der Hafentreppe befanden. Diese befanden sich im Durchgangsbereich des Cinemaxx zum Kulturspeicher und wurden in dem Bereich unterhalb des Gebäudes zum Kulturspeicher angesprochen und zum Aufenthaltsgrund be</w:t>
      </w:r>
      <w:r w:rsidR="001E4B6C">
        <w:t>fragt. Diese An</w:t>
      </w:r>
      <w:r>
        <w:t>halteörtlichkeiten liegen in der unmittelbaren Sichtachse zur Hafen</w:t>
      </w:r>
      <w:r w:rsidR="001E4B6C">
        <w:t xml:space="preserve">treppe und sind von dort ca. 50 bis </w:t>
      </w:r>
      <w:r>
        <w:t>100 m entfernt.</w:t>
      </w:r>
    </w:p>
    <w:p w:rsidR="00BD06BB" w:rsidRDefault="00BD06BB" w:rsidP="00BD06BB">
      <w:pPr>
        <w:pStyle w:val="LTAntwortRessortText"/>
      </w:pPr>
      <w:r>
        <w:t xml:space="preserve">Die dabei geäußerten Einlassungen Einzelner auf Anfrage, woher sie kommen würden, ließen einen Bezug zur Hafentreppe vermuten (Antwort = </w:t>
      </w:r>
      <w:r w:rsidR="007B3866">
        <w:t>„</w:t>
      </w:r>
      <w:r>
        <w:t>von da hinten</w:t>
      </w:r>
      <w:r w:rsidR="007B3866">
        <w:t>“</w:t>
      </w:r>
      <w:r>
        <w:t>). Ob sich diese Personen zu Einsatzbeginn tatsächlich zunächst von der Hafentreppe en</w:t>
      </w:r>
      <w:r w:rsidR="001E4B6C">
        <w:t>tfernt hatten, konnte nicht ein</w:t>
      </w:r>
      <w:r>
        <w:t>deutig festgestellt werden.</w:t>
      </w:r>
    </w:p>
    <w:p w:rsidR="00E62A89" w:rsidRDefault="00E62A89"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Ursula</w:t>
            </w:r>
            <w:r w:rsidRPr="00BD06BB">
              <w:rPr>
                <w:b/>
              </w:rPr>
              <w:br/>
              <w:t>Sowa</w:t>
            </w:r>
            <w:r w:rsidRPr="00BD06BB">
              <w:rPr>
                <w:b/>
              </w:rPr>
              <w:br/>
            </w:r>
            <w:r w:rsidRPr="00BD06BB">
              <w:t>(BÜNDNIS 90/DIE GRÜNEN)</w:t>
            </w:r>
            <w:r>
              <w:fldChar w:fldCharType="begin"/>
            </w:r>
            <w:r>
              <w:instrText xml:space="preserve"> XE </w:instrText>
            </w:r>
            <w:r w:rsidR="007B3866">
              <w:instrText>„</w:instrText>
            </w:r>
            <w:r>
              <w:instrText xml:space="preserve">Sowa, Ursula (BÜNDNIS 90/DIE GRÜNEN):Tempo 80 auf der A 73 in Forchheim </w:instrText>
            </w:r>
            <w:r>
              <w:fldChar w:fldCharType="end"/>
            </w:r>
            <w:r>
              <w:fldChar w:fldCharType="begin"/>
            </w:r>
            <w:r>
              <w:instrText xml:space="preserve"> TC </w:instrText>
            </w:r>
            <w:r w:rsidR="007B3866">
              <w:instrText>„</w:instrText>
            </w:r>
            <w:r>
              <w:instrText>Sowa, Ursula (BÜNDNIS 90/DIE GRÜNEN)</w:instrText>
            </w:r>
            <w:r>
              <w:br/>
              <w:instrText xml:space="preserve">Tempo 80 auf der A 73 in Forchheim </w:instrText>
            </w:r>
            <w:r w:rsidR="007B3866">
              <w:instrText>„</w:instrText>
            </w:r>
            <w:r>
              <w:instrText xml:space="preserve"> \l 2 </w:instrText>
            </w:r>
            <w:r>
              <w:fldChar w:fldCharType="end"/>
            </w:r>
          </w:p>
        </w:tc>
        <w:tc>
          <w:tcPr>
            <w:tcW w:w="7200" w:type="dxa"/>
            <w:shd w:val="clear" w:color="auto" w:fill="auto"/>
          </w:tcPr>
          <w:p w:rsidR="00BD06BB" w:rsidRDefault="00BD06BB" w:rsidP="00F80F76">
            <w:pPr>
              <w:pStyle w:val="LTAnfrageText"/>
            </w:pPr>
            <w:r>
              <w:t>Inwiefern erkennt das Staatsministerium des Innern, für Sport und Integration (StMI) die Lärmschutzgründe als hinreichend für eine Geschwindigkeitsbegrenzung von 80 Stundenkilometern auf der Autobahn A 73 im Stadtgebiet Forchheim an, plant das StMI bzw. die für den Vollzug der Straßenverkehrs</w:t>
            </w:r>
            <w:r w:rsidR="00F80F76">
              <w:t>-O</w:t>
            </w:r>
            <w:r>
              <w:t>rdnung (StVO) zuständige Autobahndirektion der kommunalen parteiübergreifenden Forderung nach einer Geschwindigkeitsbegrenzung im vollständigen Autobahnabschnitt durch die Stadt zu folgen und falls dem so ist, wann wird die Geschwindigkeitsbegrenzung voraussichtlich umgesetzt?</w:t>
            </w:r>
          </w:p>
        </w:tc>
      </w:tr>
    </w:tbl>
    <w:p w:rsidR="00E62A89" w:rsidRDefault="00E62A89" w:rsidP="00BD06BB">
      <w:pPr>
        <w:pStyle w:val="LTUeberschrAntwortRessort"/>
      </w:pPr>
    </w:p>
    <w:p w:rsidR="00BD06BB" w:rsidRDefault="00BD06BB" w:rsidP="00BD06BB">
      <w:pPr>
        <w:pStyle w:val="LTUeberschrAntwortRessort"/>
      </w:pPr>
      <w:r>
        <w:t>Antwort des Staatsministeriums des Innern, für Sport und Integration</w:t>
      </w:r>
    </w:p>
    <w:p w:rsidR="00BD06BB" w:rsidRDefault="00BD06BB" w:rsidP="00BD06BB">
      <w:pPr>
        <w:pStyle w:val="LTAntwortRessortText"/>
      </w:pPr>
      <w:r>
        <w:t xml:space="preserve">Im Rahmen eines Planfeststellungsverfahrens wurden für die </w:t>
      </w:r>
      <w:r w:rsidR="005248ED">
        <w:t>A 73 in Forchheim geeignete bau</w:t>
      </w:r>
      <w:r>
        <w:t>liche Maßnahmen zur Absenkung der Schallimmissionen festge</w:t>
      </w:r>
      <w:r w:rsidR="005248ED">
        <w:t>legt. Die planfestgestellten ak</w:t>
      </w:r>
      <w:r>
        <w:t>tiven Lärmschutzmaßnahmen wurden 2018 realisiert. Sie bestehen aus Lär</w:t>
      </w:r>
      <w:r w:rsidR="005248ED">
        <w:t>mschutzwänden so</w:t>
      </w:r>
      <w:r>
        <w:t xml:space="preserve">wie Wall-Wandkombinationen und einem Lärm mindernden Fahrbahnbelag. Insgesamt wurden dafür 14,8 </w:t>
      </w:r>
      <w:r w:rsidR="005248ED">
        <w:t>Mio.</w:t>
      </w:r>
      <w:r>
        <w:t xml:space="preserve"> Euro Bundesmittel eingesetzt. Die Zielsetzung dieser Maßnahmen war und ist die Einhaltung der Lärmgrenzwerte für Tag und Nacht möglichst zu gewährleisten.</w:t>
      </w:r>
    </w:p>
    <w:p w:rsidR="00BD06BB" w:rsidRDefault="00BD06BB" w:rsidP="00BD06BB">
      <w:pPr>
        <w:pStyle w:val="LTAntwortRessortText"/>
      </w:pPr>
      <w:r>
        <w:t>Ob trotzdem darüber hinaus noch eine Beschränkung der Geschwindigkeit erforderlich ist, muss derzeit auf Grundlage der aktuellen Verkehrsmengen geprüft werden. Die Abklärung läuft derzeit, mit einer abschließenden Entscheidung ist noch im 1. Halbjahr 2019 zu rechnen.</w:t>
      </w:r>
    </w:p>
    <w:p w:rsidR="00B57480" w:rsidRDefault="00B57480"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Andreas</w:t>
            </w:r>
            <w:r w:rsidRPr="00BD06BB">
              <w:rPr>
                <w:b/>
              </w:rPr>
              <w:br/>
              <w:t>Winhart</w:t>
            </w:r>
            <w:r w:rsidRPr="00BD06BB">
              <w:rPr>
                <w:b/>
              </w:rPr>
              <w:br/>
            </w:r>
            <w:r w:rsidRPr="00BD06BB">
              <w:t>(AfD)</w:t>
            </w:r>
            <w:r>
              <w:fldChar w:fldCharType="begin"/>
            </w:r>
            <w:r>
              <w:instrText xml:space="preserve"> XE </w:instrText>
            </w:r>
            <w:r w:rsidR="007B3866">
              <w:instrText>„</w:instrText>
            </w:r>
            <w:r>
              <w:instrText xml:space="preserve">Winhart, Andreas (AfD):Blitzmarathon vom 03.04.2019 </w:instrText>
            </w:r>
            <w:r>
              <w:fldChar w:fldCharType="end"/>
            </w:r>
            <w:r>
              <w:fldChar w:fldCharType="begin"/>
            </w:r>
            <w:r>
              <w:instrText xml:space="preserve"> TC </w:instrText>
            </w:r>
            <w:r w:rsidR="007B3866">
              <w:instrText>„</w:instrText>
            </w:r>
            <w:r>
              <w:instrText>Winhart, Andreas (AfD)</w:instrText>
            </w:r>
            <w:r>
              <w:br/>
              <w:instrText xml:space="preserve">Blitzmarathon vom 03.04.2019 </w:instrText>
            </w:r>
            <w:r w:rsidR="007B3866">
              <w:instrText>„</w:instrText>
            </w:r>
            <w:r>
              <w:instrText xml:space="preserve"> \l 2 </w:instrText>
            </w:r>
            <w:r>
              <w:fldChar w:fldCharType="end"/>
            </w:r>
          </w:p>
        </w:tc>
        <w:tc>
          <w:tcPr>
            <w:tcW w:w="7200" w:type="dxa"/>
            <w:shd w:val="clear" w:color="auto" w:fill="auto"/>
          </w:tcPr>
          <w:p w:rsidR="00BD06BB" w:rsidRDefault="00BD06BB" w:rsidP="00F80F76">
            <w:pPr>
              <w:pStyle w:val="LTAnfrageText"/>
            </w:pPr>
            <w:r>
              <w:t xml:space="preserve">Ich frage die Staatsregierung, wie viele Verkehrsverstöße wurden beim </w:t>
            </w:r>
            <w:r w:rsidR="007B3866">
              <w:t>„</w:t>
            </w:r>
            <w:r>
              <w:t>Blitzmarathon</w:t>
            </w:r>
            <w:r w:rsidR="007B3866">
              <w:t>“</w:t>
            </w:r>
            <w:r>
              <w:t xml:space="preserve"> vom 03.04.2019 in Bayern festgestellt, welche Summe an Bußgeld durch Straftaten und Ordnungswidrigkeiten wurde bei der Aktion </w:t>
            </w:r>
            <w:r w:rsidR="007B3866">
              <w:t>„</w:t>
            </w:r>
            <w:r>
              <w:t>Blitzmarathon</w:t>
            </w:r>
            <w:r w:rsidR="007B3866">
              <w:t>“</w:t>
            </w:r>
            <w:r>
              <w:t xml:space="preserve"> am 03.04.2019 in Bayern (voraussichtlich) erwirtschaftet und wie viele Mannstunden der Bayerischen Polizei wurden für die Aktion </w:t>
            </w:r>
            <w:r w:rsidR="007B3866">
              <w:t>„</w:t>
            </w:r>
            <w:r>
              <w:t>Blitzmarathon</w:t>
            </w:r>
            <w:r w:rsidR="007B3866">
              <w:t>“</w:t>
            </w:r>
            <w:r>
              <w:t xml:space="preserve"> am 03.04.2019 in Bayern aufgewendet?</w:t>
            </w:r>
          </w:p>
        </w:tc>
      </w:tr>
    </w:tbl>
    <w:p w:rsidR="00BD06BB" w:rsidRDefault="00BD06BB" w:rsidP="00B57480">
      <w:pPr>
        <w:pStyle w:val="LTUeberschrAntwortRessort"/>
        <w:spacing w:before="960"/>
      </w:pPr>
      <w:r>
        <w:t>Antwort des Staatsministeriums des Innern, für Sport und Integration</w:t>
      </w:r>
    </w:p>
    <w:p w:rsidR="00BD06BB" w:rsidRDefault="00BD06BB" w:rsidP="00B57480">
      <w:pPr>
        <w:pStyle w:val="LTAntwortRessortText"/>
        <w:spacing w:before="360"/>
      </w:pPr>
      <w:r>
        <w:t xml:space="preserve">Der bayernweite Blitzmarathon wurde vom </w:t>
      </w:r>
      <w:r w:rsidR="005248ED">
        <w:t>03.04.2019, 06.</w:t>
      </w:r>
      <w:r>
        <w:t xml:space="preserve">00 Uhr bis zum </w:t>
      </w:r>
      <w:r w:rsidR="005248ED">
        <w:t>04.04.2019, 06.</w:t>
      </w:r>
      <w:r>
        <w:t>00 Uhr durch die Bayer</w:t>
      </w:r>
      <w:r w:rsidR="005248ED">
        <w:t>ische</w:t>
      </w:r>
      <w:r>
        <w:t xml:space="preserve"> Polizei und die kommunale Verkehrsüberwachung durchgeführt. Vor dem Hintergrund dieses vorab festgelegten Erhebungszeitraums können die festgestellten Verkehrsverstöße allein für den </w:t>
      </w:r>
      <w:r w:rsidR="005248ED">
        <w:t>03.04.</w:t>
      </w:r>
      <w:r>
        <w:t>2019 nicht dezidiert beziffert werden.</w:t>
      </w:r>
    </w:p>
    <w:p w:rsidR="00BD06BB" w:rsidRDefault="00BD06BB" w:rsidP="00B57480">
      <w:pPr>
        <w:pStyle w:val="LTAntwortRessortText"/>
        <w:spacing w:before="360"/>
      </w:pPr>
      <w:r>
        <w:t xml:space="preserve">Im Zeitraum des Blitzmarathons wurden insgesamt 10.821 </w:t>
      </w:r>
      <w:r w:rsidR="005248ED">
        <w:t>Geschwindigkeitsverstöße (Blitz</w:t>
      </w:r>
      <w:r>
        <w:t>marathon 2018: 8.466 Geschwindigkeitsverstöße) durch die betei</w:t>
      </w:r>
      <w:r w:rsidR="005248ED">
        <w:t>ligten Einsatzkräfte der Bayerischen</w:t>
      </w:r>
      <w:r>
        <w:t xml:space="preserve"> Polizei sowie durch die Bediensteten der Zweckverbände und Gemeinden festgest</w:t>
      </w:r>
      <w:r w:rsidR="005248ED">
        <w:t>ellt. Hin</w:t>
      </w:r>
      <w:r>
        <w:t xml:space="preserve">zu kommen 1.364 weitere Beanstandungen, die nicht den </w:t>
      </w:r>
      <w:r w:rsidR="005248ED">
        <w:t>Tatbestand der Geschwindigkeits</w:t>
      </w:r>
      <w:r>
        <w:t>überschreitung betreffen, sondern beispielsweise Verstöße</w:t>
      </w:r>
      <w:r w:rsidR="005248ED">
        <w:t xml:space="preserve"> gegen Ausrüstungs- oder Verhal</w:t>
      </w:r>
      <w:r>
        <w:t>tensvorschriften darstellen. Darunter sind auch Verstöße, die das Fahrerlaubnisrecht oder die Fahrtüchtigkeit von Fahrzeugführern aufgrund Drogen- oder Alkoholeinfluss</w:t>
      </w:r>
      <w:r w:rsidR="00F80F76">
        <w:t>es</w:t>
      </w:r>
      <w:r>
        <w:t xml:space="preserve"> betreffen.</w:t>
      </w:r>
    </w:p>
    <w:p w:rsidR="00BD06BB" w:rsidRDefault="00BD06BB" w:rsidP="00B57480">
      <w:pPr>
        <w:pStyle w:val="LTAntwortRessortText"/>
        <w:spacing w:before="360"/>
      </w:pPr>
      <w:r>
        <w:t xml:space="preserve">Zur Summe der Verwarnungs- sowie Bußgelder der aus dem </w:t>
      </w:r>
      <w:r w:rsidR="005248ED">
        <w:t>Blitzmarathon festgestellten Ge</w:t>
      </w:r>
      <w:r>
        <w:t>schwindigkeitsübertretungen kann keine Aussage getroffen werd</w:t>
      </w:r>
      <w:r w:rsidR="005248ED">
        <w:t>en, da das Bayerische Polizei</w:t>
      </w:r>
      <w:r>
        <w:t>verwaltungsamt keine statistischen Erhebungen zu den (voraussichtlich) erzielten Einnahmen führt. Eine an der Erhöhung der Verkehrssicherheit orientierte Verkehrsüberwachung stellt nicht auf die Einnahmen ab, sondern auf die Art und Anzahl der Delikte.</w:t>
      </w:r>
    </w:p>
    <w:p w:rsidR="00BD06BB" w:rsidRDefault="005248ED" w:rsidP="00B57480">
      <w:pPr>
        <w:pStyle w:val="LTAntwortRessortText"/>
        <w:spacing w:before="360"/>
      </w:pPr>
      <w:r>
        <w:t>Für die Bayerische</w:t>
      </w:r>
      <w:r w:rsidR="00BD06BB">
        <w:t xml:space="preserve"> Polizei spielen fiskalische bzw. wirtschaftlich</w:t>
      </w:r>
      <w:r>
        <w:t>e Interessen oder sachfremde Er</w:t>
      </w:r>
      <w:r w:rsidR="00BD06BB">
        <w:t>wägungen bei Maßnahmen der Verkehrsüberwachung wie bspw. Geschwindigkeitsmessungen keine Rolle. Ziel dieser Maßnahmen ist es, den Verkehrsteilnehmer zu verkehrsgerechtem und besonnenem Verhalten zu veranlassen und dadurch die Anzahl schwerer Verkehrsunfälle zu verringern. Insofern dienen vorgenannte Maßnahmen als Teil der Verkehrssicherheitsarbeit alleine dem Schutz von Verkehrsteilnehmern und damit dem Wohle der Bevölkerung. So nimmt die Verkehrssicherheitsarbeit in Bayern einen hohen Stel</w:t>
      </w:r>
      <w:r>
        <w:t>lenwert ein und stellt eine tra</w:t>
      </w:r>
      <w:r w:rsidR="00BD06BB">
        <w:t>gende Säule der inneren Sicherheit dar.</w:t>
      </w:r>
    </w:p>
    <w:p w:rsidR="00BD06BB" w:rsidRDefault="00BD06BB" w:rsidP="00B57480">
      <w:pPr>
        <w:pStyle w:val="LTAntwortRessortText"/>
        <w:spacing w:before="360"/>
      </w:pPr>
      <w:r>
        <w:t xml:space="preserve">Ungeachtet dessen ergäbe eine speziell hierfür zu beauftragende </w:t>
      </w:r>
      <w:r w:rsidR="005248ED">
        <w:t>EDV</w:t>
      </w:r>
      <w:r>
        <w:t>-technische Auswertung zum jetzigen Zeitpunkt keine belastbaren Zahlen, da für ein</w:t>
      </w:r>
      <w:r w:rsidR="00F80F76">
        <w:t>en beweiskräftigen und gerichts</w:t>
      </w:r>
      <w:r>
        <w:t xml:space="preserve">verwertbaren Tat- und Täternachweis weitere Auswertungen </w:t>
      </w:r>
      <w:r w:rsidR="005248ED">
        <w:t>und Ermittlungen (bspw. Berück</w:t>
      </w:r>
      <w:r>
        <w:t>sichtigung von gerätespezifischen Kriterien und Toleranzen, Halterfeststellung und Ermittlung des tatsächlichen Fahrzeugführers sowie Einbeziehung even</w:t>
      </w:r>
      <w:r w:rsidR="005248ED">
        <w:t>tueller Voreintragungen von Ver</w:t>
      </w:r>
      <w:r>
        <w:t>kehrsdelikten im Fahreignungsregister) erforderlich sind. Für diesen gängigen Prozess sieht der Gesetzgeber grundsätzlich eine Zeitspanne von drei Monaten vor.</w:t>
      </w:r>
    </w:p>
    <w:p w:rsidR="00BD06BB" w:rsidRDefault="00BD06BB" w:rsidP="00B57480">
      <w:pPr>
        <w:pStyle w:val="LTAntwortRessortText"/>
        <w:spacing w:before="360"/>
      </w:pPr>
      <w:r>
        <w:t>Insgesamt wurden beim 24-Stunden-Blitzmarathon mit</w:t>
      </w:r>
      <w:r w:rsidR="005248ED">
        <w:t xml:space="preserve"> 2.229 Einsatzkräften der Bayerischen</w:t>
      </w:r>
      <w:r>
        <w:t xml:space="preserve"> Polizei 7.620 Personalstunden geleistet.</w:t>
      </w:r>
    </w:p>
    <w:p w:rsidR="00606A5F" w:rsidRDefault="00606A5F" w:rsidP="00B57480">
      <w:pPr>
        <w:spacing w:before="360"/>
        <w:rPr>
          <w:rFonts w:cs="Arial"/>
          <w:b/>
          <w:sz w:val="22"/>
          <w:szCs w:val="22"/>
        </w:rPr>
      </w:pPr>
      <w:r>
        <w:br w:type="page"/>
      </w:r>
    </w:p>
    <w:p w:rsidR="00BD06BB" w:rsidRDefault="00BD06BB" w:rsidP="00BD06BB">
      <w:pPr>
        <w:pStyle w:val="LTUeberschrRessort"/>
      </w:pPr>
      <w:r>
        <w:t>Geschäftsbereich des Staatsministeriums für Wohnen, Bau und Verkehr</w:t>
      </w:r>
      <w:r>
        <w:fldChar w:fldCharType="begin"/>
      </w:r>
      <w:r>
        <w:instrText xml:space="preserve"> TC </w:instrText>
      </w:r>
      <w:r w:rsidR="007B3866">
        <w:instrText>„</w:instrText>
      </w:r>
      <w:r>
        <w:instrText>Geschäftsbereich des Staatsministeriums für Wohnen, Bau und Verkehr</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Florian</w:t>
            </w:r>
            <w:r w:rsidRPr="00BD06BB">
              <w:rPr>
                <w:b/>
              </w:rPr>
              <w:br/>
            </w:r>
            <w:r w:rsidR="00CE75FF">
              <w:rPr>
                <w:b/>
              </w:rPr>
              <w:t xml:space="preserve">von </w:t>
            </w:r>
            <w:r w:rsidRPr="00BD06BB">
              <w:rPr>
                <w:b/>
              </w:rPr>
              <w:t>Brunn</w:t>
            </w:r>
            <w:r w:rsidRPr="00BD06BB">
              <w:rPr>
                <w:b/>
              </w:rPr>
              <w:br/>
            </w:r>
            <w:r w:rsidRPr="00BD06BB">
              <w:t>(SPD)</w:t>
            </w:r>
            <w:r>
              <w:fldChar w:fldCharType="begin"/>
            </w:r>
            <w:r>
              <w:instrText xml:space="preserve"> XE </w:instrText>
            </w:r>
            <w:r w:rsidR="007B3866">
              <w:instrText>„</w:instrText>
            </w:r>
            <w:r>
              <w:instrText xml:space="preserve">Brunn, Florian (SPD):Entschädigung der Betroffenen der Sicherheitspanne am Münchner Flughafen im Juli 2018 </w:instrText>
            </w:r>
            <w:r>
              <w:fldChar w:fldCharType="end"/>
            </w:r>
            <w:r>
              <w:fldChar w:fldCharType="begin"/>
            </w:r>
            <w:r>
              <w:instrText xml:space="preserve"> TC </w:instrText>
            </w:r>
            <w:r w:rsidR="007B3866">
              <w:instrText>„</w:instrText>
            </w:r>
            <w:r>
              <w:instrText>Brunn, Florian (SPD)</w:instrText>
            </w:r>
            <w:r>
              <w:br/>
              <w:instrText xml:space="preserve">Entschädigung der Betroffenen der Sicherheitspanne am Münchner Flughafen im Juli 2018 </w:instrText>
            </w:r>
            <w:r w:rsidR="007B3866">
              <w:instrText>„</w:instrText>
            </w:r>
            <w:r>
              <w:instrText xml:space="preserve"> \l 2 </w:instrText>
            </w:r>
            <w:r>
              <w:fldChar w:fldCharType="end"/>
            </w:r>
          </w:p>
        </w:tc>
        <w:tc>
          <w:tcPr>
            <w:tcW w:w="7200" w:type="dxa"/>
            <w:shd w:val="clear" w:color="auto" w:fill="auto"/>
          </w:tcPr>
          <w:p w:rsidR="00BD06BB" w:rsidRDefault="00BD06BB" w:rsidP="00B57480">
            <w:pPr>
              <w:pStyle w:val="LTAnfrageText"/>
            </w:pPr>
            <w:r>
              <w:t>Nachdem es Ende Juli 2018 zu einer folgenschweren Sicherheitspanne am Münchner Flughafen kam, aufgrund derer zahlreiche Flüge ausgefallen sind, und diese offenbar durch Mitarbeiter der staatlichen Sicherheitsgesellschaft SGM ausgelöst wurde, frage ich die Staatsregierung, wie viele Passagiere vom Flughafenchaos in München am 28.07.2018 direkt betroffen waren, welches Ergebnis die Prüfung von Amtshaftungs- und Schadensersatzansprüchen für Passagiere gegen den Freistaat Bayern durch bayerische Behörden bzw. Staatsregierung gezeitigt hat, und wie viele Passagiere vom Freistaat Bayern entschädigt wurden?</w:t>
            </w:r>
          </w:p>
        </w:tc>
      </w:tr>
    </w:tbl>
    <w:p w:rsidR="00975449" w:rsidRDefault="00975449" w:rsidP="00BD06BB">
      <w:pPr>
        <w:pStyle w:val="LTUeberschrAntwortRessort"/>
      </w:pPr>
    </w:p>
    <w:p w:rsidR="00BD06BB" w:rsidRDefault="00BD06BB" w:rsidP="00BD06BB">
      <w:pPr>
        <w:pStyle w:val="LTUeberschrAntwortRessort"/>
      </w:pPr>
      <w:r>
        <w:t>Antwort des Staatsministeriums für Wohnen, Bau und Verkehr</w:t>
      </w:r>
    </w:p>
    <w:p w:rsidR="00BD06BB" w:rsidRDefault="00BD06BB" w:rsidP="00975449">
      <w:pPr>
        <w:pStyle w:val="LTAntwortRessortText"/>
        <w:spacing w:before="360"/>
      </w:pPr>
      <w:r>
        <w:t xml:space="preserve">Aufgrund des Sicherheitsvorfalls am </w:t>
      </w:r>
      <w:r w:rsidR="00606A5F">
        <w:t>28.07.</w:t>
      </w:r>
      <w:r>
        <w:t>2018 waren insgesamt ca. 34.000 Passagiere von Flugausfällen, -verspätungen und -umbuchungen betroffen.</w:t>
      </w:r>
    </w:p>
    <w:p w:rsidR="00975449" w:rsidRDefault="00BD06BB" w:rsidP="00B57480">
      <w:pPr>
        <w:pStyle w:val="LTAntwortRessortText"/>
        <w:spacing w:before="360"/>
      </w:pPr>
      <w:r>
        <w:t>Die Prüfung von Amtshaftungs- und sonstigen Entschädigungsansprüchen von Passagieren gegen den Freistaat Bayern brachte das Ergebnis, dass solche Ansprüche nicht gegeben sind. Dementsprechend wurden vom Freistaat Bayern keine Passagiere entschädigt.</w:t>
      </w:r>
    </w:p>
    <w:p w:rsidR="00975449" w:rsidRDefault="00975449"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Dr. Markus</w:t>
            </w:r>
            <w:r w:rsidRPr="00BD06BB">
              <w:rPr>
                <w:b/>
              </w:rPr>
              <w:br/>
              <w:t>Büchler</w:t>
            </w:r>
            <w:r w:rsidRPr="00BD06BB">
              <w:rPr>
                <w:b/>
              </w:rPr>
              <w:br/>
            </w:r>
            <w:r w:rsidRPr="00BD06BB">
              <w:t>(BÜNDNIS 90/DIE GRÜNEN)</w:t>
            </w:r>
            <w:r>
              <w:fldChar w:fldCharType="begin"/>
            </w:r>
            <w:r>
              <w:instrText xml:space="preserve"> XE </w:instrText>
            </w:r>
            <w:r w:rsidR="007B3866">
              <w:instrText>„</w:instrText>
            </w:r>
            <w:r>
              <w:instrText xml:space="preserve">Büchler, Dr., Markus (BÜNDNIS 90/DIE GRÜNEN):Angekündigte Ausschreibung des Liniensterns Mühldorf im EU-Amtsblatt </w:instrText>
            </w:r>
            <w:r>
              <w:fldChar w:fldCharType="end"/>
            </w:r>
            <w:r>
              <w:fldChar w:fldCharType="begin"/>
            </w:r>
            <w:r>
              <w:instrText xml:space="preserve"> TC </w:instrText>
            </w:r>
            <w:r w:rsidR="007B3866">
              <w:instrText>„</w:instrText>
            </w:r>
            <w:r>
              <w:instrText>Dr. Büchler, Markus (BÜNDNIS 90/DIE GRÜNEN)</w:instrText>
            </w:r>
            <w:r>
              <w:br/>
              <w:instrText xml:space="preserve">Angekündigte Ausschreibung des Liniensterns Mühldorf im EU-Amtsblatt </w:instrText>
            </w:r>
            <w:r w:rsidR="007B3866">
              <w:instrText>„</w:instrText>
            </w:r>
            <w:r>
              <w:instrText xml:space="preserve"> \l 2 </w:instrText>
            </w:r>
            <w:r>
              <w:fldChar w:fldCharType="end"/>
            </w:r>
          </w:p>
        </w:tc>
        <w:tc>
          <w:tcPr>
            <w:tcW w:w="7200" w:type="dxa"/>
            <w:shd w:val="clear" w:color="auto" w:fill="auto"/>
          </w:tcPr>
          <w:p w:rsidR="00BD06BB" w:rsidRDefault="00BD06BB" w:rsidP="00B57480">
            <w:pPr>
              <w:pStyle w:val="LTAnfrageText"/>
            </w:pPr>
            <w:r>
              <w:t>Ich frage die Staatsregierung, aus welchen Gründen will die Bayerische Eisenbahngesellschaft mbH (BEG) den Betrieb eines Regionalverkehrs im Umfang von voraussichtlich ca. 7,7</w:t>
            </w:r>
            <w:r w:rsidR="00606A5F">
              <w:t> </w:t>
            </w:r>
            <w:r>
              <w:t xml:space="preserve">Mio. Zugkilometern pro Jahr auf den Linien Mühldorf (Obb.) </w:t>
            </w:r>
            <w:r w:rsidR="00606A5F">
              <w:t>–</w:t>
            </w:r>
            <w:r>
              <w:t xml:space="preserve"> Simbach, Mühldorf (Obb.) </w:t>
            </w:r>
            <w:r w:rsidR="00606A5F">
              <w:t xml:space="preserve">– </w:t>
            </w:r>
            <w:r>
              <w:t xml:space="preserve">Passau, Mühldorf (Obb.) </w:t>
            </w:r>
            <w:r w:rsidR="00606A5F">
              <w:t>–</w:t>
            </w:r>
            <w:r>
              <w:t xml:space="preserve"> Lands</w:t>
            </w:r>
            <w:r w:rsidR="00606A5F">
              <w:softHyphen/>
            </w:r>
            <w:r>
              <w:t xml:space="preserve">hut, Mühldorf (Obb.) </w:t>
            </w:r>
            <w:r w:rsidR="00606A5F">
              <w:t>–</w:t>
            </w:r>
            <w:r>
              <w:t xml:space="preserve"> Burghausen, Mühldorf (Obb.) </w:t>
            </w:r>
            <w:r w:rsidR="00606A5F">
              <w:t>–</w:t>
            </w:r>
            <w:r>
              <w:t xml:space="preserve"> Salz</w:t>
            </w:r>
            <w:r w:rsidR="00606A5F">
              <w:softHyphen/>
            </w:r>
            <w:r>
              <w:t xml:space="preserve">burg, Mühldorf (Obb.) </w:t>
            </w:r>
            <w:r w:rsidR="00606A5F">
              <w:t xml:space="preserve">– </w:t>
            </w:r>
            <w:r>
              <w:t xml:space="preserve"> Rosenheim, Mühldorf (Obb.) </w:t>
            </w:r>
            <w:r w:rsidR="00606A5F">
              <w:t>–</w:t>
            </w:r>
            <w:r>
              <w:t xml:space="preserve"> Traun</w:t>
            </w:r>
            <w:r w:rsidR="00606A5F">
              <w:softHyphen/>
            </w:r>
            <w:r>
              <w:t xml:space="preserve">stein, Traunstein </w:t>
            </w:r>
            <w:r w:rsidR="00606A5F">
              <w:t>–</w:t>
            </w:r>
            <w:r>
              <w:t xml:space="preserve"> Traunreut, München </w:t>
            </w:r>
            <w:r w:rsidR="00606A5F">
              <w:t>–</w:t>
            </w:r>
            <w:r>
              <w:t xml:space="preserve"> Wasserburg, Traunstein </w:t>
            </w:r>
            <w:r w:rsidR="00606A5F">
              <w:t>–</w:t>
            </w:r>
            <w:r>
              <w:t xml:space="preserve"> Waging, Prien </w:t>
            </w:r>
            <w:r w:rsidR="00606A5F">
              <w:t>–</w:t>
            </w:r>
            <w:r>
              <w:t xml:space="preserve"> Aschau, (Landshut </w:t>
            </w:r>
            <w:r w:rsidR="00606A5F">
              <w:t>–</w:t>
            </w:r>
            <w:r>
              <w:t xml:space="preserve">) Neufahrn </w:t>
            </w:r>
            <w:r w:rsidR="00606A5F">
              <w:t>–</w:t>
            </w:r>
            <w:r>
              <w:t xml:space="preserve"> Bogen, München </w:t>
            </w:r>
            <w:r w:rsidR="00606A5F">
              <w:t>–</w:t>
            </w:r>
            <w:r>
              <w:t xml:space="preserve"> Mühldorf (Obb.) nicht wie üblicherweise für zwölf Jahre vergeben, inwieweit sind die Linien Mühldorf (Obb.) </w:t>
            </w:r>
            <w:r w:rsidR="00606A5F">
              <w:t>–</w:t>
            </w:r>
            <w:r>
              <w:t xml:space="preserve"> Passau, Mühldorf (Obb.) </w:t>
            </w:r>
            <w:r w:rsidR="00606A5F">
              <w:t>–</w:t>
            </w:r>
            <w:r>
              <w:t xml:space="preserve"> Landshut, Mühldorf (Obb.) </w:t>
            </w:r>
            <w:r w:rsidR="00606A5F">
              <w:t>–</w:t>
            </w:r>
            <w:r>
              <w:t xml:space="preserve"> Burghausen, Mühldorf (Obb.) </w:t>
            </w:r>
            <w:r w:rsidR="00606A5F">
              <w:t>–</w:t>
            </w:r>
            <w:r>
              <w:t xml:space="preserve"> Rosenheim, Mühldorf (Obb.) </w:t>
            </w:r>
            <w:r w:rsidR="00606A5F">
              <w:t>–</w:t>
            </w:r>
            <w:r>
              <w:t xml:space="preserve"> Traunstein, Traunstein </w:t>
            </w:r>
            <w:r w:rsidR="00606A5F">
              <w:t>–</w:t>
            </w:r>
            <w:r>
              <w:t xml:space="preserve"> Traunreut, München </w:t>
            </w:r>
            <w:r w:rsidR="00606A5F">
              <w:t>–</w:t>
            </w:r>
            <w:r>
              <w:t xml:space="preserve"> Wasserburg, Traunstein </w:t>
            </w:r>
            <w:r w:rsidR="00606A5F">
              <w:t>–</w:t>
            </w:r>
            <w:r>
              <w:t xml:space="preserve"> Waging, Prien </w:t>
            </w:r>
            <w:r w:rsidR="00606A5F">
              <w:t>–</w:t>
            </w:r>
            <w:r>
              <w:t xml:space="preserve"> Aschau, (Landshut </w:t>
            </w:r>
            <w:r w:rsidR="00606A5F">
              <w:t>–</w:t>
            </w:r>
            <w:r>
              <w:t xml:space="preserve">) Neufahrn </w:t>
            </w:r>
            <w:r w:rsidR="00606A5F">
              <w:t>–</w:t>
            </w:r>
            <w:r>
              <w:t xml:space="preserve"> Bogen betrieblich bzw. umlauftechnisch von der Elektrifizierung der Ausbaustrecke (ABS) 38 überhaupt betroffen und wann rechnet die Staatsregierung bzw. die BEG mit der voraussichtlichen Fertigstellung der Elektrifizierung der ABS 38?</w:t>
            </w:r>
          </w:p>
        </w:tc>
      </w:tr>
    </w:tbl>
    <w:p w:rsidR="00BD06BB" w:rsidRDefault="00BD06BB" w:rsidP="00B57480">
      <w:pPr>
        <w:pStyle w:val="LTUeberschrAntwortRessort"/>
      </w:pPr>
      <w:r>
        <w:t>Antwort des Staatsministeriums für Wohnen, Bau und Verkehr</w:t>
      </w:r>
    </w:p>
    <w:p w:rsidR="00BD06BB" w:rsidRDefault="00BD06BB" w:rsidP="00BD06BB">
      <w:pPr>
        <w:pStyle w:val="LTAntwortRessortText"/>
      </w:pPr>
      <w:r>
        <w:t xml:space="preserve">Die Bayerische Eisenbahngesellschaft mbH (BEG) vergibt Verkehrsleistungen in der Regel dann für 12 Jahre, wenn Neufahrzeuge gefordert werden. Eine Ausschreibung mit Neufahrzeugen zum Dezember 2024 ist in diesem Fall jedoch nicht praktikabel, weil umfassende Infrastrukturausbauten den erforderlichen Fahrzeugeinsatz ab etwa 2030 verändern werden. Die Strecken München </w:t>
      </w:r>
      <w:r w:rsidR="0018708A">
        <w:t>–</w:t>
      </w:r>
      <w:r>
        <w:t xml:space="preserve"> Mühldorf, Mühldorf </w:t>
      </w:r>
      <w:r w:rsidR="0018708A">
        <w:t>–</w:t>
      </w:r>
      <w:r>
        <w:t xml:space="preserve"> Freilassing, Tüßling </w:t>
      </w:r>
      <w:r w:rsidR="0018708A">
        <w:t>–</w:t>
      </w:r>
      <w:r>
        <w:t xml:space="preserve"> Burghausen und Landshut </w:t>
      </w:r>
      <w:r w:rsidR="0018708A">
        <w:t>–</w:t>
      </w:r>
      <w:r>
        <w:t xml:space="preserve"> Mühldorf sollen bis ca.</w:t>
      </w:r>
      <w:r w:rsidR="0018708A">
        <w:t> </w:t>
      </w:r>
      <w:r>
        <w:t xml:space="preserve">2030 elektrifiziert werden. Die Strecke Mühldorf </w:t>
      </w:r>
      <w:r w:rsidR="0018708A">
        <w:t>–</w:t>
      </w:r>
      <w:r>
        <w:t xml:space="preserve"> Simbach </w:t>
      </w:r>
      <w:r w:rsidR="0018708A">
        <w:t>–</w:t>
      </w:r>
      <w:r>
        <w:t xml:space="preserve"> Landesgrenze wurde vom Freistaat für das neue Bundesprogramm </w:t>
      </w:r>
      <w:r w:rsidR="007B3866">
        <w:t>„</w:t>
      </w:r>
      <w:r>
        <w:t>elektrische Güterbahn</w:t>
      </w:r>
      <w:r w:rsidR="007B3866">
        <w:t>“</w:t>
      </w:r>
      <w:r>
        <w:t xml:space="preserve"> angemeldet; der Bund prüft derzeit, ob die Strecke im Programm berücksichtigt werden kann. Sobald die genannten Strecken elektrifiziert sind, ist ein Einsatz von elektrischen Fahrzeugen ökonomisch und ökologisch sinnvoller.</w:t>
      </w:r>
    </w:p>
    <w:p w:rsidR="00BD06BB" w:rsidRDefault="00BD06BB" w:rsidP="00BD06BB">
      <w:pPr>
        <w:pStyle w:val="LTAntwortRessortText"/>
      </w:pPr>
      <w:r>
        <w:t xml:space="preserve">Überschneidungen ergeben sich ferner mit dem Netz der S-Bahn München: Die Strecke Ebersberg </w:t>
      </w:r>
      <w:r w:rsidR="0018708A">
        <w:t xml:space="preserve">– </w:t>
      </w:r>
      <w:r>
        <w:t>Wasserburg soll elektrifiziert und nach Inbetriebnahme der 2.</w:t>
      </w:r>
      <w:r w:rsidR="0018708A">
        <w:t> </w:t>
      </w:r>
      <w:r>
        <w:t>Stammstrecke von S-Bahn-Fahrzeugen befahren werden.</w:t>
      </w:r>
    </w:p>
    <w:p w:rsidR="00BD06BB" w:rsidRDefault="00BD06BB" w:rsidP="00BD06BB">
      <w:pPr>
        <w:pStyle w:val="LTAntwortRessortText"/>
      </w:pPr>
      <w:r>
        <w:t xml:space="preserve">Für die Schieneninfrastruktur ist laut </w:t>
      </w:r>
      <w:r w:rsidR="0018708A">
        <w:t>Art.</w:t>
      </w:r>
      <w:r>
        <w:t xml:space="preserve"> 87e </w:t>
      </w:r>
      <w:r w:rsidR="0018708A">
        <w:t>Grundgesetz (GG)</w:t>
      </w:r>
      <w:r>
        <w:t xml:space="preserve"> der Bund zuständig. Dies trifft auch auf das Bundesverkehrswegeplanprojekt </w:t>
      </w:r>
      <w:r w:rsidR="007B3866">
        <w:t>„</w:t>
      </w:r>
      <w:r>
        <w:t>ABS 38</w:t>
      </w:r>
      <w:r w:rsidR="007B3866">
        <w:t>“</w:t>
      </w:r>
      <w:r>
        <w:t xml:space="preserve"> zu. Die DB Netz AG rechnet mit einer Realisierung des durchgängigen zweigleisigen Ausbaus und der Elektrifizierung ab etwa 2030. Die konkreten Auswirkungen der Elektrifizierung der </w:t>
      </w:r>
      <w:r w:rsidR="007B3866">
        <w:t>„</w:t>
      </w:r>
      <w:r>
        <w:t>ABS 38</w:t>
      </w:r>
      <w:r w:rsidR="007B3866">
        <w:t>“</w:t>
      </w:r>
      <w:r>
        <w:t xml:space="preserve"> auf den Betrieb und die Fahrzeugumläufe wird die DB Netz AG nach dem Kenntnisstand der Staatsregierung im Rahmen einer Untersuchung ermitteln.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Katrin</w:t>
            </w:r>
            <w:r w:rsidRPr="00BD06BB">
              <w:rPr>
                <w:b/>
              </w:rPr>
              <w:br/>
              <w:t>Ebner-Steiner</w:t>
            </w:r>
            <w:r w:rsidRPr="00BD06BB">
              <w:rPr>
                <w:b/>
              </w:rPr>
              <w:br/>
            </w:r>
            <w:r w:rsidRPr="00BD06BB">
              <w:t>(AfD)</w:t>
            </w:r>
            <w:r w:rsidRPr="00975449">
              <w:fldChar w:fldCharType="begin"/>
            </w:r>
            <w:r w:rsidRPr="00975449">
              <w:instrText xml:space="preserve"> XE </w:instrText>
            </w:r>
            <w:r w:rsidR="007B3866" w:rsidRPr="00975449">
              <w:instrText>„</w:instrText>
            </w:r>
            <w:r w:rsidRPr="00975449">
              <w:instrText xml:space="preserve">Ebner-Steiner, Katrin (AfD):Wiederbelebung von stillgelegten Bahnstrecken </w:instrText>
            </w:r>
            <w:r w:rsidRPr="00975449">
              <w:fldChar w:fldCharType="end"/>
            </w:r>
            <w:r w:rsidRPr="00975449">
              <w:fldChar w:fldCharType="begin"/>
            </w:r>
            <w:r w:rsidRPr="00975449">
              <w:instrText xml:space="preserve"> TC </w:instrText>
            </w:r>
            <w:r w:rsidR="007B3866" w:rsidRPr="00975449">
              <w:instrText>„</w:instrText>
            </w:r>
            <w:r w:rsidRPr="00975449">
              <w:instrText>Ebner-Steiner, Katrin (AfD)</w:instrText>
            </w:r>
            <w:r w:rsidRPr="00975449">
              <w:br/>
              <w:instrText xml:space="preserve">Wiederbelebung von stillgelegten Bahnstrecken </w:instrText>
            </w:r>
            <w:r w:rsidR="007B3866" w:rsidRPr="00975449">
              <w:instrText>„</w:instrText>
            </w:r>
            <w:r w:rsidRPr="00975449">
              <w:instrText xml:space="preserve"> \l 2 </w:instrText>
            </w:r>
            <w:r w:rsidRPr="00975449">
              <w:fldChar w:fldCharType="end"/>
            </w:r>
          </w:p>
        </w:tc>
        <w:tc>
          <w:tcPr>
            <w:tcW w:w="7200" w:type="dxa"/>
            <w:shd w:val="clear" w:color="auto" w:fill="auto"/>
          </w:tcPr>
          <w:p w:rsidR="00BD06BB" w:rsidRDefault="00BD06BB" w:rsidP="00BD06BB">
            <w:pPr>
              <w:pStyle w:val="LTAnfrageText"/>
            </w:pPr>
            <w:r>
              <w:t>Ich frage die Staatsregierung, beabsichtigt sie die Wiederinbetriebnahme von stillgelegten Bahnstrecken in Bayern und welche Planungen liegen hierzu für welche Bahnstrecken vor (bitte die einzelnen Bahnstrecken mit den konkreten Terminen zu Planungs- und Baubeginn sowie zur geplanten Inbetriebnahme nennen)?</w:t>
            </w:r>
          </w:p>
          <w:p w:rsidR="00BD06BB" w:rsidRDefault="00BD06BB" w:rsidP="00BD06BB">
            <w:pPr>
              <w:pStyle w:val="LTAnfrageText"/>
            </w:pPr>
          </w:p>
        </w:tc>
      </w:tr>
    </w:tbl>
    <w:p w:rsidR="00BD06BB" w:rsidRDefault="00BD06BB" w:rsidP="00B57480">
      <w:pPr>
        <w:pStyle w:val="LTUeberschrAntwortRessort"/>
        <w:spacing w:before="0"/>
      </w:pPr>
      <w:r>
        <w:t>Antwort des Staatsministeriums für Wohnen, Bau und Verkehr</w:t>
      </w:r>
    </w:p>
    <w:p w:rsidR="00BD06BB" w:rsidRDefault="00BD06BB" w:rsidP="00E62A89">
      <w:pPr>
        <w:pStyle w:val="LTAntwortRessortText"/>
        <w:spacing w:before="360"/>
      </w:pPr>
      <w:r>
        <w:t>Stillgelegte Eisenbahnstrecken können reaktiviert werden, wo dies sinnvoll und möglich ist. Maßstab hierfür sind landesweit einheitliche Kriterien, welche die Wi</w:t>
      </w:r>
      <w:r w:rsidR="00AA7243">
        <w:t>rtschaftlichkeit und ver</w:t>
      </w:r>
      <w:r>
        <w:t>kehrliche Sinnhaftigkeit eines neuen Schienennahverkehrsangebotes belegen. Der Betrieb von Eisenbahnstrecken ist keine staatliche Aufgabe, sondern eine privatwirtschaftliche Betätigung. Eine Reaktivierung stillgelegter Strecken für den Schienenpersonennahverkehr (SPNV) setzt deshalb u.a. auch voraus, dass ein Eisenbahninfrastrukturunternehmen bereit und in der Lage ist, die erforderliche Infrastruktur ohne Zuschuss des Freistaats Bayern herzustellen bzw. in einen Zustand zu versetzen, der einen attraktiven SPNV ermöglicht. Ein solches zu finden ist Sache der Reaktivierungsbefürworter in der Region.</w:t>
      </w:r>
    </w:p>
    <w:p w:rsidR="00E62A89" w:rsidRDefault="00BD06BB" w:rsidP="00B57480">
      <w:pPr>
        <w:pStyle w:val="LTAntwortRessortText"/>
        <w:spacing w:before="360"/>
      </w:pPr>
      <w:r>
        <w:t>Die Staatsregierung führt daher auch keine Planungen von</w:t>
      </w:r>
      <w:r w:rsidR="00AA7243">
        <w:t xml:space="preserve"> entsprechenden Instandsetzungs</w:t>
      </w:r>
      <w:r>
        <w:t>maßnahmen oder Baumaßnahmen durch und kann über den tatsächlichen Zeitpunkt für evtl. Baubeginne an stillgelegten Strecken keine Aussagen treffen.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BD06BB" w:rsidTr="00E62A89">
        <w:tc>
          <w:tcPr>
            <w:tcW w:w="1819" w:type="dxa"/>
            <w:shd w:val="clear" w:color="auto" w:fill="auto"/>
          </w:tcPr>
          <w:p w:rsidR="00BD06BB" w:rsidRPr="00BD06BB" w:rsidRDefault="00BD06BB" w:rsidP="00BD06BB">
            <w:pPr>
              <w:pStyle w:val="LTAnfrageIni1"/>
            </w:pPr>
            <w:r w:rsidRPr="00BD06BB">
              <w:t>Abgeordneter</w:t>
            </w:r>
            <w:r w:rsidRPr="00BD06BB">
              <w:br/>
            </w:r>
            <w:r w:rsidRPr="00BD06BB">
              <w:rPr>
                <w:b/>
              </w:rPr>
              <w:t>Christian</w:t>
            </w:r>
            <w:r w:rsidRPr="00BD06BB">
              <w:rPr>
                <w:b/>
              </w:rPr>
              <w:br/>
              <w:t>Hierneis</w:t>
            </w:r>
            <w:r w:rsidRPr="00BD06BB">
              <w:rPr>
                <w:b/>
              </w:rPr>
              <w:br/>
            </w:r>
            <w:r w:rsidRPr="00BD06BB">
              <w:t>(BÜNDNIS 90/DIE GRÜNEN)</w:t>
            </w:r>
            <w:r>
              <w:fldChar w:fldCharType="begin"/>
            </w:r>
            <w:r>
              <w:instrText xml:space="preserve"> XE </w:instrText>
            </w:r>
            <w:r w:rsidR="007B3866">
              <w:instrText>„</w:instrText>
            </w:r>
            <w:r>
              <w:instrText xml:space="preserve">Hierneis, Christian (BÜNDNIS 90/DIE GRÜNEN):Alter Botanischer Garten </w:instrText>
            </w:r>
            <w:r>
              <w:fldChar w:fldCharType="end"/>
            </w:r>
            <w:r>
              <w:fldChar w:fldCharType="begin"/>
            </w:r>
            <w:r>
              <w:instrText xml:space="preserve"> TC </w:instrText>
            </w:r>
            <w:r w:rsidR="007B3866">
              <w:instrText>„</w:instrText>
            </w:r>
            <w:r>
              <w:instrText>Hierneis, Christian (BÜNDNIS 90/DIE GRÜNEN)</w:instrText>
            </w:r>
            <w:r>
              <w:br/>
              <w:instrText xml:space="preserve">Alter Botanischer Garten </w:instrText>
            </w:r>
            <w:r w:rsidR="007B3866">
              <w:instrText>„</w:instrText>
            </w:r>
            <w:r>
              <w:instrText xml:space="preserve"> \l 2 </w:instrText>
            </w:r>
            <w:r>
              <w:fldChar w:fldCharType="end"/>
            </w:r>
          </w:p>
        </w:tc>
        <w:tc>
          <w:tcPr>
            <w:tcW w:w="5797" w:type="dxa"/>
            <w:shd w:val="clear" w:color="auto" w:fill="auto"/>
          </w:tcPr>
          <w:p w:rsidR="00BD06BB" w:rsidRDefault="00BD06BB" w:rsidP="00975449">
            <w:pPr>
              <w:pStyle w:val="LTAnfrageText"/>
            </w:pPr>
            <w:r>
              <w:t>Ich frage die Staatsregierung, welchen Wortlaut hat der schuldrechtliche Vertrag zwischen dem Freistaat Bayern und der Landeshauptstadt München, durch den der Alte Botanische Garten in München (Fl. Nrn. 5705/7 und 5705/8 Gemarkung München S. 4) an die Landeshauptstadt München zur Nutzung als öffentliche Grünanlage bzw. als öffentlicher Spielplatz für Kinder etc. überlassen ist, und falls es weitere Verträge, Bestimmungen, Abreden, Zustimmungen oder Genehmigungen gibt, wie lauten diese?</w:t>
            </w:r>
          </w:p>
        </w:tc>
      </w:tr>
    </w:tbl>
    <w:p w:rsidR="00BD06BB" w:rsidRDefault="00BD06BB" w:rsidP="00D04095">
      <w:pPr>
        <w:pStyle w:val="LTUeberschrAntwortRessort"/>
        <w:spacing w:before="960"/>
      </w:pPr>
      <w:r>
        <w:t>Antwort des Staatsministeriums für Wohnen, Bau und Verkehr</w:t>
      </w:r>
    </w:p>
    <w:p w:rsidR="00BD06BB" w:rsidRDefault="00BD06BB" w:rsidP="00BD06BB">
      <w:pPr>
        <w:pStyle w:val="LTAntwortRessortText"/>
      </w:pPr>
      <w:r>
        <w:t>Die Staatsregierung erteilt, sofern die Vertragspartei dies nicht ausdrücklich anders wünscht und keine staatlichen Interessen entgegenstehen, keine Auskünfte an Dritte über die Identität der Beteiligten und detaillierte Vertragsinhalte. Durch die übliche Behandlung in nichtöffentlicher Sitzung des Ausschusses für Staatshaushalt und Finanzfragen des Landtags wird diesem Schutzgedanken auch im Rahmen der parlamentarischen Befassung Rechnung getragen. Eine Mitteilung des Wortlauts des schuldrechtlichen Vertrags kann deshalb nicht erfolgen.</w:t>
      </w:r>
    </w:p>
    <w:p w:rsidR="00E62A89" w:rsidRDefault="00E62A89"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Annette</w:t>
            </w:r>
            <w:r w:rsidRPr="00BD06BB">
              <w:rPr>
                <w:b/>
              </w:rPr>
              <w:br/>
              <w:t>Karl</w:t>
            </w:r>
            <w:r w:rsidRPr="00BD06BB">
              <w:rPr>
                <w:b/>
              </w:rPr>
              <w:br/>
            </w:r>
            <w:r w:rsidRPr="00BD06BB">
              <w:t>(SPD)</w:t>
            </w:r>
            <w:r>
              <w:fldChar w:fldCharType="begin"/>
            </w:r>
            <w:r>
              <w:instrText xml:space="preserve"> XE </w:instrText>
            </w:r>
            <w:r w:rsidR="007B3866">
              <w:instrText>„</w:instrText>
            </w:r>
            <w:r>
              <w:instrText xml:space="preserve">Karl, Annette (SPD):Ausweitung von Verkehrsverbünden </w:instrText>
            </w:r>
            <w:r>
              <w:fldChar w:fldCharType="end"/>
            </w:r>
            <w:r>
              <w:fldChar w:fldCharType="begin"/>
            </w:r>
            <w:r>
              <w:instrText xml:space="preserve"> TC </w:instrText>
            </w:r>
            <w:r w:rsidR="007B3866">
              <w:instrText>„</w:instrText>
            </w:r>
            <w:r>
              <w:instrText>Karl, Annette (SPD)</w:instrText>
            </w:r>
            <w:r>
              <w:br/>
              <w:instrText xml:space="preserve">Ausweitung von Verkehrsverbünden </w:instrText>
            </w:r>
            <w:r w:rsidR="007B3866">
              <w:instrText>„</w:instrText>
            </w:r>
            <w:r>
              <w:instrText xml:space="preserve"> \l 2 </w:instrText>
            </w:r>
            <w:r>
              <w:fldChar w:fldCharType="end"/>
            </w:r>
          </w:p>
        </w:tc>
        <w:tc>
          <w:tcPr>
            <w:tcW w:w="7200" w:type="dxa"/>
            <w:shd w:val="clear" w:color="auto" w:fill="auto"/>
          </w:tcPr>
          <w:p w:rsidR="00BD06BB" w:rsidRDefault="00BD06BB" w:rsidP="00B57480">
            <w:pPr>
              <w:pStyle w:val="LTAnfrageText"/>
            </w:pPr>
            <w:r>
              <w:t>Nachdem bei einer Stärkung des ÖPNV auch immer wieder über die Ausweitung bestehender Verkehrsverbünde diskutiert wird, frage ich die Staatsregierung, bei welchen Verkehrsverbünden gibt es Planungen zur Ausweitung des Gebietes, welche Kosten müssten die Gebietskörperschaften bei einem Beitritt tragen und welche Finanzmittel der Freistaat Bayern zur Unterstützung von Gebietskörperschaften zur Verfügung stellt, wenn ein Beitritt in einen Verkehrsverbund an den Beitrittskosten zu scheitern droht?</w:t>
            </w:r>
          </w:p>
        </w:tc>
      </w:tr>
    </w:tbl>
    <w:p w:rsidR="00E62A89" w:rsidRDefault="00E62A89" w:rsidP="00BD06BB">
      <w:pPr>
        <w:pStyle w:val="LTUeberschrAntwortRessort"/>
      </w:pPr>
    </w:p>
    <w:p w:rsidR="00BD06BB" w:rsidRDefault="00BD06BB" w:rsidP="00B57480">
      <w:pPr>
        <w:pStyle w:val="LTUeberschrAntwortRessort"/>
        <w:spacing w:before="0"/>
      </w:pPr>
      <w:r>
        <w:t>Antwort des Staatsministeriums für Wohnen, Bau und Verkehr</w:t>
      </w:r>
    </w:p>
    <w:p w:rsidR="00BD06BB" w:rsidRDefault="00BD06BB" w:rsidP="00BD06BB">
      <w:pPr>
        <w:pStyle w:val="LTAntwortRessortText"/>
      </w:pPr>
      <w:r>
        <w:t xml:space="preserve">Die Staatsregierung begrüßt das Bestreben von Landkreisen und kreisfreien Städten, Verkehrsverbünden beizutreten. Verbunderweiterungen setzen immer den ausdrücklichen Willen des bzw. der jeweiligen kommunalen Aufgabenträger voraus. Aktuell sind der Staatsregierung Beitrittsplanungen zu den Verkehrsverbünden </w:t>
      </w:r>
      <w:r w:rsidR="00792DD0">
        <w:t>Münchner Verkehrs- und Tarifverbund (</w:t>
      </w:r>
      <w:r>
        <w:t>MVV</w:t>
      </w:r>
      <w:r w:rsidR="00792DD0">
        <w:t>)</w:t>
      </w:r>
      <w:r>
        <w:t xml:space="preserve">, </w:t>
      </w:r>
      <w:r w:rsidR="00792DD0" w:rsidRPr="00792DD0">
        <w:t xml:space="preserve">Verkehrsverbund Großraum Nürnberg </w:t>
      </w:r>
      <w:r w:rsidR="00792DD0">
        <w:t>(</w:t>
      </w:r>
      <w:r>
        <w:t>VGN</w:t>
      </w:r>
      <w:r w:rsidR="00792DD0">
        <w:t>)</w:t>
      </w:r>
      <w:r>
        <w:t xml:space="preserve"> und </w:t>
      </w:r>
      <w:r w:rsidR="00792DD0">
        <w:t>Augsburger Verkehrs- und Tarifbund (</w:t>
      </w:r>
      <w:r>
        <w:t>AVV</w:t>
      </w:r>
      <w:r w:rsidR="00792DD0">
        <w:t>)</w:t>
      </w:r>
      <w:r>
        <w:t xml:space="preserve"> bekannt. Die Planungen befinden sich in unterschiedlich weit fortgeschrittenen Stadien.</w:t>
      </w:r>
    </w:p>
    <w:p w:rsidR="00BD06BB" w:rsidRDefault="00BD06BB" w:rsidP="00BD06BB">
      <w:pPr>
        <w:pStyle w:val="LTAntwortRessortText"/>
      </w:pPr>
      <w:r>
        <w:t xml:space="preserve">Um die verkehrliche und wirtschaftliche Sinnhaftigkeit einer Verbunderweiterung </w:t>
      </w:r>
      <w:r w:rsidR="00792DD0">
        <w:br/>
      </w:r>
      <w:r>
        <w:t>oder -neugründung analysieren und die sich daraus ergebenden Kosten für die Aufgabenträger des Schienenpersonennahverkehrs und des allgemeinen öffentlichen Personennahverkehrs belastbar abschätzen zu können, ist in jedem Fall eine valide Datengrundlage erforderlich. Daher stellt die Staatsregierung an einem Verbundbeitritt bzw. einer -neugründung interessierten Kommunen die Förderung einer vorbereitenden Untersuchung in Aussicht.</w:t>
      </w:r>
    </w:p>
    <w:p w:rsidR="00BD06BB" w:rsidRDefault="00BD06BB" w:rsidP="00BD06BB">
      <w:pPr>
        <w:pStyle w:val="LTAntwortRessortText"/>
      </w:pPr>
      <w:r>
        <w:t>Die konkrete Ausgestaltung eines Förderprogramms zur Verbunderweiterung wird vom Ergebnis des Gesetzgebungsverfahrens über den Doppelhaushalt 2019/2020 abhängen.</w:t>
      </w:r>
    </w:p>
    <w:p w:rsidR="00E62A89" w:rsidRDefault="00E62A89" w:rsidP="00BD06BB">
      <w:pPr>
        <w:pStyle w:val="LTAntwortRessortText"/>
      </w:pPr>
    </w:p>
    <w:p w:rsidR="00E62A89" w:rsidRDefault="00E62A89"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Rosi</w:t>
            </w:r>
            <w:r w:rsidRPr="00BD06BB">
              <w:rPr>
                <w:b/>
              </w:rPr>
              <w:br/>
              <w:t>Steinberger</w:t>
            </w:r>
            <w:r w:rsidRPr="00BD06BB">
              <w:rPr>
                <w:b/>
              </w:rPr>
              <w:br/>
            </w:r>
            <w:r w:rsidRPr="00BD06BB">
              <w:t>(BÜNDNIS 90/DIE GRÜNEN)</w:t>
            </w:r>
            <w:r>
              <w:fldChar w:fldCharType="begin"/>
            </w:r>
            <w:r>
              <w:instrText xml:space="preserve"> XE </w:instrText>
            </w:r>
            <w:r w:rsidR="007B3866">
              <w:instrText>„</w:instrText>
            </w:r>
            <w:r>
              <w:instrText xml:space="preserve">Steinberger, Rosi (BÜNDNIS 90/DIE GRÜNEN):Überregionaler Flughafenexpress (ÜFEX) </w:instrText>
            </w:r>
            <w:r>
              <w:fldChar w:fldCharType="end"/>
            </w:r>
            <w:r>
              <w:fldChar w:fldCharType="begin"/>
            </w:r>
            <w:r>
              <w:instrText xml:space="preserve"> TC </w:instrText>
            </w:r>
            <w:r w:rsidR="007B3866">
              <w:instrText>„</w:instrText>
            </w:r>
            <w:r>
              <w:instrText>Steinberger, Rosi (BÜNDNIS 90/DIE GRÜNEN)</w:instrText>
            </w:r>
            <w:r>
              <w:br/>
              <w:instrText xml:space="preserve">Überregionaler Flughafenexpress (ÜFEX) </w:instrText>
            </w:r>
            <w:r w:rsidR="007B3866">
              <w:instrText>„</w:instrText>
            </w:r>
            <w:r>
              <w:instrText xml:space="preserve"> \l 2 </w:instrText>
            </w:r>
            <w:r>
              <w:fldChar w:fldCharType="end"/>
            </w:r>
          </w:p>
        </w:tc>
        <w:tc>
          <w:tcPr>
            <w:tcW w:w="7200" w:type="dxa"/>
            <w:shd w:val="clear" w:color="auto" w:fill="auto"/>
          </w:tcPr>
          <w:p w:rsidR="00BD06BB" w:rsidRDefault="00BD06BB" w:rsidP="00D04095">
            <w:pPr>
              <w:pStyle w:val="LTAnfrageText"/>
              <w:ind w:firstLine="33"/>
            </w:pPr>
            <w:r>
              <w:t>Ich frage die Staatsregierung, zu welchen Zeiten werden im Fahrplan des Überregionalen Flughafenexpresses (ÜFEX) die Bahnhalte Neufahrn und Ergoldsbach derzeit nicht im Stundentakt bedient und gibt es Überlegungen der Staatsregierung, zukünftig an beiden Bahnhalten einen stündlichen Halt einzurichten?</w:t>
            </w:r>
          </w:p>
        </w:tc>
      </w:tr>
    </w:tbl>
    <w:p w:rsidR="00E62A89" w:rsidRDefault="00E62A89" w:rsidP="00BD06BB">
      <w:pPr>
        <w:pStyle w:val="LTUeberschrAntwortRessort"/>
      </w:pPr>
    </w:p>
    <w:p w:rsidR="00BD06BB" w:rsidRDefault="00BD06BB" w:rsidP="00B57480">
      <w:pPr>
        <w:pStyle w:val="LTUeberschrAntwortRessort"/>
        <w:spacing w:before="960"/>
      </w:pPr>
      <w:r>
        <w:t>Antwort des Staatsministeriums für Wohnen, Bau und Verkehr</w:t>
      </w:r>
    </w:p>
    <w:p w:rsidR="00BD06BB" w:rsidRDefault="00BD06BB" w:rsidP="00B57480">
      <w:pPr>
        <w:pStyle w:val="LTAntwortRessortText"/>
        <w:spacing w:before="360"/>
      </w:pPr>
      <w:r>
        <w:t>Der Überregionale Flughafenexpress (ÜFEX) kann aufgrund betrieblicher Zwangspunkte maximal acht Zwischenhalte bedienen. Andernfalls würden Anschlüsse in Regensburg verloren gehen oder am Flughafen würde nicht die notwendige Trasse vor der Einfahrt der S-Bahn-Linie 8 erreicht. In Neufahrn (Niederbayern) und Ergoldsbach kann deshalb nur alternierend gehalten werden. Die konkrete Festlegung der alternierenden Halte in Neufahrn und Ergoldsbach erfolgte in enger Abstimmung mit der Region.</w:t>
      </w:r>
    </w:p>
    <w:p w:rsidR="00BD06BB" w:rsidRDefault="00BD06BB" w:rsidP="00B57480">
      <w:pPr>
        <w:pStyle w:val="LTAntwortRessortText"/>
        <w:spacing w:before="360"/>
      </w:pPr>
      <w:r>
        <w:t>Es bestehen keine kurz- oder mittelfristigen Planungen, beide Halte stündlich zu bedienen, da dies angesichts der infrastrukturellen Rahmenbedingungen Verschlechterungen beim Bedienungsstandard anderer Stationen zur Folge hätte. Spielräume könnten sich erst langfristig mit der Fertigstellung zusätzlicher Gleise zwischen Regensburg und Obertraubling ergeben. Der Ausbau dieses Abschnitts ist im vordringlichen Bedarf des Bundesverkehrswegeplanes enthalten.</w:t>
      </w:r>
    </w:p>
    <w:p w:rsidR="007E1DA6" w:rsidRDefault="007E1DA6">
      <w:pPr>
        <w:rPr>
          <w:rFonts w:cs="Arial"/>
          <w:b/>
          <w:sz w:val="22"/>
          <w:szCs w:val="22"/>
        </w:rPr>
      </w:pPr>
      <w:r>
        <w:br w:type="page"/>
      </w:r>
    </w:p>
    <w:p w:rsidR="00BD06BB" w:rsidRDefault="00BD06BB" w:rsidP="00BD06BB">
      <w:pPr>
        <w:pStyle w:val="LTUeberschrRessort"/>
      </w:pPr>
      <w:r>
        <w:t>Geschäftsbereich des Staatsministeriums für Unterricht und Kultus</w:t>
      </w:r>
      <w:r>
        <w:fldChar w:fldCharType="begin"/>
      </w:r>
      <w:r>
        <w:instrText xml:space="preserve"> TC </w:instrText>
      </w:r>
      <w:r w:rsidR="007B3866">
        <w:instrText>„</w:instrText>
      </w:r>
      <w:r>
        <w:instrText>Geschäftsbereich des Staatsministeriums für Unterricht und Kultus</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Maximilian</w:t>
            </w:r>
            <w:r w:rsidRPr="00BD06BB">
              <w:rPr>
                <w:b/>
              </w:rPr>
              <w:br/>
              <w:t>Deisenhofer</w:t>
            </w:r>
            <w:r w:rsidRPr="00BD06BB">
              <w:rPr>
                <w:b/>
              </w:rPr>
              <w:br/>
            </w:r>
            <w:r w:rsidRPr="00BD06BB">
              <w:t>(BÜNDNIS 90/DIE GRÜNEN)</w:t>
            </w:r>
            <w:r>
              <w:fldChar w:fldCharType="begin"/>
            </w:r>
            <w:r>
              <w:instrText xml:space="preserve"> XE </w:instrText>
            </w:r>
            <w:r w:rsidR="007B3866">
              <w:instrText>„</w:instrText>
            </w:r>
            <w:r>
              <w:instrText xml:space="preserve">Deisenhofer, Maximilian (BÜNDNIS 90/DIE GRÜNEN):Digitalbudget für Schulen </w:instrText>
            </w:r>
            <w:r>
              <w:fldChar w:fldCharType="end"/>
            </w:r>
            <w:r>
              <w:fldChar w:fldCharType="begin"/>
            </w:r>
            <w:r>
              <w:instrText xml:space="preserve"> TC </w:instrText>
            </w:r>
            <w:r w:rsidR="007B3866">
              <w:instrText>„</w:instrText>
            </w:r>
            <w:r>
              <w:instrText>Deisenhofer, Maximilian (BÜNDNIS 90/DIE GRÜNEN)</w:instrText>
            </w:r>
            <w:r>
              <w:br/>
              <w:instrText xml:space="preserve">Digitalbudget für Schulen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wann die Verbescheidung für das Geld aus dem Digitalbudget für das Jahr 2018 erfolgt ist, ob zukünftig Teile des Digitalbudgets mit dem Geld aus dem Digitalpakt vom Bund verrechnet werden und wann die nächsten Gespräche des Staatsministers für Unterricht und Kult</w:t>
            </w:r>
            <w:r w:rsidR="002601AB">
              <w:t xml:space="preserve">us, Prof. Dr. Michael Piazolo, </w:t>
            </w:r>
            <w:r>
              <w:t>bezüglich der IT-Betreuung an Schulen mit den kommunalen Spitzenverbänden geplant sind?</w:t>
            </w:r>
          </w:p>
          <w:p w:rsidR="00BD06BB" w:rsidRDefault="00BD06BB" w:rsidP="00BD06BB">
            <w:pPr>
              <w:pStyle w:val="LTAnfrageText"/>
            </w:pPr>
          </w:p>
        </w:tc>
      </w:tr>
    </w:tbl>
    <w:p w:rsidR="00BD06BB" w:rsidRDefault="00BD06BB" w:rsidP="00D04095">
      <w:pPr>
        <w:pStyle w:val="LTUeberschrAntwortRessort"/>
        <w:spacing w:before="0"/>
      </w:pPr>
      <w:r>
        <w:t>Antwort des Staatsministeriums für Unterricht und Kultus</w:t>
      </w:r>
    </w:p>
    <w:p w:rsidR="00BD06BB" w:rsidRDefault="00BD06BB" w:rsidP="00BD06BB">
      <w:pPr>
        <w:pStyle w:val="LTAntwortRessortText"/>
      </w:pPr>
      <w:r>
        <w:t xml:space="preserve">Im Rahmen des Masterplans BAYERN DIGITAL II stehen Landesmittel in Höhe von insgesamt 212,5 Mio. </w:t>
      </w:r>
      <w:r w:rsidR="002601AB">
        <w:t>Euro</w:t>
      </w:r>
      <w:r>
        <w:t xml:space="preserve"> zur Verfügung, darunter 150 Mio. </w:t>
      </w:r>
      <w:r w:rsidR="002601AB">
        <w:t>Euro</w:t>
      </w:r>
      <w:r>
        <w:t xml:space="preserve"> für das </w:t>
      </w:r>
      <w:r w:rsidR="007B3866">
        <w:t>„</w:t>
      </w:r>
      <w:r>
        <w:t>Digitalbudget für das digitale Klassenzimmer</w:t>
      </w:r>
      <w:r w:rsidR="007B3866">
        <w:t>“</w:t>
      </w:r>
      <w:r w:rsidR="002601AB">
        <w:t>. Die bayerischen Förderprogram</w:t>
      </w:r>
      <w:r>
        <w:t>me mit einer Laufzeit von 2018 bis 2020 sind i</w:t>
      </w:r>
      <w:r w:rsidR="002601AB">
        <w:t>m Entwurf des Doppelhaushalts 2019/2020 voll</w:t>
      </w:r>
      <w:r>
        <w:t xml:space="preserve">ständig etatisiert. Die in den Zuwendungsbescheiden an die </w:t>
      </w:r>
      <w:r w:rsidR="002601AB">
        <w:t>–</w:t>
      </w:r>
      <w:r>
        <w:t xml:space="preserve"> für die Ausstattung der Schulen zuständigen </w:t>
      </w:r>
      <w:r w:rsidR="002601AB">
        <w:t>–</w:t>
      </w:r>
      <w:r>
        <w:t xml:space="preserve"> Sachaufwandsträger mitgeteilten Budgets können somit mit Inkrafttreten des </w:t>
      </w:r>
      <w:r w:rsidR="002601AB">
        <w:t>Doppelhaushalts</w:t>
      </w:r>
      <w:r>
        <w:t xml:space="preserve"> 2019/2020 bis drei Jahre nach dem Datum des Bescheids vollständig abgerufen und ausgezahlt werden. </w:t>
      </w:r>
    </w:p>
    <w:p w:rsidR="00BD06BB" w:rsidRDefault="00BD06BB" w:rsidP="00BD06BB">
      <w:pPr>
        <w:pStyle w:val="LTAntwortRessortText"/>
      </w:pPr>
      <w:r>
        <w:t>Die berechtigten Antragsteller konnten bis 31.12.2018 einen Antrag auf Mitteilung des Digitalbudgets stellen. Die Mitteilung der Budgets ist großteils bereits erfolgt bzw. erfolgt derzeit (eine Abfrage bei den einzelnen Regierungen ist in der für die Beantwortung einer Anfrage zum Plenum gesetzten Frist nicht durchführbar).</w:t>
      </w:r>
    </w:p>
    <w:p w:rsidR="00BD06BB" w:rsidRDefault="00BD06BB" w:rsidP="00BD06BB">
      <w:pPr>
        <w:pStyle w:val="LTAntwortRessortText"/>
      </w:pPr>
      <w:r>
        <w:t xml:space="preserve">Mit den Mitteln der bayerischen Förderprogramme ist der Freistaat </w:t>
      </w:r>
      <w:r w:rsidR="002601AB">
        <w:t xml:space="preserve">Bayern </w:t>
      </w:r>
      <w:r>
        <w:t xml:space="preserve">in Vorleistung gegangen, um einen ersten starken Innovationsimpuls für die digitale Bildung zu geben. </w:t>
      </w:r>
    </w:p>
    <w:p w:rsidR="00BD06BB" w:rsidRDefault="00BD06BB" w:rsidP="00BD06BB">
      <w:pPr>
        <w:pStyle w:val="LTAntwortRessortText"/>
      </w:pPr>
      <w:r>
        <w:t>Zu den Landesmitteln i.</w:t>
      </w:r>
      <w:r w:rsidR="002601AB">
        <w:t> </w:t>
      </w:r>
      <w:r>
        <w:t>H.</w:t>
      </w:r>
      <w:r w:rsidR="002601AB">
        <w:t> v. 212,5 Mio. Euro</w:t>
      </w:r>
      <w:r>
        <w:t xml:space="preserve"> kommen nun die Bundesmittel des </w:t>
      </w:r>
      <w:r w:rsidR="007B3866">
        <w:t>„</w:t>
      </w:r>
      <w:r>
        <w:t>DigitalPakts Schule 2019-2024</w:t>
      </w:r>
      <w:r w:rsidR="007B3866">
        <w:t>“</w:t>
      </w:r>
      <w:r w:rsidR="002601AB">
        <w:t xml:space="preserve"> im Volumen von ca. 778 Mio. Euro</w:t>
      </w:r>
      <w:r>
        <w:t xml:space="preserve"> hinzu.</w:t>
      </w:r>
    </w:p>
    <w:p w:rsidR="00BD06BB" w:rsidRDefault="00BD06BB" w:rsidP="00BD06BB">
      <w:pPr>
        <w:pStyle w:val="LTAntwortRessortText"/>
      </w:pPr>
      <w:r>
        <w:t xml:space="preserve">Damit stehen bis 2024 insgesamt rund 1 </w:t>
      </w:r>
      <w:r w:rsidR="002601AB">
        <w:t>Mrd. Euro</w:t>
      </w:r>
      <w:r>
        <w:t xml:space="preserve"> für die Digitalisierung an den Schulen in Bayern zur Verfügung.</w:t>
      </w:r>
    </w:p>
    <w:p w:rsidR="00BD06BB" w:rsidRDefault="00BD06BB" w:rsidP="00BD06BB">
      <w:pPr>
        <w:pStyle w:val="LTAntwortRessortText"/>
      </w:pPr>
      <w:r>
        <w:t>Der Sachaufwand der Schulen, der von den k</w:t>
      </w:r>
      <w:r w:rsidR="00FC035C">
        <w:t>ommunalen Körperschaften zu tra</w:t>
      </w:r>
      <w:r>
        <w:t>gen ist, umfasst vor allem die Bereitstellung, E</w:t>
      </w:r>
      <w:r w:rsidR="00FC035C">
        <w:t>inrichtung, Ausstattung, Bewirt</w:t>
      </w:r>
      <w:r>
        <w:t xml:space="preserve">schaftung und Unterhaltung der Schulanlage (vgl. Art. 3 </w:t>
      </w:r>
      <w:r w:rsidR="00FC035C" w:rsidRPr="00FC035C">
        <w:t xml:space="preserve">Bayerisches Schulfinanzierungsgesetz </w:t>
      </w:r>
      <w:r w:rsidR="00FC035C">
        <w:t xml:space="preserve">– </w:t>
      </w:r>
      <w:r>
        <w:t>BaySchFG) und umfasst damit auch die technische Systembetreuung, di</w:t>
      </w:r>
      <w:r w:rsidR="00FC035C">
        <w:t>e für die Einrichtung und Unter</w:t>
      </w:r>
      <w:r>
        <w:t>haltung der IT-Infrastruktur verantwortlich ist.</w:t>
      </w:r>
      <w:r w:rsidR="00FC035C">
        <w:t xml:space="preserve"> Um diese stark anwachsende Auf</w:t>
      </w:r>
      <w:r>
        <w:t xml:space="preserve">gabe zu bewältigen, wurde im Koalitionsvertrag vereinbart: </w:t>
      </w:r>
      <w:r w:rsidR="007B3866">
        <w:t>„</w:t>
      </w:r>
      <w:r>
        <w:t>Im Dialog mit den kommunalen Spitzenverbänden wollen wir Lösungsansätze für Konzepte zur Wartung und Pflege der IT-Infrastrukturen a</w:t>
      </w:r>
      <w:r w:rsidR="00FC035C">
        <w:t>n den Schulen erarbeiten und um</w:t>
      </w:r>
      <w:r>
        <w:t>setzen. Ziel ist im Idealfall ein zentrales, landesweit verfügbares Angebot für Wartung und Pflege, um (pädagogische) Systembetreuer und Schulleitungen von diesen zusätzlichen technischen Aufgaben zu entlasten.</w:t>
      </w:r>
      <w:r w:rsidR="007B3866">
        <w:t>“</w:t>
      </w:r>
      <w:r w:rsidR="00FC035C">
        <w:t xml:space="preserve"> Gespräche zwischen dem Staatsministerium für Unterricht und Kultus</w:t>
      </w:r>
      <w:r>
        <w:t xml:space="preserve">, dem </w:t>
      </w:r>
      <w:r w:rsidR="00FC035C">
        <w:t>Staatsministerium der Finanzen und für Heimat sowie den k</w:t>
      </w:r>
      <w:r>
        <w:t>ommunalen Spitzenverbänden werden bereits geführt.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Matthias</w:t>
            </w:r>
            <w:r w:rsidRPr="00BD06BB">
              <w:rPr>
                <w:b/>
              </w:rPr>
              <w:br/>
              <w:t>Fischbach</w:t>
            </w:r>
            <w:r w:rsidRPr="00BD06BB">
              <w:rPr>
                <w:b/>
              </w:rPr>
              <w:br/>
            </w:r>
            <w:r w:rsidRPr="00BD06BB">
              <w:t>(FDP)</w:t>
            </w:r>
            <w:r>
              <w:fldChar w:fldCharType="begin"/>
            </w:r>
            <w:r>
              <w:instrText xml:space="preserve"> XE </w:instrText>
            </w:r>
            <w:r w:rsidR="007B3866">
              <w:instrText>„</w:instrText>
            </w:r>
            <w:r>
              <w:instrText xml:space="preserve">Fischbach, Matthias (FDP):Umsetzung des Ziels 50.000 digitaler Klassenzimmer in Bayern </w:instrText>
            </w:r>
            <w:r>
              <w:fldChar w:fldCharType="end"/>
            </w:r>
            <w:r>
              <w:fldChar w:fldCharType="begin"/>
            </w:r>
            <w:r>
              <w:instrText xml:space="preserve"> TC </w:instrText>
            </w:r>
            <w:r w:rsidR="007B3866">
              <w:instrText>„</w:instrText>
            </w:r>
            <w:r>
              <w:instrText>Fischbach, Matthias (FDP)</w:instrText>
            </w:r>
            <w:r>
              <w:br/>
              <w:instrText xml:space="preserve">Umsetzung des Ziels 50.000 digitaler Klassenzimmer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vor dem Hintergrund des am 02.04.2019 vom Staatsminister für Unterricht und Kultus, Prof. Dr. Michael Piazolo, an die kommunalen Sachaufwandsträger gesandten Schreibens mit der Aufforderung </w:t>
            </w:r>
            <w:r w:rsidR="007B3866">
              <w:t>„</w:t>
            </w:r>
            <w:r>
              <w:t>neue Maßnahmen zur digitalen Ausstattung von Schulen [...] zurückzustellen</w:t>
            </w:r>
            <w:r w:rsidR="007B3866">
              <w:t>“</w:t>
            </w:r>
            <w:r>
              <w:t>, wie die Staatsregierung gedenkt, das von ihr im vergangenen Jahr formulierte Ziel von 50.000 digitalen Klassenzimmern umzusetzen, (Harmonisierung von Bundes- und Landesmitteln, Art, Umfang und zeitliche Planung), wie die sie den Sachaufwandsträgern Planungssicherheit geben möchte und welche Maßnahmen geplant sind, um eine fortlaufende staatliche Förderung für die Systemadministration der digitalen Infrastruktur an bayerischen Schulen gewährleisten zu können?</w:t>
            </w:r>
          </w:p>
          <w:p w:rsidR="00BD06BB" w:rsidRDefault="00BD06BB" w:rsidP="00BD06BB">
            <w:pPr>
              <w:pStyle w:val="LTAnfrageText"/>
            </w:pPr>
          </w:p>
        </w:tc>
      </w:tr>
    </w:tbl>
    <w:p w:rsidR="00BD06BB" w:rsidRDefault="00BD06BB" w:rsidP="00BD06BB">
      <w:pPr>
        <w:pStyle w:val="LTUeberschrAntwortRessort"/>
      </w:pPr>
      <w:r>
        <w:t>Antwort des Staatsministeriums für Unterricht und Kultus</w:t>
      </w:r>
    </w:p>
    <w:p w:rsidR="00BD06BB" w:rsidRPr="00287B0E" w:rsidRDefault="00BD06BB" w:rsidP="00BD06BB">
      <w:pPr>
        <w:pStyle w:val="LTAntwortRessortText"/>
        <w:rPr>
          <w:u w:val="single"/>
        </w:rPr>
      </w:pPr>
      <w:r w:rsidRPr="00287B0E">
        <w:rPr>
          <w:u w:val="single"/>
        </w:rPr>
        <w:t>Umsetzung des Ziels der 50.000 digitalen Klassenzimmer und Planungssicherheit der Sachaufwandsträger</w:t>
      </w:r>
    </w:p>
    <w:p w:rsidR="00BD06BB" w:rsidRDefault="00BD06BB" w:rsidP="00287B0E">
      <w:pPr>
        <w:pStyle w:val="LTAntwortRessortText"/>
        <w:spacing w:before="120"/>
      </w:pPr>
      <w:r>
        <w:t>Im Rahmen des Masterplans BAYERN DIGITAL II stehen Landesmittel in H</w:t>
      </w:r>
      <w:r w:rsidR="00287B0E">
        <w:t>öhe von insgesamt 212,5 Mio. Euro</w:t>
      </w:r>
      <w:r>
        <w:t xml:space="preserve"> zur Verfügung</w:t>
      </w:r>
      <w:r w:rsidR="00287B0E">
        <w:t>, darunter 150 Mio. Euro für das</w:t>
      </w:r>
      <w:r>
        <w:t xml:space="preserve"> </w:t>
      </w:r>
      <w:r w:rsidR="007B3866">
        <w:t>„</w:t>
      </w:r>
      <w:r>
        <w:t>Digitalbudget für das digitale Klassenzimmer</w:t>
      </w:r>
      <w:r w:rsidR="007B3866">
        <w:t>“</w:t>
      </w:r>
      <w:r>
        <w:t xml:space="preserve">. Die </w:t>
      </w:r>
      <w:r w:rsidR="00287B0E">
        <w:t>b</w:t>
      </w:r>
      <w:r>
        <w:t xml:space="preserve">ayerischen Förderprogramme mit einer Laufzeit von 2018 bis 2020 sind im </w:t>
      </w:r>
      <w:r w:rsidR="00287B0E">
        <w:t xml:space="preserve">Entwurf des </w:t>
      </w:r>
      <w:r>
        <w:t>Doppelhaushalt</w:t>
      </w:r>
      <w:r w:rsidR="00287B0E">
        <w:t>s</w:t>
      </w:r>
      <w:r>
        <w:t xml:space="preserve"> 2019/2020 vollständig etatisiert. Die in den Zuwendungsbescheiden an </w:t>
      </w:r>
      <w:r w:rsidR="00287B0E">
        <w:t>die Sachaufwandsträger mitgeteilten</w:t>
      </w:r>
      <w:r>
        <w:t xml:space="preserve"> Budgets können somit mit Inkrafttreten des </w:t>
      </w:r>
      <w:r w:rsidR="00287B0E">
        <w:t>Doppelhaushalts</w:t>
      </w:r>
      <w:r>
        <w:t xml:space="preserve"> 2019/2020 bis drei Jahre nach dem Datum des Bescheids vollständig abgerufen und ausgezahlt werden. Das führt zu einer hohen Planungssicherheit auf Seiten der Sachaufwandsträger, lange Vorfinanzierungszeiträume entstehen nicht.</w:t>
      </w:r>
    </w:p>
    <w:p w:rsidR="00BD06BB" w:rsidRDefault="00BD06BB" w:rsidP="00BD06BB">
      <w:pPr>
        <w:pStyle w:val="LTAntwortRessortText"/>
      </w:pPr>
      <w:r>
        <w:t xml:space="preserve">Mit den Mitteln der bayerischen Förderprogramme ist der Freistaat </w:t>
      </w:r>
      <w:r w:rsidR="00287B0E">
        <w:t xml:space="preserve">Bayern </w:t>
      </w:r>
      <w:r>
        <w:t xml:space="preserve">in Vorleistung gegangen, um einen ersten starken Innovationsimpuls für die digitale Bildung zu geben. Hinzu kommen nun die Bundesmittel des </w:t>
      </w:r>
      <w:r w:rsidR="007B3866">
        <w:t>„</w:t>
      </w:r>
      <w:r>
        <w:t>DigitalPakts Schule 2019-2024</w:t>
      </w:r>
      <w:r w:rsidR="007B3866">
        <w:t>“</w:t>
      </w:r>
      <w:r>
        <w:t xml:space="preserve"> im Volumen von ca. </w:t>
      </w:r>
      <w:r w:rsidR="00287B0E">
        <w:t>778 Mio. Euro</w:t>
      </w:r>
      <w:r>
        <w:t>.</w:t>
      </w:r>
    </w:p>
    <w:p w:rsidR="00BD06BB" w:rsidRDefault="00BD06BB" w:rsidP="00BD06BB">
      <w:pPr>
        <w:pStyle w:val="LTAntwortRessortText"/>
      </w:pPr>
      <w:r>
        <w:t xml:space="preserve">Bayern treibt mit dem </w:t>
      </w:r>
      <w:r w:rsidR="007B3866">
        <w:t>„</w:t>
      </w:r>
      <w:r>
        <w:t>Digitalbudget für das digitale Klassenzimmer</w:t>
      </w:r>
      <w:r w:rsidR="007B3866">
        <w:t>“</w:t>
      </w:r>
      <w:r>
        <w:t xml:space="preserve"> sowie mit Mitteln des DigitalPakts die digitale Bildung weiterhin dynamisch und tatkräftig voran. Ziel ist es nach wie vor, in Bayern 50.000 digitale Klassenzimmer zu entwickeln. Die Förderung der digitalen Ausstattung ist auch in den nächsten Jahren weiter gewährleistet.</w:t>
      </w:r>
    </w:p>
    <w:p w:rsidR="00BD06BB" w:rsidRDefault="00BD06BB" w:rsidP="00BD06BB">
      <w:pPr>
        <w:pStyle w:val="LTAntwortRessortText"/>
      </w:pPr>
      <w:r>
        <w:t>Aktuell werden hierzu die landeseigenen Förde</w:t>
      </w:r>
      <w:r w:rsidR="00287B0E">
        <w:t xml:space="preserve">rrichtlinien zur Umsetzung des </w:t>
      </w:r>
      <w:r>
        <w:t>Di-gitalPakts entwickelt, die nach den derzeitigen Planungen des Staatsministeriums für Unterricht und Kultus (StMUK) noch vor der parlamentarischen Sommerpause</w:t>
      </w:r>
      <w:r w:rsidR="00287B0E">
        <w:t xml:space="preserve"> 2019 </w:t>
      </w:r>
      <w:r>
        <w:t xml:space="preserve">vorliegen sollen. An der Erstellung der Förderbekanntmachung sind verschiedene Institutionen zu beteiligen, insbesondere der Bund, das </w:t>
      </w:r>
      <w:r w:rsidR="00287B0E">
        <w:t>Staatsministe</w:t>
      </w:r>
      <w:r>
        <w:t xml:space="preserve">rium der Finanzen und für Heimat (StMFH) und der </w:t>
      </w:r>
      <w:r w:rsidR="00287B0E">
        <w:t>Oberste Rech</w:t>
      </w:r>
      <w:r>
        <w:t xml:space="preserve">nungshof. Die genauen Umsetzungsmodalitäten richten sich nach der zwischen Bund und Ländern noch zu schließenden Verwaltungsvereinbarung </w:t>
      </w:r>
      <w:r w:rsidR="007B3866">
        <w:t>„</w:t>
      </w:r>
      <w:r w:rsidR="00287B0E">
        <w:t>DigitalPakt Schule 2019-</w:t>
      </w:r>
      <w:r>
        <w:t xml:space="preserve">2024. Es ist vorgesehen, dass die Verteilung der Mittel </w:t>
      </w:r>
      <w:r w:rsidR="00287B0E">
        <w:t>–</w:t>
      </w:r>
      <w:r>
        <w:t xml:space="preserve"> auch im Sinne der Planungssicherheit der Sachaufwandsträger </w:t>
      </w:r>
      <w:r w:rsidR="00287B0E">
        <w:t>–</w:t>
      </w:r>
      <w:r>
        <w:t xml:space="preserve"> zunächst durch eine Budgetierung erfolgen soll.</w:t>
      </w:r>
    </w:p>
    <w:p w:rsidR="00BD06BB" w:rsidRDefault="00BD06BB" w:rsidP="00BD06BB">
      <w:pPr>
        <w:pStyle w:val="LTAntwortRessortText"/>
      </w:pPr>
      <w:r>
        <w:t xml:space="preserve">Die Schulen sind inhaltlich und formal bestens aufgestellt, da sie bis spätestens Ende des Schuljahres </w:t>
      </w:r>
      <w:r w:rsidR="00287B0E">
        <w:t xml:space="preserve">2018/2019 </w:t>
      </w:r>
      <w:r>
        <w:t xml:space="preserve">die Entwicklung schuleigener Medienkonzepte abgeschlossen haben werden </w:t>
      </w:r>
      <w:r w:rsidR="00287B0E">
        <w:t xml:space="preserve">– </w:t>
      </w:r>
      <w:r>
        <w:t>eine wesentliche Voraussetzung für die Beantragung der Fördermittel des DigitalPakts. Eine vom Bund geforderte Beraterstruktur zur Unterstützung der Schulen und Sachaufwandsträger in IT-Ausstattungsfragen ist bereits etabliert. Die Entwicklung von Auss</w:t>
      </w:r>
      <w:r w:rsidR="00287B0E">
        <w:t>tattungskonzepten durch die Kom</w:t>
      </w:r>
      <w:r>
        <w:t xml:space="preserve">munen ist im Zuge der Medienkonzeptarbeit mit den Schulen und im Rahmen der bayerischen Förderprogramme ebenfalls erfreulich fortgeschritten. </w:t>
      </w:r>
    </w:p>
    <w:p w:rsidR="00BD06BB" w:rsidRPr="00287B0E" w:rsidRDefault="00BD06BB" w:rsidP="00287B0E">
      <w:pPr>
        <w:pStyle w:val="LTAntwortRessortText"/>
        <w:spacing w:before="360"/>
        <w:rPr>
          <w:u w:val="single"/>
        </w:rPr>
      </w:pPr>
      <w:r w:rsidRPr="00287B0E">
        <w:rPr>
          <w:u w:val="single"/>
        </w:rPr>
        <w:t>Systemadministration der digitalen Infrastruktur an bayerischen Schulen</w:t>
      </w:r>
    </w:p>
    <w:p w:rsidR="00BD06BB" w:rsidRDefault="00BD06BB" w:rsidP="00287B0E">
      <w:pPr>
        <w:pStyle w:val="LTAntwortRessortText"/>
        <w:spacing w:before="120"/>
      </w:pPr>
      <w:r>
        <w:t>Die Finanzierung öffentlicher Schulen ist geprägt durch den Verfassungsgrund-satz, dass Staat und kommunale Körperschaften bei Betrieb und Unterhaltung der Schulen zusammenwirken. Dieser Grundsatz wi</w:t>
      </w:r>
      <w:r w:rsidR="00287B0E">
        <w:t>rd durch das Bayerische Schulfi</w:t>
      </w:r>
      <w:r>
        <w:t xml:space="preserve">nanzierungsgesetz </w:t>
      </w:r>
      <w:r w:rsidR="00287B0E">
        <w:t xml:space="preserve">(BaySchFG) </w:t>
      </w:r>
      <w:r>
        <w:t>dahingehend näher konkretisiert, dass der Sachaufwand von den zuständigen kommunalen Körperschaften, der Personalaufwand vom Staat getragen wird.</w:t>
      </w:r>
    </w:p>
    <w:p w:rsidR="00BD06BB" w:rsidRDefault="00BD06BB" w:rsidP="00BD06BB">
      <w:pPr>
        <w:pStyle w:val="LTAntwortRessortText"/>
      </w:pPr>
      <w:r>
        <w:t xml:space="preserve">Der Sachaufwand umfasst vor allem die Bereitstellung, Einrichtung, Ausstattung, Bewirtschaftung sowie Unterhaltung der Schulanlage (vgl. Art. 3 BaySchFG) und umfasst damit auch die technische Systembetreuung, die für die Einrichtung und Unterhaltung der IT-Infrastruktur verantwortlich ist. Um diese stark anwachsende Aufgabe zu bewältigen, wurde im Koalitionsvertrag für die 18. Legislaturperiode des Landtags vereinbart: </w:t>
      </w:r>
      <w:r w:rsidR="007B3866">
        <w:t>„</w:t>
      </w:r>
      <w:r>
        <w:t xml:space="preserve">Im Dialog mit den kommunalen Spitzenverbänden wollen wir Lösungsansätze für Konzepte zur Wartung und Pflege der IT-Infrastrukturen an den Schulen erarbeiten und umsetzen. Ziel ist </w:t>
      </w:r>
      <w:r w:rsidR="00287B0E">
        <w:t>im Idealfall ein zentrales, lan</w:t>
      </w:r>
      <w:r>
        <w:t>desweit verfügbares Angebot für Wartung u</w:t>
      </w:r>
      <w:r w:rsidR="00287B0E">
        <w:t>nd Pflege, um (pädagogische) Sy</w:t>
      </w:r>
      <w:r w:rsidR="00E00EB3">
        <w:t>s</w:t>
      </w:r>
      <w:r>
        <w:t>tembetreuer und Schulleitungen von diesen zusätzlichen technischen Aufgaben zu entlasten.</w:t>
      </w:r>
      <w:r w:rsidR="007B3866">
        <w:t>“</w:t>
      </w:r>
    </w:p>
    <w:p w:rsidR="00BD06BB" w:rsidRDefault="00BD06BB" w:rsidP="00BD06BB">
      <w:pPr>
        <w:pStyle w:val="LTAntwortRessortText"/>
      </w:pPr>
      <w:r>
        <w:t>Gespräche zwischen dem StMUK, dem StMF</w:t>
      </w:r>
      <w:r w:rsidR="003A5E01">
        <w:t>H sowie den k</w:t>
      </w:r>
      <w:r>
        <w:t xml:space="preserve">ommunalen Spitzen-verbänden werden bereits geführt. </w:t>
      </w:r>
    </w:p>
    <w:p w:rsidR="00BD06BB" w:rsidRDefault="00BD06BB" w:rsidP="00BD06BB">
      <w:pPr>
        <w:pStyle w:val="LTAntwortRessortText"/>
      </w:pPr>
      <w:r>
        <w:t xml:space="preserve">Der Freistaat Bayern stellt den Schulen </w:t>
      </w:r>
      <w:r w:rsidR="00287B0E">
        <w:t>–</w:t>
      </w:r>
      <w:r>
        <w:t xml:space="preserve"> im Rahmen des Personalaufwands </w:t>
      </w:r>
      <w:r w:rsidR="00E00EB3">
        <w:t>–</w:t>
      </w:r>
      <w:r>
        <w:t xml:space="preserve"> zudem aktuell folgende Unterstützungsstrukturen zur Verfügung:</w:t>
      </w:r>
    </w:p>
    <w:p w:rsidR="00BD06BB" w:rsidRDefault="00BD06BB" w:rsidP="00E00EB3">
      <w:pPr>
        <w:pStyle w:val="LTAntwortRessortText"/>
        <w:numPr>
          <w:ilvl w:val="0"/>
          <w:numId w:val="24"/>
        </w:numPr>
        <w:spacing w:before="120"/>
        <w:ind w:left="709" w:hanging="283"/>
      </w:pPr>
      <w:r>
        <w:t>Pädagogische Systembetreuer: Pädago</w:t>
      </w:r>
      <w:r w:rsidR="00E00EB3">
        <w:t>gische Systembetreuer sind Lehr</w:t>
      </w:r>
      <w:r>
        <w:t>kräfte, die über eine entsprechende Expert</w:t>
      </w:r>
      <w:r w:rsidR="00E00EB3">
        <w:t>ise in Fragen der digitalen Bil</w:t>
      </w:r>
      <w:r>
        <w:t>dung verfügen. Ihre Aufgaben sind im orga</w:t>
      </w:r>
      <w:r w:rsidR="00E00EB3">
        <w:t>nisatorischen bzw. koordinieren</w:t>
      </w:r>
      <w:r>
        <w:t>den sowie vor allem im pädagogischen</w:t>
      </w:r>
      <w:r w:rsidR="00E00EB3">
        <w:t xml:space="preserve"> und didaktisch-methodischen Be</w:t>
      </w:r>
      <w:r>
        <w:t xml:space="preserve">reich angesiedelt. Die pädagogischen </w:t>
      </w:r>
      <w:r w:rsidR="00E00EB3">
        <w:t>Systembetreuer erhalten entspre</w:t>
      </w:r>
      <w:r>
        <w:t>chende Anrechnungsstunden (abhängig von der Anzahl der schulischen Geräte) und werden somit vom Freistaat Bayern finanziert.</w:t>
      </w:r>
    </w:p>
    <w:p w:rsidR="00BD06BB" w:rsidRDefault="00BD06BB" w:rsidP="00E00EB3">
      <w:pPr>
        <w:pStyle w:val="LTAntwortRessortText"/>
        <w:numPr>
          <w:ilvl w:val="0"/>
          <w:numId w:val="24"/>
        </w:numPr>
        <w:spacing w:before="120"/>
        <w:ind w:left="709" w:hanging="283"/>
      </w:pPr>
      <w:r>
        <w:t>Koordinatoren Digitale Bildung: Bei den Koordinatoren Digitale Bi</w:t>
      </w:r>
      <w:r w:rsidR="00E00EB3">
        <w:t>ldung han</w:t>
      </w:r>
      <w:r>
        <w:t>delt es sich um Lehrkräfte, die aufgrun</w:t>
      </w:r>
      <w:r w:rsidR="00E00EB3">
        <w:t>d ihrer fachlichen und pädagogi</w:t>
      </w:r>
      <w:r>
        <w:t>schen Expertise über eine sehr hohe fachliche Qualifikation verfügen. Sie sind in der Lage, die Schulen im Bereich der Ausstattungsplanung und der Förderprogramme zu beraten und im Bereich Fortbildung zu koordinieren. Im Jahr 2018 wurden dafür 89 zusätzlic</w:t>
      </w:r>
      <w:r w:rsidR="00E00EB3">
        <w:t>he Stellen im Haushalt des Frei</w:t>
      </w:r>
      <w:r>
        <w:t>staat</w:t>
      </w:r>
      <w:r w:rsidR="00E00EB3">
        <w:t>e</w:t>
      </w:r>
      <w:r>
        <w:t>s Bayern bereitgestellt. Die Koordinatoren Digitale Bildung sind seit Beginn des Schuljahres 2018/2019 den Schulaufsichten (Dienststellen</w:t>
      </w:r>
      <w:r w:rsidR="00E00EB3">
        <w:t xml:space="preserve"> der Ministerialbeauftragten</w:t>
      </w:r>
      <w:r>
        <w:t>, Regierungen, Schulämtern) zugeordnet.</w:t>
      </w:r>
    </w:p>
    <w:p w:rsidR="00BD06BB" w:rsidRDefault="00BD06BB" w:rsidP="00EB26EA">
      <w:pPr>
        <w:pStyle w:val="LTAntwortRessortText"/>
        <w:numPr>
          <w:ilvl w:val="0"/>
          <w:numId w:val="24"/>
        </w:numPr>
        <w:spacing w:before="120"/>
        <w:ind w:left="709" w:hanging="283"/>
      </w:pPr>
      <w:r>
        <w:t>Medienpädagogisch-informationstechnische Beratungslehrkräfte (MiB</w:t>
      </w:r>
      <w:r w:rsidR="00E00EB3">
        <w:t>): Bei den 81 MiB</w:t>
      </w:r>
      <w:r>
        <w:t xml:space="preserve"> handelt es sich ebenfalls um Lehrkräfte, die aufgrund ihrer fachlichen und pädagogischen Expertise in Medienpädagogik, i.</w:t>
      </w:r>
      <w:r w:rsidR="00E00EB3">
        <w:t xml:space="preserve"> </w:t>
      </w:r>
      <w:r>
        <w:t>d.</w:t>
      </w:r>
      <w:r w:rsidR="00E00EB3">
        <w:t xml:space="preserve"> </w:t>
      </w:r>
      <w:r>
        <w:t>R nachgewiesen durch ein Staatsexamen, über ei</w:t>
      </w:r>
      <w:r w:rsidR="00E00EB3">
        <w:t>ne sehr hohe fachliche Qualifika</w:t>
      </w:r>
      <w:r>
        <w:t>tion verfügen. Sie beraten Schulleitungen, Lehrkräfte, Schüler</w:t>
      </w:r>
      <w:r w:rsidR="00E00EB3">
        <w:t>innen bzw. Schüler</w:t>
      </w:r>
      <w:r>
        <w:t xml:space="preserve"> und Eltern in medienpädagogischen Fragestellungen und wirken als Multiplikatoren und Fortbildner. Sie sind mit entsprechend</w:t>
      </w:r>
      <w:r w:rsidR="00E00EB3">
        <w:t>en Anrechnungsstunden vom Unter</w:t>
      </w:r>
      <w:r>
        <w:t>richt freigestellt und ebenfalls den Schulaufsichten zu</w:t>
      </w:r>
      <w:r w:rsidR="00E00EB3">
        <w:t xml:space="preserve">geordnet. Die Struktur der MiB </w:t>
      </w:r>
      <w:r>
        <w:t>wurde bereits 2002 eingeführt.</w:t>
      </w:r>
    </w:p>
    <w:p w:rsidR="00BD06BB" w:rsidRDefault="00BD06BB" w:rsidP="00BD06BB">
      <w:pPr>
        <w:pStyle w:val="LTAntwortRessortText"/>
      </w:pPr>
      <w:r>
        <w:t>Pädagogische Systembetreuer,</w:t>
      </w:r>
      <w:r w:rsidR="00E00EB3">
        <w:t xml:space="preserve"> Schulentwicklungsexperten, MiB</w:t>
      </w:r>
      <w:r>
        <w:t xml:space="preserve"> und Koordinatoren Digitale Bildung bilden ein wichtiges Unterstützungs- und Beratungsnetzwerk, wobei das Aufgabentableau der beiden Letztgenannten aktuell vom StMUK neu strukturiert und weiterentwickelt wird.</w:t>
      </w:r>
    </w:p>
    <w:p w:rsidR="005F13BE" w:rsidRDefault="005F13BE"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BD06BB" w:rsidTr="00BD06BB">
        <w:tc>
          <w:tcPr>
            <w:tcW w:w="2050" w:type="dxa"/>
            <w:shd w:val="clear" w:color="auto" w:fill="auto"/>
          </w:tcPr>
          <w:p w:rsidR="00BD06BB" w:rsidRPr="00BD06BB" w:rsidRDefault="00BD06BB" w:rsidP="00BD06BB">
            <w:pPr>
              <w:pStyle w:val="LTAnfrageIni1"/>
            </w:pPr>
            <w:r w:rsidRPr="00BD06BB">
              <w:t>Abgeordnete</w:t>
            </w:r>
            <w:r w:rsidR="004C4B26">
              <w:t>(</w:t>
            </w:r>
            <w:r w:rsidRPr="00BD06BB">
              <w:t>r</w:t>
            </w:r>
            <w:r w:rsidR="004C4B26">
              <w:t>)</w:t>
            </w:r>
            <w:r w:rsidRPr="00BD06BB">
              <w:br/>
            </w:r>
            <w:r w:rsidRPr="00BD06BB">
              <w:rPr>
                <w:b/>
              </w:rPr>
              <w:t>Markus (Tessa)</w:t>
            </w:r>
            <w:r w:rsidRPr="00BD06BB">
              <w:rPr>
                <w:b/>
              </w:rPr>
              <w:br/>
              <w:t>Ganserer</w:t>
            </w:r>
            <w:r w:rsidRPr="00BD06BB">
              <w:rPr>
                <w:b/>
              </w:rPr>
              <w:br/>
            </w:r>
            <w:r w:rsidRPr="00BD06BB">
              <w:t>(BÜNDNIS 90/DIE GRÜNEN)</w:t>
            </w:r>
            <w:r>
              <w:fldChar w:fldCharType="begin"/>
            </w:r>
            <w:r>
              <w:instrText xml:space="preserve"> XE </w:instrText>
            </w:r>
            <w:r w:rsidR="007B3866">
              <w:instrText>„</w:instrText>
            </w:r>
            <w:r>
              <w:instrText xml:space="preserve">Ganserer, Markus (Tessa) (BÜNDNIS 90/DIE GRÜNEN):Korrektur des Bildungsplans für Akzeptanz von LGBTIQ*-Personen </w:instrText>
            </w:r>
            <w:r>
              <w:fldChar w:fldCharType="end"/>
            </w:r>
            <w:r>
              <w:fldChar w:fldCharType="begin"/>
            </w:r>
            <w:r>
              <w:instrText xml:space="preserve"> TC </w:instrText>
            </w:r>
            <w:r w:rsidR="007B3866">
              <w:instrText>„</w:instrText>
            </w:r>
            <w:r>
              <w:instrText>Ganserer, Markus (Tessa) (BÜNDNIS 90/DIE GRÜNEN)</w:instrText>
            </w:r>
            <w:r>
              <w:br/>
              <w:instrText xml:space="preserve">Korrektur des Bildungsplans für Akzeptanz von LGBTIQ*-Personen </w:instrText>
            </w:r>
            <w:r w:rsidR="007B3866">
              <w:instrText>„</w:instrText>
            </w:r>
            <w:r>
              <w:instrText xml:space="preserve"> \l 2 </w:instrText>
            </w:r>
            <w:r>
              <w:fldChar w:fldCharType="end"/>
            </w:r>
          </w:p>
        </w:tc>
        <w:tc>
          <w:tcPr>
            <w:tcW w:w="7200" w:type="dxa"/>
            <w:shd w:val="clear" w:color="auto" w:fill="auto"/>
          </w:tcPr>
          <w:p w:rsidR="00BD06BB" w:rsidRDefault="00BD06BB" w:rsidP="005F13BE">
            <w:pPr>
              <w:pStyle w:val="LTAnfrageText"/>
            </w:pPr>
            <w:r>
              <w:t xml:space="preserve">Nachdem der Bildungsplan 2016 nach Intervention von Personen aus dem Umfeld der </w:t>
            </w:r>
            <w:r w:rsidR="007B3866">
              <w:t>„</w:t>
            </w:r>
            <w:r>
              <w:t>Demo für alle</w:t>
            </w:r>
            <w:r w:rsidR="007B3866">
              <w:t>“</w:t>
            </w:r>
            <w:r>
              <w:t xml:space="preserve"> vom damaligen Staatsminister für Bildung und Kultus, Wissenschaft und Kunst, Dr. Ludwig Spaenle, dahingehend korrigiert wurde, dass aus der </w:t>
            </w:r>
            <w:r w:rsidR="007B3866">
              <w:t>„</w:t>
            </w:r>
            <w:r>
              <w:t>Akzeptanz</w:t>
            </w:r>
            <w:r w:rsidR="007B3866">
              <w:t>“</w:t>
            </w:r>
            <w:r>
              <w:t xml:space="preserve"> gegenüber sexuellen Identitäten und Lebensweisen nur noch </w:t>
            </w:r>
            <w:r w:rsidR="007B3866">
              <w:t>„</w:t>
            </w:r>
            <w:r>
              <w:t>Respekt</w:t>
            </w:r>
            <w:r w:rsidR="007B3866">
              <w:t>“</w:t>
            </w:r>
            <w:r>
              <w:t xml:space="preserve"> und </w:t>
            </w:r>
            <w:r w:rsidR="007B3866">
              <w:t>„</w:t>
            </w:r>
            <w:r>
              <w:t>Toleranz</w:t>
            </w:r>
            <w:r w:rsidR="007B3866">
              <w:t>“</w:t>
            </w:r>
            <w:r>
              <w:t xml:space="preserve"> wurde, und nachdem die Öffnung der Ehe für gleichgeschlechtliche Paare im Jahr 2017 und die dritte Option </w:t>
            </w:r>
            <w:r w:rsidR="007B3866">
              <w:t>„</w:t>
            </w:r>
            <w:r>
              <w:t>divers</w:t>
            </w:r>
            <w:r w:rsidR="007B3866">
              <w:t>“</w:t>
            </w:r>
            <w:r>
              <w:t xml:space="preserve"> im Personenstandsgesetz 2018 gesetzlich ermöglicht wurde, frage ich die Staatsregierung, ob der Bildungsplan dahingehend korrigiert werden soll, zum ursprünglichen Ziel der </w:t>
            </w:r>
            <w:r w:rsidR="007B3866">
              <w:t>„</w:t>
            </w:r>
            <w:r>
              <w:t>Akzeptanz</w:t>
            </w:r>
            <w:r w:rsidR="007B3866">
              <w:t>“</w:t>
            </w:r>
            <w:r>
              <w:t xml:space="preserve"> von LGBTIQ*-Personen zurückzukehren und damit die entsprechenden Rechtslagen an Schulen und Berufsschulen berücksichtigt werden? </w:t>
            </w:r>
          </w:p>
        </w:tc>
      </w:tr>
    </w:tbl>
    <w:p w:rsidR="00E62A89" w:rsidRDefault="00E62A89" w:rsidP="00BD06BB">
      <w:pPr>
        <w:pStyle w:val="LTUeberschrAntwortRessort"/>
      </w:pPr>
    </w:p>
    <w:p w:rsidR="00BD06BB" w:rsidRDefault="00BD06BB" w:rsidP="005F13BE">
      <w:pPr>
        <w:pStyle w:val="LTUeberschrAntwortRessort"/>
        <w:spacing w:before="960"/>
      </w:pPr>
      <w:r>
        <w:t>Antwort des Staatsministeriums für Unterricht und Kultus</w:t>
      </w:r>
    </w:p>
    <w:p w:rsidR="00BD06BB" w:rsidRDefault="00BD06BB" w:rsidP="00E62A89">
      <w:pPr>
        <w:pStyle w:val="LTAntwortRessortText"/>
        <w:spacing w:before="360"/>
      </w:pPr>
      <w:r>
        <w:t xml:space="preserve">Der Rahmen für die Familien- und Sexualerziehung in den bayerischen Schulen wird durch Richtlinien gesetzt, die für jede Lehrkraft in Bayern verbindlich sind (abrufbar unter </w:t>
      </w:r>
      <w:hyperlink r:id="rId13" w:history="1">
        <w:r w:rsidR="00AE28A1" w:rsidRPr="00390D1C">
          <w:rPr>
            <w:rStyle w:val="Hyperlink"/>
          </w:rPr>
          <w:t>https://www.km.bayern.de/download/493_richtlinien_familien_und_sexualerziehung.pdf</w:t>
        </w:r>
      </w:hyperlink>
      <w:r>
        <w:t xml:space="preserve">). Die derzeit gültige Fassung der Richtlinien wurde am </w:t>
      </w:r>
      <w:r w:rsidR="00AE28A1">
        <w:t>15.12.</w:t>
      </w:r>
      <w:r>
        <w:t xml:space="preserve">2016 in Kraft gesetzt. Ein Entwurf der Richtlinien wurde gemäß Art. 48 </w:t>
      </w:r>
      <w:r w:rsidR="00AE28A1">
        <w:t>Bayerisches Gesetz</w:t>
      </w:r>
      <w:r>
        <w:t xml:space="preserve"> über das Erziehungs- und Unterrichtswesen </w:t>
      </w:r>
      <w:r w:rsidR="00AE28A1">
        <w:t xml:space="preserve">(BayEUG) </w:t>
      </w:r>
      <w:r>
        <w:t>dem Landesschulbeirat vorgestellt. Die Mitglieder des Landesschulbeirats hatten die Möglichkeit, Änderungswünsche zurückzumelden. Weitere Anregungen, Vorschläge und auch zum Teil Bedenken bezüglich der Inhalte der Richtlinien wurden im Staatsministerium ernsthaft geprüft und bewertet und sind in eine ausgewogene Fassung eingeflossen.</w:t>
      </w:r>
    </w:p>
    <w:p w:rsidR="00BD06BB" w:rsidRDefault="00BD06BB" w:rsidP="005F13BE">
      <w:pPr>
        <w:pStyle w:val="LTAntwortRessortText"/>
        <w:spacing w:before="360"/>
      </w:pPr>
      <w:r>
        <w:t>Die Richtlinien machen deutlich, dass in Bayern jeder junge Mensch selbstbestimmt aufwachsen können soll.</w:t>
      </w:r>
    </w:p>
    <w:p w:rsidR="00BD06BB" w:rsidRDefault="00BD06BB" w:rsidP="005F13BE">
      <w:pPr>
        <w:pStyle w:val="LTAntwortRessortText"/>
        <w:spacing w:before="360"/>
      </w:pPr>
      <w:r>
        <w:t xml:space="preserve">So werden in höheren Jahrgangsstufen vor dem Hintergrund der verfassungsmäßigen Bedeutung von Ehe und Familie unterschiedliche Lebensformen und sexuelle Orientierungen (Hetero-, Homo-, Bisexualität) vorurteilsfrei von der Lehrkraft angesprochen. Ziel ist es, dass die Schülerinnen und Schüler die Vielfalt der unter dem Geschlechtsbegriff subsumierten Aspekte wie biologisches Geschlecht, selbst empfundene Geschlechtsidentität und Rollenverständnis aufschlüsseln können. Zudem ist in den Richtlinien für die Jahrgangsstufen 9, 10 als Ziel der Kompetenzentwicklung vorgesehen, die eigene sexuelle Orientierung und die sexuelle Orientierung anderer (Hetero-, Homo-, Bisexualität) zu achten. Hierbei soll auch eine Auseinandersetzung mit Trans- und Intersexualität erfolgen. Die Behandlung des dritten Geschlechts </w:t>
      </w:r>
      <w:r w:rsidR="007B3866">
        <w:t>„</w:t>
      </w:r>
      <w:r>
        <w:t>divers</w:t>
      </w:r>
      <w:r w:rsidR="007B3866">
        <w:t>“</w:t>
      </w:r>
      <w:r>
        <w:t xml:space="preserve"> ist in den Richtlinien von 2016 nicht explizit aufgeführt, da die Änderung des Personenstandsgesetzes erst im Januar 2019 in Kraft getreten ist. Die Richtlinien legen jedoch fest, dass situationsgerecht und altersgemäß auf Schülerfragen oder aktuelle Anlässe jederzeit und unabhängig von der Themenzuordnung zu einzelnen Jahrgangsstufen eingegangen werden kann. Außerdem sehen die Richtlinien vor, dass Schülerinnen und Schüler soziale und rechtliche Bestimmungen u. a. zu Sexualität und Ehe achten sollen. Auch damit ist mit den Richtlinien die Möglichkeit gegeben, aktuelle rechtliche Entwicklungen zu diesem Thema im Unterricht zu berücksichtigen.</w:t>
      </w:r>
    </w:p>
    <w:p w:rsidR="00BD06BB" w:rsidRDefault="00BD06BB" w:rsidP="005F13BE">
      <w:pPr>
        <w:pStyle w:val="LTAntwortRessortText"/>
        <w:spacing w:before="360"/>
      </w:pPr>
      <w:r>
        <w:t>Eine Änderung des Richtlinientextes wird aus den genannten Gründen als nicht erforderlich angesehen.</w:t>
      </w:r>
    </w:p>
    <w:p w:rsidR="00E62A89" w:rsidRDefault="00E62A89" w:rsidP="005F13BE">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5"/>
        <w:gridCol w:w="5811"/>
      </w:tblGrid>
      <w:tr w:rsidR="00BD06BB" w:rsidTr="00E62A89">
        <w:tc>
          <w:tcPr>
            <w:tcW w:w="1805" w:type="dxa"/>
            <w:shd w:val="clear" w:color="auto" w:fill="auto"/>
          </w:tcPr>
          <w:p w:rsidR="00BD06BB" w:rsidRPr="00BD06BB" w:rsidRDefault="00BD06BB" w:rsidP="00BD06BB">
            <w:pPr>
              <w:pStyle w:val="LTAnfrageIni1"/>
            </w:pPr>
            <w:r w:rsidRPr="00BD06BB">
              <w:t>Abgeordneter</w:t>
            </w:r>
            <w:r w:rsidRPr="00BD06BB">
              <w:br/>
            </w:r>
            <w:r w:rsidRPr="00BD06BB">
              <w:rPr>
                <w:b/>
              </w:rPr>
              <w:t>Thomas</w:t>
            </w:r>
            <w:r w:rsidRPr="00BD06BB">
              <w:rPr>
                <w:b/>
              </w:rPr>
              <w:br/>
              <w:t>Gehring</w:t>
            </w:r>
            <w:r w:rsidRPr="00BD06BB">
              <w:rPr>
                <w:b/>
              </w:rPr>
              <w:br/>
            </w:r>
            <w:r w:rsidRPr="00BD06BB">
              <w:t>(BÜNDNIS 90/DIE GRÜNEN)</w:t>
            </w:r>
            <w:r>
              <w:fldChar w:fldCharType="begin"/>
            </w:r>
            <w:r>
              <w:instrText xml:space="preserve"> XE </w:instrText>
            </w:r>
            <w:r w:rsidR="007B3866">
              <w:instrText>„</w:instrText>
            </w:r>
            <w:r>
              <w:instrText xml:space="preserve">Gehring, Thomas (BÜNDNIS 90/DIE GRÜNEN):Unterricht durch Referendarinnen und Referendare im 4. Grundschuljahr </w:instrText>
            </w:r>
            <w:r>
              <w:fldChar w:fldCharType="end"/>
            </w:r>
            <w:r>
              <w:fldChar w:fldCharType="begin"/>
            </w:r>
            <w:r>
              <w:instrText xml:space="preserve"> TC </w:instrText>
            </w:r>
            <w:r w:rsidR="007B3866">
              <w:instrText>„</w:instrText>
            </w:r>
            <w:r>
              <w:instrText>Gehring, Thomas (BÜNDNIS 90/DIE GRÜNEN)</w:instrText>
            </w:r>
            <w:r>
              <w:br/>
              <w:instrText xml:space="preserve">Unterricht durch Referendarinnen und Referendare im 4. Grundschuljahr </w:instrText>
            </w:r>
            <w:r w:rsidR="007B3866">
              <w:instrText>„</w:instrText>
            </w:r>
            <w:r>
              <w:instrText xml:space="preserve"> \l 2 </w:instrText>
            </w:r>
            <w:r>
              <w:fldChar w:fldCharType="end"/>
            </w:r>
          </w:p>
        </w:tc>
        <w:tc>
          <w:tcPr>
            <w:tcW w:w="5811" w:type="dxa"/>
            <w:shd w:val="clear" w:color="auto" w:fill="auto"/>
          </w:tcPr>
          <w:p w:rsidR="00BD06BB" w:rsidRDefault="00BD06BB" w:rsidP="00BD06BB">
            <w:pPr>
              <w:pStyle w:val="LTAnfrageText"/>
            </w:pPr>
            <w:r>
              <w:t xml:space="preserve">Ich frage die Staatsregierung, wie viele Lehramtsanwärterinnen und -anwärter unterrichteten im ersten Halbjahr des Schuljahrs 2018/2019 in der 4. Klasse Grundschule eigenverantwortlich das Fach Mathematik, Deutsch oder Heimat und Sachkundeunterricht </w:t>
            </w:r>
            <w:r w:rsidR="008B2D05">
              <w:t>–</w:t>
            </w:r>
            <w:r>
              <w:t xml:space="preserve"> HSU </w:t>
            </w:r>
            <w:r w:rsidR="008B2D05">
              <w:t xml:space="preserve">– </w:t>
            </w:r>
            <w:r>
              <w:t>(bitte aufgeschlüsselt nach Ausbildungsabschnitten der Referendarinnen und Referendare und nach diesen drei Fächern), wie viel Eigenverantwortung wird ihnen beim Erstellen von Tests in den übertrittsrelevanten Fächern übertragen und ist es zwingend erforderlich, dass die betreuende Lehrkraft der Referendarin bzw. des Referendars eine Probe in Deutsch, Mathematik oder HSU freigibt?</w:t>
            </w:r>
          </w:p>
          <w:p w:rsidR="00BD06BB" w:rsidRDefault="00BD06BB" w:rsidP="00BD06BB">
            <w:pPr>
              <w:pStyle w:val="LTAnfrageText"/>
            </w:pPr>
          </w:p>
        </w:tc>
      </w:tr>
    </w:tbl>
    <w:p w:rsidR="00BD06BB" w:rsidRDefault="00BD06BB" w:rsidP="00BD06BB">
      <w:pPr>
        <w:pStyle w:val="LTUeberschrAntwortRessort"/>
      </w:pPr>
      <w:r>
        <w:t>Antwort des Staatsministeriums für Unterricht und Kultus</w:t>
      </w:r>
    </w:p>
    <w:p w:rsidR="00BD06BB" w:rsidRDefault="00BD06BB" w:rsidP="00BD06BB">
      <w:pPr>
        <w:pStyle w:val="LTAntwortRessortText"/>
      </w:pPr>
      <w:r>
        <w:t>Die Lehramtsanwärter erteilen im ersten Jahr des</w:t>
      </w:r>
      <w:r w:rsidR="008B2D05">
        <w:t xml:space="preserve"> Vorbereitungsdienstes eigenver</w:t>
      </w:r>
      <w:r>
        <w:t xml:space="preserve">antwortlichen Unterricht im Umfang von acht Wochenstunden in von ihnen studierten Fächern. In den Fächern Deutsch und Mathematik sollen sie nur in anderweitig nicht organisierbaren Fällen und nur dann eingesetzt </w:t>
      </w:r>
      <w:r w:rsidR="008B2D05">
        <w:t>werden, wenn das Fach als Unter</w:t>
      </w:r>
      <w:r>
        <w:t>richtsfach studiert wurde.</w:t>
      </w:r>
    </w:p>
    <w:p w:rsidR="00BD06BB" w:rsidRDefault="00BD06BB" w:rsidP="00BD06BB">
      <w:pPr>
        <w:pStyle w:val="LTAntwortRessortText"/>
      </w:pPr>
      <w:r>
        <w:t>Im zweiten Jahr des Vorbereitungsdienstes sind si</w:t>
      </w:r>
      <w:r w:rsidR="008B2D05">
        <w:t>e mit 15 Wochenstunden zur Klas</w:t>
      </w:r>
      <w:r>
        <w:t>senbildung einzuplanen. Da für das Lehramt an Gru</w:t>
      </w:r>
      <w:r w:rsidR="008B2D05">
        <w:t>ndschulen eine Fächerpflichtbin</w:t>
      </w:r>
      <w:r>
        <w:t xml:space="preserve">dung für die Fächer Mathematik und Deutsch besteht, haben alle Lehramtsanwärter beide Fächer studiert und legen auch ihr </w:t>
      </w:r>
      <w:r w:rsidR="008B2D05">
        <w:t>Zweites</w:t>
      </w:r>
      <w:r>
        <w:t xml:space="preserve"> Staatsexamen in diesen Fächern ab.</w:t>
      </w:r>
    </w:p>
    <w:p w:rsidR="00E62A89" w:rsidRDefault="00BD06BB" w:rsidP="00BD06BB">
      <w:pPr>
        <w:pStyle w:val="LTAntwortRessortText"/>
      </w:pPr>
      <w:r>
        <w:t>Insgesamt befanden sich im ersten Halbjahr des l</w:t>
      </w:r>
      <w:r w:rsidR="008B2D05">
        <w:t>aufenden Schuljahres an staatli</w:t>
      </w:r>
      <w:r>
        <w:t xml:space="preserve">chen Grundschulen 1310 Lehramtsanwärter bzw. </w:t>
      </w:r>
      <w:r w:rsidR="008B2D05">
        <w:t>Lehramtsanwärterinnen im 1. Aus</w:t>
      </w:r>
      <w:r>
        <w:t>bildungsabschnitt und 1</w:t>
      </w:r>
      <w:r w:rsidR="008B2D05">
        <w:t>.</w:t>
      </w:r>
      <w:r>
        <w:t xml:space="preserve">231 Lehramtsanwärter bzw. Lehramtsanwärterinnen im </w:t>
      </w:r>
      <w:r w:rsidR="008B2D05">
        <w:t xml:space="preserve">zweiten </w:t>
      </w:r>
      <w:r>
        <w:t>Ausbildungsabschnitt. Davon ist nur ein geringer</w:t>
      </w:r>
      <w:r w:rsidR="008B2D05">
        <w:t xml:space="preserve"> Teil in Jahrgangsstufe 4 einge</w:t>
      </w:r>
      <w:r>
        <w:t>setzt:</w:t>
      </w:r>
    </w:p>
    <w:tbl>
      <w:tblPr>
        <w:tblW w:w="7934" w:type="dxa"/>
        <w:tblInd w:w="279" w:type="dxa"/>
        <w:tblCellMar>
          <w:left w:w="70" w:type="dxa"/>
          <w:right w:w="70" w:type="dxa"/>
        </w:tblCellMar>
        <w:tblLook w:val="04A0" w:firstRow="1" w:lastRow="0" w:firstColumn="1" w:lastColumn="0" w:noHBand="0" w:noVBand="1"/>
      </w:tblPr>
      <w:tblGrid>
        <w:gridCol w:w="1687"/>
        <w:gridCol w:w="862"/>
        <w:gridCol w:w="1841"/>
        <w:gridCol w:w="1559"/>
        <w:gridCol w:w="1985"/>
      </w:tblGrid>
      <w:tr w:rsidR="009B40AF" w:rsidRPr="009B40AF" w:rsidTr="009B40AF">
        <w:trPr>
          <w:trHeight w:val="1215"/>
        </w:trPr>
        <w:tc>
          <w:tcPr>
            <w:tcW w:w="7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B40AF" w:rsidRPr="009B40AF" w:rsidRDefault="009B40AF" w:rsidP="009B40AF">
            <w:pPr>
              <w:rPr>
                <w:rFonts w:ascii="Calibri" w:hAnsi="Calibri"/>
                <w:b/>
                <w:color w:val="000000"/>
                <w:szCs w:val="20"/>
              </w:rPr>
            </w:pPr>
            <w:r w:rsidRPr="009B40AF">
              <w:rPr>
                <w:rFonts w:ascii="Calibri" w:hAnsi="Calibri"/>
                <w:b/>
                <w:color w:val="000000"/>
                <w:szCs w:val="20"/>
              </w:rPr>
              <w:t>Lehrkräfte (als Personen) im Vorbereitungsdienst für das Lehramt an Grundschulen mit eigenverantwortlichem Unterrichtseinsatz in der Jahrgangsstufe 4 an staatlichen Grundschulen in den Fächern Deutsch, Mathematik sowie Heimat- und Sachunterricht</w:t>
            </w:r>
          </w:p>
        </w:tc>
      </w:tr>
      <w:tr w:rsidR="009B40AF" w:rsidRPr="009B40AF" w:rsidTr="009B40AF">
        <w:trPr>
          <w:trHeight w:val="300"/>
        </w:trPr>
        <w:tc>
          <w:tcPr>
            <w:tcW w:w="1687" w:type="dxa"/>
            <w:tcBorders>
              <w:top w:val="nil"/>
              <w:left w:val="single" w:sz="4" w:space="0" w:color="auto"/>
              <w:bottom w:val="nil"/>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Ausbildungsjahr</w:t>
            </w:r>
          </w:p>
        </w:tc>
        <w:tc>
          <w:tcPr>
            <w:tcW w:w="862" w:type="dxa"/>
            <w:tcBorders>
              <w:top w:val="nil"/>
              <w:left w:val="nil"/>
              <w:bottom w:val="nil"/>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 </w:t>
            </w:r>
          </w:p>
        </w:tc>
        <w:tc>
          <w:tcPr>
            <w:tcW w:w="1841"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 xml:space="preserve">darunter mit Unterrichtseinsatz im Fach </w:t>
            </w:r>
          </w:p>
        </w:tc>
        <w:tc>
          <w:tcPr>
            <w:tcW w:w="1559"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 </w:t>
            </w:r>
          </w:p>
        </w:tc>
      </w:tr>
      <w:tr w:rsidR="009B40AF" w:rsidRPr="009B40AF" w:rsidTr="009B40AF">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insgesamt</w:t>
            </w:r>
          </w:p>
        </w:tc>
        <w:tc>
          <w:tcPr>
            <w:tcW w:w="1841"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Deutsch</w:t>
            </w:r>
          </w:p>
        </w:tc>
        <w:tc>
          <w:tcPr>
            <w:tcW w:w="1559"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Mathematik</w:t>
            </w:r>
          </w:p>
        </w:tc>
        <w:tc>
          <w:tcPr>
            <w:tcW w:w="1985"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Heimat- und Sachunterricht</w:t>
            </w:r>
          </w:p>
        </w:tc>
      </w:tr>
      <w:tr w:rsidR="009B40AF" w:rsidRPr="009B40AF" w:rsidTr="009B40AF">
        <w:trPr>
          <w:trHeight w:val="443"/>
        </w:trPr>
        <w:tc>
          <w:tcPr>
            <w:tcW w:w="1687" w:type="dxa"/>
            <w:tcBorders>
              <w:top w:val="nil"/>
              <w:left w:val="single" w:sz="4" w:space="0" w:color="auto"/>
              <w:bottom w:val="single" w:sz="4" w:space="0" w:color="auto"/>
              <w:right w:val="single" w:sz="4" w:space="0" w:color="auto"/>
            </w:tcBorders>
            <w:shd w:val="clear" w:color="auto" w:fill="auto"/>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1. Ausbildungsjahr</w:t>
            </w:r>
          </w:p>
        </w:tc>
        <w:tc>
          <w:tcPr>
            <w:tcW w:w="862"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298</w:t>
            </w:r>
          </w:p>
        </w:tc>
        <w:tc>
          <w:tcPr>
            <w:tcW w:w="1841"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124</w:t>
            </w:r>
          </w:p>
        </w:tc>
        <w:tc>
          <w:tcPr>
            <w:tcW w:w="1559"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60</w:t>
            </w:r>
          </w:p>
        </w:tc>
        <w:tc>
          <w:tcPr>
            <w:tcW w:w="1985"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190</w:t>
            </w:r>
          </w:p>
        </w:tc>
      </w:tr>
      <w:tr w:rsidR="009B40AF" w:rsidRPr="009B40AF" w:rsidTr="009B40AF">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2. Ausbildungsjahr</w:t>
            </w:r>
          </w:p>
        </w:tc>
        <w:tc>
          <w:tcPr>
            <w:tcW w:w="862"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53</w:t>
            </w:r>
          </w:p>
        </w:tc>
        <w:tc>
          <w:tcPr>
            <w:tcW w:w="1841"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42</w:t>
            </w:r>
          </w:p>
        </w:tc>
        <w:tc>
          <w:tcPr>
            <w:tcW w:w="1985"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26</w:t>
            </w:r>
          </w:p>
        </w:tc>
      </w:tr>
      <w:tr w:rsidR="009B40AF" w:rsidRPr="009B40AF" w:rsidTr="009B40AF">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9B40AF" w:rsidRPr="009B40AF" w:rsidRDefault="009B40AF" w:rsidP="00EB26EA">
            <w:pPr>
              <w:rPr>
                <w:rFonts w:ascii="Calibri" w:hAnsi="Calibri"/>
                <w:color w:val="000000"/>
                <w:szCs w:val="20"/>
              </w:rPr>
            </w:pPr>
            <w:r w:rsidRPr="009B40AF">
              <w:rPr>
                <w:rFonts w:ascii="Calibri" w:hAnsi="Calibri"/>
                <w:color w:val="000000"/>
                <w:szCs w:val="20"/>
              </w:rPr>
              <w:t>insgesamt</w:t>
            </w:r>
          </w:p>
        </w:tc>
        <w:tc>
          <w:tcPr>
            <w:tcW w:w="862"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351</w:t>
            </w:r>
          </w:p>
        </w:tc>
        <w:tc>
          <w:tcPr>
            <w:tcW w:w="1841"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170</w:t>
            </w:r>
          </w:p>
        </w:tc>
        <w:tc>
          <w:tcPr>
            <w:tcW w:w="1559"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102</w:t>
            </w:r>
          </w:p>
        </w:tc>
        <w:tc>
          <w:tcPr>
            <w:tcW w:w="1985" w:type="dxa"/>
            <w:tcBorders>
              <w:top w:val="nil"/>
              <w:left w:val="nil"/>
              <w:bottom w:val="single" w:sz="4" w:space="0" w:color="auto"/>
              <w:right w:val="single" w:sz="4" w:space="0" w:color="auto"/>
            </w:tcBorders>
            <w:shd w:val="clear" w:color="auto" w:fill="auto"/>
            <w:noWrap/>
            <w:vAlign w:val="bottom"/>
            <w:hideMark/>
          </w:tcPr>
          <w:p w:rsidR="009B40AF" w:rsidRPr="009B40AF" w:rsidRDefault="009B40AF" w:rsidP="00EB26EA">
            <w:pPr>
              <w:jc w:val="right"/>
              <w:rPr>
                <w:rFonts w:ascii="Calibri" w:hAnsi="Calibri"/>
                <w:color w:val="000000"/>
                <w:szCs w:val="20"/>
              </w:rPr>
            </w:pPr>
            <w:r w:rsidRPr="009B40AF">
              <w:rPr>
                <w:rFonts w:ascii="Calibri" w:hAnsi="Calibri"/>
                <w:color w:val="000000"/>
                <w:szCs w:val="20"/>
              </w:rPr>
              <w:t>216</w:t>
            </w:r>
          </w:p>
        </w:tc>
      </w:tr>
    </w:tbl>
    <w:p w:rsidR="00BD06BB" w:rsidRDefault="00BD06BB" w:rsidP="00BD06BB">
      <w:pPr>
        <w:pStyle w:val="LTAntwortRessortText"/>
      </w:pPr>
    </w:p>
    <w:p w:rsidR="00BD06BB" w:rsidRDefault="00BD06BB" w:rsidP="00E62A89">
      <w:pPr>
        <w:pStyle w:val="LTAntwortRessortText"/>
        <w:spacing w:before="360"/>
      </w:pPr>
      <w:r>
        <w:t>In der Zulassungs- und Ausbildungsordnung für das Lehramt an Grundschulen und das Lehramt an Mittelschulen (ZALGM) sind unter § 14 die Aufgaben der betreuenden Lehrkräfte während des Vorbereitungsdienstes geregelt. Demnach führen die Betreuungslehrkräfte im Rahmen ihrer Aufgabe insbesondere einen an aktuellen Entwicklungen orientierten didaktisch und methodis</w:t>
      </w:r>
      <w:r w:rsidR="009C6156">
        <w:t>ch geplanten und gestalteten Un</w:t>
      </w:r>
      <w:r>
        <w:t>terricht vor, besprechen ihn und geben den Lehr</w:t>
      </w:r>
      <w:r w:rsidR="009C6156">
        <w:t>amtsanwärtern und Lehramtsanwär</w:t>
      </w:r>
      <w:r>
        <w:t>terinnen Einblick in die tägliche Erziehungs- und Unter</w:t>
      </w:r>
      <w:r w:rsidR="009C6156">
        <w:t>richtsarbeit sowie in die weite</w:t>
      </w:r>
      <w:r>
        <w:t>ren Tätigkeitsfelder einer Lehrkraft. Sie beteiligen die</w:t>
      </w:r>
      <w:r w:rsidR="009C6156">
        <w:t xml:space="preserve"> Lehramtsanwärter und Lehr</w:t>
      </w:r>
      <w:r>
        <w:t>amtsanwärterinnen an allen mit der Klassenleitu</w:t>
      </w:r>
      <w:r w:rsidR="009C6156">
        <w:t>ng verbundenen Aufgaben. Die Er</w:t>
      </w:r>
      <w:r>
        <w:t>stellung und Analyse von Probearbeiten stellt in d</w:t>
      </w:r>
      <w:r w:rsidR="009C6156">
        <w:t>iesem Rahmen einen unverzichtba</w:t>
      </w:r>
      <w:r>
        <w:t>ren Teil der Ausbildung in beiden Abschnitten des Vorbereitungsdienstes dar, der auch im Rahmen der jeweils zwei Ausbildungs</w:t>
      </w:r>
      <w:r w:rsidR="009C6156">
        <w:t>tage pro Woche in beiden Ausbil</w:t>
      </w:r>
      <w:r>
        <w:t>dungsabschnitten (1. Jahr und 2. Jahr) im Seminarbetrieb umfassend reflektiert wird.</w:t>
      </w:r>
    </w:p>
    <w:p w:rsidR="00BD06BB" w:rsidRDefault="00BD06BB" w:rsidP="00E62A89">
      <w:pPr>
        <w:pStyle w:val="LTAntwortRessortText"/>
        <w:spacing w:before="360"/>
      </w:pPr>
      <w:r>
        <w:t>Nach § 21 ZALGM übernimmt der Lehramtsanwärter oder die Lehramtsanwärterin im Rahmen des eigenverantwortlichen Unterrichts die volle Verantwortung für den Unterricht. Dies schließt die Erstellung und Korrektur von Probearbeiten mit ein. Die Gesamtverantwortung für die gleichmäßige Verteilung schriftlicher Aufgaben über das Schuljahr sowie für die Angemessenheit der Aufgabenstellung und der Benotung durch die Lehrkräfte trägt nach § 27 Satz 4 Lehrerd</w:t>
      </w:r>
      <w:r w:rsidR="009C6156">
        <w:t>ienstordnung (LDO) der Schullei</w:t>
      </w:r>
      <w:r>
        <w:t>ter bzw. die Schulleiterin.</w:t>
      </w:r>
    </w:p>
    <w:p w:rsidR="00E62A89" w:rsidRDefault="00E62A8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BD06BB" w:rsidTr="00E62A89">
        <w:tc>
          <w:tcPr>
            <w:tcW w:w="1790" w:type="dxa"/>
            <w:shd w:val="clear" w:color="auto" w:fill="auto"/>
          </w:tcPr>
          <w:p w:rsidR="00BD06BB" w:rsidRPr="00BD06BB" w:rsidRDefault="00BD06BB" w:rsidP="00BD06BB">
            <w:pPr>
              <w:pStyle w:val="LTAnfrageIni1"/>
            </w:pPr>
            <w:r w:rsidRPr="00BD06BB">
              <w:t>Abgeordnete</w:t>
            </w:r>
            <w:r w:rsidRPr="00BD06BB">
              <w:br/>
            </w:r>
            <w:r w:rsidRPr="00BD06BB">
              <w:rPr>
                <w:b/>
              </w:rPr>
              <w:t>Christina</w:t>
            </w:r>
            <w:r w:rsidRPr="00BD06BB">
              <w:rPr>
                <w:b/>
              </w:rPr>
              <w:br/>
              <w:t>Haubrich</w:t>
            </w:r>
            <w:r w:rsidRPr="00BD06BB">
              <w:rPr>
                <w:b/>
              </w:rPr>
              <w:br/>
            </w:r>
            <w:r w:rsidRPr="00BD06BB">
              <w:t>(BÜNDNIS 90/DIE GRÜNEN)</w:t>
            </w:r>
            <w:r>
              <w:fldChar w:fldCharType="begin"/>
            </w:r>
            <w:r>
              <w:instrText xml:space="preserve"> XE </w:instrText>
            </w:r>
            <w:r w:rsidR="007B3866">
              <w:instrText>„</w:instrText>
            </w:r>
            <w:r>
              <w:instrText xml:space="preserve">Haubrich, Christina (BÜNDNIS 90/DIE GRÜNEN):Status Gesundheitsbonus </w:instrText>
            </w:r>
            <w:r>
              <w:fldChar w:fldCharType="end"/>
            </w:r>
            <w:r>
              <w:fldChar w:fldCharType="begin"/>
            </w:r>
            <w:r>
              <w:instrText xml:space="preserve"> TC </w:instrText>
            </w:r>
            <w:r w:rsidR="007B3866">
              <w:instrText>„</w:instrText>
            </w:r>
            <w:r>
              <w:instrText>Haubrich, Christina (BÜNDNIS 90/DIE GRÜNEN)</w:instrText>
            </w:r>
            <w:r>
              <w:br/>
              <w:instrText xml:space="preserve">Status Gesundheitsbonus </w:instrText>
            </w:r>
            <w:r w:rsidR="007B3866">
              <w:instrText>„</w:instrText>
            </w:r>
            <w:r>
              <w:instrText xml:space="preserve"> \l 2 </w:instrText>
            </w:r>
            <w:r>
              <w:fldChar w:fldCharType="end"/>
            </w:r>
          </w:p>
        </w:tc>
        <w:tc>
          <w:tcPr>
            <w:tcW w:w="5826" w:type="dxa"/>
            <w:shd w:val="clear" w:color="auto" w:fill="auto"/>
          </w:tcPr>
          <w:p w:rsidR="00BD06BB" w:rsidRPr="00B14512" w:rsidRDefault="00BD06BB" w:rsidP="00BD06BB">
            <w:pPr>
              <w:pStyle w:val="LTAnfrageText"/>
              <w:rPr>
                <w:spacing w:val="-2"/>
              </w:rPr>
            </w:pPr>
            <w:r w:rsidRPr="00B14512">
              <w:rPr>
                <w:spacing w:val="-2"/>
              </w:rPr>
              <w:t>Ich frage die Staatsregierung, welche Änderungen wurden an den zwei seitens der Staatsregierung vorgelegten Modellen (Variante 1 und Variante 2) des Gesundheitsbonus seit dem 14.03.2019 vorgenommen, welche konkreten Maßnahmen plant sie außerhalb des Gesundheitsbonus, um den beginnenden sinkenden Anmeldezahlen bei den Schulen im Bereich der Gesundheitsfachberufe aufgrund der Unsicherheit seitens der angehenden Schüler entgegenzuwirken und ist das Ziel immer noch eine komplette Schulgeldfreiheit inklusive einer kompletten Übernahme der veranschlagten Schulgelder der privaten Träger?</w:t>
            </w:r>
          </w:p>
          <w:p w:rsidR="00BD06BB" w:rsidRDefault="00BD06BB" w:rsidP="00BD06BB">
            <w:pPr>
              <w:pStyle w:val="LTAnfrageText"/>
            </w:pPr>
          </w:p>
        </w:tc>
      </w:tr>
    </w:tbl>
    <w:p w:rsidR="00BD06BB" w:rsidRDefault="00BD06BB" w:rsidP="00E62A89">
      <w:pPr>
        <w:pStyle w:val="LTUeberschrAntwortRessort"/>
        <w:spacing w:before="0"/>
      </w:pPr>
      <w:r>
        <w:t>Antwort des Staatsministeriums für Unterricht und Kultus</w:t>
      </w:r>
    </w:p>
    <w:p w:rsidR="00BD06BB" w:rsidRDefault="00BD06BB" w:rsidP="00BD06BB">
      <w:pPr>
        <w:pStyle w:val="LTAntwortRessortText"/>
      </w:pPr>
      <w:r>
        <w:t>Der geplante Gesundheitsbonus ist das haushal</w:t>
      </w:r>
      <w:r w:rsidR="00B14512">
        <w:t>ts- und zuwendungsrechtliche In</w:t>
      </w:r>
      <w:r>
        <w:t>strument, mit dem die Staatsregierung in Bayern eine möglichst flächendeckende faktische Schulgeldfreiheit an den privaten Berufsfachschulen für insgesamt neun Gesundheitsfachberufe erreichen will. Die Anfrage zum Plenum spricht drei inhaltlich unterschiedliche Aspekte an:</w:t>
      </w:r>
    </w:p>
    <w:p w:rsidR="00BD06BB" w:rsidRPr="00B14512" w:rsidRDefault="00B14512" w:rsidP="00BD06BB">
      <w:pPr>
        <w:pStyle w:val="LTAntwortRessortText"/>
        <w:rPr>
          <w:u w:val="single"/>
        </w:rPr>
      </w:pPr>
      <w:r w:rsidRPr="00B14512">
        <w:rPr>
          <w:u w:val="single"/>
        </w:rPr>
        <w:t xml:space="preserve">1. </w:t>
      </w:r>
      <w:r w:rsidR="00BD06BB" w:rsidRPr="00B14512">
        <w:rPr>
          <w:u w:val="single"/>
        </w:rPr>
        <w:t>Änderungen des jetzigen Angebots (29.03.2019) gegenüber den am 14.03.2019 vorgelegten Modellen:</w:t>
      </w:r>
    </w:p>
    <w:p w:rsidR="00BD06BB" w:rsidRDefault="00BD06BB" w:rsidP="00BD06BB">
      <w:pPr>
        <w:pStyle w:val="LTAntwortRessortText"/>
      </w:pPr>
      <w:r>
        <w:t>Grundlage des jetzt vorliegenden Angebots an die privaten Schulträger ist das Beratungsergebnis des Ausschusses für Staatshaushalt und Finanzfragen vom 28.03.2019 zum Regierungsent</w:t>
      </w:r>
      <w:r w:rsidR="00800866">
        <w:t>wurf zum Doppelhaushalt 2019/202</w:t>
      </w:r>
      <w:r>
        <w:t>0, Einzelplan</w:t>
      </w:r>
      <w:r w:rsidR="00B14512">
        <w:t> </w:t>
      </w:r>
      <w:r>
        <w:t xml:space="preserve">05. Nach der Beschlussempfehlung des Ausschusses </w:t>
      </w:r>
      <w:r w:rsidR="00B14512">
        <w:t>für Sta</w:t>
      </w:r>
      <w:r w:rsidR="00800866">
        <w:t>atshaushalt und Finanzfragen</w:t>
      </w:r>
      <w:r w:rsidR="00B14512">
        <w:t xml:space="preserve"> </w:t>
      </w:r>
      <w:r>
        <w:t>und vorbehaltlich der abschließenden Beschlussfassung zum Doppelhaushalt 2019/20 durch den Landtag steht ein erheblich aufg</w:t>
      </w:r>
      <w:r w:rsidR="00B14512">
        <w:t>estockter Betrag bei den Gesund</w:t>
      </w:r>
      <w:r>
        <w:t>heitsbonus-Ansätzen zur Verfügung (Kap. 05 04 Tit. 684 21 bis 684 29).</w:t>
      </w:r>
    </w:p>
    <w:p w:rsidR="00BD06BB" w:rsidRDefault="00BD06BB" w:rsidP="00BD06BB">
      <w:pPr>
        <w:pStyle w:val="LTAntwortRessortText"/>
      </w:pPr>
      <w:r>
        <w:t xml:space="preserve">Die Regierungsfraktionen von CSU und </w:t>
      </w:r>
      <w:r w:rsidR="00B14512">
        <w:t>FREIEN WÄHLERN</w:t>
      </w:r>
      <w:r>
        <w:t xml:space="preserve"> hatten sich darauf verständigt, neben den Erhöhungen durch Haushaltsumschichtungen zusätzlich 1 Mio. Euro für den </w:t>
      </w:r>
      <w:r w:rsidR="00B14512">
        <w:t>Gesundheitsbonus bereitzu</w:t>
      </w:r>
      <w:r>
        <w:t>stellen. Damit kon</w:t>
      </w:r>
      <w:r w:rsidR="00B14512">
        <w:t>nte insbesondere der von Träger</w:t>
      </w:r>
      <w:r>
        <w:t>seite geäußerten Anregung entsprochen werden, Schulen mit größeren Klassen gezielter als nach dem bisherigen Angebot zu fördern. Dies wirkt sich vor allem auf die Finanzierung der von der Schülerzahl</w:t>
      </w:r>
      <w:r w:rsidR="00B14512">
        <w:t xml:space="preserve"> größten Schularten aus, den Be</w:t>
      </w:r>
      <w:r>
        <w:t>rufsfachschulen für Physiotherapie, für Ergotherapie bzw. für Pharmazeutisch-technische Ass</w:t>
      </w:r>
      <w:r w:rsidR="00800866">
        <w:t xml:space="preserve">istentinnen und </w:t>
      </w:r>
      <w:r w:rsidR="00B14512">
        <w:t>Assistenten</w:t>
      </w:r>
      <w:r>
        <w:t>.</w:t>
      </w:r>
    </w:p>
    <w:p w:rsidR="00BD06BB" w:rsidRDefault="00BD06BB" w:rsidP="00BD06BB">
      <w:pPr>
        <w:pStyle w:val="LTAntwortRessortText"/>
      </w:pPr>
      <w:r>
        <w:t>Bei den Schulträgern für die Gesundheitsfachberu</w:t>
      </w:r>
      <w:r w:rsidR="00B14512">
        <w:t>fe, für die das Staatsministeri</w:t>
      </w:r>
      <w:r>
        <w:t xml:space="preserve">um </w:t>
      </w:r>
      <w:r w:rsidR="00B14512">
        <w:t xml:space="preserve">für Unterricht und Kultus (StMUK) </w:t>
      </w:r>
      <w:r>
        <w:t>am 14.03.2019 zwei verschiedene Zuschussmodelle zur Diskussion gestellt hatte, fielen die Voten für eines der beiden Mode</w:t>
      </w:r>
      <w:r w:rsidR="0014625E">
        <w:t>lle in der Regel mit überzeugen</w:t>
      </w:r>
      <w:r>
        <w:t xml:space="preserve">den Begründungen höchst unterschiedlich aus. Das </w:t>
      </w:r>
      <w:r w:rsidR="0014625E">
        <w:t>StMUK</w:t>
      </w:r>
      <w:r>
        <w:t xml:space="preserve"> entschloss sich daher, die beiden Modelle nach dem Motto </w:t>
      </w:r>
      <w:r w:rsidR="007B3866">
        <w:t>„</w:t>
      </w:r>
      <w:r>
        <w:t>das Beste aus beiden Welten</w:t>
      </w:r>
      <w:r w:rsidR="007B3866">
        <w:t>“</w:t>
      </w:r>
      <w:r>
        <w:t xml:space="preserve"> so zu verschränken, dass die jeweiligen wechselseitigen Kritikpunkte ausgeräumt sein dürften. Insbesondere bietet der Dreier-Schritt von einer Zuschussstufe zur anderen einen ausreichend großen Anreiz zur S</w:t>
      </w:r>
      <w:r w:rsidR="0014625E">
        <w:t>chülergewinnung, federt aber an</w:t>
      </w:r>
      <w:r>
        <w:t>dererseits leichte Schülerrückgänge zuverlässig ab.</w:t>
      </w:r>
    </w:p>
    <w:p w:rsidR="00BD06BB" w:rsidRPr="0014625E" w:rsidRDefault="0014625E" w:rsidP="0014625E">
      <w:pPr>
        <w:pStyle w:val="LTAntwortRessortText"/>
        <w:spacing w:before="360"/>
        <w:rPr>
          <w:u w:val="single"/>
        </w:rPr>
      </w:pPr>
      <w:r w:rsidRPr="0014625E">
        <w:rPr>
          <w:u w:val="single"/>
        </w:rPr>
        <w:t xml:space="preserve">2. </w:t>
      </w:r>
      <w:r w:rsidR="00BD06BB" w:rsidRPr="0014625E">
        <w:rPr>
          <w:u w:val="single"/>
        </w:rPr>
        <w:t>Geplante Maßnahmen außerhalb des Gesundheitsbonus:</w:t>
      </w:r>
    </w:p>
    <w:p w:rsidR="00BD06BB" w:rsidRDefault="00BD06BB" w:rsidP="0014625E">
      <w:pPr>
        <w:pStyle w:val="LTAntwortRessortText"/>
        <w:spacing w:before="120"/>
      </w:pPr>
      <w:r>
        <w:t xml:space="preserve">Das </w:t>
      </w:r>
      <w:r w:rsidR="0014625E">
        <w:t>StMUK überarbeitet zurz</w:t>
      </w:r>
      <w:r>
        <w:t>eit i</w:t>
      </w:r>
      <w:r w:rsidR="0014625E">
        <w:t>n Zusammenarbeit mit dem Staats</w:t>
      </w:r>
      <w:r>
        <w:t>institut für Schulqualität und Bildungsforschung (ISB) München die Lehrpläne der Berufsfachschulen für Ergotherapie bzw. für Diätassistenten. Der Lehrplan für die Berufsfachschulen für Ergotherapie stammt von 2001, der für die Diätassistenten von 1996. Durch die Modernisierung der Lehrplä</w:t>
      </w:r>
      <w:r w:rsidR="0014625E">
        <w:t>ne soll die Berufsausbildung at</w:t>
      </w:r>
      <w:r>
        <w:t xml:space="preserve">traktiver werden. </w:t>
      </w:r>
    </w:p>
    <w:p w:rsidR="00BD06BB" w:rsidRDefault="00BD06BB" w:rsidP="00BD06BB">
      <w:pPr>
        <w:pStyle w:val="LTAntwortRessortText"/>
      </w:pPr>
      <w:r>
        <w:t>Weitere mögliche Maßnahmen sind die Einführung einer Ausbildungsvergütung sowie die Akademisierung von Gesundheitsfachberufen:</w:t>
      </w:r>
    </w:p>
    <w:p w:rsidR="00BD06BB" w:rsidRDefault="00BD06BB" w:rsidP="00BD06BB">
      <w:pPr>
        <w:pStyle w:val="LTAntwortRessortText"/>
      </w:pPr>
      <w:r>
        <w:t xml:space="preserve">Am </w:t>
      </w:r>
      <w:r w:rsidR="0014625E">
        <w:t>30.11.</w:t>
      </w:r>
      <w:r>
        <w:t xml:space="preserve">2017 konstituierte sich eine Bund-Länder-Arbeitsgruppe </w:t>
      </w:r>
      <w:r w:rsidR="007B3866">
        <w:t>„</w:t>
      </w:r>
      <w:r w:rsidR="0014625E">
        <w:t>No</w:t>
      </w:r>
      <w:r>
        <w:t>vellierung der Gesundheitsfachberufe</w:t>
      </w:r>
      <w:r w:rsidR="007B3866">
        <w:t>“</w:t>
      </w:r>
      <w:r>
        <w:t xml:space="preserve"> in Bremen, an der Bayern beteiligt ist. Das Gremium wird ein Gesamtkonzept zur Neuordnung und Stärkung der Ausbildung in den Gesundheitsfachberufen erarbeiten. In</w:t>
      </w:r>
      <w:r w:rsidR="0014625E">
        <w:t xml:space="preserve"> diesem Rahmen ist auch die Ein</w:t>
      </w:r>
      <w:r>
        <w:t>führung von Ausbildungsvergütungen sowie eine Akademisierung zu erörtern, um die Ausbildung für Schulabgänger attraktiver zu machen. Bereits seit 2014 ist die hochschulische Ausbildung von Physiotherapeutinnen und Physiotherapeuten im Rahmen der Modellklausel in Bayern implementiert.</w:t>
      </w:r>
    </w:p>
    <w:p w:rsidR="00BD06BB" w:rsidRDefault="00BD06BB" w:rsidP="00BD06BB">
      <w:pPr>
        <w:pStyle w:val="LTAntwortRessortText"/>
      </w:pPr>
      <w:r>
        <w:t>Darüber hinaus bemüht sich das Staatsministerium für Gesundheit und Pflege, das Thema Pflege und auch die anderen Gesu</w:t>
      </w:r>
      <w:r w:rsidR="0014625E">
        <w:t>ndheitsfachberufe in einen größer</w:t>
      </w:r>
      <w:r>
        <w:t>en Rahmen zu stellen und dadurch mehr originären Nachwuchs anzusprechen bzw. die Attraktivität des Berufsfeldes für Seite</w:t>
      </w:r>
      <w:r w:rsidR="0014625E">
        <w:t>n- und Wiedereinsteiger zu erhö</w:t>
      </w:r>
      <w:r>
        <w:t>hen.</w:t>
      </w:r>
    </w:p>
    <w:p w:rsidR="00BD06BB" w:rsidRPr="0014625E" w:rsidRDefault="0014625E" w:rsidP="0014625E">
      <w:pPr>
        <w:pStyle w:val="LTAntwortRessortText"/>
        <w:spacing w:before="360"/>
        <w:rPr>
          <w:u w:val="single"/>
        </w:rPr>
      </w:pPr>
      <w:r w:rsidRPr="0014625E">
        <w:rPr>
          <w:u w:val="single"/>
        </w:rPr>
        <w:t xml:space="preserve">3. </w:t>
      </w:r>
      <w:r w:rsidR="00BD06BB" w:rsidRPr="0014625E">
        <w:rPr>
          <w:u w:val="single"/>
        </w:rPr>
        <w:t>Ziel: Schulgeldfreiheit</w:t>
      </w:r>
      <w:r w:rsidRPr="0014625E">
        <w:rPr>
          <w:u w:val="single"/>
        </w:rPr>
        <w:t>:</w:t>
      </w:r>
    </w:p>
    <w:p w:rsidR="00BD06BB" w:rsidRDefault="00BD06BB" w:rsidP="0014625E">
      <w:pPr>
        <w:pStyle w:val="LTAntwortRessortText"/>
        <w:spacing w:before="120"/>
      </w:pPr>
      <w:r>
        <w:t>Ziel der Staatsregierung ist und bleibt, dass flächendeckend möglichst viel</w:t>
      </w:r>
      <w:r w:rsidR="0014625E">
        <w:t>e pri</w:t>
      </w:r>
      <w:r>
        <w:t>vate Berufsfachschulen den neuen Gesundheitsbonus annehmen und an ihre Schülerinnen und Schüler weiterreichen. Aus Sicht der Schüler wäre dann kein unmittelbares Schulgeld mehr zu bezahlen. Die bisherigen Rückmeldungen der Schulträger zum neuen Modell sind ausnahmslos positiv (Stand: 08.04.2019).</w:t>
      </w:r>
    </w:p>
    <w:p w:rsidR="00BD06BB" w:rsidRDefault="00BD06BB" w:rsidP="00BD06BB">
      <w:pPr>
        <w:pStyle w:val="LTAntwortRessortText"/>
      </w:pPr>
      <w:r>
        <w:t>Eine 100</w:t>
      </w:r>
      <w:r w:rsidR="0014625E">
        <w:t>-p</w:t>
      </w:r>
      <w:r w:rsidR="007B3866">
        <w:t>rozent</w:t>
      </w:r>
      <w:r>
        <w:t xml:space="preserve">ige Schulgeldfreiheit an Privatschulen </w:t>
      </w:r>
      <w:r w:rsidR="0014625E">
        <w:t>– auch in den betroffenen Aus</w:t>
      </w:r>
      <w:r>
        <w:t xml:space="preserve">bildungsberufen </w:t>
      </w:r>
      <w:r w:rsidR="0014625E">
        <w:t>–</w:t>
      </w:r>
      <w:r>
        <w:t xml:space="preserve"> wäre wegen des Grundrechts auf Privatschulfreiheit nur über eine schulscharfe, den Staat gleichsam zum Ge</w:t>
      </w:r>
      <w:r w:rsidR="0014625E">
        <w:t>währträger jeder einzelnen Pri</w:t>
      </w:r>
      <w:r>
        <w:t>vatschule machenden und damit dem Wesen der staatlichen Schulfinanzierung völlig widersprechenden Bezuschussung oder durch ein Fondsmodell im Rahmen der Bundesgesetze zu den einzelnen Gesundheitsfachberufen möglich. Der Bund hat die Fondslösung beispielsweise bei den mod</w:t>
      </w:r>
      <w:r w:rsidR="0014625E">
        <w:t>ernen Gesetzen zu Notfallsanitä</w:t>
      </w:r>
      <w:r>
        <w:t>tern (NotSanG) oder zur Pflegeberufefachkraft gewählt (PflBG).</w:t>
      </w:r>
    </w:p>
    <w:p w:rsidR="00BD06BB" w:rsidRDefault="00BD06BB" w:rsidP="00BD06BB">
      <w:pPr>
        <w:pStyle w:val="LTAntwortRessortText"/>
      </w:pPr>
      <w:r>
        <w:t>Bayern geht jetzt mit dem Gesundheitsbonus in Vorleistung gegenüber dem Bund: Das Ziel, die Schulgeldfreiheit für die Au</w:t>
      </w:r>
      <w:r w:rsidR="00871426">
        <w:t>sbildung in den Gesundheitsfach</w:t>
      </w:r>
      <w:r>
        <w:t xml:space="preserve">berufen zu erreichen, ist auch ein Anliegen des </w:t>
      </w:r>
      <w:r w:rsidR="0014625E">
        <w:t>Koalitionsvertrags der Bundesre</w:t>
      </w:r>
      <w:r>
        <w:t>gierung. Bayern wird auf dieser Ebene auf eine umfassende Lösung drängen.</w:t>
      </w:r>
    </w:p>
    <w:p w:rsidR="00D04095" w:rsidRDefault="00D04095">
      <w:r>
        <w:br w:type="page"/>
      </w:r>
    </w:p>
    <w:p w:rsidR="00D04095" w:rsidRDefault="00D04095"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Claudia</w:t>
            </w:r>
            <w:r w:rsidRPr="00BD06BB">
              <w:rPr>
                <w:b/>
              </w:rPr>
              <w:br/>
              <w:t>Köhler</w:t>
            </w:r>
            <w:r w:rsidRPr="00BD06BB">
              <w:rPr>
                <w:b/>
              </w:rPr>
              <w:br/>
            </w:r>
            <w:r w:rsidRPr="00BD06BB">
              <w:t>(BÜNDNIS 90/DIE GRÜNEN)</w:t>
            </w:r>
            <w:r>
              <w:fldChar w:fldCharType="begin"/>
            </w:r>
            <w:r>
              <w:instrText xml:space="preserve"> XE </w:instrText>
            </w:r>
            <w:r w:rsidR="007B3866">
              <w:instrText>„</w:instrText>
            </w:r>
            <w:r>
              <w:instrText xml:space="preserve">Köhler, Claudia (BÜNDNIS 90/DIE GRÜNEN):Anzahl der Förderschulen in Bayern </w:instrText>
            </w:r>
            <w:r>
              <w:fldChar w:fldCharType="end"/>
            </w:r>
            <w:r>
              <w:fldChar w:fldCharType="begin"/>
            </w:r>
            <w:r>
              <w:instrText xml:space="preserve"> TC </w:instrText>
            </w:r>
            <w:r w:rsidR="007B3866">
              <w:instrText>„</w:instrText>
            </w:r>
            <w:r>
              <w:instrText>Köhler, Claudia (BÜNDNIS 90/DIE GRÜNEN)</w:instrText>
            </w:r>
            <w:r>
              <w:br/>
              <w:instrText xml:space="preserve">Anzahl der Förderschulen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wie viele Förderschulen und Förderzentren gibt es in Bayern bzw. sind in Planung in den Jahren 2009 bis 2019 (Zeitraum seit Ratifizierung der UN-Behindertenrechtskonvention in Deutschland) </w:t>
            </w:r>
            <w:r w:rsidR="00871426">
              <w:t>–</w:t>
            </w:r>
            <w:r>
              <w:t xml:space="preserve"> bitte nach Regierungsbezirken pro Jahr in absoluten Zahlen aufschlüsseln </w:t>
            </w:r>
            <w:r w:rsidR="00871426">
              <w:t>–</w:t>
            </w:r>
            <w:r>
              <w:t>, wie viele Schüler und Schülerinnen besuchen diese und wie viele Schüler und Schülerinnen mit Förderbedarf besuchen im gleichen Zeitraum eine Regelschule?</w:t>
            </w:r>
          </w:p>
          <w:p w:rsidR="00BD06BB" w:rsidRDefault="00BD06BB" w:rsidP="00BD06BB">
            <w:pPr>
              <w:pStyle w:val="LTAnfrageText"/>
            </w:pPr>
          </w:p>
        </w:tc>
      </w:tr>
    </w:tbl>
    <w:p w:rsidR="00BD06BB" w:rsidRDefault="00BD06BB" w:rsidP="00D04095">
      <w:pPr>
        <w:pStyle w:val="LTUeberschrAntwortRessort"/>
        <w:spacing w:before="0"/>
      </w:pPr>
      <w:r>
        <w:t>Antwort des Staatsministeriums für Unterricht und Kultus</w:t>
      </w:r>
    </w:p>
    <w:p w:rsidR="00BD06BB" w:rsidRDefault="00BD06BB" w:rsidP="00E62A89">
      <w:pPr>
        <w:pStyle w:val="LTAntwortRessortText"/>
        <w:spacing w:before="360"/>
      </w:pPr>
      <w:r>
        <w:t>Der beigefügten Tabelle 1</w:t>
      </w:r>
      <w:r w:rsidR="00871426">
        <w:t>*</w:t>
      </w:r>
      <w:r>
        <w:t xml:space="preserve"> ist die Anzahl</w:t>
      </w:r>
      <w:r w:rsidR="00C61F39">
        <w:t xml:space="preserve"> der Förderschulen im allgemein</w:t>
      </w:r>
      <w:r>
        <w:t xml:space="preserve">bildenden Bereich (Förderzentren und Realschulen zur sonderpädagogischen Förderung) in Aufgliederung nach Schularten und Regierungsbezirken seit dem Schuljahr 2008/2009 zu entnehmen. </w:t>
      </w:r>
    </w:p>
    <w:p w:rsidR="00D04095" w:rsidRDefault="00BD06BB" w:rsidP="00D04095">
      <w:pPr>
        <w:pStyle w:val="LTAntwortRessortText"/>
        <w:spacing w:before="360"/>
      </w:pPr>
      <w:r>
        <w:t>In nachfolgender Tabelle 2 ist die Anzahl der Schüler</w:t>
      </w:r>
      <w:r w:rsidR="00871426">
        <w:t>innen bzw. Schüler</w:t>
      </w:r>
      <w:r>
        <w:t xml:space="preserve"> an Förderzentren, Schüler</w:t>
      </w:r>
      <w:r w:rsidR="00871426">
        <w:t>innen bzw. Schüler</w:t>
      </w:r>
      <w:r>
        <w:t xml:space="preserve"> an Realschulen zur sonderpädagogischen Förderung und Schüler</w:t>
      </w:r>
      <w:r w:rsidR="00871426">
        <w:t>innen bzw. Schüler mit sonderpädagogischer Förderung an allgemein</w:t>
      </w:r>
      <w:r>
        <w:t xml:space="preserve">bildenden Regelschulen seit dem Schuljahr 2008/2009 dargestellt. </w:t>
      </w:r>
    </w:p>
    <w:p w:rsidR="00BD06BB" w:rsidRDefault="00871426" w:rsidP="00D04095">
      <w:pPr>
        <w:pStyle w:val="LTAntwortRessortText"/>
        <w:spacing w:before="360"/>
      </w:pPr>
      <w:r w:rsidRPr="00CF5C38">
        <w:rPr>
          <w:noProof/>
        </w:rPr>
        <w:drawing>
          <wp:inline distT="0" distB="0" distL="0" distR="0">
            <wp:extent cx="3743960" cy="359156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3960" cy="3591560"/>
                    </a:xfrm>
                    <a:prstGeom prst="rect">
                      <a:avLst/>
                    </a:prstGeom>
                    <a:noFill/>
                    <a:ln>
                      <a:noFill/>
                    </a:ln>
                  </pic:spPr>
                </pic:pic>
              </a:graphicData>
            </a:graphic>
          </wp:inline>
        </w:drawing>
      </w:r>
    </w:p>
    <w:p w:rsidR="00BD06BB" w:rsidRDefault="00BD06BB" w:rsidP="00BD06BB">
      <w:pPr>
        <w:pStyle w:val="LTAntwortRessortText"/>
      </w:pPr>
      <w:r>
        <w:t xml:space="preserve">Für das Jahr 2019 sind dem Staatsministerium </w:t>
      </w:r>
      <w:r w:rsidR="00C61F39">
        <w:t>für Unterricht und Kultus keine Neugründungen von Förder</w:t>
      </w:r>
      <w:r>
        <w:t>schulen bekannt.</w:t>
      </w:r>
    </w:p>
    <w:p w:rsidR="00BD06BB" w:rsidRDefault="00C61F39" w:rsidP="00BD06BB">
      <w:pPr>
        <w:pStyle w:val="LTAntwortRessortText"/>
        <w:rPr>
          <w:sz w:val="24"/>
          <w:vertAlign w:val="superscript"/>
        </w:rPr>
      </w:pPr>
      <w:r w:rsidRPr="00C61F39">
        <w:rPr>
          <w:sz w:val="24"/>
          <w:vertAlign w:val="superscript"/>
        </w:rPr>
        <w:t xml:space="preserve">*) Von einem Abdruck wurde abgesehen. Die Tabelle 1 ist als pdf-Dokument </w:t>
      </w:r>
      <w:hyperlink r:id="rId15" w:history="1">
        <w:r w:rsidRPr="00E07B94">
          <w:rPr>
            <w:rStyle w:val="Hyperlink"/>
            <w:sz w:val="24"/>
            <w:vertAlign w:val="superscript"/>
          </w:rPr>
          <w:t>hier</w:t>
        </w:r>
      </w:hyperlink>
      <w:r w:rsidRPr="00C61F39">
        <w:rPr>
          <w:sz w:val="24"/>
          <w:vertAlign w:val="superscript"/>
        </w:rPr>
        <w:t xml:space="preserve"> einsehbar. </w:t>
      </w:r>
    </w:p>
    <w:p w:rsidR="004303B7" w:rsidRDefault="004303B7" w:rsidP="00BD06BB">
      <w:pPr>
        <w:pStyle w:val="LTAntwortRessortText"/>
        <w:rPr>
          <w:sz w:val="24"/>
          <w:vertAlign w:val="superscript"/>
        </w:rPr>
      </w:pPr>
    </w:p>
    <w:p w:rsidR="00E62A89" w:rsidRPr="00C61F39" w:rsidRDefault="00E62A89" w:rsidP="00BD06BB">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0"/>
        <w:gridCol w:w="5866"/>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Florian</w:t>
            </w:r>
            <w:r w:rsidRPr="00BD06BB">
              <w:rPr>
                <w:b/>
              </w:rPr>
              <w:br/>
              <w:t>Ritter</w:t>
            </w:r>
            <w:r w:rsidRPr="00BD06BB">
              <w:rPr>
                <w:b/>
              </w:rPr>
              <w:br/>
            </w:r>
            <w:r w:rsidRPr="00BD06BB">
              <w:t>(SPD)</w:t>
            </w:r>
            <w:r>
              <w:fldChar w:fldCharType="begin"/>
            </w:r>
            <w:r>
              <w:instrText xml:space="preserve"> XE </w:instrText>
            </w:r>
            <w:r w:rsidR="007B3866">
              <w:instrText>„</w:instrText>
            </w:r>
            <w:r>
              <w:instrText xml:space="preserve">Ritter, Florian (SPD):Bedarf an Schulturnhallen </w:instrText>
            </w:r>
            <w:r>
              <w:fldChar w:fldCharType="end"/>
            </w:r>
            <w:r>
              <w:fldChar w:fldCharType="begin"/>
            </w:r>
            <w:r>
              <w:instrText xml:space="preserve"> TC </w:instrText>
            </w:r>
            <w:r w:rsidR="007B3866">
              <w:instrText>„</w:instrText>
            </w:r>
            <w:r>
              <w:instrText>Ritter, Florian (SPD)</w:instrText>
            </w:r>
            <w:r>
              <w:br/>
              <w:instrText xml:space="preserve">Bedarf an Schulturnhallen </w:instrText>
            </w:r>
            <w:r w:rsidR="007B3866">
              <w:instrText>„</w:instrText>
            </w:r>
            <w:r>
              <w:instrText xml:space="preserve"> \l 2 </w:instrText>
            </w:r>
            <w:r>
              <w:fldChar w:fldCharType="end"/>
            </w:r>
          </w:p>
        </w:tc>
        <w:tc>
          <w:tcPr>
            <w:tcW w:w="7200" w:type="dxa"/>
            <w:shd w:val="clear" w:color="auto" w:fill="auto"/>
          </w:tcPr>
          <w:p w:rsidR="00BD06BB" w:rsidRDefault="00BD06BB" w:rsidP="00D04095">
            <w:pPr>
              <w:pStyle w:val="LTAnfrageText"/>
            </w:pPr>
            <w:r>
              <w:t>Ich frage die Staatsregierung, wie ist der Bedarf an Schulturnhallen an weiterführenden Schulen (z. B. Berufsschulen, Realschulen, Förderschulen, Gymnasien) unter Berücksichtigung der sich veränderten Belegungssituation nach der Wiedereinführung des G9 an den Schulstandorten Weiden, Landkreis Neustadt an der Waldnaab, Eschenbach i. d. OPf. und Vohenstrauß?</w:t>
            </w:r>
          </w:p>
        </w:tc>
      </w:tr>
    </w:tbl>
    <w:p w:rsidR="00BD06BB" w:rsidRDefault="00BD06BB" w:rsidP="005F13BE">
      <w:pPr>
        <w:pStyle w:val="LTUeberschrAntwortRessort"/>
        <w:spacing w:before="960"/>
      </w:pPr>
      <w:r>
        <w:t>Antwort des Staatsministeriums für Unterricht und Kultus</w:t>
      </w:r>
    </w:p>
    <w:p w:rsidR="00BD06BB" w:rsidRDefault="00BD06BB" w:rsidP="00E62A89">
      <w:pPr>
        <w:pStyle w:val="LTAntwortRessortText"/>
        <w:spacing w:before="360"/>
      </w:pPr>
      <w:r>
        <w:t xml:space="preserve">Dem Staatsministerium für Unterricht und Kultus liegen keine Erkenntnisse bzgl. des Schulsporthallen-Bedarfs an weiterführenden Schulen unter Berücksichtigung der Wiedereinführung des G9 an den Schulstandorten Weiden, Landkreis Neustadt an der Waldnaab, Eschenbach i.d. OPf. und Vohenstrauß vor. </w:t>
      </w:r>
    </w:p>
    <w:p w:rsidR="00BD06BB" w:rsidRDefault="00BD06BB" w:rsidP="00E62A89">
      <w:pPr>
        <w:pStyle w:val="LTAntwortRessortText"/>
        <w:spacing w:before="360"/>
      </w:pPr>
      <w:r>
        <w:t xml:space="preserve">Hiervon abgesehen betrifft die Frage nach der Bereitstellung erforderlicher Sporthallenkapazitäten nicht primär die Zuständigkeit der Staatsregierung. So sind Träger des Schulaufwands staatlicher Schulen </w:t>
      </w:r>
      <w:r w:rsidR="00FF6B42">
        <w:t>–</w:t>
      </w:r>
      <w:r>
        <w:t xml:space="preserve"> worunter der Sachaufwand, d</w:t>
      </w:r>
      <w:r w:rsidR="00FF6B42">
        <w:t> </w:t>
      </w:r>
      <w:r>
        <w:t xml:space="preserve">.h. vor allem die Aufwendungen u.a. für die Bereitstellung, Einrichtung, Ausstattung, Bewirtschaftung und Unterhaltung der Schulanlage einschließlich der Sportstätten, fällt </w:t>
      </w:r>
      <w:r w:rsidR="00FF6B42">
        <w:t>–</w:t>
      </w:r>
      <w:r>
        <w:t xml:space="preserve"> nach Art. 8 Abs. 1 Satz 1 </w:t>
      </w:r>
      <w:r w:rsidR="00FF6B42">
        <w:t>Bayerisches Schulfinanzierungsgesetz (</w:t>
      </w:r>
      <w:r>
        <w:t>BaySchFG</w:t>
      </w:r>
      <w:r w:rsidR="00FF6B42">
        <w:t>)</w:t>
      </w:r>
      <w:r>
        <w:t xml:space="preserve"> die zuständigen kommunalen Körperschaften (Aufwandsträger). Gemäß Art. 5 Abs.</w:t>
      </w:r>
      <w:r w:rsidR="00FF6B42">
        <w:t> </w:t>
      </w:r>
      <w:r>
        <w:t>1 BaySchFG gewährt der Freistaat Bayern zu kommunalen Schulbaumaßnahmen Finanzhilfen nach Maßgabe des Bayerischen Finanzausgleichsgesetzes (BayFAG).</w:t>
      </w:r>
    </w:p>
    <w:p w:rsidR="00D04095" w:rsidRDefault="00D04095">
      <w:pPr>
        <w:rPr>
          <w:rFonts w:cs="Arial"/>
          <w:b/>
          <w:sz w:val="22"/>
          <w:szCs w:val="22"/>
        </w:rPr>
      </w:pPr>
      <w:r>
        <w:br w:type="page"/>
      </w:r>
    </w:p>
    <w:p w:rsidR="00BD06BB" w:rsidRDefault="00BD06BB" w:rsidP="00BD06BB">
      <w:pPr>
        <w:pStyle w:val="LTUeberschrRessort"/>
      </w:pPr>
      <w:r>
        <w:t>Geschäftsbereich des Staatsministeriums für Wissenschaft und Kunst</w:t>
      </w:r>
      <w:r>
        <w:fldChar w:fldCharType="begin"/>
      </w:r>
      <w:r>
        <w:instrText xml:space="preserve"> TC </w:instrText>
      </w:r>
      <w:r w:rsidR="007B3866">
        <w:instrText>„</w:instrText>
      </w:r>
      <w:r>
        <w:instrText>Geschäftsbereich des Staatsministeriums für Wissenschaft und Kunst</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Markus</w:t>
            </w:r>
            <w:r w:rsidRPr="00BD06BB">
              <w:rPr>
                <w:b/>
              </w:rPr>
              <w:br/>
              <w:t>Rinderspacher</w:t>
            </w:r>
            <w:r w:rsidRPr="00BD06BB">
              <w:rPr>
                <w:b/>
              </w:rPr>
              <w:br/>
            </w:r>
            <w:r w:rsidRPr="00BD06BB">
              <w:t>(SPD)</w:t>
            </w:r>
            <w:r>
              <w:fldChar w:fldCharType="begin"/>
            </w:r>
            <w:r>
              <w:instrText xml:space="preserve"> XE </w:instrText>
            </w:r>
            <w:r w:rsidR="007B3866">
              <w:instrText>„</w:instrText>
            </w:r>
            <w:r>
              <w:instrText xml:space="preserve">Rinderspacher, Markus (SPD):Folgen des Staatsbesuchs 2017 in Russland </w:instrText>
            </w:r>
            <w:r>
              <w:fldChar w:fldCharType="end"/>
            </w:r>
            <w:r>
              <w:fldChar w:fldCharType="begin"/>
            </w:r>
            <w:r>
              <w:instrText xml:space="preserve"> TC </w:instrText>
            </w:r>
            <w:r w:rsidR="007B3866">
              <w:instrText>„</w:instrText>
            </w:r>
            <w:r>
              <w:instrText>Rinderspacher, Markus (SPD)</w:instrText>
            </w:r>
            <w:r>
              <w:br/>
              <w:instrText xml:space="preserve">Folgen des Staatsbesuchs 2017 in Russland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welche konkreten Fortschritte gab es in der bayerisch-russischen Kooperation auf dem </w:t>
            </w:r>
            <w:r w:rsidR="007B3866">
              <w:t>„</w:t>
            </w:r>
            <w:r>
              <w:t>Gebiet des gemeinsamen historischen Lernens und Erinnerns</w:t>
            </w:r>
            <w:r w:rsidR="007B3866">
              <w:t>“</w:t>
            </w:r>
            <w:r>
              <w:t xml:space="preserve"> infolge der pressewirksamen Ankündigungen beim Staatsbesuch der Bayerischen Staatsregierung im Frühjahr 2017 in Russland, welche große Filmprojekte sind im Konkreten seitdem infolge der Ankündigung gemeinsamer bayerisch-russischer Filmproduktionen zur weltweiten Vermarktung entstanden, wann im Konkreten werden die zum damaligen Staatsbesuch angekündigten Ausstellungen </w:t>
            </w:r>
            <w:r w:rsidR="007B3866">
              <w:t>„</w:t>
            </w:r>
            <w:r>
              <w:t>Die Pracht des russischen Zarenhofs. Die Romanovs und die Imperator-Residenz Peterhof</w:t>
            </w:r>
            <w:r w:rsidR="007B3866">
              <w:t>“</w:t>
            </w:r>
            <w:r>
              <w:t xml:space="preserve"> in München sowie die Ausstellung über den klassizistischen Maler Leo von Klenze</w:t>
            </w:r>
            <w:r w:rsidR="007B3866">
              <w:t xml:space="preserve"> </w:t>
            </w:r>
            <w:r>
              <w:t>in Sankt Petersburg statt?</w:t>
            </w:r>
          </w:p>
          <w:p w:rsidR="00BD06BB" w:rsidRDefault="00BD06BB" w:rsidP="00BD06BB">
            <w:pPr>
              <w:pStyle w:val="LTAnfrageText"/>
            </w:pPr>
          </w:p>
        </w:tc>
      </w:tr>
    </w:tbl>
    <w:p w:rsidR="00BD06BB" w:rsidRDefault="00BD06BB" w:rsidP="00BD06BB">
      <w:pPr>
        <w:pStyle w:val="LTUeberschrAntwortRessort"/>
      </w:pPr>
      <w:r>
        <w:t>Antwort des Staatsministeriums für Wissenschaft und Kunst</w:t>
      </w:r>
    </w:p>
    <w:p w:rsidR="00BD06BB" w:rsidRDefault="00BD06BB" w:rsidP="00BD06BB">
      <w:pPr>
        <w:pStyle w:val="LTAntwortRessortText"/>
      </w:pPr>
      <w:r>
        <w:t>Im Rahmen der Delegationsreise 2017 wurde zwischen Bayern und Russland eine Zusammenarbeit bei der Schicksalsklärung sowjetischer Kriegsgefangener und Militärinternierter in den beiden in Bayern gelegenen nationalsozialistischen Konzen</w:t>
      </w:r>
      <w:r w:rsidR="00A628C0">
        <w:t>-</w:t>
      </w:r>
      <w:r>
        <w:t>trationslagern Dachau und Flossenbürg vereinbart. Die auf dieser Vereinbarung gründende Zusammenarbeit leistet einen wichtigen Beitrag zur gemeinsamen Erinnerungskultur Russlands und Bayerns; vielen Familien von ermordeten sowjetischen Soldaten kann so endlich Gewissheit über den Zeitpunkt und den Ort des Todes ihrer Angehörigen gegeben werden. Die Vertreter Bayerns, Staatsminister a.</w:t>
      </w:r>
      <w:r w:rsidR="00BD5E78">
        <w:t> </w:t>
      </w:r>
      <w:r>
        <w:t xml:space="preserve">D. Dr. </w:t>
      </w:r>
      <w:r w:rsidR="00BD5E78">
        <w:t xml:space="preserve">Ludwig </w:t>
      </w:r>
      <w:r>
        <w:t>Spaenle und der Stiftungsdirektor Landtagsvizepräsident</w:t>
      </w:r>
      <w:r w:rsidR="00A628C0">
        <w:t>, Karl</w:t>
      </w:r>
      <w:r>
        <w:t xml:space="preserve"> Freller, und der Vertreter der russischen Seite, Kulturminister </w:t>
      </w:r>
      <w:r w:rsidR="00BD5E78">
        <w:rPr>
          <w:rStyle w:val="st"/>
        </w:rPr>
        <w:t xml:space="preserve">Wladimir </w:t>
      </w:r>
      <w:r>
        <w:t xml:space="preserve">Medinski, </w:t>
      </w:r>
      <w:r w:rsidR="00BD5E78">
        <w:t>kamen überein, die fachlich inf</w:t>
      </w:r>
      <w:r>
        <w:t>rage kommenden Archive auf russischer wie auf bayerischer Seite in ihrer Kooperation zu unterstützen. Damit wird auch das 2016 von den Außenministern der Bundesrepublik und Russlands initiierte Projekt zur Suche und Digitalisierung von Archivunterlagen (</w:t>
      </w:r>
      <w:r w:rsidR="007B3866">
        <w:t>„</w:t>
      </w:r>
      <w:r>
        <w:t>Sowjetische und deutsche Kriegsgefangene und Internierte</w:t>
      </w:r>
      <w:r w:rsidR="007B3866">
        <w:t>“</w:t>
      </w:r>
      <w:r>
        <w:t xml:space="preserve">) auf der Arbeitsebene operativ umgesetzt. Die KZ-Gedenkstätte Flossenbürg ist die federführende Institution bei der Realisierung des Projekts. Flossenbürg nimmt in diesem Kontext sowohl historisch eine Schlüsselposition ein wie auch wissenschaftlich durch die dort gegebene hervorragende IT-Expertise. Das Bundesarchiv, das in dem auf Außenministerebene beschlossenen Rahmenprojekt eingebunden ist, hat deshalb die KZ-Gedenkstätte Flossenbürg nachdrücklich in dieser Aufgabe gestärkt. Weitere Partner sind das Auswärtige Amt, der Volksbund Deutsche Kriegsgräberfürsorge und das </w:t>
      </w:r>
      <w:r w:rsidR="00BD5E78">
        <w:rPr>
          <w:rStyle w:val="st"/>
        </w:rPr>
        <w:t>Deutsche Historische Institut in</w:t>
      </w:r>
      <w:r>
        <w:t xml:space="preserve"> Moskau. Wann das Projekt abgeschlossen sein wird, ist derzeit noch nicht absehbar.</w:t>
      </w:r>
    </w:p>
    <w:p w:rsidR="00BD06BB" w:rsidRDefault="00BD06BB" w:rsidP="00BD06BB">
      <w:pPr>
        <w:pStyle w:val="LTAntwortRessortText"/>
      </w:pPr>
      <w:r>
        <w:t xml:space="preserve">Die Thematik </w:t>
      </w:r>
      <w:r w:rsidR="007B3866">
        <w:t>„</w:t>
      </w:r>
      <w:r>
        <w:t>Historisches Lernen und Erinnern</w:t>
      </w:r>
      <w:r w:rsidR="007B3866">
        <w:t>“</w:t>
      </w:r>
      <w:r>
        <w:t xml:space="preserve"> wurde im Jahr 2017 vom </w:t>
      </w:r>
      <w:r w:rsidR="00A628C0">
        <w:t xml:space="preserve">damaligen </w:t>
      </w:r>
      <w:r w:rsidR="00BD5E78">
        <w:t xml:space="preserve">Staatsministerium für </w:t>
      </w:r>
      <w:r w:rsidR="00A628C0">
        <w:t>Bildung und Kultus, Wissenschaft und Kunst</w:t>
      </w:r>
      <w:r>
        <w:t xml:space="preserve"> u.</w:t>
      </w:r>
      <w:r w:rsidR="00BD5E78">
        <w:t> </w:t>
      </w:r>
      <w:r>
        <w:t>a. im Rahmen von Fortbildungsveranstaltungen für Geschichtslehrkräfte aufgegriffen (z.</w:t>
      </w:r>
      <w:r w:rsidR="00BD5E78">
        <w:t> </w:t>
      </w:r>
      <w:r>
        <w:t xml:space="preserve">B. </w:t>
      </w:r>
      <w:r w:rsidR="007B3866">
        <w:t>„</w:t>
      </w:r>
      <w:r>
        <w:t>Bilanz eines historischen Erinnerungsjahres</w:t>
      </w:r>
      <w:r w:rsidR="007B3866">
        <w:t>“</w:t>
      </w:r>
      <w:r>
        <w:t xml:space="preserve">; hier: Fortbildungsveranstaltung am </w:t>
      </w:r>
      <w:r w:rsidR="00BD5E78">
        <w:t>08.12.</w:t>
      </w:r>
      <w:r>
        <w:t xml:space="preserve">2017 in München). </w:t>
      </w:r>
    </w:p>
    <w:p w:rsidR="00BD06BB" w:rsidRDefault="00BD06BB" w:rsidP="00BD06BB">
      <w:pPr>
        <w:pStyle w:val="LTAntwortRessortText"/>
      </w:pPr>
      <w:r>
        <w:t>Bereits anlässlich einer Reise des Ministerpräsidenten a.</w:t>
      </w:r>
      <w:r w:rsidR="00BD5E78">
        <w:t> </w:t>
      </w:r>
      <w:r>
        <w:t xml:space="preserve">D. </w:t>
      </w:r>
      <w:r w:rsidR="00BD5E78">
        <w:t xml:space="preserve">Horst </w:t>
      </w:r>
      <w:r>
        <w:t>Seehofer im Februar 2016 nach Russland war die Initiative entstanden, die Kooperation zwischen der bayerischen und russischen Zivilgesellschaft zu stärken. Ab dem Schuljahr 2016/2017 wurde bayerischen Schulen, die Russisch als Fremdsprache anbieten, die Möglichkeit einer Förderung von Partnerschaften bzw. Austauschmaßnahmen mit russischen Schulen gegeben.</w:t>
      </w:r>
    </w:p>
    <w:p w:rsidR="00BD06BB" w:rsidRDefault="00BD06BB" w:rsidP="00BD06BB">
      <w:pPr>
        <w:pStyle w:val="LTAntwortRessortText"/>
      </w:pPr>
      <w:r>
        <w:t>Die Staatskanzlei hat zudem folgende zwei Projekte gefördert:</w:t>
      </w:r>
    </w:p>
    <w:p w:rsidR="00BD06BB" w:rsidRDefault="007B3866" w:rsidP="00BD5E78">
      <w:pPr>
        <w:pStyle w:val="LTAntwortRessortText"/>
        <w:numPr>
          <w:ilvl w:val="0"/>
          <w:numId w:val="26"/>
        </w:numPr>
        <w:spacing w:before="120"/>
        <w:ind w:left="709" w:hanging="283"/>
      </w:pPr>
      <w:r>
        <w:t>„</w:t>
      </w:r>
      <w:r w:rsidR="00BD06BB">
        <w:t>Gedenkveranstaltung zum 75. Jahrestag der Aufhebung der Blockade von Leningrad</w:t>
      </w:r>
      <w:r>
        <w:t>“</w:t>
      </w:r>
      <w:r w:rsidR="00BD06BB">
        <w:t xml:space="preserve"> am </w:t>
      </w:r>
      <w:r w:rsidR="00BD5E78">
        <w:t>28.01.</w:t>
      </w:r>
      <w:r w:rsidR="00BD06BB">
        <w:t>2019 in München; Projektträger: MIR e.V.</w:t>
      </w:r>
      <w:r w:rsidR="00BD5E78">
        <w:t>,</w:t>
      </w:r>
    </w:p>
    <w:p w:rsidR="00BD06BB" w:rsidRDefault="007B3866" w:rsidP="00BD5E78">
      <w:pPr>
        <w:pStyle w:val="LTAntwortRessortText"/>
        <w:numPr>
          <w:ilvl w:val="0"/>
          <w:numId w:val="26"/>
        </w:numPr>
        <w:spacing w:before="120"/>
        <w:ind w:left="709" w:hanging="283"/>
      </w:pPr>
      <w:r>
        <w:t>„</w:t>
      </w:r>
      <w:r w:rsidR="00BD06BB">
        <w:t>Alexander Schmorell, Kurt Huber und die Weiße Rose. Zum 75. Todestag</w:t>
      </w:r>
      <w:r>
        <w:t>“</w:t>
      </w:r>
      <w:r w:rsidR="00BD06BB">
        <w:t xml:space="preserve"> am </w:t>
      </w:r>
      <w:r w:rsidR="00BD5E78">
        <w:t>12.07.</w:t>
      </w:r>
      <w:r w:rsidR="00BD06BB">
        <w:t>2018 in München; Projektträger: MIR e.V.</w:t>
      </w:r>
    </w:p>
    <w:p w:rsidR="00BD06BB" w:rsidRDefault="00BD5E78" w:rsidP="00BD06BB">
      <w:pPr>
        <w:pStyle w:val="LTAntwortRessortText"/>
      </w:pPr>
      <w:r>
        <w:t>Außerdem haben Herr Staatsminister</w:t>
      </w:r>
      <w:r w:rsidR="00BD06BB">
        <w:t xml:space="preserve"> a.D. Dr. Ludwig Spaenle und Herr Dr. Jörg Skriebeleit, der Leiter der Gedenkstätte Flossenbürg, am 25.</w:t>
      </w:r>
      <w:r>
        <w:t>0</w:t>
      </w:r>
      <w:r w:rsidR="00BD06BB">
        <w:t xml:space="preserve">4.2018 in St. Petersburg an einer Podiumsdiskussion zum Thema </w:t>
      </w:r>
      <w:r w:rsidR="007B3866">
        <w:t>„</w:t>
      </w:r>
      <w:r w:rsidR="00BD06BB">
        <w:t xml:space="preserve">Erinnerungskultur </w:t>
      </w:r>
      <w:r>
        <w:t>–</w:t>
      </w:r>
      <w:r w:rsidR="00BD06BB">
        <w:t xml:space="preserve"> Konzeption von Orten des Gedenkens in Deutschland und Russland</w:t>
      </w:r>
      <w:r w:rsidR="007B3866">
        <w:t>“</w:t>
      </w:r>
      <w:r w:rsidR="00BD06BB">
        <w:t xml:space="preserve"> teilgenommen. Die Podiumsdiskussion fand im Rahmen der </w:t>
      </w:r>
      <w:r w:rsidR="007B3866">
        <w:t>„</w:t>
      </w:r>
      <w:r w:rsidR="00BD06BB">
        <w:t>Deutschen Woche 2018</w:t>
      </w:r>
      <w:r w:rsidR="007B3866">
        <w:t>“</w:t>
      </w:r>
      <w:r w:rsidR="00BD06BB">
        <w:t xml:space="preserve"> statt, an der sich der Freistaat Bayern als Partnerland beteiligt hat. Veranstalter war das Deutsche Generalkonsulat in St. Petersburg.</w:t>
      </w:r>
    </w:p>
    <w:p w:rsidR="00BD06BB" w:rsidRDefault="00BD5E78" w:rsidP="00BD06BB">
      <w:pPr>
        <w:pStyle w:val="LTAntwortRessortText"/>
      </w:pPr>
      <w:r>
        <w:t>Inf</w:t>
      </w:r>
      <w:r w:rsidR="00BD06BB">
        <w:t>olge der Ankündigung gemeinsamer bayerisch-russischer Filmproduktionen zur weltweiten Vermarktung sind bis dato noch keine großen Filmprojekte entstanden.</w:t>
      </w:r>
    </w:p>
    <w:p w:rsidR="00BD06BB" w:rsidRDefault="00BD06BB" w:rsidP="00BD06BB">
      <w:pPr>
        <w:pStyle w:val="LTAntwortRessortText"/>
      </w:pPr>
      <w:r>
        <w:t xml:space="preserve">Die Ausstellung mit Kunstwerken des russischen Zarenhofs soll Ende des Jahres 2019 mit Einverständnis der russischen Seite im Schaezlerpalais Augsburg realisiert werden. Das Schaezlerpalais entstand etwa zur gleichen Zeit wie viele der in der Ausstellung gezeigten Kunstwerke. </w:t>
      </w:r>
    </w:p>
    <w:p w:rsidR="00BD06BB" w:rsidRDefault="00BD06BB" w:rsidP="00BD06BB">
      <w:pPr>
        <w:pStyle w:val="LTAntwortRessortText"/>
      </w:pPr>
      <w:r>
        <w:t>Eine Ausstellung über den Architekten und Maler Leo von Klenze ist geplant.</w:t>
      </w:r>
    </w:p>
    <w:p w:rsidR="00BD06BB" w:rsidRDefault="00BD06BB" w:rsidP="00BD06BB">
      <w:pPr>
        <w:pStyle w:val="LTAntwortRessortText"/>
      </w:pPr>
      <w:r>
        <w:t xml:space="preserve">Im Übrigen hat das russische Kulturministerium mit Unterstützung des Bayerischen </w:t>
      </w:r>
      <w:r w:rsidR="00BD5E78">
        <w:t>Staatsministerium</w:t>
      </w:r>
      <w:r w:rsidR="00A628C0">
        <w:t>s</w:t>
      </w:r>
      <w:r w:rsidR="00BD5E78">
        <w:t xml:space="preserve"> für </w:t>
      </w:r>
      <w:r w:rsidR="00A628C0">
        <w:t>W</w:t>
      </w:r>
      <w:r w:rsidR="005B3FCB">
        <w:t>issenschaft und Kunst</w:t>
      </w:r>
      <w:r w:rsidR="00BD5E78">
        <w:t xml:space="preserve"> </w:t>
      </w:r>
      <w:r>
        <w:t>in den letzten Jahren zwei Musikfestivals in München veranstaltet.</w:t>
      </w:r>
    </w:p>
    <w:p w:rsidR="00A241C3" w:rsidRDefault="00A241C3">
      <w:pPr>
        <w:rPr>
          <w:rFonts w:cs="Arial"/>
          <w:b/>
          <w:sz w:val="22"/>
          <w:szCs w:val="22"/>
        </w:rPr>
      </w:pPr>
      <w:r>
        <w:br w:type="page"/>
      </w:r>
    </w:p>
    <w:p w:rsidR="00BD06BB" w:rsidRDefault="00BD06BB" w:rsidP="00BD06BB">
      <w:pPr>
        <w:pStyle w:val="LTUeberschrRessort"/>
      </w:pPr>
      <w:r>
        <w:t>Geschäftsbereich des Staatsministeriums der Finanzen und für Heimat</w:t>
      </w:r>
      <w:r>
        <w:fldChar w:fldCharType="begin"/>
      </w:r>
      <w:r>
        <w:instrText xml:space="preserve"> TC </w:instrText>
      </w:r>
      <w:r w:rsidR="007B3866">
        <w:instrText>„</w:instrText>
      </w:r>
      <w:r>
        <w:instrText>Geschäftsbereich des Staatsministeriums der Finanzen und für Heimat</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Inge</w:t>
            </w:r>
            <w:r w:rsidRPr="00BD06BB">
              <w:rPr>
                <w:b/>
              </w:rPr>
              <w:br/>
              <w:t>Aures</w:t>
            </w:r>
            <w:r w:rsidRPr="00BD06BB">
              <w:rPr>
                <w:b/>
              </w:rPr>
              <w:br/>
            </w:r>
            <w:r w:rsidRPr="00BD06BB">
              <w:t>(SPD)</w:t>
            </w:r>
            <w:r>
              <w:fldChar w:fldCharType="begin"/>
            </w:r>
            <w:r>
              <w:instrText xml:space="preserve"> XE </w:instrText>
            </w:r>
            <w:r w:rsidR="007B3866">
              <w:instrText>„</w:instrText>
            </w:r>
            <w:r>
              <w:instrText xml:space="preserve">Aures, Inge (SPD):Baukostenzuschüsse für Kindertageseinrichtungen </w:instrText>
            </w:r>
            <w:r>
              <w:fldChar w:fldCharType="end"/>
            </w:r>
            <w:r>
              <w:fldChar w:fldCharType="begin"/>
            </w:r>
            <w:r>
              <w:instrText xml:space="preserve"> TC </w:instrText>
            </w:r>
            <w:r w:rsidR="007B3866">
              <w:instrText>„</w:instrText>
            </w:r>
            <w:r>
              <w:instrText>Aures, Inge (SPD)</w:instrText>
            </w:r>
            <w:r>
              <w:br/>
              <w:instrText xml:space="preserve">Baukostenzuschüsse für Kindertageseinrichtungen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auf wie viel Euro pro Quadratmeter (derzeit 4.455 Euro/m</w:t>
            </w:r>
            <w:r w:rsidRPr="00A241C3">
              <w:rPr>
                <w:vertAlign w:val="superscript"/>
              </w:rPr>
              <w:t>2</w:t>
            </w:r>
            <w:r>
              <w:t>) wird der Baukostenzuschuss für Kindertageseinrichtungen nach Inkrafttreten des Haushaltsgesetzes 2019/2020 erhöht und ab welchem Zeitpunkt?</w:t>
            </w:r>
          </w:p>
          <w:p w:rsidR="00BD06BB" w:rsidRDefault="00BD06BB" w:rsidP="00BD06BB">
            <w:pPr>
              <w:pStyle w:val="LTAnfrageText"/>
            </w:pPr>
          </w:p>
        </w:tc>
      </w:tr>
    </w:tbl>
    <w:p w:rsidR="00BD06BB" w:rsidRDefault="00BD06BB" w:rsidP="00E62A89">
      <w:pPr>
        <w:pStyle w:val="LTUeberschrAntwortRessort"/>
        <w:spacing w:before="960"/>
      </w:pPr>
      <w:r>
        <w:t>Antwort des Staatsministeriums der Finanzen und für Heimat</w:t>
      </w:r>
    </w:p>
    <w:p w:rsidR="00BD06BB" w:rsidRDefault="00BD06BB" w:rsidP="00BD06BB">
      <w:pPr>
        <w:pStyle w:val="LTAntwortRessortText"/>
      </w:pPr>
      <w:r>
        <w:t xml:space="preserve">Der Freistaat </w:t>
      </w:r>
      <w:r w:rsidR="00A241C3">
        <w:t xml:space="preserve">Bayern </w:t>
      </w:r>
      <w:r>
        <w:t>unterstützt seine Kommunen bei Baumaßnahmen an Kindertageseinrichtungen</w:t>
      </w:r>
      <w:r w:rsidR="00A241C3">
        <w:t xml:space="preserve"> </w:t>
      </w:r>
      <w:r>
        <w:t xml:space="preserve">mit Zuweisungen nach Art. 10 </w:t>
      </w:r>
      <w:r w:rsidR="00A241C3">
        <w:t>Bayerisches Finanzausgleichsgesetz (</w:t>
      </w:r>
      <w:r>
        <w:t>BayFAG</w:t>
      </w:r>
      <w:r w:rsidR="00A241C3">
        <w:t>)</w:t>
      </w:r>
      <w:r>
        <w:t>. Grundlage für die staatliche Förderung</w:t>
      </w:r>
      <w:r w:rsidR="00A241C3">
        <w:t xml:space="preserve"> </w:t>
      </w:r>
      <w:r>
        <w:t>kommunaler Baumaßnahmen sind nicht die Gesamtkosten, sondern die notwendigen</w:t>
      </w:r>
      <w:r w:rsidR="00A241C3">
        <w:t xml:space="preserve"> </w:t>
      </w:r>
      <w:r>
        <w:t xml:space="preserve">Kosten, die nach der </w:t>
      </w:r>
      <w:r w:rsidR="00126D44">
        <w:rPr>
          <w:rStyle w:val="st"/>
        </w:rPr>
        <w:t>Richtlinie über Zuweisungen des Freistaates Bayern zu kommunalen Baumaßnahmen im kommunalen Finanzausgleich</w:t>
      </w:r>
      <w:r w:rsidR="00126D44">
        <w:t xml:space="preserve"> (</w:t>
      </w:r>
      <w:r>
        <w:t xml:space="preserve">Zuweisungsrichtlinie </w:t>
      </w:r>
      <w:r w:rsidR="00041262">
        <w:t xml:space="preserve">– </w:t>
      </w:r>
      <w:r>
        <w:t>FAZR</w:t>
      </w:r>
      <w:r w:rsidR="00126D44">
        <w:t>)</w:t>
      </w:r>
      <w:r>
        <w:t xml:space="preserve"> als </w:t>
      </w:r>
      <w:r w:rsidR="007B3866">
        <w:t>„</w:t>
      </w:r>
      <w:r>
        <w:t>zuweisungsfähige Ausgaben</w:t>
      </w:r>
      <w:r w:rsidR="007B3866">
        <w:t>“</w:t>
      </w:r>
      <w:r w:rsidR="00A241C3">
        <w:t xml:space="preserve"> </w:t>
      </w:r>
      <w:r>
        <w:t>bezeichnet werden. Um die Ermittlung der zuweisungsfähigen Ausgaben zu</w:t>
      </w:r>
      <w:r w:rsidR="00A241C3">
        <w:t xml:space="preserve"> </w:t>
      </w:r>
      <w:r>
        <w:t>vereinfachen, wurden für die einzelnen Maßnahmegruppen Kostenrichtwerte ermittelt.</w:t>
      </w:r>
      <w:r w:rsidR="00A241C3">
        <w:t xml:space="preserve"> </w:t>
      </w:r>
      <w:r>
        <w:t>Diese enthalten alle (indexierten) Baukosten auf der Grundlage statistischer Daten.</w:t>
      </w:r>
    </w:p>
    <w:p w:rsidR="00BD06BB" w:rsidRDefault="00BD06BB" w:rsidP="00BD06BB">
      <w:pPr>
        <w:pStyle w:val="LTAntwortRessortText"/>
      </w:pPr>
      <w:r>
        <w:t>Im Rahmen der kommunalen Hochbauförderung ist es ein wichtiges Anliegen, die Kostenrichtwerte</w:t>
      </w:r>
      <w:r w:rsidR="00A241C3">
        <w:t xml:space="preserve"> </w:t>
      </w:r>
      <w:r>
        <w:t>der aktuellen Kostenentwicklung anzupassen. Das Staatsministerium</w:t>
      </w:r>
      <w:r w:rsidR="00A241C3">
        <w:t xml:space="preserve"> </w:t>
      </w:r>
      <w:r>
        <w:t>der Finanzen und für Heimat prüft daher regelmäßig in Abstimmung mit dem Staatsministerium</w:t>
      </w:r>
      <w:r w:rsidR="00A241C3">
        <w:t xml:space="preserve"> </w:t>
      </w:r>
      <w:r>
        <w:t>für Wohnen, Bau und Verkehr, inwieweit aufgrund der Entwicklung des</w:t>
      </w:r>
      <w:r w:rsidR="00A241C3">
        <w:t xml:space="preserve"> </w:t>
      </w:r>
      <w:r>
        <w:t>Baupreisindex eine Anpassung der Kostenrichtwerte vorzunehmen ist. Die zu Jahresbeginn</w:t>
      </w:r>
      <w:r w:rsidR="00A241C3">
        <w:t xml:space="preserve"> </w:t>
      </w:r>
      <w:r w:rsidR="00126D44">
        <w:t xml:space="preserve">2019 </w:t>
      </w:r>
      <w:r>
        <w:t>durchgeführte Prüfung hat ergeben, dass die Kostenrichtwerte entsprechend</w:t>
      </w:r>
      <w:r w:rsidR="00A241C3">
        <w:t xml:space="preserve"> </w:t>
      </w:r>
      <w:r>
        <w:t xml:space="preserve">der Baupreisentwicklung rückwirkend zum </w:t>
      </w:r>
      <w:r w:rsidR="00126D44">
        <w:t>01.01.</w:t>
      </w:r>
      <w:r>
        <w:t>2019 um 5,1</w:t>
      </w:r>
      <w:r w:rsidR="00126D44">
        <w:t> </w:t>
      </w:r>
      <w:r w:rsidR="007B3866">
        <w:t>Prozent</w:t>
      </w:r>
      <w:r>
        <w:t xml:space="preserve"> angepasst werden</w:t>
      </w:r>
      <w:r w:rsidR="00A241C3">
        <w:t xml:space="preserve"> </w:t>
      </w:r>
      <w:r>
        <w:t>sollen. Der Kostenrichtwert für Kindertageseinrichtungen würde sich damit auf</w:t>
      </w:r>
      <w:r w:rsidR="00A241C3">
        <w:t xml:space="preserve"> </w:t>
      </w:r>
      <w:r w:rsidR="00126D44">
        <w:t>4.682</w:t>
      </w:r>
      <w:r w:rsidR="007B3866">
        <w:t xml:space="preserve"> Euro</w:t>
      </w:r>
      <w:r>
        <w:t>/m² erhöhen.</w:t>
      </w:r>
    </w:p>
    <w:p w:rsidR="00BD06BB" w:rsidRDefault="00BD06BB" w:rsidP="00BD06BB">
      <w:pPr>
        <w:pStyle w:val="LTAntwortRessortText"/>
      </w:pPr>
      <w:r>
        <w:t>Die Veröffentlichung der entsprechenden Änderungsbekanntmachung der FAZR im Bayerischen Ministerialblatt wird nach Anhörung der beteiligten</w:t>
      </w:r>
      <w:r w:rsidR="00A241C3">
        <w:t xml:space="preserve"> </w:t>
      </w:r>
      <w:r>
        <w:t>Ressorts und der kommunalen Spitzenverbände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BD06BB" w:rsidTr="00BD06BB">
        <w:tc>
          <w:tcPr>
            <w:tcW w:w="2050" w:type="dxa"/>
            <w:shd w:val="clear" w:color="auto" w:fill="auto"/>
          </w:tcPr>
          <w:p w:rsidR="00BD06BB" w:rsidRPr="00BD06BB" w:rsidRDefault="00BD06BB" w:rsidP="000F1C2D">
            <w:pPr>
              <w:pStyle w:val="LTAnfrageIni1"/>
            </w:pPr>
            <w:r w:rsidRPr="00BD06BB">
              <w:t>Abgeordneter</w:t>
            </w:r>
            <w:r w:rsidRPr="00BD06BB">
              <w:br/>
            </w:r>
            <w:r w:rsidRPr="00BD06BB">
              <w:rPr>
                <w:b/>
              </w:rPr>
              <w:t>Cemal</w:t>
            </w:r>
            <w:r w:rsidRPr="00BD06BB">
              <w:rPr>
                <w:b/>
              </w:rPr>
              <w:br/>
              <w:t>Bozo</w:t>
            </w:r>
            <w:r w:rsidR="000F1C2D">
              <w:rPr>
                <w:rFonts w:cs="Arial"/>
                <w:b/>
              </w:rPr>
              <w:t>ğ</w:t>
            </w:r>
            <w:r w:rsidRPr="00BD06BB">
              <w:rPr>
                <w:b/>
              </w:rPr>
              <w:t>u</w:t>
            </w:r>
            <w:r w:rsidRPr="00BD06BB">
              <w:rPr>
                <w:b/>
              </w:rPr>
              <w:br/>
            </w:r>
            <w:r w:rsidRPr="00BD06BB">
              <w:t>(BÜNDNIS 90/DIE GRÜNEN)</w:t>
            </w:r>
            <w:r>
              <w:fldChar w:fldCharType="begin"/>
            </w:r>
            <w:r>
              <w:instrText xml:space="preserve"> XE </w:instrText>
            </w:r>
            <w:r w:rsidR="007B3866">
              <w:instrText>„</w:instrText>
            </w:r>
            <w:r>
              <w:instrText xml:space="preserve">Bozoglu, Cemal (BÜNDNIS 90/DIE GRÜNEN):Ausgleich der Straßenausbaubeiträge (Augsburg) </w:instrText>
            </w:r>
            <w:r>
              <w:fldChar w:fldCharType="end"/>
            </w:r>
            <w:r>
              <w:fldChar w:fldCharType="begin"/>
            </w:r>
            <w:r>
              <w:instrText xml:space="preserve"> TC </w:instrText>
            </w:r>
            <w:r w:rsidR="007B3866">
              <w:instrText>„</w:instrText>
            </w:r>
            <w:r>
              <w:instrText>Bozoglu, Cemal (BÜNDNIS 90/DIE GRÜNEN)</w:instrText>
            </w:r>
            <w:r>
              <w:br/>
              <w:instrText xml:space="preserve">Ausgleich der Straßenausbaubeiträge (Augsburg) </w:instrText>
            </w:r>
            <w:r w:rsidR="007B3866">
              <w:instrText>„</w:instrText>
            </w:r>
            <w:r>
              <w:instrText xml:space="preserve"> \l 2 </w:instrText>
            </w:r>
            <w:r>
              <w:fldChar w:fldCharType="end"/>
            </w:r>
          </w:p>
        </w:tc>
        <w:tc>
          <w:tcPr>
            <w:tcW w:w="7200" w:type="dxa"/>
            <w:shd w:val="clear" w:color="auto" w:fill="auto"/>
          </w:tcPr>
          <w:p w:rsidR="00BD06BB" w:rsidRDefault="00BD06BB" w:rsidP="00F9711C">
            <w:pPr>
              <w:pStyle w:val="LTAnfrageText"/>
              <w:ind w:firstLine="41"/>
            </w:pPr>
            <w:r>
              <w:t>Nachdem der Bauausschuss des Stadtrates der Stadt Augsburg am 04.04.2019 beschlossen hat, die Straße Siedlerweg zu sanieren, was mit Kosten in Höhe von 1,5 Mio. Euro verbunden ist, frage ich die Staatsregierung, ob sie die Kosten der Stadt Augsburg, die durch den Wegfall der Straßenausbaubeiträge, die bisher durch die Bürgerinnen und Bürger getragen waren, vollumfänglich übernehmen wird, wie hoch der Bedarf in diesem Zusammenhang in ganz Bayern in den Jahren 2017 und 2018 war und wie viel Etat für 2019 und 2020 im Entwurf des Doppelhaushalts 2019/2020 zur Verfügung gestellt wird?</w:t>
            </w:r>
          </w:p>
        </w:tc>
      </w:tr>
    </w:tbl>
    <w:p w:rsidR="000F1C2D" w:rsidRDefault="00BD06BB" w:rsidP="00E62A89">
      <w:pPr>
        <w:pStyle w:val="LTUeberschrAntwortRessort"/>
        <w:spacing w:before="960"/>
      </w:pPr>
      <w:r>
        <w:t>Antwort des Staatsministeriums der Finanzen und für Heimat im Einvernehmen</w:t>
      </w:r>
      <w:r w:rsidR="000F1C2D">
        <w:t xml:space="preserve"> </w:t>
      </w:r>
      <w:r>
        <w:t>mit dem Staatsministerium des Innern, für Sport und Integration</w:t>
      </w:r>
    </w:p>
    <w:p w:rsidR="00BD06BB" w:rsidRDefault="00BD06BB" w:rsidP="00E62A89">
      <w:pPr>
        <w:pStyle w:val="LTAntwortRessortText"/>
        <w:spacing w:before="360"/>
      </w:pPr>
      <w:r>
        <w:t xml:space="preserve">Im Rahmen des </w:t>
      </w:r>
      <w:r w:rsidR="00041262">
        <w:t xml:space="preserve">Gesetzentwurfs zur Änderung des </w:t>
      </w:r>
      <w:r w:rsidR="000F1C2D">
        <w:t xml:space="preserve">Bayerischen </w:t>
      </w:r>
      <w:r>
        <w:t>Finanzausgleichsänderungsgesetzes</w:t>
      </w:r>
      <w:r w:rsidR="00041262">
        <w:t xml:space="preserve"> und der Bayerischen Durchführungsverordnung Finanzausgleichsgesetz (Finanzausgleichs</w:t>
      </w:r>
      <w:r w:rsidR="00B231A9">
        <w:t>änderungs</w:t>
      </w:r>
      <w:r w:rsidR="00041262">
        <w:t>gesetz 2019)</w:t>
      </w:r>
      <w:r>
        <w:t xml:space="preserve"> </w:t>
      </w:r>
      <w:r w:rsidR="00900942">
        <w:t xml:space="preserve">auf </w:t>
      </w:r>
      <w:r>
        <w:t>Drs. 18/345,</w:t>
      </w:r>
      <w:r w:rsidR="000F1C2D">
        <w:t xml:space="preserve"> </w:t>
      </w:r>
      <w:r>
        <w:t>das sich derzeit im parlamentarischen Verfahren befindet, soll mit den Straßenausbaupauschalen</w:t>
      </w:r>
      <w:r w:rsidR="000F1C2D">
        <w:t xml:space="preserve"> </w:t>
      </w:r>
      <w:r>
        <w:t>eine neue freiwillige staatliche Unterstützung der Gemeinden</w:t>
      </w:r>
      <w:r w:rsidR="000F1C2D">
        <w:t xml:space="preserve"> </w:t>
      </w:r>
      <w:r>
        <w:t>nach dem Wegfall der Straßenausbaubeiträge eingeführt werden.</w:t>
      </w:r>
      <w:r w:rsidR="000F1C2D">
        <w:t xml:space="preserve"> </w:t>
      </w:r>
      <w:r>
        <w:t>Die Pauschalen sind von den Gemeinden eigenverantwortlich für Straßenausbaubeitragsmaßnahmen</w:t>
      </w:r>
      <w:r w:rsidR="000F1C2D">
        <w:t xml:space="preserve"> </w:t>
      </w:r>
      <w:r>
        <w:t xml:space="preserve">im Sinn des Art. 5 Abs. 1 Satz 3 Halbsatz 1 </w:t>
      </w:r>
      <w:r w:rsidR="00B8518B">
        <w:t>Kommunalabgabengesetz (</w:t>
      </w:r>
      <w:r>
        <w:t>KAG</w:t>
      </w:r>
      <w:r w:rsidR="00B8518B">
        <w:t>)</w:t>
      </w:r>
      <w:r w:rsidR="000F1C2D">
        <w:t xml:space="preserve"> </w:t>
      </w:r>
      <w:r>
        <w:t>einzusetzen. Zudem dürfen die Pauschalen auch für investive Maßnahmen</w:t>
      </w:r>
      <w:r w:rsidR="000F1C2D">
        <w:t xml:space="preserve"> </w:t>
      </w:r>
      <w:r>
        <w:t xml:space="preserve">an Erschließungsanlagen, bei denen am </w:t>
      </w:r>
      <w:r w:rsidR="00B8518B">
        <w:t>01.04.</w:t>
      </w:r>
      <w:r>
        <w:t>2021 seit dem Beginn der</w:t>
      </w:r>
      <w:r w:rsidR="000F1C2D">
        <w:t xml:space="preserve"> </w:t>
      </w:r>
      <w:r>
        <w:t>erstmaligen technischen Herstellung mindestens 25 Jahre vergangen sind</w:t>
      </w:r>
      <w:r w:rsidR="000F1C2D">
        <w:t xml:space="preserve"> </w:t>
      </w:r>
      <w:r>
        <w:t>(sog. Altanlagen) verwendet werden.</w:t>
      </w:r>
    </w:p>
    <w:p w:rsidR="000F1C2D" w:rsidRDefault="00BD06BB" w:rsidP="00E62A89">
      <w:pPr>
        <w:pStyle w:val="LTAntwortRessortText"/>
        <w:spacing w:before="360"/>
      </w:pPr>
      <w:r>
        <w:t>Sofern der Verwendungszweck für die Straßenausbaupauschalen erfüllt ist,</w:t>
      </w:r>
      <w:r w:rsidR="000F1C2D">
        <w:t xml:space="preserve"> </w:t>
      </w:r>
      <w:r>
        <w:t>kann die Stadt Augsburg die Pauschale daher für die Maßnahme am Siedlerweg</w:t>
      </w:r>
      <w:r w:rsidR="000F1C2D">
        <w:t xml:space="preserve"> </w:t>
      </w:r>
      <w:r>
        <w:t>einsetzen. Eine Benennung der Höhe der Straßenausbaupauschale für</w:t>
      </w:r>
      <w:r w:rsidR="000F1C2D">
        <w:t xml:space="preserve"> </w:t>
      </w:r>
      <w:r>
        <w:t>die Stadt Augsburg ist mangels Vorliegens der hierfür erforderlichen Angaben</w:t>
      </w:r>
      <w:r w:rsidR="000F1C2D">
        <w:t xml:space="preserve"> </w:t>
      </w:r>
      <w:r>
        <w:t>derzeit noch nicht möglich.</w:t>
      </w:r>
      <w:r w:rsidR="000F1C2D">
        <w:t xml:space="preserve"> </w:t>
      </w:r>
    </w:p>
    <w:p w:rsidR="00BD06BB" w:rsidRDefault="00BD06BB" w:rsidP="00E62A89">
      <w:pPr>
        <w:pStyle w:val="LTAntwortRessortText"/>
        <w:spacing w:before="360"/>
      </w:pPr>
      <w:r>
        <w:t>Nach den Angaben der Gemeinden im Rahmen von Abfragen wurden im Jahr</w:t>
      </w:r>
      <w:r w:rsidR="000F1C2D">
        <w:t xml:space="preserve"> </w:t>
      </w:r>
      <w:r>
        <w:t xml:space="preserve">2017 bayernweit rund 51 </w:t>
      </w:r>
      <w:r w:rsidR="00B8518B">
        <w:t>Mio.</w:t>
      </w:r>
      <w:r>
        <w:t xml:space="preserve"> Euro an Straßenausbaubeiträgen vereinnahmt.</w:t>
      </w:r>
      <w:r w:rsidR="000F1C2D">
        <w:t xml:space="preserve"> </w:t>
      </w:r>
      <w:r>
        <w:t>Ab dem Jahr 2018 sind die Straßenausbaubeiträge weggefallen, sodass insoweit keine Zahlen benannt werden können.</w:t>
      </w:r>
    </w:p>
    <w:p w:rsidR="00BD06BB" w:rsidRDefault="00BD06BB" w:rsidP="00E62A89">
      <w:pPr>
        <w:pStyle w:val="LTAntwortRessortText"/>
        <w:spacing w:before="360"/>
      </w:pPr>
      <w:r>
        <w:t xml:space="preserve">Der Freistaat </w:t>
      </w:r>
      <w:r w:rsidR="00B8518B">
        <w:t xml:space="preserve">Bayern </w:t>
      </w:r>
      <w:r>
        <w:t>unterstützt die bayerischen Gemeinden nach dem Wegfall der</w:t>
      </w:r>
      <w:r w:rsidR="000F1C2D">
        <w:t xml:space="preserve"> </w:t>
      </w:r>
      <w:r>
        <w:t xml:space="preserve">Straßenausbaubeiträge über Straßenausbaupauschalen nach dem </w:t>
      </w:r>
      <w:r w:rsidR="00A8390A">
        <w:t xml:space="preserve">Bayerischen Finanzausgleichsgesetz </w:t>
      </w:r>
      <w:r>
        <w:t xml:space="preserve">und Spitzerstattungen nach dem </w:t>
      </w:r>
      <w:r w:rsidR="00B8518B">
        <w:t>KAG</w:t>
      </w:r>
      <w:r w:rsidR="000F1C2D">
        <w:t xml:space="preserve"> </w:t>
      </w:r>
      <w:r>
        <w:t xml:space="preserve">in 2019 mit insgesamt 100 </w:t>
      </w:r>
      <w:r w:rsidR="00B8518B">
        <w:t>Mio.</w:t>
      </w:r>
      <w:r>
        <w:t xml:space="preserve"> Euro (davon Straßenauspauschalen</w:t>
      </w:r>
      <w:r w:rsidR="000F1C2D">
        <w:t xml:space="preserve"> </w:t>
      </w:r>
      <w:r>
        <w:t xml:space="preserve">35 </w:t>
      </w:r>
      <w:r w:rsidR="00B8518B">
        <w:t>Mio.</w:t>
      </w:r>
      <w:r>
        <w:t xml:space="preserve"> Euro, Spitzerstattungen 65</w:t>
      </w:r>
      <w:r w:rsidR="00A8390A">
        <w:t> </w:t>
      </w:r>
      <w:r w:rsidR="00B8518B">
        <w:t>Mio.</w:t>
      </w:r>
      <w:r>
        <w:t xml:space="preserve"> Euro) und</w:t>
      </w:r>
      <w:r w:rsidR="000F1C2D">
        <w:t xml:space="preserve"> </w:t>
      </w:r>
      <w:r>
        <w:t xml:space="preserve">ab 2020 mit jährlich insgesamt 150 </w:t>
      </w:r>
      <w:r w:rsidR="00B8518B">
        <w:t>Mio.</w:t>
      </w:r>
      <w:r>
        <w:t xml:space="preserve"> Euro (davon Straßenauspauschalen</w:t>
      </w:r>
      <w:r w:rsidR="000F1C2D">
        <w:t xml:space="preserve"> </w:t>
      </w:r>
      <w:r>
        <w:t xml:space="preserve">85 </w:t>
      </w:r>
      <w:r w:rsidR="00B8518B">
        <w:t>Mio.</w:t>
      </w:r>
      <w:r>
        <w:t xml:space="preserve"> Euro, Spitzerstattungen 65 </w:t>
      </w:r>
      <w:r w:rsidR="00B8518B">
        <w:t>Mio.</w:t>
      </w:r>
      <w:r>
        <w:t xml:space="preserve"> Euro).</w:t>
      </w:r>
    </w:p>
    <w:p w:rsidR="00BD06BB" w:rsidRDefault="00BD06BB" w:rsidP="00E62A89">
      <w:pPr>
        <w:pStyle w:val="LTAntwortRessortText"/>
        <w:spacing w:before="360"/>
      </w:pPr>
      <w:r>
        <w:t>Die jeweilige Veranschlagung der Haushaltsmittel erfolgt in den Haushaltsgesetzen</w:t>
      </w:r>
      <w:r w:rsidR="000F1C2D">
        <w:t xml:space="preserve"> </w:t>
      </w:r>
      <w:r>
        <w:t>und steht unter dem Vorbehalt entsprechender Beschlussfassungen</w:t>
      </w:r>
      <w:r w:rsidR="000F1C2D">
        <w:t xml:space="preserve"> </w:t>
      </w:r>
      <w:r>
        <w:t>des Landtags.</w:t>
      </w:r>
    </w:p>
    <w:p w:rsidR="00E62A89" w:rsidRDefault="00E62A89" w:rsidP="00E62A89">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Verena</w:t>
            </w:r>
            <w:r w:rsidRPr="00BD06BB">
              <w:rPr>
                <w:b/>
              </w:rPr>
              <w:br/>
              <w:t>Osgyan</w:t>
            </w:r>
            <w:r w:rsidRPr="00BD06BB">
              <w:rPr>
                <w:b/>
              </w:rPr>
              <w:br/>
            </w:r>
            <w:r w:rsidRPr="00BD06BB">
              <w:t>(BÜNDNIS 90/DIE GRÜNEN)</w:t>
            </w:r>
            <w:r>
              <w:fldChar w:fldCharType="begin"/>
            </w:r>
            <w:r>
              <w:instrText xml:space="preserve"> XE </w:instrText>
            </w:r>
            <w:r w:rsidR="007B3866">
              <w:instrText>„</w:instrText>
            </w:r>
            <w:r>
              <w:instrText xml:space="preserve">Osgyan, Verena (BÜNDNIS 90/DIE GRÜNEN):Fördergelder für entfallene Straßenausbau- und Erschließungsbeiträge </w:instrText>
            </w:r>
            <w:r>
              <w:fldChar w:fldCharType="end"/>
            </w:r>
            <w:r>
              <w:fldChar w:fldCharType="begin"/>
            </w:r>
            <w:r>
              <w:instrText xml:space="preserve"> TC </w:instrText>
            </w:r>
            <w:r w:rsidR="007B3866">
              <w:instrText>„</w:instrText>
            </w:r>
            <w:r>
              <w:instrText>Osgyan, Verena (BÜNDNIS 90/DIE GRÜNEN)</w:instrText>
            </w:r>
            <w:r>
              <w:br/>
              <w:instrText xml:space="preserve">Fördergelder für entfallene Straßenausbau- und Erschließungsbeiträge </w:instrText>
            </w:r>
            <w:r w:rsidR="007B3866">
              <w:instrText>„</w:instrText>
            </w:r>
            <w:r>
              <w:instrText xml:space="preserve"> \l 2 </w:instrText>
            </w:r>
            <w:r>
              <w:fldChar w:fldCharType="end"/>
            </w:r>
          </w:p>
        </w:tc>
        <w:tc>
          <w:tcPr>
            <w:tcW w:w="7200" w:type="dxa"/>
            <w:shd w:val="clear" w:color="auto" w:fill="auto"/>
          </w:tcPr>
          <w:p w:rsidR="00BD06BB" w:rsidRDefault="00BD06BB" w:rsidP="00F9711C">
            <w:pPr>
              <w:pStyle w:val="LTAnfrageText"/>
            </w:pPr>
            <w:r>
              <w:t>Ich frage die Staatsregierung, für wie viele Jahre werden die Fördergelder in Höhe von 150 Mio. Euro, die sie jährlich den Kommunen für die entfallenen Straßenausbau- und Erschließungsbeiträge gewährt, zur Verfügung gestellt, gelten diese auch für sogenannte Leichtausbauten oder nur für den Vollausbau und nach welchem System erfolgt der Zuschlag der Fördergelder?</w:t>
            </w:r>
          </w:p>
        </w:tc>
      </w:tr>
    </w:tbl>
    <w:p w:rsidR="00F43A99" w:rsidRDefault="00F43A99" w:rsidP="000E441B">
      <w:pPr>
        <w:pStyle w:val="LTUeberschrAntwortRessort"/>
      </w:pPr>
    </w:p>
    <w:p w:rsidR="00BD06BB" w:rsidRDefault="00BD06BB" w:rsidP="000E441B">
      <w:pPr>
        <w:pStyle w:val="LTUeberschrAntwortRessort"/>
      </w:pPr>
      <w:r>
        <w:t>Antwort des Staatsministeriums der Finanzen und für Heimat im Einvernehmen</w:t>
      </w:r>
      <w:r w:rsidR="000E441B">
        <w:t xml:space="preserve"> </w:t>
      </w:r>
      <w:r>
        <w:t>mit dem Staatsministerium des Innern, für Sp</w:t>
      </w:r>
      <w:r w:rsidR="000E441B">
        <w:t>ort und Integration</w:t>
      </w:r>
    </w:p>
    <w:p w:rsidR="00BD06BB" w:rsidRDefault="00A8390A" w:rsidP="00BD06BB">
      <w:pPr>
        <w:pStyle w:val="LTAntwortRessortText"/>
      </w:pPr>
      <w:r>
        <w:t>Im Rahmen des Gesetzentwurfs zur Änderung des Bayerischen Finanzausgleichsänderungsgesetzes und der Bayerischen Durchführungsverordnung Finanzausgleichsgesetz (Finanzausgleichsänderungsgesetz 2019) auf Drs. 18/345</w:t>
      </w:r>
      <w:r w:rsidR="00BD06BB">
        <w:t>,</w:t>
      </w:r>
      <w:r w:rsidR="00647AD8">
        <w:t xml:space="preserve"> </w:t>
      </w:r>
      <w:r w:rsidR="00BD06BB">
        <w:t>das sich derzeit im parlamentarischen Verfahren befindet, soll mit den Straßenausbaupauschalen</w:t>
      </w:r>
      <w:r w:rsidR="00647AD8">
        <w:t xml:space="preserve"> </w:t>
      </w:r>
      <w:r w:rsidR="00BD06BB">
        <w:t>eine neue freiwillige staatliche Unterstützung der Gemeinden</w:t>
      </w:r>
      <w:r w:rsidR="00647AD8">
        <w:t xml:space="preserve"> </w:t>
      </w:r>
      <w:r w:rsidR="00BD06BB">
        <w:t>nach dem Wegfall der Straßenausbaubeiträge eingeführt werden. In</w:t>
      </w:r>
      <w:r w:rsidR="00647AD8">
        <w:t xml:space="preserve"> </w:t>
      </w:r>
      <w:r w:rsidR="00BD06BB">
        <w:t xml:space="preserve">2019 sollen hierfür 35 </w:t>
      </w:r>
      <w:r w:rsidR="00647AD8">
        <w:t>Mio.</w:t>
      </w:r>
      <w:r w:rsidR="00BD06BB">
        <w:t xml:space="preserve"> Euro und ab dem Jahr 2020 </w:t>
      </w:r>
      <w:r w:rsidR="00647AD8">
        <w:t xml:space="preserve"> </w:t>
      </w:r>
      <w:r w:rsidR="00BD06BB">
        <w:t xml:space="preserve">85 </w:t>
      </w:r>
      <w:r w:rsidR="00647AD8">
        <w:t>Mio.</w:t>
      </w:r>
      <w:r w:rsidR="00BD06BB">
        <w:t xml:space="preserve"> Euro</w:t>
      </w:r>
      <w:r w:rsidR="00647AD8">
        <w:t xml:space="preserve"> </w:t>
      </w:r>
      <w:r w:rsidR="00BD06BB">
        <w:t>bereitgestellt werden.</w:t>
      </w:r>
    </w:p>
    <w:p w:rsidR="00BD06BB" w:rsidRDefault="00BD06BB" w:rsidP="00BD06BB">
      <w:pPr>
        <w:pStyle w:val="LTAntwortRessortText"/>
      </w:pPr>
      <w:r>
        <w:t>Als Verteilungskriterien für die Straßenausbaupauschalen werden die Siedlungsflächen</w:t>
      </w:r>
      <w:r w:rsidR="00647AD8">
        <w:t xml:space="preserve"> </w:t>
      </w:r>
      <w:r>
        <w:t>zugrunde gelegt. In den Jahren 2019 bis 2021 werden zudem</w:t>
      </w:r>
      <w:r w:rsidR="00647AD8">
        <w:t xml:space="preserve"> </w:t>
      </w:r>
      <w:r>
        <w:t>mit abschmelzenden Anteilen die von den Gemeinden in den Jahren 2008 bis</w:t>
      </w:r>
      <w:r w:rsidR="00647AD8">
        <w:t xml:space="preserve"> </w:t>
      </w:r>
      <w:r>
        <w:t>2017 durchschnittlich vereinnahmten Straßenausbaubeiträge berücksichtigt.</w:t>
      </w:r>
    </w:p>
    <w:p w:rsidR="00BD06BB" w:rsidRDefault="00BD06BB" w:rsidP="00BD06BB">
      <w:pPr>
        <w:pStyle w:val="LTAntwortRessortText"/>
      </w:pPr>
      <w:r>
        <w:t>Die Gemeinden dürfen die Straßenausbaupauschalen eigenverantwortlich für</w:t>
      </w:r>
      <w:r w:rsidR="00647AD8">
        <w:t xml:space="preserve"> </w:t>
      </w:r>
      <w:r>
        <w:t>folgende Zwecke einsetzen:</w:t>
      </w:r>
    </w:p>
    <w:p w:rsidR="00BD06BB" w:rsidRDefault="00BD06BB" w:rsidP="00647AD8">
      <w:pPr>
        <w:pStyle w:val="LTAntwortRessortText"/>
        <w:numPr>
          <w:ilvl w:val="0"/>
          <w:numId w:val="28"/>
        </w:numPr>
        <w:spacing w:before="120"/>
        <w:ind w:left="709" w:hanging="284"/>
      </w:pPr>
      <w:r>
        <w:t>Straßenausbaubeitragsmaßnahmen im Sinn des Art. 5 Abs. 1 Satz 3</w:t>
      </w:r>
      <w:r w:rsidR="00647AD8">
        <w:t xml:space="preserve"> </w:t>
      </w:r>
      <w:r>
        <w:t>Halbsatz</w:t>
      </w:r>
      <w:r w:rsidR="00647AD8">
        <w:t> </w:t>
      </w:r>
      <w:r>
        <w:t xml:space="preserve">1 </w:t>
      </w:r>
      <w:r w:rsidR="00647AD8">
        <w:t xml:space="preserve">Kommunalabgabengesetz – </w:t>
      </w:r>
      <w:r>
        <w:t>KAG (Verbesserung oder Erneuerung von Ortsstraßen, beschränkt-öffentlichen Wegen, in der Baulast der Gemeinden stehenden</w:t>
      </w:r>
      <w:r w:rsidR="00647AD8">
        <w:t xml:space="preserve"> </w:t>
      </w:r>
      <w:r>
        <w:t>Teilen von Ortsdurchfahrten und der Straßenbeleuchtung)</w:t>
      </w:r>
      <w:r w:rsidR="00647AD8">
        <w:t>;</w:t>
      </w:r>
    </w:p>
    <w:p w:rsidR="00BD06BB" w:rsidRDefault="00647AD8" w:rsidP="00647AD8">
      <w:pPr>
        <w:pStyle w:val="LTAntwortRessortText"/>
        <w:numPr>
          <w:ilvl w:val="0"/>
          <w:numId w:val="28"/>
        </w:numPr>
        <w:spacing w:before="120"/>
        <w:ind w:left="709" w:hanging="284"/>
      </w:pPr>
      <w:r>
        <w:t>I</w:t>
      </w:r>
      <w:r w:rsidR="00BD06BB">
        <w:t xml:space="preserve">nvestive Maßnahmen an Erschließungsanlagen, bei denen am </w:t>
      </w:r>
      <w:r>
        <w:t>01.04.</w:t>
      </w:r>
      <w:r w:rsidR="00BD06BB">
        <w:t>2021 seit dem Beginn der erstmaligen technischen Herstellung mindestens</w:t>
      </w:r>
      <w:r>
        <w:t xml:space="preserve"> </w:t>
      </w:r>
      <w:r w:rsidR="00BD06BB">
        <w:t>25 Jahre vergangen sind (sog. Altanlagen)</w:t>
      </w:r>
      <w:r>
        <w:t>.</w:t>
      </w:r>
    </w:p>
    <w:p w:rsidR="00BD06BB" w:rsidRDefault="00BD06BB" w:rsidP="00BD06BB">
      <w:pPr>
        <w:pStyle w:val="LTAntwortRessortText"/>
      </w:pPr>
      <w:r>
        <w:t>Neben den Straßenausbaupauschalen werden den Gemeinden für bereits</w:t>
      </w:r>
      <w:r w:rsidR="00647AD8">
        <w:t xml:space="preserve"> begonnene bzw. </w:t>
      </w:r>
      <w:r>
        <w:t>fertiggestellte Straßenausbaumaßnahmen, für die aufgrund der</w:t>
      </w:r>
      <w:r w:rsidR="00647AD8">
        <w:t xml:space="preserve"> </w:t>
      </w:r>
      <w:r>
        <w:t>Gesetzesänderung keine Straßenausbaubeiträge mehr erhoben werden können,</w:t>
      </w:r>
      <w:r w:rsidR="00647AD8">
        <w:t xml:space="preserve"> </w:t>
      </w:r>
      <w:r>
        <w:t>nach Maßgabe des Art. 19 Abs. 9 KAG spitz</w:t>
      </w:r>
      <w:r w:rsidR="00647AD8">
        <w:t xml:space="preserve"> </w:t>
      </w:r>
      <w:r>
        <w:t xml:space="preserve">abgerechnete Erstattungsleistungen gewährt. Hierfür sind im </w:t>
      </w:r>
      <w:r w:rsidR="00647AD8">
        <w:t xml:space="preserve">Entwurf des Doppelhaushalts </w:t>
      </w:r>
      <w:r>
        <w:t>2019/2020</w:t>
      </w:r>
      <w:r w:rsidR="00647AD8">
        <w:t xml:space="preserve"> </w:t>
      </w:r>
      <w:r>
        <w:t>jährlich jeweils 65</w:t>
      </w:r>
      <w:r w:rsidR="00647AD8">
        <w:t> Mio.</w:t>
      </w:r>
      <w:r>
        <w:t xml:space="preserve"> Euro vorgesehen.</w:t>
      </w:r>
    </w:p>
    <w:p w:rsidR="00BD06BB" w:rsidRDefault="00BD06BB" w:rsidP="00BD06BB">
      <w:pPr>
        <w:pStyle w:val="LTAntwortRessortText"/>
      </w:pPr>
      <w:r>
        <w:t xml:space="preserve">Der Freistaat </w:t>
      </w:r>
      <w:r w:rsidR="00647AD8">
        <w:t xml:space="preserve">Bayern </w:t>
      </w:r>
      <w:r>
        <w:t>unterstützt die bayerischen Gemeinden nach dem Wegfall der</w:t>
      </w:r>
      <w:r w:rsidR="00647AD8">
        <w:t xml:space="preserve"> </w:t>
      </w:r>
      <w:r>
        <w:t xml:space="preserve">Straßenausbaubeiträge über Straßenausbaupauschalen nach dem </w:t>
      </w:r>
      <w:r w:rsidR="00A8390A">
        <w:t>Bayerischen Finanzausgleichsgesetz</w:t>
      </w:r>
      <w:r w:rsidR="00647AD8">
        <w:t xml:space="preserve"> u</w:t>
      </w:r>
      <w:r>
        <w:t xml:space="preserve">nd Spitzerstattungen nach dem KAG somit in 2019 mit insgesamt 100 </w:t>
      </w:r>
      <w:r w:rsidR="00647AD8">
        <w:t xml:space="preserve">Mio. </w:t>
      </w:r>
      <w:r>
        <w:t xml:space="preserve">Euro und ab 2020 mit jährlich insgesamt 150 </w:t>
      </w:r>
      <w:r w:rsidR="00647AD8">
        <w:t>Mio.</w:t>
      </w:r>
      <w:r>
        <w:t xml:space="preserve"> Euro. Die Straßenausbaupauschalen</w:t>
      </w:r>
      <w:r w:rsidR="00647AD8">
        <w:t xml:space="preserve"> </w:t>
      </w:r>
      <w:r>
        <w:t xml:space="preserve">sollen im Endausbau </w:t>
      </w:r>
      <w:r w:rsidR="00647AD8">
        <w:t xml:space="preserve">– </w:t>
      </w:r>
      <w:r>
        <w:t>nach Auslaufen der Erstattungsleistungen</w:t>
      </w:r>
      <w:r w:rsidR="00647AD8">
        <w:t xml:space="preserve"> </w:t>
      </w:r>
      <w:r>
        <w:t xml:space="preserve">nach KAG </w:t>
      </w:r>
      <w:r w:rsidR="00647AD8">
        <w:t>–</w:t>
      </w:r>
      <w:r>
        <w:t xml:space="preserve"> 150 </w:t>
      </w:r>
      <w:r w:rsidR="00647AD8">
        <w:t>Mio.</w:t>
      </w:r>
      <w:r>
        <w:t xml:space="preserve"> Euro pro Jahr betragen.</w:t>
      </w:r>
    </w:p>
    <w:p w:rsidR="00BD06BB" w:rsidRDefault="00BD06BB" w:rsidP="00BD06BB">
      <w:pPr>
        <w:pStyle w:val="LTAntwortRessortText"/>
      </w:pPr>
      <w:r>
        <w:t>Neben den staatlichen Leistungen an die Gemeinden soll im Jahr 2019 ein</w:t>
      </w:r>
      <w:r w:rsidR="00647AD8">
        <w:t xml:space="preserve"> </w:t>
      </w:r>
      <w:r>
        <w:t xml:space="preserve">mit einmalig 50 </w:t>
      </w:r>
      <w:r w:rsidR="00647AD8">
        <w:t>Mio.</w:t>
      </w:r>
      <w:r>
        <w:t xml:space="preserve"> Euro dotierter Härtefallfonds zur Abfederung von</w:t>
      </w:r>
      <w:r w:rsidR="00647AD8">
        <w:t xml:space="preserve"> </w:t>
      </w:r>
      <w:r>
        <w:t>Härtefällen unter den beitragspflichtigen Bürgerinnen und Bürger für die Zeit</w:t>
      </w:r>
      <w:r w:rsidR="00647AD8">
        <w:t xml:space="preserve"> </w:t>
      </w:r>
      <w:r>
        <w:t xml:space="preserve">ab dem </w:t>
      </w:r>
      <w:r w:rsidR="00647AD8">
        <w:t>01.01.</w:t>
      </w:r>
      <w:r>
        <w:t>2014 im Zusammenhang mit den entfallenen Straßenausbaubeiträgen</w:t>
      </w:r>
      <w:r w:rsidR="00647AD8">
        <w:t xml:space="preserve"> </w:t>
      </w:r>
      <w:r>
        <w:t>eingerichtet werden.</w:t>
      </w:r>
    </w:p>
    <w:p w:rsidR="00BD06BB" w:rsidRDefault="00BD06BB" w:rsidP="00BD06BB">
      <w:pPr>
        <w:pStyle w:val="LTAntwortRessortText"/>
      </w:pPr>
      <w:r>
        <w:t>Die jeweilige Veranschlagung der Haushaltsmittel erfolgt in den Haushaltsgesetzen</w:t>
      </w:r>
      <w:r w:rsidR="00647AD8">
        <w:t xml:space="preserve"> </w:t>
      </w:r>
      <w:r>
        <w:t>und steht unter dem Vorbehalt entsprechender Beschlussfassungen</w:t>
      </w:r>
      <w:r w:rsidR="00647AD8">
        <w:t xml:space="preserve"> </w:t>
      </w:r>
      <w:r>
        <w:t>des Landtags.</w:t>
      </w:r>
    </w:p>
    <w:p w:rsidR="0043306A" w:rsidRDefault="0043306A">
      <w:pPr>
        <w:rPr>
          <w:rFonts w:cs="Arial"/>
          <w:b/>
          <w:sz w:val="22"/>
          <w:szCs w:val="22"/>
        </w:rPr>
      </w:pPr>
      <w:r>
        <w:br w:type="page"/>
      </w:r>
    </w:p>
    <w:p w:rsidR="00BD06BB" w:rsidRDefault="00BD06BB" w:rsidP="00BD06BB">
      <w:pPr>
        <w:pStyle w:val="LTUeberschrRessort"/>
      </w:pPr>
      <w:r>
        <w:t>Geschäftsbereich des Staatsministeriums für Wirtschaft, Landesentwicklung und Energie</w:t>
      </w:r>
      <w:r>
        <w:fldChar w:fldCharType="begin"/>
      </w:r>
      <w:r>
        <w:instrText xml:space="preserve"> TC </w:instrText>
      </w:r>
      <w:r w:rsidR="007B3866">
        <w:instrText>„</w:instrText>
      </w:r>
      <w:r>
        <w:instrText>Geschäftsbereich des Staatsministeriums für Wirtschaft, Landesentwicklung und Energie</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Patrick</w:t>
            </w:r>
            <w:r w:rsidRPr="00BD06BB">
              <w:rPr>
                <w:b/>
              </w:rPr>
              <w:br/>
              <w:t>Friedl</w:t>
            </w:r>
            <w:r w:rsidRPr="00BD06BB">
              <w:rPr>
                <w:b/>
              </w:rPr>
              <w:br/>
            </w:r>
            <w:r w:rsidRPr="00BD06BB">
              <w:t>(BÜNDNIS 90/DIE GRÜNEN)</w:t>
            </w:r>
            <w:r>
              <w:fldChar w:fldCharType="begin"/>
            </w:r>
            <w:r>
              <w:instrText xml:space="preserve"> XE </w:instrText>
            </w:r>
            <w:r w:rsidR="007B3866">
              <w:instrText>„</w:instrText>
            </w:r>
            <w:r>
              <w:instrText xml:space="preserve">Friedl, Patrick (BÜNDNIS 90/DIE GRÜNEN):Mittelerhalt und Mittelverwendung des Tourismusverbands Franken e. V. und seiner Gebietsausschüsse </w:instrText>
            </w:r>
            <w:r>
              <w:fldChar w:fldCharType="end"/>
            </w:r>
            <w:r>
              <w:fldChar w:fldCharType="begin"/>
            </w:r>
            <w:r>
              <w:instrText xml:space="preserve"> TC </w:instrText>
            </w:r>
            <w:r w:rsidR="007B3866">
              <w:instrText>„</w:instrText>
            </w:r>
            <w:r>
              <w:instrText>Friedl, Patrick (BÜNDNIS 90/DIE GRÜNEN)</w:instrText>
            </w:r>
            <w:r>
              <w:br/>
              <w:instrText xml:space="preserve">Mittelerhalt und Mittelverwendung des Tourismusverbands Franken e. V. und seiner Gebietsausschüsse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wie viele öffentliche Mittel bekam bzw. bekommt der Tourismusverband Franken e. V. (bitte angeben für die Jahre 2016, 2017, 2018 und 2019), wofür werden diese Mittel verwendet und welchen Anteil erhielten bzw. erhalten die 15 Gebietsausschüsse (bitte angeben für die Jahre 2016, 2017, 2018 und 2019, aufgeschlüsselt nach Gebieten und der jeweiligen regionalen Mittelverwendung)?</w:t>
            </w:r>
          </w:p>
          <w:p w:rsidR="00BD06BB" w:rsidRDefault="00BD06BB" w:rsidP="00BD06BB">
            <w:pPr>
              <w:pStyle w:val="LTAnfrageText"/>
            </w:pPr>
          </w:p>
        </w:tc>
      </w:tr>
    </w:tbl>
    <w:p w:rsidR="00BD06BB" w:rsidRDefault="00BD06BB" w:rsidP="00BD06BB">
      <w:pPr>
        <w:pStyle w:val="LTUeberschrAntwortRessort"/>
      </w:pPr>
      <w:r>
        <w:t>Antwort des Staatsministeriums für Wirtschaft, Landesentwicklung und Energie</w:t>
      </w:r>
    </w:p>
    <w:p w:rsidR="00BD06BB" w:rsidRDefault="00BD06BB" w:rsidP="00BD06BB">
      <w:pPr>
        <w:pStyle w:val="LTAntwortRessortText"/>
      </w:pPr>
      <w:r>
        <w:t>Der Tourismusverband Franken e.</w:t>
      </w:r>
      <w:r w:rsidR="003F6D7C">
        <w:t> </w:t>
      </w:r>
      <w:r>
        <w:t>V. erhielt folgende Zuwendungen aus Mitteln des Staatsministeriums für Wirtschaft, Landesentwicklung und Energie:</w:t>
      </w:r>
    </w:p>
    <w:p w:rsidR="00BD06BB" w:rsidRDefault="00BD06BB" w:rsidP="003F6D7C">
      <w:pPr>
        <w:pStyle w:val="LTAntwortRessortText"/>
        <w:spacing w:before="120"/>
      </w:pPr>
      <w:r>
        <w:t xml:space="preserve">2016: 686.336 </w:t>
      </w:r>
      <w:r w:rsidR="007B3866">
        <w:t>Euro</w:t>
      </w:r>
      <w:r w:rsidR="003F6D7C">
        <w:t>,</w:t>
      </w:r>
    </w:p>
    <w:p w:rsidR="00BD06BB" w:rsidRDefault="00BD06BB" w:rsidP="003F6D7C">
      <w:pPr>
        <w:pStyle w:val="LTAntwortRessortText"/>
        <w:spacing w:before="120"/>
      </w:pPr>
      <w:r>
        <w:t xml:space="preserve">2017: 686.336 </w:t>
      </w:r>
      <w:r w:rsidR="007B3866">
        <w:t>Euro</w:t>
      </w:r>
      <w:r w:rsidR="003F6D7C">
        <w:t>,</w:t>
      </w:r>
    </w:p>
    <w:p w:rsidR="00BD06BB" w:rsidRDefault="003F6D7C" w:rsidP="003F6D7C">
      <w:pPr>
        <w:pStyle w:val="LTAntwortRessortText"/>
        <w:spacing w:before="120"/>
      </w:pPr>
      <w:r>
        <w:t>2018: 886.336</w:t>
      </w:r>
      <w:r w:rsidR="007B3866">
        <w:t xml:space="preserve"> Euro</w:t>
      </w:r>
      <w:r>
        <w:t>.</w:t>
      </w:r>
    </w:p>
    <w:p w:rsidR="00BD06BB" w:rsidRDefault="00BD06BB" w:rsidP="00BD06BB">
      <w:pPr>
        <w:pStyle w:val="LTAntwortRessortText"/>
      </w:pPr>
      <w:r>
        <w:t>Die Höhe der Zuwendung für das Jahr 2019 hängt</w:t>
      </w:r>
      <w:r w:rsidR="003F6D7C">
        <w:t xml:space="preserve"> von der Verabschiedung des Dop</w:t>
      </w:r>
      <w:r>
        <w:t>pelhaushalts 2019/2020 durch den La</w:t>
      </w:r>
      <w:r w:rsidR="003F6D7C">
        <w:t>ndtag sowie dem Ergebnis der An</w:t>
      </w:r>
      <w:r>
        <w:t>tragsprüfung ab und kann deshalb noch nicht beziffert werden.</w:t>
      </w:r>
    </w:p>
    <w:p w:rsidR="00BD06BB" w:rsidRDefault="00BD06BB" w:rsidP="00BD06BB">
      <w:pPr>
        <w:pStyle w:val="LTAntwortRessortText"/>
      </w:pPr>
      <w:r>
        <w:t>Die Mittel werden im Wesentlichen zur anteiligen Fi</w:t>
      </w:r>
      <w:r w:rsidR="003F6D7C">
        <w:t>nanzierung von touristischen Mar</w:t>
      </w:r>
      <w:r>
        <w:t>ketingmaßnahmen zur Erhöhung des Bekanntheitsgrades und der Herausstellung der Vorzüge Frankens als attraktives Reiseziel im In- und Ausland, für Kooperationen mit anderen Tourismusorganisationen, für touristische M</w:t>
      </w:r>
      <w:r w:rsidR="003F6D7C">
        <w:t>arktforschung und für Sensibili</w:t>
      </w:r>
      <w:r>
        <w:t>sierungskampagnen zu einzelnen Tourismusthemen zur Förderung von Qualität und Qualifizierung im Frankentourismus verwendet.</w:t>
      </w:r>
    </w:p>
    <w:p w:rsidR="00BD06BB" w:rsidRDefault="00BD06BB" w:rsidP="00BD06BB">
      <w:pPr>
        <w:pStyle w:val="LTAntwortRessortText"/>
      </w:pPr>
      <w:r>
        <w:t>Die Mittel für den Tourismusverband Franken e.</w:t>
      </w:r>
      <w:r w:rsidR="003F6D7C">
        <w:t> </w:t>
      </w:r>
      <w:r>
        <w:t>V. sind für die Destination Franken in ihrer Gesamtheit bestimmt und dürfen nicht an die Gebietsausschüsse weitergeleitet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Barbara</w:t>
            </w:r>
            <w:r w:rsidRPr="00BD06BB">
              <w:rPr>
                <w:b/>
              </w:rPr>
              <w:br/>
              <w:t>Fuchs</w:t>
            </w:r>
            <w:r w:rsidRPr="00BD06BB">
              <w:rPr>
                <w:b/>
              </w:rPr>
              <w:br/>
            </w:r>
            <w:r w:rsidRPr="00BD06BB">
              <w:t>(BÜNDNIS 90/DIE GRÜNEN)</w:t>
            </w:r>
            <w:r>
              <w:fldChar w:fldCharType="begin"/>
            </w:r>
            <w:r>
              <w:instrText xml:space="preserve"> XE </w:instrText>
            </w:r>
            <w:r w:rsidR="007B3866">
              <w:instrText>„</w:instrText>
            </w:r>
            <w:r>
              <w:instrText xml:space="preserve">Fuchs, Barbara (BÜNDNIS 90/DIE GRÜNEN):Demonstrationszentrum Handwerk Innovativ </w:instrText>
            </w:r>
            <w:r>
              <w:fldChar w:fldCharType="end"/>
            </w:r>
            <w:r>
              <w:fldChar w:fldCharType="begin"/>
            </w:r>
            <w:r>
              <w:instrText xml:space="preserve"> TC </w:instrText>
            </w:r>
            <w:r w:rsidR="007B3866">
              <w:instrText>„</w:instrText>
            </w:r>
            <w:r>
              <w:instrText>Fuchs, Barbara (BÜNDNIS 90/DIE GRÜNEN)</w:instrText>
            </w:r>
            <w:r>
              <w:br/>
              <w:instrText xml:space="preserve">Demonstrationszentrum Handwerk Innovativ </w:instrText>
            </w:r>
            <w:r w:rsidR="007B3866">
              <w:instrText>„</w:instrText>
            </w:r>
            <w:r>
              <w:instrText xml:space="preserve"> \l 2 </w:instrText>
            </w:r>
            <w:r>
              <w:fldChar w:fldCharType="end"/>
            </w:r>
          </w:p>
        </w:tc>
        <w:tc>
          <w:tcPr>
            <w:tcW w:w="7200" w:type="dxa"/>
            <w:shd w:val="clear" w:color="auto" w:fill="auto"/>
          </w:tcPr>
          <w:p w:rsidR="00BD06BB" w:rsidRDefault="00BD06BB" w:rsidP="00F43A99">
            <w:pPr>
              <w:pStyle w:val="LTAnfrageText"/>
            </w:pPr>
            <w:r>
              <w:t xml:space="preserve">Nachdem die Staatsregierung in der Pressemitteilung der Kabinettssitzung vom 12.06.2018 den Bau von </w:t>
            </w:r>
            <w:r w:rsidR="007B3866">
              <w:t>„</w:t>
            </w:r>
            <w:r>
              <w:t>Demonstrationszentren innovatives Handwerk</w:t>
            </w:r>
            <w:r w:rsidR="007B3866">
              <w:t>“</w:t>
            </w:r>
            <w:r>
              <w:t xml:space="preserve"> in jedem Kammerbezirk innerhalb der nächsten zwei Jahre angekündigt hat, frage ich die Staatsregierung, welchem Zweck diese Demonstrationszentren dienen, wo die einzelnen Demonstrationszentren entstehen sollen und welcher Personenkreis in diesen Demonstrationszentren geschult wird?</w:t>
            </w:r>
          </w:p>
        </w:tc>
      </w:tr>
    </w:tbl>
    <w:p w:rsidR="00BD06BB" w:rsidRDefault="00BD06BB" w:rsidP="00BD06BB">
      <w:pPr>
        <w:pStyle w:val="LTUeberschrAntwortRessort"/>
      </w:pPr>
      <w:r>
        <w:t>Antwort des Staatsministeriums für Wirtschaft, Landesentwicklung und Energie</w:t>
      </w:r>
    </w:p>
    <w:p w:rsidR="00BD06BB" w:rsidRPr="003F6D7C" w:rsidRDefault="003F6D7C" w:rsidP="00BD06BB">
      <w:pPr>
        <w:pStyle w:val="LTAntwortRessortText"/>
        <w:rPr>
          <w:u w:val="single"/>
        </w:rPr>
      </w:pPr>
      <w:r w:rsidRPr="003F6D7C">
        <w:rPr>
          <w:u w:val="single"/>
        </w:rPr>
        <w:t>Zur ersten Teilfrage:</w:t>
      </w:r>
    </w:p>
    <w:p w:rsidR="00BD06BB" w:rsidRDefault="00BD06BB" w:rsidP="003F6D7C">
      <w:pPr>
        <w:pStyle w:val="LTAntwortRessortText"/>
        <w:spacing w:before="120"/>
      </w:pPr>
      <w:r>
        <w:t>Die Demonstrationszentren dienen dem Zweck, die Anwendung moderner, innovativer Technologien und Verfahren im Rahmen der handwerklichen Leistungserstellung zu demonstrieren.</w:t>
      </w:r>
    </w:p>
    <w:p w:rsidR="003F6D7C" w:rsidRPr="003F6D7C" w:rsidRDefault="003F6D7C" w:rsidP="003F6D7C">
      <w:pPr>
        <w:pStyle w:val="LTAntwortRessortText"/>
        <w:spacing w:before="360"/>
        <w:rPr>
          <w:u w:val="single"/>
        </w:rPr>
      </w:pPr>
      <w:r w:rsidRPr="003F6D7C">
        <w:rPr>
          <w:u w:val="single"/>
        </w:rPr>
        <w:t xml:space="preserve">Zur </w:t>
      </w:r>
      <w:r>
        <w:rPr>
          <w:u w:val="single"/>
        </w:rPr>
        <w:t>zweiten</w:t>
      </w:r>
      <w:r w:rsidRPr="003F6D7C">
        <w:rPr>
          <w:u w:val="single"/>
        </w:rPr>
        <w:t xml:space="preserve"> Teilfrage:</w:t>
      </w:r>
    </w:p>
    <w:p w:rsidR="00BD06BB" w:rsidRDefault="00BD06BB" w:rsidP="003F6D7C">
      <w:pPr>
        <w:pStyle w:val="LTAntwortRessortText"/>
        <w:spacing w:before="120"/>
      </w:pPr>
      <w:r>
        <w:t>Die Standorte der Demonstrationszentren werde</w:t>
      </w:r>
      <w:r w:rsidR="003F6D7C">
        <w:t>n von den Handwerkskammern fest</w:t>
      </w:r>
      <w:r>
        <w:t>gelegt.</w:t>
      </w:r>
    </w:p>
    <w:p w:rsidR="003F6D7C" w:rsidRPr="003F6D7C" w:rsidRDefault="003F6D7C" w:rsidP="003F6D7C">
      <w:pPr>
        <w:pStyle w:val="LTAntwortRessortText"/>
        <w:spacing w:before="360"/>
        <w:rPr>
          <w:u w:val="single"/>
        </w:rPr>
      </w:pPr>
      <w:r w:rsidRPr="003F6D7C">
        <w:rPr>
          <w:u w:val="single"/>
        </w:rPr>
        <w:t xml:space="preserve">Zur </w:t>
      </w:r>
      <w:r>
        <w:rPr>
          <w:u w:val="single"/>
        </w:rPr>
        <w:t>dritten</w:t>
      </w:r>
      <w:r w:rsidRPr="003F6D7C">
        <w:rPr>
          <w:u w:val="single"/>
        </w:rPr>
        <w:t xml:space="preserve"> Teilfrage:</w:t>
      </w:r>
    </w:p>
    <w:p w:rsidR="00BD06BB" w:rsidRDefault="00BD06BB" w:rsidP="003F6D7C">
      <w:pPr>
        <w:pStyle w:val="LTAntwortRessortText"/>
        <w:spacing w:before="120"/>
      </w:pPr>
      <w:r>
        <w:t>Die Demonstrationszentren werden in die Meisterfortbildung eingebunden und stehen insbesondere auch Personen mit Meisterabschluss zur Verfügung.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Paul</w:t>
            </w:r>
            <w:r w:rsidRPr="00BD06BB">
              <w:rPr>
                <w:b/>
              </w:rPr>
              <w:br/>
              <w:t>Knoblach</w:t>
            </w:r>
            <w:r w:rsidRPr="00BD06BB">
              <w:rPr>
                <w:b/>
              </w:rPr>
              <w:br/>
            </w:r>
            <w:r w:rsidRPr="00BD06BB">
              <w:t>(BÜNDNIS 90/DIE GRÜNEN)</w:t>
            </w:r>
            <w:r>
              <w:fldChar w:fldCharType="begin"/>
            </w:r>
            <w:r>
              <w:instrText xml:space="preserve"> XE </w:instrText>
            </w:r>
            <w:r w:rsidR="007B3866">
              <w:instrText>„</w:instrText>
            </w:r>
            <w:r>
              <w:instrText xml:space="preserve">Knoblach, Paul (BÜNDNIS 90/DIE GRÜNEN):Ergebnisse der Ministerrunde mit Bundeswirtschaftsminister Peter Altmaier zum Stromleitungsbau P43 und P44 </w:instrText>
            </w:r>
            <w:r>
              <w:fldChar w:fldCharType="end"/>
            </w:r>
            <w:r>
              <w:fldChar w:fldCharType="begin"/>
            </w:r>
            <w:r>
              <w:instrText xml:space="preserve"> TC </w:instrText>
            </w:r>
            <w:r w:rsidR="007B3866">
              <w:instrText>„</w:instrText>
            </w:r>
            <w:r>
              <w:instrText>Knoblach, Paul (BÜNDNIS 90/DIE GRÜNEN)</w:instrText>
            </w:r>
            <w:r>
              <w:br/>
              <w:instrText xml:space="preserve">Ergebnisse der Ministerrunde mit Bundeswirtschaftsminister Peter Altmaier zum Stromleitungsbau P43 und P44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welche konkreten Ergebnisse brachte das Gespräch des Staatsministers für Wirtschaft, Landesentwicklung und Energie, Hubert Aiwanger, mit dem Bundesminister für Wirtschaft und Energie, Peter Altmaier, und den Länderkollegen Tarek Al-Wazir und Anja Siegesmund zu den Stromleitungsprojekten P43 und P44 am 14.03.2019 in Berlin, welche Einzelfragen müssen jetzt noch auf Arbeitsebene geklärt werden und wann wird die Staatsregierung den Menschen rund um Bergrheinfeld die endgültige Entscheidung bei diesen beiden Projekten mitteilen?</w:t>
            </w:r>
          </w:p>
          <w:p w:rsidR="00BD06BB" w:rsidRDefault="00BD06BB" w:rsidP="00BD06BB">
            <w:pPr>
              <w:pStyle w:val="LTAnfrageText"/>
            </w:pPr>
          </w:p>
        </w:tc>
      </w:tr>
    </w:tbl>
    <w:p w:rsidR="00BD06BB" w:rsidRDefault="00BD06BB" w:rsidP="00E62A89">
      <w:pPr>
        <w:pStyle w:val="LTUeberschrAntwortRessort"/>
        <w:spacing w:before="960"/>
      </w:pPr>
      <w:r>
        <w:t>Antwort des Staatsministeriums für Wirtschaft, Landesentwicklung und Energie</w:t>
      </w:r>
    </w:p>
    <w:p w:rsidR="00BD06BB" w:rsidRDefault="00BD06BB" w:rsidP="00BD06BB">
      <w:pPr>
        <w:pStyle w:val="LTAntwortRessortText"/>
      </w:pPr>
      <w:r>
        <w:t xml:space="preserve">In diesem Mehrministergespräch wurden die begründeten bayerischen Positionen mit Zielrichtung der am </w:t>
      </w:r>
      <w:r w:rsidR="000043D8">
        <w:t>01.07.</w:t>
      </w:r>
      <w:r>
        <w:t xml:space="preserve">2015 von den Spitzen der Koalition vereinbarten Entlastung des Raums Bergrheinfeld/Grafenrheinfeld vorgebracht. Eine Einigung steht noch aus. Darüber hinaus wurde die Forderung </w:t>
      </w:r>
      <w:r w:rsidR="000043D8">
        <w:t>des</w:t>
      </w:r>
      <w:r>
        <w:t xml:space="preserve"> Staa</w:t>
      </w:r>
      <w:r w:rsidR="000043D8">
        <w:t>tsministers für Wirtschaft, Landesentwicklung und Energie, Hubert Aiwanger, nach zusätz</w:t>
      </w:r>
      <w:r>
        <w:t>lichen Gaskraftwerken in Bayern intensiv erörtert. Bayern sieht die Bundesregierung in der Pflicht, mit dem Zubau gesicherter Leistung für</w:t>
      </w:r>
      <w:r w:rsidR="000043D8">
        <w:t xml:space="preserve"> langfristige Versorgungssicher</w:t>
      </w:r>
      <w:r>
        <w:t>heit nach dem Ausstieg aus der Kernenergie und der Kohleverstromung zu sorgen.</w:t>
      </w:r>
    </w:p>
    <w:p w:rsidR="00E62A89" w:rsidRDefault="00E62A89">
      <w:r>
        <w:br w:type="page"/>
      </w:r>
    </w:p>
    <w:p w:rsidR="00E62A89" w:rsidRDefault="00E62A89"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BD06BB" w:rsidTr="00BD06BB">
        <w:tc>
          <w:tcPr>
            <w:tcW w:w="2050" w:type="dxa"/>
            <w:shd w:val="clear" w:color="auto" w:fill="auto"/>
          </w:tcPr>
          <w:p w:rsidR="00BD06BB" w:rsidRPr="00BD06BB" w:rsidRDefault="00BD06BB" w:rsidP="000043D8">
            <w:pPr>
              <w:pStyle w:val="LTAnfrageIni1"/>
              <w:ind w:right="-257"/>
            </w:pPr>
            <w:r w:rsidRPr="00BD06BB">
              <w:t>Abgeordnete</w:t>
            </w:r>
            <w:r w:rsidRPr="00BD06BB">
              <w:br/>
            </w:r>
            <w:r w:rsidRPr="00BD06BB">
              <w:rPr>
                <w:b/>
              </w:rPr>
              <w:t>Stephanie</w:t>
            </w:r>
            <w:r w:rsidRPr="00BD06BB">
              <w:rPr>
                <w:b/>
              </w:rPr>
              <w:br/>
              <w:t>Schuhknecht</w:t>
            </w:r>
            <w:r w:rsidRPr="00BD06BB">
              <w:rPr>
                <w:b/>
              </w:rPr>
              <w:br/>
            </w:r>
            <w:r w:rsidRPr="00BD06BB">
              <w:t>(BÜNDNIS 90/DIE GRÜNEN)</w:t>
            </w:r>
            <w:r>
              <w:fldChar w:fldCharType="begin"/>
            </w:r>
            <w:r>
              <w:instrText xml:space="preserve"> XE </w:instrText>
            </w:r>
            <w:r w:rsidR="007B3866">
              <w:instrText>„</w:instrText>
            </w:r>
            <w:r>
              <w:instrText xml:space="preserve">Schuhknecht, Stephanie (BÜNDNIS 90/DIE GRÜNEN):Klagen gegen Windkraftanlagen in Bayern </w:instrText>
            </w:r>
            <w:r>
              <w:fldChar w:fldCharType="end"/>
            </w:r>
            <w:r>
              <w:fldChar w:fldCharType="begin"/>
            </w:r>
            <w:r>
              <w:instrText xml:space="preserve"> TC </w:instrText>
            </w:r>
            <w:r w:rsidR="007B3866">
              <w:instrText>„</w:instrText>
            </w:r>
            <w:r>
              <w:instrText>Schuhknecht, Stephanie (BÜNDNIS 90/DIE GRÜNEN)</w:instrText>
            </w:r>
            <w:r>
              <w:br/>
              <w:instrText xml:space="preserve">Klagen gegen Windkraftanlagen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Aufgrund zunehmender Klagen gegen bestehende Windkraftanlagen in Bayern frage ich die Staatsregierung, wie viele Klageverfahren gegen bestehende Windkraftanlagen vor bayerischen Verwaltungsgerichten aktuell anhängig sind, ob erfolgreiche Klagen, die nicht auf Fehlern im Genehmigungsverfahren fußen, zu einem Entzug der Betriebserlaubnis führen können und wie die Staatsregierung mit dieser Rechtsuntersicherheit bzw. dem fehlenden Bestandsschutz für die aktuellen Anlagenbetreiber umzugehen gedenkt?</w:t>
            </w:r>
          </w:p>
          <w:p w:rsidR="00BD06BB" w:rsidRDefault="00BD06BB" w:rsidP="00BD06BB">
            <w:pPr>
              <w:pStyle w:val="LTAnfrageText"/>
            </w:pPr>
          </w:p>
        </w:tc>
      </w:tr>
    </w:tbl>
    <w:p w:rsidR="00BD06BB" w:rsidRDefault="00BD06BB" w:rsidP="00E62A89">
      <w:pPr>
        <w:pStyle w:val="LTUeberschrAntwortRessort"/>
        <w:spacing w:before="960"/>
      </w:pPr>
      <w:r>
        <w:t>Antwort des Staatsministeriums für Wirtschaft, Landesentwicklung und Energie</w:t>
      </w:r>
    </w:p>
    <w:p w:rsidR="00BD06BB" w:rsidRDefault="00BD06BB" w:rsidP="00E62A89">
      <w:pPr>
        <w:pStyle w:val="LTAntwortRessortText"/>
        <w:spacing w:before="360"/>
      </w:pPr>
      <w:r>
        <w:t xml:space="preserve">Gemäß eigenen Erhebungen des </w:t>
      </w:r>
      <w:r w:rsidR="00A260EF">
        <w:t>Staatsministeriums für Wirtschaft, Landesentwicklung und Energie</w:t>
      </w:r>
      <w:r>
        <w:t xml:space="preserve"> werden 27 Bestandsanlagen beklagt (Stand 30.09.2018).</w:t>
      </w:r>
    </w:p>
    <w:p w:rsidR="00BD06BB" w:rsidRPr="00A260EF" w:rsidRDefault="00BD06BB" w:rsidP="00E62A89">
      <w:pPr>
        <w:pStyle w:val="LTAntwortRessortText"/>
        <w:spacing w:before="360"/>
        <w:rPr>
          <w:i/>
        </w:rPr>
      </w:pPr>
      <w:r w:rsidRPr="00A260EF">
        <w:rPr>
          <w:i/>
        </w:rPr>
        <w:t xml:space="preserve">(Vorbemerkung: Es wird davon ausgegangen, dass mit </w:t>
      </w:r>
      <w:r w:rsidR="007B3866" w:rsidRPr="00A260EF">
        <w:rPr>
          <w:i/>
        </w:rPr>
        <w:t>„</w:t>
      </w:r>
      <w:r w:rsidRPr="00A260EF">
        <w:rPr>
          <w:i/>
        </w:rPr>
        <w:t>Betriebserlaubnis</w:t>
      </w:r>
      <w:r w:rsidR="007B3866" w:rsidRPr="00A260EF">
        <w:rPr>
          <w:i/>
        </w:rPr>
        <w:t>“</w:t>
      </w:r>
      <w:r w:rsidRPr="00A260EF">
        <w:rPr>
          <w:i/>
        </w:rPr>
        <w:t xml:space="preserve"> die </w:t>
      </w:r>
      <w:r w:rsidR="007B3866" w:rsidRPr="00A260EF">
        <w:rPr>
          <w:i/>
        </w:rPr>
        <w:t>„</w:t>
      </w:r>
      <w:r w:rsidR="00A260EF">
        <w:rPr>
          <w:i/>
        </w:rPr>
        <w:t>immis</w:t>
      </w:r>
      <w:r w:rsidRPr="00A260EF">
        <w:rPr>
          <w:i/>
        </w:rPr>
        <w:t>sionsschutzrechtliche Genehmigung</w:t>
      </w:r>
      <w:r w:rsidR="007B3866" w:rsidRPr="00A260EF">
        <w:rPr>
          <w:i/>
        </w:rPr>
        <w:t>“</w:t>
      </w:r>
      <w:r w:rsidRPr="00A260EF">
        <w:rPr>
          <w:i/>
        </w:rPr>
        <w:t xml:space="preserve"> gemeint ist.)</w:t>
      </w:r>
    </w:p>
    <w:p w:rsidR="00BD06BB" w:rsidRDefault="00BD06BB" w:rsidP="0011407F">
      <w:pPr>
        <w:pStyle w:val="LTAntwortRessortText"/>
        <w:spacing w:before="120"/>
      </w:pPr>
      <w:r>
        <w:t>Nach § 21 Abs. 1 Bundesimmissionsschutzgesetz (BlmSchG) kann eine nach dem BlmSchG rechtmäßig erteilte Genehmigung, auch</w:t>
      </w:r>
      <w:r w:rsidR="00EB26EA">
        <w:t xml:space="preserve"> nachdem sie unanfechtbar gewor</w:t>
      </w:r>
      <w:r>
        <w:t>den ist, unter den dort genannten Voraussetzungen ganz oder teilweise mit Wirkung für die Zukunft widerrufen werden.</w:t>
      </w:r>
    </w:p>
    <w:p w:rsidR="00E62A89" w:rsidRDefault="00BD06BB" w:rsidP="00E62A89">
      <w:pPr>
        <w:pStyle w:val="LTAntwortRessortText"/>
        <w:spacing w:before="360"/>
      </w:pPr>
      <w:r>
        <w:t xml:space="preserve">Die Voraussetzungen, unter denen eine unanfechtbar gewordene Genehmigung für den Bau und Betrieb einer Windkraftanlage widerrufen werden kann, sind </w:t>
      </w:r>
      <w:r w:rsidR="003E176F">
        <w:t>–</w:t>
      </w:r>
      <w:r>
        <w:t xml:space="preserve"> wie unter </w:t>
      </w:r>
      <w:r w:rsidR="003E176F">
        <w:t xml:space="preserve">der </w:t>
      </w:r>
      <w:r w:rsidR="0011407F">
        <w:t xml:space="preserve">Antwort zu </w:t>
      </w:r>
      <w:r w:rsidR="003E176F">
        <w:t>Teilfrage 2</w:t>
      </w:r>
      <w:r>
        <w:t xml:space="preserve"> bereits genannt </w:t>
      </w:r>
      <w:r w:rsidR="003E176F">
        <w:t>–</w:t>
      </w:r>
      <w:r>
        <w:t xml:space="preserve"> abschließend bundesrechtlich geregelt.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BD06BB" w:rsidTr="00BD06BB">
        <w:tc>
          <w:tcPr>
            <w:tcW w:w="2050" w:type="dxa"/>
            <w:shd w:val="clear" w:color="auto" w:fill="auto"/>
          </w:tcPr>
          <w:p w:rsidR="00BD06BB" w:rsidRPr="00BD06BB" w:rsidRDefault="00BD06BB" w:rsidP="00C844A8">
            <w:pPr>
              <w:pStyle w:val="LTAnfrageIni1"/>
              <w:ind w:right="-399"/>
            </w:pPr>
            <w:r w:rsidRPr="00BD06BB">
              <w:t>Abgeordneter</w:t>
            </w:r>
            <w:r w:rsidRPr="00BD06BB">
              <w:br/>
            </w:r>
            <w:r w:rsidRPr="00BD06BB">
              <w:rPr>
                <w:b/>
              </w:rPr>
              <w:t>Christian</w:t>
            </w:r>
            <w:r w:rsidRPr="00BD06BB">
              <w:rPr>
                <w:b/>
              </w:rPr>
              <w:br/>
              <w:t>Zwanziger</w:t>
            </w:r>
            <w:r w:rsidRPr="00BD06BB">
              <w:rPr>
                <w:b/>
              </w:rPr>
              <w:br/>
            </w:r>
            <w:r w:rsidRPr="00BD06BB">
              <w:t>(BÜNDNIS 90/DIE GRÜNEN)</w:t>
            </w:r>
            <w:r>
              <w:fldChar w:fldCharType="begin"/>
            </w:r>
            <w:r>
              <w:instrText xml:space="preserve"> XE </w:instrText>
            </w:r>
            <w:r w:rsidR="007B3866">
              <w:instrText>„</w:instrText>
            </w:r>
            <w:r>
              <w:instrText>Zwanziger, Christian (BÜNDNIS 90/DIE GRÜNEN):Ergebnisse der \</w:instrText>
            </w:r>
            <w:r w:rsidR="007B3866">
              <w:instrText>“</w:instrText>
            </w:r>
            <w:r>
              <w:instrText>Flächensparoffensive\</w:instrText>
            </w:r>
            <w:r w:rsidR="007B3866">
              <w:instrText>“</w:instrText>
            </w:r>
            <w:r w:rsidR="00E62A89">
              <w:instrText xml:space="preserve"> und Pläne der Staatsregie</w:instrText>
            </w:r>
            <w:r>
              <w:instrText xml:space="preserve">rung zum Flächensparen </w:instrText>
            </w:r>
            <w:r>
              <w:fldChar w:fldCharType="end"/>
            </w:r>
            <w:r>
              <w:fldChar w:fldCharType="begin"/>
            </w:r>
            <w:r>
              <w:instrText xml:space="preserve"> TC </w:instrText>
            </w:r>
            <w:r w:rsidR="007B3866">
              <w:instrText>„</w:instrText>
            </w:r>
            <w:r>
              <w:instrText>Zwanziger, Christian (BÜNDNIS 90/DIE GRÜNEN)</w:instrText>
            </w:r>
            <w:r>
              <w:br/>
              <w:instrText>Ergebnisse der \</w:instrText>
            </w:r>
            <w:r w:rsidR="007B3866">
              <w:instrText>“</w:instrText>
            </w:r>
            <w:r>
              <w:instrText>Flächensparoffensive\</w:instrText>
            </w:r>
            <w:r w:rsidR="007B3866">
              <w:instrText>“</w:instrText>
            </w:r>
            <w:r w:rsidR="00E62A89">
              <w:instrText xml:space="preserve"> und Pläne der Staatsregie</w:instrText>
            </w:r>
            <w:r>
              <w:instrText xml:space="preserve">rung zum Flächensparen </w:instrText>
            </w:r>
            <w:r w:rsidR="007B3866">
              <w:instrText>„</w:instrText>
            </w:r>
            <w:r>
              <w:instrText xml:space="preserve"> \l 2 </w:instrText>
            </w:r>
            <w:r>
              <w:fldChar w:fldCharType="end"/>
            </w:r>
          </w:p>
        </w:tc>
        <w:tc>
          <w:tcPr>
            <w:tcW w:w="7200" w:type="dxa"/>
            <w:shd w:val="clear" w:color="auto" w:fill="auto"/>
          </w:tcPr>
          <w:p w:rsidR="00BD06BB" w:rsidRDefault="00BD06BB" w:rsidP="00F43A99">
            <w:pPr>
              <w:pStyle w:val="LTAnfrageText"/>
            </w:pPr>
            <w:r>
              <w:t>Mit Bezug auf die Presseberichterstattung zur Flächensparoffensive des Staatsministeriums für Wirtschaft, Landesentwicklung und Energie frage ich die Staatsregierung, auf welche Datengrundlage sich die Aussage der teilnehmenden Staatsminister bezieht, 85 Prozent des zusätzlichen Flächenverbrauchs ginge auf Kosten des Wohnungsbaus, wie hoch der neu entstandene Flächenverbrauch für den Wohnungsbau im Jahr 2017 tatsächlich war und in welchem rechtlichen Rahmen das 5-ha-Ziel der Staatsregierung implementiert werden soll?</w:t>
            </w:r>
          </w:p>
        </w:tc>
      </w:tr>
    </w:tbl>
    <w:p w:rsidR="00BD06BB" w:rsidRDefault="00BD06BB" w:rsidP="00BD06BB">
      <w:pPr>
        <w:pStyle w:val="LTUeberschrAntwortRessort"/>
      </w:pPr>
      <w:r>
        <w:t>Antwort des Staatsministeriums für Wirtschaft, Landesentwicklung und Energie</w:t>
      </w:r>
    </w:p>
    <w:p w:rsidR="00BD06BB" w:rsidRDefault="00BD06BB" w:rsidP="00BD06BB">
      <w:pPr>
        <w:pStyle w:val="LTAntwortRessortText"/>
      </w:pPr>
      <w:r>
        <w:t xml:space="preserve">Der Anteil von ca. 85 </w:t>
      </w:r>
      <w:r w:rsidR="007B3866">
        <w:t>Prozent</w:t>
      </w:r>
      <w:r>
        <w:t xml:space="preserve"> am Flächenverbrauch bezieht</w:t>
      </w:r>
      <w:r w:rsidR="00C844A8">
        <w:t xml:space="preserve"> sich auf die Flächeninanspruch</w:t>
      </w:r>
      <w:r>
        <w:t>nahme der gesamten Siedlungsfläche. Hierunter fallen insbesondere Wohn</w:t>
      </w:r>
      <w:r w:rsidR="00C844A8">
        <w:softHyphen/>
      </w:r>
      <w:r>
        <w:t>flächen, Industrie- und Gewerbeflächen sowie gemischte F</w:t>
      </w:r>
      <w:r w:rsidR="00C844A8">
        <w:t>lächen. Der zitierte Flächenver</w:t>
      </w:r>
      <w:r>
        <w:t>brauch bezieht sich auf den Zeitraum vom 31.12.201</w:t>
      </w:r>
      <w:r w:rsidR="00C844A8">
        <w:t>4 bis 31.12.2017, innerhalb des</w:t>
      </w:r>
      <w:r>
        <w:t>sen die einzelnen Erhebungsjahre ohne Systembruch vergleichbar sind. In den Jahren 2011 und 2013 erfolgten Umstellungen der Date</w:t>
      </w:r>
      <w:r w:rsidR="00C844A8">
        <w:t>nerhebung der Vermessungsverwal</w:t>
      </w:r>
      <w:r>
        <w:t>tung im Rahmen einer bundesweiten Vereinheitlichung.</w:t>
      </w:r>
    </w:p>
    <w:p w:rsidR="00BD06BB" w:rsidRDefault="00BD06BB" w:rsidP="00BD06BB">
      <w:pPr>
        <w:pStyle w:val="LTAntwortRessortText"/>
      </w:pPr>
      <w:r>
        <w:t xml:space="preserve">Die reinen Wohnbauflächen hatten in diesem Zeitraum einen Anteil von ca. 37 </w:t>
      </w:r>
      <w:r w:rsidR="007B3866">
        <w:t>Prozent</w:t>
      </w:r>
      <w:r>
        <w:t xml:space="preserve"> am gesamten Flächenverbrauch, die gemischten Bauflächen (Wohnen und Gewerbe) von ca. 15 </w:t>
      </w:r>
      <w:r w:rsidR="007B3866">
        <w:t>Prozent</w:t>
      </w:r>
      <w:r>
        <w:t>. Im Jahr 2017 haben die reinen Wohnbauflächen um insgesamt 1.370 ha zugenommen, dies entspricht einem durchschnittlichen Verbrauch von ca. 3,8 ha/Tag. Die genannten Zahlen beruhen auf Daten des Landesamts für Statistik.</w:t>
      </w:r>
    </w:p>
    <w:p w:rsidR="00BD06BB" w:rsidRDefault="00BD06BB" w:rsidP="00BD06BB">
      <w:pPr>
        <w:pStyle w:val="LTAntwortRessortText"/>
      </w:pPr>
      <w:r>
        <w:t>Die im Koalitionsvertrag vereinbarte Richtgröße für den Flächenverbrauch von 5</w:t>
      </w:r>
      <w:r w:rsidR="00C844A8">
        <w:t> </w:t>
      </w:r>
      <w:r>
        <w:t>ha/Tag soll im Bayerischen Landesplanungsgesetz verankert werden.</w:t>
      </w:r>
    </w:p>
    <w:p w:rsidR="0061656F" w:rsidRDefault="0061656F">
      <w:pPr>
        <w:rPr>
          <w:rFonts w:cs="Arial"/>
          <w:b/>
          <w:sz w:val="22"/>
          <w:szCs w:val="22"/>
        </w:rPr>
      </w:pPr>
      <w:r>
        <w:br w:type="page"/>
      </w:r>
    </w:p>
    <w:p w:rsidR="00BD06BB" w:rsidRDefault="00BD06BB" w:rsidP="00BD06BB">
      <w:pPr>
        <w:pStyle w:val="LTUeberschrRessort"/>
      </w:pPr>
      <w:r>
        <w:t>Geschäftsbereich des Staatsministeriums für Umwelt und Verbraucherschutz</w:t>
      </w:r>
      <w:r>
        <w:fldChar w:fldCharType="begin"/>
      </w:r>
      <w:r>
        <w:instrText xml:space="preserve"> TC </w:instrText>
      </w:r>
      <w:r w:rsidR="007B3866">
        <w:instrText>„</w:instrText>
      </w:r>
      <w:r>
        <w:instrText>Geschäftsbereich des Staatsministeriums für Umwelt und Verbraucherschutz</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Franz</w:t>
            </w:r>
            <w:r w:rsidRPr="00BD06BB">
              <w:rPr>
                <w:b/>
              </w:rPr>
              <w:br/>
              <w:t>Bergmüller</w:t>
            </w:r>
            <w:r w:rsidRPr="00BD06BB">
              <w:rPr>
                <w:b/>
              </w:rPr>
              <w:br/>
            </w:r>
            <w:r w:rsidRPr="00BD06BB">
              <w:t>(AfD)</w:t>
            </w:r>
            <w:r>
              <w:fldChar w:fldCharType="begin"/>
            </w:r>
            <w:r>
              <w:instrText xml:space="preserve"> XE </w:instrText>
            </w:r>
            <w:r w:rsidR="007B3866">
              <w:instrText>„</w:instrText>
            </w:r>
            <w:r>
              <w:instrText xml:space="preserve">Bergmüller, Franz (AfD):Vorkaufsrecht der öffentlichen Hand nach Art. 39 Abs. 1 Nr. 1 Bayerisches Naturschutzgesetz </w:instrText>
            </w:r>
            <w:r>
              <w:fldChar w:fldCharType="end"/>
            </w:r>
            <w:r>
              <w:fldChar w:fldCharType="begin"/>
            </w:r>
            <w:r>
              <w:instrText xml:space="preserve"> TC </w:instrText>
            </w:r>
            <w:r w:rsidR="007B3866">
              <w:instrText>„</w:instrText>
            </w:r>
            <w:r>
              <w:instrText>Bergmüller, Franz (AfD)</w:instrText>
            </w:r>
            <w:r>
              <w:br/>
              <w:instrText xml:space="preserve">Vorkaufsrecht der öffentlichen Hand nach Art. 39 Abs. 1 Nr. 1 Bayerisches Naturschutzgesetz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Nachdem Art. 39 Abs. 1 Nr. 1 (zuvor Art. 34) Bayerisches Naturschutzgesetz das Vorkaufsrecht der öffentlichen Hand betreffend Grundstücken, auf welchen sich oberirdische Gewässer einschließlich Verlandungsflächen befinden, regelt, frage ich die Staatsregierung, wie oft wurde genau diese Fallgruppe der Vorschrift in Bayern seit 2008 zur Anwendung gebracht (bitte nach Landkreisen und kreisfreien Städten aufschlüsseln), wie oft wurden durch den Betroffenen hiergegen Rechtsmittel eingelegt und wie groß waren die hierbei durch die öffentliche Hand beanspruchten Flächen jeweils?</w:t>
            </w:r>
          </w:p>
          <w:p w:rsidR="00BD06BB" w:rsidRDefault="00BD06BB" w:rsidP="00BD06BB">
            <w:pPr>
              <w:pStyle w:val="LTAnfrageText"/>
            </w:pPr>
          </w:p>
        </w:tc>
      </w:tr>
    </w:tbl>
    <w:p w:rsidR="00BD06BB" w:rsidRDefault="00BD06BB" w:rsidP="00E62A89">
      <w:pPr>
        <w:pStyle w:val="LTUeberschrAntwortRessort"/>
        <w:spacing w:before="960"/>
      </w:pPr>
      <w:r>
        <w:t>Antwort des Staatsministeriums für Umwelt und Verbraucherschutz</w:t>
      </w:r>
    </w:p>
    <w:p w:rsidR="00BD06BB" w:rsidRDefault="00BD06BB" w:rsidP="00E62A89">
      <w:pPr>
        <w:pStyle w:val="LTAntwortRessortText"/>
        <w:spacing w:before="360"/>
      </w:pPr>
      <w:r>
        <w:t xml:space="preserve">Die für die Beantwortung der Anfrage </w:t>
      </w:r>
      <w:r w:rsidR="0061656F">
        <w:t xml:space="preserve">zum Plenum </w:t>
      </w:r>
      <w:r>
        <w:t>erforderlichen Daten liegen dem Staatsministerium für Umwelt und Verbraucherschutz nicht vor. Die notwendige Recherche über die Ausübung des naturschutzrechtlichen Vorkaufsrechts für eine konkrete Fallgestaltung, die Anzahl der eingelegten Rechtsmittel und die Flächengröße der betroffenen Grundstücke bei allen Landkreisen und kreisfreien Städten ist in der gesetzten Frist nicht möglich und würde einen unverhältnismäßigen Rechercheaufwand auslösen.</w:t>
      </w:r>
    </w:p>
    <w:p w:rsidR="00BD06BB" w:rsidRDefault="00BD06BB" w:rsidP="00E62A89">
      <w:pPr>
        <w:pStyle w:val="LTAntwortRessortText"/>
        <w:spacing w:before="360"/>
      </w:pPr>
      <w:r>
        <w:t>Das Ergebnis einer Recherche ausschließlich zur Anzahl der Fälle von Ausübung des Vo</w:t>
      </w:r>
      <w:r w:rsidR="0061656F">
        <w:t xml:space="preserve">rkaufsrechts in den Jahren 2012 bis </w:t>
      </w:r>
      <w:r>
        <w:t>2014 liegt als Anlage</w:t>
      </w:r>
      <w:r w:rsidR="0061656F">
        <w:t>*</w:t>
      </w:r>
      <w:r>
        <w:t xml:space="preserve"> bei.</w:t>
      </w:r>
    </w:p>
    <w:p w:rsidR="0061656F" w:rsidRDefault="0061656F" w:rsidP="00BD06BB">
      <w:pPr>
        <w:pStyle w:val="LTAntwortRessortText"/>
        <w:rPr>
          <w:sz w:val="24"/>
          <w:vertAlign w:val="superscript"/>
        </w:rPr>
      </w:pPr>
      <w:r w:rsidRPr="0061656F">
        <w:rPr>
          <w:sz w:val="24"/>
          <w:vertAlign w:val="superscript"/>
        </w:rPr>
        <w:t xml:space="preserve">*) Von einem Abdruck wurde abgesehen. Die Anlage ist als pdf-Dokument </w:t>
      </w:r>
      <w:hyperlink r:id="rId16" w:history="1">
        <w:r w:rsidRPr="009D669B">
          <w:rPr>
            <w:rStyle w:val="Hyperlink"/>
            <w:sz w:val="24"/>
            <w:vertAlign w:val="superscript"/>
          </w:rPr>
          <w:t>hier</w:t>
        </w:r>
      </w:hyperlink>
      <w:r w:rsidRPr="0061656F">
        <w:rPr>
          <w:sz w:val="24"/>
          <w:vertAlign w:val="superscript"/>
        </w:rPr>
        <w:t xml:space="preserve"> einsehbar.</w:t>
      </w:r>
    </w:p>
    <w:p w:rsidR="00E62A89" w:rsidRDefault="00E62A89">
      <w:pPr>
        <w:rPr>
          <w:sz w:val="24"/>
          <w:vertAlign w:val="superscript"/>
        </w:rPr>
      </w:pPr>
      <w:r>
        <w:rPr>
          <w:sz w:val="24"/>
          <w:vertAlign w:val="superscript"/>
        </w:rPr>
        <w:br w:type="page"/>
      </w:r>
    </w:p>
    <w:p w:rsidR="00E62A89" w:rsidRPr="0061656F" w:rsidRDefault="00E62A89" w:rsidP="00BD06BB">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Ludwig</w:t>
            </w:r>
            <w:r w:rsidRPr="00BD06BB">
              <w:rPr>
                <w:b/>
              </w:rPr>
              <w:br/>
              <w:t>Hartmann</w:t>
            </w:r>
            <w:r w:rsidRPr="00BD06BB">
              <w:rPr>
                <w:b/>
              </w:rPr>
              <w:br/>
            </w:r>
            <w:r w:rsidRPr="00BD06BB">
              <w:t>(BÜNDNIS 90/DIE GRÜNEN)</w:t>
            </w:r>
            <w:r>
              <w:fldChar w:fldCharType="begin"/>
            </w:r>
            <w:r>
              <w:instrText xml:space="preserve"> XE </w:instrText>
            </w:r>
            <w:r w:rsidR="007B3866">
              <w:instrText>„</w:instrText>
            </w:r>
            <w:r>
              <w:instrText xml:space="preserve">Hartmann, Ludwig (BÜNDNIS 90/DIE GRÜNEN):Zustand der bayerischen Grundwasserkörper </w:instrText>
            </w:r>
            <w:r>
              <w:fldChar w:fldCharType="end"/>
            </w:r>
            <w:r>
              <w:fldChar w:fldCharType="begin"/>
            </w:r>
            <w:r>
              <w:instrText xml:space="preserve"> TC </w:instrText>
            </w:r>
            <w:r w:rsidR="007B3866">
              <w:instrText>„</w:instrText>
            </w:r>
            <w:r>
              <w:instrText>Hartmann, Ludwig (BÜNDNIS 90/DIE GRÜNEN)</w:instrText>
            </w:r>
            <w:r>
              <w:br/>
              <w:instrText xml:space="preserve">Zustand der bayerischen Grundwasserkörper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mit welchen Maßnahmen gedenkt sie künftig den Anteil an roten Gebieten von 30 Prozent der Landesfläche in Hinblick auf den Zustand der Grundwasserkörper zu verbessern, sollen Prämien im Rahmen einer Schutzgebiets- und Ausgleichs-Verordnung ähnlich wie in Baden-Württemberg eingeführt werden und wie beurteilt die Staatsregierung die Tatsache, dass aufgrund des u. a. schlechten Zustands der bayerischen Grundwasserkörper die EU eine Absenkung der staatlichen Ausgleichsätze für Baden-Württembergs im Wasserschutz besonders engagierte Landwirte von 165 Euro /ha auf 100 Euro/ha zur Folge hat?</w:t>
            </w:r>
          </w:p>
          <w:p w:rsidR="00BD06BB" w:rsidRDefault="00BD06BB" w:rsidP="00BD06BB">
            <w:pPr>
              <w:pStyle w:val="LTAnfrageText"/>
            </w:pPr>
          </w:p>
        </w:tc>
      </w:tr>
    </w:tbl>
    <w:p w:rsidR="00BD06BB" w:rsidRDefault="00BD06BB" w:rsidP="00BD06BB">
      <w:pPr>
        <w:pStyle w:val="LTUeberschrAntwortRessort"/>
      </w:pPr>
      <w:r>
        <w:t>Antwort des Staatsministeriums für Umwelt und Verbraucherschutz</w:t>
      </w:r>
    </w:p>
    <w:p w:rsidR="00BD06BB" w:rsidRDefault="00BD06BB" w:rsidP="00BD06BB">
      <w:pPr>
        <w:pStyle w:val="LTAntwortRessortText"/>
      </w:pPr>
      <w:r>
        <w:t>Vorbemerkung:</w:t>
      </w:r>
    </w:p>
    <w:p w:rsidR="00BD06BB" w:rsidRDefault="00BD06BB" w:rsidP="00604CB2">
      <w:pPr>
        <w:pStyle w:val="LTAntwortRessortText"/>
        <w:spacing w:before="60"/>
      </w:pPr>
      <w:r>
        <w:t xml:space="preserve">Der Anteil der sogenannten Roten Gebiete an der Landesfläche beträgt 21 </w:t>
      </w:r>
      <w:r w:rsidR="007B3866">
        <w:t>Prozent</w:t>
      </w:r>
      <w:r>
        <w:t xml:space="preserve"> (nicht 30 </w:t>
      </w:r>
      <w:r w:rsidR="007B3866">
        <w:t>Prozent</w:t>
      </w:r>
      <w:r>
        <w:t>, wie in o. g. Frage angegeben wird).</w:t>
      </w:r>
    </w:p>
    <w:p w:rsidR="00BD06BB" w:rsidRDefault="00BD06BB" w:rsidP="00BD06BB">
      <w:pPr>
        <w:pStyle w:val="LTAntwortRessortText"/>
      </w:pPr>
      <w:r>
        <w:t xml:space="preserve">Die Ziele der Wasserrahmenrichtlinie (WRRL) sollen durch sog. grundlegende Maßnahmen (Ordnungsrecht) sowie ergänzende freiwillige Maßnahmen erreicht werden. Das Ordnungsrecht (Düngegesetz, Düngeverordnung inkl. Ausführungsverordnung, Stoffstrombilanzverordnung und Anlagenverordnung) wurde hierzu in den letzten beiden Jahren deutlich modifiziert. Details können der folgenden Adresse entnommen werden: </w:t>
      </w:r>
      <w:hyperlink r:id="rId17" w:history="1">
        <w:r w:rsidR="00604CB2" w:rsidRPr="00390D1C">
          <w:rPr>
            <w:rStyle w:val="Hyperlink"/>
          </w:rPr>
          <w:t>www.lfl.bayern.de/iab/duengung</w:t>
        </w:r>
      </w:hyperlink>
      <w:r w:rsidR="00604CB2">
        <w:t>.</w:t>
      </w:r>
    </w:p>
    <w:p w:rsidR="00BD06BB" w:rsidRDefault="00BD06BB" w:rsidP="00BD06BB">
      <w:pPr>
        <w:pStyle w:val="LTAntwortRessortText"/>
      </w:pPr>
      <w:r>
        <w:t xml:space="preserve">Die Staatsregierung bietet darüber hinaus zusätzlich ein umfassendes Maßnahmenpaket auf freiwilliger Basis an, das im Rahmen des Wasserpaktes seit 2017 deutlich verstärkt wurde. Die Maßnahmen des </w:t>
      </w:r>
      <w:r w:rsidR="00604CB2">
        <w:t>Staatsministerium</w:t>
      </w:r>
      <w:r w:rsidR="00995EA1">
        <w:t>s</w:t>
      </w:r>
      <w:r w:rsidR="00604CB2">
        <w:t xml:space="preserve"> für Ernährung, Landwirtschaft und Forsten </w:t>
      </w:r>
      <w:r>
        <w:t xml:space="preserve">können unter folgender Adresse abgerufen werden: </w:t>
      </w:r>
      <w:hyperlink r:id="rId18" w:history="1">
        <w:r w:rsidR="00604CB2" w:rsidRPr="00390D1C">
          <w:rPr>
            <w:rStyle w:val="Hyperlink"/>
          </w:rPr>
          <w:t>www.stmelf.bayern.de/wasserpakt</w:t>
        </w:r>
      </w:hyperlink>
      <w:r>
        <w:t>.</w:t>
      </w:r>
    </w:p>
    <w:p w:rsidR="00BD06BB" w:rsidRDefault="00BD06BB" w:rsidP="00BD06BB">
      <w:pPr>
        <w:pStyle w:val="LTAntwortRessortText"/>
      </w:pPr>
      <w:r>
        <w:t>Da in Bayern kein Wasserentnahmeentgelt erhoben wird, gibt es auch keine Verordnung ähnlich der baden-württembergischen</w:t>
      </w:r>
      <w:r w:rsidR="00604CB2" w:rsidRPr="00604CB2">
        <w:t xml:space="preserve"> </w:t>
      </w:r>
      <w:r w:rsidR="00604CB2">
        <w:rPr>
          <w:rStyle w:val="st"/>
        </w:rPr>
        <w:t>Schutzgebiets- und Ausgleichs</w:t>
      </w:r>
      <w:r w:rsidR="00995EA1">
        <w:rPr>
          <w:rStyle w:val="st"/>
        </w:rPr>
        <w:t>-V</w:t>
      </w:r>
      <w:r w:rsidR="00604CB2">
        <w:rPr>
          <w:rStyle w:val="st"/>
        </w:rPr>
        <w:t>erordnung</w:t>
      </w:r>
      <w:r>
        <w:t xml:space="preserve"> </w:t>
      </w:r>
      <w:r w:rsidR="00604CB2">
        <w:t>(</w:t>
      </w:r>
      <w:r>
        <w:t>SchALVO</w:t>
      </w:r>
      <w:r w:rsidR="00604CB2">
        <w:t>)</w:t>
      </w:r>
      <w:r>
        <w:t xml:space="preserve"> und keine staatlichen Ausgleichszahlungen in Wasserschutzgebieten. In Bayern entscheidet jedes Wasserversorgungsunternehmen selbst, ob es zur Verminderung oder vorsorglichen Vermeidung überhöhter Nitratbelastungen im Wasserschutzgebiet und Trinkwassereinzugsgebiet freiwillige Kooperationsverträge mit Landwirten</w:t>
      </w:r>
      <w:r w:rsidR="00604CB2">
        <w:t xml:space="preserve"> </w:t>
      </w:r>
      <w:r>
        <w:t>abschließen will, und bezahlt etwaige Ausgleichszahlungen aus den Einnahmen der Wasserversorgungseinrichtung.</w:t>
      </w:r>
    </w:p>
    <w:p w:rsidR="00BD06BB" w:rsidRDefault="00BD06BB" w:rsidP="00BD06BB">
      <w:pPr>
        <w:pStyle w:val="LTAntwortRessortText"/>
      </w:pPr>
      <w:r>
        <w:t>Über eine künftige Absenkung der Ausgleichszahlungen gemäß SchALVO in Baden-Württemberg hat die Staatsregierung keine genauen Erkenntnisse. Der genannte Betrag für den Pauschal-Ausgleich von 100 anstatt bisher 165 Euro pro Hektar und Jahr ist nach öffentlichen Informationen nur eine vorläufige Abschlagszahlung. Der genaue Betrag des Pauschal-Ausgleichs für das Antragsjahr 2018 steht noch nicht fest, da das notwendige Noti</w:t>
      </w:r>
      <w:r w:rsidR="00995EA1">
        <w:t>fizierungsv</w:t>
      </w:r>
      <w:r>
        <w:t xml:space="preserve">erfahren durch die EU-Kommission noch nicht abgeschlossen ist. Wegen der Änderung der rechtlichen Rahmenbedingungen seit Inkrafttreten der Düngeverordnung vom </w:t>
      </w:r>
      <w:r w:rsidR="00604CB2">
        <w:t>26.05.</w:t>
      </w:r>
      <w:r>
        <w:t>2017 war eine Absenkung der SchALVO-Ausgleichssätze zwingend notwendig. Die Nitratbelastung des Grundwassers in Bayern ist dafür nicht die Ursache.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7"/>
        <w:gridCol w:w="5849"/>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Ruth</w:t>
            </w:r>
            <w:r w:rsidRPr="00BD06BB">
              <w:rPr>
                <w:b/>
              </w:rPr>
              <w:br/>
              <w:t>Müller</w:t>
            </w:r>
            <w:r w:rsidRPr="00BD06BB">
              <w:rPr>
                <w:b/>
              </w:rPr>
              <w:br/>
            </w:r>
            <w:r w:rsidRPr="00BD06BB">
              <w:t>(SPD)</w:t>
            </w:r>
            <w:r>
              <w:fldChar w:fldCharType="begin"/>
            </w:r>
            <w:r>
              <w:instrText xml:space="preserve"> XE </w:instrText>
            </w:r>
            <w:r w:rsidR="007B3866">
              <w:instrText>„</w:instrText>
            </w:r>
            <w:r>
              <w:instrText xml:space="preserve">Müller, Ruth (SPD):Tierschutzgerechte Weide- und Hofschlachtungen in Bayern </w:instrText>
            </w:r>
            <w:r>
              <w:fldChar w:fldCharType="end"/>
            </w:r>
            <w:r>
              <w:fldChar w:fldCharType="begin"/>
            </w:r>
            <w:r>
              <w:instrText xml:space="preserve"> TC </w:instrText>
            </w:r>
            <w:r w:rsidR="007B3866">
              <w:instrText>„</w:instrText>
            </w:r>
            <w:r>
              <w:instrText>Müller, Ruth (SPD)</w:instrText>
            </w:r>
            <w:r>
              <w:br/>
              <w:instrText xml:space="preserve">Tierschutzgerechte Weide- und Hofschlachtungen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welche Bestrebungen gibt es von ihrer Seite, die Weideschlachtung in Bayern zu fördern, wie kann zukünftig gewährleistet werden, dass Rinder auch bei ganzjährigem (freiwilligen) Zugang zu einem Stall tierschutzgerecht auf der Weide geschossen werden können und welche Erleichterungen für Schlachtbetriebe sind in Bayern aktuell geplant, um kleinere Schlachtstätten unbürokratisch zu erhalten bzw. zu fördern?</w:t>
            </w:r>
          </w:p>
          <w:p w:rsidR="00BD06BB" w:rsidRDefault="00BD06BB" w:rsidP="00BD06BB">
            <w:pPr>
              <w:pStyle w:val="LTAnfrageText"/>
            </w:pPr>
          </w:p>
        </w:tc>
      </w:tr>
    </w:tbl>
    <w:p w:rsidR="00BD06BB" w:rsidRDefault="00BD06BB" w:rsidP="00BD06BB">
      <w:pPr>
        <w:pStyle w:val="LTUeberschrAntwortRessort"/>
      </w:pPr>
      <w:r>
        <w:t>Antwort des Staatsministeriums für Umwelt und Verbraucherschutz</w:t>
      </w:r>
    </w:p>
    <w:p w:rsidR="00BD06BB" w:rsidRDefault="00BD06BB" w:rsidP="00BD06BB">
      <w:pPr>
        <w:pStyle w:val="LTAntwortRessortText"/>
      </w:pPr>
      <w:r>
        <w:t>Die Möglichkeit</w:t>
      </w:r>
      <w:r w:rsidR="00995EA1">
        <w:t>,</w:t>
      </w:r>
      <w:r>
        <w:t xml:space="preserve"> die Weideschlachtung zu stärken</w:t>
      </w:r>
      <w:r w:rsidR="00995EA1">
        <w:t>,</w:t>
      </w:r>
      <w:r>
        <w:t xml:space="preserve"> ist ausdrücklich im Koalitionsvertrag festgelegt. Die Schlachtung auf dem Hof bzw. im Haltungsbetrieb ist aus Tierschutzsicht zu begrüßen, da beispielsweise der Transport der Tiere entfällt.</w:t>
      </w:r>
    </w:p>
    <w:p w:rsidR="00BD06BB" w:rsidRDefault="00BD06BB" w:rsidP="00BD06BB">
      <w:pPr>
        <w:pStyle w:val="LTAntwortRessortText"/>
      </w:pPr>
      <w:r>
        <w:t xml:space="preserve">Nach EU-Recht sind Haustiere grundsätzlich im zugelassenen </w:t>
      </w:r>
      <w:r w:rsidR="00883D08">
        <w:t>Schlachthof zu schlachten. Aufg</w:t>
      </w:r>
      <w:r>
        <w:t>rund einer nationalen Ausnahmeregelung (Tierische Lebensmittelhygiene-Verordnung) besteht die Möglichkeit</w:t>
      </w:r>
      <w:r w:rsidR="00995EA1">
        <w:t>,</w:t>
      </w:r>
      <w:r>
        <w:t xml:space="preserve"> ganzjährig im Freien gehaltene Rinder mit Genehmigung der Behörde am Herkunftsort zu schlachten. Bei Rindern aus anderen Haltungssystemen sowie Schweinen und anderen Haustieren ist dies rechtlich nicht möglich. Hier können für die Schlachtung am Herkunftsort teilmobile oder mobile zugelassene Schlachtanlagen eingesetzt werden. Teilmobile Schlachtanlagen sind in Bayern bereits zugelassen. Vollmobile Anlagen, bei denen der gesamte Schlachtprozess in einer mobilen Einheit stattfindet, sind bislang in Bayern noch nicht im Einsatz.</w:t>
      </w:r>
    </w:p>
    <w:p w:rsidR="00BD06BB" w:rsidRDefault="00BD06BB" w:rsidP="00BD06BB">
      <w:pPr>
        <w:pStyle w:val="LTAntwortRessortText"/>
      </w:pPr>
      <w:r>
        <w:t>Eine über die aktuelle Rechtslage hinausgehende Erweiterung der lebensmittelrechtlichen Ausnahmeregelung zum Schlachten von Haustieren am Herkunftsort ist derzeit nicht zu erwarten. Bereits seit Inkrafttreten des EU-Hygienepakets nutzen die bayerischen Veterinärbehörden die rechtlich gegebenen Spielräume zur flexiblen, praxisnahen Auslegung der Vorschriften. Die tierschutzrechtlichen Bestimmungen sowie das hohe Niveau der Lebensmittelsicherheit müssen jedoch in jedem Fall gewährleistet sein.</w:t>
      </w:r>
    </w:p>
    <w:p w:rsidR="00BD06BB" w:rsidRDefault="00BD06BB" w:rsidP="00BD06BB">
      <w:pPr>
        <w:pStyle w:val="LTAntwortRessortText"/>
      </w:pPr>
      <w:r>
        <w:t>Für eine sichere und effektive Betäubung steht auch bei der Weideschlachtung der Bolzenschuss zur Verfügung. Ein Kugelschuss kommt primär dann in Betracht, wenn die Rinder den menschlichen Kontakt nicht gewöhnt sind.</w:t>
      </w:r>
    </w:p>
    <w:p w:rsidR="00BD06BB" w:rsidRDefault="00BD06BB" w:rsidP="00BD06BB">
      <w:pPr>
        <w:pStyle w:val="LTAntwortRessortText"/>
      </w:pPr>
      <w:r>
        <w:t>Das Staatsministerium für Ernährung, Landwirtschaft und Forsten te</w:t>
      </w:r>
      <w:r w:rsidR="00883D08">
        <w:t>ilt zu den Fördermöglichkeiten F</w:t>
      </w:r>
      <w:r>
        <w:t>olgendes mit:</w:t>
      </w:r>
    </w:p>
    <w:p w:rsidR="00BD06BB" w:rsidRDefault="00BD06BB" w:rsidP="00883D08">
      <w:pPr>
        <w:pStyle w:val="LTAntwortRessortText"/>
        <w:spacing w:before="120"/>
      </w:pPr>
      <w:r>
        <w:t>Die Staatsregierung bietet die Programme VuVregio</w:t>
      </w:r>
      <w:r w:rsidR="00995EA1">
        <w:t>/</w:t>
      </w:r>
      <w:r>
        <w:t>VuVöko und Marktstrukturverbesserung zur Förderung von Unternehmen der Verarbeitung und Vermarktung, deren Tätigkeit sich nicht gleichzeitig auf die Produktion landwirtschaftlicher Erzeugnisse (Primärproduktion) bezieht, an. Förderfähig sind Investitionen in die Zerlegung, Verarbeitung und Kühlung, bei Kleinst- und kleinen Unternehmen auch die Schlachtung. Mobile Schlachteinrichtungen, die hofnahe Schlachtungen ermöglichen, sind als Teil eines zugelassenen Schlachtbetriebes förderfähig. Sind diese Unternehmen mit der Erzeugerseite verbunden, muss ein gewisser Anteil an Schlachtvieh von anderen Erzeugern aufgenommen werden.</w:t>
      </w:r>
    </w:p>
    <w:p w:rsidR="00BD06BB" w:rsidRDefault="00BD06BB" w:rsidP="00BD06BB">
      <w:pPr>
        <w:pStyle w:val="LTAntwortRessortText"/>
      </w:pPr>
      <w:r>
        <w:t>In der einzelbetrieblichen Investitionsförderung sind Räume zum Zerlegen (Zerwirken), Verarbeiten, Kühlen und Vermarkten von Fleisch im Rahmen der Direktvermarktung sowohl beim Agrarinvestiti</w:t>
      </w:r>
      <w:r w:rsidR="00995EA1">
        <w:t>onsförderprogramm (nur Anhang I-</w:t>
      </w:r>
      <w:r>
        <w:t>Produkte) als auch in der Diversifizierungsförderung</w:t>
      </w:r>
      <w:r w:rsidR="00995EA1">
        <w:t xml:space="preserve"> (nicht ausschließlich Anhang I-</w:t>
      </w:r>
      <w:r>
        <w:t>Produkte) förderfähig. Investitionen im Schlachtbereich sind jedoch in beiden Teilprogrammen von der Förderung ausgeschlossen.</w:t>
      </w:r>
    </w:p>
    <w:p w:rsidR="00BD06BB" w:rsidRDefault="00BD06BB" w:rsidP="00BD06BB">
      <w:pPr>
        <w:pStyle w:val="LTAntwortRessortText"/>
      </w:pPr>
      <w:r>
        <w:t>Einzelheiten zu den Förderprogrammen finden sich im Förderwegweiser des Staatsministeriums für Ernährung, Landwirtschaft und Forsten.</w:t>
      </w:r>
    </w:p>
    <w:p w:rsidR="00BD06BB" w:rsidRDefault="00BD06BB" w:rsidP="00883D08">
      <w:pPr>
        <w:pStyle w:val="LTAntwortRessortText"/>
        <w:spacing w:before="60"/>
      </w:pPr>
      <w:r>
        <w:t>(</w:t>
      </w:r>
      <w:hyperlink r:id="rId19" w:history="1">
        <w:r w:rsidR="00883D08" w:rsidRPr="00390D1C">
          <w:rPr>
            <w:rStyle w:val="Hyperlink"/>
          </w:rPr>
          <w:t>http://www.stmelf.bayern.de/agrarpolitik/foerderung/003555/index.php</w:t>
        </w:r>
      </w:hyperlink>
      <w:r>
        <w:t>)</w:t>
      </w:r>
      <w:r w:rsidR="00883D08">
        <w:t xml:space="preserve">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Martin</w:t>
            </w:r>
            <w:r w:rsidRPr="00BD06BB">
              <w:rPr>
                <w:b/>
              </w:rPr>
              <w:br/>
              <w:t>Stümpfig</w:t>
            </w:r>
            <w:r w:rsidRPr="00BD06BB">
              <w:rPr>
                <w:b/>
              </w:rPr>
              <w:br/>
            </w:r>
            <w:r w:rsidRPr="00BD06BB">
              <w:t>(BÜNDNIS 90/DIE GRÜNEN)</w:t>
            </w:r>
            <w:r>
              <w:fldChar w:fldCharType="begin"/>
            </w:r>
            <w:r>
              <w:instrText xml:space="preserve"> XE </w:instrText>
            </w:r>
            <w:r w:rsidR="007B3866">
              <w:instrText>„</w:instrText>
            </w:r>
            <w:r>
              <w:instrText xml:space="preserve">Stümpfig, Martin (BÜNDNIS 90/DIE GRÜNEN):Jugendklimakonferenzen </w:instrText>
            </w:r>
            <w:r>
              <w:fldChar w:fldCharType="end"/>
            </w:r>
            <w:r>
              <w:fldChar w:fldCharType="begin"/>
            </w:r>
            <w:r>
              <w:instrText xml:space="preserve"> TC </w:instrText>
            </w:r>
            <w:r w:rsidR="007B3866">
              <w:instrText>„</w:instrText>
            </w:r>
            <w:r>
              <w:instrText>Stümpfig, Martin (BÜNDNIS 90/DIE GRÜNEN)</w:instrText>
            </w:r>
            <w:r>
              <w:br/>
              <w:instrText xml:space="preserve">Jugendklimakonferenzen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Nachdem nun die beiden vom Staatsminister für Umwelt und Verbraucherschutz, Thorsten Glauber, initiierten Jugendklima</w:t>
            </w:r>
            <w:r w:rsidR="00995EA1">
              <w:t>-K</w:t>
            </w:r>
            <w:r>
              <w:t xml:space="preserve">onferenzen stattgefunden haben, frage ich die Staatsregierung, wie die wesentlichen Ergebnisse dieser beiden Veranstaltungen veröffentlicht werden, wie sie mit den inhaltlichen Forderungen umgehen wird und wie dieser angestoßene Prozess des Dialogs mit der </w:t>
            </w:r>
            <w:r w:rsidR="007B3866">
              <w:t>„</w:t>
            </w:r>
            <w:r>
              <w:t>Fridays for Future</w:t>
            </w:r>
            <w:r w:rsidR="007B3866">
              <w:t>“</w:t>
            </w:r>
            <w:r>
              <w:t>-Bewegung vonseiten der Staatsregierung im Jahr 2019 fortgeführt werden wird?</w:t>
            </w:r>
          </w:p>
          <w:p w:rsidR="00BD06BB" w:rsidRDefault="00BD06BB" w:rsidP="00BD06BB">
            <w:pPr>
              <w:pStyle w:val="LTAnfrageText"/>
            </w:pPr>
          </w:p>
        </w:tc>
      </w:tr>
    </w:tbl>
    <w:p w:rsidR="00E62A89" w:rsidRDefault="00E62A89" w:rsidP="00BD06BB">
      <w:pPr>
        <w:pStyle w:val="LTUeberschrAntwortRessort"/>
      </w:pPr>
    </w:p>
    <w:p w:rsidR="00BD06BB" w:rsidRDefault="00BD06BB" w:rsidP="00BD06BB">
      <w:pPr>
        <w:pStyle w:val="LTUeberschrAntwortRessort"/>
      </w:pPr>
      <w:r>
        <w:t>Antwort des Staatsministeriums für Umwelt und Verbraucherschutz</w:t>
      </w:r>
    </w:p>
    <w:p w:rsidR="00BD06BB" w:rsidRDefault="00BD06BB" w:rsidP="00BD06BB">
      <w:pPr>
        <w:pStyle w:val="LTAntwortRessortText"/>
      </w:pPr>
      <w:r>
        <w:t>Unter anderem werden die wesentlichen Ergebnisse der Jugendklima</w:t>
      </w:r>
      <w:r w:rsidR="00995EA1">
        <w:t>-K</w:t>
      </w:r>
      <w:r>
        <w:t xml:space="preserve">onferenzen auf dem Internet-Portal </w:t>
      </w:r>
      <w:hyperlink r:id="rId20" w:history="1">
        <w:r w:rsidR="00883D08" w:rsidRPr="00390D1C">
          <w:rPr>
            <w:rStyle w:val="Hyperlink"/>
          </w:rPr>
          <w:t>www.netzwerk.klimajugend.bayern.de</w:t>
        </w:r>
      </w:hyperlink>
      <w:r w:rsidR="00883D08">
        <w:t xml:space="preserve"> </w:t>
      </w:r>
      <w:r>
        <w:t xml:space="preserve">veröffentlicht. Inhaltlich wird die Staatregierung einiges in die Arbeiten zum künftigen bayerischen Klimaschutzgesetz einfließen lassen. Und im Sinne einer Verstetigung der Kommunikation wird die Dialog- und Vernetzungsplattform aus den Jugend-Klimakonferenzen fortgeführt. Im Jahr </w:t>
      </w:r>
      <w:r w:rsidR="00883D08">
        <w:t xml:space="preserve">2020 </w:t>
      </w:r>
      <w:r>
        <w:t>soll das Format Jugendklimakonferenz wiederholt werden.</w:t>
      </w:r>
    </w:p>
    <w:p w:rsidR="00E62A89" w:rsidRDefault="00E62A89">
      <w:pPr>
        <w:rPr>
          <w:rFonts w:cs="Arial"/>
          <w:b/>
          <w:sz w:val="22"/>
          <w:szCs w:val="22"/>
        </w:rPr>
      </w:pPr>
      <w:r>
        <w:br w:type="page"/>
      </w:r>
    </w:p>
    <w:p w:rsidR="00BD06BB" w:rsidRDefault="00BD06BB" w:rsidP="00BD06BB">
      <w:pPr>
        <w:pStyle w:val="LTUeberschrRessort"/>
      </w:pPr>
      <w:r>
        <w:t>Geschäftsbereich des Staatsministeriums für Ernährung, Landwirtschaft und Forsten</w:t>
      </w:r>
      <w:r>
        <w:fldChar w:fldCharType="begin"/>
      </w:r>
      <w:r>
        <w:instrText xml:space="preserve"> TC </w:instrText>
      </w:r>
      <w:r w:rsidR="007B3866">
        <w:instrText>„</w:instrText>
      </w:r>
      <w:r>
        <w:instrText>Geschäftsbereich des Staatsministeriums für Ernährung, Landwirtschaft und Forsten</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Martina</w:t>
            </w:r>
            <w:r w:rsidRPr="00BD06BB">
              <w:rPr>
                <w:b/>
              </w:rPr>
              <w:br/>
              <w:t>Fehlner</w:t>
            </w:r>
            <w:r w:rsidRPr="00BD06BB">
              <w:rPr>
                <w:b/>
              </w:rPr>
              <w:br/>
            </w:r>
            <w:r w:rsidRPr="00BD06BB">
              <w:t>(SPD)</w:t>
            </w:r>
            <w:r>
              <w:fldChar w:fldCharType="begin"/>
            </w:r>
            <w:r>
              <w:instrText xml:space="preserve"> XE </w:instrText>
            </w:r>
            <w:r w:rsidR="007B3866">
              <w:instrText>„</w:instrText>
            </w:r>
            <w:r>
              <w:instrText xml:space="preserve">Fehlner, Martina (SPD):Gewerbliche Nutztierhaltung in Bayern </w:instrText>
            </w:r>
            <w:r>
              <w:fldChar w:fldCharType="end"/>
            </w:r>
            <w:r>
              <w:fldChar w:fldCharType="begin"/>
            </w:r>
            <w:r>
              <w:instrText xml:space="preserve"> TC </w:instrText>
            </w:r>
            <w:r w:rsidR="007B3866">
              <w:instrText>„</w:instrText>
            </w:r>
            <w:r>
              <w:instrText>Fehlner, Martina (SPD)</w:instrText>
            </w:r>
            <w:r>
              <w:br/>
              <w:instrText xml:space="preserve">Gewerbliche Nutztierhaltung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wie viele gewerbliche Nutztierhalter gibt es in Bayern (bitte in Anzahl der Halter, Tierarten und Tierplätze, aufgeschlüsselt nach Regierungsbezirk und Landkreis angeben), wie viele der gewerblichen Tierhalter wirtschaften ohne Fläche</w:t>
            </w:r>
            <w:r w:rsidR="007B3866">
              <w:t xml:space="preserve"> </w:t>
            </w:r>
            <w:r>
              <w:t>(bitte Darstellung der jeweiligen Tierarten und Tierplätze, aufgeschlüsselt nach Regierungsbezirk und Landkreis) und wie entwickelte sich die gewerbliche Tierhaltung in den vergangenen zehn Jahren in Bayern?</w:t>
            </w:r>
          </w:p>
          <w:p w:rsidR="00BD06BB" w:rsidRDefault="00BD06BB" w:rsidP="00BD06BB">
            <w:pPr>
              <w:pStyle w:val="LTAnfrageText"/>
            </w:pPr>
          </w:p>
        </w:tc>
      </w:tr>
    </w:tbl>
    <w:p w:rsidR="00BD06BB" w:rsidRDefault="00BD06BB" w:rsidP="00BD06BB">
      <w:pPr>
        <w:pStyle w:val="LTUeberschrAntwortRessort"/>
      </w:pPr>
      <w:r>
        <w:t>Antwort des Staatsministeriums für Ernährung, Landwirtschaft und Forsten</w:t>
      </w:r>
    </w:p>
    <w:p w:rsidR="00BD06BB" w:rsidRDefault="00BD06BB" w:rsidP="00BD06BB">
      <w:pPr>
        <w:pStyle w:val="LTAntwortRessortText"/>
      </w:pPr>
      <w:r>
        <w:t xml:space="preserve">Tierhalter werden gemäß § </w:t>
      </w:r>
      <w:r w:rsidR="00622505">
        <w:t>51</w:t>
      </w:r>
      <w:r>
        <w:t>a Bewertu</w:t>
      </w:r>
      <w:r w:rsidR="002C4147">
        <w:t>ngsgesetz (BewG) als gewerbliche Unternehmer eingestuft, wenn s</w:t>
      </w:r>
      <w:r>
        <w:t xml:space="preserve">ie die dort aufgeführten Grenzen (Vieheinheiten je Hektar) überschreiten. </w:t>
      </w:r>
    </w:p>
    <w:p w:rsidR="00BD06BB" w:rsidRDefault="00BD06BB" w:rsidP="00BD06BB">
      <w:pPr>
        <w:pStyle w:val="LTAntwortRessortText"/>
      </w:pPr>
      <w:r>
        <w:t xml:space="preserve">Nach § 201 Baugesetzbuch (BauGB) in Verbindung mit § 35 Abs. 1 </w:t>
      </w:r>
      <w:r w:rsidR="00622505">
        <w:t xml:space="preserve">BauGB </w:t>
      </w:r>
      <w:r>
        <w:t>liegt eine gewerbliche Tierhaltung vor, wenn das Futter nicht überwiegend auf den zum landwirtschaftlichen Betrieb g</w:t>
      </w:r>
      <w:r w:rsidR="002C4147">
        <w:t>ehörenden landwirtschaftlich ge</w:t>
      </w:r>
      <w:r>
        <w:t xml:space="preserve">nutzten Flächen erzeugt werden kann. </w:t>
      </w:r>
    </w:p>
    <w:p w:rsidR="00BD06BB" w:rsidRDefault="00BD06BB" w:rsidP="00BD06BB">
      <w:pPr>
        <w:pStyle w:val="LTAntwortRessortText"/>
      </w:pPr>
      <w:r>
        <w:t>Der Anfrage entsprechende Daten zu beiden Definitionen liegen der Staatsregierung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BD06BB" w:rsidTr="00BD06BB">
        <w:tc>
          <w:tcPr>
            <w:tcW w:w="2050" w:type="dxa"/>
            <w:shd w:val="clear" w:color="auto" w:fill="auto"/>
          </w:tcPr>
          <w:p w:rsidR="00BD06BB" w:rsidRPr="00BD06BB" w:rsidRDefault="00BD06BB" w:rsidP="002B66E9">
            <w:pPr>
              <w:pStyle w:val="LTAnfrageIni1"/>
              <w:ind w:right="-257"/>
            </w:pPr>
            <w:r w:rsidRPr="00BD06BB">
              <w:t>Abgeordneter</w:t>
            </w:r>
            <w:r w:rsidRPr="00BD06BB">
              <w:br/>
            </w:r>
            <w:r w:rsidRPr="00BD06BB">
              <w:rPr>
                <w:b/>
              </w:rPr>
              <w:t>Andreas</w:t>
            </w:r>
            <w:r w:rsidRPr="00BD06BB">
              <w:rPr>
                <w:b/>
              </w:rPr>
              <w:br/>
              <w:t>Krahl</w:t>
            </w:r>
            <w:r w:rsidRPr="00BD06BB">
              <w:rPr>
                <w:b/>
              </w:rPr>
              <w:br/>
            </w:r>
            <w:r w:rsidRPr="00BD06BB">
              <w:t>(BÜNDNIS 90/DIE GRÜNEN)</w:t>
            </w:r>
            <w:r>
              <w:fldChar w:fldCharType="begin"/>
            </w:r>
            <w:r>
              <w:instrText xml:space="preserve"> XE </w:instrText>
            </w:r>
            <w:r w:rsidR="007B3866">
              <w:instrText>„</w:instrText>
            </w:r>
            <w:r>
              <w:instrText xml:space="preserve">Krahl, Andreas (BÜNDNIS 90/DIE GRÜNEN):Entwicklung der Schülerinnen- und Schülerzahlen der Landwirtschaftsschule Weilheim in Obb. im Verlauf der vergangenen Dekade </w:instrText>
            </w:r>
            <w:r>
              <w:fldChar w:fldCharType="end"/>
            </w:r>
            <w:r>
              <w:fldChar w:fldCharType="begin"/>
            </w:r>
            <w:r>
              <w:instrText xml:space="preserve"> TC </w:instrText>
            </w:r>
            <w:r w:rsidR="007B3866">
              <w:instrText>„</w:instrText>
            </w:r>
            <w:r>
              <w:instrText>Krahl, Andreas (BÜNDNIS 90/DIE GRÜNEN)</w:instrText>
            </w:r>
            <w:r>
              <w:br/>
              <w:instrText xml:space="preserve">Entwicklung der Schülerinnen- und Schülerzahlen der Landwirtschaftsschule Weilheim in Obb. im Verlauf der vergangenen Dekade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wie war die Entwicklung der Schülerinnen- und Schülerzahl der Landwirtschaftsschule Weilheim i. OB in den letzten zehn Jahren (aufgeschlüsselt nach konventionellem und ökologischem Landbau) und wie plant die Staatsregierung auf den aus dieser Entwicklung ersichtlichen Trend zu reagieren?</w:t>
            </w:r>
          </w:p>
          <w:p w:rsidR="00BD06BB" w:rsidRDefault="00BD06BB" w:rsidP="00BD06BB">
            <w:pPr>
              <w:pStyle w:val="LTAnfrageText"/>
            </w:pPr>
          </w:p>
        </w:tc>
      </w:tr>
    </w:tbl>
    <w:p w:rsidR="00BD06BB" w:rsidRDefault="00BD06BB" w:rsidP="00BD06BB">
      <w:pPr>
        <w:pStyle w:val="LTUeberschrAntwortRessort"/>
      </w:pPr>
      <w:r>
        <w:t>Antwort des Staatsministeriums für Ernährung, Landwirtschaft und Forsten</w:t>
      </w:r>
    </w:p>
    <w:p w:rsidR="000C34A0" w:rsidRDefault="00A94701" w:rsidP="00BD06BB">
      <w:pPr>
        <w:pStyle w:val="LTAntwortRessortText"/>
      </w:pPr>
      <w:r>
        <w:t>Die Entwicklung der Schüler</w:t>
      </w:r>
      <w:r w:rsidR="00BD06BB">
        <w:t>innen</w:t>
      </w:r>
      <w:r>
        <w:t>- und Schüler</w:t>
      </w:r>
      <w:r w:rsidR="00BD06BB">
        <w:t xml:space="preserve">zahl der Landwirtschaftsschule und der Staatlichen Fachschule für Agrarwirtschaft, Fachrichtung ökologischer Landbau in Weilheim (gegründet am </w:t>
      </w:r>
      <w:r>
        <w:t>01.03.</w:t>
      </w:r>
      <w:r w:rsidR="00BD06BB">
        <w:t>2013</w:t>
      </w:r>
      <w:r>
        <w:t xml:space="preserve">) ist aus der </w:t>
      </w:r>
      <w:r w:rsidR="00BD06BB">
        <w:t>Tabelle</w:t>
      </w:r>
      <w:r w:rsidR="00846C60">
        <w:t>*</w:t>
      </w:r>
      <w:r w:rsidR="00BD06BB">
        <w:t xml:space="preserve"> ersichtlich. Derzeit (Stand </w:t>
      </w:r>
      <w:r>
        <w:t>08.04.</w:t>
      </w:r>
      <w:r w:rsidR="00BD06BB">
        <w:t xml:space="preserve">2019) liegen für die Landwirtschaftsschule elf feste Anmeldungen und fünf Absichtsbekundungen vor (Anmeldeschluss </w:t>
      </w:r>
      <w:r>
        <w:t>01.09.</w:t>
      </w:r>
      <w:r w:rsidR="00BD06BB">
        <w:t xml:space="preserve">2019). Für die Staatliche Fachschule für Agrarwirtschaft, Fachrichtung Ökologischer Landbau liegen 21 feste Anmeldungen vor (Anmeldeschluss </w:t>
      </w:r>
      <w:r>
        <w:t>01.07.</w:t>
      </w:r>
      <w:r w:rsidR="00BD06BB">
        <w:t xml:space="preserve"> 2019). In Deutschland gibt es derzeit vier staatliche Fachschulen für ökologischen Landbau. Zwei der vier Schulen stehen in Bayern. Die staatlichen Fachschulen in Bayern werden stetig weiterentwickelt entsprechend der Anmeldungszahlen.</w:t>
      </w:r>
    </w:p>
    <w:p w:rsidR="00846C60" w:rsidRDefault="00846C60" w:rsidP="005F13BE">
      <w:pPr>
        <w:pStyle w:val="LTAntwortRessortText"/>
        <w:rPr>
          <w:sz w:val="24"/>
          <w:vertAlign w:val="superscript"/>
        </w:rPr>
      </w:pPr>
      <w:r w:rsidRPr="00846C60">
        <w:rPr>
          <w:sz w:val="24"/>
          <w:vertAlign w:val="superscript"/>
        </w:rPr>
        <w:t xml:space="preserve">*) Von einem Abdruck wurde abgesehen. Die Anlage ist als pdf-Dokument </w:t>
      </w:r>
      <w:hyperlink r:id="rId21" w:history="1">
        <w:r w:rsidRPr="00846C60">
          <w:rPr>
            <w:rStyle w:val="Hyperlink"/>
            <w:sz w:val="24"/>
            <w:vertAlign w:val="superscript"/>
          </w:rPr>
          <w:t>hier</w:t>
        </w:r>
      </w:hyperlink>
      <w:r w:rsidRPr="00846C60">
        <w:rPr>
          <w:sz w:val="24"/>
          <w:vertAlign w:val="superscript"/>
        </w:rPr>
        <w:t xml:space="preserve"> einsehbar.</w:t>
      </w:r>
    </w:p>
    <w:p w:rsidR="00F9711C" w:rsidRPr="00846C60" w:rsidRDefault="00F9711C" w:rsidP="005F13BE">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BD06BB" w:rsidTr="00846C60">
        <w:tc>
          <w:tcPr>
            <w:tcW w:w="1802" w:type="dxa"/>
            <w:shd w:val="clear" w:color="auto" w:fill="auto"/>
          </w:tcPr>
          <w:p w:rsidR="00BD06BB" w:rsidRPr="00BD06BB" w:rsidRDefault="00BD06BB" w:rsidP="00A94701">
            <w:pPr>
              <w:pStyle w:val="LTAnfrageIni1"/>
              <w:ind w:right="-107"/>
            </w:pPr>
            <w:r w:rsidRPr="00BD06BB">
              <w:t>Abgeordnete</w:t>
            </w:r>
            <w:r w:rsidRPr="00BD06BB">
              <w:br/>
            </w:r>
            <w:r w:rsidRPr="00BD06BB">
              <w:rPr>
                <w:b/>
              </w:rPr>
              <w:t>Eva</w:t>
            </w:r>
            <w:r w:rsidRPr="00BD06BB">
              <w:rPr>
                <w:b/>
              </w:rPr>
              <w:br/>
              <w:t>Lettenbauer</w:t>
            </w:r>
            <w:r w:rsidRPr="00BD06BB">
              <w:rPr>
                <w:b/>
              </w:rPr>
              <w:br/>
            </w:r>
            <w:r w:rsidRPr="00BD06BB">
              <w:t>(BÜNDNIS 90/DIE GRÜNEN)</w:t>
            </w:r>
            <w:r>
              <w:fldChar w:fldCharType="begin"/>
            </w:r>
            <w:r>
              <w:instrText xml:space="preserve"> XE </w:instrText>
            </w:r>
            <w:r w:rsidR="007B3866">
              <w:instrText>„</w:instrText>
            </w:r>
            <w:r>
              <w:instrText xml:space="preserve">Lettenbauer, Eva (BÜNDNIS 90/DIE GRÜNEN):Landwirtschaftliche Entwicklung in den Landkreisen Donau-Ries und Dillingen a. d. Donau </w:instrText>
            </w:r>
            <w:r>
              <w:fldChar w:fldCharType="end"/>
            </w:r>
            <w:r>
              <w:fldChar w:fldCharType="begin"/>
            </w:r>
            <w:r>
              <w:instrText xml:space="preserve"> TC </w:instrText>
            </w:r>
            <w:r w:rsidR="007B3866">
              <w:instrText>„</w:instrText>
            </w:r>
            <w:r>
              <w:instrText>Lettenbauer, Eva (BÜNDNIS 90/DIE GRÜNEN)</w:instrText>
            </w:r>
            <w:r>
              <w:br/>
              <w:instrText xml:space="preserve">Landwirtschaftliche Entwicklung in den Landkreisen Donau-Ries und Dillingen a. d. Donau </w:instrText>
            </w:r>
            <w:r w:rsidR="007B3866">
              <w:instrText>„</w:instrText>
            </w:r>
            <w:r>
              <w:instrText xml:space="preserve"> \l 2 </w:instrText>
            </w:r>
            <w:r>
              <w:fldChar w:fldCharType="end"/>
            </w:r>
          </w:p>
        </w:tc>
        <w:tc>
          <w:tcPr>
            <w:tcW w:w="5814" w:type="dxa"/>
            <w:shd w:val="clear" w:color="auto" w:fill="auto"/>
          </w:tcPr>
          <w:p w:rsidR="00BD06BB" w:rsidRDefault="00BD06BB" w:rsidP="00BD06BB">
            <w:pPr>
              <w:pStyle w:val="LTAnfrageText"/>
            </w:pPr>
            <w:r>
              <w:t>Ich frage die Staatsregierung, wie hat sich in den Landkreisen Donau-Ries und Dillingen a. d. Donau in den letzten zehn Jahren (ein identischer, jährlicher Stichtag genügt bei allen drei Unterfragen) jeweils die Anzahl der landwirtschaftlichen Nutztiere entwickelt (bitte nach Nutztierart aufschlüsseln), in welchem Umfang hat sich die Größe der landwirtschaftlich genutzten Fläche verändert und wie viele Stallneubauten (nach Nutzierart) wurden genehmigt?</w:t>
            </w:r>
          </w:p>
          <w:p w:rsidR="00BD06BB" w:rsidRDefault="00BD06BB" w:rsidP="00BD06BB">
            <w:pPr>
              <w:pStyle w:val="LTAnfrageText"/>
            </w:pPr>
          </w:p>
        </w:tc>
      </w:tr>
    </w:tbl>
    <w:p w:rsidR="00BD06BB" w:rsidRDefault="00BD06BB" w:rsidP="00F9711C">
      <w:pPr>
        <w:pStyle w:val="LTUeberschrAntwortRessort"/>
        <w:spacing w:before="960"/>
      </w:pPr>
      <w:r>
        <w:t>Antwort des Staatsministeriums für Ernährung, Landwirtschaft und Forsten</w:t>
      </w:r>
    </w:p>
    <w:p w:rsidR="00BD06BB" w:rsidRDefault="00BD06BB" w:rsidP="00BD06BB">
      <w:pPr>
        <w:pStyle w:val="LTAntwortRessortText"/>
      </w:pPr>
      <w:r>
        <w:t>Die Anzahl der landwirtschaftlichen Nutztiere in den letzten zehn Jahren in den Landkreisen Donau-Ries und Dillingen a.</w:t>
      </w:r>
      <w:r w:rsidR="00594FFD">
        <w:t xml:space="preserve"> </w:t>
      </w:r>
      <w:r>
        <w:t xml:space="preserve">d. Donau hat sich laut den Agrarberichten 2008 und 2018 wie folgt entwickelt: </w:t>
      </w:r>
    </w:p>
    <w:p w:rsidR="00BD06BB" w:rsidRDefault="00BD06BB" w:rsidP="00BD06BB">
      <w:pPr>
        <w:pStyle w:val="LTAntwortRessortText"/>
      </w:pPr>
    </w:p>
    <w:tbl>
      <w:tblPr>
        <w:tblStyle w:val="Tabellenraster"/>
        <w:tblW w:w="9322" w:type="dxa"/>
        <w:tblInd w:w="-147" w:type="dxa"/>
        <w:tblLook w:val="04A0" w:firstRow="1" w:lastRow="0" w:firstColumn="1" w:lastColumn="0" w:noHBand="0" w:noVBand="1"/>
      </w:tblPr>
      <w:tblGrid>
        <w:gridCol w:w="2297"/>
        <w:gridCol w:w="1355"/>
        <w:gridCol w:w="1134"/>
        <w:gridCol w:w="1134"/>
        <w:gridCol w:w="1134"/>
        <w:gridCol w:w="1134"/>
        <w:gridCol w:w="1134"/>
      </w:tblGrid>
      <w:tr w:rsidR="00594FFD" w:rsidRPr="00594FFD" w:rsidTr="00594FFD">
        <w:trPr>
          <w:trHeight w:val="479"/>
        </w:trPr>
        <w:tc>
          <w:tcPr>
            <w:tcW w:w="2297" w:type="dxa"/>
            <w:noWrap/>
            <w:hideMark/>
          </w:tcPr>
          <w:p w:rsidR="00594FFD" w:rsidRPr="00594FFD" w:rsidRDefault="00594FFD" w:rsidP="00127E77">
            <w:pPr>
              <w:spacing w:line="400" w:lineRule="exact"/>
              <w:jc w:val="both"/>
              <w:rPr>
                <w:sz w:val="16"/>
                <w:szCs w:val="16"/>
              </w:rPr>
            </w:pPr>
          </w:p>
        </w:tc>
        <w:tc>
          <w:tcPr>
            <w:tcW w:w="2489" w:type="dxa"/>
            <w:gridSpan w:val="2"/>
            <w:noWrap/>
            <w:vAlign w:val="center"/>
            <w:hideMark/>
          </w:tcPr>
          <w:p w:rsidR="00594FFD" w:rsidRPr="00594FFD" w:rsidRDefault="00594FFD" w:rsidP="00594FFD">
            <w:pPr>
              <w:spacing w:line="276" w:lineRule="auto"/>
              <w:rPr>
                <w:b/>
                <w:bCs/>
                <w:sz w:val="16"/>
                <w:szCs w:val="16"/>
              </w:rPr>
            </w:pPr>
            <w:r w:rsidRPr="00594FFD">
              <w:rPr>
                <w:b/>
                <w:bCs/>
                <w:sz w:val="16"/>
                <w:szCs w:val="16"/>
              </w:rPr>
              <w:t>Zahl der Rinder</w:t>
            </w:r>
            <w:r>
              <w:rPr>
                <w:b/>
                <w:bCs/>
                <w:sz w:val="16"/>
                <w:szCs w:val="16"/>
              </w:rPr>
              <w:br/>
              <w:t>(</w:t>
            </w:r>
            <w:r w:rsidRPr="00594FFD">
              <w:rPr>
                <w:b/>
                <w:bCs/>
                <w:sz w:val="16"/>
                <w:szCs w:val="16"/>
              </w:rPr>
              <w:t>Karte 11)</w:t>
            </w:r>
          </w:p>
        </w:tc>
        <w:tc>
          <w:tcPr>
            <w:tcW w:w="2268" w:type="dxa"/>
            <w:gridSpan w:val="2"/>
            <w:noWrap/>
            <w:vAlign w:val="center"/>
            <w:hideMark/>
          </w:tcPr>
          <w:p w:rsidR="00594FFD" w:rsidRPr="00594FFD" w:rsidRDefault="00594FFD" w:rsidP="00594FFD">
            <w:pPr>
              <w:spacing w:line="276" w:lineRule="auto"/>
              <w:rPr>
                <w:b/>
                <w:bCs/>
                <w:sz w:val="16"/>
                <w:szCs w:val="16"/>
              </w:rPr>
            </w:pPr>
            <w:r w:rsidRPr="00594FFD">
              <w:rPr>
                <w:b/>
                <w:bCs/>
                <w:sz w:val="16"/>
                <w:szCs w:val="16"/>
              </w:rPr>
              <w:t xml:space="preserve">Zahl der Milchkühe </w:t>
            </w:r>
            <w:r>
              <w:rPr>
                <w:b/>
                <w:bCs/>
                <w:sz w:val="16"/>
                <w:szCs w:val="16"/>
              </w:rPr>
              <w:br/>
            </w:r>
            <w:r w:rsidRPr="00594FFD">
              <w:rPr>
                <w:b/>
                <w:bCs/>
                <w:sz w:val="16"/>
                <w:szCs w:val="16"/>
              </w:rPr>
              <w:t>(Karte 12)</w:t>
            </w:r>
          </w:p>
        </w:tc>
        <w:tc>
          <w:tcPr>
            <w:tcW w:w="2268" w:type="dxa"/>
            <w:gridSpan w:val="2"/>
            <w:noWrap/>
            <w:vAlign w:val="center"/>
            <w:hideMark/>
          </w:tcPr>
          <w:p w:rsidR="00594FFD" w:rsidRPr="00594FFD" w:rsidRDefault="00594FFD" w:rsidP="00594FFD">
            <w:pPr>
              <w:spacing w:line="276" w:lineRule="auto"/>
              <w:rPr>
                <w:b/>
                <w:bCs/>
                <w:sz w:val="16"/>
                <w:szCs w:val="16"/>
              </w:rPr>
            </w:pPr>
            <w:r w:rsidRPr="00594FFD">
              <w:rPr>
                <w:b/>
                <w:bCs/>
                <w:sz w:val="16"/>
                <w:szCs w:val="16"/>
              </w:rPr>
              <w:t xml:space="preserve">Zahl der Schweine </w:t>
            </w:r>
            <w:r>
              <w:rPr>
                <w:b/>
                <w:bCs/>
                <w:sz w:val="16"/>
                <w:szCs w:val="16"/>
              </w:rPr>
              <w:br/>
            </w:r>
            <w:r w:rsidRPr="00594FFD">
              <w:rPr>
                <w:b/>
                <w:bCs/>
                <w:sz w:val="16"/>
                <w:szCs w:val="16"/>
              </w:rPr>
              <w:t>(Karte 13)</w:t>
            </w:r>
          </w:p>
        </w:tc>
      </w:tr>
      <w:tr w:rsidR="00594FFD" w:rsidRPr="00594FFD" w:rsidTr="00594FFD">
        <w:trPr>
          <w:trHeight w:val="300"/>
        </w:trPr>
        <w:tc>
          <w:tcPr>
            <w:tcW w:w="2297" w:type="dxa"/>
            <w:noWrap/>
            <w:hideMark/>
          </w:tcPr>
          <w:p w:rsidR="00594FFD" w:rsidRPr="00594FFD" w:rsidRDefault="00594FFD" w:rsidP="00127E77">
            <w:pPr>
              <w:spacing w:line="400" w:lineRule="exact"/>
              <w:jc w:val="both"/>
              <w:rPr>
                <w:sz w:val="16"/>
                <w:szCs w:val="16"/>
              </w:rPr>
            </w:pPr>
          </w:p>
        </w:tc>
        <w:tc>
          <w:tcPr>
            <w:tcW w:w="1355" w:type="dxa"/>
            <w:noWrap/>
            <w:hideMark/>
          </w:tcPr>
          <w:p w:rsidR="00594FFD" w:rsidRPr="00594FFD" w:rsidRDefault="00594FFD" w:rsidP="00127E77">
            <w:pPr>
              <w:spacing w:line="400" w:lineRule="exact"/>
              <w:jc w:val="right"/>
              <w:rPr>
                <w:b/>
                <w:sz w:val="16"/>
                <w:szCs w:val="16"/>
              </w:rPr>
            </w:pPr>
            <w:r w:rsidRPr="00594FFD">
              <w:rPr>
                <w:b/>
                <w:sz w:val="16"/>
                <w:szCs w:val="16"/>
              </w:rPr>
              <w:t>2007</w:t>
            </w:r>
          </w:p>
        </w:tc>
        <w:tc>
          <w:tcPr>
            <w:tcW w:w="1134" w:type="dxa"/>
            <w:noWrap/>
            <w:hideMark/>
          </w:tcPr>
          <w:p w:rsidR="00594FFD" w:rsidRPr="00594FFD" w:rsidRDefault="00594FFD" w:rsidP="00127E77">
            <w:pPr>
              <w:spacing w:line="400" w:lineRule="exact"/>
              <w:jc w:val="right"/>
              <w:rPr>
                <w:b/>
                <w:sz w:val="16"/>
                <w:szCs w:val="16"/>
              </w:rPr>
            </w:pPr>
            <w:r w:rsidRPr="00594FFD">
              <w:rPr>
                <w:b/>
                <w:sz w:val="16"/>
                <w:szCs w:val="16"/>
              </w:rPr>
              <w:t>2017</w:t>
            </w:r>
          </w:p>
        </w:tc>
        <w:tc>
          <w:tcPr>
            <w:tcW w:w="1134" w:type="dxa"/>
            <w:noWrap/>
            <w:hideMark/>
          </w:tcPr>
          <w:p w:rsidR="00594FFD" w:rsidRPr="00594FFD" w:rsidRDefault="00594FFD" w:rsidP="00127E77">
            <w:pPr>
              <w:spacing w:line="400" w:lineRule="exact"/>
              <w:jc w:val="right"/>
              <w:rPr>
                <w:b/>
                <w:sz w:val="16"/>
                <w:szCs w:val="16"/>
              </w:rPr>
            </w:pPr>
            <w:r w:rsidRPr="00594FFD">
              <w:rPr>
                <w:b/>
                <w:sz w:val="16"/>
                <w:szCs w:val="16"/>
              </w:rPr>
              <w:t>2007</w:t>
            </w:r>
          </w:p>
        </w:tc>
        <w:tc>
          <w:tcPr>
            <w:tcW w:w="1134" w:type="dxa"/>
            <w:noWrap/>
            <w:hideMark/>
          </w:tcPr>
          <w:p w:rsidR="00594FFD" w:rsidRPr="00594FFD" w:rsidRDefault="00594FFD" w:rsidP="00127E77">
            <w:pPr>
              <w:spacing w:line="400" w:lineRule="exact"/>
              <w:jc w:val="right"/>
              <w:rPr>
                <w:b/>
                <w:sz w:val="16"/>
                <w:szCs w:val="16"/>
              </w:rPr>
            </w:pPr>
            <w:r w:rsidRPr="00594FFD">
              <w:rPr>
                <w:b/>
                <w:sz w:val="16"/>
                <w:szCs w:val="16"/>
              </w:rPr>
              <w:t>2017</w:t>
            </w:r>
          </w:p>
        </w:tc>
        <w:tc>
          <w:tcPr>
            <w:tcW w:w="1134" w:type="dxa"/>
            <w:noWrap/>
            <w:hideMark/>
          </w:tcPr>
          <w:p w:rsidR="00594FFD" w:rsidRPr="00594FFD" w:rsidRDefault="00594FFD" w:rsidP="00127E77">
            <w:pPr>
              <w:spacing w:line="400" w:lineRule="exact"/>
              <w:jc w:val="right"/>
              <w:rPr>
                <w:b/>
                <w:sz w:val="16"/>
                <w:szCs w:val="16"/>
              </w:rPr>
            </w:pPr>
            <w:r w:rsidRPr="00594FFD">
              <w:rPr>
                <w:b/>
                <w:sz w:val="16"/>
                <w:szCs w:val="16"/>
              </w:rPr>
              <w:t>2007</w:t>
            </w:r>
          </w:p>
        </w:tc>
        <w:tc>
          <w:tcPr>
            <w:tcW w:w="1134" w:type="dxa"/>
            <w:noWrap/>
            <w:hideMark/>
          </w:tcPr>
          <w:p w:rsidR="00594FFD" w:rsidRPr="00594FFD" w:rsidRDefault="00594FFD" w:rsidP="00127E77">
            <w:pPr>
              <w:spacing w:line="400" w:lineRule="exact"/>
              <w:jc w:val="right"/>
              <w:rPr>
                <w:b/>
                <w:sz w:val="16"/>
                <w:szCs w:val="16"/>
              </w:rPr>
            </w:pPr>
            <w:r w:rsidRPr="00594FFD">
              <w:rPr>
                <w:b/>
                <w:sz w:val="16"/>
                <w:szCs w:val="16"/>
              </w:rPr>
              <w:t>2016</w:t>
            </w:r>
          </w:p>
        </w:tc>
      </w:tr>
      <w:tr w:rsidR="00594FFD" w:rsidRPr="00594FFD" w:rsidTr="00594FFD">
        <w:trPr>
          <w:trHeight w:val="290"/>
        </w:trPr>
        <w:tc>
          <w:tcPr>
            <w:tcW w:w="2297" w:type="dxa"/>
            <w:noWrap/>
            <w:hideMark/>
          </w:tcPr>
          <w:p w:rsidR="00594FFD" w:rsidRPr="00594FFD" w:rsidRDefault="00594FFD" w:rsidP="00127E77">
            <w:pPr>
              <w:spacing w:line="400" w:lineRule="exact"/>
              <w:rPr>
                <w:b/>
                <w:bCs/>
                <w:sz w:val="16"/>
                <w:szCs w:val="16"/>
              </w:rPr>
            </w:pPr>
            <w:r w:rsidRPr="00594FFD">
              <w:rPr>
                <w:b/>
                <w:bCs/>
                <w:sz w:val="16"/>
                <w:szCs w:val="16"/>
              </w:rPr>
              <w:t xml:space="preserve">Landkreis Donau-Ries </w:t>
            </w:r>
          </w:p>
        </w:tc>
        <w:tc>
          <w:tcPr>
            <w:tcW w:w="1355" w:type="dxa"/>
            <w:noWrap/>
            <w:hideMark/>
          </w:tcPr>
          <w:p w:rsidR="00594FFD" w:rsidRPr="00594FFD" w:rsidRDefault="00594FFD" w:rsidP="00127E77">
            <w:pPr>
              <w:spacing w:line="400" w:lineRule="exact"/>
              <w:jc w:val="right"/>
              <w:rPr>
                <w:sz w:val="16"/>
                <w:szCs w:val="16"/>
              </w:rPr>
            </w:pPr>
            <w:r w:rsidRPr="00594FFD">
              <w:rPr>
                <w:sz w:val="16"/>
                <w:szCs w:val="16"/>
              </w:rPr>
              <w:t>70.500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56.000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19.000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16.300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173.500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141.000</w:t>
            </w:r>
          </w:p>
        </w:tc>
      </w:tr>
      <w:tr w:rsidR="00594FFD" w:rsidRPr="00594FFD" w:rsidTr="00594FFD">
        <w:trPr>
          <w:trHeight w:val="300"/>
        </w:trPr>
        <w:tc>
          <w:tcPr>
            <w:tcW w:w="2297" w:type="dxa"/>
            <w:noWrap/>
            <w:hideMark/>
          </w:tcPr>
          <w:p w:rsidR="00594FFD" w:rsidRPr="00594FFD" w:rsidRDefault="00594FFD" w:rsidP="00594FFD">
            <w:pPr>
              <w:spacing w:line="360" w:lineRule="auto"/>
              <w:rPr>
                <w:b/>
                <w:bCs/>
                <w:sz w:val="16"/>
                <w:szCs w:val="16"/>
              </w:rPr>
            </w:pPr>
            <w:r w:rsidRPr="00594FFD">
              <w:rPr>
                <w:b/>
                <w:bCs/>
                <w:sz w:val="16"/>
                <w:szCs w:val="16"/>
              </w:rPr>
              <w:t xml:space="preserve">Landkreis Dillingen a. d. Donau </w:t>
            </w:r>
          </w:p>
        </w:tc>
        <w:tc>
          <w:tcPr>
            <w:tcW w:w="1355" w:type="dxa"/>
            <w:noWrap/>
            <w:hideMark/>
          </w:tcPr>
          <w:p w:rsidR="00594FFD" w:rsidRPr="00594FFD" w:rsidRDefault="00594FFD" w:rsidP="00127E77">
            <w:pPr>
              <w:spacing w:line="400" w:lineRule="exact"/>
              <w:jc w:val="right"/>
              <w:rPr>
                <w:sz w:val="16"/>
                <w:szCs w:val="16"/>
              </w:rPr>
            </w:pPr>
            <w:r w:rsidRPr="00594FFD">
              <w:rPr>
                <w:sz w:val="16"/>
                <w:szCs w:val="16"/>
              </w:rPr>
              <w:t>51.300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46.100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13.600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12.300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101.200</w:t>
            </w:r>
          </w:p>
        </w:tc>
        <w:tc>
          <w:tcPr>
            <w:tcW w:w="1134" w:type="dxa"/>
            <w:noWrap/>
            <w:hideMark/>
          </w:tcPr>
          <w:p w:rsidR="00594FFD" w:rsidRPr="00594FFD" w:rsidRDefault="00594FFD" w:rsidP="00127E77">
            <w:pPr>
              <w:spacing w:line="400" w:lineRule="exact"/>
              <w:jc w:val="right"/>
              <w:rPr>
                <w:sz w:val="16"/>
                <w:szCs w:val="16"/>
              </w:rPr>
            </w:pPr>
            <w:r w:rsidRPr="00594FFD">
              <w:rPr>
                <w:sz w:val="16"/>
                <w:szCs w:val="16"/>
              </w:rPr>
              <w:t>104.800</w:t>
            </w:r>
          </w:p>
        </w:tc>
      </w:tr>
    </w:tbl>
    <w:p w:rsidR="00BD06BB" w:rsidRDefault="00BD06BB" w:rsidP="00BD06BB">
      <w:pPr>
        <w:pStyle w:val="LTAntwortRessortText"/>
      </w:pPr>
      <w:r>
        <w:t>Daten zu weiteren Nutztierarten müss</w:t>
      </w:r>
      <w:r w:rsidR="00594FFD">
        <w:t>ten von den Fachverwaltungen ge</w:t>
      </w:r>
      <w:r>
        <w:t xml:space="preserve">sondert ermittelt werden. Dies ist nur </w:t>
      </w:r>
      <w:r w:rsidR="00594FFD">
        <w:t>mit unverhältnismäßig hohem Auf</w:t>
      </w:r>
      <w:r>
        <w:t xml:space="preserve">wand möglich. </w:t>
      </w:r>
    </w:p>
    <w:p w:rsidR="00BD06BB" w:rsidRDefault="00BD06BB" w:rsidP="00BD06BB">
      <w:pPr>
        <w:pStyle w:val="LTAntwortRessortText"/>
      </w:pPr>
      <w:r>
        <w:t>In nachfolgender Tabelle sind die Zahlen zur Landwirtschaftsfläche aus den Agrarberichten 2008 und 2018 dargestellt. Durch die Umstellung der Eingangsdaten vom Automatisierten Liegenschaftsbuch (ALB) auf das Amtliche Liegenschaftskataster-Info</w:t>
      </w:r>
      <w:r w:rsidR="00594FFD">
        <w:t>rmationssystem (ALKIS) mit Über</w:t>
      </w:r>
      <w:r>
        <w:t>gangsphase 2011 bis 2015 und der Änderung der Systematiken ist die Vergleichbarkeit der Daten mit den Vorjahren aus methodischen Gründen erheblich eingeschränkt.</w:t>
      </w:r>
    </w:p>
    <w:p w:rsidR="00594FFD" w:rsidRDefault="00594FFD" w:rsidP="00BD06BB">
      <w:pPr>
        <w:pStyle w:val="LTAntwortRessortText"/>
      </w:pPr>
    </w:p>
    <w:tbl>
      <w:tblPr>
        <w:tblStyle w:val="Tabellenraster"/>
        <w:tblW w:w="8607" w:type="dxa"/>
        <w:tblInd w:w="108" w:type="dxa"/>
        <w:tblLook w:val="04A0" w:firstRow="1" w:lastRow="0" w:firstColumn="1" w:lastColumn="0" w:noHBand="0" w:noVBand="1"/>
      </w:tblPr>
      <w:tblGrid>
        <w:gridCol w:w="2937"/>
        <w:gridCol w:w="2835"/>
        <w:gridCol w:w="2835"/>
      </w:tblGrid>
      <w:tr w:rsidR="00594FFD" w:rsidRPr="00594FFD" w:rsidTr="00127E77">
        <w:trPr>
          <w:trHeight w:val="290"/>
        </w:trPr>
        <w:tc>
          <w:tcPr>
            <w:tcW w:w="2937" w:type="dxa"/>
            <w:noWrap/>
            <w:hideMark/>
          </w:tcPr>
          <w:p w:rsidR="00594FFD" w:rsidRPr="00594FFD" w:rsidRDefault="00594FFD" w:rsidP="00127E77">
            <w:pPr>
              <w:spacing w:line="400" w:lineRule="exact"/>
              <w:jc w:val="both"/>
              <w:rPr>
                <w:sz w:val="18"/>
                <w:szCs w:val="18"/>
              </w:rPr>
            </w:pPr>
          </w:p>
        </w:tc>
        <w:tc>
          <w:tcPr>
            <w:tcW w:w="5670" w:type="dxa"/>
            <w:gridSpan w:val="2"/>
            <w:hideMark/>
          </w:tcPr>
          <w:p w:rsidR="00594FFD" w:rsidRPr="00594FFD" w:rsidRDefault="00594FFD" w:rsidP="00127E77">
            <w:pPr>
              <w:spacing w:line="400" w:lineRule="exact"/>
              <w:rPr>
                <w:b/>
                <w:bCs/>
                <w:sz w:val="18"/>
                <w:szCs w:val="18"/>
              </w:rPr>
            </w:pPr>
            <w:r w:rsidRPr="00594FFD">
              <w:rPr>
                <w:b/>
                <w:bCs/>
                <w:sz w:val="18"/>
                <w:szCs w:val="18"/>
              </w:rPr>
              <w:t>Größe der Landwirtschaftsfläche in ha</w:t>
            </w:r>
          </w:p>
        </w:tc>
      </w:tr>
      <w:tr w:rsidR="00594FFD" w:rsidRPr="00594FFD" w:rsidTr="00127E77">
        <w:trPr>
          <w:trHeight w:val="300"/>
        </w:trPr>
        <w:tc>
          <w:tcPr>
            <w:tcW w:w="2937" w:type="dxa"/>
            <w:noWrap/>
            <w:hideMark/>
          </w:tcPr>
          <w:p w:rsidR="00594FFD" w:rsidRPr="00594FFD" w:rsidRDefault="00594FFD" w:rsidP="00127E77">
            <w:pPr>
              <w:spacing w:line="400" w:lineRule="exact"/>
              <w:jc w:val="both"/>
              <w:rPr>
                <w:sz w:val="18"/>
                <w:szCs w:val="18"/>
              </w:rPr>
            </w:pPr>
          </w:p>
        </w:tc>
        <w:tc>
          <w:tcPr>
            <w:tcW w:w="2835" w:type="dxa"/>
            <w:noWrap/>
            <w:hideMark/>
          </w:tcPr>
          <w:p w:rsidR="00594FFD" w:rsidRPr="00594FFD" w:rsidRDefault="00594FFD" w:rsidP="00127E77">
            <w:pPr>
              <w:spacing w:line="400" w:lineRule="exact"/>
              <w:jc w:val="right"/>
              <w:rPr>
                <w:b/>
                <w:sz w:val="18"/>
                <w:szCs w:val="18"/>
              </w:rPr>
            </w:pPr>
            <w:r w:rsidRPr="00594FFD">
              <w:rPr>
                <w:b/>
                <w:sz w:val="18"/>
                <w:szCs w:val="18"/>
              </w:rPr>
              <w:t>2007</w:t>
            </w:r>
          </w:p>
        </w:tc>
        <w:tc>
          <w:tcPr>
            <w:tcW w:w="2835" w:type="dxa"/>
            <w:noWrap/>
            <w:hideMark/>
          </w:tcPr>
          <w:p w:rsidR="00594FFD" w:rsidRPr="00594FFD" w:rsidRDefault="00594FFD" w:rsidP="00127E77">
            <w:pPr>
              <w:spacing w:line="400" w:lineRule="exact"/>
              <w:jc w:val="right"/>
              <w:rPr>
                <w:b/>
                <w:sz w:val="18"/>
                <w:szCs w:val="18"/>
              </w:rPr>
            </w:pPr>
            <w:r w:rsidRPr="00594FFD">
              <w:rPr>
                <w:b/>
                <w:sz w:val="18"/>
                <w:szCs w:val="18"/>
              </w:rPr>
              <w:t>2017</w:t>
            </w:r>
          </w:p>
        </w:tc>
      </w:tr>
      <w:tr w:rsidR="00594FFD" w:rsidRPr="00594FFD" w:rsidTr="00127E77">
        <w:trPr>
          <w:trHeight w:val="290"/>
        </w:trPr>
        <w:tc>
          <w:tcPr>
            <w:tcW w:w="2937" w:type="dxa"/>
            <w:noWrap/>
            <w:hideMark/>
          </w:tcPr>
          <w:p w:rsidR="00594FFD" w:rsidRPr="00594FFD" w:rsidRDefault="00594FFD" w:rsidP="00127E77">
            <w:pPr>
              <w:spacing w:line="400" w:lineRule="exact"/>
              <w:rPr>
                <w:b/>
                <w:bCs/>
                <w:sz w:val="18"/>
                <w:szCs w:val="18"/>
              </w:rPr>
            </w:pPr>
            <w:r w:rsidRPr="00594FFD">
              <w:rPr>
                <w:b/>
                <w:bCs/>
                <w:sz w:val="18"/>
                <w:szCs w:val="18"/>
              </w:rPr>
              <w:t xml:space="preserve">Landkreis Donau-Ries </w:t>
            </w:r>
          </w:p>
        </w:tc>
        <w:tc>
          <w:tcPr>
            <w:tcW w:w="2835" w:type="dxa"/>
            <w:noWrap/>
            <w:hideMark/>
          </w:tcPr>
          <w:p w:rsidR="00594FFD" w:rsidRPr="00594FFD" w:rsidRDefault="00594FFD" w:rsidP="00127E77">
            <w:pPr>
              <w:spacing w:line="400" w:lineRule="exact"/>
              <w:jc w:val="right"/>
              <w:rPr>
                <w:sz w:val="18"/>
                <w:szCs w:val="18"/>
              </w:rPr>
            </w:pPr>
            <w:r w:rsidRPr="00594FFD">
              <w:rPr>
                <w:sz w:val="18"/>
                <w:szCs w:val="18"/>
              </w:rPr>
              <w:t>77.000</w:t>
            </w:r>
          </w:p>
        </w:tc>
        <w:tc>
          <w:tcPr>
            <w:tcW w:w="2835" w:type="dxa"/>
            <w:noWrap/>
            <w:hideMark/>
          </w:tcPr>
          <w:p w:rsidR="00594FFD" w:rsidRPr="00594FFD" w:rsidRDefault="00594FFD" w:rsidP="00127E77">
            <w:pPr>
              <w:spacing w:line="400" w:lineRule="exact"/>
              <w:jc w:val="right"/>
              <w:rPr>
                <w:sz w:val="18"/>
                <w:szCs w:val="18"/>
              </w:rPr>
            </w:pPr>
            <w:r w:rsidRPr="00594FFD">
              <w:rPr>
                <w:sz w:val="18"/>
                <w:szCs w:val="18"/>
              </w:rPr>
              <w:t>74.400</w:t>
            </w:r>
          </w:p>
        </w:tc>
      </w:tr>
      <w:tr w:rsidR="00594FFD" w:rsidRPr="00594FFD" w:rsidTr="00127E77">
        <w:trPr>
          <w:trHeight w:val="300"/>
        </w:trPr>
        <w:tc>
          <w:tcPr>
            <w:tcW w:w="2937" w:type="dxa"/>
            <w:noWrap/>
            <w:hideMark/>
          </w:tcPr>
          <w:p w:rsidR="00594FFD" w:rsidRPr="00594FFD" w:rsidRDefault="00594FFD" w:rsidP="00127E77">
            <w:pPr>
              <w:spacing w:line="400" w:lineRule="exact"/>
              <w:rPr>
                <w:b/>
                <w:bCs/>
                <w:sz w:val="18"/>
                <w:szCs w:val="18"/>
              </w:rPr>
            </w:pPr>
            <w:r w:rsidRPr="00594FFD">
              <w:rPr>
                <w:b/>
                <w:bCs/>
                <w:sz w:val="18"/>
                <w:szCs w:val="18"/>
              </w:rPr>
              <w:t xml:space="preserve">Landkreis Dillingen a. d. Donau </w:t>
            </w:r>
          </w:p>
        </w:tc>
        <w:tc>
          <w:tcPr>
            <w:tcW w:w="2835" w:type="dxa"/>
            <w:noWrap/>
            <w:hideMark/>
          </w:tcPr>
          <w:p w:rsidR="00594FFD" w:rsidRPr="00594FFD" w:rsidRDefault="00594FFD" w:rsidP="00127E77">
            <w:pPr>
              <w:spacing w:line="400" w:lineRule="exact"/>
              <w:jc w:val="right"/>
              <w:rPr>
                <w:sz w:val="18"/>
                <w:szCs w:val="18"/>
              </w:rPr>
            </w:pPr>
            <w:r w:rsidRPr="00594FFD">
              <w:rPr>
                <w:sz w:val="18"/>
                <w:szCs w:val="18"/>
              </w:rPr>
              <w:t>49.700</w:t>
            </w:r>
          </w:p>
        </w:tc>
        <w:tc>
          <w:tcPr>
            <w:tcW w:w="2835" w:type="dxa"/>
            <w:noWrap/>
            <w:hideMark/>
          </w:tcPr>
          <w:p w:rsidR="00594FFD" w:rsidRPr="00594FFD" w:rsidRDefault="00594FFD" w:rsidP="00127E77">
            <w:pPr>
              <w:spacing w:line="400" w:lineRule="exact"/>
              <w:jc w:val="right"/>
              <w:rPr>
                <w:sz w:val="18"/>
                <w:szCs w:val="18"/>
              </w:rPr>
            </w:pPr>
            <w:r w:rsidRPr="00594FFD">
              <w:rPr>
                <w:sz w:val="18"/>
                <w:szCs w:val="18"/>
              </w:rPr>
              <w:t>47.300</w:t>
            </w:r>
          </w:p>
        </w:tc>
      </w:tr>
    </w:tbl>
    <w:p w:rsidR="00BD06BB" w:rsidRDefault="00BD06BB" w:rsidP="00BD06BB">
      <w:pPr>
        <w:pStyle w:val="LTAntwortRessortText"/>
      </w:pPr>
      <w:r>
        <w:t>Daten zu der Frage</w:t>
      </w:r>
      <w:r w:rsidR="00846C60">
        <w:t>,</w:t>
      </w:r>
      <w:r>
        <w:t xml:space="preserve"> wie viele Stallneubauten (nach Nutztierart) genehmigt wurden, liegen der Staatsregierung nicht vor und müssten daher von den Fachverwaltungen ermittelt werden. Dies ist in der Kürze der Zeit, die für die Beantwortung einer Anfrage zum Plenum zur Verfügung steht, nicht möglich.</w:t>
      </w:r>
    </w:p>
    <w:p w:rsidR="000C34A0" w:rsidRDefault="000C34A0"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Gisela</w:t>
            </w:r>
            <w:r w:rsidRPr="00BD06BB">
              <w:rPr>
                <w:b/>
              </w:rPr>
              <w:br/>
              <w:t>Sengl</w:t>
            </w:r>
            <w:r w:rsidRPr="00BD06BB">
              <w:rPr>
                <w:b/>
              </w:rPr>
              <w:br/>
            </w:r>
            <w:r w:rsidRPr="00BD06BB">
              <w:t>(BÜNDNIS 90/DIE GRÜNEN)</w:t>
            </w:r>
            <w:r>
              <w:fldChar w:fldCharType="begin"/>
            </w:r>
            <w:r>
              <w:instrText xml:space="preserve"> XE </w:instrText>
            </w:r>
            <w:r w:rsidR="007B3866">
              <w:instrText>„</w:instrText>
            </w:r>
            <w:r>
              <w:instrText xml:space="preserve">Sengl, Gisela (BÜNDNIS 90/DIE GRÜNEN):Abschlussprüfungen an Berufs- und Fachschulen </w:instrText>
            </w:r>
            <w:r>
              <w:fldChar w:fldCharType="end"/>
            </w:r>
            <w:r>
              <w:fldChar w:fldCharType="begin"/>
            </w:r>
            <w:r>
              <w:instrText xml:space="preserve"> TC </w:instrText>
            </w:r>
            <w:r w:rsidR="007B3866">
              <w:instrText>„</w:instrText>
            </w:r>
            <w:r>
              <w:instrText>Sengl, Gisela (BÜNDNIS 90/DIE GRÜNEN)</w:instrText>
            </w:r>
            <w:r>
              <w:br/>
              <w:instrText xml:space="preserve">Abschlussprüfungen an Berufs- und Fachschulen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sind Fragen und Aufgaben aus dem ökologischen Landbau verpflichtender Teil in den Abschlussprüfungen der Berufs- und Fachschulen, wie sind Berufspraktikerinnen bzw. -praktiker des ökologis</w:t>
            </w:r>
            <w:r w:rsidR="009E7232">
              <w:t>chen Landbaus (inkl. Gartenbau)</w:t>
            </w:r>
            <w:r w:rsidR="007B3866">
              <w:t xml:space="preserve"> </w:t>
            </w:r>
            <w:r>
              <w:t>im Berufsbildungsausschuss (BBiA) beim Staatsministerium für Ernährung, Landwirtschaft und Forsten aufseiten der Arbeitnehmerinnen bzw. -nehmer und Arbeitgeberinnen bzw. -geber vertreten und wie hoch ist der prozentuale Anteil von Berufspraktikerinnen  bzw. -praktiker und des ökologischen Landbaus in den jeweiligen Ausschüssen, die die Aufgaben für die schriftliche Abschlussprüfung festlegen?</w:t>
            </w:r>
          </w:p>
          <w:p w:rsidR="00BD06BB" w:rsidRDefault="00BD06BB" w:rsidP="00BD06BB">
            <w:pPr>
              <w:pStyle w:val="LTAnfrageText"/>
            </w:pPr>
          </w:p>
        </w:tc>
      </w:tr>
    </w:tbl>
    <w:p w:rsidR="000C34A0" w:rsidRDefault="000C34A0" w:rsidP="00BD06BB">
      <w:pPr>
        <w:pStyle w:val="LTUeberschrAntwortRessort"/>
      </w:pPr>
    </w:p>
    <w:p w:rsidR="00BD06BB" w:rsidRDefault="00BD06BB" w:rsidP="00BD06BB">
      <w:pPr>
        <w:pStyle w:val="LTUeberschrAntwortRessort"/>
      </w:pPr>
      <w:r>
        <w:t>Antwort des Staatsministeriums für Ernährung, Landwirtschaft und Forsten</w:t>
      </w:r>
    </w:p>
    <w:p w:rsidR="00BD06BB" w:rsidRDefault="00BD06BB" w:rsidP="00E62A89">
      <w:pPr>
        <w:pStyle w:val="LTAntwortRessortText"/>
        <w:spacing w:before="360"/>
      </w:pPr>
      <w:r>
        <w:t>Die Anforderu</w:t>
      </w:r>
      <w:r w:rsidR="00394D1A">
        <w:t>ngen in den Abschlussprüfungen</w:t>
      </w:r>
      <w:r w:rsidR="009E7232">
        <w:rPr>
          <w:rStyle w:val="Funotenzeichen"/>
        </w:rPr>
        <w:footnoteReference w:id="1"/>
      </w:r>
      <w:r w:rsidR="00394D1A">
        <w:t xml:space="preserve"> der Berufs- und Fach</w:t>
      </w:r>
      <w:r>
        <w:t>schulen richten sich nach den geltenden Lehrplänen. Die Lerninhalte für den Unterricht in der Berufsausbildung werden von den Sozialpartnern (= Arbeitgeber- und Arbeitnehmervertreter) auf Bundesebene festgelegt. Die bayerischen Lehrplanrichtlinien übernehmen die au</w:t>
      </w:r>
      <w:r w:rsidR="00394D1A">
        <w:t>f Bundesebene festge</w:t>
      </w:r>
      <w:r>
        <w:t>legten Lerninhalte unverändert in die Unterrichtsfächer der Berufsschule. Die Förderung und Anwendung von Kompetenzen zum ökologischen Landbau sind durchgängig Inhalt in de</w:t>
      </w:r>
      <w:r w:rsidR="00394D1A">
        <w:t>n Lehrplänen und damit auch prü</w:t>
      </w:r>
      <w:r>
        <w:t>fungsrelevant. Da der ökologische Landbau ein mögliches Verfahren zur Erzeugung pflanzlicher und tierischer Produkte darstellt, gilt ein Teil der Prüfungsfragen sowohl für den ökologischen Landbau als auch für den konventionellen Bereich. So sind beispielsweise die Frage nach geeigneten Leguminosen zum Zwischenfruchtaussaat und die jew</w:t>
      </w:r>
      <w:r w:rsidR="009E7232">
        <w:t>eilige Erosionsminderung im kon</w:t>
      </w:r>
      <w:r>
        <w:t xml:space="preserve">ventionellen und im ökologischen </w:t>
      </w:r>
      <w:r w:rsidR="009E7232">
        <w:t>Landbau gleichermaßen von Bedeu</w:t>
      </w:r>
      <w:r>
        <w:t>tung.</w:t>
      </w:r>
    </w:p>
    <w:p w:rsidR="00BD06BB" w:rsidRDefault="00BD06BB" w:rsidP="00E62A89">
      <w:pPr>
        <w:pStyle w:val="LTAntwortRessortText"/>
        <w:spacing w:before="360"/>
      </w:pPr>
      <w:r>
        <w:t xml:space="preserve">Der </w:t>
      </w:r>
      <w:r w:rsidR="009E7232">
        <w:t>Berufsbildungsausschuss (</w:t>
      </w:r>
      <w:r>
        <w:t>BBiA</w:t>
      </w:r>
      <w:r w:rsidR="009E7232">
        <w:t>)</w:t>
      </w:r>
      <w:r>
        <w:t xml:space="preserve"> ist ein nach dem </w:t>
      </w:r>
      <w:r w:rsidR="007B3866">
        <w:t>„</w:t>
      </w:r>
      <w:r>
        <w:t>Sozialpartnerprinzip</w:t>
      </w:r>
      <w:r w:rsidR="007B3866">
        <w:t>“</w:t>
      </w:r>
      <w:r>
        <w:t xml:space="preserve"> zusammengesetztes Gremium, das in allen wichtigen Fragen d</w:t>
      </w:r>
      <w:r w:rsidR="009E7232">
        <w:t>er beruflichen Aus- und Fortbil</w:t>
      </w:r>
      <w:r>
        <w:t>dung zu hören ist. Die Berufung der M</w:t>
      </w:r>
      <w:r w:rsidR="009E7232">
        <w:t>itglieder erfolgt gemäß § 77 Be</w:t>
      </w:r>
      <w:r>
        <w:t>rufsbildungsgesetz (BBiG). Ihm gehören jeweils sechs Beauftragte der Arbeitgeber, der Arbeitnehmer und der Lehrkräfte an berufsbildenden Schulen an. Die Beauftragten der Arbeitnehmer werden auf Vorschlag der im Bezirk der zuständigen Stelle bestehenden Gewerkschaften (IGBAU Bayern) berufen. Die Lehrkräfte an berufsbildenden Schulen werden vom Staatministerium für Unterricht und Kultus</w:t>
      </w:r>
      <w:r w:rsidR="009E7232">
        <w:t xml:space="preserve"> (StMUK) vorge</w:t>
      </w:r>
      <w:r>
        <w:t xml:space="preserve">schlagen bzw. rekrutieren sich aus dem Bereich der Fachschulen des </w:t>
      </w:r>
      <w:r w:rsidR="009E7232">
        <w:t>Staatsministeriums für Ernährung, Landwirtschaft und Forsten</w:t>
      </w:r>
      <w:r w:rsidR="00A670EA">
        <w:t xml:space="preserve">. </w:t>
      </w:r>
      <w:r>
        <w:t>Die Beauftragten der Arbeitge</w:t>
      </w:r>
      <w:r w:rsidR="009E7232">
        <w:t>ber werden auf Vorschlag des Ar</w:t>
      </w:r>
      <w:r>
        <w:t>beitgeberverbandes für die Land- und Forstwirtschaft in Bayern berufen. Die berufspraktisch tätigen BBiA-Mitglieder werden unabhängig davon berufen, ob sie in der ökologischen Land</w:t>
      </w:r>
      <w:r w:rsidR="009E7232">
        <w:t>wirtschaft oder in konventionel</w:t>
      </w:r>
      <w:r>
        <w:t>len Betrieben tätig sind. Das Kriterium wird daher nicht festgehalten.</w:t>
      </w:r>
    </w:p>
    <w:p w:rsidR="00BD06BB" w:rsidRDefault="00BD06BB" w:rsidP="00E62A89">
      <w:pPr>
        <w:pStyle w:val="LTAntwortRessortText"/>
        <w:spacing w:before="360"/>
      </w:pPr>
      <w:r>
        <w:t>Der BBiA fasst beispielsweise Beschlüs</w:t>
      </w:r>
      <w:r w:rsidR="00846C60">
        <w:t>se zum Inhalt der ü</w:t>
      </w:r>
      <w:r w:rsidR="009E7232">
        <w:t>berbetriebli</w:t>
      </w:r>
      <w:r>
        <w:t>chen Ausbildung oder zur Verkürzung de</w:t>
      </w:r>
      <w:r w:rsidR="009E7232">
        <w:t>r Ausbildungszeit. Die Beschlüs</w:t>
      </w:r>
      <w:r>
        <w:t>se müssen sich aber immer im Rahmen der geltenden Bundesausbildungsordnungen und des Berufsbildungsgesetzes bewegen.</w:t>
      </w:r>
    </w:p>
    <w:p w:rsidR="00BD06BB" w:rsidRDefault="00BD06BB" w:rsidP="00E62A89">
      <w:pPr>
        <w:pStyle w:val="LTAntwortRessortText"/>
        <w:spacing w:before="360"/>
      </w:pPr>
      <w:r>
        <w:t>Die Aufgaben in der Abschlussprüfung werden grundsätzlich durch den Prüfungsausschuss festgelegt. Im Beruf Landwirtin</w:t>
      </w:r>
      <w:r w:rsidR="009E7232">
        <w:t xml:space="preserve"> bzw. </w:t>
      </w:r>
      <w:r>
        <w:t>Landwirt werden die Aufgaben der schriftlichen Abschlussprüfung von drei überregional tätigen Aufgabenausschüssen erstellt. Die Aufgaben werden gemäß der geltenden Prüfungsordnung vom örtlich zuständigen Prüfungsa</w:t>
      </w:r>
      <w:r w:rsidR="009E7232">
        <w:t>usschuss übernom</w:t>
      </w:r>
      <w:r>
        <w:t>men. Dadurch ist gewährleistet, dass bayer</w:t>
      </w:r>
      <w:r w:rsidR="009E7232">
        <w:t>nweit eine einheitliche schrift</w:t>
      </w:r>
      <w:r>
        <w:t>liche Prüfung durchgeführt wird.</w:t>
      </w:r>
    </w:p>
    <w:p w:rsidR="00BD06BB" w:rsidRDefault="00BD06BB" w:rsidP="00E62A89">
      <w:pPr>
        <w:pStyle w:val="LTAntwortRessortText"/>
        <w:spacing w:before="360"/>
      </w:pPr>
      <w:r>
        <w:t>Die Aufgabenausschüsse, die die überre</w:t>
      </w:r>
      <w:r w:rsidR="009E7232">
        <w:t>gionalen schriftlichen Prüfungs</w:t>
      </w:r>
      <w:r>
        <w:t>aufgaben erstellen, setzen sich zusammen aus jeweils mindestens drei Mitgliedern von Abschlussprüfungsauss</w:t>
      </w:r>
      <w:r w:rsidR="009E7232">
        <w:t>chüssen (Vertreter der Arbeitge</w:t>
      </w:r>
      <w:r>
        <w:t xml:space="preserve">ber, der Arbeitnehmer und der Berufsschullehrkräfte), mindestens einem Vertreter der Fortbildungszentren für Landwirtschaft und Hauswirtschaft bzw. der sonstigen zuständigen Stellen. </w:t>
      </w:r>
    </w:p>
    <w:p w:rsidR="00BD06BB" w:rsidRDefault="00BD06BB" w:rsidP="00E62A89">
      <w:pPr>
        <w:pStyle w:val="LTAntwortRessortText"/>
        <w:spacing w:before="360"/>
      </w:pPr>
      <w:r>
        <w:t xml:space="preserve">Bei der </w:t>
      </w:r>
      <w:r w:rsidR="009E7232">
        <w:t>Beteiligung der Berufspraktiker</w:t>
      </w:r>
      <w:r>
        <w:t>innen</w:t>
      </w:r>
      <w:r w:rsidR="009E7232">
        <w:t xml:space="preserve"> und -praktiker</w:t>
      </w:r>
      <w:r>
        <w:t xml:space="preserve"> wird neben der persönli</w:t>
      </w:r>
      <w:r w:rsidR="009E7232">
        <w:t xml:space="preserve">chen Eignung als Prüferin bzw. </w:t>
      </w:r>
      <w:r>
        <w:t xml:space="preserve">Prüfer auch die Ausbildereignung gefordert. Die Bewirtschaftungsform der jeweiligen Prüferbetriebe ist kein Kriterium und wird daher von den zuständigen Stellen nicht erfasst. </w:t>
      </w:r>
    </w:p>
    <w:p w:rsidR="00F9711C" w:rsidRDefault="00F9711C">
      <w:r>
        <w:br w:type="page"/>
      </w:r>
    </w:p>
    <w:p w:rsidR="00E62A89" w:rsidRDefault="00E62A89"/>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BD06BB" w:rsidTr="00E62A89">
        <w:tc>
          <w:tcPr>
            <w:tcW w:w="1802" w:type="dxa"/>
            <w:shd w:val="clear" w:color="auto" w:fill="auto"/>
          </w:tcPr>
          <w:p w:rsidR="00BD06BB" w:rsidRPr="00BD06BB" w:rsidRDefault="00BD06BB" w:rsidP="00BD06BB">
            <w:pPr>
              <w:pStyle w:val="LTAnfrageIni1"/>
            </w:pPr>
            <w:r w:rsidRPr="00BD06BB">
              <w:t>Abgeordneter</w:t>
            </w:r>
            <w:r w:rsidRPr="00BD06BB">
              <w:br/>
            </w:r>
            <w:r w:rsidRPr="00BD06BB">
              <w:rPr>
                <w:b/>
              </w:rPr>
              <w:t>Hans</w:t>
            </w:r>
            <w:r w:rsidRPr="00BD06BB">
              <w:rPr>
                <w:b/>
              </w:rPr>
              <w:br/>
              <w:t>Urban</w:t>
            </w:r>
            <w:r w:rsidRPr="00BD06BB">
              <w:rPr>
                <w:b/>
              </w:rPr>
              <w:br/>
            </w:r>
            <w:r w:rsidRPr="00BD06BB">
              <w:t>(BÜNDNIS 90/DIE GRÜNEN)</w:t>
            </w:r>
            <w:r>
              <w:fldChar w:fldCharType="begin"/>
            </w:r>
            <w:r>
              <w:instrText xml:space="preserve"> XE </w:instrText>
            </w:r>
            <w:r w:rsidR="007B3866">
              <w:instrText>„</w:instrText>
            </w:r>
            <w:r>
              <w:instrText xml:space="preserve">Urban, Hans (BÜNDNIS 90/DIE GRÜNEN):Dokumentation des Waldumbaus im forstlichen Gutachten </w:instrText>
            </w:r>
            <w:r>
              <w:fldChar w:fldCharType="end"/>
            </w:r>
            <w:r>
              <w:fldChar w:fldCharType="begin"/>
            </w:r>
            <w:r>
              <w:instrText xml:space="preserve"> TC </w:instrText>
            </w:r>
            <w:r w:rsidR="007B3866">
              <w:instrText>„</w:instrText>
            </w:r>
            <w:r>
              <w:instrText>Urban, Hans (BÜNDNIS 90/DIE GRÜNEN)</w:instrText>
            </w:r>
            <w:r>
              <w:br/>
              <w:instrText xml:space="preserve">Dokumentation des Waldumbaus im forstlichen Gutachten </w:instrText>
            </w:r>
            <w:r w:rsidR="007B3866">
              <w:instrText>„</w:instrText>
            </w:r>
            <w:r>
              <w:instrText xml:space="preserve"> \l 2 </w:instrText>
            </w:r>
            <w:r>
              <w:fldChar w:fldCharType="end"/>
            </w:r>
          </w:p>
        </w:tc>
        <w:tc>
          <w:tcPr>
            <w:tcW w:w="5814" w:type="dxa"/>
            <w:shd w:val="clear" w:color="auto" w:fill="auto"/>
          </w:tcPr>
          <w:p w:rsidR="00BD06BB" w:rsidRDefault="00BD06BB" w:rsidP="00F9711C">
            <w:pPr>
              <w:pStyle w:val="LTAnfrageText"/>
            </w:pPr>
            <w:r>
              <w:t>Ich frage die Staatsregierung, ist sie der Ansicht, dass künft</w:t>
            </w:r>
            <w:r w:rsidR="00846C60">
              <w:t>ig der Stand des Waldumbaus im F</w:t>
            </w:r>
            <w:r>
              <w:t>orstlichen Gutachten zu dokumentieren ist, auf welche Weise soll das geschehen und wie können die Anstrengungen beim Waldumbau in Bezug auf den Klimawandel in Zukunft im Gutachten dargestellt werden?</w:t>
            </w:r>
          </w:p>
        </w:tc>
      </w:tr>
    </w:tbl>
    <w:p w:rsidR="00BD06BB" w:rsidRDefault="00BD06BB" w:rsidP="00F9711C">
      <w:pPr>
        <w:pStyle w:val="LTUeberschrAntwortRessort"/>
        <w:spacing w:before="960"/>
      </w:pPr>
      <w:r>
        <w:t>Antwort des Staatsministeriums für Ernährung, Landwirtschaft und Forsten</w:t>
      </w:r>
    </w:p>
    <w:p w:rsidR="00BD06BB" w:rsidRDefault="00BD06BB" w:rsidP="00F9711C">
      <w:pPr>
        <w:pStyle w:val="LTAntwortRessortText"/>
        <w:spacing w:before="360"/>
      </w:pPr>
      <w:r>
        <w:t>Die Forstlichen Gutachten sind nicht für eine Dokumentation des Waldumbaustandes geeignet. Sie stellen die gesetzlich vo</w:t>
      </w:r>
      <w:r w:rsidR="0097297C">
        <w:t>rgeschriebene Äußerung z</w:t>
      </w:r>
      <w:r>
        <w:t xml:space="preserve">ur Situation der Waldverjüngung der zuständigen Forstbehörde im Vorfeld der Abschussplanung durch die unteren Jagdbehörden dar. Hierbei wird der Einfluss des Schalenwildes auf die vorhandene Waldverjüngung beurteilt. Die Dokumentation potentieller Waldumbauflächen sowie bereits umgebaute Flächen in einer Hegegemeinschaft sind in diesem Zusammenhang nicht entscheidungsrelevant. </w:t>
      </w:r>
    </w:p>
    <w:p w:rsidR="00BD06BB" w:rsidRDefault="00BD06BB" w:rsidP="00F9711C">
      <w:pPr>
        <w:pStyle w:val="LTAntwortRessortText"/>
        <w:spacing w:before="360"/>
      </w:pPr>
      <w:r>
        <w:t>Unabhängig davon wird in den Forstlichen Gutachten bereits jetzt schon beurteilt, ob durch den Einfluss des Schalenwildes für den Waldumbau wichtige standortgemäße Baumarten negativ beeinflusst werden.</w:t>
      </w:r>
    </w:p>
    <w:p w:rsidR="0097297C" w:rsidRDefault="0097297C">
      <w:pPr>
        <w:rPr>
          <w:rFonts w:cs="Arial"/>
          <w:b/>
          <w:sz w:val="22"/>
          <w:szCs w:val="22"/>
        </w:rPr>
      </w:pPr>
      <w:r>
        <w:br w:type="page"/>
      </w:r>
    </w:p>
    <w:p w:rsidR="00BD06BB" w:rsidRDefault="00BD06BB" w:rsidP="00BD06BB">
      <w:pPr>
        <w:pStyle w:val="LTUeberschrRessort"/>
      </w:pPr>
      <w:r>
        <w:t>Geschäftsbereich des Staatsministeriums für Familie, Arbeit und Soziales</w:t>
      </w:r>
      <w:r>
        <w:fldChar w:fldCharType="begin"/>
      </w:r>
      <w:r>
        <w:instrText xml:space="preserve"> TC </w:instrText>
      </w:r>
      <w:r w:rsidR="007B3866">
        <w:instrText>„</w:instrText>
      </w:r>
      <w:r>
        <w:instrText>Geschäftsbereich des Staatsministeriums für Familie, Arbeit und Soziales</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Horst</w:t>
            </w:r>
            <w:r w:rsidRPr="00BD06BB">
              <w:rPr>
                <w:b/>
              </w:rPr>
              <w:br/>
              <w:t>Arnold</w:t>
            </w:r>
            <w:r w:rsidRPr="00BD06BB">
              <w:rPr>
                <w:b/>
              </w:rPr>
              <w:br/>
            </w:r>
            <w:r w:rsidRPr="00BD06BB">
              <w:t>(SPD)</w:t>
            </w:r>
            <w:r>
              <w:fldChar w:fldCharType="begin"/>
            </w:r>
            <w:r>
              <w:instrText xml:space="preserve"> XE </w:instrText>
            </w:r>
            <w:r w:rsidR="007B3866">
              <w:instrText>„</w:instrText>
            </w:r>
            <w:r>
              <w:instrText xml:space="preserve">Arnold, Horst (SPD):Prekäre Beschäftigung in Bayern </w:instrText>
            </w:r>
            <w:r>
              <w:fldChar w:fldCharType="end"/>
            </w:r>
            <w:r>
              <w:fldChar w:fldCharType="begin"/>
            </w:r>
            <w:r>
              <w:instrText xml:space="preserve"> TC </w:instrText>
            </w:r>
            <w:r w:rsidR="007B3866">
              <w:instrText>„</w:instrText>
            </w:r>
            <w:r>
              <w:instrText>Arnold, Horst (SPD)</w:instrText>
            </w:r>
            <w:r>
              <w:br/>
              <w:instrText xml:space="preserve">Prekäre Beschäftigung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wie hat sich in Bayern in den vergangenen zehn Jahren (bitte aufgeschlüsselt nach Jahren angeben) in absoluten und relativen Zahlen jeweils die Anzahl der erwerbstätigen ALG-II-Bezieherinnen und -Bezieher (ALG = Arbeitslosengeld), die Anzahl der im Niedriglohnsektor tätigen Personen und die Anzahl der armutsgefährdeten Erwerbstätigen entwickelt?</w:t>
            </w:r>
          </w:p>
          <w:p w:rsidR="00BD06BB" w:rsidRDefault="00BD06BB" w:rsidP="00BD06BB">
            <w:pPr>
              <w:pStyle w:val="LTAnfrageText"/>
            </w:pPr>
          </w:p>
        </w:tc>
      </w:tr>
    </w:tbl>
    <w:p w:rsidR="00BD06BB" w:rsidRDefault="00BD06BB" w:rsidP="00BD06BB">
      <w:pPr>
        <w:pStyle w:val="LTUeberschrAntwortRessort"/>
      </w:pPr>
      <w:r>
        <w:t>Antwort des Staatsministeriums für Familie, Arbeit und Soziales</w:t>
      </w:r>
    </w:p>
    <w:p w:rsidR="00BD06BB" w:rsidRPr="0058532C" w:rsidRDefault="00BD06BB" w:rsidP="00BD06BB">
      <w:pPr>
        <w:pStyle w:val="LTAntwortRessortText"/>
        <w:rPr>
          <w:spacing w:val="-2"/>
        </w:rPr>
      </w:pPr>
      <w:r w:rsidRPr="0058532C">
        <w:rPr>
          <w:spacing w:val="-2"/>
        </w:rPr>
        <w:t xml:space="preserve">Zu erwerbstätigen ALG-II Bezieherinnen und Beziehern stehen dem Staatsministerium für Familie, Arbeit und Soziales (StMAS) keine eigenen Datenquellen zur Verfügung. Daten finden sich in der veröffentlichten offiziellen SGB II-Statistik (SGB II = Sozialgesetzbuch Zweites Buch) der Bundesagentur für Arbeit unter </w:t>
      </w:r>
      <w:hyperlink r:id="rId22" w:history="1">
        <w:r w:rsidR="0058532C" w:rsidRPr="0058532C">
          <w:rPr>
            <w:rStyle w:val="Hyperlink"/>
            <w:spacing w:val="-2"/>
          </w:rPr>
          <w:t>https://statistik.arbeitsagentur.de/nn_1021948/SiteGlobals/Forms/Rubrikensuche/Rubrikensuche_Suchergebnis_Form.html?view=processForm&amp;resourceId=210358&amp;input_=&amp;pageLocale=de&amp;topicId=1023366&amp;regionInd=09&amp;region=&amp;year_month=aktuell&amp;year_month.GROUP=1&amp;search=Suchen</w:t>
        </w:r>
      </w:hyperlink>
      <w:r w:rsidR="0058532C" w:rsidRPr="0058532C">
        <w:rPr>
          <w:spacing w:val="-2"/>
        </w:rPr>
        <w:t xml:space="preserve"> </w:t>
      </w:r>
      <w:r w:rsidRPr="0058532C">
        <w:rPr>
          <w:spacing w:val="-2"/>
        </w:rPr>
        <w:t xml:space="preserve">, </w:t>
      </w:r>
      <w:r w:rsidR="007B3866" w:rsidRPr="0058532C">
        <w:rPr>
          <w:spacing w:val="-2"/>
        </w:rPr>
        <w:t>„</w:t>
      </w:r>
      <w:r w:rsidRPr="0058532C">
        <w:rPr>
          <w:spacing w:val="-2"/>
        </w:rPr>
        <w:t>Region Bayern, Bundesland</w:t>
      </w:r>
      <w:r w:rsidR="007B3866" w:rsidRPr="0058532C">
        <w:rPr>
          <w:spacing w:val="-2"/>
        </w:rPr>
        <w:t>“</w:t>
      </w:r>
      <w:r w:rsidRPr="0058532C">
        <w:rPr>
          <w:spacing w:val="-2"/>
        </w:rPr>
        <w:t xml:space="preserve"> anklicken, in der Excel-Datei unter Ziff. 4 </w:t>
      </w:r>
      <w:r w:rsidR="007B3866" w:rsidRPr="0058532C">
        <w:rPr>
          <w:spacing w:val="-2"/>
        </w:rPr>
        <w:t>„</w:t>
      </w:r>
      <w:r w:rsidRPr="0058532C">
        <w:rPr>
          <w:spacing w:val="-2"/>
        </w:rPr>
        <w:t>Eckwerte Strukturen</w:t>
      </w:r>
      <w:r w:rsidR="007B3866" w:rsidRPr="0058532C">
        <w:rPr>
          <w:spacing w:val="-2"/>
        </w:rPr>
        <w:t>“</w:t>
      </w:r>
      <w:r w:rsidRPr="0058532C">
        <w:rPr>
          <w:spacing w:val="-2"/>
        </w:rPr>
        <w:t xml:space="preserve">, Zeile 50 ff, </w:t>
      </w:r>
      <w:r w:rsidR="007B3866" w:rsidRPr="0058532C">
        <w:rPr>
          <w:spacing w:val="-2"/>
        </w:rPr>
        <w:t>„</w:t>
      </w:r>
      <w:r w:rsidRPr="0058532C">
        <w:rPr>
          <w:spacing w:val="-2"/>
        </w:rPr>
        <w:t>Erwerbstätige ELB</w:t>
      </w:r>
      <w:r w:rsidR="007B3866" w:rsidRPr="0058532C">
        <w:rPr>
          <w:spacing w:val="-2"/>
        </w:rPr>
        <w:t>“</w:t>
      </w:r>
      <w:r w:rsidR="0058532C" w:rsidRPr="0058532C">
        <w:rPr>
          <w:spacing w:val="-2"/>
        </w:rPr>
        <w:t>, auch aufge</w:t>
      </w:r>
      <w:r w:rsidRPr="0058532C">
        <w:rPr>
          <w:spacing w:val="-2"/>
        </w:rPr>
        <w:t xml:space="preserve">schlüsselt nach verschiedenen Einkommenshöhen. In Zeile 36 finden sich zum Vergleich die Zahlen der SGB II-Leistungsberechtigten insgesamt. </w:t>
      </w:r>
    </w:p>
    <w:p w:rsidR="00BD06BB" w:rsidRDefault="00BD06BB" w:rsidP="00BD06BB">
      <w:pPr>
        <w:pStyle w:val="LTAntwortRessortText"/>
      </w:pPr>
      <w:r>
        <w:t>Auch zu im Niedriglohnsektor tätigen Personen liegen dem StMAS keine Daten vor. Der Niedriglohnsektor is</w:t>
      </w:r>
      <w:r w:rsidR="0058532C">
        <w:t>t kein absolut feststehender Be</w:t>
      </w:r>
      <w:r>
        <w:t>griff. Ein Niedriglohnverdienst wird im Allgemeinen angenommen, wenn er weniger als zwei Drittel des mittleren Stundenlohns beträgt. Er wird auch definiert als ein Arbeitsentgelt eines vollzeit</w:t>
      </w:r>
      <w:r w:rsidR="0058532C">
        <w:t>beschäftigten Arbeit</w:t>
      </w:r>
      <w:r>
        <w:t>nehmers, das sich knapp oberhalb od</w:t>
      </w:r>
      <w:r w:rsidR="0058532C">
        <w:t>er unter der Armutsgrenze befin</w:t>
      </w:r>
      <w:r>
        <w:t>det. Daten zur Erwerbstätigkeit finden s</w:t>
      </w:r>
      <w:r w:rsidR="0058532C">
        <w:t>ich in der Beschäftigungsstatis</w:t>
      </w:r>
      <w:r>
        <w:t>tik des Landesamts für Statistik unter</w:t>
      </w:r>
      <w:r w:rsidR="0058532C">
        <w:t xml:space="preserve"> </w:t>
      </w:r>
      <w:hyperlink r:id="rId23" w:anchor="link_3" w:history="1">
        <w:r w:rsidR="0058532C" w:rsidRPr="00390D1C">
          <w:rPr>
            <w:rStyle w:val="Hyperlink"/>
          </w:rPr>
          <w:t>https://www.statistik.bayern.de/statistik/gebiet_bevoelkerung/mikrozensus/index.html#link_3</w:t>
        </w:r>
      </w:hyperlink>
      <w:r w:rsidR="0058532C">
        <w:t xml:space="preserve"> .</w:t>
      </w:r>
    </w:p>
    <w:p w:rsidR="00BD06BB" w:rsidRPr="0058532C" w:rsidRDefault="00BD06BB" w:rsidP="00BD06BB">
      <w:pPr>
        <w:pStyle w:val="LTAntwortRessortText"/>
        <w:rPr>
          <w:spacing w:val="4"/>
        </w:rPr>
      </w:pPr>
      <w:r w:rsidRPr="0058532C">
        <w:rPr>
          <w:spacing w:val="4"/>
        </w:rPr>
        <w:t>Ebenfalls finden sich Daten zur Beschäf</w:t>
      </w:r>
      <w:r w:rsidR="0058532C" w:rsidRPr="0058532C">
        <w:rPr>
          <w:spacing w:val="4"/>
        </w:rPr>
        <w:t>tigung (u. a. auch zur geringfü</w:t>
      </w:r>
      <w:r w:rsidRPr="0058532C">
        <w:rPr>
          <w:spacing w:val="4"/>
        </w:rPr>
        <w:t>gig entlohnten und kurzfristigen Besch</w:t>
      </w:r>
      <w:r w:rsidR="0058532C" w:rsidRPr="0058532C">
        <w:rPr>
          <w:spacing w:val="4"/>
        </w:rPr>
        <w:t>äftigung) in der Beschäftigungs</w:t>
      </w:r>
      <w:r w:rsidRPr="0058532C">
        <w:rPr>
          <w:spacing w:val="4"/>
        </w:rPr>
        <w:t xml:space="preserve">statistik der Bundesagentur für Arbeit unter </w:t>
      </w:r>
      <w:hyperlink r:id="rId24" w:history="1">
        <w:r w:rsidR="0058532C" w:rsidRPr="0058532C">
          <w:rPr>
            <w:rStyle w:val="Hyperlink"/>
            <w:spacing w:val="4"/>
          </w:rPr>
          <w:t>https://statistik.arbeitsagentur.de/nn_31966/SiteGlobals/Forms/Rubrikensuche/Rubrikensuche_Form.html?view=processForm&amp;resourceId=210368&amp;input_=&amp;pageLocale=de&amp;topicId=746752&amp;year_month=aktuell&amp;year_month.GROUP=1&amp;search=Suchen</w:t>
        </w:r>
      </w:hyperlink>
      <w:r w:rsidR="0058532C">
        <w:rPr>
          <w:spacing w:val="4"/>
        </w:rPr>
        <w:t>.</w:t>
      </w:r>
    </w:p>
    <w:p w:rsidR="00BD06BB" w:rsidRDefault="00BD06BB" w:rsidP="00BD06BB">
      <w:pPr>
        <w:pStyle w:val="LTAntwortRessortText"/>
      </w:pPr>
      <w:r>
        <w:t>Die Armutsgefährdungsquote der Erwerbstätigen ist zwischen 2007 und 2017 in Bayern wie Deutschland jeweils leicht gestiegen, liegt im Freistaat Bayern aber durchgängig deut</w:t>
      </w:r>
      <w:r w:rsidR="007759D4">
        <w:t>lich unter dem bundesweiten Ver</w:t>
      </w:r>
      <w:r>
        <w:t>gleichswert. Daten zur Anzahl der armutsgefährdeten Erwerbstätigen (absolute Zahlen) liegen nicht vor.</w:t>
      </w:r>
    </w:p>
    <w:p w:rsidR="00BD06BB" w:rsidRDefault="00BD06BB" w:rsidP="00BD06BB">
      <w:pPr>
        <w:pStyle w:val="LTAntwortRessortText"/>
      </w:pPr>
      <w:r>
        <w:t>Darstellung: Armutsgefährdungsquote* der Erwerbstätigen in Bayern und Deutschland 2007 bis 2017, in Prozent:</w:t>
      </w:r>
    </w:p>
    <w:p w:rsidR="00E70E4E" w:rsidRDefault="00E70E4E" w:rsidP="00BD06BB">
      <w:pPr>
        <w:pStyle w:val="LTAntwortRessortText"/>
      </w:pPr>
      <w:r w:rsidRPr="00E70E4E">
        <w:rPr>
          <w:rFonts w:ascii="Calibri" w:hAnsi="Calibri"/>
          <w:noProof/>
          <w:sz w:val="22"/>
          <w:szCs w:val="28"/>
        </w:rPr>
        <w:drawing>
          <wp:inline distT="0" distB="0" distL="0" distR="0" wp14:anchorId="39A1BE98" wp14:editId="0D199A66">
            <wp:extent cx="4860290" cy="1095710"/>
            <wp:effectExtent l="0" t="0" r="0" b="9525"/>
            <wp:docPr id="1" name="Grafik 1" descr="cid:image004.png@01D4EE35.55F84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EE35.55F84B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860290" cy="1095710"/>
                    </a:xfrm>
                    <a:prstGeom prst="rect">
                      <a:avLst/>
                    </a:prstGeom>
                    <a:noFill/>
                    <a:ln>
                      <a:noFill/>
                    </a:ln>
                  </pic:spPr>
                </pic:pic>
              </a:graphicData>
            </a:graphic>
          </wp:inline>
        </w:drawing>
      </w:r>
    </w:p>
    <w:p w:rsidR="00BD06BB" w:rsidRDefault="00BD06BB"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Johannes</w:t>
            </w:r>
            <w:r w:rsidRPr="00BD06BB">
              <w:rPr>
                <w:b/>
              </w:rPr>
              <w:br/>
              <w:t>Becher</w:t>
            </w:r>
            <w:r w:rsidRPr="00BD06BB">
              <w:rPr>
                <w:b/>
              </w:rPr>
              <w:br/>
            </w:r>
            <w:r w:rsidRPr="00BD06BB">
              <w:t>(BÜNDNIS 90/DIE GRÜNEN)</w:t>
            </w:r>
            <w:r>
              <w:fldChar w:fldCharType="begin"/>
            </w:r>
            <w:r>
              <w:instrText xml:space="preserve"> XE </w:instrText>
            </w:r>
            <w:r w:rsidR="007B3866">
              <w:instrText>„</w:instrText>
            </w:r>
            <w:r>
              <w:instrText xml:space="preserve">Becher, Johannes (BÜNDNIS 90/DIE GRÜNEN):Kürzungen der Leistungen der wirtschaftlichen Jugendhilfe durch die Ausweitung der Beitragszuschüsse auf die gesamte Kindergartenzeit </w:instrText>
            </w:r>
            <w:r>
              <w:fldChar w:fldCharType="end"/>
            </w:r>
            <w:r>
              <w:fldChar w:fldCharType="begin"/>
            </w:r>
            <w:r>
              <w:instrText xml:space="preserve"> TC </w:instrText>
            </w:r>
            <w:r w:rsidR="007B3866">
              <w:instrText>„</w:instrText>
            </w:r>
            <w:r>
              <w:instrText>Becher, Johannes (BÜNDNIS 90/DIE GRÜNEN)</w:instrText>
            </w:r>
            <w:r>
              <w:br/>
              <w:instrText xml:space="preserve">Kürzungen der Leistungen der wirtschaftlichen Jugendhilfe durch die Ausweitung der Beitragszuschüsse auf die gesamte Kindergartenzeit </w:instrText>
            </w:r>
            <w:r w:rsidR="007B3866">
              <w:instrText>„</w:instrText>
            </w:r>
            <w:r>
              <w:instrText xml:space="preserve"> \l 2 </w:instrText>
            </w:r>
            <w:r>
              <w:fldChar w:fldCharType="end"/>
            </w:r>
          </w:p>
        </w:tc>
        <w:tc>
          <w:tcPr>
            <w:tcW w:w="7200" w:type="dxa"/>
            <w:shd w:val="clear" w:color="auto" w:fill="auto"/>
          </w:tcPr>
          <w:p w:rsidR="00BD06BB" w:rsidRPr="00912EB7" w:rsidRDefault="00BD06BB" w:rsidP="00BD06BB">
            <w:pPr>
              <w:pStyle w:val="LTAnfrageText"/>
              <w:rPr>
                <w:spacing w:val="-2"/>
              </w:rPr>
            </w:pPr>
            <w:r w:rsidRPr="00912EB7">
              <w:rPr>
                <w:spacing w:val="-2"/>
              </w:rPr>
              <w:t>Vor dem Hintergrund, dass das Landratsamt Landsberg am Lech im Zuge der Ausweitung des Beitragszuschusses auf die gesamte Kindergartenzeit ab dem 01.04.2019 die Leistungen der wirtschaftlichen Jugendhilfe um die monatliche Beitragsentlastung von 100 Euro reduziert, unabhängig davon, ob die Kitaträger tatsächlich schon zum 01.04.2019 auf freiwilliger Basis ihre Elternbeiträge reduzieren, frage ich die Staatsregierung, welche Jugendhilfeträger die wirtschaftliche Jugendhilfe für die Kostenübernahme von Kindergartengebühren aufgrund der angekündigten Einführung des staatlichen Gebührenzuschusses bereits zum 01.04.2019 um 100 Euro (oder für den Fall niedriger Gebühren um den niedrigeren Betrag) pro Monat und Kind gekürzt haben, ob es nun vorkommen kann, dass ein Jugendhilfeträger die wirtschaftliche Jugendhilfe für Kostenübernahme von Kindergartengebühren zum 01.04.2019 um 100 Euro pro Monat und Kind reduziert und gleichzeitig der angekündigte Gebührenzuschuss in Höhe von 100 Euro pro Monat und Kind mangels Rechtsgrundlage und beschlossenem Doppelhaushalt 2019/2020 noch gar nicht ausbezahlt wird und somit ausgerechnet bei den ärmsten Familien eine mehrmonatige Finanzierungslücke entsteht und inwiefern die Familien mit den niedrigsten Einkommensverhältnissen, deren Elternbeiträge vom jeweiligen Jugendhilfeträger übernommen werden, von den neuen Beitragszuschüssen profitieren?</w:t>
            </w:r>
          </w:p>
          <w:p w:rsidR="00BD06BB" w:rsidRDefault="00BD06BB" w:rsidP="00BD06BB">
            <w:pPr>
              <w:pStyle w:val="LTAnfrageText"/>
            </w:pPr>
          </w:p>
        </w:tc>
      </w:tr>
    </w:tbl>
    <w:p w:rsidR="00E62A89" w:rsidRDefault="00E62A89" w:rsidP="00BD06BB">
      <w:pPr>
        <w:pStyle w:val="LTUeberschrAntwortRessort"/>
      </w:pPr>
    </w:p>
    <w:p w:rsidR="00BD06BB" w:rsidRDefault="00BD06BB" w:rsidP="00BD06BB">
      <w:pPr>
        <w:pStyle w:val="LTUeberschrAntwortRessort"/>
      </w:pPr>
      <w:r>
        <w:t>Antwort des Staatsministeriums für Familie, Arbeit und Soziales</w:t>
      </w:r>
    </w:p>
    <w:p w:rsidR="00BD06BB" w:rsidRDefault="00BD06BB" w:rsidP="00BD06BB">
      <w:pPr>
        <w:pStyle w:val="LTAntwortRessortText"/>
      </w:pPr>
      <w:r>
        <w:t>Die Staatsregierung hat keine abschließende Kenntnis, welche Träger der öffentlichen Jugendhilfe die Übernahme von</w:t>
      </w:r>
      <w:r w:rsidR="003E073E">
        <w:t xml:space="preserve"> Elternbeiträgen im Rahmen der w</w:t>
      </w:r>
      <w:r>
        <w:t>irtschaftlichen Jugendhilfe aufgrund der angekündigten Ausweitung des Beitragszuschusses auf die gesamte Kindergartenzeit bereits zum 01.04.2019 gekürzt haben. Der Staatsregierung ist allerdings bekannt, dass in Einzelfällen so gehandelt wird.</w:t>
      </w:r>
    </w:p>
    <w:p w:rsidR="00BD06BB" w:rsidRDefault="00BD06BB" w:rsidP="00BD06BB">
      <w:pPr>
        <w:pStyle w:val="LTAntwortRessortText"/>
      </w:pPr>
      <w:r>
        <w:t xml:space="preserve">Aufgrund dieser Vorgehensweise einiger Träger der öffentlichen Jugendhilfe können Fälle auftreten, in denen Trägern von Kindertageseinrichtungen mangels Leistungen der </w:t>
      </w:r>
      <w:r w:rsidR="003E073E">
        <w:t>w</w:t>
      </w:r>
      <w:r>
        <w:t>irtschaftlichen Jugendhilfe Einnahmen durch Elternbeiträge ausfallen und der Ausgleich durch den staatlichen Beitragszuschuss erst um etwa zwei Monate verzögert erfolgt. Die Staatsregierung appelliert in diesen Fällen an die Träger der wirtschaftlichen Jugendhilfe und an die Einrichtungsträger, pragmatische Lösungen zu finden, die nicht zulasten der Eltern gehen.</w:t>
      </w:r>
    </w:p>
    <w:p w:rsidR="00BD06BB" w:rsidRDefault="00BD06BB" w:rsidP="00BD06BB">
      <w:pPr>
        <w:pStyle w:val="LTAntwortRessortText"/>
      </w:pPr>
      <w:r>
        <w:t>Eltern, deren Elternbeiträge im Rahmen der wirtschaftlichen Jugendhilfe vom Träger der öffentlichen Jugendhilfe übernommen werden, werden durch den Beitragszuschuss nicht zusätzlich entlastet. Einhergehend mit der Reduzierung der Elternbeitragshöhe entfällt aber in vielen Fällen für Eltern die Notwendi</w:t>
      </w:r>
      <w:r w:rsidR="003E073E">
        <w:t>gkeit, einen Antrag auf w</w:t>
      </w:r>
      <w:r>
        <w:t>irtschaftliche Jugendhilfe stellen zu müssen.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Kerstin</w:t>
            </w:r>
            <w:r w:rsidRPr="00BD06BB">
              <w:rPr>
                <w:b/>
              </w:rPr>
              <w:br/>
              <w:t>Celina</w:t>
            </w:r>
            <w:r w:rsidRPr="00BD06BB">
              <w:rPr>
                <w:b/>
              </w:rPr>
              <w:br/>
            </w:r>
            <w:r w:rsidRPr="00BD06BB">
              <w:t>(BÜNDNIS 90/DIE GRÜNEN)</w:t>
            </w:r>
            <w:r>
              <w:fldChar w:fldCharType="begin"/>
            </w:r>
            <w:r>
              <w:instrText xml:space="preserve"> XE </w:instrText>
            </w:r>
            <w:r w:rsidR="007B3866">
              <w:instrText>„</w:instrText>
            </w:r>
            <w:r>
              <w:instrText>Celina, Kerstin (BÜNDNIS 90/DIE GRÜNEN):Unterstützungsangebote für \</w:instrText>
            </w:r>
            <w:r w:rsidR="007B3866">
              <w:instrText>“</w:instrText>
            </w:r>
            <w:r>
              <w:instrText>Care Leaver\</w:instrText>
            </w:r>
            <w:r w:rsidR="007B3866">
              <w:instrText>“</w:instrText>
            </w:r>
            <w:r>
              <w:instrText xml:space="preserve"> in Bayern </w:instrText>
            </w:r>
            <w:r>
              <w:fldChar w:fldCharType="end"/>
            </w:r>
            <w:r>
              <w:fldChar w:fldCharType="begin"/>
            </w:r>
            <w:r>
              <w:instrText xml:space="preserve"> TC </w:instrText>
            </w:r>
            <w:r w:rsidR="007B3866">
              <w:instrText>„</w:instrText>
            </w:r>
            <w:r>
              <w:instrText>Celina, Kerstin (BÜNDNIS 90/DIE GRÜNEN)</w:instrText>
            </w:r>
            <w:r>
              <w:br/>
              <w:instrText>Unterstützungsangebote für \</w:instrText>
            </w:r>
            <w:r w:rsidR="007B3866">
              <w:instrText>“</w:instrText>
            </w:r>
            <w:r>
              <w:instrText>Care Leaver\</w:instrText>
            </w:r>
            <w:r w:rsidR="007B3866">
              <w:instrText>“</w:instrText>
            </w:r>
            <w:r>
              <w:instrText xml:space="preserve"> in Bayern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wie viele </w:t>
            </w:r>
            <w:r w:rsidR="007B3866">
              <w:t>„</w:t>
            </w:r>
            <w:r>
              <w:t>Care Leaver</w:t>
            </w:r>
            <w:r w:rsidR="007B3866">
              <w:t>“</w:t>
            </w:r>
            <w:r>
              <w:t xml:space="preserve"> es in Bayern in den vergangenen drei Jahren (2016 bis 2018) gab, welche Unterstützungsangebote es vonseiten staatlicher und kommunaler Stellen in Bayern für </w:t>
            </w:r>
            <w:r w:rsidR="007B3866">
              <w:t>„</w:t>
            </w:r>
            <w:r>
              <w:t>Care Leaver</w:t>
            </w:r>
            <w:r w:rsidR="007B3866">
              <w:t>“</w:t>
            </w:r>
            <w:r>
              <w:t xml:space="preserve"> gibt und in welchem Umfang diese in den Jahren 2016 bis 2018 in Anspruch genommen worden sind?</w:t>
            </w:r>
          </w:p>
          <w:p w:rsidR="00BD06BB" w:rsidRDefault="00BD06BB" w:rsidP="00BD06BB">
            <w:pPr>
              <w:pStyle w:val="LTAnfrageText"/>
            </w:pPr>
          </w:p>
        </w:tc>
      </w:tr>
    </w:tbl>
    <w:p w:rsidR="00BD06BB" w:rsidRDefault="00BD06BB" w:rsidP="00BD06BB">
      <w:pPr>
        <w:pStyle w:val="LTUeberschrAntwortRessort"/>
      </w:pPr>
      <w:r>
        <w:t>Antwort des Staatsministeriums für Familie, Arbeit und Soziales</w:t>
      </w:r>
    </w:p>
    <w:p w:rsidR="00BD06BB" w:rsidRDefault="00BD06BB" w:rsidP="00BD06BB">
      <w:pPr>
        <w:pStyle w:val="LTAntwortRessortText"/>
      </w:pPr>
      <w:r>
        <w:t xml:space="preserve">Eine statistische Erfassung zur Zahl der </w:t>
      </w:r>
      <w:r w:rsidR="007B3866">
        <w:t>„</w:t>
      </w:r>
      <w:r>
        <w:t>Care Leaver</w:t>
      </w:r>
      <w:r w:rsidR="007B3866">
        <w:t>“</w:t>
      </w:r>
      <w:r>
        <w:t xml:space="preserve"> liegt der Staatsregierung nicht vor. Der Begriff der </w:t>
      </w:r>
      <w:r w:rsidR="007B3866">
        <w:t>„</w:t>
      </w:r>
      <w:r>
        <w:t>Care Leaver</w:t>
      </w:r>
      <w:r w:rsidR="007B3866">
        <w:t>“</w:t>
      </w:r>
      <w:r>
        <w:t xml:space="preserve"> ist nicht rechtlich normiert und wird deshalb statistisch nicht erfasst.</w:t>
      </w:r>
    </w:p>
    <w:p w:rsidR="00BD06BB" w:rsidRDefault="00BD06BB" w:rsidP="00BD06BB">
      <w:pPr>
        <w:pStyle w:val="LTAntwortRessortText"/>
      </w:pPr>
      <w:r>
        <w:t>Kinder- und Jugendhilfe wird im eigenen Wirkungskreis der Kommunen umgesetzt. So auch die Hilfeplansteuerung und Hilfeplanfortschreibung. Relevant für die Gruppe der sogenannten Care Leaver</w:t>
      </w:r>
      <w:r w:rsidR="00912EB7">
        <w:t xml:space="preserve"> ist da</w:t>
      </w:r>
      <w:r>
        <w:t xml:space="preserve">bei die Übergangsbegleitung im Rahmen des Hilfeplans als junge Volljährige. Hier ist insbesondere auf § 41 Sozialgesetzbuch (SGB) Achtes Buch (VIII) </w:t>
      </w:r>
      <w:r w:rsidR="007B3866">
        <w:t>„</w:t>
      </w:r>
      <w:r>
        <w:t>Hilfen für junge Volljährige, Nachbetreuung</w:t>
      </w:r>
      <w:r w:rsidR="007B3866">
        <w:t>“</w:t>
      </w:r>
      <w:r>
        <w:t xml:space="preserve"> zu verweisen.</w:t>
      </w:r>
    </w:p>
    <w:p w:rsidR="00BD06BB" w:rsidRDefault="00BD06BB" w:rsidP="00BD06BB">
      <w:pPr>
        <w:pStyle w:val="LTAntwortRessortText"/>
      </w:pPr>
      <w:r>
        <w:t>Da die Frage des Übergangs in die Selbständigkeit nicht erst mit Erreichen der Volljährigkeit oder Entlassung aus der Kinder- und Jugendhilfe beginnt, kommt einem rechtzeitig einsetzenden Übergangsmanagement eine hohe Bedeutung zu. Die Steuerung erzieherischer Hilfen und der Hilfe für junge Volljährige ist Aufgabe des fallverantwortlichen Trägers der öffentlichen Jugendhilfe. Eine prozesshafte Klärung der Perspektive junger Menschen ist integraler Bestandteil der Hilfeplanung. Entsprechend des regelmäßig fortzuschreibenden Hilfeplans steht den Jugendämtern damit ein breites Instrumentarium an möglichen Angeboten zur Verfügung, das entsprechend des individuellen Einzelfalls auszugestalten ist.</w:t>
      </w:r>
    </w:p>
    <w:p w:rsidR="00BD06BB" w:rsidRDefault="00BD06BB" w:rsidP="00BD06BB">
      <w:pPr>
        <w:pStyle w:val="LTAntwortRessortText"/>
      </w:pPr>
      <w:r>
        <w:t>Im Rahmen der Hilfeplanung ist auch die berufliche Perspektive (Ausbildungsangebote innerhalb von Einrichtungen der Erziehungshilfe, Übernahme des Ausbildungsbetriebs, Bewerbung auf geeignete Stellen, Schulausbildung, Studium etc.) zu steuern.</w:t>
      </w:r>
    </w:p>
    <w:p w:rsidR="00BD06BB" w:rsidRDefault="00BD06BB" w:rsidP="00BD06BB">
      <w:pPr>
        <w:pStyle w:val="LTAntwortRessortText"/>
      </w:pPr>
      <w:r>
        <w:t>Gegenstand der Hilfe zur Erziehung (HzE) ist im einschlägigen Altersbereich vor allem die Klärung der beruflichen Perspektive. Bei Bedarf können die differenzierten Angebote</w:t>
      </w:r>
      <w:r w:rsidR="00912EB7">
        <w:t xml:space="preserve"> der stationären Kinder- und Ju</w:t>
      </w:r>
      <w:r>
        <w:t>gendhilfe nach Erreichen der Volljährigkeit (Außenwohngruppen, betreutes Wohnen, Nachbetreuung etc.) den Hilfebedar</w:t>
      </w:r>
      <w:r w:rsidR="003E073E">
        <w:t>f weiter abdecken. Seitens der w</w:t>
      </w:r>
      <w:r>
        <w:t>irtschaftlichen Jugendhilfe wird in diesen Fällen Berufsausbildungsbeihilfe (BAB) von der Agentur für Arbeit beantragt.</w:t>
      </w:r>
    </w:p>
    <w:p w:rsidR="00BD06BB" w:rsidRDefault="00BD06BB" w:rsidP="00BD06BB">
      <w:pPr>
        <w:pStyle w:val="LTAntwortRessortText"/>
      </w:pPr>
      <w:r>
        <w:t>Entscheidend sind bei der Üb</w:t>
      </w:r>
      <w:r w:rsidR="00912EB7">
        <w:t xml:space="preserve">ergangsbegleitung auch für Care </w:t>
      </w:r>
      <w:r>
        <w:t>Leaver der rechtskreisübergreifende Schulterschluss und die Verantwortungsübernahme aller betroffenen Regelleistungssysteme. Wichtige Bereiche zur Unterstützung junger Menschen auf dem Weg zu einem selbständigen und eigenverantwortlichen Leben sind neben der Kinder- und Jugendhilfe insbesondere:</w:t>
      </w:r>
    </w:p>
    <w:p w:rsidR="00BD06BB" w:rsidRDefault="00BD06BB" w:rsidP="00912EB7">
      <w:pPr>
        <w:pStyle w:val="LTAntwortRessortText"/>
        <w:numPr>
          <w:ilvl w:val="0"/>
          <w:numId w:val="29"/>
        </w:numPr>
        <w:spacing w:before="120"/>
        <w:ind w:left="1054" w:hanging="357"/>
      </w:pPr>
      <w:r>
        <w:t>Leistungen des SGB II und III (Ausbildungsförderung, Berufsorientierung, Berufsberatung, etc.);</w:t>
      </w:r>
    </w:p>
    <w:p w:rsidR="00BD06BB" w:rsidRDefault="00BD06BB" w:rsidP="00912EB7">
      <w:pPr>
        <w:pStyle w:val="LTAntwortRessortText"/>
        <w:numPr>
          <w:ilvl w:val="0"/>
          <w:numId w:val="29"/>
        </w:numPr>
        <w:spacing w:before="120"/>
        <w:ind w:left="1054" w:hanging="357"/>
      </w:pPr>
      <w:r>
        <w:t>Jugendberufsagenturen als organisierte Zusammenarbeitsstrukturen von Agentur für Arbeit, Jobcenter, Jugendamt und Schule;</w:t>
      </w:r>
    </w:p>
    <w:p w:rsidR="00BD06BB" w:rsidRDefault="00BD06BB" w:rsidP="00912EB7">
      <w:pPr>
        <w:pStyle w:val="LTAntwortRessortText"/>
        <w:numPr>
          <w:ilvl w:val="0"/>
          <w:numId w:val="29"/>
        </w:numPr>
        <w:spacing w:before="120"/>
        <w:ind w:left="1054" w:hanging="357"/>
      </w:pPr>
      <w:r>
        <w:t>der Bereich schulische Ausbildung bzw. Studium (z. B. Studienberatung, BAföG etc.);</w:t>
      </w:r>
    </w:p>
    <w:p w:rsidR="00BD06BB" w:rsidRDefault="00BD06BB" w:rsidP="00912EB7">
      <w:pPr>
        <w:pStyle w:val="LTAntwortRessortText"/>
        <w:numPr>
          <w:ilvl w:val="0"/>
          <w:numId w:val="29"/>
        </w:numPr>
        <w:spacing w:before="120"/>
        <w:ind w:left="1054" w:hanging="357"/>
      </w:pPr>
      <w:r>
        <w:t>der Bereich der kommunalen Wohnraumversorgung;</w:t>
      </w:r>
    </w:p>
    <w:p w:rsidR="00BD06BB" w:rsidRDefault="00BD06BB" w:rsidP="00912EB7">
      <w:pPr>
        <w:pStyle w:val="LTAntwortRessortText"/>
        <w:numPr>
          <w:ilvl w:val="0"/>
          <w:numId w:val="29"/>
        </w:numPr>
        <w:spacing w:before="120"/>
        <w:ind w:left="1054" w:hanging="357"/>
      </w:pPr>
      <w:r>
        <w:t>sonstige Bereiche wie Gesundheitsförderung, Eingliederungshilfe, Sozialhilfe.</w:t>
      </w:r>
    </w:p>
    <w:p w:rsidR="00BD06BB" w:rsidRDefault="00BD06BB" w:rsidP="00BD06BB">
      <w:pPr>
        <w:pStyle w:val="LTAntwortRessortText"/>
      </w:pPr>
      <w:r>
        <w:t>Eine detaillierte Übersicht des genutzten Spektrums der Angebote zur Übergangsbegleitung junger Volljähriger vonseiten der freien und öffentlichen Träger der Kinder- und Jugendhilfe liegt der Staatsregierung nicht vor.</w:t>
      </w:r>
    </w:p>
    <w:p w:rsidR="00BD06BB" w:rsidRDefault="00912EB7" w:rsidP="00BD06BB">
      <w:pPr>
        <w:pStyle w:val="LTAntwortRessortText"/>
      </w:pPr>
      <w:r>
        <w:t>Als ausgewiesenes Care Leaver-</w:t>
      </w:r>
      <w:r w:rsidR="00BD06BB">
        <w:t xml:space="preserve">Projekt ist der Staatsregierung das Projekt </w:t>
      </w:r>
      <w:r w:rsidR="007B3866">
        <w:t>„</w:t>
      </w:r>
      <w:r w:rsidR="00BD06BB">
        <w:t>Coraggio</w:t>
      </w:r>
      <w:r w:rsidR="007B3866">
        <w:t>“</w:t>
      </w:r>
      <w:r w:rsidR="00BD06BB">
        <w:t xml:space="preserve"> des Don-Bosco-Jugendwerks in Bamberg, das aus Mitteln einer privaten Stiftung finanziert wird, bekannt.</w:t>
      </w:r>
    </w:p>
    <w:p w:rsidR="00F9711C" w:rsidRDefault="00F9711C"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Dr. Dominik</w:t>
            </w:r>
            <w:r w:rsidRPr="00BD06BB">
              <w:rPr>
                <w:b/>
              </w:rPr>
              <w:br/>
              <w:t>Spitzer</w:t>
            </w:r>
            <w:r w:rsidRPr="00BD06BB">
              <w:rPr>
                <w:b/>
              </w:rPr>
              <w:br/>
            </w:r>
            <w:r w:rsidRPr="00BD06BB">
              <w:t>(FDP)</w:t>
            </w:r>
            <w:r>
              <w:fldChar w:fldCharType="begin"/>
            </w:r>
            <w:r>
              <w:instrText xml:space="preserve"> XE </w:instrText>
            </w:r>
            <w:r w:rsidR="007B3866">
              <w:instrText>„</w:instrText>
            </w:r>
            <w:r>
              <w:instrText xml:space="preserve">Spitzer, Dr., Dominik (FDP):Ausweitung des Kindergartenzuschusses ab April 2019 </w:instrText>
            </w:r>
            <w:r>
              <w:fldChar w:fldCharType="end"/>
            </w:r>
            <w:r>
              <w:fldChar w:fldCharType="begin"/>
            </w:r>
            <w:r>
              <w:instrText xml:space="preserve"> TC </w:instrText>
            </w:r>
            <w:r w:rsidR="007B3866">
              <w:instrText>„</w:instrText>
            </w:r>
            <w:r>
              <w:instrText>Dr. Spitzer, Dominik (FDP)</w:instrText>
            </w:r>
            <w:r>
              <w:br/>
              <w:instrText xml:space="preserve">Ausweitung des Kindergartenzuschusses ab April 2019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wie sie dem entgegenwirkt, dass Eltern im Rahmen der Ausweitung des ab April 2019 eingeführten Kindergartenzuschusses ihre Buchungszeit erhöhen, aber die Betreuungszeiten tatsächlich nicht in Anspruch nehmen und mit welchen konkreten Maßnahmen die Staatregierung sicherstellt, dass in der aktuell angespannten Personallage genügend Fachkräfte für die Betreuung in den Kitas zur Verfügung stehen?</w:t>
            </w:r>
          </w:p>
          <w:p w:rsidR="00BD06BB" w:rsidRDefault="00BD06BB" w:rsidP="00BD06BB">
            <w:pPr>
              <w:pStyle w:val="LTAnfrageText"/>
            </w:pPr>
          </w:p>
        </w:tc>
      </w:tr>
    </w:tbl>
    <w:p w:rsidR="00F9711C" w:rsidRDefault="00F9711C" w:rsidP="00E62A89">
      <w:pPr>
        <w:pStyle w:val="LTUeberschrAntwortRessort"/>
        <w:spacing w:before="960"/>
      </w:pPr>
    </w:p>
    <w:p w:rsidR="00BD06BB" w:rsidRDefault="00BD06BB" w:rsidP="00E62A89">
      <w:pPr>
        <w:pStyle w:val="LTUeberschrAntwortRessort"/>
        <w:spacing w:before="960"/>
      </w:pPr>
      <w:r>
        <w:t>Antwort des Staatsministeriums für Familie, Arbeit und Soziales</w:t>
      </w:r>
    </w:p>
    <w:p w:rsidR="00BD06BB" w:rsidRDefault="00BD06BB" w:rsidP="00E62A89">
      <w:pPr>
        <w:pStyle w:val="LTAntwortRessortText"/>
        <w:spacing w:before="360"/>
      </w:pPr>
      <w:r>
        <w:t>Nach § 26 Abs. 1 S. 2 der Verordnung zur Ausführung des Bayerischen Kinderbildungs- und -betreuungsgesetzes (AVBayKiBiG) stellt es eine förderrelevante Änderung dar, wenn die tatsächliche Nutzungszeit regelmäßig erheblich von der Buchungszeit abweicht. Es obli</w:t>
      </w:r>
      <w:r w:rsidR="00AE7571">
        <w:t>egt den Trägern von Kindertages</w:t>
      </w:r>
      <w:r>
        <w:t xml:space="preserve">einrichtungen, die Einhaltung der Förderbedingungen zu überwachen und sicherzustellen. Die Staatsregierung hat keine Anhaltspunkte dafür, dass dem über Einzelfälle hinaus nicht nachgekommen wird. Für über die regelmäßigen Belegprüfungen nach § 23 </w:t>
      </w:r>
      <w:r w:rsidR="00912EB7">
        <w:br/>
      </w:r>
      <w:r>
        <w:t>AVBayKiBiG hinausgehende Überprüfungen sieht die Staatsregierung derzeit keinen Anlass. Sie wären auch nur unter erheblichem bürokratischem Aufwand für Träger und Bewilligungsbehörden möglich.</w:t>
      </w:r>
    </w:p>
    <w:p w:rsidR="00BD06BB" w:rsidRDefault="00BD06BB" w:rsidP="00E62A89">
      <w:pPr>
        <w:pStyle w:val="LTAntwortRessortText"/>
        <w:spacing w:before="360"/>
      </w:pPr>
      <w:r>
        <w:t xml:space="preserve">Die Staatsregierung arbeitet im Rahmen ihrer Möglichkeiten kontinuierlich daran, die Zahl der Fachkräfte zu steigern. Die Ausbildungskapazitäten wurden in den vergangenen Jahren deutlich erweitert. Während im Schuljahr 2007/2008 bayernweit noch 3.981 Studierende eine Fachakademie für Sozialpädagogik besuchten, waren es im Schuljahr 2017/2018 bereits 6.772 Studierende (804 davon im Rahmen des Modellversuchs </w:t>
      </w:r>
      <w:r w:rsidR="007B3866">
        <w:t>„</w:t>
      </w:r>
      <w:r>
        <w:t xml:space="preserve">Erzieherausbildung mit optimierten Praxisphasen </w:t>
      </w:r>
      <w:r w:rsidR="00912EB7">
        <w:t>–</w:t>
      </w:r>
      <w:r>
        <w:t xml:space="preserve"> OptiPrax). Allein vom Schuljahr 2013/2014 bis zum Schuljahr 2017/2018 stieg die Zahl der Studierenden an den Fachakademien für Sozialpädagogik um mehr als 1.200.</w:t>
      </w:r>
    </w:p>
    <w:p w:rsidR="00BD06BB" w:rsidRDefault="00BD06BB" w:rsidP="00E62A89">
      <w:pPr>
        <w:pStyle w:val="LTAntwortRessortText"/>
        <w:spacing w:before="360"/>
      </w:pPr>
      <w:r>
        <w:t xml:space="preserve">Im Rahmen des Modellversuchs </w:t>
      </w:r>
      <w:r w:rsidR="007B3866">
        <w:t>„</w:t>
      </w:r>
      <w:r>
        <w:t>OptiPrax</w:t>
      </w:r>
      <w:r w:rsidR="007B3866">
        <w:t>“</w:t>
      </w:r>
      <w:r>
        <w:t xml:space="preserve"> werden derzeit an 19 Standorten Alternativen zur Erzieherausbildung erprobt. Das </w:t>
      </w:r>
      <w:r w:rsidR="00912EB7">
        <w:t>Staatsministerium für Familie, Arbeit und Soziales</w:t>
      </w:r>
      <w:r>
        <w:t xml:space="preserve"> fördert zudem einen Vorbereitungskurs auf die Prüfung zum/zur Staatlich anerkannten Erzieher bzw. Erzieherin für Menschen mit bilingualem und bikulturellem Hintergrund, um Personen mit ausländischen Abschlüssen zu gewinnen. Darüber hinaus werden im Rahmen der Zertifikatskurse zur pädagogischen Fachkraft in Kindertageseinrichtungen berufserfahrene Kinderpflegerinnen und -pfleger sowie Grundschullehrkräfte und andere Quereinsteiger im Selbstzahler-Modell zu Fachkräften weiterqualifiziert. Heilerziehungspflegerinnen und -pfleger</w:t>
      </w:r>
      <w:r w:rsidR="003E073E">
        <w:t>n</w:t>
      </w:r>
      <w:r>
        <w:t xml:space="preserve"> wird über das Wahlfach </w:t>
      </w:r>
      <w:r w:rsidR="007B3866">
        <w:t>„</w:t>
      </w:r>
      <w:r>
        <w:t>Frühkindliche Bildung</w:t>
      </w:r>
      <w:r w:rsidR="007B3866">
        <w:t>“</w:t>
      </w:r>
      <w:r>
        <w:t xml:space="preserve"> und die Einbringung begleiteter Praxis in einer Kindertageseinrichtung im Anschluss an die Berufsausbildung der Erwerb des Zertifikats </w:t>
      </w:r>
      <w:r w:rsidR="007B3866">
        <w:t>„</w:t>
      </w:r>
      <w:r>
        <w:t>Heilerziehungspfleger/in im Erziehungsdienst</w:t>
      </w:r>
      <w:r w:rsidR="007B3866">
        <w:t>“</w:t>
      </w:r>
      <w:r>
        <w:t xml:space="preserve"> ermöglicht. Schließlich starteten zum 01.10.2017 drei Pilotprojekte, in denen Quereinsteigerinnen und -einsteiger im Rahmen der 15-monatigen berufsbegleitenden Weiterbildung zur </w:t>
      </w:r>
      <w:r w:rsidR="007B3866">
        <w:t>„</w:t>
      </w:r>
      <w:r>
        <w:t>Fachkraft mit besonderer Qualifikation in Kindertageseinrichtungen</w:t>
      </w:r>
      <w:r w:rsidR="007B3866">
        <w:t>“</w:t>
      </w:r>
      <w:r>
        <w:t xml:space="preserve"> qualifiziert werden.</w:t>
      </w:r>
    </w:p>
    <w:p w:rsidR="00BD06BB" w:rsidRDefault="00BD06BB" w:rsidP="00E62A89">
      <w:pPr>
        <w:pStyle w:val="LTAntwortRessortText"/>
        <w:spacing w:before="360"/>
      </w:pPr>
      <w:r>
        <w:t xml:space="preserve">Weitere Maßnahmen werden kontinuierlich geprüft. Unter anderem strebt die Staatsregierung ein </w:t>
      </w:r>
      <w:r w:rsidR="007B3866">
        <w:t>„</w:t>
      </w:r>
      <w:r>
        <w:t>Bündnis für frühkindliche Bildung</w:t>
      </w:r>
      <w:r w:rsidR="007B3866">
        <w:t>“</w:t>
      </w:r>
      <w:r>
        <w:t xml:space="preserve"> unter Beteiligung der kommunalen Spitzenverbände, der freien Träger und der Tarifparteien an, um gemeinsam an umfassenden Lösungen zur Steigerung der Attraktivität des Berufsfeldes zu arbeiten.</w:t>
      </w:r>
    </w:p>
    <w:p w:rsidR="00912EB7" w:rsidRDefault="00912EB7" w:rsidP="00E62A89">
      <w:pPr>
        <w:spacing w:before="360"/>
        <w:rPr>
          <w:rFonts w:cs="Arial"/>
          <w:b/>
          <w:sz w:val="22"/>
          <w:szCs w:val="22"/>
        </w:rPr>
      </w:pPr>
      <w:r>
        <w:br w:type="page"/>
      </w:r>
    </w:p>
    <w:p w:rsidR="00BD06BB" w:rsidRDefault="00BD06BB" w:rsidP="00BD06BB">
      <w:pPr>
        <w:pStyle w:val="LTUeberschrRessort"/>
      </w:pPr>
      <w:r>
        <w:t>Geschäftsbereich des Staatsministeriums für Gesundheit und Pflege</w:t>
      </w:r>
      <w:r>
        <w:fldChar w:fldCharType="begin"/>
      </w:r>
      <w:r>
        <w:instrText xml:space="preserve"> TC </w:instrText>
      </w:r>
      <w:r w:rsidR="007B3866">
        <w:instrText>„</w:instrText>
      </w:r>
      <w:r>
        <w:instrText>Geschäftsbereich des Staatsministeriums für Gesundheit und Pflege</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Roland</w:t>
            </w:r>
            <w:r w:rsidRPr="00BD06BB">
              <w:rPr>
                <w:b/>
              </w:rPr>
              <w:br/>
              <w:t>Magerl</w:t>
            </w:r>
            <w:r w:rsidRPr="00BD06BB">
              <w:rPr>
                <w:b/>
              </w:rPr>
              <w:br/>
            </w:r>
            <w:r w:rsidRPr="00BD06BB">
              <w:t>(AfD)</w:t>
            </w:r>
            <w:r>
              <w:fldChar w:fldCharType="begin"/>
            </w:r>
            <w:r>
              <w:instrText xml:space="preserve"> XE </w:instrText>
            </w:r>
            <w:r w:rsidR="007B3866">
              <w:instrText>„</w:instrText>
            </w:r>
            <w:r>
              <w:instrText xml:space="preserve">Magerl, Roland (AfD):Entwicklung der Bettenkapazität bayerischer Krankenhäusern in Bezug auf die Mortalität </w:instrText>
            </w:r>
            <w:r>
              <w:fldChar w:fldCharType="end"/>
            </w:r>
            <w:r>
              <w:fldChar w:fldCharType="begin"/>
            </w:r>
            <w:r>
              <w:instrText xml:space="preserve"> TC </w:instrText>
            </w:r>
            <w:r w:rsidR="007B3866">
              <w:instrText>„</w:instrText>
            </w:r>
            <w:r>
              <w:instrText>Magerl, Roland (AfD)</w:instrText>
            </w:r>
            <w:r>
              <w:br/>
              <w:instrText xml:space="preserve">Entwicklung der Bettenkapazität bayerischer Krankenhäusern in Bezug auf die Mortalität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wie hat sich die Bettenauslastung der bayerischen Krankenhäuser in den vergangenen fünf Jahren entwickelt hat und wie haben sich die Mortalitätsraten in Kliniken im gleichen Zeitraum entwickelt?</w:t>
            </w:r>
          </w:p>
          <w:p w:rsidR="00BD06BB" w:rsidRDefault="00BD06BB" w:rsidP="00BD06BB">
            <w:pPr>
              <w:pStyle w:val="LTAnfrageText"/>
            </w:pPr>
          </w:p>
        </w:tc>
      </w:tr>
    </w:tbl>
    <w:p w:rsidR="00BD06BB" w:rsidRDefault="00BD06BB" w:rsidP="00E62A89">
      <w:pPr>
        <w:pStyle w:val="LTUeberschrAntwortRessort"/>
        <w:spacing w:before="960"/>
      </w:pPr>
      <w:r>
        <w:t>Antwort des Staatsministeriums für Gesundheit und Pflege</w:t>
      </w:r>
    </w:p>
    <w:p w:rsidR="00BD06BB" w:rsidRDefault="00BD06BB" w:rsidP="00BD06BB">
      <w:pPr>
        <w:pStyle w:val="LTAntwortRessortText"/>
      </w:pPr>
      <w:r>
        <w:t xml:space="preserve">Daten zum Themenbereich </w:t>
      </w:r>
      <w:r w:rsidR="007B3866">
        <w:t>„</w:t>
      </w:r>
      <w:r>
        <w:t>Gesundheitswesen</w:t>
      </w:r>
      <w:r w:rsidR="007B3866">
        <w:t>“</w:t>
      </w:r>
      <w:r>
        <w:t xml:space="preserve"> werden u.a. im Rahmen der jährlichen Krankenhausstatistik erhoben. Die Daten werden durch das Landesamt für Statistik herausgegeben, sind öffentlich zugänglich und abrufbar unter:</w:t>
      </w:r>
    </w:p>
    <w:p w:rsidR="00BD06BB" w:rsidRDefault="00B8705B" w:rsidP="00454519">
      <w:pPr>
        <w:pStyle w:val="LTAntwortRessortText"/>
        <w:spacing w:before="120"/>
      </w:pPr>
      <w:hyperlink r:id="rId27" w:history="1">
        <w:r w:rsidR="00454519" w:rsidRPr="00390D1C">
          <w:rPr>
            <w:rStyle w:val="Hyperlink"/>
          </w:rPr>
          <w:t>https://www.statistik.bayern.de/mam/produkte/veroffentlichungen/statistische_berichte/a4200c_201700_16595.pdf</w:t>
        </w:r>
      </w:hyperlink>
      <w:r w:rsidR="00BD06BB">
        <w:t>.</w:t>
      </w:r>
      <w:r w:rsidR="00454519">
        <w:t xml:space="preserve"> </w:t>
      </w:r>
    </w:p>
    <w:p w:rsidR="00BD06BB" w:rsidRDefault="00BD06BB" w:rsidP="00BD06BB">
      <w:pPr>
        <w:pStyle w:val="LTAntwortRessortText"/>
      </w:pPr>
      <w:r>
        <w:t>Tabelle 1 enthält eine Zeitreihe zur Entwicklung des Bettennutzungsgrades.</w:t>
      </w:r>
    </w:p>
    <w:p w:rsidR="00BD06BB" w:rsidRDefault="00BD06BB" w:rsidP="00BD06BB">
      <w:pPr>
        <w:pStyle w:val="LTAntwortRessortText"/>
      </w:pPr>
      <w:r>
        <w:t xml:space="preserve">Die Mortalitätsrate in bayerischen Krankenhäusern ergibt sich aus dem Verhältnis der Spalten </w:t>
      </w:r>
      <w:r w:rsidR="007B3866">
        <w:t>„</w:t>
      </w:r>
      <w:r>
        <w:t>Patientenabgang durch Tod</w:t>
      </w:r>
      <w:r w:rsidR="007B3866">
        <w:t>“</w:t>
      </w:r>
      <w:r>
        <w:t xml:space="preserve">, und </w:t>
      </w:r>
      <w:r w:rsidR="007B3866">
        <w:t>„</w:t>
      </w:r>
      <w:r>
        <w:t>Fallzahl</w:t>
      </w:r>
      <w:r w:rsidR="007B3866">
        <w:t>“</w:t>
      </w:r>
      <w:r>
        <w:t xml:space="preserve"> der Tabelle 3 auf Seite 11. Für frühere Jahre sind die entsprechenden Daten den jeweiligen statistischen Berichten zu entnehmen.</w:t>
      </w:r>
    </w:p>
    <w:p w:rsidR="00E62A89" w:rsidRDefault="00BD06BB" w:rsidP="00BD06BB">
      <w:pPr>
        <w:pStyle w:val="LTAntwortRessortText"/>
      </w:pPr>
      <w:r>
        <w:t>Amtliche Daten für 2018 liegen noch nicht vor.</w:t>
      </w:r>
    </w:p>
    <w:p w:rsidR="00F9711C" w:rsidRDefault="00F9711C" w:rsidP="00BD06BB">
      <w:pPr>
        <w:pStyle w:val="LTAntwortRessortText"/>
      </w:pPr>
    </w:p>
    <w:p w:rsidR="00E62A89" w:rsidRDefault="00E62A89" w:rsidP="00BD06B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Ruth</w:t>
            </w:r>
            <w:r w:rsidRPr="00BD06BB">
              <w:rPr>
                <w:b/>
              </w:rPr>
              <w:br/>
              <w:t>Waldmann</w:t>
            </w:r>
            <w:r w:rsidRPr="00BD06BB">
              <w:rPr>
                <w:b/>
              </w:rPr>
              <w:br/>
            </w:r>
            <w:r w:rsidRPr="00BD06BB">
              <w:t>(SPD)</w:t>
            </w:r>
            <w:r>
              <w:fldChar w:fldCharType="begin"/>
            </w:r>
            <w:r>
              <w:instrText xml:space="preserve"> XE </w:instrText>
            </w:r>
            <w:r w:rsidR="007B3866">
              <w:instrText>„</w:instrText>
            </w:r>
            <w:r>
              <w:instrText>Waldmann, Ruth (SPD):Bund-Länder-Arbeitsgruppe \</w:instrText>
            </w:r>
            <w:r w:rsidR="007B3866">
              <w:instrText>“</w:instrText>
            </w:r>
            <w:r>
              <w:instrText>Sektorenübergreifende Versorgung\</w:instrText>
            </w:r>
            <w:r w:rsidR="007B3866">
              <w:instrText>“</w:instrText>
            </w:r>
            <w:r>
              <w:instrText xml:space="preserve"> </w:instrText>
            </w:r>
            <w:r>
              <w:fldChar w:fldCharType="end"/>
            </w:r>
            <w:r>
              <w:fldChar w:fldCharType="begin"/>
            </w:r>
            <w:r>
              <w:instrText xml:space="preserve"> TC </w:instrText>
            </w:r>
            <w:r w:rsidR="007B3866">
              <w:instrText>„</w:instrText>
            </w:r>
            <w:r>
              <w:instrText>Waldmann, Ruth (SPD)</w:instrText>
            </w:r>
            <w:r>
              <w:br/>
              <w:instrText>Bund-Länder-Arbeitsgruppe \</w:instrText>
            </w:r>
            <w:r w:rsidR="007B3866">
              <w:instrText>“</w:instrText>
            </w:r>
            <w:r>
              <w:instrText>Sektorenübergreifende Versorgung\</w:instrText>
            </w:r>
            <w:r w:rsidR="007B3866">
              <w:instrText>“</w:instrText>
            </w:r>
            <w:r>
              <w:instrText xml:space="preserve">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welche ersten Ergebnisse der im September 2018 gegründeten Bund-Länder-Arbeitsgruppe zum Thema </w:t>
            </w:r>
            <w:r w:rsidR="007B3866">
              <w:t>„</w:t>
            </w:r>
            <w:r>
              <w:t>Sektorenübergreifende Versorgung</w:t>
            </w:r>
            <w:r w:rsidR="007B3866">
              <w:t>“</w:t>
            </w:r>
            <w:r>
              <w:t xml:space="preserve"> gibt es bereits, wann ist mit weiteren Ergebnissen zu rechnen und welche Möglichkeiten bestehen für Akteure im Gesundheitswesen, die Diskussion aktiv zu verfolgen?</w:t>
            </w:r>
          </w:p>
          <w:p w:rsidR="00BD06BB" w:rsidRDefault="00BD06BB" w:rsidP="00BD06BB">
            <w:pPr>
              <w:pStyle w:val="LTAnfrageText"/>
            </w:pPr>
          </w:p>
        </w:tc>
      </w:tr>
    </w:tbl>
    <w:p w:rsidR="00F9711C" w:rsidRDefault="00F9711C" w:rsidP="00BD06BB">
      <w:pPr>
        <w:pStyle w:val="LTUeberschrAntwortRessort"/>
      </w:pPr>
    </w:p>
    <w:p w:rsidR="00BD06BB" w:rsidRDefault="00BD06BB" w:rsidP="00BD06BB">
      <w:pPr>
        <w:pStyle w:val="LTUeberschrAntwortRessort"/>
      </w:pPr>
      <w:r>
        <w:t>Antwort des Staatsministeriums für Gesundheit und Pflege</w:t>
      </w:r>
    </w:p>
    <w:p w:rsidR="00BD06BB" w:rsidRDefault="00BD06BB" w:rsidP="00F9711C">
      <w:pPr>
        <w:pStyle w:val="LTAntwortRessortText"/>
        <w:spacing w:before="360"/>
      </w:pPr>
      <w:r>
        <w:t>Im Koalitionsvertrag vom 12.03.2018 wurde auf Bundesebene vereinbart, eine Bund-Länder-Arbeitsgruppe zur sektorenübergreifenden Versorgung einzurichten. Ziel ist es, die Zusammenarbeit und Vernetzung im Gesundheitswesen auszubauen und weitere nachhaltige Schritte für eine sektorenübergreifende, am medizinisch-pflegerischen Bedarf der Patientinnen und Patienten ausgerichtete Versorgung einzuleiten.</w:t>
      </w:r>
    </w:p>
    <w:p w:rsidR="00BD06BB" w:rsidRDefault="00BD06BB" w:rsidP="00F9711C">
      <w:pPr>
        <w:pStyle w:val="LTAntwortRessortText"/>
        <w:spacing w:before="360"/>
      </w:pPr>
      <w:r>
        <w:t>Die Arbeitsgruppe hat sich 24.09.2018 konstituiert. Die nächste Sitzung ist für den 08.05.2019 vorgesehen.</w:t>
      </w:r>
    </w:p>
    <w:p w:rsidR="00BD06BB" w:rsidRDefault="00BD06BB" w:rsidP="00F9711C">
      <w:pPr>
        <w:pStyle w:val="LTAntwortRessortText"/>
        <w:spacing w:before="360"/>
      </w:pPr>
      <w:r>
        <w:t>Den Vorsitz der Arbeitsgruppe hat das Bundesministerium für Gesundheit inne; es nehmen Vertreter der Bundesländer Hessen, Brandenburg, Hamburg, Niedersachsen, Rheinland-Pfalz, Sachsen-Anhalt, Bayern, Sachsen, Saarland und Nordrhein-Westfalen teil. Zudem wurden Vertreter der Regierungsfraktionen sowie des Bundesministeriums des Innern, für Bau und Heimat, des Bundesministeriums für Wirtschaft und Energie, des Bundesministeriums für Ernährung und Landwirtschaft, des Bundesministeriums für Finanzen eingeladen. Die Teilnahme weiterer Akteure aus dem Bereich des Gesundheitswesens ist derzeit nicht vorgesehen.</w:t>
      </w:r>
    </w:p>
    <w:p w:rsidR="00BD06BB" w:rsidRDefault="00BD06BB" w:rsidP="00F9711C">
      <w:pPr>
        <w:pStyle w:val="LTAntwortRessortText"/>
        <w:spacing w:before="360"/>
      </w:pPr>
      <w:r>
        <w:t>Die Materie ist äußerst komplex. Sie wird seit Jahren im Gesundheitswesen diskutiert, ohne überzeugende Lösungen dafür zu finden. Erste Ergebnisse werden noch 2019 erwartet.</w:t>
      </w:r>
    </w:p>
    <w:p w:rsidR="00E05FC3" w:rsidRDefault="00E05FC3" w:rsidP="00F9711C">
      <w:pPr>
        <w:spacing w:before="360"/>
        <w:rPr>
          <w:rFonts w:cs="Arial"/>
          <w:b/>
          <w:sz w:val="22"/>
          <w:szCs w:val="22"/>
        </w:rPr>
      </w:pPr>
      <w:r>
        <w:br w:type="page"/>
      </w:r>
    </w:p>
    <w:p w:rsidR="00BD06BB" w:rsidRDefault="00BD06BB" w:rsidP="00BD06BB">
      <w:pPr>
        <w:pStyle w:val="LTUeberschrRessort"/>
      </w:pPr>
      <w:r>
        <w:t>Geschäftsbereich des Staatsministeriums für Digitales</w:t>
      </w:r>
      <w:r>
        <w:fldChar w:fldCharType="begin"/>
      </w:r>
      <w:r>
        <w:instrText xml:space="preserve"> TC </w:instrText>
      </w:r>
      <w:r w:rsidR="007B3866">
        <w:instrText>„</w:instrText>
      </w:r>
      <w:r>
        <w:instrText>Geschäftsbereich des Staatsministeriums für Digitales</w:instrText>
      </w:r>
      <w:r w:rsidR="007B386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BD06BB" w:rsidTr="00BD06BB">
        <w:tc>
          <w:tcPr>
            <w:tcW w:w="2050" w:type="dxa"/>
            <w:shd w:val="clear" w:color="auto" w:fill="auto"/>
          </w:tcPr>
          <w:p w:rsidR="00BD06BB" w:rsidRPr="00BD06BB" w:rsidRDefault="00BD06BB" w:rsidP="00BD06BB">
            <w:pPr>
              <w:pStyle w:val="LTAnfrageIni1"/>
            </w:pPr>
            <w:r w:rsidRPr="00BD06BB">
              <w:t>Abgeordneter</w:t>
            </w:r>
            <w:r w:rsidRPr="00BD06BB">
              <w:br/>
            </w:r>
            <w:r w:rsidRPr="00BD06BB">
              <w:rPr>
                <w:b/>
              </w:rPr>
              <w:t>Benjamin</w:t>
            </w:r>
            <w:r w:rsidRPr="00BD06BB">
              <w:rPr>
                <w:b/>
              </w:rPr>
              <w:br/>
              <w:t>Adjei</w:t>
            </w:r>
            <w:r w:rsidRPr="00BD06BB">
              <w:rPr>
                <w:b/>
              </w:rPr>
              <w:br/>
            </w:r>
            <w:r w:rsidRPr="00BD06BB">
              <w:t>(BÜNDNIS 90/DIE GRÜNEN)</w:t>
            </w:r>
            <w:r>
              <w:fldChar w:fldCharType="begin"/>
            </w:r>
            <w:r>
              <w:instrText xml:space="preserve"> XE </w:instrText>
            </w:r>
            <w:r w:rsidR="007B3866">
              <w:instrText>„</w:instrText>
            </w:r>
            <w:r>
              <w:instrText xml:space="preserve">Adjei, Benjamin (BÜNDNIS 90/DIE GRÜNEN):Digital-TÜV </w:instrText>
            </w:r>
            <w:r>
              <w:fldChar w:fldCharType="end"/>
            </w:r>
            <w:r>
              <w:fldChar w:fldCharType="begin"/>
            </w:r>
            <w:r>
              <w:instrText xml:space="preserve"> TC </w:instrText>
            </w:r>
            <w:r w:rsidR="007B3866">
              <w:instrText>„</w:instrText>
            </w:r>
            <w:r>
              <w:instrText>Adjei, Benjamin (BÜNDNIS 90/DIE GRÜNEN)</w:instrText>
            </w:r>
            <w:r>
              <w:br/>
              <w:instrText xml:space="preserve">Digital-TÜV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 xml:space="preserve">Ich frage die Staatsregierung, nach welchen Kriterien die Maßnahmen der Digitalisierungsstrategie </w:t>
            </w:r>
            <w:r w:rsidR="007B3866">
              <w:t>„</w:t>
            </w:r>
            <w:r>
              <w:t>BAYERN DIGITAL</w:t>
            </w:r>
            <w:r w:rsidR="007B3866">
              <w:t>“</w:t>
            </w:r>
            <w:r>
              <w:t xml:space="preserve"> durch den </w:t>
            </w:r>
            <w:r w:rsidR="007B3866">
              <w:t>„</w:t>
            </w:r>
            <w:r>
              <w:t>Digital-TÜV</w:t>
            </w:r>
            <w:r w:rsidR="007B3866">
              <w:t>“</w:t>
            </w:r>
            <w:r>
              <w:t xml:space="preserve">, angekündigt im Bericht aus der Kabinettssitzung vom 02.04.2019, geprüft werden sollen, wer als </w:t>
            </w:r>
            <w:r w:rsidR="007B3866">
              <w:t>„</w:t>
            </w:r>
            <w:r>
              <w:t>externe Fachleute aus einem renommierten Beratungsunternehmen</w:t>
            </w:r>
            <w:r w:rsidR="007B3866">
              <w:t>“</w:t>
            </w:r>
            <w:r>
              <w:t xml:space="preserve"> ausgewählt wurde beziehungsweise werden soll und wie viel Budget hierfür zur Verfügung gestellt wird (bitte den jeweiligen Haushaltsposten mit angeben)?</w:t>
            </w:r>
          </w:p>
          <w:p w:rsidR="00BD06BB" w:rsidRDefault="00BD06BB" w:rsidP="00BD06BB">
            <w:pPr>
              <w:pStyle w:val="LTAnfrageText"/>
            </w:pPr>
          </w:p>
        </w:tc>
      </w:tr>
    </w:tbl>
    <w:p w:rsidR="00BD06BB" w:rsidRDefault="00BD06BB" w:rsidP="00BD06BB">
      <w:pPr>
        <w:pStyle w:val="LTUeberschrAntwortRessort"/>
      </w:pPr>
      <w:r>
        <w:t>Antwort des Staatsministeriums für Digitales</w:t>
      </w:r>
    </w:p>
    <w:p w:rsidR="00BD06BB" w:rsidRDefault="00BD06BB" w:rsidP="00BD06BB">
      <w:pPr>
        <w:pStyle w:val="LTAntwortRessortText"/>
      </w:pPr>
      <w:r>
        <w:t xml:space="preserve">Nach der Ministerratssitzung am </w:t>
      </w:r>
      <w:r w:rsidR="00E05FC3">
        <w:t>0</w:t>
      </w:r>
      <w:r>
        <w:t>2.</w:t>
      </w:r>
      <w:r w:rsidR="00E05FC3">
        <w:t>0</w:t>
      </w:r>
      <w:r>
        <w:t>4.201</w:t>
      </w:r>
      <w:r w:rsidR="00E05FC3">
        <w:t>9 wurde ein Digital-TÜV angekün</w:t>
      </w:r>
      <w:r>
        <w:t>digt, bei dem externe Fachleute die Bilanz der digitalen Aktivitäten der Staatsregierung auf den Prüfstand stellen sollen. Die Staatsregierung will angesichts der überragenden Bedeutung der Digitalisierung alle Chancen nutzen, um die richtigen strategischen Impulse zu setzen. Die Kriterien für die Überprüfung durch den Digital-TÜV werden derzeit erarbeitet, um auf dieser Grundlage ein Vergabeverfahren für die Erstellung eines Gutachtens zu starten. Wie viele Mittel hierzu benöt</w:t>
      </w:r>
      <w:r w:rsidR="00E05FC3">
        <w:t>igt werden und aus welcher Haus</w:t>
      </w:r>
      <w:r>
        <w:t>haltsstelle diese erbracht werden, wird ebenfalls noch geprüft.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BD06BB" w:rsidTr="00BD06BB">
        <w:tc>
          <w:tcPr>
            <w:tcW w:w="2050" w:type="dxa"/>
            <w:shd w:val="clear" w:color="auto" w:fill="auto"/>
          </w:tcPr>
          <w:p w:rsidR="00BD06BB" w:rsidRPr="00BD06BB" w:rsidRDefault="00BD06BB" w:rsidP="00BD06BB">
            <w:pPr>
              <w:pStyle w:val="LTAnfrageIni1"/>
            </w:pPr>
            <w:r w:rsidRPr="00BD06BB">
              <w:t>Abgeordnete</w:t>
            </w:r>
            <w:r w:rsidRPr="00BD06BB">
              <w:br/>
            </w:r>
            <w:r w:rsidRPr="00BD06BB">
              <w:rPr>
                <w:b/>
              </w:rPr>
              <w:t>Susanne</w:t>
            </w:r>
            <w:r w:rsidRPr="00BD06BB">
              <w:rPr>
                <w:b/>
              </w:rPr>
              <w:br/>
              <w:t>Kurz</w:t>
            </w:r>
            <w:r w:rsidRPr="00BD06BB">
              <w:rPr>
                <w:b/>
              </w:rPr>
              <w:br/>
            </w:r>
            <w:r w:rsidRPr="00BD06BB">
              <w:t>(BÜNDNIS 90/DIE GRÜNEN)</w:t>
            </w:r>
            <w:r>
              <w:fldChar w:fldCharType="begin"/>
            </w:r>
            <w:r>
              <w:instrText xml:space="preserve"> XE </w:instrText>
            </w:r>
            <w:r w:rsidR="007B3866">
              <w:instrText>„</w:instrText>
            </w:r>
            <w:r>
              <w:instrText xml:space="preserve">Kurz, Susanne (BÜNDNIS 90/DIE GRÜNEN):Biennale Bavaria </w:instrText>
            </w:r>
            <w:r>
              <w:fldChar w:fldCharType="end"/>
            </w:r>
            <w:r>
              <w:fldChar w:fldCharType="begin"/>
            </w:r>
            <w:r>
              <w:instrText xml:space="preserve"> TC </w:instrText>
            </w:r>
            <w:r w:rsidR="007B3866">
              <w:instrText>„</w:instrText>
            </w:r>
            <w:r>
              <w:instrText>Kurz, Susanne (BÜNDNIS 90/DIE GRÜNEN)</w:instrText>
            </w:r>
            <w:r>
              <w:br/>
              <w:instrText xml:space="preserve">Biennale Bavaria </w:instrText>
            </w:r>
            <w:r w:rsidR="007B3866">
              <w:instrText>„</w:instrText>
            </w:r>
            <w:r>
              <w:instrText xml:space="preserve"> \l 2 </w:instrText>
            </w:r>
            <w:r>
              <w:fldChar w:fldCharType="end"/>
            </w:r>
          </w:p>
        </w:tc>
        <w:tc>
          <w:tcPr>
            <w:tcW w:w="7200" w:type="dxa"/>
            <w:shd w:val="clear" w:color="auto" w:fill="auto"/>
          </w:tcPr>
          <w:p w:rsidR="00BD06BB" w:rsidRDefault="00BD06BB" w:rsidP="00BD06BB">
            <w:pPr>
              <w:pStyle w:val="LTAnfrageText"/>
            </w:pPr>
            <w:r>
              <w:t>Ich frage die Staatsregierung, ob sie das Heimatfilmfest Biennale Bavaria jeweils 2019 und 2020 fördert (bitte mit Angabe des betreffenden Staatsministeriums, der Höhe der Zuwendung sowie der Titelgruppen im Haushaltsplan), wenn ja, mit welcher Begründung und wenn nein, warum eine Förderung abgelehnt wurde?</w:t>
            </w:r>
          </w:p>
          <w:p w:rsidR="00BD06BB" w:rsidRDefault="00BD06BB" w:rsidP="00BD06BB">
            <w:pPr>
              <w:pStyle w:val="LTAnfrageText"/>
            </w:pPr>
          </w:p>
        </w:tc>
      </w:tr>
    </w:tbl>
    <w:p w:rsidR="00BD06BB" w:rsidRDefault="00BD06BB" w:rsidP="00BD06BB">
      <w:pPr>
        <w:pStyle w:val="LTUeberschrAntwortRessort"/>
      </w:pPr>
      <w:r>
        <w:t>Antwort des Staatsministeriums für Digitales</w:t>
      </w:r>
    </w:p>
    <w:p w:rsidR="00BD06BB" w:rsidRDefault="00BD06BB" w:rsidP="0004189F">
      <w:pPr>
        <w:pStyle w:val="LTAntwortRessortText"/>
      </w:pPr>
      <w:r>
        <w:t xml:space="preserve">Für die Förderung der Veranstaltung von Filmfestivals in Bayern ist das Staatsministerium für Digitales zuständig. Die Förderung von Filmfestivals in Bayern erfolgt durch die FilmFernsehFonds </w:t>
      </w:r>
      <w:r w:rsidR="00E05FC3">
        <w:t xml:space="preserve">(FFF) </w:t>
      </w:r>
      <w:r>
        <w:t>Bayern GmbH aus Mitteln des Epl. 16, Kap. 16 05 Tit.</w:t>
      </w:r>
      <w:r w:rsidR="00E05FC3">
        <w:t> </w:t>
      </w:r>
      <w:r>
        <w:t>683 01 (Zuschüsse zu filmischen Veranstaltungen u.</w:t>
      </w:r>
      <w:r w:rsidR="00E05FC3">
        <w:t> </w:t>
      </w:r>
      <w:r>
        <w:t>Ä.). Ein Antrag auf För</w:t>
      </w:r>
      <w:r w:rsidR="00E05FC3">
        <w:t>derung des Heimatfilmfests Bien</w:t>
      </w:r>
      <w:r>
        <w:t>nale Bavaria in den Jahren 2019 oder 2020 l</w:t>
      </w:r>
      <w:r w:rsidR="00E05FC3">
        <w:t>iegt aktuell nicht vor. Der Ver</w:t>
      </w:r>
      <w:r>
        <w:t>anstalter hat jedoch gegenüber der FFF Bayern GmbH angekündigt, für das Jahr 2020 einen Antrag auf Förderung zu stellen.</w:t>
      </w:r>
    </w:p>
    <w:sectPr w:rsidR="00BD06BB" w:rsidSect="00F00864">
      <w:headerReference w:type="even" r:id="rId28"/>
      <w:headerReference w:type="default" r:id="rId29"/>
      <w:footerReference w:type="default" r:id="rId30"/>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BE" w:rsidRDefault="005F13BE">
      <w:r>
        <w:separator/>
      </w:r>
    </w:p>
  </w:endnote>
  <w:endnote w:type="continuationSeparator" w:id="0">
    <w:p w:rsidR="005F13BE" w:rsidRDefault="005F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Default="005F13BE"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Pr="009C32BE" w:rsidRDefault="005F13BE"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Pr="00311533" w:rsidRDefault="005F13BE"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BE" w:rsidRDefault="005F13BE">
      <w:r>
        <w:separator/>
      </w:r>
    </w:p>
  </w:footnote>
  <w:footnote w:type="continuationSeparator" w:id="0">
    <w:p w:rsidR="005F13BE" w:rsidRDefault="005F13BE">
      <w:r>
        <w:continuationSeparator/>
      </w:r>
    </w:p>
  </w:footnote>
  <w:footnote w:id="1">
    <w:p w:rsidR="005F13BE" w:rsidRPr="002C71F8" w:rsidRDefault="005F13BE">
      <w:pPr>
        <w:pStyle w:val="Funotentext"/>
        <w:rPr>
          <w:sz w:val="18"/>
          <w:szCs w:val="18"/>
        </w:rPr>
      </w:pPr>
      <w:r w:rsidRPr="002C71F8">
        <w:rPr>
          <w:rStyle w:val="Funotenzeichen"/>
          <w:sz w:val="18"/>
          <w:szCs w:val="18"/>
        </w:rPr>
        <w:footnoteRef/>
      </w:r>
      <w:r w:rsidRPr="002C71F8">
        <w:rPr>
          <w:sz w:val="18"/>
          <w:szCs w:val="18"/>
        </w:rPr>
        <w:t xml:space="preserve"> Anmerkung: In den Berufsschulen werden keine Abschlussprüfungen durchgeführt. Die Zeugnisnoten ergeben sich aus den Leistungsnachweisen im laufenden Schuljahr. In den Fachschulen werden Schulschlussprüfungen entsprechend der geltenden Schulordnungen durchgeführt.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Default="005F13BE"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B8705B">
      <w:fldChar w:fldCharType="begin"/>
    </w:r>
    <w:r w:rsidR="00B8705B">
      <w:instrText xml:space="preserve"> DOCVARIABLE  "Wp" \* MERGEFORMAT </w:instrText>
    </w:r>
    <w:r w:rsidR="00B8705B">
      <w:fldChar w:fldCharType="separate"/>
    </w:r>
    <w:r w:rsidR="00430138">
      <w:t>18</w:t>
    </w:r>
    <w:r w:rsidR="00B8705B">
      <w:fldChar w:fldCharType="end"/>
    </w:r>
    <w:r w:rsidRPr="00CA6785">
      <w:t>/</w:t>
    </w:r>
    <w:r>
      <w:rPr>
        <w:b/>
      </w:rPr>
      <w:fldChar w:fldCharType="begin"/>
    </w:r>
    <w:r>
      <w:rPr>
        <w:b/>
      </w:rPr>
      <w:instrText xml:space="preserve"> DOCVARIABLE  "Drsnr" \* MERGEFORMAT </w:instrText>
    </w:r>
    <w:r>
      <w:rPr>
        <w:b/>
      </w:rPr>
      <w:fldChar w:fldCharType="separate"/>
    </w:r>
    <w:r w:rsidR="00430138">
      <w:rPr>
        <w:b/>
      </w:rPr>
      <w:t>1666</w:t>
    </w:r>
    <w:r>
      <w:rPr>
        <w:b/>
      </w:rPr>
      <w:fldChar w:fldCharType="end"/>
    </w:r>
    <w:r>
      <w:tab/>
    </w:r>
    <w:r>
      <w:tab/>
    </w:r>
    <w:r w:rsidRPr="009A2D8C">
      <w:t>Bayerischer Landtag</w:t>
    </w:r>
    <w:r>
      <w:t xml:space="preserve"> -</w:t>
    </w:r>
    <w:r w:rsidR="00B8705B">
      <w:fldChar w:fldCharType="begin"/>
    </w:r>
    <w:r w:rsidR="00B8705B">
      <w:instrText xml:space="preserve"> DOCVARIABLE  "Wp" \* MERGEFORMAT </w:instrText>
    </w:r>
    <w:r w:rsidR="00B8705B">
      <w:fldChar w:fldCharType="separate"/>
    </w:r>
    <w:r w:rsidR="00430138">
      <w:t>18</w:t>
    </w:r>
    <w:r w:rsidR="00B8705B">
      <w:fldChar w:fldCharType="end"/>
    </w:r>
    <w:r>
      <w:t>. Wahlperiode</w:t>
    </w:r>
  </w:p>
  <w:p w:rsidR="005F13BE" w:rsidRDefault="005F13BE"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Default="005F13BE"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B8705B">
      <w:fldChar w:fldCharType="begin"/>
    </w:r>
    <w:r w:rsidR="00B8705B">
      <w:instrText xml:space="preserve"> DOCVARIABLE  "Wp" \* MERGEFORMAT </w:instrText>
    </w:r>
    <w:r w:rsidR="00B8705B">
      <w:fldChar w:fldCharType="separate"/>
    </w:r>
    <w:r w:rsidR="00430138">
      <w:t>18</w:t>
    </w:r>
    <w:r w:rsidR="00B8705B">
      <w:fldChar w:fldCharType="end"/>
    </w:r>
    <w:r>
      <w:t>. Wahlperiode</w:t>
    </w:r>
    <w:r>
      <w:tab/>
    </w:r>
    <w:r>
      <w:tab/>
    </w:r>
    <w:r w:rsidRPr="009A2D8C">
      <w:rPr>
        <w:b/>
      </w:rPr>
      <w:t>Drucksache</w:t>
    </w:r>
    <w:r>
      <w:rPr>
        <w:b/>
      </w:rPr>
      <w:t xml:space="preserve"> </w:t>
    </w:r>
    <w:r w:rsidR="00B8705B">
      <w:fldChar w:fldCharType="begin"/>
    </w:r>
    <w:r w:rsidR="00B8705B">
      <w:instrText xml:space="preserve"> DOCVARIABLE  "Wp" \* MERGEFORMAT </w:instrText>
    </w:r>
    <w:r w:rsidR="00B8705B">
      <w:fldChar w:fldCharType="separate"/>
    </w:r>
    <w:r w:rsidR="00430138">
      <w:t>18</w:t>
    </w:r>
    <w:r w:rsidR="00B8705B">
      <w:fldChar w:fldCharType="end"/>
    </w:r>
    <w:r w:rsidRPr="00CA6785">
      <w:t>/</w:t>
    </w:r>
    <w:r>
      <w:rPr>
        <w:b/>
      </w:rPr>
      <w:fldChar w:fldCharType="begin"/>
    </w:r>
    <w:r>
      <w:rPr>
        <w:b/>
      </w:rPr>
      <w:instrText xml:space="preserve"> DOCVARIABLE  "Drsnr" \* MERGEFORMAT </w:instrText>
    </w:r>
    <w:r>
      <w:rPr>
        <w:b/>
      </w:rPr>
      <w:fldChar w:fldCharType="separate"/>
    </w:r>
    <w:r w:rsidR="00430138">
      <w:rPr>
        <w:b/>
      </w:rPr>
      <w:t>1666</w:t>
    </w:r>
    <w:r>
      <w:rPr>
        <w:b/>
      </w:rPr>
      <w:fldChar w:fldCharType="end"/>
    </w:r>
  </w:p>
  <w:p w:rsidR="005F13BE" w:rsidRPr="00C127DA" w:rsidRDefault="005F13BE"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Default="005F13BE"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FC413F" w:rsidRPr="00FC413F">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FC413F">
      <w:rPr>
        <w:sz w:val="22"/>
        <w:szCs w:val="22"/>
      </w:rPr>
      <w:t>11.04.2019</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FC413F" w:rsidRPr="00FC413F">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FC413F" w:rsidRPr="00FC413F">
      <w:rPr>
        <w:b/>
        <w:bCs/>
        <w:sz w:val="42"/>
        <w:szCs w:val="42"/>
      </w:rPr>
      <w:t>1666</w:t>
    </w:r>
    <w:r w:rsidRPr="00853926">
      <w:rPr>
        <w:b/>
        <w:sz w:val="42"/>
        <w:szCs w:val="42"/>
      </w:rPr>
      <w:fldChar w:fldCharType="end"/>
    </w:r>
  </w:p>
  <w:p w:rsidR="005F13BE" w:rsidRPr="004453BF" w:rsidRDefault="005F13BE"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Pr="00A44F63" w:rsidRDefault="005F13BE"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30138">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30138">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3013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30138">
      <w:rPr>
        <w:b/>
        <w:szCs w:val="20"/>
      </w:rPr>
      <w:t>1666</w:t>
    </w:r>
    <w:r w:rsidRPr="00A44F63">
      <w:rPr>
        <w:b/>
        <w:szCs w:val="20"/>
      </w:rPr>
      <w:fldChar w:fldCharType="end"/>
    </w:r>
  </w:p>
  <w:p w:rsidR="005F13BE" w:rsidRPr="00861320" w:rsidRDefault="005F13BE"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BE" w:rsidRPr="00DE5B17" w:rsidRDefault="005F13BE"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3013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30138">
      <w:rPr>
        <w:b/>
        <w:szCs w:val="20"/>
      </w:rPr>
      <w:t>1666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30138">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46A87">
      <w:rPr>
        <w:rStyle w:val="Seitenzahl"/>
        <w:noProof/>
        <w:szCs w:val="20"/>
      </w:rPr>
      <w:t>1</w:t>
    </w:r>
    <w:r w:rsidRPr="00DE5B17">
      <w:rPr>
        <w:rStyle w:val="Seitenzahl"/>
        <w:szCs w:val="20"/>
      </w:rPr>
      <w:fldChar w:fldCharType="end"/>
    </w:r>
  </w:p>
  <w:p w:rsidR="005F13BE" w:rsidRPr="00601929" w:rsidRDefault="005F13BE"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1883"/>
    <w:multiLevelType w:val="hybridMultilevel"/>
    <w:tmpl w:val="FD86AD6A"/>
    <w:lvl w:ilvl="0" w:tplc="F6A2537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11F75690"/>
    <w:multiLevelType w:val="hybridMultilevel"/>
    <w:tmpl w:val="236EA11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7F30A45"/>
    <w:multiLevelType w:val="hybridMultilevel"/>
    <w:tmpl w:val="789EBDE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DA0905"/>
    <w:multiLevelType w:val="hybridMultilevel"/>
    <w:tmpl w:val="69F099E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B91970"/>
    <w:multiLevelType w:val="hybridMultilevel"/>
    <w:tmpl w:val="48F0AD3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CA000DD"/>
    <w:multiLevelType w:val="hybridMultilevel"/>
    <w:tmpl w:val="554A8974"/>
    <w:lvl w:ilvl="0" w:tplc="695C537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6" w15:restartNumberingAfterBreak="0">
    <w:nsid w:val="6CB64389"/>
    <w:multiLevelType w:val="hybridMultilevel"/>
    <w:tmpl w:val="9F7CD8AE"/>
    <w:lvl w:ilvl="0" w:tplc="B3A8C54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20"/>
  </w:num>
  <w:num w:numId="4">
    <w:abstractNumId w:val="22"/>
  </w:num>
  <w:num w:numId="5">
    <w:abstractNumId w:val="21"/>
  </w:num>
  <w:num w:numId="6">
    <w:abstractNumId w:val="19"/>
  </w:num>
  <w:num w:numId="7">
    <w:abstractNumId w:val="12"/>
  </w:num>
  <w:num w:numId="8">
    <w:abstractNumId w:val="13"/>
  </w:num>
  <w:num w:numId="9">
    <w:abstractNumId w:val="2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5"/>
  </w:num>
  <w:num w:numId="26">
    <w:abstractNumId w:val="24"/>
  </w:num>
  <w:num w:numId="27">
    <w:abstractNumId w:val="26"/>
  </w:num>
  <w:num w:numId="28">
    <w:abstractNumId w:val="11"/>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FBUoDvBuTWB0HTCI+dxSPc+xpbQcO1+dRld9UiFWoQFnCxNRfieZulfDA39G3zW0ZQhYOI3/wT1kr5dv1ttW7Q==" w:salt="r+2Mbxx3DpIaswkoxF1K0g=="/>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1666"/>
    <w:docVar w:name="Eingangsdatum" w:val="11.04.2019"/>
    <w:docVar w:name="Wochendatum" w:val="8. April 2019"/>
    <w:docVar w:name="Wp" w:val="18"/>
  </w:docVars>
  <w:rsids>
    <w:rsidRoot w:val="00BD06BB"/>
    <w:rsid w:val="00002517"/>
    <w:rsid w:val="000043D8"/>
    <w:rsid w:val="00006292"/>
    <w:rsid w:val="000371B5"/>
    <w:rsid w:val="00041262"/>
    <w:rsid w:val="0004189F"/>
    <w:rsid w:val="00043B70"/>
    <w:rsid w:val="000614E0"/>
    <w:rsid w:val="00061EB3"/>
    <w:rsid w:val="000779F7"/>
    <w:rsid w:val="00083D54"/>
    <w:rsid w:val="00090E61"/>
    <w:rsid w:val="00097682"/>
    <w:rsid w:val="000B764D"/>
    <w:rsid w:val="000C34A0"/>
    <w:rsid w:val="000C480A"/>
    <w:rsid w:val="000C4939"/>
    <w:rsid w:val="000C71A5"/>
    <w:rsid w:val="000C72A9"/>
    <w:rsid w:val="000C7D5A"/>
    <w:rsid w:val="000E441B"/>
    <w:rsid w:val="000E73CC"/>
    <w:rsid w:val="000F05F7"/>
    <w:rsid w:val="000F109F"/>
    <w:rsid w:val="000F1C2D"/>
    <w:rsid w:val="000F3417"/>
    <w:rsid w:val="0011407F"/>
    <w:rsid w:val="00114B66"/>
    <w:rsid w:val="001243FC"/>
    <w:rsid w:val="00126D44"/>
    <w:rsid w:val="00127E77"/>
    <w:rsid w:val="00134A17"/>
    <w:rsid w:val="00135D97"/>
    <w:rsid w:val="00136D38"/>
    <w:rsid w:val="001376A1"/>
    <w:rsid w:val="0014625E"/>
    <w:rsid w:val="00154F5F"/>
    <w:rsid w:val="001576CA"/>
    <w:rsid w:val="001579D6"/>
    <w:rsid w:val="00163927"/>
    <w:rsid w:val="0016467B"/>
    <w:rsid w:val="00165D18"/>
    <w:rsid w:val="001676F2"/>
    <w:rsid w:val="00171CDA"/>
    <w:rsid w:val="00175F4E"/>
    <w:rsid w:val="0018708A"/>
    <w:rsid w:val="00193AB7"/>
    <w:rsid w:val="001C6140"/>
    <w:rsid w:val="001E3461"/>
    <w:rsid w:val="001E41D1"/>
    <w:rsid w:val="001E4B6C"/>
    <w:rsid w:val="001F240A"/>
    <w:rsid w:val="00215CAA"/>
    <w:rsid w:val="00222299"/>
    <w:rsid w:val="00226E30"/>
    <w:rsid w:val="002302DA"/>
    <w:rsid w:val="00231278"/>
    <w:rsid w:val="0023365B"/>
    <w:rsid w:val="00235942"/>
    <w:rsid w:val="002375B2"/>
    <w:rsid w:val="00246DE7"/>
    <w:rsid w:val="002601AB"/>
    <w:rsid w:val="00283D88"/>
    <w:rsid w:val="0028470E"/>
    <w:rsid w:val="00284AA1"/>
    <w:rsid w:val="00287B0E"/>
    <w:rsid w:val="00293F06"/>
    <w:rsid w:val="002B27E5"/>
    <w:rsid w:val="002B66E9"/>
    <w:rsid w:val="002C1EB7"/>
    <w:rsid w:val="002C4147"/>
    <w:rsid w:val="002C71F8"/>
    <w:rsid w:val="002D2A91"/>
    <w:rsid w:val="002D53C0"/>
    <w:rsid w:val="002D5E77"/>
    <w:rsid w:val="00304238"/>
    <w:rsid w:val="003078E2"/>
    <w:rsid w:val="00310A7B"/>
    <w:rsid w:val="00311533"/>
    <w:rsid w:val="0031185F"/>
    <w:rsid w:val="0031437B"/>
    <w:rsid w:val="00320085"/>
    <w:rsid w:val="003220C1"/>
    <w:rsid w:val="003317ED"/>
    <w:rsid w:val="003343E3"/>
    <w:rsid w:val="00354E4E"/>
    <w:rsid w:val="003571B7"/>
    <w:rsid w:val="0036081C"/>
    <w:rsid w:val="00366896"/>
    <w:rsid w:val="00367860"/>
    <w:rsid w:val="00374ED8"/>
    <w:rsid w:val="00384BCC"/>
    <w:rsid w:val="003865DE"/>
    <w:rsid w:val="00390B65"/>
    <w:rsid w:val="00394D1A"/>
    <w:rsid w:val="003A0B46"/>
    <w:rsid w:val="003A5E01"/>
    <w:rsid w:val="003A6DDF"/>
    <w:rsid w:val="003B10EA"/>
    <w:rsid w:val="003B21D3"/>
    <w:rsid w:val="003B4646"/>
    <w:rsid w:val="003B7D59"/>
    <w:rsid w:val="003C3519"/>
    <w:rsid w:val="003C4151"/>
    <w:rsid w:val="003E073E"/>
    <w:rsid w:val="003E107C"/>
    <w:rsid w:val="003E176F"/>
    <w:rsid w:val="003E2DEE"/>
    <w:rsid w:val="003E36C6"/>
    <w:rsid w:val="003E7E4B"/>
    <w:rsid w:val="003F467B"/>
    <w:rsid w:val="003F6D7C"/>
    <w:rsid w:val="004104B6"/>
    <w:rsid w:val="00410C7C"/>
    <w:rsid w:val="004148C6"/>
    <w:rsid w:val="00430138"/>
    <w:rsid w:val="004303B7"/>
    <w:rsid w:val="00431F16"/>
    <w:rsid w:val="0043306A"/>
    <w:rsid w:val="004453BF"/>
    <w:rsid w:val="00446A87"/>
    <w:rsid w:val="0045402F"/>
    <w:rsid w:val="00454519"/>
    <w:rsid w:val="00456145"/>
    <w:rsid w:val="00463DFF"/>
    <w:rsid w:val="00465F83"/>
    <w:rsid w:val="00476B56"/>
    <w:rsid w:val="00496299"/>
    <w:rsid w:val="004A0B31"/>
    <w:rsid w:val="004B184E"/>
    <w:rsid w:val="004B5A87"/>
    <w:rsid w:val="004C1BA3"/>
    <w:rsid w:val="004C4B26"/>
    <w:rsid w:val="004D4829"/>
    <w:rsid w:val="004E1031"/>
    <w:rsid w:val="004F2494"/>
    <w:rsid w:val="00503F3C"/>
    <w:rsid w:val="005040C2"/>
    <w:rsid w:val="005248ED"/>
    <w:rsid w:val="005321C0"/>
    <w:rsid w:val="0053309B"/>
    <w:rsid w:val="00544156"/>
    <w:rsid w:val="005517B2"/>
    <w:rsid w:val="00566F95"/>
    <w:rsid w:val="0057046C"/>
    <w:rsid w:val="0057191B"/>
    <w:rsid w:val="00572482"/>
    <w:rsid w:val="005833DD"/>
    <w:rsid w:val="005834A1"/>
    <w:rsid w:val="0058532C"/>
    <w:rsid w:val="00593818"/>
    <w:rsid w:val="00594FFD"/>
    <w:rsid w:val="005A0033"/>
    <w:rsid w:val="005A0EEC"/>
    <w:rsid w:val="005A79EC"/>
    <w:rsid w:val="005B3FCB"/>
    <w:rsid w:val="005C214F"/>
    <w:rsid w:val="005C5701"/>
    <w:rsid w:val="005D0F29"/>
    <w:rsid w:val="005D3C42"/>
    <w:rsid w:val="005F13BE"/>
    <w:rsid w:val="005F371F"/>
    <w:rsid w:val="00601929"/>
    <w:rsid w:val="00604CB2"/>
    <w:rsid w:val="00606A5F"/>
    <w:rsid w:val="006076A5"/>
    <w:rsid w:val="00610EFD"/>
    <w:rsid w:val="00611FE7"/>
    <w:rsid w:val="0061262E"/>
    <w:rsid w:val="0061656F"/>
    <w:rsid w:val="0062036D"/>
    <w:rsid w:val="00620B1D"/>
    <w:rsid w:val="00622505"/>
    <w:rsid w:val="00636278"/>
    <w:rsid w:val="00647AD8"/>
    <w:rsid w:val="00651968"/>
    <w:rsid w:val="00653E6D"/>
    <w:rsid w:val="00661F4C"/>
    <w:rsid w:val="00675AED"/>
    <w:rsid w:val="00697424"/>
    <w:rsid w:val="006B0212"/>
    <w:rsid w:val="006B1709"/>
    <w:rsid w:val="006C4DB6"/>
    <w:rsid w:val="006C5C31"/>
    <w:rsid w:val="006D2E83"/>
    <w:rsid w:val="006E0274"/>
    <w:rsid w:val="006E5B9D"/>
    <w:rsid w:val="006F0AB3"/>
    <w:rsid w:val="007061D4"/>
    <w:rsid w:val="0070713D"/>
    <w:rsid w:val="00712478"/>
    <w:rsid w:val="00714C18"/>
    <w:rsid w:val="00717184"/>
    <w:rsid w:val="00730906"/>
    <w:rsid w:val="0075012C"/>
    <w:rsid w:val="0075769E"/>
    <w:rsid w:val="00761779"/>
    <w:rsid w:val="007649D6"/>
    <w:rsid w:val="00764C64"/>
    <w:rsid w:val="007759D4"/>
    <w:rsid w:val="0077709E"/>
    <w:rsid w:val="00781FB1"/>
    <w:rsid w:val="007868AE"/>
    <w:rsid w:val="00787923"/>
    <w:rsid w:val="00792DD0"/>
    <w:rsid w:val="007A7C77"/>
    <w:rsid w:val="007B3866"/>
    <w:rsid w:val="007B4E54"/>
    <w:rsid w:val="007D1236"/>
    <w:rsid w:val="007E1DA6"/>
    <w:rsid w:val="007F670E"/>
    <w:rsid w:val="00800866"/>
    <w:rsid w:val="008062A0"/>
    <w:rsid w:val="00816C6F"/>
    <w:rsid w:val="00824A6A"/>
    <w:rsid w:val="00844005"/>
    <w:rsid w:val="00846C60"/>
    <w:rsid w:val="00846D02"/>
    <w:rsid w:val="008540E3"/>
    <w:rsid w:val="008606C1"/>
    <w:rsid w:val="00862437"/>
    <w:rsid w:val="00863A28"/>
    <w:rsid w:val="00871426"/>
    <w:rsid w:val="00880170"/>
    <w:rsid w:val="008803A9"/>
    <w:rsid w:val="00881163"/>
    <w:rsid w:val="00883D08"/>
    <w:rsid w:val="008930C0"/>
    <w:rsid w:val="00897172"/>
    <w:rsid w:val="008A671A"/>
    <w:rsid w:val="008B2D05"/>
    <w:rsid w:val="008C0BAB"/>
    <w:rsid w:val="008C0DAE"/>
    <w:rsid w:val="008C3EAF"/>
    <w:rsid w:val="008C6176"/>
    <w:rsid w:val="008D2301"/>
    <w:rsid w:val="008E2258"/>
    <w:rsid w:val="008E3C99"/>
    <w:rsid w:val="008E41C5"/>
    <w:rsid w:val="008E7B3B"/>
    <w:rsid w:val="00900942"/>
    <w:rsid w:val="0091136E"/>
    <w:rsid w:val="00911CA9"/>
    <w:rsid w:val="00911F24"/>
    <w:rsid w:val="00912EB7"/>
    <w:rsid w:val="009149D4"/>
    <w:rsid w:val="009229F8"/>
    <w:rsid w:val="009234BF"/>
    <w:rsid w:val="0092602C"/>
    <w:rsid w:val="009310B8"/>
    <w:rsid w:val="00932D27"/>
    <w:rsid w:val="0095379B"/>
    <w:rsid w:val="00962732"/>
    <w:rsid w:val="00966E35"/>
    <w:rsid w:val="0097297C"/>
    <w:rsid w:val="00975449"/>
    <w:rsid w:val="00977682"/>
    <w:rsid w:val="009837B0"/>
    <w:rsid w:val="009924CE"/>
    <w:rsid w:val="00995D8F"/>
    <w:rsid w:val="00995EA1"/>
    <w:rsid w:val="009A2D8C"/>
    <w:rsid w:val="009A5A06"/>
    <w:rsid w:val="009B3DA8"/>
    <w:rsid w:val="009B40AF"/>
    <w:rsid w:val="009B7205"/>
    <w:rsid w:val="009C1AC7"/>
    <w:rsid w:val="009C32BE"/>
    <w:rsid w:val="009C5952"/>
    <w:rsid w:val="009C6156"/>
    <w:rsid w:val="009D5962"/>
    <w:rsid w:val="009D669B"/>
    <w:rsid w:val="009E41B6"/>
    <w:rsid w:val="009E6DDB"/>
    <w:rsid w:val="009E7232"/>
    <w:rsid w:val="009F6B94"/>
    <w:rsid w:val="00A0673C"/>
    <w:rsid w:val="00A17038"/>
    <w:rsid w:val="00A2276D"/>
    <w:rsid w:val="00A241C3"/>
    <w:rsid w:val="00A25D7C"/>
    <w:rsid w:val="00A260EF"/>
    <w:rsid w:val="00A265DC"/>
    <w:rsid w:val="00A3195E"/>
    <w:rsid w:val="00A3336A"/>
    <w:rsid w:val="00A42EAA"/>
    <w:rsid w:val="00A44F63"/>
    <w:rsid w:val="00A47020"/>
    <w:rsid w:val="00A5482B"/>
    <w:rsid w:val="00A56C17"/>
    <w:rsid w:val="00A603C5"/>
    <w:rsid w:val="00A628C0"/>
    <w:rsid w:val="00A670EA"/>
    <w:rsid w:val="00A76D72"/>
    <w:rsid w:val="00A8390A"/>
    <w:rsid w:val="00A84172"/>
    <w:rsid w:val="00A94701"/>
    <w:rsid w:val="00AA3478"/>
    <w:rsid w:val="00AA7233"/>
    <w:rsid w:val="00AA7243"/>
    <w:rsid w:val="00AC4FC6"/>
    <w:rsid w:val="00AD7E0F"/>
    <w:rsid w:val="00AE1029"/>
    <w:rsid w:val="00AE28A1"/>
    <w:rsid w:val="00AE7571"/>
    <w:rsid w:val="00AF64D0"/>
    <w:rsid w:val="00B04A0A"/>
    <w:rsid w:val="00B04F18"/>
    <w:rsid w:val="00B14512"/>
    <w:rsid w:val="00B231A9"/>
    <w:rsid w:val="00B246BA"/>
    <w:rsid w:val="00B33072"/>
    <w:rsid w:val="00B3698E"/>
    <w:rsid w:val="00B45132"/>
    <w:rsid w:val="00B57480"/>
    <w:rsid w:val="00B57DE6"/>
    <w:rsid w:val="00B753A4"/>
    <w:rsid w:val="00B8046D"/>
    <w:rsid w:val="00B82BE0"/>
    <w:rsid w:val="00B8518B"/>
    <w:rsid w:val="00B8705B"/>
    <w:rsid w:val="00B902FE"/>
    <w:rsid w:val="00B91015"/>
    <w:rsid w:val="00B9456C"/>
    <w:rsid w:val="00BA7AAC"/>
    <w:rsid w:val="00BB117A"/>
    <w:rsid w:val="00BB3E7A"/>
    <w:rsid w:val="00BB6019"/>
    <w:rsid w:val="00BC1C8F"/>
    <w:rsid w:val="00BC4D4B"/>
    <w:rsid w:val="00BD06BB"/>
    <w:rsid w:val="00BD5E78"/>
    <w:rsid w:val="00BD7DB0"/>
    <w:rsid w:val="00BE0A75"/>
    <w:rsid w:val="00BE3927"/>
    <w:rsid w:val="00C11892"/>
    <w:rsid w:val="00C127DA"/>
    <w:rsid w:val="00C20D25"/>
    <w:rsid w:val="00C245F2"/>
    <w:rsid w:val="00C54C38"/>
    <w:rsid w:val="00C60ECD"/>
    <w:rsid w:val="00C61F39"/>
    <w:rsid w:val="00C64946"/>
    <w:rsid w:val="00C67283"/>
    <w:rsid w:val="00C83A7D"/>
    <w:rsid w:val="00C841E1"/>
    <w:rsid w:val="00C844A8"/>
    <w:rsid w:val="00C84F6F"/>
    <w:rsid w:val="00C93DB6"/>
    <w:rsid w:val="00C95A42"/>
    <w:rsid w:val="00C95F05"/>
    <w:rsid w:val="00CA46E4"/>
    <w:rsid w:val="00CB1499"/>
    <w:rsid w:val="00CC20C5"/>
    <w:rsid w:val="00CC43A0"/>
    <w:rsid w:val="00CC6B36"/>
    <w:rsid w:val="00CC77D8"/>
    <w:rsid w:val="00CC7D0D"/>
    <w:rsid w:val="00CE2154"/>
    <w:rsid w:val="00CE5E4F"/>
    <w:rsid w:val="00CE75FF"/>
    <w:rsid w:val="00CF3682"/>
    <w:rsid w:val="00CF5AA4"/>
    <w:rsid w:val="00CF77F6"/>
    <w:rsid w:val="00D04095"/>
    <w:rsid w:val="00D0623A"/>
    <w:rsid w:val="00D07F06"/>
    <w:rsid w:val="00D30903"/>
    <w:rsid w:val="00D33D48"/>
    <w:rsid w:val="00D3404D"/>
    <w:rsid w:val="00D45EB8"/>
    <w:rsid w:val="00D46E54"/>
    <w:rsid w:val="00D577E7"/>
    <w:rsid w:val="00D74A2D"/>
    <w:rsid w:val="00D83DC5"/>
    <w:rsid w:val="00DA1063"/>
    <w:rsid w:val="00DA2424"/>
    <w:rsid w:val="00DA74F1"/>
    <w:rsid w:val="00DB29C5"/>
    <w:rsid w:val="00DC6F57"/>
    <w:rsid w:val="00DD48D5"/>
    <w:rsid w:val="00DE5B17"/>
    <w:rsid w:val="00E00EB3"/>
    <w:rsid w:val="00E05FC3"/>
    <w:rsid w:val="00E06311"/>
    <w:rsid w:val="00E07B94"/>
    <w:rsid w:val="00E175A9"/>
    <w:rsid w:val="00E21E1B"/>
    <w:rsid w:val="00E2431C"/>
    <w:rsid w:val="00E3270E"/>
    <w:rsid w:val="00E578EA"/>
    <w:rsid w:val="00E62A89"/>
    <w:rsid w:val="00E6572C"/>
    <w:rsid w:val="00E70E4E"/>
    <w:rsid w:val="00E72D19"/>
    <w:rsid w:val="00E73E5A"/>
    <w:rsid w:val="00EB26EA"/>
    <w:rsid w:val="00EB6C16"/>
    <w:rsid w:val="00EC2C1B"/>
    <w:rsid w:val="00ED4839"/>
    <w:rsid w:val="00EF116E"/>
    <w:rsid w:val="00EF398E"/>
    <w:rsid w:val="00EF67A7"/>
    <w:rsid w:val="00EF79B0"/>
    <w:rsid w:val="00F0047B"/>
    <w:rsid w:val="00F00864"/>
    <w:rsid w:val="00F43A99"/>
    <w:rsid w:val="00F65CE8"/>
    <w:rsid w:val="00F769C0"/>
    <w:rsid w:val="00F76B51"/>
    <w:rsid w:val="00F80F76"/>
    <w:rsid w:val="00F827A4"/>
    <w:rsid w:val="00F85E96"/>
    <w:rsid w:val="00F9711C"/>
    <w:rsid w:val="00FA18F0"/>
    <w:rsid w:val="00FA64C1"/>
    <w:rsid w:val="00FB269D"/>
    <w:rsid w:val="00FB64A8"/>
    <w:rsid w:val="00FC035C"/>
    <w:rsid w:val="00FC413F"/>
    <w:rsid w:val="00FE0BE9"/>
    <w:rsid w:val="00FF58EA"/>
    <w:rsid w:val="00FF6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0C93514-05C6-432E-8CC9-1089D3F1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character" w:styleId="BesuchterLink">
    <w:name w:val="FollowedHyperlink"/>
    <w:basedOn w:val="Absatz-Standardschriftart"/>
    <w:semiHidden/>
    <w:unhideWhenUsed/>
    <w:rsid w:val="00AE28A1"/>
    <w:rPr>
      <w:color w:val="800080" w:themeColor="followedHyperlink"/>
      <w:u w:val="single"/>
    </w:rPr>
  </w:style>
  <w:style w:type="character" w:customStyle="1" w:styleId="st">
    <w:name w:val="st"/>
    <w:basedOn w:val="Absatz-Standardschriftart"/>
    <w:rsid w:val="00BD5E78"/>
  </w:style>
  <w:style w:type="character" w:styleId="Funotenzeichen">
    <w:name w:val="footnote reference"/>
    <w:basedOn w:val="Absatz-Standardschriftart"/>
    <w:uiPriority w:val="99"/>
    <w:semiHidden/>
    <w:unhideWhenUsed/>
    <w:rsid w:val="009E7232"/>
    <w:rPr>
      <w:vertAlign w:val="superscript"/>
    </w:rPr>
  </w:style>
  <w:style w:type="paragraph" w:styleId="Funotentext">
    <w:name w:val="footnote text"/>
    <w:basedOn w:val="Standard"/>
    <w:link w:val="FunotentextZchn"/>
    <w:semiHidden/>
    <w:unhideWhenUsed/>
    <w:rsid w:val="009E7232"/>
    <w:rPr>
      <w:szCs w:val="20"/>
    </w:rPr>
  </w:style>
  <w:style w:type="character" w:customStyle="1" w:styleId="FunotentextZchn">
    <w:name w:val="Fußnotentext Zchn"/>
    <w:basedOn w:val="Absatz-Standardschriftart"/>
    <w:link w:val="Funotentext"/>
    <w:semiHidden/>
    <w:rsid w:val="009E72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m.bayern.de/download/493_richtlinien_familien_und_sexualerziehung.pdf" TargetMode="External"/><Relationship Id="rId18" Type="http://schemas.openxmlformats.org/officeDocument/2006/relationships/hyperlink" Target="http://www.stmelf.bayern.de/wasserpakt" TargetMode="External"/><Relationship Id="rId26" Type="http://schemas.openxmlformats.org/officeDocument/2006/relationships/image" Target="cid:image004.png@01D4EE35.55F84B80" TargetMode="External"/><Relationship Id="rId3" Type="http://schemas.openxmlformats.org/officeDocument/2006/relationships/styles" Target="styles.xml"/><Relationship Id="rId21" Type="http://schemas.openxmlformats.org/officeDocument/2006/relationships/hyperlink" Target="http://www.bayern.landtag.de/www/ElanTextAblage_WP18/Drucksachen/Basisdrucksachen/0000001000/0000001435_Krahl_Anlag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fl.bayern.de/iab/duengung"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bayern.landtag.de/www/ElanTextAblage_WP18/Drucksachen/Basisdrucksachen/0000001000/0000001435_Bergmueller_Anlage.pdf" TargetMode="External"/><Relationship Id="rId20" Type="http://schemas.openxmlformats.org/officeDocument/2006/relationships/hyperlink" Target="http://www.netzwerk.klimajugend.bayern.d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statistik.arbeitsagentur.de/nn_31966/SiteGlobals/Forms/Rubrikensuche/Rubrikensuche_Form.html?view=processForm&amp;resourceId=210368&amp;input_=&amp;pageLocale=de&amp;topicId=746752&amp;year_month=aktuell&amp;year_month.GROUP=1&amp;search=Such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yern.landtag.de/www/ElanTextAblage_WP18/Drucksachen/Basisdrucksachen/0000001000/0000001435_Koehler_Anlage.pdf" TargetMode="External"/><Relationship Id="rId23" Type="http://schemas.openxmlformats.org/officeDocument/2006/relationships/hyperlink" Target="https://www.statistik.bayern.de/statistik/gebiet_bevoelkerung/mikrozensus/index.htm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tmelf.bayern.de/agrarpolitik/foerderung/003555/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hyperlink" Target="https://statistik.arbeitsagentur.de/nn_1021948/SiteGlobals/Forms/Rubrikensuche/Rubrikensuche_Suchergebnis_Form.html?view=processForm&amp;resourceId=210358&amp;input_=&amp;pageLocale=de&amp;topicId=1023366&amp;regionInd=09&amp;region=&amp;year_month=aktuell&amp;year_month.GROUP=1&amp;search=Suchen" TargetMode="External"/><Relationship Id="rId27" Type="http://schemas.openxmlformats.org/officeDocument/2006/relationships/hyperlink" Target="https://www.statistik.bayern.de/mam/produkte/veroffentlichungen/statistische_berichte/a4200c_201700_16595.pdf" TargetMode="Externa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3BB2-13F0-4686-9110-C9E46DDC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17973</Words>
  <Characters>113234</Characters>
  <Application>Microsoft Office Word</Application>
  <DocSecurity>8</DocSecurity>
  <Lines>943</Lines>
  <Paragraphs>261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18/1666</dc:title>
  <dc:creator>Ströhlein, Gabriele (LTA)</dc:creator>
  <cp:lastModifiedBy>Ströhlein, Gabriele (LTA)</cp:lastModifiedBy>
  <cp:revision>2</cp:revision>
  <cp:lastPrinted>2019-04-12T05:39:00Z</cp:lastPrinted>
  <dcterms:created xsi:type="dcterms:W3CDTF">2019-04-17T06:14:00Z</dcterms:created>
  <dcterms:modified xsi:type="dcterms:W3CDTF">2019-04-17T06:14:00Z</dcterms:modified>
</cp:coreProperties>
</file>