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79474A">
        <w:rPr>
          <w:b/>
        </w:rPr>
        <w:t>zur Plenarsitzung am 20.04.2021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041CAD" w:rsidP="00041CAD">
            <w:pPr>
              <w:pStyle w:val="LTVerzDerFragenden"/>
            </w:pPr>
            <w:bookmarkStart w:id="1" w:name="VerzeichnisDerFragenden"/>
            <w:bookmarkEnd w:id="1"/>
            <w:r>
              <w:t>Adelt, Klaus (SPD)</w:t>
            </w:r>
          </w:p>
        </w:tc>
      </w:tr>
      <w:tr w:rsidR="00041CAD" w:rsidRPr="005833DD" w:rsidTr="001F3CDA">
        <w:tc>
          <w:tcPr>
            <w:tcW w:w="5000" w:type="pct"/>
          </w:tcPr>
          <w:p w:rsidR="00041CAD" w:rsidRDefault="00A13730" w:rsidP="00041CAD">
            <w:pPr>
              <w:pStyle w:val="LTVerzDerFragendenFrage"/>
            </w:pPr>
            <w:hyperlink w:anchor="Frage_Nr_23" w:tooltip="Frage Nr 23" w:history="1">
              <w:r w:rsidR="00041CAD">
                <w:rPr>
                  <w:rStyle w:val="Hyperlink"/>
                  <w:szCs w:val="24"/>
                </w:rPr>
                <w:t>Luftfilteranlagen für Klassenzimmer</w:t>
              </w:r>
              <w:r w:rsidR="00041CAD">
                <w:rPr>
                  <w:rStyle w:val="Hyperlink"/>
                  <w:szCs w:val="24"/>
                </w:rPr>
                <w:tab/>
                <w:t>23</w:t>
              </w:r>
            </w:hyperlink>
          </w:p>
        </w:tc>
      </w:tr>
      <w:tr w:rsidR="00041CAD" w:rsidRPr="005833DD" w:rsidTr="001F3CDA">
        <w:tc>
          <w:tcPr>
            <w:tcW w:w="5000" w:type="pct"/>
          </w:tcPr>
          <w:p w:rsidR="00041CAD" w:rsidRDefault="00041CAD" w:rsidP="00041CAD">
            <w:pPr>
              <w:pStyle w:val="LTVerzDerFragenden"/>
            </w:pPr>
            <w:r>
              <w:t>Adjei, Benjamin (BÜNDNIS 90/DIE GRÜNEN)</w:t>
            </w:r>
          </w:p>
        </w:tc>
      </w:tr>
      <w:tr w:rsidR="00041CAD" w:rsidRPr="005833DD" w:rsidTr="001F3CDA">
        <w:tc>
          <w:tcPr>
            <w:tcW w:w="5000" w:type="pct"/>
          </w:tcPr>
          <w:p w:rsidR="00041CAD" w:rsidRDefault="00A13730" w:rsidP="00041CAD">
            <w:pPr>
              <w:pStyle w:val="LTVerzDerFragendenFrage"/>
            </w:pPr>
            <w:hyperlink w:anchor="Frage_Nr_74" w:tooltip="Frage Nr 74" w:history="1">
              <w:r w:rsidR="00041CAD">
                <w:rPr>
                  <w:rStyle w:val="Hyperlink"/>
                  <w:szCs w:val="24"/>
                </w:rPr>
                <w:t>Datenschutz und IT-Sicherheit der Luca-App</w:t>
              </w:r>
              <w:r w:rsidR="00041CAD">
                <w:rPr>
                  <w:rStyle w:val="Hyperlink"/>
                  <w:szCs w:val="24"/>
                </w:rPr>
                <w:tab/>
                <w:t>74</w:t>
              </w:r>
            </w:hyperlink>
          </w:p>
        </w:tc>
      </w:tr>
      <w:tr w:rsidR="00041CAD" w:rsidRPr="005833DD" w:rsidTr="001F3CDA">
        <w:tc>
          <w:tcPr>
            <w:tcW w:w="5000" w:type="pct"/>
          </w:tcPr>
          <w:p w:rsidR="00041CAD" w:rsidRDefault="00041CAD" w:rsidP="00041CAD">
            <w:pPr>
              <w:pStyle w:val="LTVerzDerFragenden"/>
            </w:pPr>
            <w:r>
              <w:t>Arnold, Horst (SPD)</w:t>
            </w:r>
          </w:p>
        </w:tc>
      </w:tr>
      <w:tr w:rsidR="00041CAD" w:rsidRPr="005833DD" w:rsidTr="001F3CDA">
        <w:tc>
          <w:tcPr>
            <w:tcW w:w="5000" w:type="pct"/>
          </w:tcPr>
          <w:p w:rsidR="00041CAD" w:rsidRDefault="00A13730" w:rsidP="00041CAD">
            <w:pPr>
              <w:pStyle w:val="LTVerzDerFragendenFrage"/>
            </w:pPr>
            <w:hyperlink w:anchor="Frage_Nr_52" w:tooltip="Frage Nr 52" w:history="1">
              <w:r w:rsidR="00041CAD">
                <w:rPr>
                  <w:rStyle w:val="Hyperlink"/>
                  <w:szCs w:val="24"/>
                </w:rPr>
                <w:t>Aktuelle Situation der Erntearbeiterinnen und -arbeiter in Bayern</w:t>
              </w:r>
              <w:r w:rsidR="00041CAD">
                <w:rPr>
                  <w:rStyle w:val="Hyperlink"/>
                  <w:szCs w:val="24"/>
                </w:rPr>
                <w:tab/>
                <w:t>52</w:t>
              </w:r>
            </w:hyperlink>
          </w:p>
        </w:tc>
      </w:tr>
      <w:tr w:rsidR="00041CAD" w:rsidRPr="005833DD" w:rsidTr="001F3CDA">
        <w:tc>
          <w:tcPr>
            <w:tcW w:w="5000" w:type="pct"/>
          </w:tcPr>
          <w:p w:rsidR="00041CAD" w:rsidRDefault="00041CAD" w:rsidP="00041CAD">
            <w:pPr>
              <w:pStyle w:val="LTVerzDerFragenden"/>
            </w:pPr>
            <w:r>
              <w:t>Aures, Inge (SPD)</w:t>
            </w:r>
          </w:p>
        </w:tc>
      </w:tr>
      <w:tr w:rsidR="00041CAD" w:rsidRPr="005833DD" w:rsidTr="001F3CDA">
        <w:tc>
          <w:tcPr>
            <w:tcW w:w="5000" w:type="pct"/>
          </w:tcPr>
          <w:p w:rsidR="00041CAD" w:rsidRDefault="00A13730" w:rsidP="00041CAD">
            <w:pPr>
              <w:pStyle w:val="LTVerzDerFragendenFrage"/>
            </w:pPr>
            <w:hyperlink w:anchor="Frage_Nr_12" w:tooltip="Frage Nr 12" w:history="1">
              <w:r w:rsidR="00041CAD">
                <w:rPr>
                  <w:rStyle w:val="Hyperlink"/>
                  <w:szCs w:val="24"/>
                </w:rPr>
                <w:t>Staatliche Grundstücke in Bayern</w:t>
              </w:r>
              <w:r w:rsidR="00041CAD">
                <w:rPr>
                  <w:rStyle w:val="Hyperlink"/>
                  <w:szCs w:val="24"/>
                </w:rPr>
                <w:tab/>
                <w:t>12</w:t>
              </w:r>
            </w:hyperlink>
          </w:p>
        </w:tc>
      </w:tr>
      <w:tr w:rsidR="00041CAD" w:rsidRPr="005833DD" w:rsidTr="001F3CDA">
        <w:tc>
          <w:tcPr>
            <w:tcW w:w="5000" w:type="pct"/>
          </w:tcPr>
          <w:p w:rsidR="00041CAD" w:rsidRDefault="00041CAD" w:rsidP="00041CAD">
            <w:pPr>
              <w:pStyle w:val="LTVerzDerFragenden"/>
            </w:pPr>
            <w:r>
              <w:t>Becher, Johannes (BÜNDNIS 90/DIE GRÜNEN)</w:t>
            </w:r>
          </w:p>
        </w:tc>
      </w:tr>
      <w:tr w:rsidR="00041CAD" w:rsidRPr="005833DD" w:rsidTr="001F3CDA">
        <w:tc>
          <w:tcPr>
            <w:tcW w:w="5000" w:type="pct"/>
          </w:tcPr>
          <w:p w:rsidR="00041CAD" w:rsidRDefault="00A13730" w:rsidP="00041CAD">
            <w:pPr>
              <w:pStyle w:val="LTVerzDerFragendenFrage"/>
            </w:pPr>
            <w:hyperlink w:anchor="Frage_Nr_58" w:tooltip="Frage Nr 58" w:history="1">
              <w:r w:rsidR="00041CAD">
                <w:rPr>
                  <w:rStyle w:val="Hyperlink"/>
                  <w:szCs w:val="24"/>
                </w:rPr>
                <w:t>Änderung der Kinderbildungsverordnung</w:t>
              </w:r>
              <w:r w:rsidR="00041CAD">
                <w:rPr>
                  <w:rStyle w:val="Hyperlink"/>
                  <w:szCs w:val="24"/>
                </w:rPr>
                <w:tab/>
                <w:t>58</w:t>
              </w:r>
            </w:hyperlink>
          </w:p>
        </w:tc>
      </w:tr>
      <w:tr w:rsidR="00041CAD" w:rsidRPr="005833DD" w:rsidTr="001F3CDA">
        <w:tc>
          <w:tcPr>
            <w:tcW w:w="5000" w:type="pct"/>
          </w:tcPr>
          <w:p w:rsidR="00041CAD" w:rsidRDefault="00041CAD" w:rsidP="00041CAD">
            <w:pPr>
              <w:pStyle w:val="LTVerzDerFragenden"/>
            </w:pPr>
            <w:r>
              <w:t>Bergmüller, Franz (AfD)</w:t>
            </w:r>
          </w:p>
        </w:tc>
      </w:tr>
      <w:tr w:rsidR="00041CAD" w:rsidRPr="005833DD" w:rsidTr="001F3CDA">
        <w:tc>
          <w:tcPr>
            <w:tcW w:w="5000" w:type="pct"/>
          </w:tcPr>
          <w:p w:rsidR="00041CAD" w:rsidRDefault="00A13730" w:rsidP="00041CAD">
            <w:pPr>
              <w:pStyle w:val="LTVerzDerFragendenFrage"/>
            </w:pPr>
            <w:hyperlink w:anchor="Frage_Nr_41" w:tooltip="Frage Nr 41" w:history="1">
              <w:r w:rsidR="00041CAD">
                <w:rPr>
                  <w:rStyle w:val="Hyperlink"/>
                  <w:szCs w:val="24"/>
                </w:rPr>
                <w:t xml:space="preserve">Wirtschaftshilfe für Unternehmen insbesondere durch Gemeinden und </w:t>
              </w:r>
              <w:r w:rsidR="00754CFD">
                <w:rPr>
                  <w:rStyle w:val="Hyperlink"/>
                  <w:szCs w:val="24"/>
                </w:rPr>
                <w:br/>
              </w:r>
              <w:r w:rsidR="00041CAD">
                <w:rPr>
                  <w:rStyle w:val="Hyperlink"/>
                  <w:szCs w:val="24"/>
                </w:rPr>
                <w:t>Landkreise</w:t>
              </w:r>
              <w:r w:rsidR="00041CAD">
                <w:rPr>
                  <w:rStyle w:val="Hyperlink"/>
                  <w:szCs w:val="24"/>
                </w:rPr>
                <w:tab/>
                <w:t>41</w:t>
              </w:r>
            </w:hyperlink>
          </w:p>
        </w:tc>
      </w:tr>
      <w:tr w:rsidR="00041CAD" w:rsidRPr="005833DD" w:rsidTr="001F3CDA">
        <w:tc>
          <w:tcPr>
            <w:tcW w:w="5000" w:type="pct"/>
          </w:tcPr>
          <w:p w:rsidR="00041CAD" w:rsidRDefault="001760BF" w:rsidP="00041CAD">
            <w:pPr>
              <w:pStyle w:val="LTVerzDerFragenden"/>
            </w:pPr>
            <w:r>
              <w:t>Bozo</w:t>
            </w:r>
            <w:r>
              <w:rPr>
                <w:rFonts w:cs="Arial"/>
              </w:rPr>
              <w:t>ğ</w:t>
            </w:r>
            <w:r w:rsidR="00041CAD">
              <w:t>lu, Cemal (BÜNDNIS 90/DIE GRÜNEN)</w:t>
            </w:r>
          </w:p>
        </w:tc>
      </w:tr>
      <w:tr w:rsidR="00041CAD" w:rsidRPr="005833DD" w:rsidTr="001F3CDA">
        <w:tc>
          <w:tcPr>
            <w:tcW w:w="5000" w:type="pct"/>
          </w:tcPr>
          <w:p w:rsidR="00041CAD" w:rsidRDefault="00A13730" w:rsidP="00041CAD">
            <w:pPr>
              <w:pStyle w:val="LTVerzDerFragendenFrage"/>
            </w:pPr>
            <w:hyperlink w:anchor="Frage_Nr_3" w:tooltip="Frage Nr 3" w:history="1">
              <w:r w:rsidR="00041CAD">
                <w:rPr>
                  <w:rStyle w:val="Hyperlink"/>
                  <w:szCs w:val="24"/>
                </w:rPr>
                <w:t>Menschenschmugge</w:t>
              </w:r>
              <w:r w:rsidR="00FC1B01">
                <w:rPr>
                  <w:rStyle w:val="Hyperlink"/>
                  <w:szCs w:val="24"/>
                </w:rPr>
                <w:t>l durch Tarn-Austauschprogramme</w:t>
              </w:r>
              <w:r w:rsidR="00041CAD">
                <w:rPr>
                  <w:rStyle w:val="Hyperlink"/>
                  <w:szCs w:val="24"/>
                </w:rPr>
                <w:tab/>
                <w:t>3</w:t>
              </w:r>
            </w:hyperlink>
          </w:p>
        </w:tc>
      </w:tr>
      <w:tr w:rsidR="00041CAD" w:rsidRPr="005833DD" w:rsidTr="001F3CDA">
        <w:tc>
          <w:tcPr>
            <w:tcW w:w="5000" w:type="pct"/>
          </w:tcPr>
          <w:p w:rsidR="00041CAD" w:rsidRDefault="001760BF" w:rsidP="001760BF">
            <w:pPr>
              <w:pStyle w:val="LTVerzDerFragenden"/>
            </w:pPr>
            <w:r>
              <w:t xml:space="preserve">von </w:t>
            </w:r>
            <w:r w:rsidR="00041CAD">
              <w:t>Brunn, Florian (SPD)</w:t>
            </w:r>
          </w:p>
        </w:tc>
      </w:tr>
      <w:tr w:rsidR="00041CAD" w:rsidRPr="005833DD" w:rsidTr="001F3CDA">
        <w:tc>
          <w:tcPr>
            <w:tcW w:w="5000" w:type="pct"/>
          </w:tcPr>
          <w:p w:rsidR="00041CAD" w:rsidRDefault="00A13730" w:rsidP="00FC1B01">
            <w:pPr>
              <w:pStyle w:val="LTVerzDerFragendenFrage"/>
            </w:pPr>
            <w:hyperlink w:anchor="Frage_Nr_42" w:tooltip="Frage Nr 42" w:history="1">
              <w:r w:rsidR="00041CAD">
                <w:rPr>
                  <w:rStyle w:val="Hyperlink"/>
                  <w:szCs w:val="24"/>
                </w:rPr>
                <w:t>Offene Fragen bezüglich Auftragsvergabe für Corona-Schutzmaske</w:t>
              </w:r>
              <w:r w:rsidR="00FC1B01">
                <w:rPr>
                  <w:rStyle w:val="Hyperlink"/>
                  <w:szCs w:val="24"/>
                </w:rPr>
                <w:t>n</w:t>
              </w:r>
              <w:r w:rsidR="00041CAD">
                <w:rPr>
                  <w:rStyle w:val="Hyperlink"/>
                  <w:szCs w:val="24"/>
                </w:rPr>
                <w:t xml:space="preserve"> an die Firma Zettl und den </w:t>
              </w:r>
              <w:r w:rsidR="00BD06F4">
                <w:rPr>
                  <w:rStyle w:val="Hyperlink"/>
                  <w:szCs w:val="24"/>
                </w:rPr>
                <w:t>„</w:t>
              </w:r>
              <w:r w:rsidR="00041CAD">
                <w:rPr>
                  <w:rStyle w:val="Hyperlink"/>
                  <w:szCs w:val="24"/>
                </w:rPr>
                <w:t>Masken</w:t>
              </w:r>
              <w:r w:rsidR="00FC1B01">
                <w:rPr>
                  <w:rStyle w:val="Hyperlink"/>
                  <w:szCs w:val="24"/>
                </w:rPr>
                <w:t>-Verbund-</w:t>
              </w:r>
              <w:r w:rsidR="00041CAD">
                <w:rPr>
                  <w:rStyle w:val="Hyperlink"/>
                  <w:szCs w:val="24"/>
                </w:rPr>
                <w:t>Bayern</w:t>
              </w:r>
              <w:r w:rsidR="00BD06F4">
                <w:rPr>
                  <w:rStyle w:val="Hyperlink"/>
                  <w:szCs w:val="24"/>
                </w:rPr>
                <w:t>“</w:t>
              </w:r>
              <w:r w:rsidR="00041CAD">
                <w:rPr>
                  <w:rStyle w:val="Hyperlink"/>
                  <w:szCs w:val="24"/>
                </w:rPr>
                <w:tab/>
                <w:t>42</w:t>
              </w:r>
            </w:hyperlink>
          </w:p>
        </w:tc>
      </w:tr>
      <w:tr w:rsidR="00041CAD" w:rsidRPr="005833DD" w:rsidTr="001F3CDA">
        <w:tc>
          <w:tcPr>
            <w:tcW w:w="5000" w:type="pct"/>
          </w:tcPr>
          <w:p w:rsidR="00041CAD" w:rsidRDefault="00041CAD" w:rsidP="00041CAD">
            <w:pPr>
              <w:pStyle w:val="LTVerzDerFragenden"/>
            </w:pPr>
            <w:r>
              <w:t>Dr. Büchler, Markus (BÜNDNIS 90/DIE GRÜNEN)</w:t>
            </w:r>
          </w:p>
        </w:tc>
      </w:tr>
      <w:tr w:rsidR="00041CAD" w:rsidRPr="005833DD" w:rsidTr="001F3CDA">
        <w:tc>
          <w:tcPr>
            <w:tcW w:w="5000" w:type="pct"/>
          </w:tcPr>
          <w:p w:rsidR="00041CAD" w:rsidRDefault="00A13730" w:rsidP="00041CAD">
            <w:pPr>
              <w:pStyle w:val="LTVerzDerFragendenFrage"/>
            </w:pPr>
            <w:hyperlink w:anchor="Frage_Nr_13" w:tooltip="Frage Nr 13" w:history="1">
              <w:r w:rsidR="00041CAD">
                <w:rPr>
                  <w:rStyle w:val="Hyperlink"/>
                  <w:szCs w:val="24"/>
                </w:rPr>
                <w:t>Fortschreibung des Schienennahverkehrsplans</w:t>
              </w:r>
              <w:r w:rsidR="00041CAD">
                <w:rPr>
                  <w:rStyle w:val="Hyperlink"/>
                  <w:szCs w:val="24"/>
                </w:rPr>
                <w:tab/>
                <w:t>13</w:t>
              </w:r>
            </w:hyperlink>
          </w:p>
        </w:tc>
      </w:tr>
    </w:tbl>
    <w:p w:rsidR="001760BF" w:rsidRDefault="001760BF">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041CAD" w:rsidRPr="005833DD" w:rsidTr="001F3CDA">
        <w:tc>
          <w:tcPr>
            <w:tcW w:w="5000" w:type="pct"/>
          </w:tcPr>
          <w:p w:rsidR="00041CAD" w:rsidRDefault="00041CAD" w:rsidP="00041CAD">
            <w:pPr>
              <w:pStyle w:val="LTVerzDerFragenden"/>
            </w:pPr>
            <w:r>
              <w:lastRenderedPageBreak/>
              <w:t>Celina, Kerstin (BÜNDNIS 90/DIE GRÜNEN)</w:t>
            </w:r>
          </w:p>
        </w:tc>
      </w:tr>
      <w:tr w:rsidR="00041CAD" w:rsidRPr="005833DD" w:rsidTr="001F3CDA">
        <w:tc>
          <w:tcPr>
            <w:tcW w:w="5000" w:type="pct"/>
          </w:tcPr>
          <w:p w:rsidR="00041CAD" w:rsidRDefault="00A13730" w:rsidP="00041CAD">
            <w:pPr>
              <w:pStyle w:val="LTVerzDerFragendenFrage"/>
            </w:pPr>
            <w:hyperlink w:anchor="Frage_Nr_4" w:tooltip="Frage Nr 4" w:history="1">
              <w:r w:rsidR="00041CAD">
                <w:rPr>
                  <w:rStyle w:val="Hyperlink"/>
                  <w:szCs w:val="24"/>
                </w:rPr>
                <w:t>Überprüfung von Attesten zur Befreiung des Tragens eines Mund-Nasen-</w:t>
              </w:r>
              <w:r w:rsidR="001760BF">
                <w:rPr>
                  <w:rStyle w:val="Hyperlink"/>
                  <w:szCs w:val="24"/>
                </w:rPr>
                <w:br/>
              </w:r>
              <w:r w:rsidR="00041CAD">
                <w:rPr>
                  <w:rStyle w:val="Hyperlink"/>
                  <w:szCs w:val="24"/>
                </w:rPr>
                <w:t>Schutzes</w:t>
              </w:r>
              <w:r w:rsidR="00041CAD">
                <w:rPr>
                  <w:rStyle w:val="Hyperlink"/>
                  <w:szCs w:val="24"/>
                </w:rPr>
                <w:tab/>
                <w:t>4</w:t>
              </w:r>
            </w:hyperlink>
          </w:p>
        </w:tc>
      </w:tr>
      <w:tr w:rsidR="00041CAD" w:rsidRPr="005833DD" w:rsidTr="001F3CDA">
        <w:tc>
          <w:tcPr>
            <w:tcW w:w="5000" w:type="pct"/>
          </w:tcPr>
          <w:p w:rsidR="00041CAD" w:rsidRDefault="00041CAD" w:rsidP="00041CAD">
            <w:pPr>
              <w:pStyle w:val="LTVerzDerFragenden"/>
            </w:pPr>
            <w:r>
              <w:t>Deisenhofer, Maximilian (BÜNDNIS 90/DIE GRÜNEN)</w:t>
            </w:r>
          </w:p>
        </w:tc>
      </w:tr>
      <w:tr w:rsidR="00041CAD" w:rsidRPr="005833DD" w:rsidTr="001F3CDA">
        <w:tc>
          <w:tcPr>
            <w:tcW w:w="5000" w:type="pct"/>
          </w:tcPr>
          <w:p w:rsidR="00041CAD" w:rsidRDefault="00A13730" w:rsidP="00041CAD">
            <w:pPr>
              <w:pStyle w:val="LTVerzDerFragendenFrage"/>
            </w:pPr>
            <w:hyperlink w:anchor="Frage_Nr_5" w:tooltip="Frage Nr 5" w:history="1">
              <w:r w:rsidR="00041CAD">
                <w:rPr>
                  <w:rStyle w:val="Hyperlink"/>
                  <w:szCs w:val="24"/>
                </w:rPr>
                <w:t>Podcast des Staatsministeriums des Innern, für Sport und Integration</w:t>
              </w:r>
              <w:r w:rsidR="00041CAD">
                <w:rPr>
                  <w:rStyle w:val="Hyperlink"/>
                  <w:szCs w:val="24"/>
                </w:rPr>
                <w:tab/>
                <w:t>5</w:t>
              </w:r>
            </w:hyperlink>
          </w:p>
        </w:tc>
      </w:tr>
      <w:tr w:rsidR="00041CAD" w:rsidRPr="005833DD" w:rsidTr="001F3CDA">
        <w:tc>
          <w:tcPr>
            <w:tcW w:w="5000" w:type="pct"/>
          </w:tcPr>
          <w:p w:rsidR="00041CAD" w:rsidRDefault="00041CAD" w:rsidP="00041CAD">
            <w:pPr>
              <w:pStyle w:val="LTVerzDerFragenden"/>
            </w:pPr>
            <w:r>
              <w:t>Demirel, Gülseren (BÜNDNIS 90/DIE GRÜNEN)</w:t>
            </w:r>
          </w:p>
        </w:tc>
      </w:tr>
      <w:tr w:rsidR="00041CAD" w:rsidRPr="005833DD" w:rsidTr="001F3CDA">
        <w:tc>
          <w:tcPr>
            <w:tcW w:w="5000" w:type="pct"/>
          </w:tcPr>
          <w:p w:rsidR="00041CAD" w:rsidRDefault="00A13730" w:rsidP="00041CAD">
            <w:pPr>
              <w:pStyle w:val="LTVerzDerFragendenFrage"/>
            </w:pPr>
            <w:hyperlink w:anchor="Frage_Nr_30" w:tooltip="Frage Nr 30" w:history="1">
              <w:r w:rsidR="00041CAD">
                <w:rPr>
                  <w:rStyle w:val="Hyperlink"/>
                  <w:szCs w:val="24"/>
                </w:rPr>
                <w:t>Historischer Gasthaus Menterschwaige</w:t>
              </w:r>
              <w:r w:rsidR="00041CAD">
                <w:rPr>
                  <w:rStyle w:val="Hyperlink"/>
                  <w:szCs w:val="24"/>
                </w:rPr>
                <w:tab/>
                <w:t>30</w:t>
              </w:r>
            </w:hyperlink>
          </w:p>
        </w:tc>
      </w:tr>
      <w:tr w:rsidR="00041CAD" w:rsidRPr="005833DD" w:rsidTr="001F3CDA">
        <w:tc>
          <w:tcPr>
            <w:tcW w:w="5000" w:type="pct"/>
          </w:tcPr>
          <w:p w:rsidR="00041CAD" w:rsidRDefault="00041CAD" w:rsidP="00041CAD">
            <w:pPr>
              <w:pStyle w:val="LTVerzDerFragenden"/>
            </w:pPr>
            <w:r>
              <w:t>Duin, Albert (FDP)</w:t>
            </w:r>
          </w:p>
        </w:tc>
      </w:tr>
      <w:tr w:rsidR="00041CAD" w:rsidRPr="005833DD" w:rsidTr="001F3CDA">
        <w:tc>
          <w:tcPr>
            <w:tcW w:w="5000" w:type="pct"/>
          </w:tcPr>
          <w:p w:rsidR="00041CAD" w:rsidRDefault="00A13730" w:rsidP="00041CAD">
            <w:pPr>
              <w:pStyle w:val="LTVerzDerFragendenFrage"/>
            </w:pPr>
            <w:hyperlink w:anchor="Frage_Nr_43" w:tooltip="Frage Nr 43" w:history="1">
              <w:r w:rsidR="004A76DB">
                <w:rPr>
                  <w:rStyle w:val="Hyperlink"/>
                  <w:szCs w:val="24"/>
                </w:rPr>
                <w:t>Nutzung von „g</w:t>
              </w:r>
              <w:r w:rsidR="00041CAD">
                <w:rPr>
                  <w:rStyle w:val="Hyperlink"/>
                  <w:szCs w:val="24"/>
                </w:rPr>
                <w:t>elbem Wasserstoff</w:t>
              </w:r>
              <w:r w:rsidR="004A76DB">
                <w:rPr>
                  <w:rStyle w:val="Hyperlink"/>
                  <w:szCs w:val="24"/>
                </w:rPr>
                <w:t>“</w:t>
              </w:r>
              <w:r w:rsidR="00041CAD">
                <w:rPr>
                  <w:rStyle w:val="Hyperlink"/>
                  <w:szCs w:val="24"/>
                </w:rPr>
                <w:t xml:space="preserve"> durch die Bayerische Wasserstoffstrategie</w:t>
              </w:r>
              <w:r w:rsidR="00041CAD">
                <w:rPr>
                  <w:rStyle w:val="Hyperlink"/>
                  <w:szCs w:val="24"/>
                </w:rPr>
                <w:tab/>
                <w:t>43</w:t>
              </w:r>
            </w:hyperlink>
          </w:p>
        </w:tc>
      </w:tr>
      <w:tr w:rsidR="00041CAD" w:rsidRPr="005833DD" w:rsidTr="001F3CDA">
        <w:tc>
          <w:tcPr>
            <w:tcW w:w="5000" w:type="pct"/>
          </w:tcPr>
          <w:p w:rsidR="00041CAD" w:rsidRDefault="00041CAD" w:rsidP="00041CAD">
            <w:pPr>
              <w:pStyle w:val="LTVerzDerFragenden"/>
            </w:pPr>
            <w:r>
              <w:t>Ebner-Steiner, Katrin (AfD)</w:t>
            </w:r>
          </w:p>
        </w:tc>
      </w:tr>
      <w:tr w:rsidR="00041CAD" w:rsidRPr="005833DD" w:rsidTr="001F3CDA">
        <w:tc>
          <w:tcPr>
            <w:tcW w:w="5000" w:type="pct"/>
          </w:tcPr>
          <w:p w:rsidR="00041CAD" w:rsidRDefault="00A13730" w:rsidP="00041CAD">
            <w:pPr>
              <w:pStyle w:val="LTVerzDerFragendenFrage"/>
            </w:pPr>
            <w:hyperlink w:anchor="Frage_Nr_1" w:tooltip="Frage Nr 1" w:history="1">
              <w:r w:rsidR="00041CAD">
                <w:rPr>
                  <w:rStyle w:val="Hyperlink"/>
                  <w:szCs w:val="24"/>
                </w:rPr>
                <w:t>Kosten und Rechtslage der Berlinreise von Ministerpräsident Dr. Markus Söder am 18.04.2021</w:t>
              </w:r>
              <w:r w:rsidR="00041CAD">
                <w:rPr>
                  <w:rStyle w:val="Hyperlink"/>
                  <w:szCs w:val="24"/>
                </w:rPr>
                <w:tab/>
                <w:t>1</w:t>
              </w:r>
            </w:hyperlink>
          </w:p>
        </w:tc>
      </w:tr>
      <w:tr w:rsidR="00041CAD" w:rsidRPr="005833DD" w:rsidTr="001F3CDA">
        <w:tc>
          <w:tcPr>
            <w:tcW w:w="5000" w:type="pct"/>
          </w:tcPr>
          <w:p w:rsidR="00041CAD" w:rsidRDefault="00041CAD" w:rsidP="00041CAD">
            <w:pPr>
              <w:pStyle w:val="LTVerzDerFragenden"/>
            </w:pPr>
            <w:r>
              <w:t>Fehlner, Martina (SPD)</w:t>
            </w:r>
          </w:p>
        </w:tc>
      </w:tr>
      <w:tr w:rsidR="00041CAD" w:rsidRPr="005833DD" w:rsidTr="001F3CDA">
        <w:tc>
          <w:tcPr>
            <w:tcW w:w="5000" w:type="pct"/>
          </w:tcPr>
          <w:p w:rsidR="00041CAD" w:rsidRDefault="00A13730" w:rsidP="00041CAD">
            <w:pPr>
              <w:pStyle w:val="LTVerzDerFragendenFrage"/>
            </w:pPr>
            <w:hyperlink w:anchor="Frage_Nr_44" w:tooltip="Frage Nr 44" w:history="1">
              <w:r w:rsidR="00041CAD">
                <w:rPr>
                  <w:rStyle w:val="Hyperlink"/>
                  <w:szCs w:val="24"/>
                </w:rPr>
                <w:t>Umgang mit Photovoltaikanlagen</w:t>
              </w:r>
              <w:r w:rsidR="00041CAD">
                <w:rPr>
                  <w:rStyle w:val="Hyperlink"/>
                  <w:szCs w:val="24"/>
                </w:rPr>
                <w:tab/>
                <w:t>44</w:t>
              </w:r>
            </w:hyperlink>
          </w:p>
        </w:tc>
      </w:tr>
      <w:tr w:rsidR="00041CAD" w:rsidRPr="005833DD" w:rsidTr="001F3CDA">
        <w:tc>
          <w:tcPr>
            <w:tcW w:w="5000" w:type="pct"/>
          </w:tcPr>
          <w:p w:rsidR="00041CAD" w:rsidRDefault="00041CAD" w:rsidP="00041CAD">
            <w:pPr>
              <w:pStyle w:val="LTVerzDerFragenden"/>
            </w:pPr>
            <w:r>
              <w:t>Fischbach, Matthias (FDP)</w:t>
            </w:r>
          </w:p>
        </w:tc>
      </w:tr>
      <w:tr w:rsidR="00041CAD" w:rsidRPr="005833DD" w:rsidTr="001F3CDA">
        <w:tc>
          <w:tcPr>
            <w:tcW w:w="5000" w:type="pct"/>
          </w:tcPr>
          <w:p w:rsidR="00041CAD" w:rsidRDefault="00A13730" w:rsidP="00041CAD">
            <w:pPr>
              <w:pStyle w:val="LTVerzDerFragendenFrage"/>
            </w:pPr>
            <w:hyperlink w:anchor="Frage_Nr_24" w:tooltip="Frage Nr 24" w:history="1">
              <w:r w:rsidR="00041CAD">
                <w:rPr>
                  <w:rStyle w:val="Hyperlink"/>
                  <w:szCs w:val="24"/>
                </w:rPr>
                <w:t xml:space="preserve">Einführung neues Videokonferenztool </w:t>
              </w:r>
              <w:r w:rsidR="00BD06F4">
                <w:rPr>
                  <w:rStyle w:val="Hyperlink"/>
                  <w:szCs w:val="24"/>
                </w:rPr>
                <w:t>„</w:t>
              </w:r>
              <w:r w:rsidR="00041CAD">
                <w:rPr>
                  <w:rStyle w:val="Hyperlink"/>
                  <w:szCs w:val="24"/>
                </w:rPr>
                <w:t>Visavid</w:t>
              </w:r>
              <w:r w:rsidR="00BD06F4">
                <w:rPr>
                  <w:rStyle w:val="Hyperlink"/>
                  <w:szCs w:val="24"/>
                </w:rPr>
                <w:t>“</w:t>
              </w:r>
              <w:r w:rsidR="00041CAD">
                <w:rPr>
                  <w:rStyle w:val="Hyperlink"/>
                  <w:szCs w:val="24"/>
                </w:rPr>
                <w:tab/>
                <w:t>24</w:t>
              </w:r>
            </w:hyperlink>
          </w:p>
        </w:tc>
      </w:tr>
      <w:tr w:rsidR="00041CAD" w:rsidRPr="005833DD" w:rsidTr="001F3CDA">
        <w:tc>
          <w:tcPr>
            <w:tcW w:w="5000" w:type="pct"/>
          </w:tcPr>
          <w:p w:rsidR="00041CAD" w:rsidRDefault="00041CAD" w:rsidP="00041CAD">
            <w:pPr>
              <w:pStyle w:val="LTVerzDerFragenden"/>
            </w:pPr>
            <w:r>
              <w:t>Flisek, Christian (SPD)</w:t>
            </w:r>
          </w:p>
        </w:tc>
      </w:tr>
      <w:tr w:rsidR="00041CAD" w:rsidRPr="005833DD" w:rsidTr="001F3CDA">
        <w:tc>
          <w:tcPr>
            <w:tcW w:w="5000" w:type="pct"/>
          </w:tcPr>
          <w:p w:rsidR="00041CAD" w:rsidRDefault="00A13730" w:rsidP="00041CAD">
            <w:pPr>
              <w:pStyle w:val="LTVerzDerFragendenFrage"/>
            </w:pPr>
            <w:hyperlink w:anchor="Frage_Nr_14" w:tooltip="Frage Nr 14" w:history="1">
              <w:r w:rsidR="00041CAD">
                <w:rPr>
                  <w:rStyle w:val="Hyperlink"/>
                  <w:szCs w:val="24"/>
                </w:rPr>
                <w:t>Wohngeld in Bayern</w:t>
              </w:r>
              <w:r w:rsidR="00041CAD">
                <w:rPr>
                  <w:rStyle w:val="Hyperlink"/>
                  <w:szCs w:val="24"/>
                </w:rPr>
                <w:tab/>
                <w:t>14</w:t>
              </w:r>
            </w:hyperlink>
          </w:p>
        </w:tc>
      </w:tr>
      <w:tr w:rsidR="00041CAD" w:rsidRPr="005833DD" w:rsidTr="001F3CDA">
        <w:tc>
          <w:tcPr>
            <w:tcW w:w="5000" w:type="pct"/>
          </w:tcPr>
          <w:p w:rsidR="00041CAD" w:rsidRDefault="00041CAD" w:rsidP="00041CAD">
            <w:pPr>
              <w:pStyle w:val="LTVerzDerFragenden"/>
            </w:pPr>
            <w:r>
              <w:t>Franke, Anne (BÜNDNIS 90/DIE GRÜNEN)</w:t>
            </w:r>
          </w:p>
        </w:tc>
      </w:tr>
      <w:tr w:rsidR="00041CAD" w:rsidRPr="005833DD" w:rsidTr="001F3CDA">
        <w:tc>
          <w:tcPr>
            <w:tcW w:w="5000" w:type="pct"/>
          </w:tcPr>
          <w:p w:rsidR="00041CAD" w:rsidRDefault="00A13730" w:rsidP="00041CAD">
            <w:pPr>
              <w:pStyle w:val="LTVerzDerFragendenFrage"/>
            </w:pPr>
            <w:hyperlink w:anchor="Frage_Nr_45" w:tooltip="Frage Nr 45" w:history="1">
              <w:r w:rsidR="00041CAD">
                <w:rPr>
                  <w:rStyle w:val="Hyperlink"/>
                  <w:szCs w:val="24"/>
                </w:rPr>
                <w:t>Auswahlverfahren BayTherapie 2020</w:t>
              </w:r>
              <w:r w:rsidR="00041CAD">
                <w:rPr>
                  <w:rStyle w:val="Hyperlink"/>
                  <w:szCs w:val="24"/>
                </w:rPr>
                <w:tab/>
                <w:t>45</w:t>
              </w:r>
            </w:hyperlink>
          </w:p>
        </w:tc>
      </w:tr>
      <w:tr w:rsidR="00041CAD" w:rsidRPr="005833DD" w:rsidTr="001F3CDA">
        <w:tc>
          <w:tcPr>
            <w:tcW w:w="5000" w:type="pct"/>
          </w:tcPr>
          <w:p w:rsidR="00041CAD" w:rsidRDefault="00041CAD" w:rsidP="00041CAD">
            <w:pPr>
              <w:pStyle w:val="LTVerzDerFragenden"/>
            </w:pPr>
            <w:r>
              <w:t>Friedl, Patrick (BÜNDNIS 90/DIE GRÜNEN)</w:t>
            </w:r>
          </w:p>
        </w:tc>
      </w:tr>
      <w:tr w:rsidR="00041CAD" w:rsidRPr="005833DD" w:rsidTr="001F3CDA">
        <w:tc>
          <w:tcPr>
            <w:tcW w:w="5000" w:type="pct"/>
          </w:tcPr>
          <w:p w:rsidR="00041CAD" w:rsidRDefault="00A13730" w:rsidP="00041CAD">
            <w:pPr>
              <w:pStyle w:val="LTVerzDerFragendenFrage"/>
            </w:pPr>
            <w:hyperlink w:anchor="Frage_Nr_53" w:tooltip="Frage Nr 53" w:history="1">
              <w:r w:rsidR="00041CAD">
                <w:rPr>
                  <w:rStyle w:val="Hyperlink"/>
                  <w:szCs w:val="24"/>
                </w:rPr>
                <w:t>Umsetzung der Torfreduktionsstrategie in Bayern</w:t>
              </w:r>
              <w:r w:rsidR="00041CAD">
                <w:rPr>
                  <w:rStyle w:val="Hyperlink"/>
                  <w:szCs w:val="24"/>
                </w:rPr>
                <w:tab/>
                <w:t>53</w:t>
              </w:r>
            </w:hyperlink>
          </w:p>
        </w:tc>
      </w:tr>
      <w:tr w:rsidR="00041CAD" w:rsidRPr="005833DD" w:rsidTr="001F3CDA">
        <w:tc>
          <w:tcPr>
            <w:tcW w:w="5000" w:type="pct"/>
          </w:tcPr>
          <w:p w:rsidR="00041CAD" w:rsidRDefault="00041CAD" w:rsidP="00041CAD">
            <w:pPr>
              <w:pStyle w:val="LTVerzDerFragenden"/>
            </w:pPr>
            <w:r>
              <w:t>Fuchs, Barbara (BÜNDNIS 90/DIE GRÜNEN)</w:t>
            </w:r>
          </w:p>
        </w:tc>
      </w:tr>
      <w:tr w:rsidR="00041CAD" w:rsidRPr="005833DD" w:rsidTr="001F3CDA">
        <w:tc>
          <w:tcPr>
            <w:tcW w:w="5000" w:type="pct"/>
          </w:tcPr>
          <w:p w:rsidR="00041CAD" w:rsidRDefault="00A13730" w:rsidP="00041CAD">
            <w:pPr>
              <w:pStyle w:val="LTVerzDerFragendenFrage"/>
            </w:pPr>
            <w:hyperlink w:anchor="Frage_Nr_62" w:tooltip="Frage Nr 62" w:history="1">
              <w:r w:rsidR="00041CAD">
                <w:rPr>
                  <w:rStyle w:val="Hyperlink"/>
                  <w:szCs w:val="24"/>
                </w:rPr>
                <w:t>Bayerische Modellprojekte zum Impfen in Betrieben</w:t>
              </w:r>
              <w:r w:rsidR="00041CAD">
                <w:rPr>
                  <w:rStyle w:val="Hyperlink"/>
                  <w:szCs w:val="24"/>
                </w:rPr>
                <w:tab/>
                <w:t>62</w:t>
              </w:r>
            </w:hyperlink>
          </w:p>
        </w:tc>
      </w:tr>
      <w:tr w:rsidR="00041CAD" w:rsidRPr="005833DD" w:rsidTr="001F3CDA">
        <w:tc>
          <w:tcPr>
            <w:tcW w:w="5000" w:type="pct"/>
          </w:tcPr>
          <w:p w:rsidR="00041CAD" w:rsidRDefault="00041CAD" w:rsidP="00041CAD">
            <w:pPr>
              <w:pStyle w:val="LTVerzDerFragenden"/>
            </w:pPr>
            <w:r>
              <w:t>Ganserer, Tessa (BÜNDNIS 90/DIE GRÜNEN)</w:t>
            </w:r>
          </w:p>
        </w:tc>
      </w:tr>
      <w:tr w:rsidR="00041CAD" w:rsidRPr="005833DD" w:rsidTr="001F3CDA">
        <w:tc>
          <w:tcPr>
            <w:tcW w:w="5000" w:type="pct"/>
          </w:tcPr>
          <w:p w:rsidR="00041CAD" w:rsidRDefault="00A13730" w:rsidP="00041CAD">
            <w:pPr>
              <w:pStyle w:val="LTVerzDerFragendenFrage"/>
            </w:pPr>
            <w:hyperlink w:anchor="Frage_Nr_34" w:tooltip="Frage Nr 34" w:history="1">
              <w:r w:rsidR="00041CAD">
                <w:rPr>
                  <w:rStyle w:val="Hyperlink"/>
                  <w:szCs w:val="24"/>
                </w:rPr>
                <w:t>Kostenerstattung Präexpositionsprophylaxe</w:t>
              </w:r>
              <w:r w:rsidR="00041CAD">
                <w:rPr>
                  <w:rStyle w:val="Hyperlink"/>
                  <w:szCs w:val="24"/>
                </w:rPr>
                <w:tab/>
                <w:t>34</w:t>
              </w:r>
            </w:hyperlink>
          </w:p>
        </w:tc>
      </w:tr>
      <w:tr w:rsidR="00041CAD" w:rsidRPr="005833DD" w:rsidTr="001F3CDA">
        <w:tc>
          <w:tcPr>
            <w:tcW w:w="5000" w:type="pct"/>
          </w:tcPr>
          <w:p w:rsidR="00041CAD" w:rsidRDefault="00041CAD" w:rsidP="00041CAD">
            <w:pPr>
              <w:pStyle w:val="LTVerzDerFragenden"/>
            </w:pPr>
            <w:r>
              <w:t>Gehring, Thomas (BÜNDNIS 90/DIE GRÜNEN)</w:t>
            </w:r>
          </w:p>
        </w:tc>
      </w:tr>
      <w:tr w:rsidR="00041CAD" w:rsidRPr="005833DD" w:rsidTr="001F3CDA">
        <w:tc>
          <w:tcPr>
            <w:tcW w:w="5000" w:type="pct"/>
          </w:tcPr>
          <w:p w:rsidR="00041CAD" w:rsidRDefault="00A13730" w:rsidP="00041CAD">
            <w:pPr>
              <w:pStyle w:val="LTVerzDerFragendenFrage"/>
            </w:pPr>
            <w:hyperlink w:anchor="Frage_Nr_25" w:tooltip="Frage Nr 25" w:history="1">
              <w:r w:rsidR="00041CAD">
                <w:rPr>
                  <w:rStyle w:val="Hyperlink"/>
                  <w:szCs w:val="24"/>
                </w:rPr>
                <w:t>Gewährleistung der Teilnahme an Abschlussprüfungen während Corona</w:t>
              </w:r>
              <w:r w:rsidR="00041CAD">
                <w:rPr>
                  <w:rStyle w:val="Hyperlink"/>
                  <w:szCs w:val="24"/>
                </w:rPr>
                <w:tab/>
                <w:t>25</w:t>
              </w:r>
            </w:hyperlink>
          </w:p>
        </w:tc>
      </w:tr>
      <w:tr w:rsidR="00041CAD" w:rsidRPr="005833DD" w:rsidTr="001F3CDA">
        <w:tc>
          <w:tcPr>
            <w:tcW w:w="5000" w:type="pct"/>
          </w:tcPr>
          <w:p w:rsidR="00041CAD" w:rsidRDefault="00041CAD" w:rsidP="00041CAD">
            <w:pPr>
              <w:pStyle w:val="LTVerzDerFragenden"/>
            </w:pPr>
            <w:r>
              <w:t>Güller, Harald (SPD)</w:t>
            </w:r>
          </w:p>
        </w:tc>
      </w:tr>
      <w:tr w:rsidR="00041CAD" w:rsidRPr="005833DD" w:rsidTr="001F3CDA">
        <w:tc>
          <w:tcPr>
            <w:tcW w:w="5000" w:type="pct"/>
          </w:tcPr>
          <w:p w:rsidR="00041CAD" w:rsidRDefault="00A13730" w:rsidP="00041CAD">
            <w:pPr>
              <w:pStyle w:val="LTVerzDerFragendenFrage"/>
            </w:pPr>
            <w:hyperlink w:anchor="Frage_Nr_63" w:tooltip="Frage Nr 63" w:history="1">
              <w:r w:rsidR="00041CAD">
                <w:rPr>
                  <w:rStyle w:val="Hyperlink"/>
                  <w:szCs w:val="24"/>
                </w:rPr>
                <w:t>Öffnung Hundeschulen</w:t>
              </w:r>
              <w:r w:rsidR="00041CAD">
                <w:rPr>
                  <w:rStyle w:val="Hyperlink"/>
                  <w:szCs w:val="24"/>
                </w:rPr>
                <w:tab/>
                <w:t>63</w:t>
              </w:r>
            </w:hyperlink>
          </w:p>
        </w:tc>
      </w:tr>
      <w:tr w:rsidR="00041CAD" w:rsidRPr="005833DD" w:rsidTr="001F3CDA">
        <w:tc>
          <w:tcPr>
            <w:tcW w:w="5000" w:type="pct"/>
          </w:tcPr>
          <w:p w:rsidR="00041CAD" w:rsidRDefault="00041CAD" w:rsidP="00041CAD">
            <w:pPr>
              <w:pStyle w:val="LTVerzDerFragenden"/>
            </w:pPr>
            <w:r>
              <w:t>Hagen, Martin (FDP)</w:t>
            </w:r>
          </w:p>
        </w:tc>
      </w:tr>
      <w:tr w:rsidR="00041CAD" w:rsidRPr="005833DD" w:rsidTr="001F3CDA">
        <w:tc>
          <w:tcPr>
            <w:tcW w:w="5000" w:type="pct"/>
          </w:tcPr>
          <w:p w:rsidR="00041CAD" w:rsidRDefault="00A13730" w:rsidP="00041CAD">
            <w:pPr>
              <w:pStyle w:val="LTVerzDerFragendenFrage"/>
            </w:pPr>
            <w:hyperlink w:anchor="Frage_Nr_64" w:tooltip="Frage Nr 64" w:history="1">
              <w:r w:rsidR="00041CAD">
                <w:rPr>
                  <w:rStyle w:val="Hyperlink"/>
                  <w:szCs w:val="24"/>
                </w:rPr>
                <w:t xml:space="preserve">Haltung der Staatregierung zum Föderalismus im Bereich des </w:t>
              </w:r>
              <w:r w:rsidR="001760BF">
                <w:rPr>
                  <w:rStyle w:val="Hyperlink"/>
                  <w:szCs w:val="24"/>
                </w:rPr>
                <w:br/>
              </w:r>
              <w:r w:rsidR="00041CAD">
                <w:rPr>
                  <w:rStyle w:val="Hyperlink"/>
                  <w:szCs w:val="24"/>
                </w:rPr>
                <w:t>Infektionsschutzes</w:t>
              </w:r>
              <w:r w:rsidR="00041CAD">
                <w:rPr>
                  <w:rStyle w:val="Hyperlink"/>
                  <w:szCs w:val="24"/>
                </w:rPr>
                <w:tab/>
                <w:t>64</w:t>
              </w:r>
            </w:hyperlink>
          </w:p>
        </w:tc>
      </w:tr>
      <w:tr w:rsidR="00041CAD" w:rsidRPr="005833DD" w:rsidTr="001F3CDA">
        <w:tc>
          <w:tcPr>
            <w:tcW w:w="5000" w:type="pct"/>
          </w:tcPr>
          <w:p w:rsidR="00041CAD" w:rsidRDefault="00041CAD" w:rsidP="00041CAD">
            <w:pPr>
              <w:pStyle w:val="LTVerzDerFragenden"/>
            </w:pPr>
            <w:r>
              <w:t>Halbleib, Volkmar (SPD)</w:t>
            </w:r>
          </w:p>
        </w:tc>
      </w:tr>
      <w:tr w:rsidR="00041CAD" w:rsidRPr="005833DD" w:rsidTr="001F3CDA">
        <w:tc>
          <w:tcPr>
            <w:tcW w:w="5000" w:type="pct"/>
          </w:tcPr>
          <w:p w:rsidR="00041CAD" w:rsidRDefault="00A13730" w:rsidP="00041CAD">
            <w:pPr>
              <w:pStyle w:val="LTVerzDerFragendenFrage"/>
            </w:pPr>
            <w:hyperlink w:anchor="Frage_Nr_15" w:tooltip="Frage Nr 15" w:history="1">
              <w:r w:rsidR="00041CAD">
                <w:rPr>
                  <w:rStyle w:val="Hyperlink"/>
                  <w:szCs w:val="24"/>
                </w:rPr>
                <w:t>Aktuelle Fragen und Entwicklungen Steigerwaldbahn</w:t>
              </w:r>
              <w:r w:rsidR="00041CAD">
                <w:rPr>
                  <w:rStyle w:val="Hyperlink"/>
                  <w:szCs w:val="24"/>
                </w:rPr>
                <w:tab/>
                <w:t>15</w:t>
              </w:r>
            </w:hyperlink>
          </w:p>
        </w:tc>
      </w:tr>
      <w:tr w:rsidR="00041CAD" w:rsidRPr="005833DD" w:rsidTr="001F3CDA">
        <w:tc>
          <w:tcPr>
            <w:tcW w:w="5000" w:type="pct"/>
          </w:tcPr>
          <w:p w:rsidR="00041CAD" w:rsidRDefault="00041CAD" w:rsidP="00041CAD">
            <w:pPr>
              <w:pStyle w:val="LTVerzDerFragenden"/>
            </w:pPr>
            <w:r>
              <w:t>Hartmann, Ludwig (BÜNDNIS 90/DIE GRÜNEN)</w:t>
            </w:r>
          </w:p>
        </w:tc>
      </w:tr>
      <w:tr w:rsidR="00041CAD" w:rsidRPr="005833DD" w:rsidTr="001F3CDA">
        <w:tc>
          <w:tcPr>
            <w:tcW w:w="5000" w:type="pct"/>
          </w:tcPr>
          <w:p w:rsidR="00041CAD" w:rsidRDefault="00A13730" w:rsidP="00041CAD">
            <w:pPr>
              <w:pStyle w:val="LTVerzDerFragendenFrage"/>
            </w:pPr>
            <w:hyperlink w:anchor="Frage_Nr_54" w:tooltip="Frage Nr 54" w:history="1">
              <w:r w:rsidR="00041CAD">
                <w:rPr>
                  <w:rStyle w:val="Hyperlink"/>
                  <w:szCs w:val="24"/>
                </w:rPr>
                <w:t>Verkauf von Staatswaldflächen für ein geplantes Gewerbegebiet in Teublitz</w:t>
              </w:r>
              <w:r w:rsidR="00041CAD">
                <w:rPr>
                  <w:rStyle w:val="Hyperlink"/>
                  <w:szCs w:val="24"/>
                </w:rPr>
                <w:tab/>
                <w:t>54</w:t>
              </w:r>
            </w:hyperlink>
          </w:p>
        </w:tc>
      </w:tr>
      <w:tr w:rsidR="00041CAD" w:rsidRPr="005833DD" w:rsidTr="001F3CDA">
        <w:tc>
          <w:tcPr>
            <w:tcW w:w="5000" w:type="pct"/>
          </w:tcPr>
          <w:p w:rsidR="00041CAD" w:rsidRDefault="00041CAD" w:rsidP="00041CAD">
            <w:pPr>
              <w:pStyle w:val="LTVerzDerFragenden"/>
            </w:pPr>
            <w:r>
              <w:t>Haubrich, Christina (BÜNDNIS 90/DIE GRÜNEN)</w:t>
            </w:r>
          </w:p>
        </w:tc>
      </w:tr>
      <w:tr w:rsidR="00041CAD" w:rsidRPr="005833DD" w:rsidTr="001F3CDA">
        <w:tc>
          <w:tcPr>
            <w:tcW w:w="5000" w:type="pct"/>
          </w:tcPr>
          <w:p w:rsidR="00041CAD" w:rsidRDefault="00A13730" w:rsidP="00041CAD">
            <w:pPr>
              <w:pStyle w:val="LTVerzDerFragendenFrage"/>
            </w:pPr>
            <w:hyperlink w:anchor="Frage_Nr_65" w:tooltip="Frage Nr 65" w:history="1">
              <w:r w:rsidR="00041CAD">
                <w:rPr>
                  <w:rStyle w:val="Hyperlink"/>
                  <w:szCs w:val="24"/>
                </w:rPr>
                <w:t>Corona-Schnelltests in Schulen</w:t>
              </w:r>
              <w:r w:rsidR="00041CAD">
                <w:rPr>
                  <w:rStyle w:val="Hyperlink"/>
                  <w:szCs w:val="24"/>
                </w:rPr>
                <w:tab/>
                <w:t>65</w:t>
              </w:r>
            </w:hyperlink>
          </w:p>
        </w:tc>
      </w:tr>
      <w:tr w:rsidR="00041CAD" w:rsidRPr="005833DD" w:rsidTr="001F3CDA">
        <w:tc>
          <w:tcPr>
            <w:tcW w:w="5000" w:type="pct"/>
          </w:tcPr>
          <w:p w:rsidR="00041CAD" w:rsidRDefault="00041CAD" w:rsidP="00041CAD">
            <w:pPr>
              <w:pStyle w:val="LTVerzDerFragenden"/>
            </w:pPr>
            <w:r>
              <w:t>Dr. Heubisch, Wolfgang (FDP)</w:t>
            </w:r>
          </w:p>
        </w:tc>
      </w:tr>
      <w:tr w:rsidR="00041CAD" w:rsidRPr="005833DD" w:rsidTr="001F3CDA">
        <w:tc>
          <w:tcPr>
            <w:tcW w:w="5000" w:type="pct"/>
          </w:tcPr>
          <w:p w:rsidR="00041CAD" w:rsidRDefault="00A13730" w:rsidP="00041CAD">
            <w:pPr>
              <w:pStyle w:val="LTVerzDerFragendenFrage"/>
            </w:pPr>
            <w:hyperlink w:anchor="Frage_Nr_31" w:tooltip="Frage Nr 31" w:history="1">
              <w:r w:rsidR="004A76DB">
                <w:rPr>
                  <w:rStyle w:val="Hyperlink"/>
                  <w:szCs w:val="24"/>
                </w:rPr>
                <w:t>Gesetz</w:t>
              </w:r>
              <w:r w:rsidR="00041CAD">
                <w:rPr>
                  <w:rStyle w:val="Hyperlink"/>
                  <w:szCs w:val="24"/>
                </w:rPr>
                <w:t>entwurf Hochschulinnovationsgesetz</w:t>
              </w:r>
              <w:r w:rsidR="00041CAD">
                <w:rPr>
                  <w:rStyle w:val="Hyperlink"/>
                  <w:szCs w:val="24"/>
                </w:rPr>
                <w:tab/>
                <w:t>31</w:t>
              </w:r>
            </w:hyperlink>
          </w:p>
        </w:tc>
      </w:tr>
      <w:tr w:rsidR="00041CAD" w:rsidRPr="005833DD" w:rsidTr="001F3CDA">
        <w:tc>
          <w:tcPr>
            <w:tcW w:w="5000" w:type="pct"/>
          </w:tcPr>
          <w:p w:rsidR="00041CAD" w:rsidRDefault="00041CAD" w:rsidP="00041CAD">
            <w:pPr>
              <w:pStyle w:val="LTVerzDerFragenden"/>
            </w:pPr>
            <w:r>
              <w:lastRenderedPageBreak/>
              <w:t>Hierneis, Christian (BÜNDNIS 90/DIE GRÜNEN)</w:t>
            </w:r>
          </w:p>
        </w:tc>
      </w:tr>
      <w:tr w:rsidR="00041CAD" w:rsidRPr="005833DD" w:rsidTr="001F3CDA">
        <w:tc>
          <w:tcPr>
            <w:tcW w:w="5000" w:type="pct"/>
          </w:tcPr>
          <w:p w:rsidR="00041CAD" w:rsidRDefault="00A13730" w:rsidP="00041CAD">
            <w:pPr>
              <w:pStyle w:val="LTVerzDerFragendenFrage"/>
            </w:pPr>
            <w:hyperlink w:anchor="Frage_Nr_75" w:tooltip="Frage Nr 75" w:history="1">
              <w:r w:rsidR="00041CAD">
                <w:rPr>
                  <w:rStyle w:val="Hyperlink"/>
                  <w:szCs w:val="24"/>
                </w:rPr>
                <w:t>Vergabeverfahren Kontaktnachverfolgungs-App</w:t>
              </w:r>
              <w:r w:rsidR="00041CAD">
                <w:rPr>
                  <w:rStyle w:val="Hyperlink"/>
                  <w:szCs w:val="24"/>
                </w:rPr>
                <w:tab/>
                <w:t>75</w:t>
              </w:r>
            </w:hyperlink>
          </w:p>
        </w:tc>
      </w:tr>
      <w:tr w:rsidR="00041CAD" w:rsidRPr="005833DD" w:rsidTr="001F3CDA">
        <w:tc>
          <w:tcPr>
            <w:tcW w:w="5000" w:type="pct"/>
          </w:tcPr>
          <w:p w:rsidR="00041CAD" w:rsidRDefault="00041CAD" w:rsidP="00041CAD">
            <w:pPr>
              <w:pStyle w:val="LTVerzDerFragenden"/>
            </w:pPr>
            <w:r>
              <w:t>Hiersemann, Alexandra (SPD)</w:t>
            </w:r>
          </w:p>
        </w:tc>
      </w:tr>
      <w:tr w:rsidR="00041CAD" w:rsidRPr="005833DD" w:rsidTr="001F3CDA">
        <w:tc>
          <w:tcPr>
            <w:tcW w:w="5000" w:type="pct"/>
          </w:tcPr>
          <w:p w:rsidR="00041CAD" w:rsidRDefault="00A13730" w:rsidP="00041CAD">
            <w:pPr>
              <w:pStyle w:val="LTVerzDerFragendenFrage"/>
            </w:pPr>
            <w:hyperlink w:anchor="Frage_Nr_16" w:tooltip="Frage Nr 16" w:history="1">
              <w:r w:rsidR="00041CAD">
                <w:rPr>
                  <w:rStyle w:val="Hyperlink"/>
                  <w:szCs w:val="24"/>
                </w:rPr>
                <w:t>Ankauf von Teilen des Siemens-Campus Erlangen für die Friedrich-Alexander-Universität Erlangen-Nürnberg</w:t>
              </w:r>
              <w:r w:rsidR="00041CAD">
                <w:rPr>
                  <w:rStyle w:val="Hyperlink"/>
                  <w:szCs w:val="24"/>
                </w:rPr>
                <w:tab/>
                <w:t>16</w:t>
              </w:r>
            </w:hyperlink>
          </w:p>
        </w:tc>
      </w:tr>
      <w:tr w:rsidR="00041CAD" w:rsidRPr="005833DD" w:rsidTr="001F3CDA">
        <w:tc>
          <w:tcPr>
            <w:tcW w:w="5000" w:type="pct"/>
          </w:tcPr>
          <w:p w:rsidR="00041CAD" w:rsidRDefault="00041CAD" w:rsidP="00041CAD">
            <w:pPr>
              <w:pStyle w:val="LTVerzDerFragenden"/>
            </w:pPr>
            <w:r>
              <w:t>Dr. Kaltenhauser, Helmut (FDP)</w:t>
            </w:r>
          </w:p>
        </w:tc>
      </w:tr>
      <w:tr w:rsidR="00041CAD" w:rsidRPr="005833DD" w:rsidTr="001F3CDA">
        <w:tc>
          <w:tcPr>
            <w:tcW w:w="5000" w:type="pct"/>
          </w:tcPr>
          <w:p w:rsidR="00041CAD" w:rsidRDefault="00A13730" w:rsidP="00041CAD">
            <w:pPr>
              <w:pStyle w:val="LTVerzDerFragendenFrage"/>
            </w:pPr>
            <w:hyperlink w:anchor="Frage_Nr_6" w:tooltip="Frage Nr 6" w:history="1">
              <w:r w:rsidR="00041CAD">
                <w:rPr>
                  <w:rStyle w:val="Hyperlink"/>
                  <w:szCs w:val="24"/>
                </w:rPr>
                <w:t>LKA-Kooperation mit Freistaat</w:t>
              </w:r>
              <w:r w:rsidR="00041CAD">
                <w:rPr>
                  <w:rStyle w:val="Hyperlink"/>
                  <w:szCs w:val="24"/>
                </w:rPr>
                <w:tab/>
                <w:t>6</w:t>
              </w:r>
            </w:hyperlink>
          </w:p>
        </w:tc>
      </w:tr>
      <w:tr w:rsidR="00041CAD" w:rsidRPr="005833DD" w:rsidTr="001F3CDA">
        <w:tc>
          <w:tcPr>
            <w:tcW w:w="5000" w:type="pct"/>
          </w:tcPr>
          <w:p w:rsidR="00041CAD" w:rsidRDefault="00041CAD" w:rsidP="00041CAD">
            <w:pPr>
              <w:pStyle w:val="LTVerzDerFragenden"/>
            </w:pPr>
            <w:r>
              <w:t>Karl, Annette (SPD)</w:t>
            </w:r>
          </w:p>
        </w:tc>
      </w:tr>
      <w:tr w:rsidR="00041CAD" w:rsidRPr="005833DD" w:rsidTr="001F3CDA">
        <w:tc>
          <w:tcPr>
            <w:tcW w:w="5000" w:type="pct"/>
          </w:tcPr>
          <w:p w:rsidR="00041CAD" w:rsidRDefault="00A13730" w:rsidP="00041CAD">
            <w:pPr>
              <w:pStyle w:val="LTVerzDerFragendenFrage"/>
            </w:pPr>
            <w:hyperlink w:anchor="Frage_Nr_17" w:tooltip="Frage Nr 17" w:history="1">
              <w:r w:rsidR="00041CAD">
                <w:rPr>
                  <w:rStyle w:val="Hyperlink"/>
                  <w:szCs w:val="24"/>
                </w:rPr>
                <w:t>365-Euro-Ticket</w:t>
              </w:r>
              <w:r w:rsidR="00041CAD">
                <w:rPr>
                  <w:rStyle w:val="Hyperlink"/>
                  <w:szCs w:val="24"/>
                </w:rPr>
                <w:tab/>
                <w:t>17</w:t>
              </w:r>
            </w:hyperlink>
          </w:p>
        </w:tc>
      </w:tr>
      <w:tr w:rsidR="00041CAD" w:rsidRPr="005833DD" w:rsidTr="001F3CDA">
        <w:tc>
          <w:tcPr>
            <w:tcW w:w="5000" w:type="pct"/>
          </w:tcPr>
          <w:p w:rsidR="00041CAD" w:rsidRDefault="00041CAD" w:rsidP="00041CAD">
            <w:pPr>
              <w:pStyle w:val="LTVerzDerFragenden"/>
            </w:pPr>
            <w:r>
              <w:t>Knoblach, Paul (BÜNDNIS 90/DIE GRÜNEN)</w:t>
            </w:r>
          </w:p>
        </w:tc>
      </w:tr>
      <w:tr w:rsidR="00041CAD" w:rsidRPr="005833DD" w:rsidTr="001F3CDA">
        <w:tc>
          <w:tcPr>
            <w:tcW w:w="5000" w:type="pct"/>
          </w:tcPr>
          <w:p w:rsidR="00041CAD" w:rsidRDefault="00A13730" w:rsidP="004A76DB">
            <w:pPr>
              <w:pStyle w:val="LTVerzDerFragendenFrage"/>
            </w:pPr>
            <w:hyperlink w:anchor="Frage_Nr_49" w:tooltip="Frage Nr 49" w:history="1">
              <w:r w:rsidR="00041CAD">
                <w:rPr>
                  <w:rStyle w:val="Hyperlink"/>
                  <w:szCs w:val="24"/>
                </w:rPr>
                <w:t>Deponierung spezifisch freigegebener Abfälle aus dem Ke</w:t>
              </w:r>
              <w:r w:rsidR="004A76DB">
                <w:rPr>
                  <w:rStyle w:val="Hyperlink"/>
                  <w:szCs w:val="24"/>
                </w:rPr>
                <w:t>rnkraftwerk Grafenrheinfeld</w:t>
              </w:r>
              <w:r w:rsidR="00041CAD">
                <w:rPr>
                  <w:rStyle w:val="Hyperlink"/>
                  <w:szCs w:val="24"/>
                </w:rPr>
                <w:t xml:space="preserve"> auf der Reststoffdeponie Rothmühle</w:t>
              </w:r>
              <w:r w:rsidR="00041CAD">
                <w:rPr>
                  <w:rStyle w:val="Hyperlink"/>
                  <w:szCs w:val="24"/>
                </w:rPr>
                <w:tab/>
                <w:t>49</w:t>
              </w:r>
            </w:hyperlink>
          </w:p>
        </w:tc>
      </w:tr>
      <w:tr w:rsidR="00041CAD" w:rsidRPr="005833DD" w:rsidTr="001F3CDA">
        <w:tc>
          <w:tcPr>
            <w:tcW w:w="5000" w:type="pct"/>
          </w:tcPr>
          <w:p w:rsidR="00041CAD" w:rsidRDefault="00041CAD" w:rsidP="00041CAD">
            <w:pPr>
              <w:pStyle w:val="LTVerzDerFragenden"/>
            </w:pPr>
            <w:r>
              <w:t>Kohnen, Natascha (SPD)</w:t>
            </w:r>
          </w:p>
        </w:tc>
      </w:tr>
      <w:tr w:rsidR="00041CAD" w:rsidRPr="005833DD" w:rsidTr="001F3CDA">
        <w:tc>
          <w:tcPr>
            <w:tcW w:w="5000" w:type="pct"/>
          </w:tcPr>
          <w:p w:rsidR="00041CAD" w:rsidRDefault="00A13730" w:rsidP="00041CAD">
            <w:pPr>
              <w:pStyle w:val="LTVerzDerFragendenFrage"/>
            </w:pPr>
            <w:hyperlink w:anchor="Frage_Nr_2" w:tooltip="Frage Nr 2" w:history="1">
              <w:r w:rsidR="00041CAD">
                <w:rPr>
                  <w:rStyle w:val="Hyperlink"/>
                  <w:szCs w:val="24"/>
                </w:rPr>
                <w:t>Flug des Ministerpräsidenten Dr. Markus Söder von Nürnberg nach Berlin am 18./19. April 2021</w:t>
              </w:r>
              <w:r w:rsidR="00041CAD">
                <w:rPr>
                  <w:rStyle w:val="Hyperlink"/>
                  <w:szCs w:val="24"/>
                </w:rPr>
                <w:tab/>
                <w:t>2</w:t>
              </w:r>
            </w:hyperlink>
          </w:p>
        </w:tc>
      </w:tr>
      <w:tr w:rsidR="00041CAD" w:rsidRPr="005833DD" w:rsidTr="001F3CDA">
        <w:tc>
          <w:tcPr>
            <w:tcW w:w="5000" w:type="pct"/>
          </w:tcPr>
          <w:p w:rsidR="00041CAD" w:rsidRDefault="00041CAD" w:rsidP="00041CAD">
            <w:pPr>
              <w:pStyle w:val="LTVerzDerFragenden"/>
            </w:pPr>
            <w:r>
              <w:t>Krahl, Andreas (BÜNDNIS 90/DIE GRÜNEN)</w:t>
            </w:r>
          </w:p>
        </w:tc>
      </w:tr>
      <w:tr w:rsidR="00041CAD" w:rsidRPr="005833DD" w:rsidTr="001F3CDA">
        <w:tc>
          <w:tcPr>
            <w:tcW w:w="5000" w:type="pct"/>
          </w:tcPr>
          <w:p w:rsidR="00041CAD" w:rsidRDefault="00A13730" w:rsidP="00041CAD">
            <w:pPr>
              <w:pStyle w:val="LTVerzDerFragendenFrage"/>
            </w:pPr>
            <w:hyperlink w:anchor="Frage_Nr_66" w:tooltip="Frage Nr 66" w:history="1">
              <w:r w:rsidR="00041CAD">
                <w:rPr>
                  <w:rStyle w:val="Hyperlink"/>
                  <w:szCs w:val="24"/>
                </w:rPr>
                <w:t>Sonderimpftage</w:t>
              </w:r>
              <w:r w:rsidR="00041CAD">
                <w:rPr>
                  <w:rStyle w:val="Hyperlink"/>
                  <w:szCs w:val="24"/>
                </w:rPr>
                <w:tab/>
                <w:t>66</w:t>
              </w:r>
            </w:hyperlink>
          </w:p>
        </w:tc>
      </w:tr>
      <w:tr w:rsidR="00041CAD" w:rsidRPr="005833DD" w:rsidTr="001F3CDA">
        <w:tc>
          <w:tcPr>
            <w:tcW w:w="5000" w:type="pct"/>
          </w:tcPr>
          <w:p w:rsidR="00041CAD" w:rsidRDefault="00041CAD" w:rsidP="00041CAD">
            <w:pPr>
              <w:pStyle w:val="LTVerzDerFragenden"/>
            </w:pPr>
            <w:r>
              <w:t>Kurz, Susanne (BÜNDNIS 90/DIE GRÜNEN)</w:t>
            </w:r>
          </w:p>
        </w:tc>
      </w:tr>
      <w:tr w:rsidR="00041CAD" w:rsidRPr="005833DD" w:rsidTr="001F3CDA">
        <w:tc>
          <w:tcPr>
            <w:tcW w:w="5000" w:type="pct"/>
          </w:tcPr>
          <w:p w:rsidR="00041CAD" w:rsidRDefault="00A13730" w:rsidP="00041CAD">
            <w:pPr>
              <w:pStyle w:val="LTVerzDerFragendenFrage"/>
            </w:pPr>
            <w:hyperlink w:anchor="Frage_Nr_32" w:tooltip="Frage Nr 32" w:history="1">
              <w:r w:rsidR="00041CAD">
                <w:rPr>
                  <w:rStyle w:val="Hyperlink"/>
                  <w:szCs w:val="24"/>
                </w:rPr>
                <w:t>Corona-Arbeitsschutzregelungen an staatlichen Kultureinrichtungen</w:t>
              </w:r>
              <w:r w:rsidR="00041CAD">
                <w:rPr>
                  <w:rStyle w:val="Hyperlink"/>
                  <w:szCs w:val="24"/>
                </w:rPr>
                <w:tab/>
                <w:t>32</w:t>
              </w:r>
            </w:hyperlink>
          </w:p>
        </w:tc>
      </w:tr>
      <w:tr w:rsidR="00041CAD" w:rsidRPr="005833DD" w:rsidTr="001F3CDA">
        <w:tc>
          <w:tcPr>
            <w:tcW w:w="5000" w:type="pct"/>
          </w:tcPr>
          <w:p w:rsidR="00041CAD" w:rsidRDefault="00041CAD" w:rsidP="00041CAD">
            <w:pPr>
              <w:pStyle w:val="LTVerzDerFragenden"/>
            </w:pPr>
            <w:r>
              <w:t>Köhler, Claudia (BÜNDNIS 90/DIE GRÜNEN)</w:t>
            </w:r>
          </w:p>
        </w:tc>
      </w:tr>
      <w:tr w:rsidR="00041CAD" w:rsidRPr="005833DD" w:rsidTr="001F3CDA">
        <w:tc>
          <w:tcPr>
            <w:tcW w:w="5000" w:type="pct"/>
          </w:tcPr>
          <w:p w:rsidR="00041CAD" w:rsidRDefault="00A13730" w:rsidP="00041CAD">
            <w:pPr>
              <w:pStyle w:val="LTVerzDerFragendenFrage"/>
            </w:pPr>
            <w:hyperlink w:anchor="Frage_Nr_18" w:tooltip="Frage Nr 18" w:history="1">
              <w:r w:rsidR="00041CAD">
                <w:rPr>
                  <w:rStyle w:val="Hyperlink"/>
                  <w:szCs w:val="24"/>
                </w:rPr>
                <w:t>Vermietung staatlicher Objekte</w:t>
              </w:r>
              <w:r w:rsidR="00041CAD">
                <w:rPr>
                  <w:rStyle w:val="Hyperlink"/>
                  <w:szCs w:val="24"/>
                </w:rPr>
                <w:tab/>
                <w:t>18</w:t>
              </w:r>
            </w:hyperlink>
          </w:p>
        </w:tc>
      </w:tr>
      <w:tr w:rsidR="00041CAD" w:rsidRPr="005833DD" w:rsidTr="001F3CDA">
        <w:tc>
          <w:tcPr>
            <w:tcW w:w="5000" w:type="pct"/>
          </w:tcPr>
          <w:p w:rsidR="00041CAD" w:rsidRDefault="00041CAD" w:rsidP="00041CAD">
            <w:pPr>
              <w:pStyle w:val="LTVerzDerFragenden"/>
            </w:pPr>
            <w:r>
              <w:t>Körber, Sebastian (FDP)</w:t>
            </w:r>
          </w:p>
        </w:tc>
      </w:tr>
      <w:tr w:rsidR="00041CAD" w:rsidRPr="005833DD" w:rsidTr="001F3CDA">
        <w:tc>
          <w:tcPr>
            <w:tcW w:w="5000" w:type="pct"/>
          </w:tcPr>
          <w:p w:rsidR="00041CAD" w:rsidRDefault="00A13730" w:rsidP="00041CAD">
            <w:pPr>
              <w:pStyle w:val="LTVerzDerFragendenFrage"/>
            </w:pPr>
            <w:hyperlink w:anchor="Frage_Nr_19" w:tooltip="Frage Nr 19" w:history="1">
              <w:r w:rsidR="00041CAD">
                <w:rPr>
                  <w:rStyle w:val="Hyperlink"/>
                  <w:szCs w:val="24"/>
                </w:rPr>
                <w:t>Neues von der BayernHeim GmbH</w:t>
              </w:r>
              <w:r w:rsidR="00041CAD">
                <w:rPr>
                  <w:rStyle w:val="Hyperlink"/>
                  <w:szCs w:val="24"/>
                </w:rPr>
                <w:tab/>
                <w:t>19</w:t>
              </w:r>
            </w:hyperlink>
          </w:p>
        </w:tc>
      </w:tr>
      <w:tr w:rsidR="00041CAD" w:rsidRPr="005833DD" w:rsidTr="001F3CDA">
        <w:tc>
          <w:tcPr>
            <w:tcW w:w="5000" w:type="pct"/>
          </w:tcPr>
          <w:p w:rsidR="00041CAD" w:rsidRDefault="00041CAD" w:rsidP="00041CAD">
            <w:pPr>
              <w:pStyle w:val="LTVerzDerFragenden"/>
            </w:pPr>
            <w:r>
              <w:t>Lettenbauer, Eva (BÜNDNIS 90/DIE GRÜNEN)</w:t>
            </w:r>
          </w:p>
        </w:tc>
      </w:tr>
      <w:tr w:rsidR="00041CAD" w:rsidRPr="005833DD" w:rsidTr="001F3CDA">
        <w:tc>
          <w:tcPr>
            <w:tcW w:w="5000" w:type="pct"/>
          </w:tcPr>
          <w:p w:rsidR="00041CAD" w:rsidRDefault="00A13730" w:rsidP="00041CAD">
            <w:pPr>
              <w:pStyle w:val="LTVerzDerFragendenFrage"/>
            </w:pPr>
            <w:hyperlink w:anchor="Frage_Nr_59" w:tooltip="Frage Nr 59" w:history="1">
              <w:r w:rsidR="00041CAD">
                <w:rPr>
                  <w:rStyle w:val="Hyperlink"/>
                  <w:szCs w:val="24"/>
                </w:rPr>
                <w:t>Kontrollen bei Saisonarbeiterinnen bzw. arbeiter</w:t>
              </w:r>
              <w:r w:rsidR="004A76DB">
                <w:rPr>
                  <w:rStyle w:val="Hyperlink"/>
                  <w:szCs w:val="24"/>
                </w:rPr>
                <w:t>n</w:t>
              </w:r>
              <w:r w:rsidR="00041CAD">
                <w:rPr>
                  <w:rStyle w:val="Hyperlink"/>
                  <w:szCs w:val="24"/>
                </w:rPr>
                <w:tab/>
                <w:t>59</w:t>
              </w:r>
            </w:hyperlink>
          </w:p>
        </w:tc>
      </w:tr>
      <w:tr w:rsidR="00041CAD" w:rsidRPr="005833DD" w:rsidTr="001F3CDA">
        <w:tc>
          <w:tcPr>
            <w:tcW w:w="5000" w:type="pct"/>
          </w:tcPr>
          <w:p w:rsidR="00041CAD" w:rsidRDefault="00041CAD" w:rsidP="00041CAD">
            <w:pPr>
              <w:pStyle w:val="LTVerzDerFragenden"/>
            </w:pPr>
            <w:r>
              <w:t>Maier, Christoph (AfD)</w:t>
            </w:r>
          </w:p>
        </w:tc>
      </w:tr>
      <w:tr w:rsidR="00041CAD" w:rsidRPr="005833DD" w:rsidTr="001F3CDA">
        <w:tc>
          <w:tcPr>
            <w:tcW w:w="5000" w:type="pct"/>
          </w:tcPr>
          <w:p w:rsidR="00041CAD" w:rsidRDefault="00A13730" w:rsidP="00041CAD">
            <w:pPr>
              <w:pStyle w:val="LTVerzDerFragendenFrage"/>
            </w:pPr>
            <w:hyperlink w:anchor="Frage_Nr_7" w:tooltip="Frage Nr 7" w:history="1">
              <w:r w:rsidR="00041CAD">
                <w:rPr>
                  <w:rStyle w:val="Hyperlink"/>
                  <w:szCs w:val="24"/>
                </w:rPr>
                <w:t>Linksextreme Gegendemo in Kempten</w:t>
              </w:r>
              <w:r w:rsidR="00041CAD">
                <w:rPr>
                  <w:rStyle w:val="Hyperlink"/>
                  <w:szCs w:val="24"/>
                </w:rPr>
                <w:tab/>
                <w:t>7</w:t>
              </w:r>
            </w:hyperlink>
          </w:p>
        </w:tc>
      </w:tr>
      <w:tr w:rsidR="00041CAD" w:rsidRPr="005833DD" w:rsidTr="001F3CDA">
        <w:tc>
          <w:tcPr>
            <w:tcW w:w="5000" w:type="pct"/>
          </w:tcPr>
          <w:p w:rsidR="00041CAD" w:rsidRDefault="00041CAD" w:rsidP="00041CAD">
            <w:pPr>
              <w:pStyle w:val="LTVerzDerFragenden"/>
            </w:pPr>
            <w:r>
              <w:t>Markwort, Helmut (FDP)</w:t>
            </w:r>
          </w:p>
        </w:tc>
      </w:tr>
      <w:tr w:rsidR="00041CAD" w:rsidRPr="005833DD" w:rsidTr="001F3CDA">
        <w:tc>
          <w:tcPr>
            <w:tcW w:w="5000" w:type="pct"/>
          </w:tcPr>
          <w:p w:rsidR="00041CAD" w:rsidRDefault="00A13730" w:rsidP="00041CAD">
            <w:pPr>
              <w:pStyle w:val="LTVerzDerFragendenFrage"/>
            </w:pPr>
            <w:hyperlink w:anchor="Frage_Nr_35" w:tooltip="Frage Nr 35" w:history="1">
              <w:r w:rsidR="00041CAD">
                <w:rPr>
                  <w:rStyle w:val="Hyperlink"/>
                  <w:szCs w:val="24"/>
                </w:rPr>
                <w:t>Beratung der Staatsregierung durch den ORH</w:t>
              </w:r>
              <w:r w:rsidR="00041CAD">
                <w:rPr>
                  <w:rStyle w:val="Hyperlink"/>
                  <w:szCs w:val="24"/>
                </w:rPr>
                <w:tab/>
                <w:t>35</w:t>
              </w:r>
            </w:hyperlink>
          </w:p>
        </w:tc>
      </w:tr>
      <w:tr w:rsidR="00041CAD" w:rsidRPr="005833DD" w:rsidTr="001F3CDA">
        <w:tc>
          <w:tcPr>
            <w:tcW w:w="5000" w:type="pct"/>
          </w:tcPr>
          <w:p w:rsidR="00041CAD" w:rsidRDefault="00041CAD" w:rsidP="00041CAD">
            <w:pPr>
              <w:pStyle w:val="LTVerzDerFragenden"/>
            </w:pPr>
            <w:r>
              <w:t>Mistol, Jürgen (BÜNDNIS 90/DIE GRÜNEN)</w:t>
            </w:r>
          </w:p>
        </w:tc>
      </w:tr>
      <w:tr w:rsidR="00041CAD" w:rsidRPr="005833DD" w:rsidTr="001F3CDA">
        <w:tc>
          <w:tcPr>
            <w:tcW w:w="5000" w:type="pct"/>
          </w:tcPr>
          <w:p w:rsidR="00041CAD" w:rsidRDefault="00A13730" w:rsidP="00041CAD">
            <w:pPr>
              <w:pStyle w:val="LTVerzDerFragendenFrage"/>
            </w:pPr>
            <w:hyperlink w:anchor="Frage_Nr_67" w:tooltip="Frage Nr 67" w:history="1">
              <w:r w:rsidR="00041CAD">
                <w:rPr>
                  <w:rStyle w:val="Hyperlink"/>
                  <w:szCs w:val="24"/>
                </w:rPr>
                <w:t>Impfung gegen das Coronavirus</w:t>
              </w:r>
              <w:r w:rsidR="00041CAD">
                <w:rPr>
                  <w:rStyle w:val="Hyperlink"/>
                  <w:szCs w:val="24"/>
                </w:rPr>
                <w:tab/>
                <w:t>67</w:t>
              </w:r>
            </w:hyperlink>
          </w:p>
        </w:tc>
      </w:tr>
      <w:tr w:rsidR="00041CAD" w:rsidRPr="005833DD" w:rsidTr="001F3CDA">
        <w:tc>
          <w:tcPr>
            <w:tcW w:w="5000" w:type="pct"/>
          </w:tcPr>
          <w:p w:rsidR="00041CAD" w:rsidRDefault="00041CAD" w:rsidP="00041CAD">
            <w:pPr>
              <w:pStyle w:val="LTVerzDerFragenden"/>
            </w:pPr>
            <w:r>
              <w:t>Muthmann, Alexander (FDP)</w:t>
            </w:r>
          </w:p>
        </w:tc>
      </w:tr>
      <w:tr w:rsidR="00041CAD" w:rsidRPr="005833DD" w:rsidTr="001F3CDA">
        <w:tc>
          <w:tcPr>
            <w:tcW w:w="5000" w:type="pct"/>
          </w:tcPr>
          <w:p w:rsidR="00041CAD" w:rsidRDefault="00A13730" w:rsidP="00041CAD">
            <w:pPr>
              <w:pStyle w:val="LTVerzDerFragendenFrage"/>
            </w:pPr>
            <w:hyperlink w:anchor="Frage_Nr_8" w:tooltip="Frage Nr 8" w:history="1">
              <w:r w:rsidR="00041CAD">
                <w:rPr>
                  <w:rStyle w:val="Hyperlink"/>
                  <w:szCs w:val="24"/>
                </w:rPr>
                <w:t>Anwendungshinweise kommunale Sitzungen</w:t>
              </w:r>
              <w:r w:rsidR="00041CAD">
                <w:rPr>
                  <w:rStyle w:val="Hyperlink"/>
                  <w:szCs w:val="24"/>
                </w:rPr>
                <w:tab/>
                <w:t>8</w:t>
              </w:r>
            </w:hyperlink>
          </w:p>
        </w:tc>
      </w:tr>
      <w:tr w:rsidR="00041CAD" w:rsidRPr="005833DD" w:rsidTr="001F3CDA">
        <w:tc>
          <w:tcPr>
            <w:tcW w:w="5000" w:type="pct"/>
          </w:tcPr>
          <w:p w:rsidR="00041CAD" w:rsidRDefault="00041CAD" w:rsidP="00041CAD">
            <w:pPr>
              <w:pStyle w:val="LTVerzDerFragenden"/>
            </w:pPr>
            <w:r>
              <w:t>Müller, Ruth (SPD)</w:t>
            </w:r>
          </w:p>
        </w:tc>
      </w:tr>
      <w:tr w:rsidR="00041CAD" w:rsidRPr="005833DD" w:rsidTr="001F3CDA">
        <w:tc>
          <w:tcPr>
            <w:tcW w:w="5000" w:type="pct"/>
          </w:tcPr>
          <w:p w:rsidR="00041CAD" w:rsidRDefault="00A13730" w:rsidP="00041CAD">
            <w:pPr>
              <w:pStyle w:val="LTVerzDerFragendenFrage"/>
            </w:pPr>
            <w:hyperlink w:anchor="Frage_Nr_60" w:tooltip="Frage Nr 60" w:history="1">
              <w:r w:rsidR="00041CAD">
                <w:rPr>
                  <w:rStyle w:val="Hyperlink"/>
                  <w:szCs w:val="24"/>
                </w:rPr>
                <w:t xml:space="preserve">Entwicklung der bayerischen Hilfe- und Beratungsangebote für von Gewalt </w:t>
              </w:r>
              <w:r w:rsidR="001760BF">
                <w:rPr>
                  <w:rStyle w:val="Hyperlink"/>
                  <w:szCs w:val="24"/>
                </w:rPr>
                <w:br/>
              </w:r>
              <w:r w:rsidR="00041CAD">
                <w:rPr>
                  <w:rStyle w:val="Hyperlink"/>
                  <w:szCs w:val="24"/>
                </w:rPr>
                <w:t>bedrohte Frauen</w:t>
              </w:r>
              <w:r w:rsidR="00041CAD">
                <w:rPr>
                  <w:rStyle w:val="Hyperlink"/>
                  <w:szCs w:val="24"/>
                </w:rPr>
                <w:tab/>
                <w:t>60</w:t>
              </w:r>
            </w:hyperlink>
          </w:p>
        </w:tc>
      </w:tr>
      <w:tr w:rsidR="00041CAD" w:rsidRPr="005833DD" w:rsidTr="001F3CDA">
        <w:tc>
          <w:tcPr>
            <w:tcW w:w="5000" w:type="pct"/>
          </w:tcPr>
          <w:p w:rsidR="00041CAD" w:rsidRDefault="00041CAD" w:rsidP="00041CAD">
            <w:pPr>
              <w:pStyle w:val="LTVerzDerFragenden"/>
            </w:pPr>
            <w:r>
              <w:t>Osgyan, Verena (BÜNDNIS 90/DIE GRÜNEN)</w:t>
            </w:r>
          </w:p>
        </w:tc>
      </w:tr>
      <w:tr w:rsidR="00041CAD" w:rsidRPr="005833DD" w:rsidTr="001F3CDA">
        <w:tc>
          <w:tcPr>
            <w:tcW w:w="5000" w:type="pct"/>
          </w:tcPr>
          <w:p w:rsidR="00041CAD" w:rsidRDefault="00A13730" w:rsidP="00041CAD">
            <w:pPr>
              <w:pStyle w:val="LTVerzDerFragendenFrage"/>
            </w:pPr>
            <w:hyperlink w:anchor="Frage_Nr_68" w:tooltip="Frage Nr 68" w:history="1">
              <w:r w:rsidR="00041CAD">
                <w:rPr>
                  <w:rStyle w:val="Hyperlink"/>
                  <w:szCs w:val="24"/>
                </w:rPr>
                <w:t>Impfquoten in den Landkreisen</w:t>
              </w:r>
              <w:r w:rsidR="00041CAD">
                <w:rPr>
                  <w:rStyle w:val="Hyperlink"/>
                  <w:szCs w:val="24"/>
                </w:rPr>
                <w:tab/>
                <w:t>68</w:t>
              </w:r>
            </w:hyperlink>
          </w:p>
        </w:tc>
      </w:tr>
      <w:tr w:rsidR="00041CAD" w:rsidRPr="005833DD" w:rsidTr="001F3CDA">
        <w:tc>
          <w:tcPr>
            <w:tcW w:w="5000" w:type="pct"/>
          </w:tcPr>
          <w:p w:rsidR="00041CAD" w:rsidRDefault="00041CAD" w:rsidP="00041CAD">
            <w:pPr>
              <w:pStyle w:val="LTVerzDerFragenden"/>
            </w:pPr>
            <w:r>
              <w:t>Pargent, Tim (BÜNDNIS 90/DIE GRÜNEN)</w:t>
            </w:r>
          </w:p>
        </w:tc>
      </w:tr>
      <w:tr w:rsidR="00041CAD" w:rsidRPr="005833DD" w:rsidTr="001F3CDA">
        <w:tc>
          <w:tcPr>
            <w:tcW w:w="5000" w:type="pct"/>
          </w:tcPr>
          <w:p w:rsidR="00041CAD" w:rsidRDefault="00A13730" w:rsidP="00041CAD">
            <w:pPr>
              <w:pStyle w:val="LTVerzDerFragendenFrage"/>
            </w:pPr>
            <w:hyperlink w:anchor="Frage_Nr_36" w:tooltip="Frage Nr 36" w:history="1">
              <w:r w:rsidR="00041CAD">
                <w:rPr>
                  <w:rStyle w:val="Hyperlink"/>
                  <w:szCs w:val="24"/>
                </w:rPr>
                <w:t>Impfpriorisierung der Beschäftigten der bayerischen Steuerverwaltung</w:t>
              </w:r>
              <w:r w:rsidR="00041CAD">
                <w:rPr>
                  <w:rStyle w:val="Hyperlink"/>
                  <w:szCs w:val="24"/>
                </w:rPr>
                <w:tab/>
                <w:t>36</w:t>
              </w:r>
            </w:hyperlink>
          </w:p>
        </w:tc>
      </w:tr>
      <w:tr w:rsidR="00041CAD" w:rsidRPr="005833DD" w:rsidTr="001F3CDA">
        <w:tc>
          <w:tcPr>
            <w:tcW w:w="5000" w:type="pct"/>
          </w:tcPr>
          <w:p w:rsidR="00041CAD" w:rsidRDefault="00041CAD" w:rsidP="00041CAD">
            <w:pPr>
              <w:pStyle w:val="LTVerzDerFragenden"/>
            </w:pPr>
            <w:r>
              <w:t>Rauscher, Doris (SPD)</w:t>
            </w:r>
          </w:p>
        </w:tc>
      </w:tr>
      <w:tr w:rsidR="00041CAD" w:rsidRPr="005833DD" w:rsidTr="001F3CDA">
        <w:tc>
          <w:tcPr>
            <w:tcW w:w="5000" w:type="pct"/>
          </w:tcPr>
          <w:p w:rsidR="00041CAD" w:rsidRDefault="00A13730" w:rsidP="00041CAD">
            <w:pPr>
              <w:pStyle w:val="LTVerzDerFragendenFrage"/>
            </w:pPr>
            <w:hyperlink w:anchor="Frage_Nr_61" w:tooltip="Frage Nr 61" w:history="1">
              <w:r w:rsidR="00041CAD">
                <w:rPr>
                  <w:rStyle w:val="Hyperlink"/>
                  <w:szCs w:val="24"/>
                </w:rPr>
                <w:t>Bericht zur sozialen Lage</w:t>
              </w:r>
              <w:r w:rsidR="00041CAD">
                <w:rPr>
                  <w:rStyle w:val="Hyperlink"/>
                  <w:szCs w:val="24"/>
                </w:rPr>
                <w:tab/>
                <w:t>61</w:t>
              </w:r>
            </w:hyperlink>
          </w:p>
        </w:tc>
      </w:tr>
      <w:tr w:rsidR="00041CAD" w:rsidRPr="005833DD" w:rsidTr="001F3CDA">
        <w:tc>
          <w:tcPr>
            <w:tcW w:w="5000" w:type="pct"/>
          </w:tcPr>
          <w:p w:rsidR="00041CAD" w:rsidRDefault="00041CAD" w:rsidP="00041CAD">
            <w:pPr>
              <w:pStyle w:val="LTVerzDerFragenden"/>
            </w:pPr>
            <w:r>
              <w:t>Rinderspacher, Markus (SPD)</w:t>
            </w:r>
          </w:p>
        </w:tc>
      </w:tr>
      <w:tr w:rsidR="00041CAD" w:rsidRPr="005833DD" w:rsidTr="001F3CDA">
        <w:tc>
          <w:tcPr>
            <w:tcW w:w="5000" w:type="pct"/>
          </w:tcPr>
          <w:p w:rsidR="00041CAD" w:rsidRDefault="00A13730" w:rsidP="00041CAD">
            <w:pPr>
              <w:pStyle w:val="LTVerzDerFragendenFrage"/>
            </w:pPr>
            <w:hyperlink w:anchor="Frage_Nr_9" w:tooltip="Frage Nr 9" w:history="1">
              <w:r w:rsidR="00041CAD">
                <w:rPr>
                  <w:rStyle w:val="Hyperlink"/>
                  <w:szCs w:val="24"/>
                </w:rPr>
                <w:t>Islamfeindliche Straftaten in Bayern im Jahr 2020</w:t>
              </w:r>
              <w:r w:rsidR="00041CAD">
                <w:rPr>
                  <w:rStyle w:val="Hyperlink"/>
                  <w:szCs w:val="24"/>
                </w:rPr>
                <w:tab/>
                <w:t>9</w:t>
              </w:r>
            </w:hyperlink>
          </w:p>
        </w:tc>
      </w:tr>
      <w:tr w:rsidR="00041CAD" w:rsidRPr="005833DD" w:rsidTr="001F3CDA">
        <w:tc>
          <w:tcPr>
            <w:tcW w:w="5000" w:type="pct"/>
          </w:tcPr>
          <w:p w:rsidR="00041CAD" w:rsidRDefault="00041CAD" w:rsidP="00041CAD">
            <w:pPr>
              <w:pStyle w:val="LTVerzDerFragenden"/>
            </w:pPr>
            <w:r>
              <w:t>Ritter, Florian (SPD)</w:t>
            </w:r>
          </w:p>
        </w:tc>
      </w:tr>
      <w:tr w:rsidR="00041CAD" w:rsidRPr="005833DD" w:rsidTr="001F3CDA">
        <w:tc>
          <w:tcPr>
            <w:tcW w:w="5000" w:type="pct"/>
          </w:tcPr>
          <w:p w:rsidR="00041CAD" w:rsidRDefault="00A13730" w:rsidP="00041CAD">
            <w:pPr>
              <w:pStyle w:val="LTVerzDerFragendenFrage"/>
            </w:pPr>
            <w:hyperlink w:anchor="Frage_Nr_20" w:tooltip="Frage Nr 20" w:history="1">
              <w:r w:rsidR="00041CAD">
                <w:rPr>
                  <w:rStyle w:val="Hyperlink"/>
                  <w:szCs w:val="24"/>
                </w:rPr>
                <w:t>Leerstand staatlicher Wohnungen</w:t>
              </w:r>
              <w:r w:rsidR="00041CAD">
                <w:rPr>
                  <w:rStyle w:val="Hyperlink"/>
                  <w:szCs w:val="24"/>
                </w:rPr>
                <w:tab/>
                <w:t>20</w:t>
              </w:r>
            </w:hyperlink>
          </w:p>
        </w:tc>
      </w:tr>
      <w:tr w:rsidR="00041CAD" w:rsidRPr="005833DD" w:rsidTr="001F3CDA">
        <w:tc>
          <w:tcPr>
            <w:tcW w:w="5000" w:type="pct"/>
          </w:tcPr>
          <w:p w:rsidR="00041CAD" w:rsidRDefault="00041CAD" w:rsidP="00041CAD">
            <w:pPr>
              <w:pStyle w:val="LTVerzDerFragenden"/>
            </w:pPr>
            <w:r>
              <w:t>Dr. Runge, Martin (BÜNDNIS 90/DIE GRÜNEN)</w:t>
            </w:r>
          </w:p>
        </w:tc>
      </w:tr>
      <w:tr w:rsidR="00041CAD" w:rsidRPr="005833DD" w:rsidTr="001F3CDA">
        <w:tc>
          <w:tcPr>
            <w:tcW w:w="5000" w:type="pct"/>
          </w:tcPr>
          <w:p w:rsidR="00041CAD" w:rsidRDefault="00A13730" w:rsidP="00041CAD">
            <w:pPr>
              <w:pStyle w:val="LTVerzDerFragendenFrage"/>
            </w:pPr>
            <w:hyperlink w:anchor="Frage_Nr_10" w:tooltip="Frage Nr 10" w:history="1">
              <w:r w:rsidR="00041CAD">
                <w:rPr>
                  <w:rStyle w:val="Hyperlink"/>
                  <w:szCs w:val="24"/>
                </w:rPr>
                <w:t>Fragen zu Dauerparkausweisen für ehemalige Mitglieder der Staatsregierung</w:t>
              </w:r>
              <w:r w:rsidR="00041CAD">
                <w:rPr>
                  <w:rStyle w:val="Hyperlink"/>
                  <w:szCs w:val="24"/>
                </w:rPr>
                <w:tab/>
                <w:t>10</w:t>
              </w:r>
            </w:hyperlink>
          </w:p>
        </w:tc>
      </w:tr>
      <w:tr w:rsidR="00041CAD" w:rsidRPr="005833DD" w:rsidTr="001F3CDA">
        <w:tc>
          <w:tcPr>
            <w:tcW w:w="5000" w:type="pct"/>
          </w:tcPr>
          <w:p w:rsidR="00041CAD" w:rsidRDefault="00041CAD" w:rsidP="00041CAD">
            <w:pPr>
              <w:pStyle w:val="LTVerzDerFragenden"/>
            </w:pPr>
            <w:r>
              <w:t>Sandt, Julika (FDP)</w:t>
            </w:r>
          </w:p>
        </w:tc>
      </w:tr>
      <w:tr w:rsidR="00041CAD" w:rsidRPr="005833DD" w:rsidTr="001F3CDA">
        <w:tc>
          <w:tcPr>
            <w:tcW w:w="5000" w:type="pct"/>
          </w:tcPr>
          <w:p w:rsidR="00041CAD" w:rsidRDefault="00A13730" w:rsidP="00041CAD">
            <w:pPr>
              <w:pStyle w:val="LTVerzDerFragendenFrage"/>
            </w:pPr>
            <w:hyperlink w:anchor="Frage_Nr_26" w:tooltip="Frage Nr 26" w:history="1">
              <w:r w:rsidR="00041CAD">
                <w:rPr>
                  <w:rStyle w:val="Hyperlink"/>
                  <w:szCs w:val="24"/>
                </w:rPr>
                <w:t>Berufsschulbeiräte</w:t>
              </w:r>
              <w:r w:rsidR="00041CAD">
                <w:rPr>
                  <w:rStyle w:val="Hyperlink"/>
                  <w:szCs w:val="24"/>
                </w:rPr>
                <w:tab/>
                <w:t>26</w:t>
              </w:r>
            </w:hyperlink>
          </w:p>
        </w:tc>
      </w:tr>
      <w:tr w:rsidR="00041CAD" w:rsidRPr="005833DD" w:rsidTr="001F3CDA">
        <w:tc>
          <w:tcPr>
            <w:tcW w:w="5000" w:type="pct"/>
          </w:tcPr>
          <w:p w:rsidR="00041CAD" w:rsidRDefault="00041CAD" w:rsidP="00041CAD">
            <w:pPr>
              <w:pStyle w:val="LTVerzDerFragenden"/>
            </w:pPr>
            <w:r>
              <w:t>Schiffers, Jan (AfD)</w:t>
            </w:r>
          </w:p>
        </w:tc>
      </w:tr>
      <w:tr w:rsidR="00041CAD" w:rsidRPr="005833DD" w:rsidTr="001F3CDA">
        <w:tc>
          <w:tcPr>
            <w:tcW w:w="5000" w:type="pct"/>
          </w:tcPr>
          <w:p w:rsidR="00041CAD" w:rsidRDefault="00A13730" w:rsidP="00041CAD">
            <w:pPr>
              <w:pStyle w:val="LTVerzDerFragendenFrage"/>
            </w:pPr>
            <w:hyperlink w:anchor="Frage_Nr_22" w:tooltip="Frage Nr 22" w:history="1">
              <w:r w:rsidR="00041CAD">
                <w:rPr>
                  <w:rStyle w:val="Hyperlink"/>
                  <w:szCs w:val="24"/>
                </w:rPr>
                <w:t>Weiterentwicklung des Justizstandortes Bamberg</w:t>
              </w:r>
              <w:r w:rsidR="00041CAD">
                <w:rPr>
                  <w:rStyle w:val="Hyperlink"/>
                  <w:szCs w:val="24"/>
                </w:rPr>
                <w:tab/>
                <w:t>22</w:t>
              </w:r>
            </w:hyperlink>
          </w:p>
        </w:tc>
      </w:tr>
      <w:tr w:rsidR="00041CAD" w:rsidRPr="005833DD" w:rsidTr="001F3CDA">
        <w:tc>
          <w:tcPr>
            <w:tcW w:w="5000" w:type="pct"/>
          </w:tcPr>
          <w:p w:rsidR="00041CAD" w:rsidRDefault="00041CAD" w:rsidP="00041CAD">
            <w:pPr>
              <w:pStyle w:val="LTVerzDerFragenden"/>
            </w:pPr>
            <w:r>
              <w:t>Schuberl, Toni (BÜNDNIS 90/DIE GRÜNEN)</w:t>
            </w:r>
          </w:p>
        </w:tc>
      </w:tr>
      <w:tr w:rsidR="00041CAD" w:rsidRPr="005833DD" w:rsidTr="001F3CDA">
        <w:tc>
          <w:tcPr>
            <w:tcW w:w="5000" w:type="pct"/>
          </w:tcPr>
          <w:p w:rsidR="00041CAD" w:rsidRDefault="00A13730" w:rsidP="00041CAD">
            <w:pPr>
              <w:pStyle w:val="LTVerzDerFragendenFrage"/>
            </w:pPr>
            <w:hyperlink w:anchor="Frage_Nr_69" w:tooltip="Frage Nr 69" w:history="1">
              <w:r w:rsidR="00041CAD">
                <w:rPr>
                  <w:rStyle w:val="Hyperlink"/>
                  <w:szCs w:val="24"/>
                </w:rPr>
                <w:t>Kunstfreiheit in der Zwölften Bayerischen Infektionsschutzmaßnahmen</w:t>
              </w:r>
              <w:r w:rsidR="001760BF">
                <w:rPr>
                  <w:rStyle w:val="Hyperlink"/>
                  <w:szCs w:val="24"/>
                </w:rPr>
                <w:t>-</w:t>
              </w:r>
              <w:r w:rsidR="001760BF">
                <w:rPr>
                  <w:rStyle w:val="Hyperlink"/>
                  <w:szCs w:val="24"/>
                </w:rPr>
                <w:br/>
              </w:r>
              <w:r w:rsidR="00041CAD">
                <w:rPr>
                  <w:rStyle w:val="Hyperlink"/>
                  <w:szCs w:val="24"/>
                </w:rPr>
                <w:t>verordnung</w:t>
              </w:r>
              <w:r w:rsidR="00041CAD">
                <w:rPr>
                  <w:rStyle w:val="Hyperlink"/>
                  <w:szCs w:val="24"/>
                </w:rPr>
                <w:tab/>
                <w:t>69</w:t>
              </w:r>
            </w:hyperlink>
          </w:p>
        </w:tc>
      </w:tr>
      <w:tr w:rsidR="00041CAD" w:rsidRPr="005833DD" w:rsidTr="001F3CDA">
        <w:tc>
          <w:tcPr>
            <w:tcW w:w="5000" w:type="pct"/>
          </w:tcPr>
          <w:p w:rsidR="00041CAD" w:rsidRDefault="00041CAD" w:rsidP="00041CAD">
            <w:pPr>
              <w:pStyle w:val="LTVerzDerFragenden"/>
            </w:pPr>
            <w:r>
              <w:t>Schuhknecht, Stephanie (BÜNDNIS 90/DIE GRÜNEN)</w:t>
            </w:r>
          </w:p>
        </w:tc>
      </w:tr>
      <w:tr w:rsidR="00041CAD" w:rsidRPr="005833DD" w:rsidTr="001F3CDA">
        <w:tc>
          <w:tcPr>
            <w:tcW w:w="5000" w:type="pct"/>
          </w:tcPr>
          <w:p w:rsidR="00041CAD" w:rsidRDefault="00A13730" w:rsidP="00041CAD">
            <w:pPr>
              <w:pStyle w:val="LTVerzDerFragendenFrage"/>
            </w:pPr>
            <w:hyperlink w:anchor="Frage_Nr_21" w:tooltip="Frage Nr 21" w:history="1">
              <w:r w:rsidR="00041CAD">
                <w:rPr>
                  <w:rStyle w:val="Hyperlink"/>
                  <w:szCs w:val="24"/>
                </w:rPr>
                <w:t xml:space="preserve">Mietverträge </w:t>
              </w:r>
              <w:r w:rsidR="001760BF">
                <w:rPr>
                  <w:rStyle w:val="Hyperlink"/>
                  <w:szCs w:val="24"/>
                </w:rPr>
                <w:t>des Staatsminis</w:t>
              </w:r>
              <w:r w:rsidR="00041CAD">
                <w:rPr>
                  <w:rStyle w:val="Hyperlink"/>
                  <w:szCs w:val="24"/>
                </w:rPr>
                <w:t xml:space="preserve">teriums für Wohnen, Bau und Verkehr am </w:t>
              </w:r>
              <w:r w:rsidR="007E5860">
                <w:rPr>
                  <w:rStyle w:val="Hyperlink"/>
                  <w:szCs w:val="24"/>
                </w:rPr>
                <w:br/>
              </w:r>
              <w:r w:rsidR="00041CAD">
                <w:rPr>
                  <w:rStyle w:val="Hyperlink"/>
                  <w:szCs w:val="24"/>
                </w:rPr>
                <w:t>Augsburger Hauptbahnhof</w:t>
              </w:r>
              <w:r w:rsidR="00041CAD">
                <w:rPr>
                  <w:rStyle w:val="Hyperlink"/>
                  <w:szCs w:val="24"/>
                </w:rPr>
                <w:tab/>
                <w:t>21</w:t>
              </w:r>
            </w:hyperlink>
          </w:p>
        </w:tc>
      </w:tr>
      <w:tr w:rsidR="00041CAD" w:rsidRPr="005833DD" w:rsidTr="001F3CDA">
        <w:tc>
          <w:tcPr>
            <w:tcW w:w="5000" w:type="pct"/>
          </w:tcPr>
          <w:p w:rsidR="00041CAD" w:rsidRDefault="00041CAD" w:rsidP="00041CAD">
            <w:pPr>
              <w:pStyle w:val="LTVerzDerFragenden"/>
            </w:pPr>
            <w:r>
              <w:t>Schulze, Katharina (BÜNDNIS 90/DIE GRÜNEN)</w:t>
            </w:r>
          </w:p>
        </w:tc>
      </w:tr>
      <w:tr w:rsidR="00041CAD" w:rsidRPr="005833DD" w:rsidTr="001F3CDA">
        <w:tc>
          <w:tcPr>
            <w:tcW w:w="5000" w:type="pct"/>
          </w:tcPr>
          <w:p w:rsidR="00041CAD" w:rsidRDefault="00A13730" w:rsidP="00041CAD">
            <w:pPr>
              <w:pStyle w:val="LTVerzDerFragendenFrage"/>
            </w:pPr>
            <w:hyperlink w:anchor="Frage_Nr_37" w:tooltip="Frage Nr 37" w:history="1">
              <w:r w:rsidR="00041CAD">
                <w:rPr>
                  <w:rStyle w:val="Hyperlink"/>
                  <w:szCs w:val="24"/>
                </w:rPr>
                <w:t>Homeoffice und Schnelltests</w:t>
              </w:r>
              <w:r w:rsidR="00041CAD">
                <w:rPr>
                  <w:rStyle w:val="Hyperlink"/>
                  <w:szCs w:val="24"/>
                </w:rPr>
                <w:tab/>
                <w:t>37</w:t>
              </w:r>
            </w:hyperlink>
          </w:p>
        </w:tc>
      </w:tr>
      <w:tr w:rsidR="00041CAD" w:rsidRPr="005833DD" w:rsidTr="001F3CDA">
        <w:tc>
          <w:tcPr>
            <w:tcW w:w="5000" w:type="pct"/>
          </w:tcPr>
          <w:p w:rsidR="00041CAD" w:rsidRDefault="00041CAD" w:rsidP="00041CAD">
            <w:pPr>
              <w:pStyle w:val="LTVerzDerFragenden"/>
            </w:pPr>
            <w:r>
              <w:t>Schuster, Stefan (SPD)</w:t>
            </w:r>
          </w:p>
        </w:tc>
      </w:tr>
      <w:tr w:rsidR="00041CAD" w:rsidRPr="005833DD" w:rsidTr="001F3CDA">
        <w:tc>
          <w:tcPr>
            <w:tcW w:w="5000" w:type="pct"/>
          </w:tcPr>
          <w:p w:rsidR="00041CAD" w:rsidRDefault="00A13730" w:rsidP="00041CAD">
            <w:pPr>
              <w:pStyle w:val="LTVerzDerFragendenFrage"/>
            </w:pPr>
            <w:hyperlink w:anchor="Frage_Nr_33" w:tooltip="Frage Nr 33" w:history="1">
              <w:r w:rsidR="00041CAD">
                <w:rPr>
                  <w:rStyle w:val="Hyperlink"/>
                  <w:szCs w:val="24"/>
                </w:rPr>
                <w:t>Struktureller Ausbau der Friedrich-Alexander-Uni</w:t>
              </w:r>
              <w:r w:rsidR="004A76DB">
                <w:rPr>
                  <w:rStyle w:val="Hyperlink"/>
                  <w:szCs w:val="24"/>
                </w:rPr>
                <w:t>versität Erlangen-Nürnberg</w:t>
              </w:r>
              <w:r w:rsidR="00041CAD">
                <w:rPr>
                  <w:rStyle w:val="Hyperlink"/>
                  <w:szCs w:val="24"/>
                </w:rPr>
                <w:tab/>
                <w:t>33</w:t>
              </w:r>
            </w:hyperlink>
          </w:p>
        </w:tc>
      </w:tr>
      <w:tr w:rsidR="00041CAD" w:rsidRPr="005833DD" w:rsidTr="001F3CDA">
        <w:tc>
          <w:tcPr>
            <w:tcW w:w="5000" w:type="pct"/>
          </w:tcPr>
          <w:p w:rsidR="00041CAD" w:rsidRDefault="00041CAD" w:rsidP="00041CAD">
            <w:pPr>
              <w:pStyle w:val="LTVerzDerFragenden"/>
            </w:pPr>
            <w:r>
              <w:t>Schwamberger, Anna (BÜNDNIS 90/DIE GRÜNEN)</w:t>
            </w:r>
          </w:p>
        </w:tc>
      </w:tr>
      <w:tr w:rsidR="00041CAD" w:rsidRPr="005833DD" w:rsidTr="001F3CDA">
        <w:tc>
          <w:tcPr>
            <w:tcW w:w="5000" w:type="pct"/>
          </w:tcPr>
          <w:p w:rsidR="00041CAD" w:rsidRDefault="00A13730" w:rsidP="00041CAD">
            <w:pPr>
              <w:pStyle w:val="LTVerzDerFragendenFrage"/>
            </w:pPr>
            <w:hyperlink w:anchor="Frage_Nr_27" w:tooltip="Frage Nr 27" w:history="1">
              <w:r w:rsidR="00041CAD">
                <w:rPr>
                  <w:rStyle w:val="Hyperlink"/>
                  <w:szCs w:val="24"/>
                </w:rPr>
                <w:t xml:space="preserve">Lernrückstände bei Schülerinnen und Schülern durch </w:t>
              </w:r>
              <w:r w:rsidR="00BD06F4">
                <w:rPr>
                  <w:rStyle w:val="Hyperlink"/>
                  <w:szCs w:val="24"/>
                </w:rPr>
                <w:t>„</w:t>
              </w:r>
              <w:r w:rsidR="00041CAD">
                <w:rPr>
                  <w:rStyle w:val="Hyperlink"/>
                  <w:szCs w:val="24"/>
                </w:rPr>
                <w:t>Brückenangebote</w:t>
              </w:r>
              <w:r w:rsidR="00BD06F4">
                <w:rPr>
                  <w:rStyle w:val="Hyperlink"/>
                  <w:szCs w:val="24"/>
                </w:rPr>
                <w:t>“</w:t>
              </w:r>
              <w:r w:rsidR="00041CAD">
                <w:rPr>
                  <w:rStyle w:val="Hyperlink"/>
                  <w:szCs w:val="24"/>
                </w:rPr>
                <w:t xml:space="preserve"> </w:t>
              </w:r>
              <w:r w:rsidR="001760BF">
                <w:rPr>
                  <w:rStyle w:val="Hyperlink"/>
                  <w:szCs w:val="24"/>
                </w:rPr>
                <w:br/>
              </w:r>
              <w:r w:rsidR="00041CAD">
                <w:rPr>
                  <w:rStyle w:val="Hyperlink"/>
                  <w:szCs w:val="24"/>
                </w:rPr>
                <w:t>aufholen</w:t>
              </w:r>
              <w:r w:rsidR="00041CAD">
                <w:rPr>
                  <w:rStyle w:val="Hyperlink"/>
                  <w:szCs w:val="24"/>
                </w:rPr>
                <w:tab/>
                <w:t>27</w:t>
              </w:r>
            </w:hyperlink>
          </w:p>
        </w:tc>
      </w:tr>
      <w:tr w:rsidR="00041CAD" w:rsidRPr="005833DD" w:rsidTr="001F3CDA">
        <w:tc>
          <w:tcPr>
            <w:tcW w:w="5000" w:type="pct"/>
          </w:tcPr>
          <w:p w:rsidR="00041CAD" w:rsidRDefault="00041CAD" w:rsidP="00041CAD">
            <w:pPr>
              <w:pStyle w:val="LTVerzDerFragenden"/>
            </w:pPr>
            <w:r>
              <w:t>Sengl, Gisela (BÜNDNIS 90/DIE GRÜNEN)</w:t>
            </w:r>
          </w:p>
        </w:tc>
      </w:tr>
      <w:tr w:rsidR="00041CAD" w:rsidRPr="005833DD" w:rsidTr="001F3CDA">
        <w:tc>
          <w:tcPr>
            <w:tcW w:w="5000" w:type="pct"/>
          </w:tcPr>
          <w:p w:rsidR="00041CAD" w:rsidRDefault="00A13730" w:rsidP="00041CAD">
            <w:pPr>
              <w:pStyle w:val="LTVerzDerFragendenFrage"/>
            </w:pPr>
            <w:hyperlink w:anchor="Frage_Nr_55" w:tooltip="Frage Nr 55" w:history="1">
              <w:r w:rsidR="00041CAD">
                <w:rPr>
                  <w:rStyle w:val="Hyperlink"/>
                  <w:szCs w:val="24"/>
                </w:rPr>
                <w:t>Urlaub auf dem Bauernhof</w:t>
              </w:r>
              <w:r w:rsidR="00041CAD">
                <w:rPr>
                  <w:rStyle w:val="Hyperlink"/>
                  <w:szCs w:val="24"/>
                </w:rPr>
                <w:tab/>
                <w:t>55</w:t>
              </w:r>
            </w:hyperlink>
          </w:p>
        </w:tc>
      </w:tr>
      <w:tr w:rsidR="00041CAD" w:rsidRPr="005833DD" w:rsidTr="001F3CDA">
        <w:tc>
          <w:tcPr>
            <w:tcW w:w="5000" w:type="pct"/>
          </w:tcPr>
          <w:p w:rsidR="00041CAD" w:rsidRDefault="00041CAD" w:rsidP="00041CAD">
            <w:pPr>
              <w:pStyle w:val="LTVerzDerFragenden"/>
            </w:pPr>
            <w:r>
              <w:t>Siekmann, Florian (BÜNDNIS 90/DIE GRÜNEN)</w:t>
            </w:r>
          </w:p>
        </w:tc>
      </w:tr>
      <w:tr w:rsidR="00041CAD" w:rsidRPr="005833DD" w:rsidTr="001F3CDA">
        <w:tc>
          <w:tcPr>
            <w:tcW w:w="5000" w:type="pct"/>
          </w:tcPr>
          <w:p w:rsidR="00041CAD" w:rsidRDefault="00A13730" w:rsidP="00041CAD">
            <w:pPr>
              <w:pStyle w:val="LTVerzDerFragendenFrage"/>
            </w:pPr>
            <w:hyperlink w:anchor="Frage_Nr_11" w:tooltip="Frage Nr 11" w:history="1">
              <w:r w:rsidR="00041CAD">
                <w:rPr>
                  <w:rStyle w:val="Hyperlink"/>
                  <w:szCs w:val="24"/>
                </w:rPr>
                <w:t>Unterstützung für Kommunen bei der Einwerbung von EU-Fördermitteln</w:t>
              </w:r>
              <w:r w:rsidR="00041CAD">
                <w:rPr>
                  <w:rStyle w:val="Hyperlink"/>
                  <w:szCs w:val="24"/>
                </w:rPr>
                <w:tab/>
                <w:t>11</w:t>
              </w:r>
            </w:hyperlink>
          </w:p>
        </w:tc>
      </w:tr>
      <w:tr w:rsidR="00041CAD" w:rsidRPr="005833DD" w:rsidTr="001F3CDA">
        <w:tc>
          <w:tcPr>
            <w:tcW w:w="5000" w:type="pct"/>
          </w:tcPr>
          <w:p w:rsidR="00041CAD" w:rsidRDefault="00041CAD" w:rsidP="00041CAD">
            <w:pPr>
              <w:pStyle w:val="LTVerzDerFragenden"/>
            </w:pPr>
            <w:r>
              <w:t>Singer, Ulrich (AfD)</w:t>
            </w:r>
          </w:p>
        </w:tc>
      </w:tr>
      <w:tr w:rsidR="00041CAD" w:rsidRPr="005833DD" w:rsidTr="001F3CDA">
        <w:tc>
          <w:tcPr>
            <w:tcW w:w="5000" w:type="pct"/>
          </w:tcPr>
          <w:p w:rsidR="00041CAD" w:rsidRDefault="00A13730" w:rsidP="00041CAD">
            <w:pPr>
              <w:pStyle w:val="LTVerzDerFragendenFrage"/>
            </w:pPr>
            <w:hyperlink w:anchor="Frage_Nr_28" w:tooltip="Frage Nr 28" w:history="1">
              <w:r w:rsidR="00041CAD">
                <w:rPr>
                  <w:rStyle w:val="Hyperlink"/>
                  <w:szCs w:val="24"/>
                </w:rPr>
                <w:t>Corona-Selbsttests in Schulen</w:t>
              </w:r>
              <w:r w:rsidR="00041CAD">
                <w:rPr>
                  <w:rStyle w:val="Hyperlink"/>
                  <w:szCs w:val="24"/>
                </w:rPr>
                <w:tab/>
                <w:t>28</w:t>
              </w:r>
            </w:hyperlink>
          </w:p>
        </w:tc>
      </w:tr>
      <w:tr w:rsidR="00041CAD" w:rsidRPr="005833DD" w:rsidTr="001F3CDA">
        <w:tc>
          <w:tcPr>
            <w:tcW w:w="5000" w:type="pct"/>
          </w:tcPr>
          <w:p w:rsidR="00041CAD" w:rsidRDefault="00041CAD" w:rsidP="00041CAD">
            <w:pPr>
              <w:pStyle w:val="LTVerzDerFragenden"/>
            </w:pPr>
            <w:r>
              <w:t>Skutella, Christoph (FDP)</w:t>
            </w:r>
          </w:p>
        </w:tc>
      </w:tr>
      <w:tr w:rsidR="00041CAD" w:rsidRPr="005833DD" w:rsidTr="001F3CDA">
        <w:tc>
          <w:tcPr>
            <w:tcW w:w="5000" w:type="pct"/>
          </w:tcPr>
          <w:p w:rsidR="00041CAD" w:rsidRDefault="00A13730" w:rsidP="00041CAD">
            <w:pPr>
              <w:pStyle w:val="LTVerzDerFragendenFrage"/>
            </w:pPr>
            <w:hyperlink w:anchor="Frage_Nr_46" w:tooltip="Frage Nr 46" w:history="1">
              <w:r w:rsidR="00041CAD">
                <w:rPr>
                  <w:rStyle w:val="Hyperlink"/>
                  <w:szCs w:val="24"/>
                </w:rPr>
                <w:t>Brexit-Auswirkungen auf Bayern</w:t>
              </w:r>
              <w:r w:rsidR="00041CAD">
                <w:rPr>
                  <w:rStyle w:val="Hyperlink"/>
                  <w:szCs w:val="24"/>
                </w:rPr>
                <w:tab/>
                <w:t>46</w:t>
              </w:r>
            </w:hyperlink>
          </w:p>
        </w:tc>
      </w:tr>
      <w:tr w:rsidR="00041CAD" w:rsidRPr="005833DD" w:rsidTr="001F3CDA">
        <w:tc>
          <w:tcPr>
            <w:tcW w:w="5000" w:type="pct"/>
          </w:tcPr>
          <w:p w:rsidR="00041CAD" w:rsidRDefault="00041CAD" w:rsidP="00041CAD">
            <w:pPr>
              <w:pStyle w:val="LTVerzDerFragenden"/>
            </w:pPr>
            <w:r>
              <w:t>Sowa, Ursula (BÜNDNIS 90/DIE GRÜNEN)</w:t>
            </w:r>
          </w:p>
        </w:tc>
      </w:tr>
      <w:tr w:rsidR="00041CAD" w:rsidRPr="005833DD" w:rsidTr="001F3CDA">
        <w:tc>
          <w:tcPr>
            <w:tcW w:w="5000" w:type="pct"/>
          </w:tcPr>
          <w:p w:rsidR="00041CAD" w:rsidRDefault="00A13730" w:rsidP="00041CAD">
            <w:pPr>
              <w:pStyle w:val="LTVerzDerFragendenFrage"/>
            </w:pPr>
            <w:hyperlink w:anchor="Frage_Nr_50" w:tooltip="Frage Nr 50" w:history="1">
              <w:r w:rsidR="00041CAD">
                <w:rPr>
                  <w:rStyle w:val="Hyperlink"/>
                  <w:szCs w:val="24"/>
                </w:rPr>
                <w:t>EU-Landwirtschaftspolitik für die Jahre 2021 bis 2027</w:t>
              </w:r>
              <w:r w:rsidR="00041CAD">
                <w:rPr>
                  <w:rStyle w:val="Hyperlink"/>
                  <w:szCs w:val="24"/>
                </w:rPr>
                <w:tab/>
                <w:t>50</w:t>
              </w:r>
            </w:hyperlink>
          </w:p>
        </w:tc>
      </w:tr>
      <w:tr w:rsidR="00041CAD" w:rsidRPr="005833DD" w:rsidTr="001F3CDA">
        <w:tc>
          <w:tcPr>
            <w:tcW w:w="5000" w:type="pct"/>
          </w:tcPr>
          <w:p w:rsidR="00041CAD" w:rsidRDefault="00041CAD" w:rsidP="00041CAD">
            <w:pPr>
              <w:pStyle w:val="LTVerzDerFragenden"/>
            </w:pPr>
            <w:r>
              <w:t>Dr. Spitzer, Dominik (FDP)</w:t>
            </w:r>
          </w:p>
        </w:tc>
      </w:tr>
      <w:tr w:rsidR="00041CAD" w:rsidRPr="005833DD" w:rsidTr="001F3CDA">
        <w:tc>
          <w:tcPr>
            <w:tcW w:w="5000" w:type="pct"/>
          </w:tcPr>
          <w:p w:rsidR="00041CAD" w:rsidRDefault="00A13730" w:rsidP="00041CAD">
            <w:pPr>
              <w:pStyle w:val="LTVerzDerFragendenFrage"/>
            </w:pPr>
            <w:hyperlink w:anchor="Frage_Nr_70" w:tooltip="Frage Nr 70" w:history="1">
              <w:r w:rsidR="00041CAD">
                <w:rPr>
                  <w:rStyle w:val="Hyperlink"/>
                  <w:szCs w:val="24"/>
                </w:rPr>
                <w:t>Qualität Antigen-Schnelltests</w:t>
              </w:r>
              <w:r w:rsidR="00041CAD">
                <w:rPr>
                  <w:rStyle w:val="Hyperlink"/>
                  <w:szCs w:val="24"/>
                </w:rPr>
                <w:tab/>
                <w:t>70</w:t>
              </w:r>
            </w:hyperlink>
          </w:p>
        </w:tc>
      </w:tr>
      <w:tr w:rsidR="00041CAD" w:rsidRPr="005833DD" w:rsidTr="001F3CDA">
        <w:tc>
          <w:tcPr>
            <w:tcW w:w="5000" w:type="pct"/>
          </w:tcPr>
          <w:p w:rsidR="00041CAD" w:rsidRDefault="00041CAD" w:rsidP="00041CAD">
            <w:pPr>
              <w:pStyle w:val="LTVerzDerFragenden"/>
            </w:pPr>
            <w:r>
              <w:t>Stachowitz, Diana (SPD)</w:t>
            </w:r>
          </w:p>
        </w:tc>
      </w:tr>
      <w:tr w:rsidR="00041CAD" w:rsidRPr="005833DD" w:rsidTr="001F3CDA">
        <w:tc>
          <w:tcPr>
            <w:tcW w:w="5000" w:type="pct"/>
          </w:tcPr>
          <w:p w:rsidR="00041CAD" w:rsidRDefault="00A13730" w:rsidP="00041CAD">
            <w:pPr>
              <w:pStyle w:val="LTVerzDerFragendenFrage"/>
            </w:pPr>
            <w:hyperlink w:anchor="Frage_Nr_29" w:tooltip="Frage Nr 29" w:history="1">
              <w:r w:rsidR="00041CAD">
                <w:rPr>
                  <w:rStyle w:val="Hyperlink"/>
                  <w:szCs w:val="24"/>
                </w:rPr>
                <w:t>Islamunterricht in Bayern</w:t>
              </w:r>
              <w:r w:rsidR="00041CAD">
                <w:rPr>
                  <w:rStyle w:val="Hyperlink"/>
                  <w:szCs w:val="24"/>
                </w:rPr>
                <w:tab/>
                <w:t>29</w:t>
              </w:r>
            </w:hyperlink>
          </w:p>
        </w:tc>
      </w:tr>
      <w:tr w:rsidR="00041CAD" w:rsidRPr="005833DD" w:rsidTr="001F3CDA">
        <w:tc>
          <w:tcPr>
            <w:tcW w:w="5000" w:type="pct"/>
          </w:tcPr>
          <w:p w:rsidR="00041CAD" w:rsidRDefault="00041CAD" w:rsidP="00041CAD">
            <w:pPr>
              <w:pStyle w:val="LTVerzDerFragenden"/>
            </w:pPr>
            <w:r>
              <w:t>Stadler, Ralf (AfD)</w:t>
            </w:r>
          </w:p>
        </w:tc>
      </w:tr>
      <w:tr w:rsidR="00041CAD" w:rsidRPr="005833DD" w:rsidTr="001F3CDA">
        <w:tc>
          <w:tcPr>
            <w:tcW w:w="5000" w:type="pct"/>
          </w:tcPr>
          <w:p w:rsidR="00041CAD" w:rsidRDefault="00A13730" w:rsidP="00041CAD">
            <w:pPr>
              <w:pStyle w:val="LTVerzDerFragendenFrage"/>
            </w:pPr>
            <w:hyperlink w:anchor="Frage_Nr_47" w:tooltip="Frage Nr 47" w:history="1">
              <w:r w:rsidR="001760BF">
                <w:rPr>
                  <w:rStyle w:val="Hyperlink"/>
                  <w:szCs w:val="24"/>
                </w:rPr>
                <w:t>Corona-</w:t>
              </w:r>
              <w:r w:rsidR="002B618A">
                <w:rPr>
                  <w:rStyle w:val="Hyperlink"/>
                  <w:szCs w:val="24"/>
                </w:rPr>
                <w:t>Hilfen für Profifuß</w:t>
              </w:r>
              <w:r w:rsidR="00041CAD">
                <w:rPr>
                  <w:rStyle w:val="Hyperlink"/>
                  <w:szCs w:val="24"/>
                </w:rPr>
                <w:t>ballclubs in Bayern</w:t>
              </w:r>
              <w:r w:rsidR="00041CAD">
                <w:rPr>
                  <w:rStyle w:val="Hyperlink"/>
                  <w:szCs w:val="24"/>
                </w:rPr>
                <w:tab/>
                <w:t>47</w:t>
              </w:r>
            </w:hyperlink>
          </w:p>
        </w:tc>
      </w:tr>
      <w:tr w:rsidR="00041CAD" w:rsidRPr="005833DD" w:rsidTr="001F3CDA">
        <w:tc>
          <w:tcPr>
            <w:tcW w:w="5000" w:type="pct"/>
          </w:tcPr>
          <w:p w:rsidR="00041CAD" w:rsidRDefault="00041CAD" w:rsidP="00041CAD">
            <w:pPr>
              <w:pStyle w:val="LTVerzDerFragenden"/>
            </w:pPr>
            <w:r>
              <w:t>Steinberger, Rosi (BÜNDNIS 90/DIE GRÜNEN)</w:t>
            </w:r>
          </w:p>
        </w:tc>
      </w:tr>
      <w:tr w:rsidR="00041CAD" w:rsidRPr="005833DD" w:rsidTr="001F3CDA">
        <w:tc>
          <w:tcPr>
            <w:tcW w:w="5000" w:type="pct"/>
          </w:tcPr>
          <w:p w:rsidR="00041CAD" w:rsidRDefault="00A13730" w:rsidP="00041CAD">
            <w:pPr>
              <w:pStyle w:val="LTVerzDerFragendenFrage"/>
            </w:pPr>
            <w:hyperlink w:anchor="Frage_Nr_71" w:tooltip="Frage Nr 71" w:history="1">
              <w:r w:rsidR="00041CAD">
                <w:rPr>
                  <w:rStyle w:val="Hyperlink"/>
                  <w:szCs w:val="24"/>
                </w:rPr>
                <w:t>Einreisebedingungen für Saisonarbeitskräfte</w:t>
              </w:r>
              <w:r w:rsidR="00041CAD">
                <w:rPr>
                  <w:rStyle w:val="Hyperlink"/>
                  <w:szCs w:val="24"/>
                </w:rPr>
                <w:tab/>
                <w:t>71</w:t>
              </w:r>
            </w:hyperlink>
          </w:p>
        </w:tc>
      </w:tr>
      <w:tr w:rsidR="00041CAD" w:rsidRPr="005833DD" w:rsidTr="001F3CDA">
        <w:tc>
          <w:tcPr>
            <w:tcW w:w="5000" w:type="pct"/>
          </w:tcPr>
          <w:p w:rsidR="00041CAD" w:rsidRDefault="00041CAD" w:rsidP="00041CAD">
            <w:pPr>
              <w:pStyle w:val="LTVerzDerFragenden"/>
            </w:pPr>
            <w:r>
              <w:t>Dr. Strohmayr, Simone (SPD)</w:t>
            </w:r>
          </w:p>
        </w:tc>
      </w:tr>
      <w:tr w:rsidR="00041CAD" w:rsidRPr="005833DD" w:rsidTr="001F3CDA">
        <w:tc>
          <w:tcPr>
            <w:tcW w:w="5000" w:type="pct"/>
          </w:tcPr>
          <w:p w:rsidR="00041CAD" w:rsidRDefault="00A13730" w:rsidP="00041CAD">
            <w:pPr>
              <w:pStyle w:val="LTVerzDerFragendenFrage"/>
            </w:pPr>
            <w:hyperlink w:anchor="Frage_Nr_72" w:tooltip="Frage Nr 72" w:history="1">
              <w:r w:rsidR="00041CAD">
                <w:rPr>
                  <w:rStyle w:val="Hyperlink"/>
                  <w:szCs w:val="24"/>
                </w:rPr>
                <w:t>Fortschritt Impfkampagne in Schwaben</w:t>
              </w:r>
              <w:r w:rsidR="00041CAD">
                <w:rPr>
                  <w:rStyle w:val="Hyperlink"/>
                  <w:szCs w:val="24"/>
                </w:rPr>
                <w:tab/>
                <w:t>72</w:t>
              </w:r>
            </w:hyperlink>
          </w:p>
        </w:tc>
      </w:tr>
      <w:tr w:rsidR="00041CAD" w:rsidRPr="005833DD" w:rsidTr="001F3CDA">
        <w:tc>
          <w:tcPr>
            <w:tcW w:w="5000" w:type="pct"/>
          </w:tcPr>
          <w:p w:rsidR="00041CAD" w:rsidRDefault="00041CAD" w:rsidP="00041CAD">
            <w:pPr>
              <w:pStyle w:val="LTVerzDerFragenden"/>
            </w:pPr>
            <w:r>
              <w:t>Stümpfig, Martin (BÜNDNIS 90/DIE GRÜNEN)</w:t>
            </w:r>
          </w:p>
        </w:tc>
      </w:tr>
      <w:tr w:rsidR="00041CAD" w:rsidRPr="005833DD" w:rsidTr="001F3CDA">
        <w:tc>
          <w:tcPr>
            <w:tcW w:w="5000" w:type="pct"/>
          </w:tcPr>
          <w:p w:rsidR="00041CAD" w:rsidRDefault="00A13730" w:rsidP="00041CAD">
            <w:pPr>
              <w:pStyle w:val="LTVerzDerFragendenFrage"/>
            </w:pPr>
            <w:hyperlink w:anchor="Frage_Nr_48" w:tooltip="Frage Nr 48" w:history="1">
              <w:r w:rsidR="00041CAD">
                <w:rPr>
                  <w:rStyle w:val="Hyperlink"/>
                  <w:szCs w:val="24"/>
                </w:rPr>
                <w:t>Netzausbau in Bayern: Juraleitung</w:t>
              </w:r>
              <w:r w:rsidR="00041CAD">
                <w:rPr>
                  <w:rStyle w:val="Hyperlink"/>
                  <w:szCs w:val="24"/>
                </w:rPr>
                <w:tab/>
                <w:t>48</w:t>
              </w:r>
            </w:hyperlink>
          </w:p>
        </w:tc>
      </w:tr>
      <w:tr w:rsidR="00041CAD" w:rsidRPr="005833DD" w:rsidTr="001F3CDA">
        <w:tc>
          <w:tcPr>
            <w:tcW w:w="5000" w:type="pct"/>
          </w:tcPr>
          <w:p w:rsidR="00041CAD" w:rsidRDefault="001760BF" w:rsidP="00041CAD">
            <w:pPr>
              <w:pStyle w:val="LTVerzDerFragenden"/>
            </w:pPr>
            <w:r>
              <w:t>Ta</w:t>
            </w:r>
            <w:r>
              <w:rPr>
                <w:rFonts w:cs="Arial"/>
              </w:rPr>
              <w:t>ş</w:t>
            </w:r>
            <w:r w:rsidR="00041CAD">
              <w:t>delen, Arif (SPD)</w:t>
            </w:r>
          </w:p>
        </w:tc>
      </w:tr>
      <w:tr w:rsidR="00041CAD" w:rsidRPr="005833DD" w:rsidTr="001F3CDA">
        <w:tc>
          <w:tcPr>
            <w:tcW w:w="5000" w:type="pct"/>
          </w:tcPr>
          <w:p w:rsidR="00041CAD" w:rsidRDefault="00A13730" w:rsidP="00041CAD">
            <w:pPr>
              <w:pStyle w:val="LTVerzDerFragendenFrage"/>
            </w:pPr>
            <w:hyperlink w:anchor="Frage_Nr_38" w:tooltip="Frage Nr 38" w:history="1">
              <w:r w:rsidR="00041CAD">
                <w:rPr>
                  <w:rStyle w:val="Hyperlink"/>
                  <w:szCs w:val="24"/>
                </w:rPr>
                <w:t>Corona-Tests in Behörden und Einrichtungen des Freistaates Bayern</w:t>
              </w:r>
              <w:r w:rsidR="00041CAD">
                <w:rPr>
                  <w:rStyle w:val="Hyperlink"/>
                  <w:szCs w:val="24"/>
                </w:rPr>
                <w:tab/>
                <w:t>38</w:t>
              </w:r>
            </w:hyperlink>
          </w:p>
        </w:tc>
      </w:tr>
      <w:tr w:rsidR="00041CAD" w:rsidRPr="005833DD" w:rsidTr="001F3CDA">
        <w:tc>
          <w:tcPr>
            <w:tcW w:w="5000" w:type="pct"/>
          </w:tcPr>
          <w:p w:rsidR="00041CAD" w:rsidRDefault="00041CAD" w:rsidP="00041CAD">
            <w:pPr>
              <w:pStyle w:val="LTVerzDerFragenden"/>
            </w:pPr>
            <w:r>
              <w:t>Triebel, Gabriele (BÜNDNIS 90/DIE GRÜNEN)</w:t>
            </w:r>
          </w:p>
        </w:tc>
      </w:tr>
      <w:tr w:rsidR="00041CAD" w:rsidRPr="005833DD" w:rsidTr="001F3CDA">
        <w:tc>
          <w:tcPr>
            <w:tcW w:w="5000" w:type="pct"/>
          </w:tcPr>
          <w:p w:rsidR="00041CAD" w:rsidRDefault="00A13730" w:rsidP="00041CAD">
            <w:pPr>
              <w:pStyle w:val="LTVerzDerFragendenFrage"/>
            </w:pPr>
            <w:hyperlink w:anchor="Frage_Nr_56" w:tooltip="Frage Nr 56" w:history="1">
              <w:r w:rsidR="00041CAD">
                <w:rPr>
                  <w:rStyle w:val="Hyperlink"/>
                  <w:szCs w:val="24"/>
                </w:rPr>
                <w:t>Unsachgemäße Rückschnitte am Staatsgut Achselschwang</w:t>
              </w:r>
              <w:r w:rsidR="00041CAD">
                <w:rPr>
                  <w:rStyle w:val="Hyperlink"/>
                  <w:szCs w:val="24"/>
                </w:rPr>
                <w:tab/>
                <w:t>56</w:t>
              </w:r>
            </w:hyperlink>
          </w:p>
        </w:tc>
      </w:tr>
      <w:tr w:rsidR="00041CAD" w:rsidRPr="005833DD" w:rsidTr="001F3CDA">
        <w:tc>
          <w:tcPr>
            <w:tcW w:w="5000" w:type="pct"/>
          </w:tcPr>
          <w:p w:rsidR="00041CAD" w:rsidRDefault="00041CAD" w:rsidP="00041CAD">
            <w:pPr>
              <w:pStyle w:val="LTVerzDerFragenden"/>
            </w:pPr>
            <w:r>
              <w:t>Urban, Hans (BÜNDNIS 90/DIE GRÜNEN)</w:t>
            </w:r>
          </w:p>
        </w:tc>
      </w:tr>
      <w:tr w:rsidR="00041CAD" w:rsidRPr="005833DD" w:rsidTr="001F3CDA">
        <w:tc>
          <w:tcPr>
            <w:tcW w:w="5000" w:type="pct"/>
          </w:tcPr>
          <w:p w:rsidR="00041CAD" w:rsidRDefault="00A13730" w:rsidP="00041CAD">
            <w:pPr>
              <w:pStyle w:val="LTVerzDerFragendenFrage"/>
            </w:pPr>
            <w:hyperlink w:anchor="Frage_Nr_51" w:tooltip="Frage Nr 51" w:history="1">
              <w:r w:rsidR="00041CAD">
                <w:rPr>
                  <w:rStyle w:val="Hyperlink"/>
                  <w:szCs w:val="24"/>
                </w:rPr>
                <w:t>Besucherinnen- bzw. Besuchermanagement am Sylvensteinspeicher</w:t>
              </w:r>
              <w:r w:rsidR="00041CAD">
                <w:rPr>
                  <w:rStyle w:val="Hyperlink"/>
                  <w:szCs w:val="24"/>
                </w:rPr>
                <w:tab/>
                <w:t>51</w:t>
              </w:r>
            </w:hyperlink>
          </w:p>
        </w:tc>
      </w:tr>
      <w:tr w:rsidR="00041CAD" w:rsidRPr="005833DD" w:rsidTr="001F3CDA">
        <w:tc>
          <w:tcPr>
            <w:tcW w:w="5000" w:type="pct"/>
          </w:tcPr>
          <w:p w:rsidR="00041CAD" w:rsidRDefault="00041CAD" w:rsidP="00041CAD">
            <w:pPr>
              <w:pStyle w:val="LTVerzDerFragenden"/>
            </w:pPr>
            <w:r>
              <w:t>Dr. Weigand, Sabine (BÜNDNIS 90/DIE GRÜNEN)</w:t>
            </w:r>
          </w:p>
        </w:tc>
      </w:tr>
      <w:tr w:rsidR="00041CAD" w:rsidRPr="005833DD" w:rsidTr="001F3CDA">
        <w:tc>
          <w:tcPr>
            <w:tcW w:w="5000" w:type="pct"/>
          </w:tcPr>
          <w:p w:rsidR="00041CAD" w:rsidRDefault="00A13730" w:rsidP="00041CAD">
            <w:pPr>
              <w:pStyle w:val="LTVerzDerFragendenFrage"/>
            </w:pPr>
            <w:hyperlink w:anchor="Frage_Nr_39" w:tooltip="Frage Nr 39" w:history="1">
              <w:r w:rsidR="00041CAD">
                <w:rPr>
                  <w:rStyle w:val="Hyperlink"/>
                  <w:szCs w:val="24"/>
                </w:rPr>
                <w:t>Benutzung des Hofgartens während der Internationalen Automobil-</w:t>
              </w:r>
              <w:r w:rsidR="001760BF">
                <w:rPr>
                  <w:rStyle w:val="Hyperlink"/>
                  <w:szCs w:val="24"/>
                </w:rPr>
                <w:br/>
              </w:r>
              <w:r w:rsidR="00041CAD">
                <w:rPr>
                  <w:rStyle w:val="Hyperlink"/>
                  <w:szCs w:val="24"/>
                </w:rPr>
                <w:t>Ausstellung</w:t>
              </w:r>
              <w:r w:rsidR="00041CAD">
                <w:rPr>
                  <w:rStyle w:val="Hyperlink"/>
                  <w:szCs w:val="24"/>
                </w:rPr>
                <w:tab/>
                <w:t>39</w:t>
              </w:r>
            </w:hyperlink>
          </w:p>
        </w:tc>
      </w:tr>
      <w:tr w:rsidR="00041CAD" w:rsidRPr="005833DD" w:rsidTr="001F3CDA">
        <w:tc>
          <w:tcPr>
            <w:tcW w:w="5000" w:type="pct"/>
          </w:tcPr>
          <w:p w:rsidR="00041CAD" w:rsidRDefault="00041CAD" w:rsidP="00041CAD">
            <w:pPr>
              <w:pStyle w:val="LTVerzDerFragenden"/>
            </w:pPr>
            <w:r>
              <w:t>Wild, Margit (SPD)</w:t>
            </w:r>
          </w:p>
        </w:tc>
      </w:tr>
      <w:tr w:rsidR="00041CAD" w:rsidRPr="005833DD" w:rsidTr="001F3CDA">
        <w:tc>
          <w:tcPr>
            <w:tcW w:w="5000" w:type="pct"/>
          </w:tcPr>
          <w:p w:rsidR="00041CAD" w:rsidRDefault="00A13730" w:rsidP="00041CAD">
            <w:pPr>
              <w:pStyle w:val="LTVerzDerFragendenFrage"/>
            </w:pPr>
            <w:hyperlink w:anchor="Frage_Nr_73" w:tooltip="Frage Nr 73" w:history="1">
              <w:r w:rsidR="00041CAD">
                <w:rPr>
                  <w:rStyle w:val="Hyperlink"/>
                  <w:szCs w:val="24"/>
                </w:rPr>
                <w:t>Testmöglichkeiten an Schulen</w:t>
              </w:r>
              <w:r w:rsidR="00041CAD">
                <w:rPr>
                  <w:rStyle w:val="Hyperlink"/>
                  <w:szCs w:val="24"/>
                </w:rPr>
                <w:tab/>
                <w:t>73</w:t>
              </w:r>
            </w:hyperlink>
          </w:p>
        </w:tc>
      </w:tr>
      <w:tr w:rsidR="00041CAD" w:rsidRPr="005833DD" w:rsidTr="001F3CDA">
        <w:tc>
          <w:tcPr>
            <w:tcW w:w="5000" w:type="pct"/>
          </w:tcPr>
          <w:p w:rsidR="00041CAD" w:rsidRDefault="00041CAD" w:rsidP="00041CAD">
            <w:pPr>
              <w:pStyle w:val="LTVerzDerFragenden"/>
            </w:pPr>
            <w:r>
              <w:t>Winhart, Andreas (AfD)</w:t>
            </w:r>
          </w:p>
        </w:tc>
      </w:tr>
      <w:tr w:rsidR="00041CAD" w:rsidRPr="005833DD" w:rsidTr="001F3CDA">
        <w:tc>
          <w:tcPr>
            <w:tcW w:w="5000" w:type="pct"/>
          </w:tcPr>
          <w:p w:rsidR="00041CAD" w:rsidRDefault="00A13730" w:rsidP="00041CAD">
            <w:pPr>
              <w:pStyle w:val="LTVerzDerFragendenFrage"/>
            </w:pPr>
            <w:hyperlink w:anchor="Frage_Nr_40" w:tooltip="Frage Nr 40" w:history="1">
              <w:r w:rsidR="00041CAD">
                <w:rPr>
                  <w:rStyle w:val="Hyperlink"/>
                  <w:szCs w:val="24"/>
                </w:rPr>
                <w:t>Versicherungsgeschäfte in der Region Rosenheim</w:t>
              </w:r>
              <w:r w:rsidR="00041CAD">
                <w:rPr>
                  <w:rStyle w:val="Hyperlink"/>
                  <w:szCs w:val="24"/>
                </w:rPr>
                <w:tab/>
                <w:t>40</w:t>
              </w:r>
            </w:hyperlink>
          </w:p>
        </w:tc>
      </w:tr>
      <w:tr w:rsidR="00041CAD" w:rsidRPr="005833DD" w:rsidTr="001F3CDA">
        <w:tc>
          <w:tcPr>
            <w:tcW w:w="5000" w:type="pct"/>
          </w:tcPr>
          <w:p w:rsidR="00041CAD" w:rsidRDefault="00041CAD" w:rsidP="00041CAD">
            <w:pPr>
              <w:pStyle w:val="LTVerzDerFragenden"/>
            </w:pPr>
            <w:r>
              <w:t>Zwanziger, Christian (BÜNDNIS 90/DIE GRÜNEN)</w:t>
            </w:r>
          </w:p>
        </w:tc>
      </w:tr>
      <w:tr w:rsidR="00041CAD" w:rsidRPr="005833DD" w:rsidTr="001F3CDA">
        <w:tc>
          <w:tcPr>
            <w:tcW w:w="5000" w:type="pct"/>
          </w:tcPr>
          <w:p w:rsidR="00041CAD" w:rsidRDefault="00A13730" w:rsidP="00041CAD">
            <w:pPr>
              <w:pStyle w:val="LTVerzDerFragendenFrage"/>
            </w:pPr>
            <w:hyperlink w:anchor="Frage_Nr_57" w:tooltip="Frage Nr 57" w:history="1">
              <w:r w:rsidR="00041CAD">
                <w:rPr>
                  <w:rStyle w:val="Hyperlink"/>
                  <w:szCs w:val="24"/>
                </w:rPr>
                <w:t>Campingstellplätze an landwirtschaftlichen Betrieben</w:t>
              </w:r>
              <w:r w:rsidR="00041CAD">
                <w:rPr>
                  <w:rStyle w:val="Hyperlink"/>
                  <w:szCs w:val="24"/>
                </w:rPr>
                <w:tab/>
                <w:t>57</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041CAD" w:rsidP="00041CAD">
      <w:pPr>
        <w:pStyle w:val="LTUeberschrRessort"/>
      </w:pPr>
      <w:bookmarkStart w:id="2" w:name="FragenNachGeschBereichen"/>
      <w:bookmarkEnd w:id="2"/>
      <w:r>
        <w:t>Geschäftsbereich der Staatskanzlei</w:t>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9673FE" w:rsidTr="009673FE">
        <w:tc>
          <w:tcPr>
            <w:tcW w:w="1840" w:type="dxa"/>
          </w:tcPr>
          <w:p w:rsidR="009673FE" w:rsidRDefault="009673FE" w:rsidP="009673FE">
            <w:pPr>
              <w:pStyle w:val="LTAnfrageInitiator"/>
            </w:pPr>
            <w:r>
              <w:t>Abgeordnete</w:t>
            </w:r>
            <w:r>
              <w:rPr>
                <w:b/>
              </w:rPr>
              <w:br/>
              <w:t>Katrin</w:t>
            </w:r>
            <w:r>
              <w:rPr>
                <w:b/>
              </w:rPr>
              <w:br/>
              <w:t>Ebner-Steiner</w:t>
            </w:r>
            <w:r>
              <w:rPr>
                <w:b/>
              </w:rPr>
              <w:br/>
            </w:r>
            <w:r>
              <w:t>(AfD)</w:t>
            </w:r>
            <w:bookmarkStart w:id="3" w:name="Frage_Nr_1"/>
            <w:bookmarkEnd w:id="3"/>
          </w:p>
        </w:tc>
        <w:tc>
          <w:tcPr>
            <w:tcW w:w="5776" w:type="dxa"/>
          </w:tcPr>
          <w:p w:rsidR="009673FE" w:rsidRPr="009673FE" w:rsidRDefault="009673FE" w:rsidP="009673FE">
            <w:pPr>
              <w:pStyle w:val="LTAnfrageText"/>
            </w:pPr>
            <w:r w:rsidRPr="009673FE">
              <w:t>Vor dem Hintergrund, dass Ministerpräsident Dr. Markus Söder am späten Sonntagabend laut Presseberichten „mit einem Privatjet“ von Nürnberg nach Berlin geflogen ist, frage ich die Staatsregierung, in welcher Höhe sind dem Freistaat Bayern durch die Reise des Ministerpräsidenten Kosten entstanden und wie beurteilt sie die Rechtslage der parteipolitischen Veranstaltung des Ministerpräsidenten im Hinblick auf die geltenden Corona-Maßnahmen, insbesondere hinsichtlich der geltenden Ausgangssperre?</w:t>
            </w:r>
          </w:p>
        </w:tc>
        <w:tc>
          <w:tcPr>
            <w:tcW w:w="5776" w:type="dxa"/>
          </w:tcPr>
          <w:p w:rsidR="009673FE" w:rsidRDefault="009673FE" w:rsidP="009673FE">
            <w:pPr>
              <w:pStyle w:val="LTAnfrageText"/>
            </w:pPr>
          </w:p>
        </w:tc>
      </w:tr>
    </w:tbl>
    <w:p w:rsidR="00041CAD" w:rsidRDefault="00041CAD" w:rsidP="00041CAD">
      <w:pPr>
        <w:pStyle w:val="LTUeberschrAntwortRessort"/>
      </w:pPr>
      <w:r>
        <w:t>Antwort der Staatskanzlei</w:t>
      </w:r>
    </w:p>
    <w:p w:rsidR="00041CAD" w:rsidRDefault="00041CAD" w:rsidP="00041CAD">
      <w:pPr>
        <w:pStyle w:val="LTAntwortRessortText"/>
      </w:pPr>
      <w:r>
        <w:t>Es handelte sich bei der Reise von Herrn Ministerpräsident Dr. Markus Söder, MdL, nach Berlin um einen Parteitermin; die Kosten dafür trägt die CSU.</w:t>
      </w:r>
    </w:p>
    <w:p w:rsidR="00041CAD" w:rsidRDefault="00041CAD">
      <w:bookmarkStart w:id="4" w:name="Frage_Nr_1_Ende"/>
      <w:bookmarkEnd w:id="4"/>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9673FE" w:rsidTr="009673FE">
        <w:tc>
          <w:tcPr>
            <w:tcW w:w="1871" w:type="dxa"/>
          </w:tcPr>
          <w:p w:rsidR="009673FE" w:rsidRDefault="009673FE" w:rsidP="009673FE">
            <w:pPr>
              <w:pStyle w:val="LTAnfrageInitiator"/>
            </w:pPr>
            <w:r>
              <w:t>Abgeordnete</w:t>
            </w:r>
            <w:r>
              <w:rPr>
                <w:b/>
              </w:rPr>
              <w:br/>
              <w:t>Natascha</w:t>
            </w:r>
            <w:r>
              <w:rPr>
                <w:b/>
              </w:rPr>
              <w:br/>
              <w:t>Kohnen</w:t>
            </w:r>
            <w:r>
              <w:rPr>
                <w:b/>
              </w:rPr>
              <w:br/>
            </w:r>
            <w:r>
              <w:t>(SPD)</w:t>
            </w:r>
            <w:bookmarkStart w:id="5" w:name="Frage_Nr_2"/>
            <w:bookmarkEnd w:id="5"/>
          </w:p>
        </w:tc>
        <w:tc>
          <w:tcPr>
            <w:tcW w:w="5745" w:type="dxa"/>
          </w:tcPr>
          <w:p w:rsidR="009673FE" w:rsidRPr="009673FE" w:rsidRDefault="009673FE" w:rsidP="009673FE">
            <w:pPr>
              <w:pStyle w:val="LTAnfrageText"/>
            </w:pPr>
            <w:r w:rsidRPr="009673FE">
              <w:t>Vor dem Hintergrund der Flugreise von Ministerpräsident Dr. Markus Söder mit einem „Learjet 60“ von Nürnberg nach Berlin und zurück am 18./19.04.2021 anlässlich eines Treffens mit dem nordrhein-westfälischen Ministerpräsidenten Armin Laschet und anderen zur Frage der Kanzlerkandidatur frage ich die Staatsregierung, wie hoch waren die Gesamtkosten für den Hin- und Rückflug (inkl. eventueller Standkosten), von wem wurde der Jet zur Verfügung gestellt und wer kommt für die entstandenen Kosten auf?</w:t>
            </w:r>
          </w:p>
        </w:tc>
        <w:tc>
          <w:tcPr>
            <w:tcW w:w="5745" w:type="dxa"/>
          </w:tcPr>
          <w:p w:rsidR="009673FE" w:rsidRDefault="009673FE" w:rsidP="009673FE">
            <w:pPr>
              <w:pStyle w:val="LTAnfrageText"/>
            </w:pPr>
          </w:p>
        </w:tc>
      </w:tr>
    </w:tbl>
    <w:p w:rsidR="00041CAD" w:rsidRDefault="00041CAD" w:rsidP="00041CAD">
      <w:pPr>
        <w:pStyle w:val="LTUeberschrAntwortRessort"/>
      </w:pPr>
      <w:r>
        <w:t>Antwort der Staatskanzlei</w:t>
      </w:r>
    </w:p>
    <w:p w:rsidR="00041CAD" w:rsidRDefault="00041CAD" w:rsidP="00041CAD">
      <w:pPr>
        <w:pStyle w:val="LTAntwortRessortText"/>
      </w:pPr>
      <w:r>
        <w:t>Es handelte sich bei der Reise von Herrn Ministerpräsident Dr. Markus Söder, MdL, nach Berlin um einen Parteitermin; die Kosten dafür trägt die CSU</w:t>
      </w:r>
      <w:r w:rsidR="0012694F">
        <w:t>.</w:t>
      </w:r>
    </w:p>
    <w:p w:rsidR="00041CAD" w:rsidRDefault="00041CAD">
      <w:bookmarkStart w:id="6" w:name="Frage_Nr_2_Ende"/>
      <w:bookmarkEnd w:id="6"/>
      <w:r>
        <w:br w:type="page"/>
      </w:r>
    </w:p>
    <w:p w:rsidR="00041CAD" w:rsidRDefault="00041CAD" w:rsidP="00041CAD">
      <w:pPr>
        <w:pStyle w:val="LTUeberschrRessort"/>
      </w:pPr>
      <w:r>
        <w:t>Geschäftsbereich des Staatsministeriums des Innern, für Sport und Integration</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713F90" w:rsidTr="00713F90">
        <w:tc>
          <w:tcPr>
            <w:tcW w:w="1900" w:type="dxa"/>
          </w:tcPr>
          <w:p w:rsidR="00713F90" w:rsidRDefault="00713F90" w:rsidP="00713F90">
            <w:pPr>
              <w:pStyle w:val="LTAnfrageInitiator"/>
            </w:pPr>
            <w:r>
              <w:t>Abgeordneter</w:t>
            </w:r>
            <w:r w:rsidR="0030534E">
              <w:rPr>
                <w:b/>
              </w:rPr>
              <w:br/>
              <w:t>Cemal</w:t>
            </w:r>
            <w:r w:rsidR="0030534E">
              <w:rPr>
                <w:b/>
              </w:rPr>
              <w:br/>
              <w:t>Bozo</w:t>
            </w:r>
            <w:r w:rsidR="0030534E">
              <w:rPr>
                <w:rFonts w:cs="Arial"/>
                <w:b/>
              </w:rPr>
              <w:t>ğ</w:t>
            </w:r>
            <w:r>
              <w:rPr>
                <w:b/>
              </w:rPr>
              <w:t>lu</w:t>
            </w:r>
            <w:r>
              <w:rPr>
                <w:b/>
              </w:rPr>
              <w:br/>
            </w:r>
            <w:r>
              <w:t>(BÜNDNIS 90/DIE GRÜNEN)</w:t>
            </w:r>
            <w:bookmarkStart w:id="7" w:name="Frage_Nr_3"/>
            <w:bookmarkEnd w:id="7"/>
          </w:p>
        </w:tc>
        <w:tc>
          <w:tcPr>
            <w:tcW w:w="5716" w:type="dxa"/>
          </w:tcPr>
          <w:p w:rsidR="00713F90" w:rsidRPr="006350E5" w:rsidRDefault="00713F90" w:rsidP="006350E5">
            <w:pPr>
              <w:pStyle w:val="LTAnfrageText"/>
            </w:pPr>
            <w:r w:rsidRPr="006350E5">
              <w:t xml:space="preserve">Nachdem aktuell in der türkischen Presse über einen systematisch organisierten Menschenschmuggel via „Tarn-Austausch-programmen“ mit Deutschland spekuliert wird, über welche bisher mit Sicherheit 43 Personen aus der Ortschaft Yesilyurt in der Provinz Malatya bereits im Jahr 2020 nach Hannover gebracht wurden, und von weiteren bis zu 1 000 Menschen aus mind. fünf weiteren Ortschaften die Rede ist, die über AKP (AKP = türkische Regierungspartei) regierte Kommunen in der Türkei organisiert, mit offiziellen Bedienstetenausweisen </w:t>
            </w:r>
            <w:r w:rsidR="0012694F">
              <w:br/>
            </w:r>
            <w:r w:rsidRPr="006350E5">
              <w:t>(„Gri Pasaport“) versorgt wurden und nach Beendigung der Austauschprogramme nicht wieder in die Türkei zurückgekehrt seien und von denen unter anderem 37 nach Einladung eines Sportvereins über einen Tarn-Austausch aus Urfa, Ceylanpinar nach München gekommen seien, frage ich die Staatsregierung, welche Informationen ihr zu diesen Vorfällen bisher bekannt sind, ob – wie in der Presse berichtet wurde – die Drahtzieher der Schleusung sich in Nürnberg mit Verantwortlichen der Stadt getroffen haben und ob Menschen, die über solche Tarn-Austauschprogramme nach Bayern gelangt sind, hier Asylanträge gestellt haben?</w:t>
            </w:r>
          </w:p>
        </w:tc>
        <w:tc>
          <w:tcPr>
            <w:tcW w:w="5716" w:type="dxa"/>
          </w:tcPr>
          <w:p w:rsidR="00713F90" w:rsidRDefault="00713F90" w:rsidP="00713F90">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Zum konkret in Rede stehenden Sachverhalt wurde das Poli</w:t>
      </w:r>
      <w:r w:rsidR="0012694F">
        <w:t>zeipräsidium München mit den Er</w:t>
      </w:r>
      <w:r>
        <w:t>mittlungen beauftragt.</w:t>
      </w:r>
    </w:p>
    <w:p w:rsidR="00041CAD" w:rsidRDefault="00041CAD" w:rsidP="00041CAD">
      <w:pPr>
        <w:pStyle w:val="LTAntwortRessortText"/>
      </w:pPr>
      <w:r>
        <w:t>Türkische Staatsbürger unterliegen bei der Einreise nach Deut</w:t>
      </w:r>
      <w:r w:rsidR="0012694F">
        <w:t>schland grundsätzlich der Visum</w:t>
      </w:r>
      <w:r>
        <w:t>pflicht. Inhaber von dienstlichen</w:t>
      </w:r>
      <w:r w:rsidR="0012694F">
        <w:t xml:space="preserve"> Pässen sind nach Maßgabe des § 19 i. V </w:t>
      </w:r>
      <w:r>
        <w:t xml:space="preserve">m. Anlage B Nr. 1 </w:t>
      </w:r>
      <w:r w:rsidR="0012694F">
        <w:t>Aufenthaltsgesetz (</w:t>
      </w:r>
      <w:r>
        <w:t>AufenthV</w:t>
      </w:r>
      <w:r w:rsidR="0012694F">
        <w:t>)</w:t>
      </w:r>
      <w:r>
        <w:t xml:space="preserve"> für Kurzaufenthalte ohne Aufnahme einer Erwerbstätigkeit vom Erfordernis eines Aufenthaltstitels befreit. Inhaber von Dienstpässen unterliegen</w:t>
      </w:r>
      <w:r w:rsidR="0012694F">
        <w:t xml:space="preserve"> damit nicht dem Visaerteilungs</w:t>
      </w:r>
      <w:r>
        <w:t>verfahren für die Schengen-Staaten.</w:t>
      </w:r>
    </w:p>
    <w:p w:rsidR="00041CAD" w:rsidRDefault="00041CAD" w:rsidP="00041CAD">
      <w:pPr>
        <w:pStyle w:val="LTAntwortRessortText"/>
      </w:pPr>
      <w:r>
        <w:t>Die Ausländerbehörden erlangen nur dann Kenntnis von der Einreise, wenn sich die Passinhaber angesichts einer Verlängerung des Kurzaufenthalts an die Ausländerbehörden wenden. In diesem Fall würden diese einen Antrag auf Erteilung eines Aufenthaltstitels stellen.</w:t>
      </w:r>
    </w:p>
    <w:p w:rsidR="00041CAD" w:rsidRDefault="00041CAD" w:rsidP="00041CAD">
      <w:pPr>
        <w:pStyle w:val="LTAntwortRessortText"/>
      </w:pPr>
      <w:r>
        <w:t>Gleiches gilt für die Einreise zu Zwecken der professionellen oder halb-professionellen Sportausübung. Es sind weder eine signifikante Anzahl von Anträgen noch eine auffällige Häufung von Verpflichtungserklärungen für die Einreise zu den genannten Zwecken ersichtlich.</w:t>
      </w:r>
    </w:p>
    <w:p w:rsidR="00041CAD" w:rsidRDefault="00041CAD" w:rsidP="00041CAD">
      <w:pPr>
        <w:pStyle w:val="LTAntwortRessortText"/>
      </w:pPr>
      <w:r>
        <w:t>Die Ergebnisse des Ermittlungsverfahrens des Polizeipräsidiums München bleiben abzuwarten.</w:t>
      </w:r>
    </w:p>
    <w:p w:rsidR="00041CAD" w:rsidRDefault="00041CAD">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13F90" w:rsidTr="00713F90">
        <w:tc>
          <w:tcPr>
            <w:tcW w:w="1883" w:type="dxa"/>
          </w:tcPr>
          <w:p w:rsidR="00713F90" w:rsidRDefault="00713F90" w:rsidP="00713F90">
            <w:pPr>
              <w:pStyle w:val="LTAnfrageInitiator"/>
            </w:pPr>
            <w:r>
              <w:t>Abgeordnete</w:t>
            </w:r>
            <w:r>
              <w:rPr>
                <w:b/>
              </w:rPr>
              <w:br/>
              <w:t>Kerstin</w:t>
            </w:r>
            <w:r>
              <w:rPr>
                <w:b/>
              </w:rPr>
              <w:br/>
              <w:t>Celina</w:t>
            </w:r>
            <w:r>
              <w:rPr>
                <w:b/>
              </w:rPr>
              <w:br/>
            </w:r>
            <w:r>
              <w:t>(BÜNDNIS 90/DIE GRÜNEN)</w:t>
            </w:r>
            <w:bookmarkStart w:id="9" w:name="Frage_Nr_4"/>
            <w:bookmarkEnd w:id="9"/>
          </w:p>
        </w:tc>
        <w:tc>
          <w:tcPr>
            <w:tcW w:w="5733" w:type="dxa"/>
          </w:tcPr>
          <w:p w:rsidR="00713F90" w:rsidRPr="006350E5" w:rsidRDefault="00713F90" w:rsidP="006350E5">
            <w:pPr>
              <w:pStyle w:val="LTAnfrageText"/>
            </w:pPr>
            <w:r w:rsidRPr="006350E5">
              <w:t>Nachdem bei Demonstrationen vermehrt Atteste vorgelegt werden, die das Tragen eines Mund-Nasen-Schutzes aus medizinischen Gründen kontraindizieren sowie der Verdacht besteht, dass eine Vielzahl dieser Atteste als „Gefälligkeitsatteste“ gelten könnte, da sie oft von einschlägig bekannten Ärztinnen und Ärzten ohne vorherige Visite ausgestellt werden und der Gebrauch unrichtiger Gesundheitszeugnisse nach § 279 Strafgesetzbuch zu Strafbefehlen gegen die Attestierten führen kann, frage ich die Staatsregierung, in welcher Form (bspw. regelmäßig aktualisierte Rundschreiben, Schulungen) bekommen Polizistinnen bzw. Polizisten Anweisungen zur Kontrolle und Überprüfung der vorgelegten Atteste, welche spezifischen Vorgaben und Kriterien gibt es, auf die bei der Überprüfung der Richtigkeit der Atteste zu achten ist (bspw. fehlender Zusammenhang zwischen dem Tragen eines Mund-Nasen-Schutzes und der konkreten Diagnose eines Krankheitsbildes) und stehen den Polizistinnen bzw. Polizisten Daten (auch aus anderen Bundesländern) zur Verfügung, die über einschlägig bekannte Ärztinnen bzw. Ärzte informieren, gegen die laufende Ermittlungen wegen des Verdachtes sogenannte Gefälligkeitsatteste auszustellen vorliegen bzw. die bereits verurteilt sind?</w:t>
            </w:r>
          </w:p>
        </w:tc>
        <w:tc>
          <w:tcPr>
            <w:tcW w:w="5733" w:type="dxa"/>
          </w:tcPr>
          <w:p w:rsidR="00713F90" w:rsidRDefault="00713F90" w:rsidP="00713F90">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Selbstverständlich wir</w:t>
      </w:r>
      <w:r w:rsidR="00635855">
        <w:t>d bei der Vorlage von Attesten –</w:t>
      </w:r>
      <w:r>
        <w:t xml:space="preserve"> wie bei allen anderen polizeilichen Kon</w:t>
      </w:r>
      <w:r w:rsidR="0012694F">
        <w:t>trollen –</w:t>
      </w:r>
      <w:r>
        <w:t xml:space="preserve"> auch deren Richtigkeit bzw. die Plausibilität der gesch</w:t>
      </w:r>
      <w:r w:rsidR="0012694F">
        <w:t>ilderten oder festgestellten Um</w:t>
      </w:r>
      <w:r>
        <w:t>stände geprüft. Zur Vermittlung der Glaubhaftigkeit genügen ärztliche Atteste dann nicht, wenn sie nur pauschal bescheinigen, dass der Betroffene aus gesundheitlichen Gründen keine Mund-Nasen-Bedeckung (MNB) tragen kann. Ein solches Attest ist nicht hinreichend aussagekräftig, um eine Befreiung von der MNB-Tragepflicht zu rechtfe</w:t>
      </w:r>
      <w:r w:rsidR="0012694F">
        <w:t>rtigen. Dies ist auch in der ge</w:t>
      </w:r>
      <w:r>
        <w:t>genwärtig geltenden Zwölften Bayerischen Infektionssc</w:t>
      </w:r>
      <w:r w:rsidR="0012694F">
        <w:t>hutzmaßnahmenverordnung so geregelt. Die Verbände der b</w:t>
      </w:r>
      <w:r>
        <w:t>ayerischen Polizei werden regelmäßig über die Änderungen und/</w:t>
      </w:r>
      <w:r w:rsidR="0012694F">
        <w:br/>
      </w:r>
      <w:r>
        <w:t>oder Fortschreibungen der einschlägigen Rechtsverordnungen informiert, welche diese aktuelle</w:t>
      </w:r>
      <w:r w:rsidR="0030534E">
        <w:t xml:space="preserve"> </w:t>
      </w:r>
      <w:r>
        <w:t>Regelungslage wiederum intern umsetzen. Soweit Zweifel a</w:t>
      </w:r>
      <w:r w:rsidR="0012694F">
        <w:t>n der Glaubhaftigkeit bzw. Echt</w:t>
      </w:r>
      <w:r>
        <w:t xml:space="preserve">heit des Attests bestehen, werden entsprechende Anzeigen erstellt oder die zuständige Sicherheitsbehörde (Gesundheitsamt) mit entsprechendem Bericht (wenn möglich mit Kopie des Attests) unterrichtet. Unter Umständen werden weitere Tatbestände, wie </w:t>
      </w:r>
      <w:r w:rsidR="00BD06F4">
        <w:t>z. B.</w:t>
      </w:r>
      <w:r>
        <w:t xml:space="preserve"> bei eigenhändigem Ausfüllen eines </w:t>
      </w:r>
      <w:r w:rsidR="0012694F">
        <w:br/>
      </w:r>
      <w:r>
        <w:t>Attestes/Internetformulars, die Urkundenfäls</w:t>
      </w:r>
      <w:r w:rsidR="0012694F">
        <w:t>chung (§ 267 Strafgesetzbuch – StGB), das Ausstel</w:t>
      </w:r>
      <w:r>
        <w:t xml:space="preserve">len unrichtiger Gesundheitszeugnisse (§ 278 StGB) oder der Gebrauch unrichtiger Gesundheitszeugnisse (§ 278 StGB) geprüft. Leider zeigt sich gerade bei Versammlungen der </w:t>
      </w:r>
      <w:r w:rsidR="00BD06F4">
        <w:t>„</w:t>
      </w:r>
      <w:r>
        <w:t>Corona-Gegner</w:t>
      </w:r>
      <w:r w:rsidR="00BD06F4">
        <w:t>“</w:t>
      </w:r>
      <w:r>
        <w:t xml:space="preserve"> immer wieder, dass Personen ohne Rücksicht auf die Gesundheit anderer gefälschte Atteste vorweisen, um von der Maskenpflicht </w:t>
      </w:r>
      <w:r w:rsidR="00BD06F4">
        <w:t>„</w:t>
      </w:r>
      <w:r>
        <w:t>befreit</w:t>
      </w:r>
      <w:r w:rsidR="00BD06F4">
        <w:t>“</w:t>
      </w:r>
      <w:r>
        <w:t xml:space="preserve"> zu sein. Ein solches Verhalten ist nicht tolerierbar und wird konsequent verfolgt.</w:t>
      </w:r>
    </w:p>
    <w:p w:rsidR="00041CAD" w:rsidRDefault="00041CAD" w:rsidP="00041CAD">
      <w:pPr>
        <w:pStyle w:val="LTAntwortRessortText"/>
      </w:pPr>
      <w:r>
        <w:t xml:space="preserve">Den bayerischen Polizeibeamten stehen grundsätzlich vielfältige Informationswege zur Verfügung, um sich zu aktuellen Kriminalitätsphänomenen im Allgemeinen zu informieren. Diese Möglichkeiten bestehen natürlich auch während der </w:t>
      </w:r>
      <w:r w:rsidR="00BD06F4">
        <w:t>Coronapandemie</w:t>
      </w:r>
      <w:r>
        <w:t xml:space="preserve"> und bilden entsprechend auch die in diesem Zusammenhang relevanten Straftaten ab. Neben einer täglichen Lagedarstellung des eigenen Zuständigkeitsbereichs und anderer Verbände der </w:t>
      </w:r>
      <w:r w:rsidR="0012694F">
        <w:t xml:space="preserve">bayerischen </w:t>
      </w:r>
      <w:r>
        <w:t>Polizei kann bei der Überprüfung von Personen, sofern dies aufgrund einer Eingriffsbefugnis rechtlich zulässig ist, unter anderem auf den Datenbestand der Vorgangsverwaltung der Bayerischen Polizei bzw. das bundesweite Informationssystem der Polizei (INPOL) zurückgegriffen werden. Welche Maßnahme jeweils getroffen wird, obliegt dem Polizeibeamten nach Prüfung des entsprechenden Einzelfalls.</w:t>
      </w:r>
    </w:p>
    <w:p w:rsidR="00041CAD" w:rsidRDefault="00041CAD">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13F90" w:rsidTr="00713F90">
        <w:tc>
          <w:tcPr>
            <w:tcW w:w="1883" w:type="dxa"/>
          </w:tcPr>
          <w:p w:rsidR="00713F90" w:rsidRDefault="00713F90" w:rsidP="00713F90">
            <w:pPr>
              <w:pStyle w:val="LTAnfrageInitiator"/>
            </w:pPr>
            <w:r>
              <w:t>Abgeordneter</w:t>
            </w:r>
            <w:r>
              <w:rPr>
                <w:b/>
              </w:rPr>
              <w:br/>
              <w:t>Maximilian</w:t>
            </w:r>
            <w:r>
              <w:rPr>
                <w:b/>
              </w:rPr>
              <w:br/>
              <w:t>Deisenhofer</w:t>
            </w:r>
            <w:r>
              <w:rPr>
                <w:b/>
              </w:rPr>
              <w:br/>
            </w:r>
            <w:r>
              <w:t>(BÜNDNIS 90/DIE GRÜNEN)</w:t>
            </w:r>
            <w:bookmarkStart w:id="11" w:name="Frage_Nr_5"/>
            <w:bookmarkEnd w:id="11"/>
          </w:p>
        </w:tc>
        <w:tc>
          <w:tcPr>
            <w:tcW w:w="5733" w:type="dxa"/>
          </w:tcPr>
          <w:p w:rsidR="00713F90" w:rsidRPr="006350E5" w:rsidRDefault="00713F90" w:rsidP="00635855">
            <w:pPr>
              <w:pStyle w:val="LTAnfrageText"/>
            </w:pPr>
            <w:r w:rsidRPr="006350E5">
              <w:t xml:space="preserve">Ich frage die Staatsregierung, wie bewertet sie es, dass Staatsminister des Innern, für Sport und Integration Joachim Herrmann für seine, wie eine Nachrichten-Sendung aufbereitete, Podcast-Reihe einen sehr bekannten Moderator des Bayerischen Rundfunks engagiert, wie bewertet die Staatsregierung das Problem, dass durch die Aufmachung des Podcasts wie eine Informationssendung impliziert wird, dass es sich hier um einen redaktionell, nach journalistischen Grundsätzen aufbereiteten Inhalt handelt und nicht um eine politische Werbesendung und wie hoch war die Summe, die </w:t>
            </w:r>
            <w:r w:rsidR="00635855">
              <w:t>Cathy Hummels</w:t>
            </w:r>
            <w:r w:rsidRPr="006350E5">
              <w:t xml:space="preserve"> bezahlt wurde, damit sie sich an diesem Podcast beteiligt?</w:t>
            </w:r>
          </w:p>
        </w:tc>
        <w:tc>
          <w:tcPr>
            <w:tcW w:w="5733" w:type="dxa"/>
          </w:tcPr>
          <w:p w:rsidR="00713F90" w:rsidRDefault="00713F90" w:rsidP="00713F90">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 xml:space="preserve">Die neue Podcast-Reihe </w:t>
      </w:r>
      <w:r w:rsidR="00BD06F4">
        <w:t>„</w:t>
      </w:r>
      <w:r>
        <w:t>Let's talk Innenpolitik mit Joachim Herrmann</w:t>
      </w:r>
      <w:r w:rsidR="00BD06F4">
        <w:t>“</w:t>
      </w:r>
      <w:r>
        <w:t xml:space="preserve"> (</w:t>
      </w:r>
      <w:hyperlink r:id="rId13" w:history="1">
        <w:r w:rsidR="0012694F" w:rsidRPr="0012694F">
          <w:rPr>
            <w:rStyle w:val="LTHyperlinkZchn"/>
            <w:b w:val="0"/>
          </w:rPr>
          <w:t>https://www.innen</w:t>
        </w:r>
        <w:r w:rsidRPr="0012694F">
          <w:rPr>
            <w:rStyle w:val="LTHyperlinkZchn"/>
            <w:b w:val="0"/>
          </w:rPr>
          <w:t>ministerium.bayern.de/med/podcast/</w:t>
        </w:r>
      </w:hyperlink>
      <w:r>
        <w:t>) ist ein Format der Öffentlichkeitsarbeit des Staatsministeriums des Innern, für Sport und Integration. Ziel ist, neue vor allem jüngere Zielgruppen für Themen des Innenministeriums zu erschließen und über Herausforderungen und Lösungen zu informieren. So wurde in der ersten Folge mit Cathy Hum</w:t>
      </w:r>
      <w:r w:rsidR="0012694F">
        <w:t>mels und einem Experten des Lan</w:t>
      </w:r>
      <w:r>
        <w:t xml:space="preserve">deskriminalamts das Thema </w:t>
      </w:r>
      <w:r w:rsidR="00BD06F4">
        <w:t>„</w:t>
      </w:r>
      <w:r>
        <w:t>Hate Speech</w:t>
      </w:r>
      <w:r w:rsidR="00BD06F4">
        <w:t>“</w:t>
      </w:r>
      <w:r>
        <w:t xml:space="preserve"> besprochen. Die bisherigen Reaktionen zeigen, dass wir tatsächlich neue Zielgruppen über Fakten und Hilfsangebote zu diesem wichtigen Thema informieren konnten.</w:t>
      </w:r>
    </w:p>
    <w:p w:rsidR="00041CAD" w:rsidRDefault="00041CAD" w:rsidP="00041CAD">
      <w:pPr>
        <w:pStyle w:val="LTAntwortRessortText"/>
      </w:pPr>
      <w:r>
        <w:t>Um die Ziele des Podcast</w:t>
      </w:r>
      <w:r w:rsidR="0012694F">
        <w:t>s</w:t>
      </w:r>
      <w:r>
        <w:t xml:space="preserve"> zu verwirklichen, ist eine professionelle Moderation unerlässlich. Die erste Folge wurde daher von einem Hörfunk- und Radiomoderator gestaltet, der hier nicht in seiner Eigenschaft als BR-Moderator, sondern als freier Dienst</w:t>
      </w:r>
      <w:r w:rsidR="0012694F">
        <w:t>leister tätig war –</w:t>
      </w:r>
      <w:r>
        <w:t xml:space="preserve"> wie sonst auch für andere Auftraggeber.</w:t>
      </w:r>
    </w:p>
    <w:p w:rsidR="00041CAD" w:rsidRDefault="00041CAD" w:rsidP="00041CAD">
      <w:pPr>
        <w:pStyle w:val="LTAntwortRessortText"/>
      </w:pPr>
      <w:r>
        <w:t>D</w:t>
      </w:r>
      <w:r w:rsidR="0012694F">
        <w:t>as Erscheinungsbild des Podcasts</w:t>
      </w:r>
      <w:r>
        <w:t xml:space="preserve"> ist dabei keineswegs darauf ausgelegt, mit einer Nachrichtensendung verwechselt zu werden. Im Gegenteil wird auf allen Plattformen explizit darauf hingewiesen, dass es sich um eine Produktion des Innenministeriums handelt.</w:t>
      </w:r>
    </w:p>
    <w:p w:rsidR="00041CAD" w:rsidRDefault="00041CAD" w:rsidP="00041CAD">
      <w:pPr>
        <w:pStyle w:val="LTAntwortRessortText"/>
      </w:pPr>
      <w:r>
        <w:t>Frau Hummels hat für die Mitwirkung an der Produktion des Podcasts 1.200 Euro erhalten.</w:t>
      </w:r>
    </w:p>
    <w:p w:rsidR="00041CAD" w:rsidRDefault="00041CAD">
      <w:bookmarkStart w:id="12" w:name="Frage_Nr_5_Ende"/>
      <w:bookmarkEnd w:id="1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D4F92" w:rsidTr="005D4F92">
        <w:tc>
          <w:tcPr>
            <w:tcW w:w="1852" w:type="dxa"/>
          </w:tcPr>
          <w:p w:rsidR="005D4F92" w:rsidRDefault="005D4F92" w:rsidP="005D4F92">
            <w:pPr>
              <w:pStyle w:val="LTAnfrageInitiator"/>
            </w:pPr>
            <w:r>
              <w:t>Abgeordneter</w:t>
            </w:r>
            <w:r>
              <w:rPr>
                <w:b/>
              </w:rPr>
              <w:br/>
              <w:t>Dr. Helmut</w:t>
            </w:r>
            <w:r>
              <w:rPr>
                <w:b/>
              </w:rPr>
              <w:br/>
              <w:t>Kaltenhauser</w:t>
            </w:r>
            <w:r>
              <w:rPr>
                <w:b/>
              </w:rPr>
              <w:br/>
            </w:r>
            <w:r>
              <w:t>(FDP)</w:t>
            </w:r>
            <w:bookmarkStart w:id="13" w:name="Frage_Nr_6"/>
            <w:bookmarkEnd w:id="13"/>
          </w:p>
        </w:tc>
        <w:tc>
          <w:tcPr>
            <w:tcW w:w="5764" w:type="dxa"/>
          </w:tcPr>
          <w:p w:rsidR="005D4F92" w:rsidRPr="006350E5" w:rsidRDefault="005D4F92" w:rsidP="006350E5">
            <w:pPr>
              <w:pStyle w:val="LTAnfrageText"/>
            </w:pPr>
            <w:r w:rsidRPr="006350E5">
              <w:t>Ich frage die Staatsregierung, über welchen Zeitraum es eine Kooperation des Bayerischen Landeskriminalamts mit der Wirecard AG gab, auf welche Bereiche sich diese erstreckt hat und wer darin seitens der Staatsregierung eingebunden war?</w:t>
            </w:r>
          </w:p>
        </w:tc>
        <w:tc>
          <w:tcPr>
            <w:tcW w:w="5764" w:type="dxa"/>
          </w:tcPr>
          <w:p w:rsidR="005D4F92" w:rsidRDefault="005D4F92" w:rsidP="005D4F92">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Es gab keine Kooperation des Bayerischen Landeskriminalamtes mit der Wirecard AG.</w:t>
      </w:r>
    </w:p>
    <w:p w:rsidR="00041CAD" w:rsidRDefault="00041CAD">
      <w:bookmarkStart w:id="14" w:name="Frage_Nr_6_Ende"/>
      <w:bookmarkEnd w:id="1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5D4F92" w:rsidTr="005D4F92">
        <w:tc>
          <w:tcPr>
            <w:tcW w:w="1860" w:type="dxa"/>
          </w:tcPr>
          <w:p w:rsidR="005D4F92" w:rsidRDefault="005D4F92" w:rsidP="005D4F92">
            <w:pPr>
              <w:pStyle w:val="LTAnfrageInitiator"/>
            </w:pPr>
            <w:r>
              <w:t>Abgeordneter</w:t>
            </w:r>
            <w:r>
              <w:rPr>
                <w:b/>
              </w:rPr>
              <w:br/>
              <w:t>Christoph</w:t>
            </w:r>
            <w:r>
              <w:rPr>
                <w:b/>
              </w:rPr>
              <w:br/>
              <w:t>Maier</w:t>
            </w:r>
            <w:r>
              <w:rPr>
                <w:b/>
              </w:rPr>
              <w:br/>
            </w:r>
            <w:r>
              <w:t>(AfD)</w:t>
            </w:r>
            <w:bookmarkStart w:id="15" w:name="Frage_Nr_7"/>
            <w:bookmarkEnd w:id="15"/>
          </w:p>
        </w:tc>
        <w:tc>
          <w:tcPr>
            <w:tcW w:w="5756" w:type="dxa"/>
          </w:tcPr>
          <w:p w:rsidR="005D4F92" w:rsidRPr="006350E5" w:rsidRDefault="005D4F92" w:rsidP="006350E5">
            <w:pPr>
              <w:pStyle w:val="LTAnfrageText"/>
            </w:pPr>
            <w:r w:rsidRPr="006350E5">
              <w:t>Vor dem Hintergrund der Tatsache, dass am</w:t>
            </w:r>
            <w:r w:rsidR="001938BE">
              <w:t xml:space="preserve"> vergangenen Samstag, den 17. April </w:t>
            </w:r>
            <w:r w:rsidRPr="006350E5">
              <w:t xml:space="preserve">2021 mit „Kempten gegen rechts“ nachweislich eine linksradikale Gruppierung (vgl. </w:t>
            </w:r>
            <w:hyperlink r:id="rId14" w:history="1">
              <w:r w:rsidRPr="0012694F">
                <w:rPr>
                  <w:rStyle w:val="LTHyperlinkZchn"/>
                  <w:b w:val="0"/>
                </w:rPr>
                <w:t>https://www.maier-christoph.de/post/geplante-demo-in-kempten-wer-steckt-hinter-kempten-gegen-rechts</w:t>
              </w:r>
            </w:hyperlink>
            <w:r w:rsidRPr="006350E5">
              <w:t>) zu einer Gegendemonstration zur Querdenker-Bewegung aufrief und trotz Verbots linke Gegendemonstranten am Samstag in Kempten aufmarschierten, frage ich die Staatsregierung, zu welchen Rechtsverstößen es auf Seiten der Gegendemonstranten kam, wie diese Verstöße geahndet wurden und ob der Staatsregierung Erkenntnisse dahingehend vorliegen, welche linksextremistischen Gruppierungen bzw. Personen zu der Gegendemonstration mobilisierten respektive daran teilnahmen? </w:t>
            </w:r>
          </w:p>
        </w:tc>
        <w:tc>
          <w:tcPr>
            <w:tcW w:w="5756" w:type="dxa"/>
          </w:tcPr>
          <w:p w:rsidR="005D4F92" w:rsidRDefault="005D4F92" w:rsidP="005D4F92">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Nach Auskunft des einsatzführenden Polizeipräsidiums Schwaben Süd/West wurde eine Gruppe von vier Personen, die nach polizeilichen Erkenntnis</w:t>
      </w:r>
      <w:r w:rsidR="001938BE">
        <w:t>sen dem linksorientierten Spekt</w:t>
      </w:r>
      <w:r>
        <w:t>rum zugerechnet werden kann, in polizeilichen Gewahrsam genommen, als sie trotz vorheriger Belehrung an einer verbotenen Versammlung in Kempten teilnehmen wollte.</w:t>
      </w:r>
    </w:p>
    <w:p w:rsidR="00041CAD" w:rsidRDefault="00041CAD" w:rsidP="00041CAD">
      <w:pPr>
        <w:pStyle w:val="LTAntwortRessortText"/>
      </w:pPr>
      <w:r>
        <w:t>Im Zusammenhang mit der hier gegenständlichen Versammlungslage wurden nach Auskunft des Polizeipräsidiums Schwaben Süd/West insgesamt 295 Ordnungswidrigkeiten und sieben Straftaten nach derzeitigem Kenntnisstand zur Anzeige gebracht. Darüber hinaus erstatteten zwei Personen der Querdenker-Szene Anzeige wegen Freiheitsberaubung. Wie viele der Anzeigen konkret auf Teilnehmer opponierender Personengruppen entfielen, ist nicht bekannt. Nach Auskunft des Polizeipräsidiums Schwaben Süd/West entfiel allerdings die weit überwiegende Anzahl der vorgenannten Ver</w:t>
      </w:r>
      <w:r w:rsidR="001938BE">
        <w:t>stöße auf Angehörige des corona</w:t>
      </w:r>
      <w:r>
        <w:t>kritischen Spektrums.</w:t>
      </w:r>
    </w:p>
    <w:p w:rsidR="00041CAD" w:rsidRDefault="00041CAD" w:rsidP="00041CAD">
      <w:pPr>
        <w:pStyle w:val="LTAntwortRessortText"/>
      </w:pPr>
      <w:r>
        <w:t>Zur Ahndung der jeweiligen Verstöße liegen keine weiteren Erkenntnisse vor.</w:t>
      </w:r>
    </w:p>
    <w:p w:rsidR="00041CAD" w:rsidRDefault="00041CAD" w:rsidP="00041CAD">
      <w:pPr>
        <w:pStyle w:val="LTAntwortRessortText"/>
      </w:pPr>
      <w:r>
        <w:t>Es darf vorsorglich darauf hingewiesen werden, dass weder in der Polizeilichen Kriminalstatistik (PKS) noch dem Kriminalpolizeilichen Meldedienst in Fällen Politisch Motivierter Kriminalität (KPMD-PMK), die nach bundesweit einheitlichen Kriterien geführt wird, noch im Vorg</w:t>
      </w:r>
      <w:r w:rsidR="001938BE">
        <w:t>angsverwaltungssystem der bayerischen</w:t>
      </w:r>
      <w:r>
        <w:t xml:space="preserve"> Polizei (IGVP) explizite, valide Rechercheparameter vorhanden sind, die eine automatisierte statistische Auswertung </w:t>
      </w:r>
      <w:r w:rsidR="001938BE">
        <w:t>im Sinne der Fragestellungen er</w:t>
      </w:r>
      <w:r>
        <w:t>möglichen würden.</w:t>
      </w:r>
    </w:p>
    <w:p w:rsidR="00041CAD" w:rsidRDefault="00041CAD" w:rsidP="00041CAD">
      <w:pPr>
        <w:pStyle w:val="LTAntwortRessortText"/>
      </w:pPr>
      <w:r>
        <w:t xml:space="preserve">Zu der Veranstaltung hatte im Vorfeld die linksextremistische Gruppierung </w:t>
      </w:r>
      <w:r w:rsidR="00BD06F4">
        <w:t>„</w:t>
      </w:r>
      <w:r>
        <w:t>Sozialrevolutionäre Aktion</w:t>
      </w:r>
      <w:r w:rsidR="00BD06F4">
        <w:t>“</w:t>
      </w:r>
      <w:r>
        <w:t xml:space="preserve"> (SRA) in den sozialen Medien mobilisiert. Zum Hintergrund der SRA wird auf den Verfassungsschutzbericht Bayern 2020, S. 275 f. verwiesen, der am 19. April 2021 der Öffentlichkeit vorgestellt wurde.</w:t>
      </w:r>
    </w:p>
    <w:p w:rsidR="00041CAD" w:rsidRDefault="00041CAD" w:rsidP="0030534E">
      <w:pPr>
        <w:pStyle w:val="LTAntwortRessortText"/>
      </w:pPr>
      <w:r>
        <w:t>Dem Landesamt für Verfassungsschutz liegen bislang keine Erkenntnisse über eine tatsächliche Teilnahme der SRA oder anderer linksextremistischer Gruppierungen an der Veranstaltung vom 17. April 2021 in Kempten vor.</w:t>
      </w:r>
      <w:bookmarkStart w:id="16" w:name="Frage_Nr_7_Ende"/>
      <w:bookmarkEnd w:id="1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D4F92" w:rsidTr="005D4F92">
        <w:tc>
          <w:tcPr>
            <w:tcW w:w="1854" w:type="dxa"/>
          </w:tcPr>
          <w:p w:rsidR="005D4F92" w:rsidRDefault="005D4F92" w:rsidP="005D4F92">
            <w:pPr>
              <w:pStyle w:val="LTAnfrageInitiator"/>
            </w:pPr>
            <w:r>
              <w:t>Abgeordneter</w:t>
            </w:r>
            <w:r>
              <w:rPr>
                <w:b/>
              </w:rPr>
              <w:br/>
              <w:t>Alexander</w:t>
            </w:r>
            <w:r>
              <w:rPr>
                <w:b/>
              </w:rPr>
              <w:br/>
              <w:t>Muthmann</w:t>
            </w:r>
            <w:r>
              <w:rPr>
                <w:b/>
              </w:rPr>
              <w:br/>
            </w:r>
            <w:r>
              <w:t>(FDP)</w:t>
            </w:r>
            <w:bookmarkStart w:id="17" w:name="Frage_Nr_8"/>
            <w:bookmarkEnd w:id="17"/>
          </w:p>
        </w:tc>
        <w:tc>
          <w:tcPr>
            <w:tcW w:w="5762" w:type="dxa"/>
          </w:tcPr>
          <w:p w:rsidR="005D4F92" w:rsidRPr="006350E5" w:rsidRDefault="005D4F92" w:rsidP="006350E5">
            <w:pPr>
              <w:pStyle w:val="LTAnfrageText"/>
            </w:pPr>
            <w:r w:rsidRPr="006350E5">
              <w:t>Nachdem das Staatsministerium des Innern, für Sport und Inte</w:t>
            </w:r>
            <w:r w:rsidR="001938BE">
              <w:t xml:space="preserve">gration mit Schreiben vom 16. März </w:t>
            </w:r>
            <w:r w:rsidRPr="006350E5">
              <w:t>2021 zeitnah „gesonderte Anwendungshinweise“ zu den neuen Regelungen einer Sitzungsteilnahme durch Ton-Bild-Übertragungen in kommunalen Gremien angekündigt hatte, frage ich die Staatsregierung, wann diese veröffentlicht werden und welchen Wortlaut der Fragenkatalog der kommunalen Spitzenverbände zu diesen Detailfragen hat?</w:t>
            </w:r>
          </w:p>
        </w:tc>
        <w:tc>
          <w:tcPr>
            <w:tcW w:w="5762" w:type="dxa"/>
          </w:tcPr>
          <w:p w:rsidR="005D4F92" w:rsidRDefault="005D4F92" w:rsidP="005D4F92">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 xml:space="preserve">Das Staatsministerium des Innern, für Sport und Integration </w:t>
      </w:r>
      <w:r w:rsidR="001938BE">
        <w:t xml:space="preserve">(StMI) </w:t>
      </w:r>
      <w:r>
        <w:t xml:space="preserve">hat mit Schreiben vom 16. März 2021 angekündigt, Anwendungshinweise zu der durch das Gesetz zur Änderung der Gemeindeordnung, Landkreisordnung, Bezirksordnung und weiterer Gesetze zur Bewältigung der </w:t>
      </w:r>
      <w:r w:rsidR="00BD06F4">
        <w:t>Coronapandemie</w:t>
      </w:r>
      <w:r>
        <w:t xml:space="preserve"> geschaffenen Möglichkeit einer Sitzungsteilnahme durch Ton-Bild-Übertragung herauszugeben.</w:t>
      </w:r>
    </w:p>
    <w:p w:rsidR="00041CAD" w:rsidRDefault="00041CAD" w:rsidP="00041CAD">
      <w:pPr>
        <w:pStyle w:val="LTAntwortRessortText"/>
      </w:pPr>
      <w:r>
        <w:t xml:space="preserve">Der Entwurf der Anwendungshinweise befindet sich in der finalen Abstimmung mit den Kommunalen Spitzenverbänden. Das </w:t>
      </w:r>
      <w:r w:rsidR="001938BE">
        <w:t xml:space="preserve">StMI </w:t>
      </w:r>
      <w:r>
        <w:t>geht davon aus, die Anwendungshinweise zeitnah veröffentlichen zu können.</w:t>
      </w:r>
    </w:p>
    <w:p w:rsidR="00041CAD" w:rsidRDefault="00041CAD" w:rsidP="00041CAD">
      <w:pPr>
        <w:pStyle w:val="LTAntwortRessortText"/>
      </w:pPr>
      <w:r>
        <w:t>Der Fragenkatalog</w:t>
      </w:r>
      <w:r w:rsidR="001938BE">
        <w:t>*)</w:t>
      </w:r>
      <w:r>
        <w:t xml:space="preserve"> der Kommunalen Spitzenverbände liegt dieser Antwort bei.</w:t>
      </w:r>
    </w:p>
    <w:p w:rsidR="00041CAD" w:rsidRDefault="0030534E" w:rsidP="00041CAD">
      <w:pPr>
        <w:pStyle w:val="LTAntwortRessortText"/>
      </w:pPr>
      <w:r>
        <w:t>*) Von einem Abdr</w:t>
      </w:r>
      <w:r w:rsidR="001938BE">
        <w:t>uck wurde abgesehen. Die Anlage</w:t>
      </w:r>
      <w:r>
        <w:t xml:space="preserve"> ist als pdf-Dokument </w:t>
      </w:r>
      <w:hyperlink r:id="rId15" w:history="1">
        <w:r w:rsidRPr="00701E38">
          <w:rPr>
            <w:rStyle w:val="LTHyperlinkZchn"/>
            <w:b w:val="0"/>
          </w:rPr>
          <w:t>hier</w:t>
        </w:r>
      </w:hyperlink>
      <w:r>
        <w:t xml:space="preserve"> einsehbar.</w:t>
      </w:r>
    </w:p>
    <w:p w:rsidR="0030534E" w:rsidRDefault="0030534E" w:rsidP="00041CAD">
      <w:pPr>
        <w:pStyle w:val="LTAntwortRessortText"/>
      </w:pPr>
    </w:p>
    <w:p w:rsidR="00041CAD" w:rsidRDefault="00041CAD">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120FC" w:rsidTr="00B120FC">
        <w:tc>
          <w:tcPr>
            <w:tcW w:w="1854" w:type="dxa"/>
          </w:tcPr>
          <w:p w:rsidR="00B120FC" w:rsidRDefault="00B120FC" w:rsidP="00B120FC">
            <w:pPr>
              <w:pStyle w:val="LTAnfrageInitiator"/>
            </w:pPr>
            <w:r>
              <w:t>Abgeordneter</w:t>
            </w:r>
            <w:r>
              <w:rPr>
                <w:b/>
              </w:rPr>
              <w:br/>
              <w:t>Markus</w:t>
            </w:r>
            <w:r>
              <w:rPr>
                <w:b/>
              </w:rPr>
              <w:br/>
              <w:t>Rinderspacher</w:t>
            </w:r>
            <w:r>
              <w:rPr>
                <w:b/>
              </w:rPr>
              <w:br/>
            </w:r>
            <w:r>
              <w:t>(SPD)</w:t>
            </w:r>
            <w:bookmarkStart w:id="19" w:name="Frage_Nr_9"/>
            <w:bookmarkEnd w:id="19"/>
          </w:p>
        </w:tc>
        <w:tc>
          <w:tcPr>
            <w:tcW w:w="5762" w:type="dxa"/>
          </w:tcPr>
          <w:p w:rsidR="00B120FC" w:rsidRPr="006350E5" w:rsidRDefault="00B120FC" w:rsidP="006350E5">
            <w:pPr>
              <w:pStyle w:val="LTAnfrageText"/>
            </w:pPr>
            <w:r w:rsidRPr="006350E5">
              <w:t>Ich frage die Staatsregierung, wie viele islamfeindliche Straftaten wurden in Bayern seit 2016 verübt (bitte einzelne Delikte detailliert darstellen und nach Jahren, Anzahl, Art und Motivation der Straftaten aufschlüsseln), welchem</w:t>
            </w:r>
            <w:r w:rsidR="00574ECD">
              <w:t xml:space="preserve"> Phänomenbereich der Politisch M</w:t>
            </w:r>
            <w:r w:rsidRPr="006350E5">
              <w:t>otivierten Kriminalität wurden diese Straftaten zugeordnet und wie viele Tatverdächtige wurden wegen islamfeindlicher Straftaten seit 2016 festgenommen (bitte nach Jahren, Art und Motivation der Straftaten aufschlüsseln)?</w:t>
            </w:r>
          </w:p>
        </w:tc>
        <w:tc>
          <w:tcPr>
            <w:tcW w:w="5762" w:type="dxa"/>
          </w:tcPr>
          <w:p w:rsidR="00B120FC" w:rsidRDefault="00B120FC" w:rsidP="00B120FC">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 xml:space="preserve">Die in den Anlagen dargestellten Rechercheergebnisse des Landeskriminalamts (BLKA) beruhen auf dem bundesweit einheitlichen Kriminalpolizeilichen Meldedienst in Fällen Politisch Motivierter Kriminalität (KPMD-PMK). In der Fallzahlendatenbank des KPMD-PMK wurde zum 1. Januar 2017 bundesweit das Unterthemenfeld </w:t>
      </w:r>
      <w:r w:rsidR="00BD06F4">
        <w:t>„</w:t>
      </w:r>
      <w:r>
        <w:t>Islamfeindlich</w:t>
      </w:r>
      <w:r w:rsidR="00BD06F4">
        <w:t>“</w:t>
      </w:r>
      <w:r>
        <w:t xml:space="preserve"> eingeführt, entsprechende Recherchen sind demnach erst ab diesem Zeitpunkt möglich.</w:t>
      </w:r>
    </w:p>
    <w:p w:rsidR="00041CAD" w:rsidRDefault="00041CAD" w:rsidP="00041CAD">
      <w:pPr>
        <w:pStyle w:val="LTAntwortRessortText"/>
      </w:pPr>
      <w:r>
        <w:t>Im KPMD-PMK wurden für das Jahr 2017 133 islamfeindliche Straftaten, für das Jahr 2018 154 islamfeindliche Straftaten, für das Jahr 2019 127 islamfeindliche Straftaten sowie für das Jahr 2020 132 islamfeindliche Straftaten erfasst. Die weitergehenden Informationen können den Anlagen entnommen werden.</w:t>
      </w:r>
    </w:p>
    <w:p w:rsidR="00041CAD" w:rsidRDefault="00041CAD" w:rsidP="00041CAD">
      <w:pPr>
        <w:pStyle w:val="LTAntwortRessortText"/>
      </w:pPr>
      <w:r>
        <w:t>Bezüglich der Teilfrage zur Anzahl der festgenommenen Tatverdächtigen im Hinblick auf die in der Anlage</w:t>
      </w:r>
      <w:r w:rsidR="000E79DF">
        <w:t>*)</w:t>
      </w:r>
      <w:r>
        <w:t xml:space="preserve"> dargestellten Delikte kann keine valide Aussage getroffen werden. Weder im KPMD-PMK, noch in der Polizeilichen Kriminalstatistik (PKS) </w:t>
      </w:r>
      <w:r w:rsidR="000E79DF">
        <w:br/>
        <w:t>oder im Vorgangsverwaltungssystem der bayerischen</w:t>
      </w:r>
      <w:r>
        <w:t xml:space="preserve"> Polizei (IGVP) sind explizite, valide Rechercheparameter vorhanden, die eine automatisierte statistische Auswertung nach festgen</w:t>
      </w:r>
      <w:r w:rsidR="000E79DF">
        <w:t>ommenen Tatverdächtigen ermögli</w:t>
      </w:r>
      <w:r>
        <w:t>chen würden.</w:t>
      </w:r>
    </w:p>
    <w:p w:rsidR="00041CAD" w:rsidRDefault="0030534E" w:rsidP="00041CAD">
      <w:pPr>
        <w:pStyle w:val="LTAntwortRessortText"/>
      </w:pPr>
      <w:r>
        <w:t>*) Von einem Abdru</w:t>
      </w:r>
      <w:r w:rsidR="000E79DF">
        <w:t>ck wurde abgesehen. Die Anlage</w:t>
      </w:r>
      <w:r>
        <w:t xml:space="preserve"> ist als pdf-Dokument </w:t>
      </w:r>
      <w:hyperlink r:id="rId16" w:history="1">
        <w:r w:rsidRPr="00C2586B">
          <w:rPr>
            <w:rStyle w:val="LTHyperlinkZchn"/>
            <w:b w:val="0"/>
          </w:rPr>
          <w:t>hier</w:t>
        </w:r>
      </w:hyperlink>
      <w:r>
        <w:t xml:space="preserve"> einsehbar.</w:t>
      </w:r>
    </w:p>
    <w:p w:rsidR="0030534E" w:rsidRDefault="0030534E" w:rsidP="00041CAD">
      <w:pPr>
        <w:pStyle w:val="LTAntwortRessortText"/>
      </w:pPr>
    </w:p>
    <w:p w:rsidR="00041CAD" w:rsidRDefault="00041CAD">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120FC" w:rsidTr="00B120FC">
        <w:tc>
          <w:tcPr>
            <w:tcW w:w="1883" w:type="dxa"/>
          </w:tcPr>
          <w:p w:rsidR="00B120FC" w:rsidRDefault="00B120FC" w:rsidP="00B120FC">
            <w:pPr>
              <w:pStyle w:val="LTAnfrageInitiator"/>
            </w:pPr>
            <w:r>
              <w:t>Abgeordneter</w:t>
            </w:r>
            <w:r>
              <w:rPr>
                <w:b/>
              </w:rPr>
              <w:br/>
              <w:t>Dr. Martin</w:t>
            </w:r>
            <w:r>
              <w:rPr>
                <w:b/>
              </w:rPr>
              <w:br/>
              <w:t>Runge</w:t>
            </w:r>
            <w:r>
              <w:rPr>
                <w:b/>
              </w:rPr>
              <w:br/>
            </w:r>
            <w:r>
              <w:t>(BÜNDNIS 90/DIE GRÜNEN)</w:t>
            </w:r>
            <w:bookmarkStart w:id="21" w:name="Frage_Nr_10"/>
            <w:bookmarkEnd w:id="21"/>
          </w:p>
        </w:tc>
        <w:tc>
          <w:tcPr>
            <w:tcW w:w="5733" w:type="dxa"/>
          </w:tcPr>
          <w:p w:rsidR="00B120FC" w:rsidRPr="006350E5" w:rsidRDefault="00B120FC" w:rsidP="006350E5">
            <w:pPr>
              <w:pStyle w:val="LTAnfrageText"/>
            </w:pPr>
            <w:r w:rsidRPr="006350E5">
              <w:t xml:space="preserve">Ich frage die Staatsregierung, wurden ehemaligen Mitgliedern der Staatsregierung Dauerparkausweise für den Bereich vor und zwischen den Gebäuden des Staatsministeriums der </w:t>
            </w:r>
            <w:r w:rsidR="000E79DF">
              <w:br/>
            </w:r>
            <w:r w:rsidRPr="006350E5">
              <w:t>Finanzen und für Heimat (Odeonsplatz 4) und des Staatsministeriums des Innern, für Sport und Integration (Odeonsplatz 3) ausgestellt und, falls ja, welchen ehemaligen Mitgliedern der Staatsregierung wurden derartige Parkausweise ausgestellt und wer war/ist zuständig für das Ausstellen derartiger Parkausweise für ehemalige Mitglieder der Staatsregierung?</w:t>
            </w:r>
          </w:p>
        </w:tc>
        <w:tc>
          <w:tcPr>
            <w:tcW w:w="5733" w:type="dxa"/>
          </w:tcPr>
          <w:p w:rsidR="00B120FC" w:rsidRDefault="00B120FC" w:rsidP="00B120FC">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Die in der Anfrage angesprochene Parkfläche gehört teilweise zum Sicherheitsbereich des Staatsministeriums des Innern, für Sport und Integration (StMI). Insoweit ist das StMI auch für die Erteilung von Parkausweisen zuständig. Da die Beschäftigten des Staatsministeriums der Finanzen und für Heimat (StMFH) in der dortigen Tiefgarage parken können, das StMI selbst aber keine Tiefgarage hat, kam man überein, dass das StMI grundsätzlich auch über die Parkberechtigungen im Bereich des St</w:t>
      </w:r>
      <w:r w:rsidR="000E79DF">
        <w:t>aatsministeriums der Finanzen und für Heimat (St</w:t>
      </w:r>
      <w:r>
        <w:t>MFH</w:t>
      </w:r>
      <w:r w:rsidR="000E79DF">
        <w:t>)</w:t>
      </w:r>
      <w:r>
        <w:t xml:space="preserve"> entscheidet.</w:t>
      </w:r>
    </w:p>
    <w:p w:rsidR="00041CAD" w:rsidRDefault="00041CAD" w:rsidP="00041CAD">
      <w:pPr>
        <w:pStyle w:val="LTAntwortRessortText"/>
      </w:pPr>
      <w:r>
        <w:t>Ehemalige Beschäftigte des StMI, die unmittelbar nach ih</w:t>
      </w:r>
      <w:r w:rsidR="000E79DF">
        <w:t>rem Ausscheiden aus dem Ministe</w:t>
      </w:r>
      <w:r>
        <w:t>rium in den Ruhestand gehen, dürfen unabhängig von ihrer Funktion im Haus</w:t>
      </w:r>
      <w:r w:rsidR="000E79DF">
        <w:t>e gelegentlich wochentags ab 17.00 Uhr – im Rahmen freier Kapazitäten –</w:t>
      </w:r>
      <w:r>
        <w:t xml:space="preserve"> und an den Wochenenden im fraglichen Bereich parken. Sie müssen sich an der Pforte melden und ausweisen; sie erhalten dann einen Tagesparkausweis. Sollten ehemalige Staatsminister oder Staatssekretäre aus dem StMI eine (Dauer-)Parkerlaubnis wünschen, wird man ihnen diese nicht verwehren. Dauerparkerlaubnisse für die fragliche Fläche haben bisher lediglich zwei ehemalige Angehörige der</w:t>
      </w:r>
      <w:r w:rsidR="0030534E">
        <w:t xml:space="preserve"> </w:t>
      </w:r>
      <w:r>
        <w:t>Staatsregierung aus dem StMFH (Staatsminister a.</w:t>
      </w:r>
      <w:r w:rsidR="000E79DF">
        <w:t> </w:t>
      </w:r>
      <w:r>
        <w:t>D. Freiherr</w:t>
      </w:r>
      <w:r w:rsidR="000E79DF">
        <w:t xml:space="preserve"> von Waldenfels und Staatsminis</w:t>
      </w:r>
      <w:r>
        <w:t>ter a.</w:t>
      </w:r>
      <w:r w:rsidR="000E79DF">
        <w:t> </w:t>
      </w:r>
      <w:r>
        <w:t>D. Prof. Dr. Faltlhauser) erhalten.</w:t>
      </w:r>
    </w:p>
    <w:p w:rsidR="00041CAD" w:rsidRDefault="00041CAD" w:rsidP="00041CAD">
      <w:pPr>
        <w:pStyle w:val="LTAntwortRessortText"/>
      </w:pPr>
      <w:r>
        <w:t>Die Erlaubnisse garantieren keinen festen Parkplatz, sie erleichtern der Wache im StMI lediglich die Überprüfung der Parkberechtigung.</w:t>
      </w:r>
    </w:p>
    <w:p w:rsidR="00041CAD" w:rsidRDefault="00041CAD">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CAD" w:rsidTr="00BD7CAD">
        <w:tc>
          <w:tcPr>
            <w:tcW w:w="1883" w:type="dxa"/>
          </w:tcPr>
          <w:p w:rsidR="00BD7CAD" w:rsidRDefault="00BD7CAD" w:rsidP="00BD7CAD">
            <w:pPr>
              <w:pStyle w:val="LTAnfrageInitiator"/>
            </w:pPr>
            <w:r>
              <w:t>Abgeordneter</w:t>
            </w:r>
            <w:r>
              <w:rPr>
                <w:b/>
              </w:rPr>
              <w:br/>
              <w:t>Florian</w:t>
            </w:r>
            <w:r>
              <w:rPr>
                <w:b/>
              </w:rPr>
              <w:br/>
              <w:t>Siekmann</w:t>
            </w:r>
            <w:r>
              <w:rPr>
                <w:b/>
              </w:rPr>
              <w:br/>
            </w:r>
            <w:r>
              <w:t>(BÜNDNIS 90/DIE GRÜNEN)</w:t>
            </w:r>
            <w:bookmarkStart w:id="23" w:name="Frage_Nr_11"/>
            <w:bookmarkEnd w:id="23"/>
          </w:p>
        </w:tc>
        <w:tc>
          <w:tcPr>
            <w:tcW w:w="5733" w:type="dxa"/>
          </w:tcPr>
          <w:p w:rsidR="00BD7CAD" w:rsidRPr="006350E5" w:rsidRDefault="00BD7CAD" w:rsidP="006350E5">
            <w:pPr>
              <w:pStyle w:val="LTAnfrageText"/>
            </w:pPr>
            <w:r w:rsidRPr="006350E5">
              <w:t>Ich frage die Staatsregierung, inwiefern fördert oder unterstützt sie die Schaffung von Stellen, Ämtern oder Referaten in bayerischen Kommunen, die sich gezielt mit der Einwerbung von EU-Fördermitteln beschäftigen und welche Unterstützung leistet die Staatsregierung unmittelbar gegenüber Kommunen bei der Einwerbung von EU-Förderung? </w:t>
            </w:r>
          </w:p>
        </w:tc>
        <w:tc>
          <w:tcPr>
            <w:tcW w:w="5733" w:type="dxa"/>
          </w:tcPr>
          <w:p w:rsidR="00BD7CAD" w:rsidRDefault="00BD7CAD" w:rsidP="00BD7CAD">
            <w:pPr>
              <w:pStyle w:val="LTAnfrageText"/>
            </w:pPr>
          </w:p>
        </w:tc>
      </w:tr>
    </w:tbl>
    <w:p w:rsidR="00041CAD" w:rsidRDefault="00041CAD" w:rsidP="00041CAD">
      <w:pPr>
        <w:pStyle w:val="LTUeberschrAntwortRessort"/>
      </w:pPr>
      <w:r>
        <w:t>Antwort des Staatsministeriums des Innern, für Sport und Integration</w:t>
      </w:r>
    </w:p>
    <w:p w:rsidR="00041CAD" w:rsidRDefault="00041CAD" w:rsidP="00041CAD">
      <w:pPr>
        <w:pStyle w:val="LTAntwortRessortText"/>
      </w:pPr>
      <w:r>
        <w:t>Dem Staatsministerium des Innern, für Sport und Integration liegen hierzu keine eigenen, unmittelbaren Erkenntnisse vor, da die Förderung von Personalkosten im Rahmen von bzw. zur Abwicklung von EU-Förderprogrammen regelmäßig dem dazugehörigen Fachrecht entspringt.</w:t>
      </w:r>
    </w:p>
    <w:p w:rsidR="00041CAD" w:rsidRDefault="00041CAD" w:rsidP="00041CAD">
      <w:pPr>
        <w:pStyle w:val="LTAntwortRessortText"/>
      </w:pPr>
      <w:r>
        <w:t>Für die einschlägigen Fachbereiche der Staatsregierung kann ich Folgendes mitteilen:</w:t>
      </w:r>
    </w:p>
    <w:p w:rsidR="00041CAD" w:rsidRDefault="00041CAD" w:rsidP="00041CAD">
      <w:pPr>
        <w:pStyle w:val="LTAntwortRessortText"/>
      </w:pPr>
      <w:r>
        <w:t>Im Geschäftsbereich des Staatsministeriums für Wohnen, Bau und Verkehr beraten und begleiten die Städtebau-Sachgebiete an den Bezirksregierungen die bayerischen Kommunen bei der Akquise europäischer Fördermittel für Maßnahmen der nachhaltigen Stadtentwicklung im Rahmen des Europäischen Fonds für Regionale Entwicklung (EFRE).</w:t>
      </w:r>
    </w:p>
    <w:p w:rsidR="00041CAD" w:rsidRDefault="00041CAD" w:rsidP="00041CAD">
      <w:pPr>
        <w:pStyle w:val="LTAntwortRessortText"/>
      </w:pPr>
      <w:r>
        <w:t>Das Staatsministerium für Familie, Arbeit und Soziales hat mitgeteilt, dass der Europäische Sozialfonds ESF Zielgruppen des Arbeitsmarkts wie Arbeitslose, Langzeitarbeitslose, die Integration von Männern und Frauen oder die Berufsausbildung von Jugendlichen fördert. Kommunen sind jedoch keine Fördergruppen. Kommunen können sich am ESF als Projektträger, Partner oder Kofinanzierer beteiligen. Dies geschieht insbes</w:t>
      </w:r>
      <w:r w:rsidR="00B40DC0">
        <w:t>ondere bei Projekten zur Bekämp</w:t>
      </w:r>
      <w:r>
        <w:t>fung der Langzeitarbeitslosigkeit, wo Hartz-IV-Leistungen der Jobcenter angerechnet werden können.</w:t>
      </w:r>
    </w:p>
    <w:p w:rsidR="00041CAD" w:rsidRDefault="00041CAD" w:rsidP="00041CAD">
      <w:pPr>
        <w:pStyle w:val="LTAntwortRessortText"/>
      </w:pPr>
      <w:r>
        <w:t>Strukturell sind Kommunen auch durch Mitgliedschaft und Stimmrecht in den Gremien des ESF beteiligt. In Bayern haben Sitz, Stimme und viele Betei</w:t>
      </w:r>
      <w:r w:rsidR="00574ECD">
        <w:t>ligungsrechte im ESF-Begleitaus</w:t>
      </w:r>
      <w:r>
        <w:t>schuss:</w:t>
      </w:r>
    </w:p>
    <w:p w:rsidR="00041CAD" w:rsidRDefault="00041CAD" w:rsidP="0030534E">
      <w:pPr>
        <w:pStyle w:val="LTAntwortRessortText"/>
        <w:spacing w:before="0"/>
      </w:pPr>
      <w:r>
        <w:t>• Bayerischer Städtetag</w:t>
      </w:r>
    </w:p>
    <w:p w:rsidR="00041CAD" w:rsidRDefault="00041CAD" w:rsidP="0030534E">
      <w:pPr>
        <w:pStyle w:val="LTAntwortRessortText"/>
        <w:spacing w:before="0"/>
      </w:pPr>
      <w:r>
        <w:t>• Bayerischer Landkreistag</w:t>
      </w:r>
    </w:p>
    <w:p w:rsidR="00041CAD" w:rsidRDefault="00041CAD" w:rsidP="0030534E">
      <w:pPr>
        <w:pStyle w:val="LTAntwortRessortText"/>
        <w:spacing w:before="0"/>
      </w:pPr>
      <w:r>
        <w:t>• Bayerischer Gemeindetag</w:t>
      </w:r>
    </w:p>
    <w:p w:rsidR="00041CAD" w:rsidRDefault="00041CAD" w:rsidP="0030534E">
      <w:pPr>
        <w:pStyle w:val="LTAntwortRessortText"/>
        <w:spacing w:before="0"/>
      </w:pPr>
      <w:r>
        <w:t>• Bayerischer Bezirketag</w:t>
      </w:r>
    </w:p>
    <w:p w:rsidR="00041CAD" w:rsidRDefault="00041CAD" w:rsidP="00041CAD">
      <w:pPr>
        <w:pStyle w:val="LTAntwortRessortText"/>
      </w:pPr>
      <w:r>
        <w:t>Das Staatsministerium für Umwelt und Verbraucherschutz führt aus, dass es aktuell mit dem sogenannten Alpine Space Contact Point (ACP) über eine mit einer Person in Vollzeit besetzte Beratungsstelle verfügt, deren Aufgabe unter anderem in der Un</w:t>
      </w:r>
      <w:r w:rsidR="00B40DC0">
        <w:t>terstützung deutscher Projektan</w:t>
      </w:r>
      <w:r>
        <w:t>tragsteller bei der Beantragung von EU-Mitteln im Rahmen von Projekten im INTERR</w:t>
      </w:r>
      <w:r w:rsidR="00B40DC0">
        <w:t xml:space="preserve">EG Alpine Space Programme 2014 bis </w:t>
      </w:r>
      <w:r>
        <w:t>2020 und deren Begleitung während der Projektumsetzung liegt. Kommunen gehören zur Zielgruppe des Programms und wurden bzw. werden entsprechend beraten.</w:t>
      </w:r>
    </w:p>
    <w:p w:rsidR="00041CAD" w:rsidRDefault="00041CAD" w:rsidP="00041CAD">
      <w:pPr>
        <w:pStyle w:val="LTAntwortRessortText"/>
      </w:pPr>
      <w:r>
        <w:t xml:space="preserve">Das Staatsministerium für Wirtschaft, Landesentwicklung und Energie teilt in seiner Stellungnahme mit, dass der Freistaat Bayern und seine Kommunen zu einem großen Maße von Förderprogrammen und -mitteln der </w:t>
      </w:r>
      <w:r w:rsidR="00574ECD">
        <w:t>EU</w:t>
      </w:r>
      <w:r w:rsidR="00B40DC0">
        <w:t xml:space="preserve"> profitieren. Neben Fördermit</w:t>
      </w:r>
      <w:r>
        <w:t xml:space="preserve">teln, die der Freistaat bzw. die Kommunen verwalten, erreichen Bayern auch Mittel, welche direkt von der EU koordiniert werden. Im Rahmen des Rahmenprogramms </w:t>
      </w:r>
      <w:r w:rsidR="00BD06F4">
        <w:t>„</w:t>
      </w:r>
      <w:r>
        <w:t>Horizont 2020</w:t>
      </w:r>
      <w:r w:rsidR="00BD06F4">
        <w:t>“</w:t>
      </w:r>
      <w:r>
        <w:t xml:space="preserve"> war Deutschland zum Stichtag 04.12.2020 der erfolgreichste Mitgliedstaat mit 8.723,2 Mio. Euro eingeworbenen Fördermitteln seit Beginn der Förderperiode. Hiervon entfielen 1.947,3 Mio. Euro (22,3 </w:t>
      </w:r>
      <w:r w:rsidR="00BD06F4">
        <w:t>Prozent</w:t>
      </w:r>
      <w:r>
        <w:t>) auf Akteure aus Bayern.</w:t>
      </w:r>
    </w:p>
    <w:p w:rsidR="00041CAD" w:rsidRDefault="00041CAD" w:rsidP="00041CAD">
      <w:pPr>
        <w:pStyle w:val="LTAntwortRessortText"/>
      </w:pPr>
      <w:r>
        <w:t>Im Auftrag der Staatsregierung unterstützt die Bayerische Forschungsallianz (</w:t>
      </w:r>
      <w:hyperlink r:id="rId17" w:history="1">
        <w:r w:rsidR="00193153" w:rsidRPr="00193153">
          <w:rPr>
            <w:rStyle w:val="LTHyperlinkZchn"/>
            <w:b w:val="0"/>
          </w:rPr>
          <w:t>https://</w:t>
        </w:r>
        <w:r w:rsidRPr="00193153">
          <w:rPr>
            <w:rStyle w:val="LTHyperlinkZchn"/>
            <w:b w:val="0"/>
          </w:rPr>
          <w:t>www.bayfor.org</w:t>
        </w:r>
      </w:hyperlink>
      <w:r>
        <w:t>) verschiedene Akteure aus Forschung, Entwicklung und Innovation bei der Einwerbung von Europäischen Fördermitteln. Neben Universitäten, Hochschulen für</w:t>
      </w:r>
      <w:r w:rsidR="00574ECD">
        <w:t xml:space="preserve"> Angewandte Wissenschaften und kleinen und m</w:t>
      </w:r>
      <w:r>
        <w:t>ittleren Unternehmen (KMU) gehören auch die Kommunen in Bayern zu den unterstützten und beratenen Kunden.</w:t>
      </w:r>
    </w:p>
    <w:p w:rsidR="00041CAD" w:rsidRDefault="00041CAD" w:rsidP="00041CAD">
      <w:pPr>
        <w:pStyle w:val="LTAntwortRessortText"/>
      </w:pPr>
      <w:r>
        <w:t>Die Kommunen in Bayern sind, wie alle Kommunen Europas, mit vielseitigen gesellschaftlichen Herausforderungen konfrontiert. Europäische Forschun</w:t>
      </w:r>
      <w:r w:rsidR="0030534E">
        <w:t>gs- und Innovationsprojekte bie</w:t>
      </w:r>
      <w:r>
        <w:t>ten dabei auch Akteuren aus dem kommunalen Umfeld einen geeigneten Rahmen, um gemeinsam mit Akteuren aus Wissenschaft und Wirtschaft sowie anderen europäischen Kommunen nach zukunftsweisenden Lösungen zu suchen.</w:t>
      </w:r>
    </w:p>
    <w:p w:rsidR="00041CAD" w:rsidRDefault="00574ECD" w:rsidP="00041CAD">
      <w:pPr>
        <w:pStyle w:val="LTAntwortRessortText"/>
      </w:pPr>
      <w:r>
        <w:t xml:space="preserve">Konkret unterstützt die </w:t>
      </w:r>
      <w:r w:rsidR="00193153">
        <w:t>Bayerische Forschungsallianz GmbH</w:t>
      </w:r>
      <w:r>
        <w:t xml:space="preserve"> (BayFOR</w:t>
      </w:r>
      <w:r w:rsidR="00193153">
        <w:t xml:space="preserve">) </w:t>
      </w:r>
      <w:r w:rsidR="00041CAD">
        <w:t xml:space="preserve">die bayerischen Kommunen durch eine bedarfsgerechte Beratung zu möglicherweise passenden EU-Ausschreibungen sowie durch die Ausrichtung von Veranstaltungen zu europäischen Förderprogrammen. So wird es beispielsweise am </w:t>
      </w:r>
      <w:r w:rsidR="00193153">
        <w:t>08.07.</w:t>
      </w:r>
      <w:r w:rsidR="00041CAD">
        <w:t xml:space="preserve">2021 eine Veranstaltung der BayFOR mit dem Titel </w:t>
      </w:r>
      <w:r w:rsidR="00BD06F4">
        <w:t>„</w:t>
      </w:r>
      <w:r w:rsidR="00041CAD">
        <w:t>Kliman</w:t>
      </w:r>
      <w:r w:rsidR="00193153">
        <w:t>eutrale Städte und Regionen: Ho</w:t>
      </w:r>
      <w:r w:rsidR="00041CAD">
        <w:t>rizont Europa als Instrument zur Umsetzung</w:t>
      </w:r>
      <w:r w:rsidR="00BD06F4">
        <w:t>“</w:t>
      </w:r>
      <w:r w:rsidR="00041CAD">
        <w:t xml:space="preserve"> geben. Zudem erhalten die bayerischen Kommunen eine aktive Unterstützung in der Ausarbeitung kompetitiver Projektanträge sowie der Zusammenstellung für die konkrete Ausschreibung passender Projektkonsortien.</w:t>
      </w:r>
    </w:p>
    <w:p w:rsidR="00041CAD" w:rsidRDefault="00041CAD" w:rsidP="00041CAD">
      <w:pPr>
        <w:pStyle w:val="LTAntwortRessortText"/>
      </w:pPr>
      <w:r>
        <w:t>So konnten unter anderem folgende Projekte erfolgreich implementiert werden:</w:t>
      </w:r>
    </w:p>
    <w:p w:rsidR="00041CAD" w:rsidRDefault="00041CAD" w:rsidP="0030534E">
      <w:pPr>
        <w:pStyle w:val="LTAntwortRessortText"/>
        <w:numPr>
          <w:ilvl w:val="0"/>
          <w:numId w:val="25"/>
        </w:numPr>
        <w:ind w:left="697" w:hanging="357"/>
      </w:pPr>
      <w:r>
        <w:t>Home and Care: Ein innovatives Wohn-, Betreuungs- und Arbeitskonzept zur Reduzierung des Armutsrisikos Alleinerziehender und ihrer Kinder in Landshut (Urban Innovative Actions)</w:t>
      </w:r>
    </w:p>
    <w:p w:rsidR="00041CAD" w:rsidRDefault="00041CAD" w:rsidP="0030534E">
      <w:pPr>
        <w:pStyle w:val="LTAntwortRessortText"/>
        <w:numPr>
          <w:ilvl w:val="0"/>
          <w:numId w:val="25"/>
        </w:numPr>
        <w:spacing w:before="0"/>
        <w:ind w:left="697" w:hanging="357"/>
      </w:pPr>
      <w:r>
        <w:t>SMARTER TOGETHER: Innovation für München (Horizon 2020)</w:t>
      </w:r>
    </w:p>
    <w:p w:rsidR="00041CAD" w:rsidRDefault="00041CAD" w:rsidP="0030534E">
      <w:pPr>
        <w:pStyle w:val="LTAntwortRessortText"/>
        <w:numPr>
          <w:ilvl w:val="0"/>
          <w:numId w:val="25"/>
        </w:numPr>
        <w:spacing w:before="0"/>
        <w:ind w:left="697" w:hanging="357"/>
      </w:pPr>
      <w:r>
        <w:t>CIVITAS ECCENTRIC: Stadtquartiere im Fokus der Mobilität (Horizon 2020)</w:t>
      </w:r>
    </w:p>
    <w:p w:rsidR="00041CAD" w:rsidRDefault="00041CAD" w:rsidP="00041CAD">
      <w:pPr>
        <w:pStyle w:val="LTAntwortRessortText"/>
      </w:pPr>
      <w:r>
        <w:t xml:space="preserve">Im Übrigen wird auf die Antwort der Staatsregierung zur Schriftlichen Anfrage des MdL </w:t>
      </w:r>
      <w:r w:rsidR="00AB461F">
        <w:t xml:space="preserve">Florian </w:t>
      </w:r>
      <w:r>
        <w:t>Siekmann vom 05.02.2021 (D</w:t>
      </w:r>
      <w:r w:rsidR="00AB461F">
        <w:t>rs.</w:t>
      </w:r>
      <w:r>
        <w:t xml:space="preserve"> 18/14390 vom 01.04.2021) verwiesen.</w:t>
      </w:r>
    </w:p>
    <w:p w:rsidR="00041CAD" w:rsidRDefault="00574ECD" w:rsidP="00041CAD">
      <w:pPr>
        <w:pStyle w:val="LTAntwortRessortText"/>
      </w:pPr>
      <w:r>
        <w:t>Darüber hinaus sind die K</w:t>
      </w:r>
      <w:r w:rsidR="00041CAD">
        <w:t>ommunalen Spitzenverbände wich</w:t>
      </w:r>
      <w:r w:rsidR="00AB461F">
        <w:t>tige Partner im EFRE-Begleitaus</w:t>
      </w:r>
      <w:r w:rsidR="00041CAD">
        <w:t>schuss. Sie begleiten die Staatsregierung bei Programmaufstellun</w:t>
      </w:r>
      <w:r w:rsidR="00AB461F">
        <w:t>g und Programmdurchfüh</w:t>
      </w:r>
      <w:r w:rsidR="00041CAD">
        <w:t>rung. Sie sind außerdem wichtiges Bindeglied zu den Ko</w:t>
      </w:r>
      <w:r w:rsidR="00AB461F">
        <w:t>mmunen und informieren ihre Mit</w:t>
      </w:r>
      <w:r w:rsidR="00041CAD">
        <w:t>glieder unmittelbar über EFRE-Fördermöglichkeiten.</w:t>
      </w:r>
    </w:p>
    <w:p w:rsidR="00041CAD" w:rsidRDefault="00041CAD">
      <w:bookmarkStart w:id="24" w:name="Frage_Nr_11_Ende"/>
      <w:bookmarkEnd w:id="24"/>
      <w:r>
        <w:br w:type="page"/>
      </w:r>
    </w:p>
    <w:p w:rsidR="00041CAD" w:rsidRDefault="00041CAD" w:rsidP="00041CAD">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058D0" w:rsidTr="003058D0">
        <w:tc>
          <w:tcPr>
            <w:tcW w:w="1854" w:type="dxa"/>
          </w:tcPr>
          <w:p w:rsidR="003058D0" w:rsidRDefault="003058D0" w:rsidP="003058D0">
            <w:pPr>
              <w:pStyle w:val="LTAnfrageInitiator"/>
            </w:pPr>
            <w:r>
              <w:t>Abgeordnete</w:t>
            </w:r>
            <w:r>
              <w:rPr>
                <w:b/>
              </w:rPr>
              <w:br/>
              <w:t>Inge</w:t>
            </w:r>
            <w:r>
              <w:rPr>
                <w:b/>
              </w:rPr>
              <w:br/>
              <w:t>Aures</w:t>
            </w:r>
            <w:r>
              <w:rPr>
                <w:b/>
              </w:rPr>
              <w:br/>
            </w:r>
            <w:r>
              <w:t>(SPD)</w:t>
            </w:r>
            <w:bookmarkStart w:id="25" w:name="Frage_Nr_12"/>
            <w:bookmarkEnd w:id="25"/>
          </w:p>
        </w:tc>
        <w:tc>
          <w:tcPr>
            <w:tcW w:w="5762" w:type="dxa"/>
          </w:tcPr>
          <w:p w:rsidR="003058D0" w:rsidRPr="006350E5" w:rsidRDefault="003058D0" w:rsidP="006350E5">
            <w:pPr>
              <w:pStyle w:val="LTAnfrageText"/>
            </w:pPr>
            <w:r w:rsidRPr="006350E5">
              <w:t>Ich frage die Staatsregierung, wie steht sie grundsätzlich einem Tausch staatlicher Grundstücke gegen gleichwertige private Grundstücke gegenüber, welche Voraussetzungen müssten hierfür erfüllt sein (z. B. angrenzende Grundstücke) und in welchen Kommunen wurde ein solcher Grundstückstausch bisher realisiert (bitte Auflistung nach Standort und Gründen für den Tausch)?</w:t>
            </w:r>
          </w:p>
        </w:tc>
        <w:tc>
          <w:tcPr>
            <w:tcW w:w="5762" w:type="dxa"/>
          </w:tcPr>
          <w:p w:rsidR="003058D0" w:rsidRDefault="003058D0" w:rsidP="003058D0">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Die Staatsregierung steht einem Tausch staatlicher Grundstücke gegen gleichwertige private Grundstücke grundsätzlich offen gegenüber.</w:t>
      </w:r>
    </w:p>
    <w:p w:rsidR="00041CAD" w:rsidRDefault="00041CAD" w:rsidP="0030534E">
      <w:pPr>
        <w:pStyle w:val="LTAntwortRessortText"/>
        <w:spacing w:before="0"/>
      </w:pPr>
      <w:r>
        <w:t xml:space="preserve">Einem Tauschgeschäft liegt jeweils ein </w:t>
      </w:r>
      <w:r w:rsidR="00293BC4">
        <w:t>An- und ein Verkaufsvorgang zug</w:t>
      </w:r>
      <w:r>
        <w:t>runde, welche getrennt voneinander zu betrachten sind. Es gelten dabei die üblichen Vorgaben für den Verkehr mit staatlichen Grundstücken. Die entsprechenden haushalts- und fachgesetzlichen Voraussetzung</w:t>
      </w:r>
      <w:r w:rsidR="00AB461F">
        <w:t>en sind insbesondere in den Ver</w:t>
      </w:r>
      <w:r>
        <w:t>waltungsvorschriften zu Art. 64 Bayerische Hau</w:t>
      </w:r>
      <w:r w:rsidR="00AB461F">
        <w:t xml:space="preserve">shaltsordnung </w:t>
      </w:r>
      <w:r w:rsidR="00293BC4">
        <w:t xml:space="preserve">(BayHO) </w:t>
      </w:r>
      <w:r w:rsidR="00AB461F">
        <w:t>bzw. in den Richt</w:t>
      </w:r>
      <w:r>
        <w:t>linien für den Verkehr mit staatseigenen Grundstücken (Grundstückverkehrsrichtlinien) geregelt. Nach Ziffer 7.8 der Verwaltung</w:t>
      </w:r>
      <w:r w:rsidR="00AB461F">
        <w:t xml:space="preserve">svorschriften zu Art. 64 </w:t>
      </w:r>
      <w:r w:rsidR="00293BC4">
        <w:t>BayHO</w:t>
      </w:r>
      <w:r>
        <w:t xml:space="preserve"> gelten für den Tausch von Grundstücken grundsätzlich dieselben Voraussetzungen wie für deren Veräußerung an Dritte.</w:t>
      </w:r>
    </w:p>
    <w:p w:rsidR="00041CAD" w:rsidRDefault="00041CAD" w:rsidP="00041CAD">
      <w:pPr>
        <w:pStyle w:val="LTAntwortRessortText"/>
      </w:pPr>
      <w:r>
        <w:t>Zur Anzahl v</w:t>
      </w:r>
      <w:r w:rsidR="00293BC4">
        <w:t>on Grundstückstauschgeschäften –</w:t>
      </w:r>
      <w:r>
        <w:t xml:space="preserve"> auch für den Bereich des Stra</w:t>
      </w:r>
      <w:r w:rsidR="00AB461F">
        <w:t>ßenbaus –</w:t>
      </w:r>
      <w:r>
        <w:t xml:space="preserve"> liegen der Staatsregierung keine statistischen Daten vor und eine Erhebung war in der zur Beantwortung zur Verfügung stehenden Zeit nicht möglich. Im Bayerischen Liegenschaftsinformationssystem (BayLI</w:t>
      </w:r>
      <w:r w:rsidR="00AB461F">
        <w:t>S) werden Tauschge</w:t>
      </w:r>
      <w:r>
        <w:t>schäfte separat als An- und Verkaufsvorgang und nicht als ein Tauschvorgang erfasst, sodass eine belastbare Datenerhebung mittels BayLIS nicht möglich ist.</w:t>
      </w:r>
    </w:p>
    <w:p w:rsidR="00041CAD" w:rsidRDefault="00041CAD">
      <w:bookmarkStart w:id="26" w:name="Frage_Nr_12_Ende"/>
      <w:bookmarkEnd w:id="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58D0" w:rsidTr="003058D0">
        <w:tc>
          <w:tcPr>
            <w:tcW w:w="1883" w:type="dxa"/>
          </w:tcPr>
          <w:p w:rsidR="003058D0" w:rsidRDefault="003058D0" w:rsidP="003058D0">
            <w:pPr>
              <w:pStyle w:val="LTAnfrageInitiator"/>
            </w:pPr>
            <w:r>
              <w:t>Abgeordneter</w:t>
            </w:r>
            <w:r>
              <w:rPr>
                <w:b/>
              </w:rPr>
              <w:br/>
              <w:t>Dr. Markus</w:t>
            </w:r>
            <w:r>
              <w:rPr>
                <w:b/>
              </w:rPr>
              <w:br/>
              <w:t>Büchler</w:t>
            </w:r>
            <w:r>
              <w:rPr>
                <w:b/>
              </w:rPr>
              <w:br/>
            </w:r>
            <w:r>
              <w:t>(BÜNDNIS 90/DIE GRÜNEN)</w:t>
            </w:r>
            <w:bookmarkStart w:id="27" w:name="Frage_Nr_13"/>
            <w:bookmarkEnd w:id="27"/>
          </w:p>
        </w:tc>
        <w:tc>
          <w:tcPr>
            <w:tcW w:w="5733" w:type="dxa"/>
          </w:tcPr>
          <w:p w:rsidR="003058D0" w:rsidRPr="006350E5" w:rsidRDefault="003058D0" w:rsidP="006350E5">
            <w:pPr>
              <w:pStyle w:val="LTAnfrageText"/>
            </w:pPr>
            <w:r w:rsidRPr="006350E5">
              <w:t xml:space="preserve">Ich frage die Staatsregierung, wann wird der Schienennahverkehrsplan veröffentlicht, nachdem er im November 2020 noch für das inzwischen abgelaufene 1. Quartal 2021 angekündigt wurde (siehe Antwort des Staatsministeriums für Wohnen, Bau und Verkehr (StMB) auf eine Anfrage zum Plenum unter </w:t>
            </w:r>
            <w:r w:rsidR="00615B3A">
              <w:br/>
            </w:r>
            <w:r w:rsidRPr="006350E5">
              <w:t>Drs. 18/11870), inwieweit sieht die Staatsregierung in der seit 16 Jahren unterbliebenen Fortschreibung des Schienennahverkehrsplans ein schweres Versäumnis und ab wann wird die Staatsregierung den Schienennahverkehrsplan wieder alle zwei Jahre fortschreiben, wie es das Gesetz über den öffentlichen Personennahverkehr in Bayern vorschreibt?</w:t>
            </w:r>
          </w:p>
        </w:tc>
        <w:tc>
          <w:tcPr>
            <w:tcW w:w="5733" w:type="dxa"/>
          </w:tcPr>
          <w:p w:rsidR="003058D0" w:rsidRDefault="003058D0" w:rsidP="003058D0">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Wie dem Landtag mit Schreiben vom 16.02.2021 zu Drs. 18/2885 berichtet, konnte aufgrund pandemiebedingter Prioritätenverschiebungen die Beschlussfassung im Jahr 2020 nicht erfolgen. Durch den Z</w:t>
      </w:r>
      <w:r w:rsidR="00615B3A">
        <w:t>eitablauf ist erneut Aktualisie</w:t>
      </w:r>
      <w:r>
        <w:t>rungsbedarf entstanden.</w:t>
      </w:r>
    </w:p>
    <w:p w:rsidR="00041CAD" w:rsidRDefault="00041CAD" w:rsidP="0030534E">
      <w:pPr>
        <w:pStyle w:val="LTAntwortRessortText"/>
        <w:spacing w:before="0"/>
      </w:pPr>
      <w:r>
        <w:t>Die Veröffentlichung eines nicht den aktuellen Zielen der Staatsregierung entsprechenden Plans erscheint nicht sinnvoll.</w:t>
      </w:r>
    </w:p>
    <w:p w:rsidR="00041CAD" w:rsidRDefault="00041CAD" w:rsidP="0030534E">
      <w:pPr>
        <w:pStyle w:val="LTAntwortRessortText"/>
        <w:spacing w:before="0"/>
      </w:pPr>
      <w:r>
        <w:t xml:space="preserve">Künftig wird der Schienennahverkehrsplan </w:t>
      </w:r>
      <w:r w:rsidR="00615B3A">
        <w:t>im zweijährigen Rhythmus fortge</w:t>
      </w:r>
      <w:r>
        <w:t>schrieben werden.</w:t>
      </w:r>
    </w:p>
    <w:p w:rsidR="00041CAD" w:rsidRDefault="00041CAD">
      <w:bookmarkStart w:id="28" w:name="Frage_Nr_13_Ende"/>
      <w:bookmarkEnd w:id="28"/>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3058D0" w:rsidTr="003058D0">
        <w:tc>
          <w:tcPr>
            <w:tcW w:w="1860" w:type="dxa"/>
          </w:tcPr>
          <w:p w:rsidR="003058D0" w:rsidRDefault="003058D0" w:rsidP="003058D0">
            <w:pPr>
              <w:pStyle w:val="LTAnfrageInitiator"/>
            </w:pPr>
            <w:r>
              <w:t>Abgeordneter</w:t>
            </w:r>
            <w:r>
              <w:rPr>
                <w:b/>
              </w:rPr>
              <w:br/>
              <w:t>Christian</w:t>
            </w:r>
            <w:r>
              <w:rPr>
                <w:b/>
              </w:rPr>
              <w:br/>
              <w:t>Flisek</w:t>
            </w:r>
            <w:r>
              <w:rPr>
                <w:b/>
              </w:rPr>
              <w:br/>
            </w:r>
            <w:r>
              <w:t>(SPD)</w:t>
            </w:r>
            <w:bookmarkStart w:id="29" w:name="Frage_Nr_14"/>
            <w:bookmarkEnd w:id="29"/>
          </w:p>
        </w:tc>
        <w:tc>
          <w:tcPr>
            <w:tcW w:w="5756" w:type="dxa"/>
          </w:tcPr>
          <w:p w:rsidR="003058D0" w:rsidRPr="006350E5" w:rsidRDefault="003058D0" w:rsidP="006350E5">
            <w:pPr>
              <w:pStyle w:val="LTAnfrageText"/>
            </w:pPr>
            <w:r w:rsidRPr="006350E5">
              <w:t>Nachdem offenbar mit der Novelle des Wohngeldrechts zum 01.01.2020 eine deutliche Steigerung der Antragszahlen beim Wohngeld in Bayern eingetreten ist und es Rückmeldungen von langen Bearbeitungsfristen gibt, die sich aufgrund der Coronapandemie und der Frage der Anrechnung von Corona-Hilfen noch einmal deutlich erhöht haben, frage ich die Staatsregierung, wie sich die Antragszahlen für Wohngeld in den Jahren 2018, 2019 und 2020 (bitte Angabe jeweils für die einzelnen Regierungsbezirke, Landkreise und kreisfreien Städte) entwickelt haben, wie sich die durchschnittliche Bearbeitungsdauer je Wohngeldantrag in den Jahren 2018, 2019 und 2020 entwickelt hat (bitte Darstellung für die einzelnen Regierungsbezirke, Landkreise und kreisfreien Städte) und welche konkreten Möglichkeiten die Staatsregierung sieht, die Wohngeldstellen durch Maßnahmen des Freistaates Bayern zu unterstützten, um die aktuelle Bearbeitungsdauer zu reduzieren?</w:t>
            </w:r>
          </w:p>
        </w:tc>
        <w:tc>
          <w:tcPr>
            <w:tcW w:w="5756" w:type="dxa"/>
          </w:tcPr>
          <w:p w:rsidR="003058D0" w:rsidRDefault="003058D0" w:rsidP="003058D0">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 xml:space="preserve">Für die Wohngeldstatistik übermitteln die Wohngeldbehörden (= Landkreise und kreisfreie Städte) quartalsweise verschiedene Daten wie </w:t>
      </w:r>
      <w:r w:rsidR="00BD06F4">
        <w:t>z. B.</w:t>
      </w:r>
      <w:r>
        <w:t xml:space="preserve"> die Art des Wohngeldantrags an das </w:t>
      </w:r>
      <w:r w:rsidR="00615B3A">
        <w:t>Landesamt für Statistik. Eben</w:t>
      </w:r>
      <w:r>
        <w:t>falls gemeldet werden die Zahlen der Bearbeitungsfälle (= erfasste Anträge), die jedoch in der Jahresstatistik für Wohngeld des Landesamtes für Statistik nicht abgebildet werden. Auswertungen der vorhande</w:t>
      </w:r>
      <w:r w:rsidR="00A966A3">
        <w:t>nen Daten für das Staatsministe</w:t>
      </w:r>
      <w:r>
        <w:t xml:space="preserve">rium für Wohnen, Bau und Verkehr </w:t>
      </w:r>
      <w:r w:rsidR="00615B3A">
        <w:t xml:space="preserve">(StMB) </w:t>
      </w:r>
      <w:r>
        <w:t>zu den Bearbeitungsfällen der Jahre 2019 und 2020 können anliegender Tabelle</w:t>
      </w:r>
      <w:r w:rsidR="00615B3A">
        <w:t>*)</w:t>
      </w:r>
      <w:r>
        <w:t xml:space="preserve"> entnommen werden. Eine Auswertung für das Jahr 2018 liegt nicht vor und konnte in der Kü</w:t>
      </w:r>
      <w:r w:rsidR="00615B3A">
        <w:t>rze der Zeit nicht erstellt wer</w:t>
      </w:r>
      <w:r>
        <w:t>den.</w:t>
      </w:r>
    </w:p>
    <w:p w:rsidR="00041CAD" w:rsidRDefault="00041CAD" w:rsidP="00041CAD">
      <w:pPr>
        <w:pStyle w:val="LTAntwortRessortText"/>
      </w:pPr>
      <w:r>
        <w:t>Zahlen zur Bearbeitungsdauer werden von den Wohngeldbehörden weder dem Landesamt für Statistik noch der Staatsregierung gemeldet und liegen daher nicht vor.</w:t>
      </w:r>
    </w:p>
    <w:p w:rsidR="00041CAD" w:rsidRDefault="00041CAD" w:rsidP="00041CAD">
      <w:pPr>
        <w:pStyle w:val="LTAntwortRessortText"/>
      </w:pPr>
      <w:r>
        <w:t>Die Länder sind an die bundesrechtlichen Vorgaben des Wohn</w:t>
      </w:r>
      <w:r w:rsidR="00615B3A">
        <w:t>geldrechts gebun</w:t>
      </w:r>
      <w:r>
        <w:t xml:space="preserve">den und können hiervon nicht eigenständig abweichen. Das Bundesministerium des Innern, für Bau und Heimat hat zusammen </w:t>
      </w:r>
      <w:r w:rsidR="00615B3A">
        <w:t>mit den Ländern Hinweise zur Er</w:t>
      </w:r>
      <w:r>
        <w:t xml:space="preserve">leichterung des Verwaltungsvollzugs aufgrund der </w:t>
      </w:r>
      <w:r w:rsidR="00BD06F4">
        <w:t>COVID-19</w:t>
      </w:r>
      <w:r>
        <w:t xml:space="preserve">-Pandemie im Wohngeld erarbeitet und am </w:t>
      </w:r>
      <w:r w:rsidR="00615B3A">
        <w:t>06.04.</w:t>
      </w:r>
      <w:r>
        <w:t xml:space="preserve">2020 erlassen. Das </w:t>
      </w:r>
      <w:r w:rsidR="00615B3A">
        <w:t>StMB</w:t>
      </w:r>
      <w:r>
        <w:t xml:space="preserve"> hat diese Hinweise den bayerischen Wohngeldbehörden mit Schreiben vom gleichen Tag weitergel</w:t>
      </w:r>
      <w:r w:rsidR="00615B3A">
        <w:t>eitet. Die Wohngeldbehörden kön</w:t>
      </w:r>
      <w:r>
        <w:t>nen weiterhin davon Gebrauch machen, wenn ein geregeltes Bearbeiten der Wohngeldanträge sehr eingeschränkt bzw. zeitweilig nicht mehr möglich ist.</w:t>
      </w:r>
    </w:p>
    <w:p w:rsidR="00041CAD" w:rsidRDefault="00041CAD" w:rsidP="00041CAD">
      <w:pPr>
        <w:pStyle w:val="LTAntwortRessortText"/>
      </w:pPr>
      <w:r>
        <w:t>Zu einzelnen finanziellen Hilfen und steuerli</w:t>
      </w:r>
      <w:r w:rsidR="00615B3A">
        <w:t>chen Hilfsmaßnahmen zur Bewälti</w:t>
      </w:r>
      <w:r>
        <w:t>gung der Coronakrise hat die Staatsregierung den Wohngeldbehörden entsprechende Hinweise zur wohngeldrechtlichen Bewertung gegeben.</w:t>
      </w:r>
    </w:p>
    <w:p w:rsidR="00041CAD" w:rsidRDefault="00A966A3" w:rsidP="00041CAD">
      <w:pPr>
        <w:pStyle w:val="LTAntwortRessortText"/>
      </w:pPr>
      <w:r>
        <w:t xml:space="preserve">*) Von einem Abdruck wurde abgesehen. Die Anlage ist als pdf-Dokument </w:t>
      </w:r>
      <w:hyperlink r:id="rId18" w:history="1">
        <w:r w:rsidRPr="00246003">
          <w:rPr>
            <w:rStyle w:val="LTHyperlinkZchn"/>
            <w:b w:val="0"/>
          </w:rPr>
          <w:t>hier</w:t>
        </w:r>
      </w:hyperlink>
      <w:r>
        <w:t xml:space="preserve"> einsehbar.</w:t>
      </w:r>
    </w:p>
    <w:p w:rsidR="00A966A3" w:rsidRDefault="00A966A3" w:rsidP="00041CAD">
      <w:pPr>
        <w:pStyle w:val="LTAntwortRessortText"/>
      </w:pPr>
    </w:p>
    <w:p w:rsidR="00041CAD" w:rsidRDefault="00041CAD">
      <w:bookmarkStart w:id="30" w:name="Frage_Nr_14_Ende"/>
      <w:bookmarkEnd w:id="3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F1D32" w:rsidTr="001F1D32">
        <w:tc>
          <w:tcPr>
            <w:tcW w:w="1854" w:type="dxa"/>
          </w:tcPr>
          <w:p w:rsidR="001F1D32" w:rsidRDefault="001F1D32" w:rsidP="001F1D32">
            <w:pPr>
              <w:pStyle w:val="LTAnfrageInitiator"/>
            </w:pPr>
            <w:r>
              <w:t>Abgeordneter</w:t>
            </w:r>
            <w:r>
              <w:rPr>
                <w:b/>
              </w:rPr>
              <w:br/>
              <w:t>Volkmar</w:t>
            </w:r>
            <w:r>
              <w:rPr>
                <w:b/>
              </w:rPr>
              <w:br/>
              <w:t>Halbleib</w:t>
            </w:r>
            <w:r>
              <w:rPr>
                <w:b/>
              </w:rPr>
              <w:br/>
            </w:r>
            <w:r>
              <w:t>(SPD)</w:t>
            </w:r>
            <w:bookmarkStart w:id="31" w:name="Frage_Nr_15"/>
            <w:bookmarkEnd w:id="31"/>
          </w:p>
        </w:tc>
        <w:tc>
          <w:tcPr>
            <w:tcW w:w="5762" w:type="dxa"/>
          </w:tcPr>
          <w:p w:rsidR="001F1D32" w:rsidRPr="006350E5" w:rsidRDefault="001F1D32" w:rsidP="006350E5">
            <w:pPr>
              <w:pStyle w:val="LTAnfrageText"/>
            </w:pPr>
            <w:r w:rsidRPr="006350E5">
              <w:t>Aufgrund der nach Veröffentlichung der sog. Potenzialanalyse der Bayerischen Eisenbahngesellschaft zur Steigerwaldbahn geäußerten Kritik und neu eingetretener Entwicklungen, frage ich die Staatsregierung, ob sie der geforderten Veröffentlichung aller Grundlagendaten sowie aller Analyse- und Rechenschritte bei der Erstellung der Potenzialanalyse zustimmt (bitte mit Angabe zum genauen Umfang), ob bzw. inwieweit sie es unterstützt, substanzielle Einwände gegen die Analyse (u. a. z. B. durch Dr. Konrad Schliephake) zu prüfen und gegebenenfalls eine Korrektur der Potenzialanalyse vorzunehmen und ob bzw. inwieweit durch die Ankündigung der Thüringer Eisenbahn (ThE) vom 10.04.2021, einen Antrag auf Betriebsgenehmigung nach § 6 Allgemeines Eisenbahngesetz (AEG) für die Strecke zu stellen, das Verfahren für Entwidmung der Trasse eine grundsätzliche rechtliche und tatsächliche Wendung nimmt und die Entwidmungsanträge abgelehnt werden bzw. eine Unternehmensgenehmigung bei Vorliegen der rechtlichen Voraussetzungen erteilt werden müsste?</w:t>
            </w:r>
          </w:p>
        </w:tc>
        <w:tc>
          <w:tcPr>
            <w:tcW w:w="5762" w:type="dxa"/>
          </w:tcPr>
          <w:p w:rsidR="001F1D32" w:rsidRDefault="001F1D32" w:rsidP="001F1D32">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Die Staatsregierung hat bereits der geforderten Veröffentlichung aller Grundlagendaten sowie der Me</w:t>
      </w:r>
      <w:r w:rsidR="00BB5126">
        <w:t>thodik zur Erstellung der Potenz</w:t>
      </w:r>
      <w:r>
        <w:t xml:space="preserve">ialanalyse für die Untere </w:t>
      </w:r>
      <w:r w:rsidR="00615B3A">
        <w:br/>
      </w:r>
      <w:r>
        <w:t>Steigerwaldbahn durch die Bayerischen Eisen</w:t>
      </w:r>
      <w:r w:rsidR="00615B3A">
        <w:t>bahngesellschaft mbH (BEG) zuge</w:t>
      </w:r>
      <w:r>
        <w:t>stimmt.</w:t>
      </w:r>
    </w:p>
    <w:p w:rsidR="00041CAD" w:rsidRDefault="00041CAD" w:rsidP="00041CAD">
      <w:pPr>
        <w:pStyle w:val="LTAntwortRessortText"/>
      </w:pPr>
      <w:r>
        <w:t xml:space="preserve">Die BEG hat am </w:t>
      </w:r>
      <w:r w:rsidR="00615B3A">
        <w:t>05.03.</w:t>
      </w:r>
      <w:r>
        <w:t>2021 di</w:t>
      </w:r>
      <w:r w:rsidR="00BB5126">
        <w:t>e Ergebnisse der Fahrgast-Potenz</w:t>
      </w:r>
      <w:r>
        <w:t>ialanalyse veröffentlicht und auch das Zustandekommen der Ergebnisse in einem ausführlichen Untersuchungsbericht dargelegt, der auf der Internetseite der BEG veröffentlicht</w:t>
      </w:r>
      <w:r w:rsidR="00EE7752">
        <w:t xml:space="preserve"> </w:t>
      </w:r>
      <w:r>
        <w:t>ist (</w:t>
      </w:r>
      <w:hyperlink r:id="rId19" w:history="1">
        <w:r w:rsidRPr="00615B3A">
          <w:rPr>
            <w:rStyle w:val="LTHyperlinkZchn"/>
            <w:b w:val="0"/>
          </w:rPr>
          <w:t>https://beg.bahnland-bayern.</w:t>
        </w:r>
        <w:r w:rsidR="00615B3A" w:rsidRPr="00615B3A">
          <w:rPr>
            <w:rStyle w:val="LTHyperlinkZchn"/>
            <w:b w:val="0"/>
          </w:rPr>
          <w:t>de/</w:t>
        </w:r>
        <w:r w:rsidRPr="00615B3A">
          <w:rPr>
            <w:rStyle w:val="LTHyperlinkZchn"/>
            <w:b w:val="0"/>
          </w:rPr>
          <w:t>pressemitteilungen/beg-legt-gutachten-zum-fahrgastpotenzial-fuer-die-untere-steigerwaldbahn-vor</w:t>
        </w:r>
      </w:hyperlink>
      <w:r w:rsidR="00615B3A">
        <w:t>). Im Untersuchungs</w:t>
      </w:r>
      <w:r>
        <w:t>bericht wird dargelegt, welche Daten als Grundlage der Berechnung herangezogen werden, welche Infrastruktur einschließlich der Station</w:t>
      </w:r>
      <w:r w:rsidR="00615B3A">
        <w:t>en und welche Ein</w:t>
      </w:r>
      <w:r>
        <w:t xml:space="preserve">gangsdaten der Einwohner, Arbeitsplätze, Schüler- und touristischen Verkehre in die Berechnung einfließen. Darüber hinaus hat die BEG am </w:t>
      </w:r>
      <w:r w:rsidR="00615B3A">
        <w:t>19.04.</w:t>
      </w:r>
      <w:r>
        <w:t>2021 weitergehende Fragen der Landkreise Kitzingen und Schweinfurt sowie der Stadt Schweinfurt beantwortet und die Berechnungen ausführlich erläutert. Aufgrund der komplexen Thematik ist vereinbart worden,</w:t>
      </w:r>
      <w:r w:rsidR="00615B3A">
        <w:t xml:space="preserve"> die Erläuterungen in einem Fol</w:t>
      </w:r>
      <w:r>
        <w:t>getermin fortzusetzen.</w:t>
      </w:r>
    </w:p>
    <w:p w:rsidR="00041CAD" w:rsidRDefault="00041CAD" w:rsidP="00041CAD">
      <w:pPr>
        <w:pStyle w:val="LTAntwortRessortText"/>
      </w:pPr>
      <w:r>
        <w:t>Der Freistaat agiert mit maximaler Transparenz, um deutlich zu machen, dass das Untersuchungsergebnis auf nachvollziehbaren Fakten und einer wissenschaftlich anerkannten Methode beruht. Die Berechnun</w:t>
      </w:r>
      <w:r w:rsidR="00615B3A">
        <w:t>gen von Herrn Dr. Konrad Schlie</w:t>
      </w:r>
      <w:r>
        <w:t>phake und weiterer Personen unterscheiden sic</w:t>
      </w:r>
      <w:r w:rsidR="00615B3A">
        <w:t>h von denen der BEG durch diver</w:t>
      </w:r>
      <w:r>
        <w:t>gierende Annahmen und eine andere Methodik, die im Ergebnis zu höheren Po</w:t>
      </w:r>
      <w:r w:rsidR="00615B3A">
        <w:t>tenz</w:t>
      </w:r>
      <w:r>
        <w:t>ialabschätzungen führen.</w:t>
      </w:r>
    </w:p>
    <w:p w:rsidR="00041CAD" w:rsidRDefault="00EE7752" w:rsidP="00041CAD">
      <w:pPr>
        <w:pStyle w:val="LTAntwortRessortText"/>
      </w:pPr>
      <w:r>
        <w:t>Die Potenz</w:t>
      </w:r>
      <w:r w:rsidR="00041CAD">
        <w:t>ialuntersuchungen der BEG basieren</w:t>
      </w:r>
      <w:r w:rsidR="00615B3A">
        <w:t xml:space="preserve"> auf einer wissenschaftlich fun</w:t>
      </w:r>
      <w:r w:rsidR="00041CAD">
        <w:t>dierten Methodik und führen im Ergebnis zu Prognosewerte</w:t>
      </w:r>
      <w:r w:rsidR="00BB5126">
        <w:t>n</w:t>
      </w:r>
      <w:r w:rsidR="00041CAD">
        <w:t>, die durch die tatsächliche Nachfrage bestätigt werden. Die Staats</w:t>
      </w:r>
      <w:r w:rsidR="00615B3A">
        <w:t>regierung sieht daher keine Ver</w:t>
      </w:r>
      <w:r w:rsidR="00041CAD">
        <w:t>anlassung, die Poten</w:t>
      </w:r>
      <w:r w:rsidR="00615B3A">
        <w:t>z</w:t>
      </w:r>
      <w:r w:rsidR="00041CAD">
        <w:t>ialanalyse der BEG zu korrigieren.</w:t>
      </w:r>
    </w:p>
    <w:p w:rsidR="00041CAD" w:rsidRDefault="00041CAD" w:rsidP="00041CAD">
      <w:pPr>
        <w:pStyle w:val="LTAntwortRessortText"/>
      </w:pPr>
      <w:r>
        <w:t>Wegen des Antrags der Thüringer Eisenbah</w:t>
      </w:r>
      <w:r w:rsidR="00615B3A">
        <w:t>n GmbH auf Erteilen einer Unter</w:t>
      </w:r>
      <w:r>
        <w:t>nehmensgenehmigung für das Betreiben der Unteren Steigerwaldbahn können die beantragten Freistellungen von Bahnbetriebszwe</w:t>
      </w:r>
      <w:r w:rsidR="00615B3A">
        <w:t>cken bis auf Weiteres nicht aus</w:t>
      </w:r>
      <w:r>
        <w:t>gesprochen werden. Die Unternehmensgenehmigu</w:t>
      </w:r>
      <w:r w:rsidR="00615B3A">
        <w:t>ng ist zu erteilen, wenn der An</w:t>
      </w:r>
      <w:r>
        <w:t>tragsteller die gesetzlichen Anforderungen an die</w:t>
      </w:r>
      <w:r w:rsidR="00615B3A">
        <w:t xml:space="preserve"> Zuverlässigkeit, fachliche Eig</w:t>
      </w:r>
      <w:r>
        <w:t>nung und finanzielle Leistungsfähigkeit erfüllt.</w:t>
      </w:r>
    </w:p>
    <w:p w:rsidR="00041CAD" w:rsidRDefault="00041CAD">
      <w:bookmarkStart w:id="32" w:name="Frage_Nr_15_Ende"/>
      <w:bookmarkEnd w:id="3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AB31D6" w:rsidTr="00AB31D6">
        <w:tc>
          <w:tcPr>
            <w:tcW w:w="1875" w:type="dxa"/>
          </w:tcPr>
          <w:p w:rsidR="00AB31D6" w:rsidRDefault="00AB31D6" w:rsidP="00AB31D6">
            <w:pPr>
              <w:pStyle w:val="LTAnfrageInitiator"/>
            </w:pPr>
            <w:r>
              <w:t>Abgeordnete</w:t>
            </w:r>
            <w:r>
              <w:rPr>
                <w:b/>
              </w:rPr>
              <w:br/>
              <w:t>Alexandra</w:t>
            </w:r>
            <w:r>
              <w:rPr>
                <w:b/>
              </w:rPr>
              <w:br/>
              <w:t>Hiersemann</w:t>
            </w:r>
            <w:r>
              <w:rPr>
                <w:b/>
              </w:rPr>
              <w:br/>
            </w:r>
            <w:r>
              <w:t>(SPD)</w:t>
            </w:r>
            <w:bookmarkStart w:id="33" w:name="Frage_Nr_16"/>
            <w:bookmarkEnd w:id="33"/>
          </w:p>
        </w:tc>
        <w:tc>
          <w:tcPr>
            <w:tcW w:w="5741" w:type="dxa"/>
          </w:tcPr>
          <w:p w:rsidR="00AB31D6" w:rsidRPr="006350E5" w:rsidRDefault="00AB31D6" w:rsidP="006350E5">
            <w:pPr>
              <w:pStyle w:val="LTAnfrageText"/>
            </w:pPr>
            <w:r w:rsidRPr="006350E5">
              <w:t>Vor dem Hintergrund, dass die Staatsregierung im Hinblick auf den Ankauf der für die Technische Fakultät seitens der Universität dringend benötigten Siemens-Fläche (auf dem Siemens-Campus Erlangen) schon 2017, nach Ministerratsbeschluss vom 02.05.2017, angekündigt hatte, dass diesbezügliche Verkaufsverhandlungen bis Ende 2020, spätestens Ende März 2021 abgeschlossen sein würden, was vom Präsidenten der Friedrich-Alexander-Universität Erlangen-Nür</w:t>
            </w:r>
            <w:r w:rsidR="00DD6AC7">
              <w:t>nberg (FAU) Prof. Dr. Jo</w:t>
            </w:r>
            <w:r w:rsidRPr="006350E5">
              <w:t>achim Hornegger im Vertrauen darauf im Stadtrat der Stadt Erlangen am 26.11.2020 öffentlich mitgeteilt wurde, frage ich die Staatsregierung, was die Gründe der Verzögerung sind und wann mit dem erfolgreichen Abschluss der Verhandlungen sowie dem abschließenden Ankauf durch den Freistaat Bayern zu rechnen ist, um die massiv angespannte bauliche und planungsmäßige Situation der FAU zumindest teilweise zu entlasten? </w:t>
            </w:r>
          </w:p>
        </w:tc>
        <w:tc>
          <w:tcPr>
            <w:tcW w:w="5741" w:type="dxa"/>
          </w:tcPr>
          <w:p w:rsidR="00AB31D6" w:rsidRDefault="00AB31D6" w:rsidP="00AB31D6">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Derzeit befindet sich die Immobilien Freistaat Bayern in Vertragsverhandlungen</w:t>
      </w:r>
      <w:r w:rsidR="00BB5126">
        <w:t xml:space="preserve"> mit der Siemens AG über das so</w:t>
      </w:r>
      <w:r>
        <w:t>genannte M</w:t>
      </w:r>
      <w:r w:rsidR="00DD6AC7">
        <w:t>odul 7 des Siemens Campus in Er</w:t>
      </w:r>
      <w:r>
        <w:t>langen, das für die Friedrich-Alexander-Universität Erlangen-Nürnberg bebaut werden soll. Als Gründe für die Verzögeru</w:t>
      </w:r>
      <w:r w:rsidR="00DD6AC7">
        <w:t>ngen sind beispielsweise corona</w:t>
      </w:r>
      <w:r>
        <w:t>bedingte Einschränkungen bei der Zulieferung von Unterlagen sowie die Klärung komplexer Detailabsprachen bezüglich vertra</w:t>
      </w:r>
      <w:r w:rsidR="00DD6AC7">
        <w:t>glich zu fixierender Übergabezu</w:t>
      </w:r>
      <w:r>
        <w:t>stände zu nennen. Die Kaufverhandlungen sind zwischenzeitlich weit vorgeschritten, allerdings gibt es noch offene Punkte bezüglich des Erwerbs. Aufgrund der noch offenen Fragestellungen kann die Staatsregierung derzeit keine finalen Aussagen über den Abschluss der Verhandlungen treffen.</w:t>
      </w:r>
    </w:p>
    <w:p w:rsidR="00041CAD" w:rsidRDefault="00041CAD">
      <w:bookmarkStart w:id="34" w:name="Frage_Nr_16_Ende"/>
      <w:bookmarkEnd w:id="3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5362E" w:rsidTr="00A5362E">
        <w:tc>
          <w:tcPr>
            <w:tcW w:w="1854" w:type="dxa"/>
          </w:tcPr>
          <w:p w:rsidR="00A5362E" w:rsidRDefault="00A5362E" w:rsidP="00A5362E">
            <w:pPr>
              <w:pStyle w:val="LTAnfrageInitiator"/>
            </w:pPr>
            <w:r>
              <w:t>Abgeordnete</w:t>
            </w:r>
            <w:r>
              <w:rPr>
                <w:b/>
              </w:rPr>
              <w:br/>
              <w:t>Annette</w:t>
            </w:r>
            <w:r>
              <w:rPr>
                <w:b/>
              </w:rPr>
              <w:br/>
              <w:t>Karl</w:t>
            </w:r>
            <w:r>
              <w:rPr>
                <w:b/>
              </w:rPr>
              <w:br/>
            </w:r>
            <w:r>
              <w:t>(SPD)</w:t>
            </w:r>
            <w:bookmarkStart w:id="35" w:name="Frage_Nr_17"/>
            <w:bookmarkEnd w:id="35"/>
          </w:p>
        </w:tc>
        <w:tc>
          <w:tcPr>
            <w:tcW w:w="5762" w:type="dxa"/>
          </w:tcPr>
          <w:p w:rsidR="00A5362E" w:rsidRPr="00754CFD" w:rsidRDefault="00A5362E" w:rsidP="00754CFD">
            <w:pPr>
              <w:pStyle w:val="LTAnfrageText"/>
            </w:pPr>
            <w:r w:rsidRPr="00754CFD">
              <w:t>Da die Bezuschussung eines 365-Euro-Jahrestickets für Schülerinnen und Schüler derzeit an die Mitgliedschaft der Gebietskörperschaft zu einem Verkehrsverbund geknüpft ist, frage ich die Staatsregierung, wie die Ausweitung der Verkehrsverbünde in Bayern so vorangebracht werden soll, dass alle Gebietskörperschaften zu einem Verkehrsverbund gehören und welche alternative Lösung für die Umsetzung eines solchen 365-Euro-Tickets bestehen, falls die Zugehörigkeit einer Gebietskörperschaft in einem Verkehrsverbund nicht innerhalb der nächsten zwei bis drei Jahre umsetzbar ist?</w:t>
            </w:r>
          </w:p>
        </w:tc>
        <w:tc>
          <w:tcPr>
            <w:tcW w:w="5762" w:type="dxa"/>
          </w:tcPr>
          <w:p w:rsidR="00A5362E" w:rsidRDefault="00A5362E" w:rsidP="00A5362E">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Die Staatsregierung fördert die Einführung eine</w:t>
      </w:r>
      <w:r w:rsidR="00DD6AC7">
        <w:t>s 365-Euro-Tickets für Auszubil</w:t>
      </w:r>
      <w:r>
        <w:t xml:space="preserve">dende, Schülerinnen und Schüler auf dem Gebiet von </w:t>
      </w:r>
      <w:r w:rsidR="00DD6AC7">
        <w:t>leistungsfähigen Verkehrs</w:t>
      </w:r>
      <w:r>
        <w:t>verbünden. Die Einführung selbst muss von den Kommunen vor Ort beschlossen und umgesetzt werden. Das 365-Euro-Ticket so</w:t>
      </w:r>
      <w:r w:rsidR="00DD6AC7">
        <w:t>ll im jeweiligen regionalen Ver</w:t>
      </w:r>
      <w:r>
        <w:t>kehrsraum in möglichst allen Verkehrsmitteln des öffentlichen Personennahverkehrs (ÖPNV), das heißt im Schienenpersone</w:t>
      </w:r>
      <w:r w:rsidR="00DD6AC7">
        <w:t>nnahverkehr (SPNV) und im allge</w:t>
      </w:r>
      <w:r>
        <w:t>meinen öffentlichen Personennahverkehr (allgemeiner ÖPNV) gelten. Da der regionale Verkehrsraum regelmäßig über die G</w:t>
      </w:r>
      <w:r w:rsidR="00DD6AC7">
        <w:t>renzen eines Landkreises hinaus</w:t>
      </w:r>
      <w:r>
        <w:t>geht, ist hierzu ein Zusammenschluss mehrerer Landkreise und kreisfreier Städte erforderlich. Zudem müssen die entsprechenden Voraussetzungen zur Einführung eines verkehrsträgerübergreifenden Tarifangebots erfüllt sein. Hierzu bedarf es insbesondere eines gemeinsamen Tarifs für</w:t>
      </w:r>
      <w:r w:rsidR="00E3495B">
        <w:t xml:space="preserve"> den gesamten ÖPNV und einer ge</w:t>
      </w:r>
      <w:r>
        <w:t>meinsamen Einnahmeaufteilung. Dies ist aktuell noch nicht in allen Regionen des Freistaates gegeben. Es liegt an den Kommunen</w:t>
      </w:r>
      <w:r w:rsidR="00DD6AC7">
        <w:t xml:space="preserve"> vor Ort, die entsprechenden Vo</w:t>
      </w:r>
      <w:r>
        <w:t>raussetzungen zu schaffen.</w:t>
      </w:r>
    </w:p>
    <w:p w:rsidR="00041CAD" w:rsidRDefault="00041CAD" w:rsidP="00041CAD">
      <w:pPr>
        <w:pStyle w:val="LTAntwortRessortText"/>
      </w:pPr>
      <w:r>
        <w:t>Die Staatsregierung verfolgt das Ziel der Flächendeck</w:t>
      </w:r>
      <w:r w:rsidR="00DD6AC7">
        <w:t>ung Bayerns mit leistungs</w:t>
      </w:r>
      <w:r>
        <w:t>fähigen Verkehrs- und Tarifverbünden aus Bus und Bahn. Im November 2019 wurden Eckpunkte zur Förderung von Verbu</w:t>
      </w:r>
      <w:r w:rsidR="00DD6AC7">
        <w:t>ndintegrationen in Bayern einge</w:t>
      </w:r>
      <w:r>
        <w:t>führt, um Landkreise und kreisfreie Städte auf dem Weg in Verbünde zu unterstützen. Das Staatsministerium für Wohnen, Bau und Verkehr fördert und betreut zwischenzeitlich neun Verbundintegrationsvorhaben. 45 von 47 verbundfreie</w:t>
      </w:r>
      <w:r w:rsidR="00BB5126">
        <w:t xml:space="preserve"> Landkreise und kreisfreie Städte</w:t>
      </w:r>
      <w:r>
        <w:t xml:space="preserve"> haben sich einem Verbundintegrationsprojekt angeschlossen. Mit den zwei derzeit noch nicht entschiedenen Landkreisen steht das Staatsministerium für Wohnen, Bau und Verkehr in engem Austausch.</w:t>
      </w:r>
    </w:p>
    <w:p w:rsidR="00041CAD" w:rsidRDefault="00041CAD" w:rsidP="00041CAD">
      <w:pPr>
        <w:pStyle w:val="LTAntwortRessortText"/>
      </w:pPr>
      <w:r>
        <w:t xml:space="preserve">Die Einführung des 365-Euro-Tickets wird begleitend beobachtet und ab dem Winter 2023/2024 evaluiert. Dabei wird auch ein möglicher Anpassungsbedarf zur Umsetzung und Ausweitung geprüft. Die weiteren Schritte zur Ausweitung des </w:t>
      </w:r>
      <w:r w:rsidR="00DD6AC7">
        <w:br/>
      </w:r>
      <w:r>
        <w:t>365-Euro-Tickets sind abhängig von den Erkenntnissen dieser Evaluierung.</w:t>
      </w:r>
    </w:p>
    <w:p w:rsidR="00041CAD" w:rsidRDefault="00041CAD">
      <w:bookmarkStart w:id="36" w:name="Frage_Nr_17_Ende"/>
      <w:bookmarkEnd w:id="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B0C96" w:rsidTr="003B0C96">
        <w:tc>
          <w:tcPr>
            <w:tcW w:w="1883" w:type="dxa"/>
          </w:tcPr>
          <w:p w:rsidR="003B0C96" w:rsidRDefault="003B0C96" w:rsidP="003B0C96">
            <w:pPr>
              <w:pStyle w:val="LTAnfrageInitiator"/>
            </w:pPr>
            <w:r>
              <w:t>Abgeordnete</w:t>
            </w:r>
            <w:r>
              <w:rPr>
                <w:b/>
              </w:rPr>
              <w:br/>
              <w:t>Claudia</w:t>
            </w:r>
            <w:r>
              <w:rPr>
                <w:b/>
              </w:rPr>
              <w:br/>
              <w:t>Köhler</w:t>
            </w:r>
            <w:r>
              <w:rPr>
                <w:b/>
              </w:rPr>
              <w:br/>
            </w:r>
            <w:r>
              <w:t>(BÜNDNIS 90/DIE GRÜNEN)</w:t>
            </w:r>
            <w:bookmarkStart w:id="37" w:name="Frage_Nr_18"/>
            <w:bookmarkEnd w:id="37"/>
          </w:p>
        </w:tc>
        <w:tc>
          <w:tcPr>
            <w:tcW w:w="5733" w:type="dxa"/>
          </w:tcPr>
          <w:p w:rsidR="003B0C96" w:rsidRPr="00754CFD" w:rsidRDefault="003B0C96" w:rsidP="00754CFD">
            <w:pPr>
              <w:pStyle w:val="LTAnfrageText"/>
            </w:pPr>
            <w:r w:rsidRPr="00754CFD">
              <w:t>Ich frage die Staatsregierung, wie viele staatliche Objekte sind an gewerbliche Mieter, Pächter oder Erbbaurechtsnehmer vermietet, wie viele davon sind Einzelhandelsobjekte und für wie viele Einzelhandelsobjekte haben staatliche Stellen bisher pandemiebedingt Mietminderungen gewährt? </w:t>
            </w:r>
          </w:p>
        </w:tc>
        <w:tc>
          <w:tcPr>
            <w:tcW w:w="5733" w:type="dxa"/>
          </w:tcPr>
          <w:p w:rsidR="003B0C96" w:rsidRDefault="003B0C96" w:rsidP="003B0C96">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Zur Anfrage zum Plenum der Frau Abgeordneten Claudia Köhler liegen der Staatsregierung keine statistischen Daten vor und eine Erhebung wäre in der zur Verfügung stehenden Zeit nicht möglich.</w:t>
      </w:r>
    </w:p>
    <w:p w:rsidR="00041CAD" w:rsidRDefault="00041CAD" w:rsidP="00041CAD">
      <w:pPr>
        <w:pStyle w:val="LTAntwortRessortText"/>
      </w:pPr>
      <w:r>
        <w:t>Die Gewährung von Zahlungserleichterungen (Mietminderung) für Mieter, Pächter und Erbbaurechtsnehmer von staatlic</w:t>
      </w:r>
      <w:r w:rsidR="00DD6AC7">
        <w:t>hen Objekten in von der Coronak</w:t>
      </w:r>
      <w:r>
        <w:t>rise betroffenen Branchen richtet sich nach den Vor</w:t>
      </w:r>
      <w:r w:rsidR="00DD6AC7">
        <w:t>gaben der Bayerischen Haushalts</w:t>
      </w:r>
      <w:r>
        <w:t>ordnung (BayHO) und den zivilrechtlichen Regelungen. Demnach hat jedes Staatsministerium eigenverantwortlich für jeden Einzelfall über die Gewährung von Zahlungserleichterungen für die im jeweiligen Ressortbereich bewirtschafteten Gebäude zu entscheiden. Aufgrund einer anderen parlamentarischen Anfrage wurde eine Erhebung bei den Ressorts durchgeführt. Die Auswertung ist noch nicht abgeschlossen. Zur Aufgliederung nach Einzelhandelsobjekten konnten in der Kürze der Zeit keine Informationen eingeholt werden.</w:t>
      </w:r>
    </w:p>
    <w:p w:rsidR="00041CAD" w:rsidRDefault="00041CAD">
      <w:bookmarkStart w:id="38" w:name="Frage_Nr_18_Ende"/>
      <w:bookmarkEnd w:id="3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6D591B" w:rsidTr="006D591B">
        <w:tc>
          <w:tcPr>
            <w:tcW w:w="1875" w:type="dxa"/>
          </w:tcPr>
          <w:p w:rsidR="006D591B" w:rsidRDefault="006D591B" w:rsidP="006D591B">
            <w:pPr>
              <w:pStyle w:val="LTAnfrageInitiator"/>
            </w:pPr>
            <w:r>
              <w:t>Abgeordneter</w:t>
            </w:r>
            <w:r>
              <w:rPr>
                <w:b/>
              </w:rPr>
              <w:br/>
              <w:t>Sebastian</w:t>
            </w:r>
            <w:r>
              <w:rPr>
                <w:b/>
              </w:rPr>
              <w:br/>
              <w:t>Körber</w:t>
            </w:r>
            <w:r>
              <w:rPr>
                <w:b/>
              </w:rPr>
              <w:br/>
            </w:r>
            <w:r>
              <w:t>(FDP)</w:t>
            </w:r>
            <w:bookmarkStart w:id="39" w:name="Frage_Nr_19"/>
            <w:bookmarkEnd w:id="39"/>
          </w:p>
        </w:tc>
        <w:tc>
          <w:tcPr>
            <w:tcW w:w="5741" w:type="dxa"/>
          </w:tcPr>
          <w:p w:rsidR="006D591B" w:rsidRPr="00754CFD" w:rsidRDefault="006D591B" w:rsidP="00754CFD">
            <w:pPr>
              <w:pStyle w:val="LTAnfrageText"/>
            </w:pPr>
            <w:r w:rsidRPr="00754CFD">
              <w:t>Ich frage die Staatsregierung, wie hoch der Anteil war, den die BayernHeim GmbH für Projekte aus den Mitteln der gesamten Wohnraumförderung in den Jahren 2019 (rund 703 Mio. Euro) und 2020 (rund 660 Mio. Euro) bekommen hat (bitte um Angabe je Jahr insgesamt und prozentual), wie hoch der durchschnittliche Mietpreis pro Quadratmeter im neu fertiggestellten Objekt in der Donaustraße in Nürnberg ist und wie viele Wohneinheiten in den bereits fertiggestellten Objekten (München und Nürnberg) geförderte Wohnungen sind (bitte um Angabe pro Objekt insgesamt und prozentual gemäß der Wohnraumförderungsbestimmung bspw. Stufe I, II, III)?</w:t>
            </w:r>
          </w:p>
        </w:tc>
        <w:tc>
          <w:tcPr>
            <w:tcW w:w="5741" w:type="dxa"/>
          </w:tcPr>
          <w:p w:rsidR="006D591B" w:rsidRDefault="006D591B" w:rsidP="006D591B">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Der BayernHeim GmbH wurden aus den im Jahr 2019 zur Verfügung stehenden Bewilligungsmitteln der Wohnraumförderung</w:t>
      </w:r>
      <w:r w:rsidR="00DD6AC7">
        <w:t xml:space="preserve"> insgesamt 54.196.200 Euro (ent</w:t>
      </w:r>
      <w:r>
        <w:t>spricht 7,7 Prozent von 703 Mio. Euro) in Form von Darlehen und Zuschüssen bewilligt. Aus dem Mittelkontingent der Wohnraumförderung 2020 hat die BayernHeim GmbH keine Fördermittel erhalten.</w:t>
      </w:r>
    </w:p>
    <w:p w:rsidR="00041CAD" w:rsidRDefault="00041CAD" w:rsidP="00041CAD">
      <w:pPr>
        <w:pStyle w:val="LTAntwortRessortText"/>
      </w:pPr>
      <w:r>
        <w:t>Die Erstvermietungsmiete der Wohnanlage in Nürnberg, Donaustraße, beträgt 9,40 Euro pro Quadratmeter Wohnfläche. Durc</w:t>
      </w:r>
      <w:r w:rsidR="00DD6AC7">
        <w:t>h</w:t>
      </w:r>
      <w:r w:rsidR="00BB5126">
        <w:t xml:space="preserve"> die e</w:t>
      </w:r>
      <w:r w:rsidR="00DD6AC7">
        <w:t>inkommensorientierte För</w:t>
      </w:r>
      <w:r>
        <w:t>derung kann die Mietbelastung für Haushalte der Einkommensstufe I auf bis zu 5,50 Euro pro Quadratmeter Wohnfläche verringert werden.</w:t>
      </w:r>
    </w:p>
    <w:p w:rsidR="00041CAD" w:rsidRDefault="00041CAD" w:rsidP="00041CAD">
      <w:pPr>
        <w:pStyle w:val="LTAntwortRessortText"/>
      </w:pPr>
      <w:r>
        <w:t>In dem fertiggestellten Objekt München, Hansastraße, sind 64 von 71 Wohnungen gefördert. Davon sind 43 Wohnungen (60 Prozent) der Einkommensstufe I und 21 Wohnungen der Einkommensstufe II (30 Prozent) gemäß den aktuell geltenden Wohnraumförderungsbestimmungen 2012 zugeordnet.</w:t>
      </w:r>
    </w:p>
    <w:p w:rsidR="00041CAD" w:rsidRDefault="00041CAD" w:rsidP="00041CAD">
      <w:pPr>
        <w:pStyle w:val="LTAntwortRessortText"/>
      </w:pPr>
      <w:r>
        <w:t>In dem fertiggestellten Objekt Nürnberg, Donaustraße, sind alle 97 Wohnungen gefördert. Davon sind 85 Wohnungen der Einkom</w:t>
      </w:r>
      <w:r w:rsidR="00DD6AC7">
        <w:t>mensstufe I (88 Prozent) und 12 </w:t>
      </w:r>
      <w:r>
        <w:t>Wohnungen (12 Prozent) der Einkommensstufe II der aktuell geltenden Wohnraumförderungsbestimmungen 2012 zugeordnet.</w:t>
      </w:r>
    </w:p>
    <w:p w:rsidR="00041CAD" w:rsidRDefault="00041CAD">
      <w:bookmarkStart w:id="40" w:name="Frage_Nr_19_Ende"/>
      <w:bookmarkEnd w:id="4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C780D" w:rsidTr="000C780D">
        <w:tc>
          <w:tcPr>
            <w:tcW w:w="1854" w:type="dxa"/>
          </w:tcPr>
          <w:p w:rsidR="000C780D" w:rsidRDefault="000C780D" w:rsidP="000C780D">
            <w:pPr>
              <w:pStyle w:val="LTAnfrageInitiator"/>
            </w:pPr>
            <w:r>
              <w:t>Abgeordneter</w:t>
            </w:r>
            <w:r>
              <w:rPr>
                <w:b/>
              </w:rPr>
              <w:br/>
              <w:t>Florian</w:t>
            </w:r>
            <w:r>
              <w:rPr>
                <w:b/>
              </w:rPr>
              <w:br/>
              <w:t>Ritter</w:t>
            </w:r>
            <w:r>
              <w:rPr>
                <w:b/>
              </w:rPr>
              <w:br/>
            </w:r>
            <w:r>
              <w:t>(SPD)</w:t>
            </w:r>
            <w:bookmarkStart w:id="41" w:name="Frage_Nr_20"/>
            <w:bookmarkEnd w:id="41"/>
          </w:p>
        </w:tc>
        <w:tc>
          <w:tcPr>
            <w:tcW w:w="5762" w:type="dxa"/>
          </w:tcPr>
          <w:p w:rsidR="000C780D" w:rsidRPr="00754CFD" w:rsidRDefault="000C780D" w:rsidP="00754CFD">
            <w:pPr>
              <w:pStyle w:val="LTAnfrageText"/>
            </w:pPr>
            <w:r w:rsidRPr="00754CFD">
              <w:t>Ich frage die Staatsregierung, wie viele Wohnungen im Besitz des Freistaates in Bayern im Moment nicht genutzt werden bzw. leer stehen (bitte aufgeschlüsselt nach Landkreisen/kreisfreien Städten angeben), wie hoch die durchschnittliche Leerstandszeit dieser Wohnungen ist und wie sich die Leerstandsquote staatlicher Wohnimmobilien im Verlauf der vergangenen 20 Jahre entwickelt hat?</w:t>
            </w:r>
          </w:p>
        </w:tc>
        <w:tc>
          <w:tcPr>
            <w:tcW w:w="5762" w:type="dxa"/>
          </w:tcPr>
          <w:p w:rsidR="000C780D" w:rsidRDefault="000C780D" w:rsidP="000C780D">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Zum Leerstand in dem staatseigenen Wohnungsbestand in Bewirtschaftung der Staatsministerien und deren nachgeordneter Behörden liegen der Staatsregierung keine statistischen Daten vor und eine Erhebung war in der zur Beantwortung der Anfrage zum Plenum zur Verfügung stehende</w:t>
      </w:r>
      <w:r w:rsidR="00336CA8">
        <w:t>n Zeit nicht möglich. Die Beant</w:t>
      </w:r>
      <w:r>
        <w:t>wortung beschränkt sich daher auf den Wohn</w:t>
      </w:r>
      <w:r w:rsidR="00336CA8">
        <w:t>ungsbestand der staatlichen Woh</w:t>
      </w:r>
      <w:r>
        <w:t>nungsbaugesellschaften.</w:t>
      </w:r>
    </w:p>
    <w:p w:rsidR="00041CAD" w:rsidRDefault="00041CAD" w:rsidP="00041CAD">
      <w:pPr>
        <w:pStyle w:val="LTAntwortRessortText"/>
      </w:pPr>
      <w:r>
        <w:t>Zum Wohnungsbestand der staatlichen Wohnungsbaugesellschaften ist ausz</w:t>
      </w:r>
      <w:r w:rsidR="00336CA8">
        <w:t>ufüh</w:t>
      </w:r>
      <w:r>
        <w:t>ren, dass die Siedlungswerk Nürnberg GmbH zum 31. Dezember 2</w:t>
      </w:r>
      <w:r w:rsidR="00336CA8">
        <w:t>020 einen Wohnungsbestand von 8 </w:t>
      </w:r>
      <w:r>
        <w:t>169 Wohnungen hat</w:t>
      </w:r>
      <w:r w:rsidR="00336CA8">
        <w:t>te. Im Moment sind davon 73 Woh</w:t>
      </w:r>
      <w:r>
        <w:t>nungen nicht genutzt bzw. stehen leer.</w:t>
      </w:r>
    </w:p>
    <w:p w:rsidR="00041CAD" w:rsidRDefault="00041CAD" w:rsidP="00041CAD">
      <w:pPr>
        <w:pStyle w:val="LTAntwortRessortText"/>
      </w:pPr>
      <w:r>
        <w:t>Aufschlüsselung</w:t>
      </w:r>
      <w:r w:rsidR="00145C5D">
        <w:t xml:space="preserve"> der Wohnungen nach Landkreisen</w:t>
      </w:r>
      <w:r>
        <w:t>/kreisfreien Städten:</w:t>
      </w:r>
    </w:p>
    <w:p w:rsidR="00E3495B" w:rsidRDefault="00E3495B" w:rsidP="00041CAD">
      <w:pPr>
        <w:pStyle w:val="LTAntwortRessortText"/>
      </w:pPr>
    </w:p>
    <w:tbl>
      <w:tblPr>
        <w:tblStyle w:val="TableNormal"/>
        <w:tblW w:w="0" w:type="auto"/>
        <w:tblInd w:w="421" w:type="dxa"/>
        <w:tblLayout w:type="fixed"/>
        <w:tblLook w:val="01E0" w:firstRow="1" w:lastRow="1" w:firstColumn="1" w:lastColumn="1" w:noHBand="0" w:noVBand="0"/>
      </w:tblPr>
      <w:tblGrid>
        <w:gridCol w:w="3300"/>
        <w:gridCol w:w="2839"/>
      </w:tblGrid>
      <w:tr w:rsidR="00E3495B" w:rsidRPr="00B438F6" w:rsidTr="00D936F3">
        <w:trPr>
          <w:trHeight w:val="394"/>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line="311" w:lineRule="exact"/>
              <w:rPr>
                <w:rFonts w:ascii="Arial" w:hAnsi="Arial" w:cs="Arial"/>
                <w:b/>
                <w:sz w:val="18"/>
                <w:szCs w:val="18"/>
              </w:rPr>
            </w:pPr>
            <w:r w:rsidRPr="00B438F6">
              <w:rPr>
                <w:rFonts w:ascii="Arial" w:hAnsi="Arial" w:cs="Arial"/>
                <w:b/>
                <w:sz w:val="18"/>
                <w:szCs w:val="18"/>
              </w:rPr>
              <w:t>Landkreis/kreisfreie Stadt</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line="311" w:lineRule="exact"/>
              <w:ind w:left="229" w:right="181"/>
              <w:jc w:val="center"/>
              <w:rPr>
                <w:rFonts w:ascii="Arial" w:hAnsi="Arial" w:cs="Arial"/>
                <w:b/>
                <w:sz w:val="18"/>
                <w:szCs w:val="18"/>
              </w:rPr>
            </w:pPr>
            <w:r w:rsidRPr="00B438F6">
              <w:rPr>
                <w:rFonts w:ascii="Arial" w:hAnsi="Arial" w:cs="Arial"/>
                <w:b/>
                <w:sz w:val="18"/>
                <w:szCs w:val="18"/>
              </w:rPr>
              <w:t>Anzahl Wohnungen</w:t>
            </w:r>
          </w:p>
        </w:tc>
      </w:tr>
      <w:tr w:rsidR="00E3495B" w:rsidRPr="00B438F6" w:rsidTr="00D936F3">
        <w:trPr>
          <w:trHeight w:val="480"/>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Erlangen</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ind w:left="50"/>
              <w:jc w:val="center"/>
              <w:rPr>
                <w:rFonts w:ascii="Arial" w:hAnsi="Arial" w:cs="Arial"/>
                <w:sz w:val="18"/>
                <w:szCs w:val="18"/>
              </w:rPr>
            </w:pPr>
            <w:r w:rsidRPr="00B438F6">
              <w:rPr>
                <w:rFonts w:ascii="Arial" w:hAnsi="Arial" w:cs="Arial"/>
                <w:sz w:val="18"/>
                <w:szCs w:val="18"/>
              </w:rPr>
              <w:t>2</w:t>
            </w:r>
          </w:p>
        </w:tc>
      </w:tr>
      <w:tr w:rsidR="00E3495B" w:rsidRPr="00B438F6" w:rsidTr="00D936F3">
        <w:trPr>
          <w:trHeight w:val="483"/>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Fürth</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ind w:left="50"/>
              <w:jc w:val="center"/>
              <w:rPr>
                <w:rFonts w:ascii="Arial" w:hAnsi="Arial" w:cs="Arial"/>
                <w:sz w:val="18"/>
                <w:szCs w:val="18"/>
              </w:rPr>
            </w:pPr>
            <w:r w:rsidRPr="00B438F6">
              <w:rPr>
                <w:rFonts w:ascii="Arial" w:hAnsi="Arial" w:cs="Arial"/>
                <w:sz w:val="18"/>
                <w:szCs w:val="18"/>
              </w:rPr>
              <w:t>9</w:t>
            </w:r>
          </w:p>
        </w:tc>
      </w:tr>
      <w:tr w:rsidR="00E3495B" w:rsidRPr="00B438F6" w:rsidTr="00D936F3">
        <w:trPr>
          <w:trHeight w:val="483"/>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Nürnberg</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ind w:left="229" w:right="180"/>
              <w:jc w:val="center"/>
              <w:rPr>
                <w:rFonts w:ascii="Arial" w:hAnsi="Arial" w:cs="Arial"/>
                <w:sz w:val="18"/>
                <w:szCs w:val="18"/>
              </w:rPr>
            </w:pPr>
            <w:r w:rsidRPr="00B438F6">
              <w:rPr>
                <w:rFonts w:ascii="Arial" w:hAnsi="Arial" w:cs="Arial"/>
                <w:sz w:val="18"/>
                <w:szCs w:val="18"/>
              </w:rPr>
              <w:t>56</w:t>
            </w:r>
          </w:p>
        </w:tc>
      </w:tr>
      <w:tr w:rsidR="00E3495B" w:rsidRPr="00B438F6" w:rsidTr="00D936F3">
        <w:trPr>
          <w:trHeight w:val="482"/>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Bayreuth</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ind w:left="50"/>
              <w:jc w:val="center"/>
              <w:rPr>
                <w:rFonts w:ascii="Arial" w:hAnsi="Arial" w:cs="Arial"/>
                <w:sz w:val="18"/>
                <w:szCs w:val="18"/>
              </w:rPr>
            </w:pPr>
            <w:r w:rsidRPr="00B438F6">
              <w:rPr>
                <w:rFonts w:ascii="Arial" w:hAnsi="Arial" w:cs="Arial"/>
                <w:sz w:val="18"/>
                <w:szCs w:val="18"/>
              </w:rPr>
              <w:t>3</w:t>
            </w:r>
          </w:p>
        </w:tc>
      </w:tr>
      <w:tr w:rsidR="00E3495B" w:rsidRPr="00B438F6" w:rsidTr="00D936F3">
        <w:trPr>
          <w:trHeight w:val="482"/>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Würzburg</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D936F3">
            <w:pPr>
              <w:pStyle w:val="TableParagraph"/>
              <w:spacing w:before="0"/>
              <w:ind w:left="50"/>
              <w:jc w:val="center"/>
              <w:rPr>
                <w:rFonts w:ascii="Arial" w:hAnsi="Arial" w:cs="Arial"/>
                <w:sz w:val="18"/>
                <w:szCs w:val="18"/>
              </w:rPr>
            </w:pPr>
            <w:r w:rsidRPr="00B438F6">
              <w:rPr>
                <w:rFonts w:ascii="Arial" w:hAnsi="Arial" w:cs="Arial"/>
                <w:sz w:val="18"/>
                <w:szCs w:val="18"/>
              </w:rPr>
              <w:t>2</w:t>
            </w:r>
          </w:p>
        </w:tc>
      </w:tr>
      <w:tr w:rsidR="00E3495B" w:rsidRPr="00B438F6" w:rsidTr="00D936F3">
        <w:trPr>
          <w:trHeight w:val="396"/>
        </w:trPr>
        <w:tc>
          <w:tcPr>
            <w:tcW w:w="3300" w:type="dxa"/>
            <w:tcBorders>
              <w:top w:val="single" w:sz="4" w:space="0" w:color="auto"/>
              <w:left w:val="single" w:sz="4" w:space="0" w:color="auto"/>
              <w:bottom w:val="single" w:sz="4" w:space="0" w:color="auto"/>
              <w:right w:val="single" w:sz="4" w:space="0" w:color="auto"/>
            </w:tcBorders>
          </w:tcPr>
          <w:p w:rsidR="00E3495B" w:rsidRPr="00B438F6" w:rsidRDefault="00E3495B" w:rsidP="00D936F3">
            <w:pPr>
              <w:pStyle w:val="TableParagraph"/>
              <w:spacing w:before="0"/>
              <w:rPr>
                <w:rFonts w:ascii="Arial" w:hAnsi="Arial" w:cs="Arial"/>
                <w:sz w:val="18"/>
                <w:szCs w:val="18"/>
              </w:rPr>
            </w:pPr>
            <w:r w:rsidRPr="00B438F6">
              <w:rPr>
                <w:rFonts w:ascii="Arial" w:hAnsi="Arial" w:cs="Arial"/>
                <w:sz w:val="18"/>
                <w:szCs w:val="18"/>
              </w:rPr>
              <w:t>Lohr am Main</w:t>
            </w:r>
          </w:p>
        </w:tc>
        <w:tc>
          <w:tcPr>
            <w:tcW w:w="2839" w:type="dxa"/>
            <w:tcBorders>
              <w:top w:val="single" w:sz="4" w:space="0" w:color="auto"/>
              <w:left w:val="single" w:sz="4" w:space="0" w:color="auto"/>
              <w:bottom w:val="single" w:sz="4" w:space="0" w:color="auto"/>
              <w:right w:val="single" w:sz="4" w:space="0" w:color="auto"/>
            </w:tcBorders>
          </w:tcPr>
          <w:p w:rsidR="00E3495B" w:rsidRPr="00B438F6" w:rsidRDefault="00E3495B" w:rsidP="00D936F3">
            <w:pPr>
              <w:pStyle w:val="TableParagraph"/>
              <w:spacing w:before="0"/>
              <w:ind w:left="50"/>
              <w:jc w:val="center"/>
              <w:rPr>
                <w:rFonts w:ascii="Arial" w:hAnsi="Arial" w:cs="Arial"/>
                <w:sz w:val="18"/>
                <w:szCs w:val="18"/>
              </w:rPr>
            </w:pPr>
            <w:r w:rsidRPr="00B438F6">
              <w:rPr>
                <w:rFonts w:ascii="Arial" w:hAnsi="Arial" w:cs="Arial"/>
                <w:sz w:val="18"/>
                <w:szCs w:val="18"/>
              </w:rPr>
              <w:t>1</w:t>
            </w:r>
          </w:p>
        </w:tc>
      </w:tr>
    </w:tbl>
    <w:p w:rsidR="00041CAD" w:rsidRDefault="00041CAD" w:rsidP="00041CAD">
      <w:pPr>
        <w:pStyle w:val="LTAntwortRessortText"/>
      </w:pPr>
      <w:r>
        <w:t>Die Stadibau GmbH hatte zum 31. Dezember 2</w:t>
      </w:r>
      <w:r w:rsidR="00D936F3">
        <w:t>020 einen Wohnungsbestand von 7 </w:t>
      </w:r>
      <w:r>
        <w:t>882 Wohnungen. Im Moment sind davon 98 Wohnungen nicht genutzt bzw. stehen leer.</w:t>
      </w:r>
    </w:p>
    <w:p w:rsidR="00BB5126" w:rsidRDefault="00BB5126">
      <w:r>
        <w:br w:type="page"/>
      </w:r>
    </w:p>
    <w:p w:rsidR="00041CAD" w:rsidRDefault="00041CAD" w:rsidP="00041CAD">
      <w:pPr>
        <w:pStyle w:val="LTAntwortRessortText"/>
      </w:pPr>
      <w:r>
        <w:t>Aufschlüsselung der Wohnungen nach Landkreisen/kreisfreien Städten:</w:t>
      </w:r>
    </w:p>
    <w:p w:rsidR="00D936F3" w:rsidRDefault="00D936F3" w:rsidP="00041CAD">
      <w:pPr>
        <w:pStyle w:val="LTAntwortRessortText"/>
      </w:pPr>
    </w:p>
    <w:tbl>
      <w:tblPr>
        <w:tblStyle w:val="TableNormal"/>
        <w:tblW w:w="0" w:type="auto"/>
        <w:tblInd w:w="421" w:type="dxa"/>
        <w:tblLayout w:type="fixed"/>
        <w:tblLook w:val="01E0" w:firstRow="1" w:lastRow="1" w:firstColumn="1" w:lastColumn="1" w:noHBand="0" w:noVBand="0"/>
      </w:tblPr>
      <w:tblGrid>
        <w:gridCol w:w="3690"/>
        <w:gridCol w:w="2547"/>
      </w:tblGrid>
      <w:tr w:rsidR="00E3495B" w:rsidRPr="00B438F6" w:rsidTr="00145C5D">
        <w:trPr>
          <w:trHeight w:val="79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B5126">
            <w:pPr>
              <w:pStyle w:val="TableParagraph"/>
              <w:spacing w:before="0" w:line="311" w:lineRule="exact"/>
              <w:rPr>
                <w:rFonts w:ascii="Arial" w:hAnsi="Arial" w:cs="Arial"/>
                <w:b/>
                <w:sz w:val="18"/>
                <w:szCs w:val="18"/>
              </w:rPr>
            </w:pPr>
            <w:r w:rsidRPr="00B438F6">
              <w:rPr>
                <w:rFonts w:ascii="Arial" w:hAnsi="Arial" w:cs="Arial"/>
                <w:b/>
                <w:sz w:val="18"/>
                <w:szCs w:val="18"/>
              </w:rPr>
              <w:t>Landkreis/kreisfreie</w:t>
            </w:r>
            <w:r w:rsidR="00BB5126">
              <w:rPr>
                <w:rFonts w:ascii="Arial" w:hAnsi="Arial" w:cs="Arial"/>
                <w:b/>
                <w:sz w:val="18"/>
                <w:szCs w:val="18"/>
              </w:rPr>
              <w:t xml:space="preserve"> </w:t>
            </w:r>
            <w:r w:rsidRPr="00B438F6">
              <w:rPr>
                <w:rFonts w:ascii="Arial" w:hAnsi="Arial" w:cs="Arial"/>
                <w:b/>
                <w:sz w:val="18"/>
                <w:szCs w:val="18"/>
              </w:rPr>
              <w:t>Stadt</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line="311" w:lineRule="exact"/>
              <w:ind w:left="448"/>
              <w:rPr>
                <w:rFonts w:ascii="Arial" w:hAnsi="Arial" w:cs="Arial"/>
                <w:b/>
                <w:sz w:val="18"/>
                <w:szCs w:val="18"/>
              </w:rPr>
            </w:pPr>
            <w:r w:rsidRPr="00B438F6">
              <w:rPr>
                <w:rFonts w:ascii="Arial" w:hAnsi="Arial" w:cs="Arial"/>
                <w:b/>
                <w:sz w:val="18"/>
                <w:szCs w:val="18"/>
              </w:rPr>
              <w:t>Anzahl Wohnungen</w:t>
            </w:r>
          </w:p>
        </w:tc>
      </w:tr>
      <w:tr w:rsidR="00E3495B" w:rsidRPr="00B438F6" w:rsidTr="00145C5D">
        <w:trPr>
          <w:trHeight w:val="398"/>
        </w:trPr>
        <w:tc>
          <w:tcPr>
            <w:tcW w:w="3690" w:type="dxa"/>
            <w:tcBorders>
              <w:left w:val="single" w:sz="4" w:space="0" w:color="auto"/>
              <w:bottom w:val="single" w:sz="4" w:space="0" w:color="auto"/>
              <w:right w:val="single" w:sz="4" w:space="0" w:color="auto"/>
            </w:tcBorders>
          </w:tcPr>
          <w:p w:rsidR="00E3495B" w:rsidRPr="00B438F6" w:rsidRDefault="00E3495B" w:rsidP="00B438F6">
            <w:pPr>
              <w:pStyle w:val="TableParagraph"/>
              <w:spacing w:before="0" w:line="311" w:lineRule="exact"/>
              <w:rPr>
                <w:rFonts w:ascii="Arial" w:hAnsi="Arial" w:cs="Arial"/>
                <w:sz w:val="18"/>
                <w:szCs w:val="18"/>
              </w:rPr>
            </w:pPr>
            <w:r w:rsidRPr="00B438F6">
              <w:rPr>
                <w:rFonts w:ascii="Arial" w:hAnsi="Arial" w:cs="Arial"/>
                <w:sz w:val="18"/>
                <w:szCs w:val="18"/>
              </w:rPr>
              <w:t>Augsburg (LK)</w:t>
            </w:r>
          </w:p>
        </w:tc>
        <w:tc>
          <w:tcPr>
            <w:tcW w:w="2547" w:type="dxa"/>
            <w:tcBorders>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4</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Augsburg (Stadt)</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Berchtesgadener Land</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8</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Dachau</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Dillingen an der Donau</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Erding</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3</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Fürstenfeldbruck</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2</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Garmisch-Partenkirchen</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7</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Landsberg am Lech</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2</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Miesbach</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145C5D" w:rsidP="00B438F6">
            <w:pPr>
              <w:pStyle w:val="TableParagraph"/>
              <w:spacing w:before="0"/>
              <w:rPr>
                <w:rFonts w:ascii="Arial" w:hAnsi="Arial" w:cs="Arial"/>
                <w:sz w:val="18"/>
                <w:szCs w:val="18"/>
              </w:rPr>
            </w:pPr>
            <w:r>
              <w:rPr>
                <w:rFonts w:ascii="Arial" w:hAnsi="Arial" w:cs="Arial"/>
                <w:sz w:val="18"/>
                <w:szCs w:val="18"/>
              </w:rPr>
              <w:t>München (Landkreis</w:t>
            </w:r>
            <w:r w:rsidR="00E3495B" w:rsidRPr="00B438F6">
              <w:rPr>
                <w:rFonts w:ascii="Arial" w:hAnsi="Arial" w:cs="Arial"/>
                <w:sz w:val="18"/>
                <w:szCs w:val="18"/>
              </w:rPr>
              <w:t>)</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16</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München (Stadt)</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36</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Neumarkt in der Oberpfalz</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397"/>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rPr>
                <w:rFonts w:ascii="Arial" w:hAnsi="Arial" w:cs="Arial"/>
                <w:sz w:val="18"/>
                <w:szCs w:val="18"/>
              </w:rPr>
            </w:pPr>
            <w:r w:rsidRPr="00B438F6">
              <w:rPr>
                <w:rFonts w:ascii="Arial" w:hAnsi="Arial" w:cs="Arial"/>
                <w:sz w:val="18"/>
                <w:szCs w:val="18"/>
              </w:rPr>
              <w:t>Neustadt an der Waldnaab</w:t>
            </w:r>
          </w:p>
        </w:tc>
        <w:tc>
          <w:tcPr>
            <w:tcW w:w="2547" w:type="dxa"/>
            <w:tcBorders>
              <w:top w:val="single" w:sz="4" w:space="0" w:color="auto"/>
              <w:left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2</w:t>
            </w:r>
          </w:p>
        </w:tc>
      </w:tr>
      <w:tr w:rsidR="00E3495B" w:rsidRPr="00B438F6" w:rsidTr="00145C5D">
        <w:trPr>
          <w:trHeight w:val="396"/>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rPr>
                <w:rFonts w:ascii="Arial" w:hAnsi="Arial" w:cs="Arial"/>
                <w:sz w:val="18"/>
                <w:szCs w:val="18"/>
              </w:rPr>
            </w:pPr>
            <w:r w:rsidRPr="00B438F6">
              <w:rPr>
                <w:rFonts w:ascii="Arial" w:hAnsi="Arial" w:cs="Arial"/>
                <w:sz w:val="18"/>
                <w:szCs w:val="18"/>
              </w:rPr>
              <w:t>Oberallgäu</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Passau (Stadt)</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3</w:t>
            </w:r>
          </w:p>
        </w:tc>
      </w:tr>
      <w:tr w:rsidR="00E3495B" w:rsidRPr="00B438F6" w:rsidTr="00145C5D">
        <w:trPr>
          <w:trHeight w:val="482"/>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Regensburg</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4</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Rosenheim</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r w:rsidR="00E3495B" w:rsidRPr="00B438F6" w:rsidTr="00145C5D">
        <w:trPr>
          <w:trHeight w:val="483"/>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B438F6">
            <w:pPr>
              <w:pStyle w:val="TableParagraph"/>
              <w:spacing w:before="0"/>
              <w:rPr>
                <w:rFonts w:ascii="Arial" w:hAnsi="Arial" w:cs="Arial"/>
                <w:sz w:val="18"/>
                <w:szCs w:val="18"/>
              </w:rPr>
            </w:pPr>
            <w:r w:rsidRPr="00B438F6">
              <w:rPr>
                <w:rFonts w:ascii="Arial" w:hAnsi="Arial" w:cs="Arial"/>
                <w:sz w:val="18"/>
                <w:szCs w:val="18"/>
              </w:rPr>
              <w:t>Straubing (Stadt)</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3</w:t>
            </w:r>
          </w:p>
        </w:tc>
      </w:tr>
      <w:tr w:rsidR="00E3495B" w:rsidRPr="00B438F6" w:rsidTr="00145C5D">
        <w:trPr>
          <w:trHeight w:val="396"/>
        </w:trPr>
        <w:tc>
          <w:tcPr>
            <w:tcW w:w="3690"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rPr>
                <w:rFonts w:ascii="Arial" w:hAnsi="Arial" w:cs="Arial"/>
                <w:sz w:val="18"/>
                <w:szCs w:val="18"/>
              </w:rPr>
            </w:pPr>
            <w:r w:rsidRPr="00B438F6">
              <w:rPr>
                <w:rFonts w:ascii="Arial" w:hAnsi="Arial" w:cs="Arial"/>
                <w:sz w:val="18"/>
                <w:szCs w:val="18"/>
              </w:rPr>
              <w:t>Weilheim-Schongau</w:t>
            </w:r>
          </w:p>
        </w:tc>
        <w:tc>
          <w:tcPr>
            <w:tcW w:w="2547" w:type="dxa"/>
            <w:tcBorders>
              <w:top w:val="single" w:sz="4" w:space="0" w:color="auto"/>
              <w:left w:val="single" w:sz="4" w:space="0" w:color="auto"/>
              <w:bottom w:val="single" w:sz="4" w:space="0" w:color="auto"/>
              <w:right w:val="single" w:sz="4" w:space="0" w:color="auto"/>
            </w:tcBorders>
          </w:tcPr>
          <w:p w:rsidR="00E3495B" w:rsidRPr="00B438F6" w:rsidRDefault="00E3495B" w:rsidP="00145C5D">
            <w:pPr>
              <w:pStyle w:val="TableParagraph"/>
              <w:spacing w:before="0"/>
              <w:jc w:val="center"/>
              <w:rPr>
                <w:rFonts w:ascii="Arial" w:hAnsi="Arial" w:cs="Arial"/>
                <w:sz w:val="18"/>
                <w:szCs w:val="18"/>
              </w:rPr>
            </w:pPr>
            <w:r w:rsidRPr="00B438F6">
              <w:rPr>
                <w:rFonts w:ascii="Arial" w:hAnsi="Arial" w:cs="Arial"/>
                <w:sz w:val="18"/>
                <w:szCs w:val="18"/>
              </w:rPr>
              <w:t>1</w:t>
            </w:r>
          </w:p>
        </w:tc>
      </w:tr>
    </w:tbl>
    <w:p w:rsidR="00041CAD" w:rsidRDefault="00041CAD" w:rsidP="00041CAD">
      <w:pPr>
        <w:pStyle w:val="LTAntwortRessortText"/>
      </w:pPr>
      <w:r>
        <w:t>Die durchschnittliche Leerstandszeit bei Objekten der Siedlungswerk Nürnberg GmbH liegt bei ca. ein bis zwei Monaten und begründet sich hauptsächlich durch Mieterwechsel und notwendige Instandsetzungen.</w:t>
      </w:r>
    </w:p>
    <w:p w:rsidR="00041CAD" w:rsidRDefault="00041CAD" w:rsidP="00041CAD">
      <w:pPr>
        <w:pStyle w:val="LTAntwortRessortText"/>
      </w:pPr>
      <w:r>
        <w:t>Bei der Stadibau GmbH liegt die durchschnittlic</w:t>
      </w:r>
      <w:r w:rsidR="00145C5D">
        <w:t>he Leerstandszeit bei den Objek</w:t>
      </w:r>
      <w:r>
        <w:t>ten, bei denen Mieterwechsel und notwendige Instandsetzungen stattfinden, bei ca. vier Monaten. Bei Objekten, die für eine weitere Verwertung bzw. ein</w:t>
      </w:r>
      <w:r w:rsidR="00BB5126">
        <w:t>en</w:t>
      </w:r>
      <w:r>
        <w:t xml:space="preserve"> Abriss vorgesehen sind und bei Objekten, die in Gegenden mit geringer Nac</w:t>
      </w:r>
      <w:r w:rsidR="00145C5D">
        <w:t>hfrage lie</w:t>
      </w:r>
      <w:r>
        <w:t>gen, ist die Dauer des Leerstands in Einzelfällen höher.</w:t>
      </w:r>
    </w:p>
    <w:p w:rsidR="00041CAD" w:rsidRDefault="00041CAD" w:rsidP="00041CAD">
      <w:pPr>
        <w:pStyle w:val="LTAntwortRessortText"/>
      </w:pPr>
      <w:r>
        <w:t xml:space="preserve">Die Leerstandsquote bei Objekten der Siedlungswerk Nürnberg GmbH lag in den letzten 20 Jahren durchschnittlich bei ca. 1,2 </w:t>
      </w:r>
      <w:r w:rsidR="00BD06F4">
        <w:t>Prozent</w:t>
      </w:r>
      <w:r>
        <w:t>.</w:t>
      </w:r>
    </w:p>
    <w:p w:rsidR="00041CAD" w:rsidRDefault="00041CAD" w:rsidP="00E3495B">
      <w:pPr>
        <w:pStyle w:val="LTAntwortRessortText"/>
        <w:spacing w:before="0"/>
      </w:pPr>
      <w:r>
        <w:t xml:space="preserve">Bei der Stadibau GmbH lag diese durchschnittlich bei ca. 1,3 </w:t>
      </w:r>
      <w:r w:rsidR="00BD06F4">
        <w:t>Prozent</w:t>
      </w:r>
      <w:r>
        <w:t>.</w:t>
      </w:r>
    </w:p>
    <w:p w:rsidR="00041CAD" w:rsidRDefault="00145C5D" w:rsidP="00041CAD">
      <w:pPr>
        <w:pStyle w:val="LTAntwortRessortText"/>
      </w:pPr>
      <w:r>
        <w:t>Die Wohnungen der Bayern</w:t>
      </w:r>
      <w:r w:rsidR="00041CAD">
        <w:t>Heim GmbH sind vermietet bzw. befinden sich in der Erstvermietung.</w:t>
      </w:r>
    </w:p>
    <w:p w:rsidR="00041CAD" w:rsidRDefault="00041CAD">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C780D" w:rsidTr="000C780D">
        <w:tc>
          <w:tcPr>
            <w:tcW w:w="1883" w:type="dxa"/>
          </w:tcPr>
          <w:p w:rsidR="000C780D" w:rsidRDefault="000C780D" w:rsidP="000C780D">
            <w:pPr>
              <w:pStyle w:val="LTAnfrageInitiator"/>
            </w:pPr>
            <w:r>
              <w:t>Abgeordnete</w:t>
            </w:r>
            <w:r>
              <w:rPr>
                <w:b/>
              </w:rPr>
              <w:br/>
              <w:t>Stephanie</w:t>
            </w:r>
            <w:r>
              <w:rPr>
                <w:b/>
              </w:rPr>
              <w:br/>
              <w:t>Schuhknecht</w:t>
            </w:r>
            <w:r>
              <w:rPr>
                <w:b/>
              </w:rPr>
              <w:br/>
            </w:r>
            <w:r>
              <w:t>(BÜNDNIS 90/DIE GRÜNEN)</w:t>
            </w:r>
            <w:bookmarkStart w:id="43" w:name="Frage_Nr_21"/>
            <w:bookmarkEnd w:id="43"/>
          </w:p>
        </w:tc>
        <w:tc>
          <w:tcPr>
            <w:tcW w:w="5733" w:type="dxa"/>
          </w:tcPr>
          <w:p w:rsidR="000C780D" w:rsidRPr="00754CFD" w:rsidRDefault="000C780D" w:rsidP="00754CFD">
            <w:pPr>
              <w:pStyle w:val="LTAnfrageText"/>
            </w:pPr>
            <w:r w:rsidRPr="00754CFD">
              <w:t>Ich frage die Staatsregierung, entspricht es der Wahrheit, dass der Freistaat bzw. das Staatsministerium für Wohnen, Bau und Verkehr (StMB) mit dem Investor CV Real Estate Mietverträge für Büroeinheiten direkt am Gleis 1 des Augsburger Hauptbahnhofs (ehemalige innere Ladehöfe) für die Anschlussunterbringung der Außenstelle des StMB (bisher Langenmantelstraße 1) verhandelt oder schon abgeschlossen hat, zu welchen Konditionen mietet der Freistaat dort (bitte aufschlüsseln nach Beginn des Mietverhältnisses, Mietdauer, qm, Preis im Monat und Preis pro qm) und für welches Honorar hat Rechtsanwalt Alfred Sauter diese Mietverträge im Auftrag des Freistaates verhandelt?</w:t>
            </w:r>
          </w:p>
        </w:tc>
        <w:tc>
          <w:tcPr>
            <w:tcW w:w="5733" w:type="dxa"/>
          </w:tcPr>
          <w:p w:rsidR="000C780D" w:rsidRDefault="000C780D" w:rsidP="000C780D">
            <w:pPr>
              <w:pStyle w:val="LTAnfrageText"/>
            </w:pPr>
          </w:p>
        </w:tc>
      </w:tr>
    </w:tbl>
    <w:p w:rsidR="00041CAD" w:rsidRDefault="00041CAD" w:rsidP="00041CAD">
      <w:pPr>
        <w:pStyle w:val="LTUeberschrAntwortRessort"/>
      </w:pPr>
      <w:r>
        <w:t>Antwort des Staatsministeriums für Wohnen, Bau und Verkehr</w:t>
      </w:r>
    </w:p>
    <w:p w:rsidR="00041CAD" w:rsidRDefault="00041CAD" w:rsidP="00041CAD">
      <w:pPr>
        <w:pStyle w:val="LTAntwortRessortText"/>
      </w:pPr>
      <w:r>
        <w:t xml:space="preserve">Die Immobilien Freistaat Bayern führt im Auftrag des </w:t>
      </w:r>
      <w:r w:rsidR="00145C5D">
        <w:t>StMB</w:t>
      </w:r>
      <w:r>
        <w:t xml:space="preserve"> ein Flächenmanagementverfahren für eine dauerhafte Unterbringung am Dienstsitz Augsburg durch. Im Rahmen dieses Verfahrens fanden auch Verhandlungen mit CV Real Estate statt. Ein Mietvertrag wurde nicht abgeschlossen. Herr Rechtsanwalt Alfred Sauter hat nicht im Auftrag des Freistaates Bayern an Verhandlungen teilgenommen.</w:t>
      </w:r>
    </w:p>
    <w:p w:rsidR="00041CAD" w:rsidRDefault="00041CAD">
      <w:bookmarkStart w:id="44" w:name="Frage_Nr_21_Ende"/>
      <w:bookmarkEnd w:id="44"/>
      <w:r>
        <w:br w:type="page"/>
      </w:r>
    </w:p>
    <w:p w:rsidR="00041CAD" w:rsidRDefault="00041CAD" w:rsidP="00041CAD">
      <w:pPr>
        <w:pStyle w:val="LTUeberschrRessort"/>
      </w:pPr>
      <w:r>
        <w:t>Geschäftsbereich des Staatsministeriums der Justiz</w:t>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0C780D" w:rsidTr="000C780D">
        <w:tc>
          <w:tcPr>
            <w:tcW w:w="1856" w:type="dxa"/>
          </w:tcPr>
          <w:p w:rsidR="000C780D" w:rsidRDefault="000C780D" w:rsidP="000C780D">
            <w:pPr>
              <w:pStyle w:val="LTAnfrageInitiator"/>
            </w:pPr>
            <w:r>
              <w:t>Abgeordneter</w:t>
            </w:r>
            <w:r>
              <w:rPr>
                <w:b/>
              </w:rPr>
              <w:br/>
              <w:t>Jan</w:t>
            </w:r>
            <w:r>
              <w:rPr>
                <w:b/>
              </w:rPr>
              <w:br/>
              <w:t>Schiffers</w:t>
            </w:r>
            <w:r>
              <w:rPr>
                <w:b/>
              </w:rPr>
              <w:br/>
            </w:r>
            <w:r>
              <w:t>(AfD)</w:t>
            </w:r>
            <w:bookmarkStart w:id="45" w:name="Frage_Nr_22"/>
            <w:bookmarkEnd w:id="45"/>
          </w:p>
        </w:tc>
        <w:tc>
          <w:tcPr>
            <w:tcW w:w="5760" w:type="dxa"/>
          </w:tcPr>
          <w:p w:rsidR="000C780D" w:rsidRPr="00754CFD" w:rsidRDefault="000C780D" w:rsidP="00754CFD">
            <w:pPr>
              <w:pStyle w:val="LTAnfrageText"/>
            </w:pPr>
            <w:r w:rsidRPr="00754CFD">
              <w:t>Ich frage die Staatsregierung, in welchem Umfang wird von ihr eine Erweiterung bzw. Weiterentwicklung des Justizstandortes Bamberg geplant (Anzahl der benötigten Gebäude, Parkplätze, Anzahl der Mitarbeiter), welche Gebäude auf dem Lagarde-Gelände sind aus Sicht der Staatsregierung besonders geeignete Objekte und gibt es konkrete Nutzungspläne für die „Reithalle“ auf dem Lagarde-Gelände?</w:t>
            </w:r>
          </w:p>
        </w:tc>
        <w:tc>
          <w:tcPr>
            <w:tcW w:w="5760" w:type="dxa"/>
          </w:tcPr>
          <w:p w:rsidR="000C780D" w:rsidRDefault="000C780D" w:rsidP="000C780D">
            <w:pPr>
              <w:pStyle w:val="LTAnfrageText"/>
            </w:pPr>
          </w:p>
        </w:tc>
      </w:tr>
    </w:tbl>
    <w:p w:rsidR="00041CAD" w:rsidRDefault="00041CAD" w:rsidP="00041CAD">
      <w:pPr>
        <w:pStyle w:val="LTUeberschrAntwortRessort"/>
      </w:pPr>
      <w:r>
        <w:t>Antwort des Staatsministeriums der Justiz</w:t>
      </w:r>
    </w:p>
    <w:p w:rsidR="00041CAD" w:rsidRPr="00E3495B" w:rsidRDefault="00041CAD" w:rsidP="00041CAD">
      <w:pPr>
        <w:pStyle w:val="LTAntwortRessortText"/>
        <w:rPr>
          <w:b/>
          <w:u w:val="single"/>
        </w:rPr>
      </w:pPr>
      <w:r w:rsidRPr="00E3495B">
        <w:rPr>
          <w:b/>
          <w:u w:val="single"/>
        </w:rPr>
        <w:t>Vorbemerkung:</w:t>
      </w:r>
    </w:p>
    <w:p w:rsidR="00161C71" w:rsidRDefault="00041CAD" w:rsidP="00041CAD">
      <w:pPr>
        <w:pStyle w:val="LTAntwortRessortText"/>
      </w:pPr>
      <w:r>
        <w:t>Die Gerichte und Staatsanwaltschaften in Bamberg sind auf mehrere Standorte verteilt und beengt untergebracht. Daher besteh</w:t>
      </w:r>
      <w:r w:rsidR="00FF266C">
        <w:t>en Überlegungen, für die Bamber</w:t>
      </w:r>
      <w:r>
        <w:t>ger Gerichte und Staatsanwaltschaften weitere R</w:t>
      </w:r>
      <w:r w:rsidR="00FF266C">
        <w:t>äumlichkeiten zu gewinnen. Inso</w:t>
      </w:r>
      <w:r>
        <w:t xml:space="preserve">fern wurden bezogen auf das Lagarde-Gelände Gespräche mit Vertretern der Stadt Bamberg geführt. Die Überlegungen befinden sich in einem frühen Stadium. </w:t>
      </w:r>
    </w:p>
    <w:p w:rsidR="00041CAD" w:rsidRDefault="00041CAD" w:rsidP="00041CAD">
      <w:pPr>
        <w:pStyle w:val="LTAntwortRessortText"/>
      </w:pPr>
      <w:r>
        <w:t>Im Zusammenhang mit der laufenden Suche nach einem geeigneten</w:t>
      </w:r>
      <w:r w:rsidR="00FF266C">
        <w:t xml:space="preserve"> Baugrund</w:t>
      </w:r>
      <w:r>
        <w:t>stück für den beabsichtigten Ersatzneubau der Justizvollzugsanstalt Bamberg (im Haushaltsplan 2021 veranschlag</w:t>
      </w:r>
      <w:r w:rsidR="00FF266C">
        <w:t>t als Planungstitel bei Kap. 04 05 Tit. 737 </w:t>
      </w:r>
      <w:r>
        <w:t>55) spielte das Lagarde-Gelände bislang keine Rolle. Die nachfolgenden Antworten be</w:t>
      </w:r>
      <w:r w:rsidR="00FF266C">
        <w:t>schränken sich daher auf den Be</w:t>
      </w:r>
      <w:r>
        <w:t>reich der Gerichte und Staatsanwaltschaften.</w:t>
      </w:r>
    </w:p>
    <w:p w:rsidR="00041CAD" w:rsidRDefault="00041CAD" w:rsidP="00041CAD">
      <w:pPr>
        <w:pStyle w:val="LTAntwortRessortText"/>
      </w:pPr>
      <w:r>
        <w:t>Dies vorangestellt werden die Fragen wie folgt beantwortet:</w:t>
      </w:r>
    </w:p>
    <w:p w:rsidR="00041CAD" w:rsidRDefault="00041CAD" w:rsidP="003D642D">
      <w:pPr>
        <w:pStyle w:val="LTAntwortRessortText"/>
      </w:pPr>
      <w:r>
        <w:t>Der Umfang steht bislang nicht fest.</w:t>
      </w:r>
    </w:p>
    <w:p w:rsidR="00041CAD" w:rsidRDefault="00041CAD" w:rsidP="003D642D">
      <w:pPr>
        <w:pStyle w:val="LTAntwortRessortText"/>
      </w:pPr>
      <w:r>
        <w:t>Die Eignung einer Liegenschaft zur Unterbringung staatlicher Behörden wird durch die Immobilien Freistaat Bayern im Rah</w:t>
      </w:r>
      <w:r w:rsidR="00FF266C">
        <w:t>men einer Flächennutzungsempfeh</w:t>
      </w:r>
      <w:r>
        <w:t>lung beurteilt. Zum jetzigen Verfahrensstand kann über die mögliche Eignung von Gebäuden auf dem Lagarde-Gelände daher keine abschließende Aussage getroffen werden.</w:t>
      </w:r>
    </w:p>
    <w:p w:rsidR="00041CAD" w:rsidRDefault="00041CAD" w:rsidP="003D642D">
      <w:pPr>
        <w:pStyle w:val="LTAntwortRessortText"/>
      </w:pPr>
      <w:r>
        <w:t xml:space="preserve">Konkrete Nutzungspläne für die </w:t>
      </w:r>
      <w:r w:rsidR="00BD06F4">
        <w:t>„</w:t>
      </w:r>
      <w:r>
        <w:t>Reithalle</w:t>
      </w:r>
      <w:r w:rsidR="00BD06F4">
        <w:t>“</w:t>
      </w:r>
      <w:r>
        <w:t xml:space="preserve"> gibt es derzeit nicht.</w:t>
      </w:r>
    </w:p>
    <w:p w:rsidR="00041CAD" w:rsidRDefault="00041CAD">
      <w:bookmarkStart w:id="46" w:name="Frage_Nr_22_Ende"/>
      <w:bookmarkEnd w:id="46"/>
      <w:r>
        <w:br w:type="page"/>
      </w:r>
    </w:p>
    <w:p w:rsidR="00041CAD" w:rsidRDefault="00041CAD" w:rsidP="00041CAD">
      <w:pPr>
        <w:pStyle w:val="LTUeberschrRessort"/>
      </w:pPr>
      <w:r>
        <w:t>Geschäftsbereich des Staatsministeriums für Unterricht und Kultus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C780D" w:rsidTr="000C780D">
        <w:tc>
          <w:tcPr>
            <w:tcW w:w="1854" w:type="dxa"/>
          </w:tcPr>
          <w:p w:rsidR="000C780D" w:rsidRDefault="000C780D" w:rsidP="000C780D">
            <w:pPr>
              <w:pStyle w:val="LTAnfrageInitiator"/>
            </w:pPr>
            <w:r>
              <w:t>Abgeordneter</w:t>
            </w:r>
            <w:r>
              <w:rPr>
                <w:b/>
              </w:rPr>
              <w:br/>
              <w:t>Klaus</w:t>
            </w:r>
            <w:r>
              <w:rPr>
                <w:b/>
              </w:rPr>
              <w:br/>
              <w:t>Adelt</w:t>
            </w:r>
            <w:r>
              <w:rPr>
                <w:b/>
              </w:rPr>
              <w:br/>
            </w:r>
            <w:r>
              <w:t>(SPD)</w:t>
            </w:r>
            <w:bookmarkStart w:id="47" w:name="Frage_Nr_23"/>
            <w:bookmarkEnd w:id="47"/>
          </w:p>
        </w:tc>
        <w:tc>
          <w:tcPr>
            <w:tcW w:w="5762" w:type="dxa"/>
          </w:tcPr>
          <w:p w:rsidR="000C780D" w:rsidRPr="00754CFD" w:rsidRDefault="000C780D" w:rsidP="00754CFD">
            <w:pPr>
              <w:pStyle w:val="LTAnfrageText"/>
            </w:pPr>
            <w:r w:rsidRPr="00754CFD">
              <w:t>Ich frage die Staatsregierung, wie viele geförderte Luftfilteranlagen wurden bisher angeschafft (bitte aufgegliedert nach Regierungsbezirken und falls möglich auch Landkreise und kreisfreie Städte angeben), wie viele geförderte CO</w:t>
            </w:r>
            <w:r w:rsidRPr="008E6914">
              <w:rPr>
                <w:vertAlign w:val="subscript"/>
              </w:rPr>
              <w:t>2</w:t>
            </w:r>
            <w:r w:rsidRPr="00754CFD">
              <w:t>-Sensoren wurden bisher angeschafft (bitte aufgegliedert nach Regierungsbezirken und falls möglich auch Landkreise und kreisfreie Städte angeben) und stehen noch entsprechende Fördermittel zur Verfügung?</w:t>
            </w:r>
          </w:p>
        </w:tc>
        <w:tc>
          <w:tcPr>
            <w:tcW w:w="5762" w:type="dxa"/>
          </w:tcPr>
          <w:p w:rsidR="000C780D" w:rsidRDefault="000C780D" w:rsidP="000C780D">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Für die mobilen Luftreinigungsgeräte beläuft sich die Summe der förderfähigen Geräte/Räume aus der ersten und der noch laufenden zweiten Antragsrunde auf rund</w:t>
      </w:r>
      <w:r w:rsidR="00161C71">
        <w:t xml:space="preserve"> </w:t>
      </w:r>
      <w:r>
        <w:t>12</w:t>
      </w:r>
      <w:r w:rsidR="008E6914">
        <w:t> </w:t>
      </w:r>
      <w:r>
        <w:t>500 Stück. Gegliedert nach Regierungsbezirken ergeben sich folgende Werte</w:t>
      </w:r>
      <w:r w:rsidR="00161C71">
        <w:t xml:space="preserve"> </w:t>
      </w:r>
      <w:r>
        <w:t>(Stand 16.04.2021):</w:t>
      </w:r>
    </w:p>
    <w:p w:rsidR="00041CAD" w:rsidRDefault="00041CAD" w:rsidP="00041CAD">
      <w:pPr>
        <w:pStyle w:val="LTAntwortRessortText"/>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9"/>
        <w:gridCol w:w="3560"/>
      </w:tblGrid>
      <w:tr w:rsidR="00ED45A2" w:rsidTr="00B438F6">
        <w:trPr>
          <w:trHeight w:val="272"/>
        </w:trPr>
        <w:tc>
          <w:tcPr>
            <w:tcW w:w="1489" w:type="dxa"/>
          </w:tcPr>
          <w:p w:rsidR="00ED45A2" w:rsidRPr="00B438F6" w:rsidRDefault="00ED45A2" w:rsidP="00B438F6">
            <w:pPr>
              <w:pStyle w:val="TableParagraph"/>
              <w:ind w:left="40"/>
              <w:rPr>
                <w:rFonts w:ascii="Arial" w:hAnsi="Arial" w:cs="Arial"/>
                <w:sz w:val="18"/>
                <w:szCs w:val="18"/>
              </w:rPr>
            </w:pPr>
            <w:r w:rsidRPr="00B438F6">
              <w:rPr>
                <w:rFonts w:ascii="Arial" w:hAnsi="Arial" w:cs="Arial"/>
                <w:spacing w:val="-3"/>
                <w:w w:val="105"/>
                <w:sz w:val="18"/>
                <w:szCs w:val="18"/>
              </w:rPr>
              <w:t xml:space="preserve">Regierung </w:t>
            </w:r>
            <w:r w:rsidR="008E6914">
              <w:rPr>
                <w:rFonts w:ascii="Arial" w:hAnsi="Arial" w:cs="Arial"/>
                <w:w w:val="105"/>
                <w:sz w:val="18"/>
                <w:szCs w:val="18"/>
              </w:rPr>
              <w:t>von/</w:t>
            </w:r>
            <w:r w:rsidRPr="00B438F6">
              <w:rPr>
                <w:rFonts w:ascii="Arial" w:hAnsi="Arial" w:cs="Arial"/>
                <w:w w:val="105"/>
                <w:sz w:val="18"/>
                <w:szCs w:val="18"/>
              </w:rPr>
              <w:t>der</w:t>
            </w:r>
          </w:p>
        </w:tc>
        <w:tc>
          <w:tcPr>
            <w:tcW w:w="3560" w:type="dxa"/>
          </w:tcPr>
          <w:p w:rsidR="00ED45A2" w:rsidRPr="00B438F6" w:rsidRDefault="00ED45A2" w:rsidP="00B438F6">
            <w:pPr>
              <w:pStyle w:val="TableParagraph"/>
              <w:ind w:left="40"/>
              <w:jc w:val="center"/>
              <w:rPr>
                <w:rFonts w:ascii="Arial" w:hAnsi="Arial" w:cs="Arial"/>
                <w:sz w:val="18"/>
                <w:szCs w:val="18"/>
              </w:rPr>
            </w:pPr>
            <w:r w:rsidRPr="00B438F6">
              <w:rPr>
                <w:rFonts w:ascii="Arial" w:hAnsi="Arial" w:cs="Arial"/>
                <w:spacing w:val="-3"/>
                <w:w w:val="105"/>
                <w:sz w:val="18"/>
                <w:szCs w:val="18"/>
              </w:rPr>
              <w:t xml:space="preserve">Zahl </w:t>
            </w:r>
            <w:r w:rsidRPr="00B438F6">
              <w:rPr>
                <w:rFonts w:ascii="Arial" w:hAnsi="Arial" w:cs="Arial"/>
                <w:w w:val="105"/>
                <w:sz w:val="18"/>
                <w:szCs w:val="18"/>
              </w:rPr>
              <w:t>der (förderfähigen) Geräte/Räume</w:t>
            </w:r>
          </w:p>
        </w:tc>
      </w:tr>
      <w:tr w:rsidR="00ED45A2" w:rsidTr="00B438F6">
        <w:trPr>
          <w:trHeight w:val="272"/>
        </w:trPr>
        <w:tc>
          <w:tcPr>
            <w:tcW w:w="1489" w:type="dxa"/>
          </w:tcPr>
          <w:p w:rsidR="00ED45A2" w:rsidRPr="00B438F6" w:rsidRDefault="00ED45A2" w:rsidP="00B438F6">
            <w:pPr>
              <w:pStyle w:val="TableParagraph"/>
              <w:spacing w:before="0"/>
              <w:rPr>
                <w:rFonts w:ascii="Arial" w:hAnsi="Arial" w:cs="Arial"/>
                <w:sz w:val="18"/>
                <w:szCs w:val="18"/>
              </w:rPr>
            </w:pPr>
          </w:p>
        </w:tc>
        <w:tc>
          <w:tcPr>
            <w:tcW w:w="3560" w:type="dxa"/>
          </w:tcPr>
          <w:p w:rsidR="00ED45A2" w:rsidRPr="00B438F6" w:rsidRDefault="00ED45A2" w:rsidP="00B438F6">
            <w:pPr>
              <w:pStyle w:val="TableParagraph"/>
              <w:spacing w:before="0"/>
              <w:jc w:val="center"/>
              <w:rPr>
                <w:rFonts w:ascii="Arial" w:hAnsi="Arial" w:cs="Arial"/>
                <w:sz w:val="18"/>
                <w:szCs w:val="18"/>
              </w:rPr>
            </w:pPr>
          </w:p>
        </w:tc>
      </w:tr>
      <w:tr w:rsidR="00ED45A2" w:rsidTr="00B438F6">
        <w:trPr>
          <w:trHeight w:val="272"/>
        </w:trPr>
        <w:tc>
          <w:tcPr>
            <w:tcW w:w="1489" w:type="dxa"/>
          </w:tcPr>
          <w:p w:rsidR="00ED45A2" w:rsidRPr="00B438F6" w:rsidRDefault="00ED45A2" w:rsidP="00B438F6">
            <w:pPr>
              <w:pStyle w:val="TableParagraph"/>
              <w:ind w:left="40"/>
              <w:rPr>
                <w:rFonts w:ascii="Arial" w:hAnsi="Arial" w:cs="Arial"/>
                <w:sz w:val="18"/>
                <w:szCs w:val="18"/>
              </w:rPr>
            </w:pPr>
            <w:r w:rsidRPr="00B438F6">
              <w:rPr>
                <w:rFonts w:ascii="Arial" w:hAnsi="Arial" w:cs="Arial"/>
                <w:w w:val="105"/>
                <w:sz w:val="18"/>
                <w:szCs w:val="18"/>
              </w:rPr>
              <w:t>Oberbayern</w:t>
            </w:r>
          </w:p>
        </w:tc>
        <w:tc>
          <w:tcPr>
            <w:tcW w:w="3560" w:type="dxa"/>
          </w:tcPr>
          <w:p w:rsidR="00ED45A2" w:rsidRPr="00B438F6" w:rsidRDefault="00ED45A2" w:rsidP="00B438F6">
            <w:pPr>
              <w:pStyle w:val="TableParagraph"/>
              <w:ind w:right="26"/>
              <w:jc w:val="center"/>
              <w:rPr>
                <w:rFonts w:ascii="Arial" w:hAnsi="Arial" w:cs="Arial"/>
                <w:sz w:val="18"/>
                <w:szCs w:val="18"/>
              </w:rPr>
            </w:pPr>
            <w:r w:rsidRPr="00B438F6">
              <w:rPr>
                <w:rFonts w:ascii="Arial" w:hAnsi="Arial" w:cs="Arial"/>
                <w:sz w:val="18"/>
                <w:szCs w:val="18"/>
              </w:rPr>
              <w:t>4</w:t>
            </w:r>
            <w:r w:rsidR="008E6914">
              <w:rPr>
                <w:rFonts w:ascii="Arial" w:hAnsi="Arial" w:cs="Arial"/>
                <w:sz w:val="18"/>
                <w:szCs w:val="18"/>
              </w:rPr>
              <w:t> </w:t>
            </w:r>
            <w:r w:rsidRPr="00B438F6">
              <w:rPr>
                <w:rFonts w:ascii="Arial" w:hAnsi="Arial" w:cs="Arial"/>
                <w:sz w:val="18"/>
                <w:szCs w:val="18"/>
              </w:rPr>
              <w:t>954</w:t>
            </w:r>
          </w:p>
        </w:tc>
      </w:tr>
      <w:tr w:rsidR="00ED45A2" w:rsidTr="00B438F6">
        <w:trPr>
          <w:trHeight w:val="272"/>
        </w:trPr>
        <w:tc>
          <w:tcPr>
            <w:tcW w:w="1489" w:type="dxa"/>
          </w:tcPr>
          <w:p w:rsidR="00ED45A2" w:rsidRPr="00B438F6" w:rsidRDefault="00ED45A2" w:rsidP="00B438F6">
            <w:pPr>
              <w:pStyle w:val="TableParagraph"/>
              <w:spacing w:line="239" w:lineRule="exact"/>
              <w:ind w:left="40"/>
              <w:rPr>
                <w:rFonts w:ascii="Arial" w:hAnsi="Arial" w:cs="Arial"/>
                <w:sz w:val="18"/>
                <w:szCs w:val="18"/>
              </w:rPr>
            </w:pPr>
            <w:r w:rsidRPr="00B438F6">
              <w:rPr>
                <w:rFonts w:ascii="Arial" w:hAnsi="Arial" w:cs="Arial"/>
                <w:w w:val="105"/>
                <w:sz w:val="18"/>
                <w:szCs w:val="18"/>
              </w:rPr>
              <w:t>Niederbayern</w:t>
            </w:r>
          </w:p>
        </w:tc>
        <w:tc>
          <w:tcPr>
            <w:tcW w:w="3560" w:type="dxa"/>
          </w:tcPr>
          <w:p w:rsidR="00ED45A2" w:rsidRPr="00B438F6" w:rsidRDefault="00ED45A2" w:rsidP="00B438F6">
            <w:pPr>
              <w:pStyle w:val="TableParagraph"/>
              <w:spacing w:line="239" w:lineRule="exact"/>
              <w:ind w:right="26"/>
              <w:jc w:val="center"/>
              <w:rPr>
                <w:rFonts w:ascii="Arial" w:hAnsi="Arial" w:cs="Arial"/>
                <w:sz w:val="18"/>
                <w:szCs w:val="18"/>
              </w:rPr>
            </w:pPr>
            <w:r w:rsidRPr="00B438F6">
              <w:rPr>
                <w:rFonts w:ascii="Arial" w:hAnsi="Arial" w:cs="Arial"/>
                <w:sz w:val="18"/>
                <w:szCs w:val="18"/>
              </w:rPr>
              <w:t>1</w:t>
            </w:r>
            <w:r w:rsidR="008E6914">
              <w:rPr>
                <w:rFonts w:ascii="Arial" w:hAnsi="Arial" w:cs="Arial"/>
                <w:sz w:val="18"/>
                <w:szCs w:val="18"/>
              </w:rPr>
              <w:t> </w:t>
            </w:r>
            <w:r w:rsidRPr="00B438F6">
              <w:rPr>
                <w:rFonts w:ascii="Arial" w:hAnsi="Arial" w:cs="Arial"/>
                <w:sz w:val="18"/>
                <w:szCs w:val="18"/>
              </w:rPr>
              <w:t>003</w:t>
            </w:r>
          </w:p>
        </w:tc>
      </w:tr>
      <w:tr w:rsidR="00ED45A2" w:rsidTr="00B438F6">
        <w:trPr>
          <w:trHeight w:val="272"/>
        </w:trPr>
        <w:tc>
          <w:tcPr>
            <w:tcW w:w="1489" w:type="dxa"/>
          </w:tcPr>
          <w:p w:rsidR="00ED45A2" w:rsidRPr="00B438F6" w:rsidRDefault="00ED45A2" w:rsidP="00B438F6">
            <w:pPr>
              <w:pStyle w:val="TableParagraph"/>
              <w:spacing w:line="239" w:lineRule="exact"/>
              <w:ind w:left="40"/>
              <w:rPr>
                <w:rFonts w:ascii="Arial" w:hAnsi="Arial" w:cs="Arial"/>
                <w:sz w:val="18"/>
                <w:szCs w:val="18"/>
              </w:rPr>
            </w:pPr>
            <w:r w:rsidRPr="00B438F6">
              <w:rPr>
                <w:rFonts w:ascii="Arial" w:hAnsi="Arial" w:cs="Arial"/>
                <w:w w:val="105"/>
                <w:sz w:val="18"/>
                <w:szCs w:val="18"/>
              </w:rPr>
              <w:t>Oberpfalz</w:t>
            </w:r>
          </w:p>
        </w:tc>
        <w:tc>
          <w:tcPr>
            <w:tcW w:w="3560" w:type="dxa"/>
          </w:tcPr>
          <w:p w:rsidR="00ED45A2" w:rsidRPr="00B438F6" w:rsidRDefault="00ED45A2" w:rsidP="00B438F6">
            <w:pPr>
              <w:pStyle w:val="TableParagraph"/>
              <w:spacing w:line="239" w:lineRule="exact"/>
              <w:ind w:right="26"/>
              <w:jc w:val="center"/>
              <w:rPr>
                <w:rFonts w:ascii="Arial" w:hAnsi="Arial" w:cs="Arial"/>
                <w:sz w:val="18"/>
                <w:szCs w:val="18"/>
              </w:rPr>
            </w:pPr>
            <w:r w:rsidRPr="00B438F6">
              <w:rPr>
                <w:rFonts w:ascii="Arial" w:hAnsi="Arial" w:cs="Arial"/>
                <w:sz w:val="18"/>
                <w:szCs w:val="18"/>
              </w:rPr>
              <w:t>1</w:t>
            </w:r>
            <w:r w:rsidR="008E6914">
              <w:rPr>
                <w:rFonts w:ascii="Arial" w:hAnsi="Arial" w:cs="Arial"/>
                <w:sz w:val="18"/>
                <w:szCs w:val="18"/>
              </w:rPr>
              <w:t> </w:t>
            </w:r>
            <w:r w:rsidRPr="00B438F6">
              <w:rPr>
                <w:rFonts w:ascii="Arial" w:hAnsi="Arial" w:cs="Arial"/>
                <w:sz w:val="18"/>
                <w:szCs w:val="18"/>
              </w:rPr>
              <w:t>191</w:t>
            </w:r>
          </w:p>
        </w:tc>
      </w:tr>
      <w:tr w:rsidR="00ED45A2" w:rsidTr="00B438F6">
        <w:trPr>
          <w:trHeight w:val="272"/>
        </w:trPr>
        <w:tc>
          <w:tcPr>
            <w:tcW w:w="1489" w:type="dxa"/>
          </w:tcPr>
          <w:p w:rsidR="00ED45A2" w:rsidRPr="00B438F6" w:rsidRDefault="00ED45A2" w:rsidP="00B438F6">
            <w:pPr>
              <w:pStyle w:val="TableParagraph"/>
              <w:spacing w:line="239" w:lineRule="exact"/>
              <w:ind w:left="40"/>
              <w:rPr>
                <w:rFonts w:ascii="Arial" w:hAnsi="Arial" w:cs="Arial"/>
                <w:sz w:val="18"/>
                <w:szCs w:val="18"/>
              </w:rPr>
            </w:pPr>
            <w:r w:rsidRPr="00B438F6">
              <w:rPr>
                <w:rFonts w:ascii="Arial" w:hAnsi="Arial" w:cs="Arial"/>
                <w:w w:val="105"/>
                <w:sz w:val="18"/>
                <w:szCs w:val="18"/>
              </w:rPr>
              <w:t>Oberfranken</w:t>
            </w:r>
          </w:p>
        </w:tc>
        <w:tc>
          <w:tcPr>
            <w:tcW w:w="3560" w:type="dxa"/>
          </w:tcPr>
          <w:p w:rsidR="00ED45A2" w:rsidRPr="00B438F6" w:rsidRDefault="00ED45A2" w:rsidP="00B438F6">
            <w:pPr>
              <w:pStyle w:val="TableParagraph"/>
              <w:spacing w:line="239" w:lineRule="exact"/>
              <w:ind w:right="26"/>
              <w:jc w:val="center"/>
              <w:rPr>
                <w:rFonts w:ascii="Arial" w:hAnsi="Arial" w:cs="Arial"/>
                <w:sz w:val="18"/>
                <w:szCs w:val="18"/>
              </w:rPr>
            </w:pPr>
            <w:r w:rsidRPr="00B438F6">
              <w:rPr>
                <w:rFonts w:ascii="Arial" w:hAnsi="Arial" w:cs="Arial"/>
                <w:sz w:val="18"/>
                <w:szCs w:val="18"/>
              </w:rPr>
              <w:t>1</w:t>
            </w:r>
            <w:r w:rsidR="008E6914">
              <w:rPr>
                <w:rFonts w:ascii="Arial" w:hAnsi="Arial" w:cs="Arial"/>
                <w:sz w:val="18"/>
                <w:szCs w:val="18"/>
              </w:rPr>
              <w:t> </w:t>
            </w:r>
            <w:r w:rsidRPr="00B438F6">
              <w:rPr>
                <w:rFonts w:ascii="Arial" w:hAnsi="Arial" w:cs="Arial"/>
                <w:sz w:val="18"/>
                <w:szCs w:val="18"/>
              </w:rPr>
              <w:t>081</w:t>
            </w:r>
          </w:p>
        </w:tc>
      </w:tr>
      <w:tr w:rsidR="00ED45A2" w:rsidTr="00B438F6">
        <w:trPr>
          <w:trHeight w:val="272"/>
        </w:trPr>
        <w:tc>
          <w:tcPr>
            <w:tcW w:w="1489" w:type="dxa"/>
          </w:tcPr>
          <w:p w:rsidR="00ED45A2" w:rsidRPr="00B438F6" w:rsidRDefault="00ED45A2" w:rsidP="00B438F6">
            <w:pPr>
              <w:pStyle w:val="TableParagraph"/>
              <w:spacing w:line="239" w:lineRule="exact"/>
              <w:ind w:left="40"/>
              <w:rPr>
                <w:rFonts w:ascii="Arial" w:hAnsi="Arial" w:cs="Arial"/>
                <w:sz w:val="18"/>
                <w:szCs w:val="18"/>
              </w:rPr>
            </w:pPr>
            <w:r w:rsidRPr="00B438F6">
              <w:rPr>
                <w:rFonts w:ascii="Arial" w:hAnsi="Arial" w:cs="Arial"/>
                <w:w w:val="105"/>
                <w:sz w:val="18"/>
                <w:szCs w:val="18"/>
              </w:rPr>
              <w:t>Mittelfranken</w:t>
            </w:r>
          </w:p>
        </w:tc>
        <w:tc>
          <w:tcPr>
            <w:tcW w:w="3560" w:type="dxa"/>
          </w:tcPr>
          <w:p w:rsidR="00ED45A2" w:rsidRPr="00B438F6" w:rsidRDefault="00ED45A2" w:rsidP="00B438F6">
            <w:pPr>
              <w:pStyle w:val="TableParagraph"/>
              <w:spacing w:line="239" w:lineRule="exact"/>
              <w:ind w:right="26"/>
              <w:jc w:val="center"/>
              <w:rPr>
                <w:rFonts w:ascii="Arial" w:hAnsi="Arial" w:cs="Arial"/>
                <w:sz w:val="18"/>
                <w:szCs w:val="18"/>
              </w:rPr>
            </w:pPr>
            <w:r w:rsidRPr="00B438F6">
              <w:rPr>
                <w:rFonts w:ascii="Arial" w:hAnsi="Arial" w:cs="Arial"/>
                <w:sz w:val="18"/>
                <w:szCs w:val="18"/>
              </w:rPr>
              <w:t>1</w:t>
            </w:r>
            <w:r w:rsidR="008E6914">
              <w:rPr>
                <w:rFonts w:ascii="Arial" w:hAnsi="Arial" w:cs="Arial"/>
                <w:sz w:val="18"/>
                <w:szCs w:val="18"/>
              </w:rPr>
              <w:t> </w:t>
            </w:r>
            <w:r w:rsidRPr="00B438F6">
              <w:rPr>
                <w:rFonts w:ascii="Arial" w:hAnsi="Arial" w:cs="Arial"/>
                <w:sz w:val="18"/>
                <w:szCs w:val="18"/>
              </w:rPr>
              <w:t>667</w:t>
            </w:r>
          </w:p>
        </w:tc>
      </w:tr>
      <w:tr w:rsidR="00ED45A2" w:rsidTr="00B438F6">
        <w:trPr>
          <w:trHeight w:val="272"/>
        </w:trPr>
        <w:tc>
          <w:tcPr>
            <w:tcW w:w="1489" w:type="dxa"/>
          </w:tcPr>
          <w:p w:rsidR="00ED45A2" w:rsidRPr="00B438F6" w:rsidRDefault="00ED45A2" w:rsidP="00B438F6">
            <w:pPr>
              <w:pStyle w:val="TableParagraph"/>
              <w:ind w:left="40"/>
              <w:rPr>
                <w:rFonts w:ascii="Arial" w:hAnsi="Arial" w:cs="Arial"/>
                <w:sz w:val="18"/>
                <w:szCs w:val="18"/>
              </w:rPr>
            </w:pPr>
            <w:r w:rsidRPr="00B438F6">
              <w:rPr>
                <w:rFonts w:ascii="Arial" w:hAnsi="Arial" w:cs="Arial"/>
                <w:w w:val="105"/>
                <w:sz w:val="18"/>
                <w:szCs w:val="18"/>
              </w:rPr>
              <w:t>Unterfranken</w:t>
            </w:r>
          </w:p>
        </w:tc>
        <w:tc>
          <w:tcPr>
            <w:tcW w:w="3560" w:type="dxa"/>
          </w:tcPr>
          <w:p w:rsidR="00ED45A2" w:rsidRPr="00B438F6" w:rsidRDefault="00ED45A2" w:rsidP="00B438F6">
            <w:pPr>
              <w:pStyle w:val="TableParagraph"/>
              <w:ind w:right="26"/>
              <w:jc w:val="center"/>
              <w:rPr>
                <w:rFonts w:ascii="Arial" w:hAnsi="Arial" w:cs="Arial"/>
                <w:sz w:val="18"/>
                <w:szCs w:val="18"/>
              </w:rPr>
            </w:pPr>
            <w:r w:rsidRPr="00B438F6">
              <w:rPr>
                <w:rFonts w:ascii="Arial" w:hAnsi="Arial" w:cs="Arial"/>
                <w:sz w:val="18"/>
                <w:szCs w:val="18"/>
              </w:rPr>
              <w:t>1</w:t>
            </w:r>
            <w:r w:rsidR="008E6914">
              <w:rPr>
                <w:rFonts w:ascii="Arial" w:hAnsi="Arial" w:cs="Arial"/>
                <w:sz w:val="18"/>
                <w:szCs w:val="18"/>
              </w:rPr>
              <w:t> </w:t>
            </w:r>
            <w:r w:rsidRPr="00B438F6">
              <w:rPr>
                <w:rFonts w:ascii="Arial" w:hAnsi="Arial" w:cs="Arial"/>
                <w:sz w:val="18"/>
                <w:szCs w:val="18"/>
              </w:rPr>
              <w:t>059</w:t>
            </w:r>
          </w:p>
        </w:tc>
      </w:tr>
      <w:tr w:rsidR="00ED45A2" w:rsidTr="00B438F6">
        <w:trPr>
          <w:trHeight w:val="272"/>
        </w:trPr>
        <w:tc>
          <w:tcPr>
            <w:tcW w:w="1489" w:type="dxa"/>
          </w:tcPr>
          <w:p w:rsidR="00ED45A2" w:rsidRPr="00B438F6" w:rsidRDefault="00ED45A2" w:rsidP="00B438F6">
            <w:pPr>
              <w:pStyle w:val="TableParagraph"/>
              <w:ind w:left="40"/>
              <w:rPr>
                <w:rFonts w:ascii="Arial" w:hAnsi="Arial" w:cs="Arial"/>
                <w:sz w:val="18"/>
                <w:szCs w:val="18"/>
              </w:rPr>
            </w:pPr>
            <w:r w:rsidRPr="00B438F6">
              <w:rPr>
                <w:rFonts w:ascii="Arial" w:hAnsi="Arial" w:cs="Arial"/>
                <w:w w:val="105"/>
                <w:sz w:val="18"/>
                <w:szCs w:val="18"/>
              </w:rPr>
              <w:t>Schwaben</w:t>
            </w:r>
          </w:p>
        </w:tc>
        <w:tc>
          <w:tcPr>
            <w:tcW w:w="3560" w:type="dxa"/>
          </w:tcPr>
          <w:p w:rsidR="00ED45A2" w:rsidRPr="00B438F6" w:rsidRDefault="00ED45A2" w:rsidP="00B438F6">
            <w:pPr>
              <w:pStyle w:val="TableParagraph"/>
              <w:ind w:right="26"/>
              <w:jc w:val="center"/>
              <w:rPr>
                <w:rFonts w:ascii="Arial" w:hAnsi="Arial" w:cs="Arial"/>
                <w:sz w:val="18"/>
                <w:szCs w:val="18"/>
              </w:rPr>
            </w:pPr>
            <w:r w:rsidRPr="00B438F6">
              <w:rPr>
                <w:rFonts w:ascii="Arial" w:hAnsi="Arial" w:cs="Arial"/>
                <w:sz w:val="18"/>
                <w:szCs w:val="18"/>
              </w:rPr>
              <w:t>1</w:t>
            </w:r>
            <w:r w:rsidR="008E6914">
              <w:rPr>
                <w:rFonts w:ascii="Arial" w:hAnsi="Arial" w:cs="Arial"/>
                <w:sz w:val="18"/>
                <w:szCs w:val="18"/>
              </w:rPr>
              <w:t> </w:t>
            </w:r>
            <w:r w:rsidRPr="00B438F6">
              <w:rPr>
                <w:rFonts w:ascii="Arial" w:hAnsi="Arial" w:cs="Arial"/>
                <w:sz w:val="18"/>
                <w:szCs w:val="18"/>
              </w:rPr>
              <w:t>602</w:t>
            </w:r>
          </w:p>
        </w:tc>
      </w:tr>
      <w:tr w:rsidR="00ED45A2" w:rsidTr="00B438F6">
        <w:trPr>
          <w:trHeight w:val="272"/>
        </w:trPr>
        <w:tc>
          <w:tcPr>
            <w:tcW w:w="1489" w:type="dxa"/>
          </w:tcPr>
          <w:p w:rsidR="00ED45A2" w:rsidRPr="00B438F6" w:rsidRDefault="00ED45A2" w:rsidP="00B438F6">
            <w:pPr>
              <w:pStyle w:val="TableParagraph"/>
              <w:spacing w:before="0"/>
              <w:rPr>
                <w:rFonts w:ascii="Arial" w:hAnsi="Arial" w:cs="Arial"/>
                <w:sz w:val="18"/>
                <w:szCs w:val="18"/>
              </w:rPr>
            </w:pPr>
          </w:p>
        </w:tc>
        <w:tc>
          <w:tcPr>
            <w:tcW w:w="3560" w:type="dxa"/>
          </w:tcPr>
          <w:p w:rsidR="00ED45A2" w:rsidRPr="00B438F6" w:rsidRDefault="00ED45A2" w:rsidP="00B438F6">
            <w:pPr>
              <w:pStyle w:val="TableParagraph"/>
              <w:spacing w:before="0"/>
              <w:jc w:val="center"/>
              <w:rPr>
                <w:rFonts w:ascii="Arial" w:hAnsi="Arial" w:cs="Arial"/>
                <w:sz w:val="18"/>
                <w:szCs w:val="18"/>
              </w:rPr>
            </w:pPr>
          </w:p>
        </w:tc>
      </w:tr>
      <w:tr w:rsidR="00ED45A2" w:rsidTr="00B438F6">
        <w:trPr>
          <w:trHeight w:val="272"/>
        </w:trPr>
        <w:tc>
          <w:tcPr>
            <w:tcW w:w="1489" w:type="dxa"/>
          </w:tcPr>
          <w:p w:rsidR="00ED45A2" w:rsidRPr="00B438F6" w:rsidRDefault="00ED45A2" w:rsidP="00B438F6">
            <w:pPr>
              <w:pStyle w:val="TableParagraph"/>
              <w:ind w:left="40"/>
              <w:rPr>
                <w:rFonts w:ascii="Arial" w:hAnsi="Arial" w:cs="Arial"/>
                <w:b/>
                <w:sz w:val="18"/>
                <w:szCs w:val="18"/>
              </w:rPr>
            </w:pPr>
            <w:r w:rsidRPr="00B438F6">
              <w:rPr>
                <w:rFonts w:ascii="Arial" w:hAnsi="Arial" w:cs="Arial"/>
                <w:b/>
                <w:w w:val="105"/>
                <w:sz w:val="18"/>
                <w:szCs w:val="18"/>
              </w:rPr>
              <w:t>Gesamt:</w:t>
            </w:r>
          </w:p>
        </w:tc>
        <w:tc>
          <w:tcPr>
            <w:tcW w:w="3560" w:type="dxa"/>
          </w:tcPr>
          <w:p w:rsidR="00ED45A2" w:rsidRPr="00B438F6" w:rsidRDefault="00ED45A2" w:rsidP="00B438F6">
            <w:pPr>
              <w:pStyle w:val="TableParagraph"/>
              <w:ind w:right="27"/>
              <w:jc w:val="center"/>
              <w:rPr>
                <w:rFonts w:ascii="Arial" w:hAnsi="Arial" w:cs="Arial"/>
                <w:b/>
                <w:sz w:val="18"/>
                <w:szCs w:val="18"/>
              </w:rPr>
            </w:pPr>
            <w:r w:rsidRPr="00B438F6">
              <w:rPr>
                <w:rFonts w:ascii="Arial" w:hAnsi="Arial" w:cs="Arial"/>
                <w:b/>
                <w:sz w:val="18"/>
                <w:szCs w:val="18"/>
              </w:rPr>
              <w:t>12</w:t>
            </w:r>
            <w:r w:rsidR="008E6914">
              <w:rPr>
                <w:rFonts w:ascii="Arial" w:hAnsi="Arial" w:cs="Arial"/>
                <w:b/>
                <w:sz w:val="18"/>
                <w:szCs w:val="18"/>
              </w:rPr>
              <w:t> </w:t>
            </w:r>
            <w:r w:rsidRPr="00B438F6">
              <w:rPr>
                <w:rFonts w:ascii="Arial" w:hAnsi="Arial" w:cs="Arial"/>
                <w:b/>
                <w:sz w:val="18"/>
                <w:szCs w:val="18"/>
              </w:rPr>
              <w:t>557</w:t>
            </w:r>
          </w:p>
        </w:tc>
      </w:tr>
    </w:tbl>
    <w:p w:rsidR="00041CAD" w:rsidRDefault="00041CAD" w:rsidP="00041CAD">
      <w:pPr>
        <w:pStyle w:val="LTAntwortRessortText"/>
      </w:pPr>
      <w:r>
        <w:t>Die Beschaffung von CO</w:t>
      </w:r>
      <w:r w:rsidRPr="008E6914">
        <w:rPr>
          <w:vertAlign w:val="subscript"/>
        </w:rPr>
        <w:t>2</w:t>
      </w:r>
      <w:r>
        <w:t>-Sensoren wurde (nur) in der ersten Antragsrunde gefördert.</w:t>
      </w:r>
      <w:r w:rsidR="00161C71">
        <w:t xml:space="preserve"> </w:t>
      </w:r>
      <w:r>
        <w:t>Rund 1</w:t>
      </w:r>
      <w:r w:rsidR="003D642D">
        <w:t> </w:t>
      </w:r>
      <w:r>
        <w:t>600 kommunale und private Schulaufwandsträger haben davon Gebrauch</w:t>
      </w:r>
      <w:r w:rsidR="00161C71">
        <w:t xml:space="preserve"> </w:t>
      </w:r>
      <w:r>
        <w:t>gemacht. Da die Förderung der CO</w:t>
      </w:r>
      <w:r w:rsidRPr="008E6914">
        <w:rPr>
          <w:vertAlign w:val="subscript"/>
        </w:rPr>
        <w:t>2</w:t>
      </w:r>
      <w:r>
        <w:t>-Sensoren als schülerzahlbasierter Pauschalbetrag</w:t>
      </w:r>
      <w:r w:rsidR="00161C71">
        <w:t xml:space="preserve"> </w:t>
      </w:r>
      <w:r>
        <w:t>abgerufen wurde, lässt sich die Zahl der beschafften CO</w:t>
      </w:r>
      <w:r w:rsidRPr="008E6914">
        <w:rPr>
          <w:vertAlign w:val="subscript"/>
        </w:rPr>
        <w:t>2</w:t>
      </w:r>
      <w:r>
        <w:t>-Sensoren nicht</w:t>
      </w:r>
      <w:r w:rsidR="00161C71">
        <w:t xml:space="preserve"> </w:t>
      </w:r>
      <w:r>
        <w:t>angeben. Insoweit und hinsichtlich weiterer Details wird auf die Beantwortung der</w:t>
      </w:r>
      <w:r w:rsidR="00161C71">
        <w:t xml:space="preserve"> </w:t>
      </w:r>
      <w:r>
        <w:t xml:space="preserve">Schriftlichen Anfrage des Abgeordneten Klaus Adelt vom 15.02.2021 </w:t>
      </w:r>
      <w:r w:rsidR="00BD06F4">
        <w:t>„</w:t>
      </w:r>
      <w:r>
        <w:t>Förderung von</w:t>
      </w:r>
      <w:r w:rsidR="00161C71">
        <w:t xml:space="preserve"> </w:t>
      </w:r>
      <w:r>
        <w:t>CO</w:t>
      </w:r>
      <w:r w:rsidRPr="008E6914">
        <w:rPr>
          <w:vertAlign w:val="subscript"/>
        </w:rPr>
        <w:t>2</w:t>
      </w:r>
      <w:r>
        <w:t>-Sensoren und Luftfilteranlagen an Schulen</w:t>
      </w:r>
      <w:r w:rsidR="00BD06F4">
        <w:t>“</w:t>
      </w:r>
      <w:r w:rsidR="008E6914">
        <w:t xml:space="preserve"> verwiesen (Drs. </w:t>
      </w:r>
      <w:r>
        <w:t>18/14506).</w:t>
      </w:r>
    </w:p>
    <w:p w:rsidR="00041CAD" w:rsidRDefault="00041CAD" w:rsidP="00041CAD">
      <w:pPr>
        <w:pStyle w:val="LTAntwortRessortText"/>
      </w:pPr>
      <w:r>
        <w:t>Im Bereich der kommunalen Schulaufwandsträger stehen weiterhin Fördermittel zur</w:t>
      </w:r>
      <w:r w:rsidR="00161C71">
        <w:t xml:space="preserve"> </w:t>
      </w:r>
      <w:r>
        <w:t>Verfügung. Im Bereich der staatlich anerkannten bzw. staatlich genehmigten privaten</w:t>
      </w:r>
      <w:r w:rsidR="00161C71">
        <w:t xml:space="preserve"> </w:t>
      </w:r>
      <w:r>
        <w:t>Schulen existiert aktuell eine Warteliste; über weitere Mittelzuweisungen wird nach</w:t>
      </w:r>
      <w:r w:rsidR="00161C71">
        <w:t xml:space="preserve"> </w:t>
      </w:r>
      <w:r>
        <w:t>Ablauf der Antragsfrist entschieden.</w:t>
      </w:r>
    </w:p>
    <w:p w:rsidR="00041CAD" w:rsidRDefault="00041CAD" w:rsidP="00B438F6">
      <w:pPr>
        <w:pStyle w:val="LTAntwortRessortText"/>
      </w:pPr>
      <w:r>
        <w:t>Es wird darauf hingewiesen, dass Datenkorrekturen, partielle Antragsrücknahmen</w:t>
      </w:r>
      <w:r w:rsidR="00161C71">
        <w:t xml:space="preserve"> </w:t>
      </w:r>
      <w:r>
        <w:t>sowie die Prüfung der Verwendungsnachweise bzw. der Verwendungsbestätigungen</w:t>
      </w:r>
      <w:r w:rsidR="00161C71">
        <w:t xml:space="preserve"> </w:t>
      </w:r>
      <w:r>
        <w:t>Änderungen der Angaben bedingen.</w:t>
      </w:r>
      <w:bookmarkStart w:id="48" w:name="Frage_Nr_23_Ende"/>
      <w:bookmarkEnd w:id="48"/>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0C780D" w:rsidTr="000C780D">
        <w:tc>
          <w:tcPr>
            <w:tcW w:w="1905" w:type="dxa"/>
          </w:tcPr>
          <w:p w:rsidR="000C780D" w:rsidRDefault="000C780D" w:rsidP="000C780D">
            <w:pPr>
              <w:pStyle w:val="LTAnfrageInitiator"/>
            </w:pPr>
            <w:r>
              <w:t>Abgeordneter</w:t>
            </w:r>
            <w:r>
              <w:rPr>
                <w:b/>
              </w:rPr>
              <w:br/>
              <w:t>Matthias</w:t>
            </w:r>
            <w:r>
              <w:rPr>
                <w:b/>
              </w:rPr>
              <w:br/>
              <w:t>Fischbach</w:t>
            </w:r>
            <w:r>
              <w:rPr>
                <w:b/>
              </w:rPr>
              <w:br/>
            </w:r>
            <w:r>
              <w:t>(FDP)</w:t>
            </w:r>
            <w:bookmarkStart w:id="49" w:name="Frage_Nr_24"/>
            <w:bookmarkEnd w:id="49"/>
          </w:p>
        </w:tc>
        <w:tc>
          <w:tcPr>
            <w:tcW w:w="5711" w:type="dxa"/>
          </w:tcPr>
          <w:p w:rsidR="000C780D" w:rsidRPr="00754CFD" w:rsidRDefault="000C780D" w:rsidP="00754CFD">
            <w:pPr>
              <w:pStyle w:val="LTAnfrageText"/>
            </w:pPr>
            <w:r w:rsidRPr="00754CFD">
              <w:t>Ich frage die Staatsregierung anlässlich der angekündigten Einführung des Videokonferenztools „Visavid“, wie der konkrete Projektplan hierfür aussieht, welche Funktionalitäten das neue Angebot im Vergleich zum bisherigen zentralen Angebot von „Microsoft Teams“ hat und inwiefern Schulaufwandsträger, die über das Schuljahr hinaus eigene Verträge zum Einsatz von „Microsoft Teams“ oder „Microsoft 365“ unabhängig der zentralen Lizenz geschlossen haben, diese auch im kommenden Schuljahr an ihren Schulen einsetzen können?</w:t>
            </w:r>
          </w:p>
        </w:tc>
        <w:tc>
          <w:tcPr>
            <w:tcW w:w="5711" w:type="dxa"/>
          </w:tcPr>
          <w:p w:rsidR="000C780D" w:rsidRDefault="000C780D" w:rsidP="000C780D">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Visavid wird ab Ende April allen bayerischen Schulen und Behörden des Ressortbereichs</w:t>
      </w:r>
      <w:r w:rsidR="00ED45A2">
        <w:t xml:space="preserve"> </w:t>
      </w:r>
      <w:r>
        <w:t xml:space="preserve">des Staatsministeriums für Unterricht und Kultus </w:t>
      </w:r>
      <w:r w:rsidR="008E6914">
        <w:t xml:space="preserve">(StMUK) </w:t>
      </w:r>
      <w:r>
        <w:t>zur Nutzung angeboten. Die</w:t>
      </w:r>
      <w:r w:rsidR="00ED45A2">
        <w:t xml:space="preserve"> </w:t>
      </w:r>
      <w:r>
        <w:t>Nutzung von Visavid durch die Schulen ist freiwillig. Die Schulen entscheiden auch,</w:t>
      </w:r>
      <w:r w:rsidR="00ED45A2">
        <w:t xml:space="preserve"> </w:t>
      </w:r>
      <w:r>
        <w:t>ab wann sie Visavid nutzen. Der Projektplan gestaltet sich folgendermaßen:</w:t>
      </w:r>
    </w:p>
    <w:p w:rsidR="00041CAD" w:rsidRDefault="00041CAD" w:rsidP="00041CAD">
      <w:pPr>
        <w:pStyle w:val="LTAntwortRessortText"/>
      </w:pPr>
    </w:p>
    <w:tbl>
      <w:tblPr>
        <w:tblStyle w:val="TableNormal"/>
        <w:tblW w:w="779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6520"/>
      </w:tblGrid>
      <w:tr w:rsidR="00B438F6" w:rsidTr="00B438F6">
        <w:trPr>
          <w:trHeight w:val="1191"/>
        </w:trPr>
        <w:tc>
          <w:tcPr>
            <w:tcW w:w="1276" w:type="dxa"/>
          </w:tcPr>
          <w:p w:rsidR="00B438F6" w:rsidRPr="00B438F6" w:rsidRDefault="00B438F6" w:rsidP="00E62AC3">
            <w:pPr>
              <w:pStyle w:val="TableParagraph"/>
              <w:ind w:left="118"/>
              <w:rPr>
                <w:rFonts w:ascii="Arial" w:hAnsi="Arial" w:cs="Arial"/>
                <w:sz w:val="16"/>
              </w:rPr>
            </w:pPr>
            <w:r w:rsidRPr="00B438F6">
              <w:rPr>
                <w:rFonts w:ascii="Arial" w:hAnsi="Arial" w:cs="Arial"/>
                <w:b/>
                <w:sz w:val="16"/>
              </w:rPr>
              <w:t xml:space="preserve">ab </w:t>
            </w:r>
            <w:r w:rsidRPr="00B438F6">
              <w:rPr>
                <w:rFonts w:ascii="Arial" w:hAnsi="Arial" w:cs="Arial"/>
                <w:sz w:val="16"/>
              </w:rPr>
              <w:t>21.04.2021</w:t>
            </w:r>
          </w:p>
        </w:tc>
        <w:tc>
          <w:tcPr>
            <w:tcW w:w="6520" w:type="dxa"/>
          </w:tcPr>
          <w:p w:rsidR="00B438F6" w:rsidRPr="00B438F6" w:rsidRDefault="00B438F6" w:rsidP="008E6914">
            <w:pPr>
              <w:pStyle w:val="TableParagraph"/>
              <w:spacing w:line="256" w:lineRule="exact"/>
              <w:rPr>
                <w:rFonts w:ascii="Arial" w:hAnsi="Arial" w:cs="Arial"/>
                <w:sz w:val="16"/>
              </w:rPr>
            </w:pPr>
            <w:r w:rsidRPr="00B438F6">
              <w:rPr>
                <w:rFonts w:ascii="Arial" w:hAnsi="Arial" w:cs="Arial"/>
                <w:sz w:val="16"/>
              </w:rPr>
              <w:t>Möglichkeit der Bedarfsanmeldung im Schulportal durch die</w:t>
            </w:r>
            <w:r w:rsidR="008E6914">
              <w:rPr>
                <w:rFonts w:ascii="Arial" w:hAnsi="Arial" w:cs="Arial"/>
                <w:sz w:val="16"/>
              </w:rPr>
              <w:t xml:space="preserve"> </w:t>
            </w:r>
            <w:r w:rsidRPr="00B438F6">
              <w:rPr>
                <w:rFonts w:ascii="Arial" w:hAnsi="Arial" w:cs="Arial"/>
                <w:sz w:val="16"/>
              </w:rPr>
              <w:t xml:space="preserve">Schulleitungen für die dauerhafte Nutzung von </w:t>
            </w:r>
            <w:r w:rsidR="003D642D">
              <w:rPr>
                <w:rFonts w:ascii="Arial" w:hAnsi="Arial" w:cs="Arial"/>
                <w:sz w:val="16"/>
              </w:rPr>
              <w:t>Visavid; Vorberei</w:t>
            </w:r>
            <w:r w:rsidRPr="00B438F6">
              <w:rPr>
                <w:rFonts w:ascii="Arial" w:hAnsi="Arial" w:cs="Arial"/>
                <w:sz w:val="16"/>
              </w:rPr>
              <w:t>tung und Durchführung der erforderlichen Unterzeichnung der Vereinbarung zur Auftragsverarbeitung</w:t>
            </w:r>
          </w:p>
        </w:tc>
      </w:tr>
      <w:tr w:rsidR="00B438F6" w:rsidTr="008E6914">
        <w:trPr>
          <w:trHeight w:val="968"/>
        </w:trPr>
        <w:tc>
          <w:tcPr>
            <w:tcW w:w="1276" w:type="dxa"/>
          </w:tcPr>
          <w:p w:rsidR="00B438F6" w:rsidRPr="00B438F6" w:rsidRDefault="00B438F6" w:rsidP="00E62AC3">
            <w:pPr>
              <w:pStyle w:val="TableParagraph"/>
              <w:spacing w:line="224" w:lineRule="exact"/>
              <w:ind w:left="118"/>
              <w:rPr>
                <w:rFonts w:ascii="Arial" w:hAnsi="Arial" w:cs="Arial"/>
                <w:sz w:val="16"/>
              </w:rPr>
            </w:pPr>
            <w:r w:rsidRPr="00B438F6">
              <w:rPr>
                <w:rFonts w:ascii="Arial" w:hAnsi="Arial" w:cs="Arial"/>
                <w:b/>
                <w:sz w:val="16"/>
              </w:rPr>
              <w:t xml:space="preserve">ab </w:t>
            </w:r>
            <w:r w:rsidRPr="00B438F6">
              <w:rPr>
                <w:rFonts w:ascii="Arial" w:hAnsi="Arial" w:cs="Arial"/>
                <w:sz w:val="16"/>
              </w:rPr>
              <w:t>28.04.2021</w:t>
            </w:r>
          </w:p>
        </w:tc>
        <w:tc>
          <w:tcPr>
            <w:tcW w:w="6520" w:type="dxa"/>
          </w:tcPr>
          <w:p w:rsidR="00B438F6" w:rsidRPr="00B438F6" w:rsidRDefault="00B438F6" w:rsidP="008E6914">
            <w:pPr>
              <w:pStyle w:val="TableParagraph"/>
              <w:jc w:val="both"/>
              <w:rPr>
                <w:rFonts w:ascii="Arial" w:hAnsi="Arial" w:cs="Arial"/>
                <w:sz w:val="16"/>
              </w:rPr>
            </w:pPr>
            <w:r w:rsidRPr="00B438F6">
              <w:rPr>
                <w:rFonts w:ascii="Arial" w:hAnsi="Arial" w:cs="Arial"/>
                <w:sz w:val="16"/>
              </w:rPr>
              <w:t>Möglichkeit der vollumfänglichen Nutzung von Visavid durch</w:t>
            </w:r>
            <w:r w:rsidR="008E6914">
              <w:rPr>
                <w:rFonts w:ascii="Arial" w:hAnsi="Arial" w:cs="Arial"/>
                <w:sz w:val="16"/>
              </w:rPr>
              <w:t xml:space="preserve"> </w:t>
            </w:r>
            <w:r w:rsidRPr="00B438F6">
              <w:rPr>
                <w:rFonts w:ascii="Arial" w:hAnsi="Arial" w:cs="Arial"/>
                <w:sz w:val="16"/>
              </w:rPr>
              <w:t>Lehrkräfte, Verwaltungs</w:t>
            </w:r>
            <w:r w:rsidR="003D642D">
              <w:rPr>
                <w:rFonts w:ascii="Arial" w:hAnsi="Arial" w:cs="Arial"/>
                <w:sz w:val="16"/>
              </w:rPr>
              <w:t>-</w:t>
            </w:r>
            <w:r w:rsidRPr="00B438F6">
              <w:rPr>
                <w:rFonts w:ascii="Arial" w:hAnsi="Arial" w:cs="Arial"/>
                <w:sz w:val="16"/>
              </w:rPr>
              <w:t>kräfte sowie Schülerinnen und Schüler an den angemeldeten Schulen bzw. Dienstste</w:t>
            </w:r>
            <w:r w:rsidR="008E6914">
              <w:rPr>
                <w:rFonts w:ascii="Arial" w:hAnsi="Arial" w:cs="Arial"/>
                <w:sz w:val="16"/>
              </w:rPr>
              <w:t>llen im Ressortbereich des StMUK</w:t>
            </w:r>
          </w:p>
        </w:tc>
      </w:tr>
      <w:tr w:rsidR="00B438F6" w:rsidTr="008E6914">
        <w:trPr>
          <w:trHeight w:val="967"/>
        </w:trPr>
        <w:tc>
          <w:tcPr>
            <w:tcW w:w="1276" w:type="dxa"/>
          </w:tcPr>
          <w:p w:rsidR="00B438F6" w:rsidRPr="00B438F6" w:rsidRDefault="00B438F6" w:rsidP="00E62AC3">
            <w:pPr>
              <w:pStyle w:val="TableParagraph"/>
              <w:spacing w:line="224" w:lineRule="exact"/>
              <w:ind w:left="118"/>
              <w:rPr>
                <w:rFonts w:ascii="Arial" w:hAnsi="Arial" w:cs="Arial"/>
                <w:sz w:val="16"/>
              </w:rPr>
            </w:pPr>
            <w:r w:rsidRPr="00B438F6">
              <w:rPr>
                <w:rFonts w:ascii="Arial" w:hAnsi="Arial" w:cs="Arial"/>
                <w:b/>
                <w:sz w:val="16"/>
              </w:rPr>
              <w:t xml:space="preserve">ab </w:t>
            </w:r>
            <w:r w:rsidRPr="00B438F6">
              <w:rPr>
                <w:rFonts w:ascii="Arial" w:hAnsi="Arial" w:cs="Arial"/>
                <w:sz w:val="16"/>
              </w:rPr>
              <w:t>28.04.2021</w:t>
            </w:r>
          </w:p>
        </w:tc>
        <w:tc>
          <w:tcPr>
            <w:tcW w:w="6520" w:type="dxa"/>
          </w:tcPr>
          <w:p w:rsidR="00B438F6" w:rsidRPr="00B438F6" w:rsidRDefault="00B438F6" w:rsidP="008E6914">
            <w:pPr>
              <w:pStyle w:val="TableParagraph"/>
              <w:jc w:val="both"/>
              <w:rPr>
                <w:rFonts w:ascii="Arial" w:hAnsi="Arial" w:cs="Arial"/>
                <w:sz w:val="16"/>
              </w:rPr>
            </w:pPr>
            <w:r w:rsidRPr="00B438F6">
              <w:rPr>
                <w:rFonts w:ascii="Arial" w:hAnsi="Arial" w:cs="Arial"/>
                <w:sz w:val="16"/>
              </w:rPr>
              <w:t>Verfügbarkeit von Unterstützungsmaterialien der Akademie für</w:t>
            </w:r>
            <w:r w:rsidR="008E6914">
              <w:rPr>
                <w:rFonts w:ascii="Arial" w:hAnsi="Arial" w:cs="Arial"/>
                <w:sz w:val="16"/>
              </w:rPr>
              <w:t xml:space="preserve"> </w:t>
            </w:r>
            <w:r w:rsidRPr="00B438F6">
              <w:rPr>
                <w:rFonts w:ascii="Arial" w:hAnsi="Arial" w:cs="Arial"/>
                <w:spacing w:val="-5"/>
                <w:sz w:val="16"/>
              </w:rPr>
              <w:t xml:space="preserve">Lehrerfortbildung </w:t>
            </w:r>
            <w:r w:rsidRPr="00B438F6">
              <w:rPr>
                <w:rFonts w:ascii="Arial" w:hAnsi="Arial" w:cs="Arial"/>
                <w:spacing w:val="-4"/>
                <w:sz w:val="16"/>
              </w:rPr>
              <w:t xml:space="preserve">und </w:t>
            </w:r>
            <w:r w:rsidR="008E6914">
              <w:rPr>
                <w:rFonts w:ascii="Arial" w:hAnsi="Arial" w:cs="Arial"/>
                <w:spacing w:val="-4"/>
                <w:sz w:val="16"/>
              </w:rPr>
              <w:br/>
            </w:r>
            <w:r w:rsidRPr="00B438F6">
              <w:rPr>
                <w:rFonts w:ascii="Arial" w:hAnsi="Arial" w:cs="Arial"/>
                <w:spacing w:val="-4"/>
                <w:sz w:val="16"/>
              </w:rPr>
              <w:t xml:space="preserve">Personalführung </w:t>
            </w:r>
            <w:r w:rsidRPr="00B438F6">
              <w:rPr>
                <w:rFonts w:ascii="Arial" w:hAnsi="Arial" w:cs="Arial"/>
                <w:spacing w:val="-5"/>
                <w:sz w:val="16"/>
              </w:rPr>
              <w:t xml:space="preserve">(ALP) Dillingen, </w:t>
            </w:r>
            <w:r w:rsidR="008E6914">
              <w:rPr>
                <w:rFonts w:ascii="Arial" w:hAnsi="Arial" w:cs="Arial"/>
                <w:spacing w:val="-4"/>
                <w:sz w:val="16"/>
              </w:rPr>
              <w:t>der Auc</w:t>
            </w:r>
            <w:r w:rsidRPr="00B438F6">
              <w:rPr>
                <w:rFonts w:ascii="Arial" w:hAnsi="Arial" w:cs="Arial"/>
                <w:spacing w:val="-3"/>
                <w:sz w:val="16"/>
              </w:rPr>
              <w:t xml:space="preserve">tores GmbH </w:t>
            </w:r>
            <w:r w:rsidRPr="00B438F6">
              <w:rPr>
                <w:rFonts w:ascii="Arial" w:hAnsi="Arial" w:cs="Arial"/>
                <w:sz w:val="16"/>
              </w:rPr>
              <w:t xml:space="preserve">sowie </w:t>
            </w:r>
            <w:r w:rsidRPr="00B438F6">
              <w:rPr>
                <w:rFonts w:ascii="Arial" w:hAnsi="Arial" w:cs="Arial"/>
                <w:spacing w:val="-4"/>
                <w:sz w:val="16"/>
              </w:rPr>
              <w:t xml:space="preserve">weiterer </w:t>
            </w:r>
            <w:r w:rsidRPr="00B438F6">
              <w:rPr>
                <w:rFonts w:ascii="Arial" w:hAnsi="Arial" w:cs="Arial"/>
                <w:spacing w:val="-7"/>
                <w:sz w:val="16"/>
              </w:rPr>
              <w:t xml:space="preserve">Materialien </w:t>
            </w:r>
            <w:r w:rsidRPr="00B438F6">
              <w:rPr>
                <w:rFonts w:ascii="Arial" w:hAnsi="Arial" w:cs="Arial"/>
                <w:sz w:val="16"/>
              </w:rPr>
              <w:t xml:space="preserve">zur </w:t>
            </w:r>
            <w:r w:rsidRPr="00B438F6">
              <w:rPr>
                <w:rFonts w:ascii="Arial" w:hAnsi="Arial" w:cs="Arial"/>
                <w:spacing w:val="-4"/>
                <w:sz w:val="16"/>
              </w:rPr>
              <w:t xml:space="preserve">Nutzung </w:t>
            </w:r>
            <w:r w:rsidRPr="00B438F6">
              <w:rPr>
                <w:rFonts w:ascii="Arial" w:hAnsi="Arial" w:cs="Arial"/>
                <w:spacing w:val="-5"/>
                <w:sz w:val="16"/>
              </w:rPr>
              <w:t xml:space="preserve">von </w:t>
            </w:r>
            <w:r w:rsidRPr="00B438F6">
              <w:rPr>
                <w:rFonts w:ascii="Arial" w:hAnsi="Arial" w:cs="Arial"/>
                <w:spacing w:val="-6"/>
                <w:sz w:val="16"/>
              </w:rPr>
              <w:t xml:space="preserve">Visavid </w:t>
            </w:r>
            <w:r w:rsidRPr="00B438F6">
              <w:rPr>
                <w:rFonts w:ascii="Arial" w:hAnsi="Arial" w:cs="Arial"/>
                <w:spacing w:val="-3"/>
                <w:sz w:val="16"/>
              </w:rPr>
              <w:t xml:space="preserve">im </w:t>
            </w:r>
            <w:r w:rsidRPr="00B438F6">
              <w:rPr>
                <w:rFonts w:ascii="Arial" w:hAnsi="Arial" w:cs="Arial"/>
                <w:sz w:val="16"/>
              </w:rPr>
              <w:t>mebis</w:t>
            </w:r>
            <w:r w:rsidRPr="00B438F6">
              <w:rPr>
                <w:rFonts w:ascii="Arial" w:hAnsi="Arial" w:cs="Arial"/>
                <w:spacing w:val="12"/>
                <w:sz w:val="16"/>
              </w:rPr>
              <w:t xml:space="preserve"> </w:t>
            </w:r>
            <w:r w:rsidRPr="00B438F6">
              <w:rPr>
                <w:rFonts w:ascii="Arial" w:hAnsi="Arial" w:cs="Arial"/>
                <w:spacing w:val="-6"/>
                <w:sz w:val="16"/>
              </w:rPr>
              <w:t>Infoportal</w:t>
            </w:r>
          </w:p>
        </w:tc>
      </w:tr>
      <w:tr w:rsidR="00B438F6" w:rsidTr="008E6914">
        <w:trPr>
          <w:trHeight w:val="698"/>
        </w:trPr>
        <w:tc>
          <w:tcPr>
            <w:tcW w:w="1276" w:type="dxa"/>
          </w:tcPr>
          <w:p w:rsidR="00B438F6" w:rsidRPr="00B438F6" w:rsidRDefault="00B438F6" w:rsidP="00E62AC3">
            <w:pPr>
              <w:pStyle w:val="TableParagraph"/>
              <w:ind w:left="118"/>
              <w:rPr>
                <w:rFonts w:ascii="Arial" w:hAnsi="Arial" w:cs="Arial"/>
                <w:sz w:val="16"/>
              </w:rPr>
            </w:pPr>
            <w:r w:rsidRPr="00B438F6">
              <w:rPr>
                <w:rFonts w:ascii="Arial" w:hAnsi="Arial" w:cs="Arial"/>
                <w:sz w:val="16"/>
              </w:rPr>
              <w:t>29.04.2021</w:t>
            </w:r>
          </w:p>
        </w:tc>
        <w:tc>
          <w:tcPr>
            <w:tcW w:w="6520" w:type="dxa"/>
          </w:tcPr>
          <w:p w:rsidR="00B438F6" w:rsidRPr="00B438F6" w:rsidRDefault="00B438F6" w:rsidP="008E6914">
            <w:pPr>
              <w:pStyle w:val="TableParagraph"/>
              <w:rPr>
                <w:rFonts w:ascii="Arial" w:hAnsi="Arial" w:cs="Arial"/>
                <w:sz w:val="16"/>
              </w:rPr>
            </w:pPr>
            <w:r w:rsidRPr="00B438F6">
              <w:rPr>
                <w:rFonts w:ascii="Arial" w:hAnsi="Arial" w:cs="Arial"/>
                <w:sz w:val="16"/>
              </w:rPr>
              <w:t>Auftaktveranstaltung Videokonferenzsy</w:t>
            </w:r>
            <w:r w:rsidR="008E6914">
              <w:rPr>
                <w:rFonts w:ascii="Arial" w:hAnsi="Arial" w:cs="Arial"/>
                <w:sz w:val="16"/>
              </w:rPr>
              <w:t>stem Visavid für Behör</w:t>
            </w:r>
            <w:r w:rsidRPr="00B438F6">
              <w:rPr>
                <w:rFonts w:ascii="Arial" w:hAnsi="Arial" w:cs="Arial"/>
                <w:sz w:val="16"/>
              </w:rPr>
              <w:t>den-/Schulleiterinnen und Behörden-/Schulleiter</w:t>
            </w:r>
          </w:p>
        </w:tc>
      </w:tr>
    </w:tbl>
    <w:p w:rsidR="00041CAD" w:rsidRDefault="00041CAD" w:rsidP="00041CAD">
      <w:pPr>
        <w:pStyle w:val="LTAntwortRessortText"/>
      </w:pPr>
      <w:r>
        <w:t xml:space="preserve">Visavid stellt wie Microsoft Teams </w:t>
      </w:r>
      <w:r w:rsidR="008E6914">
        <w:t xml:space="preserve">(MS Teams) </w:t>
      </w:r>
      <w:r>
        <w:t>eine Videokonferenzlösung mit umfangreichen, für</w:t>
      </w:r>
      <w:r w:rsidR="00ED45A2">
        <w:t xml:space="preserve"> </w:t>
      </w:r>
      <w:r>
        <w:t xml:space="preserve">den Online-Unterricht wichtigen Funktionen dar, </w:t>
      </w:r>
      <w:r w:rsidR="00BD06F4">
        <w:t>z. B.</w:t>
      </w:r>
      <w:r>
        <w:t xml:space="preserve"> Bildschirmfreigabe, Schnellumfragen</w:t>
      </w:r>
      <w:r w:rsidR="00ED45A2">
        <w:t xml:space="preserve"> </w:t>
      </w:r>
      <w:r>
        <w:t>und Handheben, umfangreiche Whiteboard- und Präsentationsfunktionen, telefonische</w:t>
      </w:r>
      <w:r w:rsidR="00ED45A2">
        <w:t xml:space="preserve"> </w:t>
      </w:r>
      <w:r>
        <w:t>Einwahlmöglichkeit, Bereitstellung digitaler Materialien, Chat-Funktionen</w:t>
      </w:r>
      <w:r w:rsidR="00ED45A2">
        <w:t xml:space="preserve"> </w:t>
      </w:r>
      <w:r>
        <w:t>sowie weitere Funktionen zur Sicherstellung der Barrierefreiheit.</w:t>
      </w:r>
    </w:p>
    <w:p w:rsidR="00041CAD" w:rsidRDefault="00041CAD" w:rsidP="00041CAD">
      <w:pPr>
        <w:pStyle w:val="LTAntwortRessortText"/>
      </w:pPr>
      <w:r>
        <w:t xml:space="preserve">Darüber hinaus verfügt Visavid über Funktionen, die Teams nicht bietet, </w:t>
      </w:r>
      <w:r w:rsidR="00BD06F4">
        <w:t>z. B.</w:t>
      </w:r>
      <w:r>
        <w:t xml:space="preserve"> die</w:t>
      </w:r>
      <w:r w:rsidR="00B438F6">
        <w:t xml:space="preserve"> </w:t>
      </w:r>
      <w:r>
        <w:t>Verwendbarkeit einer zweiten Kamera oder eine Untertitelungsfunktion in deutscher</w:t>
      </w:r>
      <w:r w:rsidR="00B438F6">
        <w:t xml:space="preserve"> </w:t>
      </w:r>
      <w:r>
        <w:t>Sprache. Die Datenverarbeitung in Visavid erfolgt ausschließlich in Rechenzentren</w:t>
      </w:r>
      <w:r w:rsidR="00B438F6">
        <w:t xml:space="preserve"> </w:t>
      </w:r>
      <w:r>
        <w:t>im EWR.</w:t>
      </w:r>
    </w:p>
    <w:p w:rsidR="00041CAD" w:rsidRDefault="00041CAD" w:rsidP="00041CAD">
      <w:pPr>
        <w:pStyle w:val="LTAntwortRessortText"/>
      </w:pPr>
      <w:r>
        <w:t>Dagegen verfügt MS Teams im Gegensatz zu Visavid beispielsweise über eine App</w:t>
      </w:r>
      <w:r w:rsidR="008E6914">
        <w:t xml:space="preserve"> </w:t>
      </w:r>
      <w:r>
        <w:t>für Smartphones und Tablets sowie die Möglichkeit, Unterräume von Videokonferenzen</w:t>
      </w:r>
      <w:r w:rsidR="00B438F6">
        <w:t xml:space="preserve"> </w:t>
      </w:r>
      <w:r>
        <w:t>zu erstellen (die Nachrüstung dieser Funktion in Visavid ist geplant).</w:t>
      </w:r>
    </w:p>
    <w:p w:rsidR="00041CAD" w:rsidRDefault="00041CAD" w:rsidP="00041CAD">
      <w:pPr>
        <w:pStyle w:val="LTAntwortRessortText"/>
      </w:pPr>
      <w:r>
        <w:t>Über den Schulaufwandsträger bezogene MS Teams-Lizenzen können weiterhin genutzt</w:t>
      </w:r>
      <w:r w:rsidR="00B438F6">
        <w:t xml:space="preserve"> </w:t>
      </w:r>
      <w:r>
        <w:t>werden. Die Nutzung von Visavid ist freiwillig. Das StMUK schreibt den Schulen</w:t>
      </w:r>
      <w:r w:rsidR="00B438F6">
        <w:t xml:space="preserve"> </w:t>
      </w:r>
      <w:r>
        <w:t>und Sachaufwandsträgern nicht vor, welche digitalen Werkzeuge sie zu nutzen haben.</w:t>
      </w:r>
    </w:p>
    <w:p w:rsidR="00041CAD" w:rsidRDefault="00041CAD" w:rsidP="00B438F6">
      <w:pPr>
        <w:pStyle w:val="LTAntwortRessortText"/>
        <w:spacing w:before="0"/>
      </w:pPr>
      <w:r>
        <w:t>Durch die Verlängerung des staatlichen Angebots von MS Teams for Education bis</w:t>
      </w:r>
      <w:r w:rsidR="00B438F6">
        <w:t xml:space="preserve"> </w:t>
      </w:r>
      <w:r>
        <w:t>zum Schuljahresende steht den betroffenen Schulen eine mehrmonatige Übergangszeit</w:t>
      </w:r>
      <w:r w:rsidR="00B438F6">
        <w:t xml:space="preserve"> </w:t>
      </w:r>
      <w:r>
        <w:t>zur Verfügung, in der sie sich auf ihre künftige Videokonferenzlösung einstellen</w:t>
      </w:r>
      <w:r w:rsidR="00B438F6">
        <w:t xml:space="preserve"> </w:t>
      </w:r>
      <w:r>
        <w:t>und gegebenenfalls umsteigen können.</w:t>
      </w:r>
    </w:p>
    <w:p w:rsidR="00041CAD" w:rsidRDefault="00041CAD" w:rsidP="00B438F6">
      <w:pPr>
        <w:pStyle w:val="LTAntwortRessortText"/>
        <w:spacing w:before="0"/>
      </w:pPr>
      <w:r>
        <w:t xml:space="preserve">Gemäß Art. 3 </w:t>
      </w:r>
      <w:r w:rsidR="008E6914">
        <w:t>Schulfinanzierungsgesetz (</w:t>
      </w:r>
      <w:r>
        <w:t>BaySchFG</w:t>
      </w:r>
      <w:r w:rsidR="008E6914">
        <w:t>)</w:t>
      </w:r>
      <w:r>
        <w:t xml:space="preserve"> und do</w:t>
      </w:r>
      <w:r w:rsidR="008E6914">
        <w:t>rt insbesondere Abs. </w:t>
      </w:r>
      <w:r>
        <w:t>2. Nr. 1 liegt die Zuständigkeit</w:t>
      </w:r>
      <w:r w:rsidR="00B438F6">
        <w:t xml:space="preserve"> </w:t>
      </w:r>
      <w:r>
        <w:t>für die IT-Infrastruktur an bayerischen Schulen (Hard- und Software) bei den Schulaufwandsträgern.</w:t>
      </w:r>
      <w:r w:rsidR="00B438F6">
        <w:t xml:space="preserve"> </w:t>
      </w:r>
      <w:r>
        <w:t>Die Entscheidung über den unterrichtlichen Einsatz von Kommunikations-</w:t>
      </w:r>
      <w:r w:rsidR="00B438F6">
        <w:t xml:space="preserve"> </w:t>
      </w:r>
      <w:r>
        <w:t>und Kollaborationswerkzeugen im Rahmen der Regelungen in Art. 19 Abs. 4</w:t>
      </w:r>
      <w:r w:rsidR="00B438F6">
        <w:t xml:space="preserve"> </w:t>
      </w:r>
      <w:r w:rsidR="008E6914">
        <w:t>Schulordnung (</w:t>
      </w:r>
      <w:r>
        <w:t>BaySchO</w:t>
      </w:r>
      <w:r w:rsidR="008E6914">
        <w:t>)</w:t>
      </w:r>
      <w:r>
        <w:t xml:space="preserve"> sowie Abschnitt 7 Anlage 2 BaySchO trifft die Schulleitung im Einvernehmen</w:t>
      </w:r>
      <w:r w:rsidR="00B438F6">
        <w:t xml:space="preserve"> </w:t>
      </w:r>
      <w:r>
        <w:t>mit dem Schulaufwandsträger und unter Einbeziehung des örtlichen Datenschutzbeauftragten.</w:t>
      </w:r>
    </w:p>
    <w:p w:rsidR="00041CAD" w:rsidRDefault="00041CAD">
      <w:bookmarkStart w:id="50" w:name="Frage_Nr_24_Ende"/>
      <w:bookmarkEnd w:id="5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3C0807" w:rsidTr="003C0807">
        <w:tc>
          <w:tcPr>
            <w:tcW w:w="1896" w:type="dxa"/>
          </w:tcPr>
          <w:p w:rsidR="003C0807" w:rsidRDefault="003C0807" w:rsidP="003C0807">
            <w:pPr>
              <w:pStyle w:val="LTAnfrageInitiator"/>
            </w:pPr>
            <w:r>
              <w:t>Abgeordneter</w:t>
            </w:r>
            <w:r>
              <w:rPr>
                <w:b/>
              </w:rPr>
              <w:br/>
              <w:t>Thomas</w:t>
            </w:r>
            <w:r>
              <w:rPr>
                <w:b/>
              </w:rPr>
              <w:br/>
              <w:t>Gehring</w:t>
            </w:r>
            <w:r>
              <w:rPr>
                <w:b/>
              </w:rPr>
              <w:br/>
            </w:r>
            <w:r>
              <w:t>(BÜNDNIS 90/DIE GRÜNEN)</w:t>
            </w:r>
            <w:bookmarkStart w:id="51" w:name="Frage_Nr_25"/>
            <w:bookmarkEnd w:id="51"/>
          </w:p>
        </w:tc>
        <w:tc>
          <w:tcPr>
            <w:tcW w:w="5720" w:type="dxa"/>
          </w:tcPr>
          <w:p w:rsidR="003C0807" w:rsidRPr="00754CFD" w:rsidRDefault="003C0807" w:rsidP="00754CFD">
            <w:pPr>
              <w:pStyle w:val="LTAnfrageText"/>
            </w:pPr>
            <w:r w:rsidRPr="00754CFD">
              <w:t>Ich frage die Staatsregierung, welche Möglichkeiten zur Teilnahme an Abschlussprüfungen sind vorgesehen für den Fall, dass eine Schülerin bzw. ein Schüler coronabedingt am Prüfungstag nicht teilnehmen kann (z. B. wegen Quarantäne oder weil sie bzw. er am Prüfungstag positiv getestet wird), welche Folgen hat es, wenn am Prüfungstag der vorgeschriebene Corona-Test von einer Schülerin bzw. einem Schüler verweigert wird und wann werden, für den Fall, dass Ausweichtermine vorgesehen sind, diese in Abhängigkeit von Quarantänezeitraum und Schulart zeitlich anberaumt (bitte alle Antworten aufgeschlüsselt nach den unterschiedlichen Schularten und Prüfungsterminen)? </w:t>
            </w:r>
          </w:p>
        </w:tc>
        <w:tc>
          <w:tcPr>
            <w:tcW w:w="5720" w:type="dxa"/>
          </w:tcPr>
          <w:p w:rsidR="003C0807" w:rsidRDefault="003C0807" w:rsidP="003C0807">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Allgemein gilt, dass Schülerinnen und Schüler, denen eine Teilnahme an der Abschlussprüfung</w:t>
      </w:r>
      <w:r w:rsidR="00B438F6">
        <w:t xml:space="preserve"> </w:t>
      </w:r>
      <w:r>
        <w:t>coronabedingt (</w:t>
      </w:r>
      <w:r w:rsidR="00BD06F4">
        <w:t>z. B.</w:t>
      </w:r>
      <w:r>
        <w:t xml:space="preserve"> aufgrund eines positiven Testergebnisses und</w:t>
      </w:r>
      <w:r w:rsidR="00B438F6">
        <w:t xml:space="preserve"> </w:t>
      </w:r>
      <w:r>
        <w:t>einer damit verbundenen Erkrankung) nicht möglich ist, als für die Prüfung entschuldigt</w:t>
      </w:r>
      <w:r w:rsidR="00B438F6">
        <w:t xml:space="preserve"> </w:t>
      </w:r>
      <w:r>
        <w:t>gelten. Die entsprechenden Regelungen der jeweiligen Schulordnungen sowie</w:t>
      </w:r>
      <w:r w:rsidR="00B438F6">
        <w:t xml:space="preserve"> </w:t>
      </w:r>
      <w:r>
        <w:t>sonstigen einschlägigen Vorgaben des Staatsministeriums kommen jeweils zur</w:t>
      </w:r>
      <w:r w:rsidR="00B438F6">
        <w:t xml:space="preserve"> </w:t>
      </w:r>
      <w:r>
        <w:t>Anwendung. Eine vollumfängliche Auflistung konkreter und nach Schularten aufgeschlüsselter</w:t>
      </w:r>
      <w:r w:rsidR="00B438F6">
        <w:t xml:space="preserve"> </w:t>
      </w:r>
      <w:r>
        <w:t>Zeiträume für Nachholtermine an allen Schulen aller Schularten in Bayern</w:t>
      </w:r>
      <w:r w:rsidR="00B438F6">
        <w:t xml:space="preserve"> </w:t>
      </w:r>
      <w:r>
        <w:t>kann derzeit noch nicht gegeben werden. Soweit zentrale Nachholtermine gegeben</w:t>
      </w:r>
      <w:r w:rsidR="00B438F6">
        <w:t xml:space="preserve"> </w:t>
      </w:r>
      <w:r>
        <w:t>sind, werden die Schulen entsprechend informiert und diese wiederum unterrichten</w:t>
      </w:r>
      <w:r w:rsidR="00B438F6">
        <w:t xml:space="preserve"> </w:t>
      </w:r>
      <w:r>
        <w:t>die Betroffenen. Die Termine sind anhand der konkreten Umstände der jeweiligen</w:t>
      </w:r>
      <w:r w:rsidR="00B438F6">
        <w:t xml:space="preserve"> </w:t>
      </w:r>
      <w:r>
        <w:t>Einzelfälle anzuberaumen.</w:t>
      </w:r>
    </w:p>
    <w:p w:rsidR="00041CAD" w:rsidRDefault="00041CAD" w:rsidP="00041CAD">
      <w:pPr>
        <w:pStyle w:val="LTAntwortRessortText"/>
      </w:pPr>
      <w:r>
        <w:t>Es ist noch darauf hinzuweisen, dass in Quarantäne befindliche Kontaktpersonen die</w:t>
      </w:r>
      <w:r w:rsidR="00B438F6">
        <w:t xml:space="preserve"> </w:t>
      </w:r>
      <w:r>
        <w:t>Quarantäne bislang für die Teilnahme an Abschlussprüfungen unter strikter Einhaltung</w:t>
      </w:r>
      <w:r w:rsidR="00B438F6">
        <w:t xml:space="preserve"> </w:t>
      </w:r>
      <w:r>
        <w:t>des Hygienekonzepts sowie ausgedehnten Abstandsregelungen (Sicherheitsabstand</w:t>
      </w:r>
      <w:r w:rsidR="00B438F6">
        <w:t xml:space="preserve"> </w:t>
      </w:r>
      <w:r>
        <w:t>von &gt; 2 m) unterbrechen können (vgl. Ziffer III Nr. 14.2.2 des Rahmenhygieneplans</w:t>
      </w:r>
      <w:r w:rsidR="00B438F6">
        <w:t xml:space="preserve"> </w:t>
      </w:r>
      <w:r>
        <w:t>Schulen).</w:t>
      </w:r>
    </w:p>
    <w:p w:rsidR="00041CAD" w:rsidRDefault="00041CAD" w:rsidP="00041CAD">
      <w:pPr>
        <w:pStyle w:val="LTAntwortRessortText"/>
      </w:pPr>
      <w:r>
        <w:t>Des Weiteren ist festzustellen, dass nach derzeitiger Rechtslage die in § 18</w:t>
      </w:r>
      <w:r w:rsidR="00B438F6">
        <w:t xml:space="preserve"> </w:t>
      </w:r>
      <w:r w:rsidR="002E158B">
        <w:t>Abs. </w:t>
      </w:r>
      <w:r>
        <w:t>4 der 12. Bayerischen Infektionsschutzmaßnahmenverordnung (12. BayIfSMV)</w:t>
      </w:r>
      <w:r w:rsidR="00B438F6">
        <w:t xml:space="preserve"> </w:t>
      </w:r>
      <w:r>
        <w:t>vorgesehene Testobliegenheit bei Abschlussprüfungen keine Anwendung findet. Abschlussprüfungen</w:t>
      </w:r>
      <w:r w:rsidR="00B438F6">
        <w:t xml:space="preserve"> </w:t>
      </w:r>
      <w:r>
        <w:t>inklusive dazu vorgelagerter Prüfungsteile sind in Abstimmung mit</w:t>
      </w:r>
      <w:r w:rsidR="00B438F6">
        <w:t xml:space="preserve"> </w:t>
      </w:r>
      <w:r>
        <w:t>dem Staatsministerium für Gesundheit und Pflege (StMGP) regelmäßig sogenannte</w:t>
      </w:r>
      <w:r w:rsidR="00B438F6">
        <w:t xml:space="preserve"> </w:t>
      </w:r>
      <w:r>
        <w:t>organisatorisch verselbstständig</w:t>
      </w:r>
      <w:r w:rsidR="008E6914">
        <w:t>te Prüfungen gemäß § 17 der 12. </w:t>
      </w:r>
      <w:r>
        <w:t>BayIfSMV, für welche</w:t>
      </w:r>
      <w:r w:rsidR="00B438F6">
        <w:t xml:space="preserve"> </w:t>
      </w:r>
      <w:r>
        <w:t>die Vorlage eines negativen Testnachweises nicht vorgeschrieben ist. Im Rahmen</w:t>
      </w:r>
      <w:r w:rsidR="00B438F6">
        <w:t xml:space="preserve"> </w:t>
      </w:r>
      <w:r>
        <w:t>der unter § 17 der 12. BayIfSMV fallenden</w:t>
      </w:r>
      <w:r w:rsidR="0045352F">
        <w:t xml:space="preserve"> schulischen Abschlussprüfungen</w:t>
      </w:r>
      <w:r>
        <w:t xml:space="preserve"> ist</w:t>
      </w:r>
      <w:r w:rsidR="00B438F6">
        <w:t xml:space="preserve"> </w:t>
      </w:r>
      <w:r w:rsidR="008E6914">
        <w:t>–</w:t>
      </w:r>
      <w:r>
        <w:t xml:space="preserve"> neben dem Rahmenhygienep</w:t>
      </w:r>
      <w:r w:rsidR="0045352F">
        <w:t>lan Schulen –</w:t>
      </w:r>
      <w:r>
        <w:t xml:space="preserve"> auf erhöhte Schutzmaßnahmen zu</w:t>
      </w:r>
      <w:r w:rsidR="00B438F6">
        <w:t xml:space="preserve"> </w:t>
      </w:r>
      <w:r>
        <w:t>achten.</w:t>
      </w:r>
    </w:p>
    <w:p w:rsidR="00041CAD" w:rsidRDefault="00041CAD" w:rsidP="00041CAD">
      <w:pPr>
        <w:pStyle w:val="LTAntwortRessortText"/>
      </w:pPr>
      <w:r>
        <w:t>Inwiefern die weitere Entwicklung des Infektionsgeschehens Änderungen erforderlich</w:t>
      </w:r>
      <w:r w:rsidR="00B438F6">
        <w:t xml:space="preserve"> </w:t>
      </w:r>
      <w:r>
        <w:t>macht, wird in eng</w:t>
      </w:r>
      <w:r w:rsidR="008E6914">
        <w:t>er Zusammenarbeit zwischen Staatsministerium für Unterricht und Kultus</w:t>
      </w:r>
      <w:r>
        <w:t xml:space="preserve"> und StMGP abgestimmt und</w:t>
      </w:r>
      <w:r w:rsidR="00B438F6">
        <w:t xml:space="preserve"> </w:t>
      </w:r>
      <w:r>
        <w:t>gegenüber der Schulfamilie kommuniziert</w:t>
      </w:r>
      <w:r w:rsidR="008E6914">
        <w:t>.</w:t>
      </w:r>
    </w:p>
    <w:p w:rsidR="00041CAD" w:rsidRDefault="00041CAD">
      <w:bookmarkStart w:id="52" w:name="Frage_Nr_25_Ende"/>
      <w:bookmarkEnd w:id="5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3C0807" w:rsidTr="003C0807">
        <w:tc>
          <w:tcPr>
            <w:tcW w:w="1856" w:type="dxa"/>
          </w:tcPr>
          <w:p w:rsidR="003C0807" w:rsidRDefault="003C0807" w:rsidP="003C0807">
            <w:pPr>
              <w:pStyle w:val="LTAnfrageInitiator"/>
            </w:pPr>
            <w:r>
              <w:t>Abgeordnete</w:t>
            </w:r>
            <w:r>
              <w:rPr>
                <w:b/>
              </w:rPr>
              <w:br/>
              <w:t>Julika</w:t>
            </w:r>
            <w:r>
              <w:rPr>
                <w:b/>
              </w:rPr>
              <w:br/>
              <w:t>Sandt</w:t>
            </w:r>
            <w:r>
              <w:rPr>
                <w:b/>
              </w:rPr>
              <w:br/>
            </w:r>
            <w:r>
              <w:t>(FDP)</w:t>
            </w:r>
            <w:bookmarkStart w:id="53" w:name="Frage_Nr_26"/>
            <w:bookmarkEnd w:id="53"/>
          </w:p>
        </w:tc>
        <w:tc>
          <w:tcPr>
            <w:tcW w:w="5760" w:type="dxa"/>
          </w:tcPr>
          <w:p w:rsidR="003C0807" w:rsidRPr="00754CFD" w:rsidRDefault="003C0807" w:rsidP="00754CFD">
            <w:pPr>
              <w:pStyle w:val="LTAnfrageText"/>
            </w:pPr>
            <w:r w:rsidRPr="00754CFD">
              <w:t>Ich frage die Staatsregierung, welche Bedeutung das Staatsministerium für Unterricht und Kultus (StMUK) den gemeinsamen Berufsschulbeiräten zumisst, inwiefern das StMUK die Rechtsumsetzung im Bereich der gemeinsamen Berufsschulbeiräte gemäß Art. 70 Abs.2 Bayerisches Gesetz über das Erziehungs- und Unterrichtswesen (BayEUG) durch seine entsprechenden Organe kontrolliert (bitte auch hierzu ergriffene Maßnahmen und Folgen benennen) und welche konkreten Fälle von Nichtbestehen eines gemeinsame</w:t>
            </w:r>
            <w:r w:rsidR="00E62AC3">
              <w:t>n Berufsschulbeirats gemäß Art. </w:t>
            </w:r>
            <w:r w:rsidRPr="00754CFD">
              <w:t>70 Abs.2 BayEUG dem StMUK bekannt geworden sind?</w:t>
            </w:r>
          </w:p>
        </w:tc>
        <w:tc>
          <w:tcPr>
            <w:tcW w:w="5760" w:type="dxa"/>
          </w:tcPr>
          <w:p w:rsidR="003C0807" w:rsidRDefault="003C0807" w:rsidP="003C0807">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Unterhält ein kommunaler Schulträger mehrere Berufsschulen, ist ein gemeinsamer</w:t>
      </w:r>
      <w:r w:rsidR="00D22394">
        <w:t xml:space="preserve"> </w:t>
      </w:r>
      <w:r>
        <w:t>Berufsschulbeirat für alle Berufsschulen zu bilden, der mitwirkt, also beteiligt und gehört</w:t>
      </w:r>
      <w:r w:rsidR="00D22394">
        <w:t xml:space="preserve"> </w:t>
      </w:r>
      <w:r>
        <w:t>wird, soweit Angelegenheiten alle oder mehrere Berufsschulen des Schulträgers</w:t>
      </w:r>
      <w:r w:rsidR="00D22394">
        <w:t xml:space="preserve"> </w:t>
      </w:r>
      <w:r>
        <w:t>betreffen (Art. 70 Abs. 2 i.</w:t>
      </w:r>
      <w:r w:rsidR="00E62AC3">
        <w:t> </w:t>
      </w:r>
      <w:r>
        <w:t>V.</w:t>
      </w:r>
      <w:r w:rsidR="00E62AC3">
        <w:t> </w:t>
      </w:r>
      <w:r>
        <w:t>m. Art. 71 Abs. 2 BayEUG). Es handelt sich im Kern um</w:t>
      </w:r>
      <w:r w:rsidR="00D22394">
        <w:t xml:space="preserve"> </w:t>
      </w:r>
      <w:r>
        <w:t>ein Beratungsgremium für den kommunalen Schulträger.</w:t>
      </w:r>
    </w:p>
    <w:p w:rsidR="00041CAD" w:rsidRDefault="00041CAD" w:rsidP="00D22394">
      <w:pPr>
        <w:pStyle w:val="LTAntwortRessortText"/>
        <w:spacing w:before="0"/>
      </w:pPr>
      <w:r>
        <w:t>Das Staatsministerium geht davon aus, dass in den Kommunen, die mehrere kommunale</w:t>
      </w:r>
      <w:r w:rsidR="00D22394">
        <w:t xml:space="preserve"> </w:t>
      </w:r>
      <w:r>
        <w:t>Berufsschulen unterhalten, gemeinsame Berufsschulbeiräte gebildet sind.</w:t>
      </w:r>
    </w:p>
    <w:p w:rsidR="00041CAD" w:rsidRDefault="00041CAD" w:rsidP="00D22394">
      <w:pPr>
        <w:pStyle w:val="LTAntwortRessortText"/>
        <w:spacing w:before="0"/>
      </w:pPr>
      <w:r>
        <w:t>Die Regierungen üben insoweit beratende Schulaufsicht aus. Deren Arbeit oder Arbeitsweise</w:t>
      </w:r>
      <w:r w:rsidR="00D22394">
        <w:t xml:space="preserve"> </w:t>
      </w:r>
      <w:r>
        <w:t>darüber hinaus zu kontrollieren, liegt nicht im staatlichen Interesse, da</w:t>
      </w:r>
      <w:r w:rsidR="00D22394">
        <w:t xml:space="preserve"> </w:t>
      </w:r>
      <w:r>
        <w:t>staatliche Berufsschulen nicht betroffen sind.</w:t>
      </w:r>
    </w:p>
    <w:p w:rsidR="00041CAD" w:rsidRDefault="00041CAD">
      <w:bookmarkStart w:id="54" w:name="Frage_Nr_26_Ende"/>
      <w:bookmarkEnd w:id="54"/>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3C0807" w:rsidTr="003C0807">
        <w:tc>
          <w:tcPr>
            <w:tcW w:w="1918" w:type="dxa"/>
          </w:tcPr>
          <w:p w:rsidR="003C0807" w:rsidRDefault="003C0807" w:rsidP="003C0807">
            <w:pPr>
              <w:pStyle w:val="LTAnfrageInitiator"/>
            </w:pPr>
            <w:r>
              <w:t>Abgeordnete</w:t>
            </w:r>
            <w:r>
              <w:rPr>
                <w:b/>
              </w:rPr>
              <w:br/>
              <w:t>Anna</w:t>
            </w:r>
            <w:r>
              <w:rPr>
                <w:b/>
              </w:rPr>
              <w:br/>
              <w:t>Schwamberger</w:t>
            </w:r>
            <w:r>
              <w:rPr>
                <w:b/>
              </w:rPr>
              <w:br/>
            </w:r>
            <w:r>
              <w:t>(BÜNDNIS 90/DIE GRÜNEN)</w:t>
            </w:r>
            <w:bookmarkStart w:id="55" w:name="Frage_Nr_27"/>
            <w:bookmarkEnd w:id="55"/>
          </w:p>
        </w:tc>
        <w:tc>
          <w:tcPr>
            <w:tcW w:w="5698" w:type="dxa"/>
          </w:tcPr>
          <w:p w:rsidR="003C0807" w:rsidRPr="00754CFD" w:rsidRDefault="003C0807" w:rsidP="002E158B">
            <w:pPr>
              <w:pStyle w:val="LTAnfrageText"/>
            </w:pPr>
            <w:r w:rsidRPr="00754CFD">
              <w:t>Nachdem die sog. Brückenangebote ins Leben gerufen wurden, um die Lernrückstände der Schülerinnen und Schüler aufzuholen und weitere Angebote nun ergänzt werden sollten, frage ich die Staatsregierung, wie viele Stellen sollen bayernweit geschaffen werden, um die Brückenangebote handlungsfähig zu machen, wie kann die Problematik gelöst werden, dass Studierende</w:t>
            </w:r>
            <w:r w:rsidR="002E158B">
              <w:t>, die Leistungen</w:t>
            </w:r>
            <w:r w:rsidRPr="00754CFD">
              <w:t xml:space="preserve"> nach dem Bundesausbildungsförderungsgesetz</w:t>
            </w:r>
            <w:r w:rsidR="002E158B">
              <w:t xml:space="preserve"> (BAföG</w:t>
            </w:r>
            <w:r w:rsidRPr="00754CFD">
              <w:t>) beziehen, keinen Arbeitsvertrag mit den Regierungen schließen können und sollen Lehrkräfte auf freiwilliger Basis gegen Mehrarbeitsentlohnung oder einer Sonderzahlung Lernangebote in den Ferien betreuen?</w:t>
            </w:r>
          </w:p>
        </w:tc>
        <w:tc>
          <w:tcPr>
            <w:tcW w:w="5698" w:type="dxa"/>
          </w:tcPr>
          <w:p w:rsidR="003C0807" w:rsidRDefault="003C0807" w:rsidP="003C0807">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Zur Unterstützung der bayerischen Schülerinnen und Schüler bei pandemiebedingten</w:t>
      </w:r>
      <w:r w:rsidR="00170691">
        <w:t xml:space="preserve"> </w:t>
      </w:r>
      <w:r>
        <w:t>Lernrückständen werden nach Zustimmung des Ausschusses für Staatshaushalt</w:t>
      </w:r>
      <w:r w:rsidR="00170691">
        <w:t xml:space="preserve"> </w:t>
      </w:r>
      <w:r>
        <w:t>und Finanzfrag</w:t>
      </w:r>
      <w:r w:rsidR="00E62AC3">
        <w:t>en über den Sonderfonds Coronap</w:t>
      </w:r>
      <w:r>
        <w:t>andemie für befristete Beschäftigungen</w:t>
      </w:r>
      <w:r w:rsidR="00170691">
        <w:t xml:space="preserve"> </w:t>
      </w:r>
      <w:r>
        <w:t>und ein Tutorenprogramm 15 Mio. Euro sowie für ein Ferienprogramm durch</w:t>
      </w:r>
      <w:r w:rsidR="00170691">
        <w:t xml:space="preserve"> </w:t>
      </w:r>
      <w:r>
        <w:t>den Bayerischen Jugendring 5 Mio. Euro zur Verfügung gestellt. Die Gewinnung von</w:t>
      </w:r>
      <w:r w:rsidR="00170691">
        <w:t xml:space="preserve"> </w:t>
      </w:r>
      <w:r>
        <w:t>fachlich geeignetem Personal wird vor Ort über die Schulen erfolgen. Wegen der</w:t>
      </w:r>
      <w:r w:rsidR="00170691">
        <w:t xml:space="preserve"> </w:t>
      </w:r>
      <w:r>
        <w:t>Vielfältigkeit der Unterstützungsmöglichkeiten, über die Beschäftigung von externem</w:t>
      </w:r>
      <w:r w:rsidR="00170691">
        <w:t xml:space="preserve"> </w:t>
      </w:r>
      <w:r>
        <w:t>Personal, aber auch über die Unterstützung durch ehrenamtliche Kräfte, kann keine</w:t>
      </w:r>
      <w:r w:rsidR="00170691">
        <w:t xml:space="preserve"> </w:t>
      </w:r>
      <w:r>
        <w:t>Aussage über den Umfang der zu gewinnenden Kräfte getroffen werden.</w:t>
      </w:r>
    </w:p>
    <w:p w:rsidR="00041CAD" w:rsidRDefault="00041CAD" w:rsidP="00041CAD">
      <w:pPr>
        <w:pStyle w:val="LTAntwortRessortText"/>
      </w:pPr>
      <w:r>
        <w:t>Die mitwirkenden Lehrkräfte werden über eine Abrechnung der Mehrarbeit bzw. in</w:t>
      </w:r>
      <w:r w:rsidR="00170691">
        <w:t xml:space="preserve"> </w:t>
      </w:r>
      <w:r>
        <w:t>Form einer Nebentätigkeit vergütet.</w:t>
      </w:r>
    </w:p>
    <w:p w:rsidR="00041CAD" w:rsidRDefault="00041CAD" w:rsidP="00041CAD">
      <w:pPr>
        <w:pStyle w:val="LTAntwortRessortText"/>
      </w:pPr>
      <w:r>
        <w:t>Aktuell sind im Rahmen des Unterstützungskonzepts mehrere Maßnahmen geplant.</w:t>
      </w:r>
      <w:r w:rsidR="00170691">
        <w:t xml:space="preserve"> </w:t>
      </w:r>
      <w:r>
        <w:t>Hierbei ist auch die Einbeziehung von Studierenden vorgesehen. Hinsichtlich der unterstützenden</w:t>
      </w:r>
      <w:r w:rsidR="00170691">
        <w:t xml:space="preserve"> </w:t>
      </w:r>
      <w:r>
        <w:t xml:space="preserve">Studierenden, die Leistungen nach dem </w:t>
      </w:r>
      <w:r w:rsidR="00E62AC3">
        <w:t xml:space="preserve">BAföG </w:t>
      </w:r>
      <w:r>
        <w:t>erhalten, ist festzuhalten, dass dem Abschluss eines Arbeitsvertrags</w:t>
      </w:r>
      <w:r w:rsidR="00170691">
        <w:t xml:space="preserve"> </w:t>
      </w:r>
      <w:r>
        <w:t>rechtlich nichts entgegensteht. Ob und inwieweit Einkünfte angerechnet</w:t>
      </w:r>
      <w:r w:rsidR="00170691">
        <w:t xml:space="preserve"> </w:t>
      </w:r>
      <w:r>
        <w:t>werden müssen, bestimmt sich nach den bundes</w:t>
      </w:r>
      <w:r w:rsidR="002E158B">
        <w:t>rechtlichen Vorgaben des BAföG</w:t>
      </w:r>
      <w:r>
        <w:t>.</w:t>
      </w:r>
    </w:p>
    <w:p w:rsidR="00041CAD" w:rsidRDefault="00041CAD" w:rsidP="00041CAD">
      <w:pPr>
        <w:pStyle w:val="LTAntwortRessortText"/>
      </w:pPr>
      <w:r>
        <w:t>Letztes Jahr wurde § 21 Abs. 4 BAföG (</w:t>
      </w:r>
      <w:r w:rsidR="00BD06F4">
        <w:t>„</w:t>
      </w:r>
      <w:r>
        <w:t>Nicht als Einkommen gelten...</w:t>
      </w:r>
      <w:r w:rsidR="00BD06F4">
        <w:t>“</w:t>
      </w:r>
      <w:r>
        <w:t>) um die</w:t>
      </w:r>
      <w:r w:rsidR="00170691">
        <w:t xml:space="preserve"> </w:t>
      </w:r>
      <w:r w:rsidR="00E62AC3">
        <w:t>Nr. </w:t>
      </w:r>
      <w:r>
        <w:t xml:space="preserve">5 ergänzt: </w:t>
      </w:r>
      <w:r w:rsidR="00BD06F4">
        <w:t>„</w:t>
      </w:r>
      <w:r>
        <w:t>...zusätzliche Einnahmen aus einer Tätigkeit der Antragstellenden in</w:t>
      </w:r>
      <w:r w:rsidR="00170691">
        <w:t xml:space="preserve"> </w:t>
      </w:r>
      <w:r>
        <w:t>systemrelevanten Branchen und Berufen, soweit die Tätigkeit zur Bekämpfung der</w:t>
      </w:r>
      <w:r w:rsidR="00170691">
        <w:t xml:space="preserve"> </w:t>
      </w:r>
      <w:r w:rsidR="00BD06F4">
        <w:t>COVID-19</w:t>
      </w:r>
      <w:r>
        <w:t>-Pandemie und deren sozialen Folgen seit dem 1. März 2020 aufgenommen</w:t>
      </w:r>
      <w:r w:rsidR="00170691">
        <w:t xml:space="preserve"> </w:t>
      </w:r>
      <w:r>
        <w:t>oder in ihrem arbeitszeitlichen Umfang aufgestockt wurde, für die Dauer dieser</w:t>
      </w:r>
      <w:r w:rsidR="00170691">
        <w:t xml:space="preserve"> </w:t>
      </w:r>
      <w:r>
        <w:t>Tätigkeit oder Arbeitszeitaufstockung.</w:t>
      </w:r>
      <w:r w:rsidR="00BD06F4">
        <w:t>“</w:t>
      </w:r>
    </w:p>
    <w:p w:rsidR="00041CAD" w:rsidRDefault="00041CAD" w:rsidP="00170691">
      <w:pPr>
        <w:pStyle w:val="LTAntwortRessortText"/>
        <w:spacing w:before="0"/>
      </w:pPr>
      <w:r>
        <w:t>Die Auslegung der Norm wurde bisher sehr großzügig gehandhabt, sodass auch das</w:t>
      </w:r>
      <w:r w:rsidR="00170691">
        <w:t xml:space="preserve"> </w:t>
      </w:r>
      <w:r w:rsidR="00E62AC3">
        <w:t>Einkommen von BAföG</w:t>
      </w:r>
      <w:r>
        <w:t>-beziehenden Studierenden, die als Ersatz für Lehrkräfte pandemiebedingt</w:t>
      </w:r>
      <w:r w:rsidR="00170691">
        <w:t xml:space="preserve"> </w:t>
      </w:r>
      <w:r>
        <w:t>eingesetzt wurden, nicht angerechnet wurde. Dies wird noch abschließend</w:t>
      </w:r>
      <w:r w:rsidR="00170691">
        <w:t xml:space="preserve"> </w:t>
      </w:r>
      <w:r>
        <w:t>geprüft.</w:t>
      </w:r>
    </w:p>
    <w:p w:rsidR="00041CAD" w:rsidRDefault="00041CAD">
      <w:bookmarkStart w:id="56" w:name="Frage_Nr_27_Ende"/>
      <w:bookmarkEnd w:id="5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09565F" w:rsidTr="0009565F">
        <w:tc>
          <w:tcPr>
            <w:tcW w:w="1840" w:type="dxa"/>
          </w:tcPr>
          <w:p w:rsidR="0009565F" w:rsidRDefault="0009565F" w:rsidP="0009565F">
            <w:pPr>
              <w:pStyle w:val="LTAnfrageInitiator"/>
            </w:pPr>
            <w:r>
              <w:t>Abgeordneter</w:t>
            </w:r>
            <w:r>
              <w:rPr>
                <w:b/>
              </w:rPr>
              <w:br/>
              <w:t>Ulrich</w:t>
            </w:r>
            <w:r>
              <w:rPr>
                <w:b/>
              </w:rPr>
              <w:br/>
              <w:t>Singer</w:t>
            </w:r>
            <w:r>
              <w:rPr>
                <w:b/>
              </w:rPr>
              <w:br/>
            </w:r>
            <w:r>
              <w:t>(AfD)</w:t>
            </w:r>
            <w:bookmarkStart w:id="57" w:name="Frage_Nr_28"/>
            <w:bookmarkEnd w:id="57"/>
          </w:p>
        </w:tc>
        <w:tc>
          <w:tcPr>
            <w:tcW w:w="5776" w:type="dxa"/>
          </w:tcPr>
          <w:p w:rsidR="0009565F" w:rsidRPr="00754CFD" w:rsidRDefault="0009565F" w:rsidP="00754CFD">
            <w:pPr>
              <w:pStyle w:val="LTAnfrageText"/>
            </w:pPr>
            <w:r w:rsidRPr="00754CFD">
              <w:t>Ich frage die Staatsregierung, wie viele Schüler machten in Bayern vom 12. bis 16.04.2021 einen Corona-Selbsttest in der Schule (bitte nach Alter der Schüler sowie Anzahl und Art der Tests täglich auflisten), wie viele Eltern minderjähriger Schüler in Bayern erteilten vor den Osterferien keine Einwilligung zur freiwilligen Corona-Selbsttestung ihrer Kinder (bitte Anzahl nach Alter der Schüler auflisten) und wie viele Schüler in Bayern nahmen aufgrund der seit 12.04.2021 geltenden Corona-Testpflicht als Voraussetzung für den Präsen</w:t>
            </w:r>
            <w:r w:rsidR="002E158B">
              <w:t>zunterricht vorzugsweise am Dis</w:t>
            </w:r>
            <w:r w:rsidRPr="00754CFD">
              <w:t>tanzunterricht teil (bitte Anzahl nach Alter der Schüler auflisten)?</w:t>
            </w:r>
          </w:p>
        </w:tc>
        <w:tc>
          <w:tcPr>
            <w:tcW w:w="5776" w:type="dxa"/>
          </w:tcPr>
          <w:p w:rsidR="0009565F" w:rsidRDefault="0009565F" w:rsidP="0009565F">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Für den Zeitraum vom 12. bis 16. April 2021 wurden weder Daten zur Anzahl bzw.</w:t>
      </w:r>
      <w:r w:rsidR="00267B16">
        <w:t xml:space="preserve"> </w:t>
      </w:r>
      <w:r>
        <w:t>zur Art der an Schulen durchgeführten Selbsttests noch zur Anzahl der nicht erteilten</w:t>
      </w:r>
      <w:r w:rsidR="00267B16">
        <w:t xml:space="preserve"> </w:t>
      </w:r>
      <w:r>
        <w:t>Einwilligungen der Eltern hinsichtlich der freiwilligen Teilnahme ihrer Kinder an</w:t>
      </w:r>
      <w:r w:rsidR="00267B16">
        <w:t xml:space="preserve"> </w:t>
      </w:r>
      <w:r>
        <w:t>Corona-Selbsttests noch zur Anzahl der aufgrund der Testobliegenheit nicht am Präsenzunterricht</w:t>
      </w:r>
      <w:r w:rsidR="00267B16">
        <w:t xml:space="preserve"> </w:t>
      </w:r>
      <w:r>
        <w:t>teilneh</w:t>
      </w:r>
      <w:r w:rsidR="002E158B">
        <w:t>menden Schülerinnen und Schüler</w:t>
      </w:r>
      <w:r>
        <w:t xml:space="preserve"> erhoben. Entsprechende</w:t>
      </w:r>
      <w:r w:rsidR="00267B16">
        <w:t xml:space="preserve"> </w:t>
      </w:r>
      <w:r>
        <w:t>Erkenntnisse liegen der Staatsregierung somit nicht vor.</w:t>
      </w:r>
    </w:p>
    <w:p w:rsidR="00041CAD" w:rsidRDefault="00041CAD">
      <w:bookmarkStart w:id="58" w:name="Frage_Nr_28_Ende"/>
      <w:bookmarkEnd w:id="58"/>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09565F" w:rsidTr="0009565F">
        <w:tc>
          <w:tcPr>
            <w:tcW w:w="1890" w:type="dxa"/>
          </w:tcPr>
          <w:p w:rsidR="0009565F" w:rsidRDefault="0009565F" w:rsidP="0009565F">
            <w:pPr>
              <w:pStyle w:val="LTAnfrageInitiator"/>
            </w:pPr>
            <w:r>
              <w:t>Abgeordnete</w:t>
            </w:r>
            <w:r>
              <w:rPr>
                <w:b/>
              </w:rPr>
              <w:br/>
              <w:t>Diana</w:t>
            </w:r>
            <w:r>
              <w:rPr>
                <w:b/>
              </w:rPr>
              <w:br/>
              <w:t>Stachowitz</w:t>
            </w:r>
            <w:r>
              <w:rPr>
                <w:b/>
              </w:rPr>
              <w:br/>
            </w:r>
            <w:r>
              <w:t>(SPD)</w:t>
            </w:r>
            <w:bookmarkStart w:id="59" w:name="Frage_Nr_29"/>
            <w:bookmarkEnd w:id="59"/>
          </w:p>
        </w:tc>
        <w:tc>
          <w:tcPr>
            <w:tcW w:w="5726" w:type="dxa"/>
          </w:tcPr>
          <w:p w:rsidR="0009565F" w:rsidRPr="00754CFD" w:rsidRDefault="0009565F" w:rsidP="00754CFD">
            <w:pPr>
              <w:pStyle w:val="LTAnfrageText"/>
            </w:pPr>
            <w:r w:rsidRPr="00754CFD">
              <w:t>Nachdem es in Bayern nach dem Erlanger Modell seit zwölf Jahren den Islamunterricht an Schulen als Modellversuch gibt, an dem laut eines Artikels des Münchner Merkurs vom 25.02.2021 zurzeit insgesamt 364 Schulen und ca. 16 000 Schülerinnen und Schüler teilnehmen, vor dem Hintergrund, dass der bayerische Ministerrat in seinem Beschluss vom 23.02.2021 den Islamunterricht dauerhaft als Wahlpflichtfach zulassen möchte und da die Antwort des Staatsministeriums für Unterricht und Kultus vom 23.03.2021 auf die Anfrage zum Plenum zum Islamunterricht in Bayern mit lediglich zwei wenig aussagekräftigen Sätzen beantwortet wurde (Frage Nr. 18 der Drs. 18/14909), frage ich die Staatsregierung, bis wann wird die Bedarfsabfrage für Islamischen Unterricht im kommenden Schuljahr 2021/2022 von der Schulaufsicht durchgeführt worden sein (bitte mit Angabe eines konkreten Zeitpunktes), bis wann können nach der Bedarfsabfrage Aussagen über die Zahl der beteiligten Schulen, die konkreten Standorte bzw. die Zahl der benötigten Lehrkräfte getroffen werden (bitte mit Angabe eines konkreten Zeitpunktes) und, falls mittlerweile Aussagen getroffen werden können (insbesondere auch unabhängig von der Bedarfsabfrage), welchen Umfang strebt die Staatsregierung durch eine Überführung des Modellversuchs in ein Wahlpflichtfach an (bitte mit Anzahl der vorhandenen sowie zusätzlich benötigten Lehrkräfte, Anzahl der Schülerinnen und Schüler, absolut und im Verhältnis zur Gesamtzahl der muslimischen Schülerinnen und Schüler, Zahl der beteiligten Schulen, absolut und aufgeschlüsselt nach Schularten, falls keine Aussagen getroffen werden können, bitte den Planungshorizont begründen)? </w:t>
            </w:r>
          </w:p>
        </w:tc>
        <w:tc>
          <w:tcPr>
            <w:tcW w:w="5726" w:type="dxa"/>
          </w:tcPr>
          <w:p w:rsidR="0009565F" w:rsidRDefault="0009565F" w:rsidP="0009565F">
            <w:pPr>
              <w:pStyle w:val="LTAnfrageText"/>
            </w:pPr>
          </w:p>
        </w:tc>
      </w:tr>
    </w:tbl>
    <w:p w:rsidR="00041CAD" w:rsidRDefault="00041CAD" w:rsidP="00041CAD">
      <w:pPr>
        <w:pStyle w:val="LTUeberschrAntwortRessort"/>
      </w:pPr>
      <w:r>
        <w:t>Antwort des Staatsministeriums für Unterricht und Kultus</w:t>
      </w:r>
    </w:p>
    <w:p w:rsidR="00041CAD" w:rsidRDefault="00041CAD" w:rsidP="00041CAD">
      <w:pPr>
        <w:pStyle w:val="LTAntwortRessortText"/>
      </w:pPr>
      <w:r>
        <w:t>Zur Frage zum Zeitpunkt der Bedarfsabfrage und zum Zeitpunkt, wann Aussagen</w:t>
      </w:r>
      <w:r w:rsidR="00267B16">
        <w:t xml:space="preserve"> </w:t>
      </w:r>
      <w:r>
        <w:t>über die im kommenden Schuljahr beteiligten Schulen, Standorte und Lehrkräfte getroffen</w:t>
      </w:r>
      <w:r w:rsidR="00267B16">
        <w:t xml:space="preserve"> </w:t>
      </w:r>
      <w:r>
        <w:t>werden können:</w:t>
      </w:r>
    </w:p>
    <w:p w:rsidR="00041CAD" w:rsidRDefault="00041CAD" w:rsidP="005E5A44">
      <w:pPr>
        <w:pStyle w:val="LTAntwortRessortText"/>
        <w:spacing w:before="0"/>
      </w:pPr>
      <w:r>
        <w:t>Der Phase der bayernweiten vorläufigen Unterrichtsplanung liegt das entsprechende</w:t>
      </w:r>
      <w:r w:rsidR="00267B16">
        <w:t xml:space="preserve"> </w:t>
      </w:r>
      <w:r w:rsidR="00E62AC3">
        <w:t>Kultusministerielle Schreiben</w:t>
      </w:r>
      <w:r>
        <w:t xml:space="preserve"> zugrunde, das jährlich im April den Rahmen für die Klassenbildung, Gruppenbildung</w:t>
      </w:r>
      <w:r w:rsidR="00267B16">
        <w:t xml:space="preserve"> </w:t>
      </w:r>
      <w:r>
        <w:t>sowie den Personaleinsatz an Grund- und Mittelschulen darstellt. Dieses</w:t>
      </w:r>
      <w:r w:rsidR="00267B16">
        <w:t xml:space="preserve"> </w:t>
      </w:r>
      <w:r>
        <w:t>Schreiben wurde am 16.04.2021 an die Regierungen versandt. Die Klassen- und</w:t>
      </w:r>
      <w:r w:rsidR="00267B16">
        <w:t xml:space="preserve"> </w:t>
      </w:r>
      <w:r>
        <w:t>Gruppenbildung basiert wesentlich auf validen Schülerzahlmeldungen sowie Personalstandsmeldungen.</w:t>
      </w:r>
      <w:r w:rsidR="005E5A44">
        <w:t xml:space="preserve"> </w:t>
      </w:r>
      <w:r>
        <w:t>Hier sind die Termine für die anstehenden Schullaufbahnentscheidungen</w:t>
      </w:r>
      <w:r w:rsidR="005E5A44">
        <w:t xml:space="preserve"> </w:t>
      </w:r>
      <w:r>
        <w:t>genauso abzuwarten wie die Fristen für Versetzungsanträge, Beurlaubungsanträge,</w:t>
      </w:r>
      <w:r w:rsidR="005E5A44">
        <w:t xml:space="preserve"> </w:t>
      </w:r>
      <w:r>
        <w:t>Ruhestandsversetzungen, etc.</w:t>
      </w:r>
    </w:p>
    <w:p w:rsidR="00041CAD" w:rsidRDefault="00041CAD" w:rsidP="005E5A44">
      <w:pPr>
        <w:pStyle w:val="LTAntwortRessortText"/>
        <w:spacing w:before="0"/>
      </w:pPr>
      <w:r>
        <w:t>Zum Ende des laufenden Schuljahres liegen dem Staatsministerium die Daten für die</w:t>
      </w:r>
      <w:r w:rsidR="005E5A44">
        <w:t xml:space="preserve"> </w:t>
      </w:r>
      <w:r>
        <w:t>abschließende Unterrichtsversorgung der Grund- und Mittelschulen aus den Regierungsbezirken</w:t>
      </w:r>
      <w:r w:rsidR="005E5A44">
        <w:t xml:space="preserve"> </w:t>
      </w:r>
      <w:r>
        <w:t>vor.</w:t>
      </w:r>
    </w:p>
    <w:p w:rsidR="00041CAD" w:rsidRDefault="00041CAD" w:rsidP="005E5A44">
      <w:pPr>
        <w:pStyle w:val="LTAntwortRessortText"/>
        <w:spacing w:before="0"/>
      </w:pPr>
      <w:r>
        <w:t>Die Meldungen zu Gruppenbildungen für den Islamischen Unterricht werden im Kontext</w:t>
      </w:r>
      <w:r w:rsidR="005E5A44">
        <w:t xml:space="preserve"> </w:t>
      </w:r>
      <w:r>
        <w:t>dieser Planungsarbeiten von den Regierungen erhoben. Dabei setzt jede Regierung</w:t>
      </w:r>
      <w:r w:rsidR="005E5A44">
        <w:t xml:space="preserve"> </w:t>
      </w:r>
      <w:r>
        <w:t>ihren Meldetermin selbst fest und ist auch für die entsprechende Personalzuweisung</w:t>
      </w:r>
      <w:r w:rsidR="005E5A44">
        <w:t xml:space="preserve"> </w:t>
      </w:r>
      <w:r>
        <w:t>zuständig.</w:t>
      </w:r>
    </w:p>
    <w:p w:rsidR="00136848" w:rsidRDefault="00136848">
      <w:r>
        <w:br w:type="page"/>
      </w:r>
    </w:p>
    <w:p w:rsidR="00041CAD" w:rsidRDefault="00041CAD" w:rsidP="00041CAD">
      <w:pPr>
        <w:pStyle w:val="LTAntwortRessortText"/>
      </w:pPr>
      <w:r>
        <w:t xml:space="preserve">Zur Frage zum künftigen Umfang des Angebots </w:t>
      </w:r>
      <w:r w:rsidR="00BD06F4">
        <w:t>„</w:t>
      </w:r>
      <w:r>
        <w:t>Islamischer Unterricht</w:t>
      </w:r>
      <w:r w:rsidR="00BD06F4">
        <w:t>“</w:t>
      </w:r>
      <w:r>
        <w:t>:</w:t>
      </w:r>
    </w:p>
    <w:p w:rsidR="00041CAD" w:rsidRDefault="00041CAD" w:rsidP="005E5A44">
      <w:pPr>
        <w:pStyle w:val="LTAntwortRessortText"/>
        <w:spacing w:before="0"/>
      </w:pPr>
      <w:r>
        <w:t>Die Einrichtung des Islamischen Unterrichts als Regelangebot geht vom Bedarf, aber</w:t>
      </w:r>
      <w:r w:rsidR="005E5A44">
        <w:t xml:space="preserve"> </w:t>
      </w:r>
      <w:r>
        <w:t>auch von den aktuell vorhandenen Möglichkeiten und Ressourcen aus. Es wird zunächst</w:t>
      </w:r>
      <w:r w:rsidR="005E5A44">
        <w:t xml:space="preserve"> </w:t>
      </w:r>
      <w:r>
        <w:t>abzuwarten sein, wie das neue Regelangebot von den Eltern bzw. den Schülerinnen</w:t>
      </w:r>
      <w:r w:rsidR="005E5A44">
        <w:t xml:space="preserve"> </w:t>
      </w:r>
      <w:r>
        <w:t>und Schülern nachgefragt wird. Die Bereitstellung weiterer Personalressourcen</w:t>
      </w:r>
      <w:r w:rsidR="005E5A44">
        <w:t xml:space="preserve"> </w:t>
      </w:r>
      <w:r>
        <w:t>für eine maßvolle, bedarfsgerechte Ausweitung der Standorte bleibt künftigen</w:t>
      </w:r>
      <w:r w:rsidR="005E5A44">
        <w:t xml:space="preserve"> </w:t>
      </w:r>
      <w:r>
        <w:t>Haushalten vorbehalten. Die genannten Ausbauaspekte werden vom Staatsministerium</w:t>
      </w:r>
      <w:r w:rsidR="005E5A44">
        <w:t xml:space="preserve"> </w:t>
      </w:r>
      <w:r>
        <w:t>in den nächsten Jahren perspektivisch in den Blick genommen.</w:t>
      </w:r>
    </w:p>
    <w:p w:rsidR="00041CAD" w:rsidRDefault="00041CAD">
      <w:bookmarkStart w:id="60" w:name="Frage_Nr_29_Ende"/>
      <w:bookmarkEnd w:id="60"/>
      <w:r>
        <w:br w:type="page"/>
      </w:r>
    </w:p>
    <w:p w:rsidR="00041CAD" w:rsidRDefault="00041CAD" w:rsidP="00041CAD">
      <w:pPr>
        <w:pStyle w:val="LTUeberschrRessort"/>
      </w:pPr>
      <w:r>
        <w:t>Geschäftsbereich des Staatsministeriums für Wissenschaft und Kunst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9565F" w:rsidTr="0009565F">
        <w:tc>
          <w:tcPr>
            <w:tcW w:w="1883" w:type="dxa"/>
          </w:tcPr>
          <w:p w:rsidR="0009565F" w:rsidRDefault="0009565F" w:rsidP="0009565F">
            <w:pPr>
              <w:pStyle w:val="LTAnfrageInitiator"/>
            </w:pPr>
            <w:r>
              <w:t>Abgeordnete</w:t>
            </w:r>
            <w:r>
              <w:rPr>
                <w:b/>
              </w:rPr>
              <w:br/>
              <w:t>Gülseren</w:t>
            </w:r>
            <w:r>
              <w:rPr>
                <w:b/>
              </w:rPr>
              <w:br/>
              <w:t>Demirel</w:t>
            </w:r>
            <w:r>
              <w:rPr>
                <w:b/>
              </w:rPr>
              <w:br/>
            </w:r>
            <w:r>
              <w:t>(BÜNDNIS 90/DIE GRÜNEN)</w:t>
            </w:r>
            <w:bookmarkStart w:id="61" w:name="Frage_Nr_30"/>
            <w:bookmarkEnd w:id="61"/>
          </w:p>
        </w:tc>
        <w:tc>
          <w:tcPr>
            <w:tcW w:w="5733" w:type="dxa"/>
          </w:tcPr>
          <w:p w:rsidR="0009565F" w:rsidRPr="00754CFD" w:rsidRDefault="0009565F" w:rsidP="00754CFD">
            <w:pPr>
              <w:pStyle w:val="LTAnfrageText"/>
            </w:pPr>
            <w:r w:rsidRPr="00754CFD">
              <w:t>Ich frage die Staatsregierung, kann die Staatliche Naturschutzbehörde bestätigen, dass das Isartal Naturschutzgebiet bis zu Teilen des Biergartens Menterschwaige in München reicht und die dortigen Bäume entsprechend schützt, befürwortet die Oberste Denkmalschutzbehörde den Erhalt des historischen Gasthauses Menterschwaige und den dazugehörenden Biergarten und würde die Staatsregierung für den Erhalt des historischen Gasthauses und Biergartens einen staatlichen Ankauf in Erwägung ziehen?</w:t>
            </w:r>
          </w:p>
        </w:tc>
        <w:tc>
          <w:tcPr>
            <w:tcW w:w="5733" w:type="dxa"/>
          </w:tcPr>
          <w:p w:rsidR="0009565F" w:rsidRDefault="0009565F" w:rsidP="0009565F">
            <w:pPr>
              <w:pStyle w:val="LTAnfrageText"/>
            </w:pPr>
          </w:p>
        </w:tc>
      </w:tr>
    </w:tbl>
    <w:p w:rsidR="00041CAD" w:rsidRDefault="00041CAD" w:rsidP="00041CAD">
      <w:pPr>
        <w:pStyle w:val="LTUeberschrAntwortRessort"/>
      </w:pPr>
      <w:r>
        <w:t>Antwort des Staatsministeriums für Wissenschaft und Kunst</w:t>
      </w:r>
    </w:p>
    <w:p w:rsidR="00041CAD" w:rsidRDefault="00041CAD" w:rsidP="00041CAD">
      <w:pPr>
        <w:pStyle w:val="LTAntwortRessortText"/>
      </w:pPr>
      <w:r>
        <w:t>Das Staatsministerium für Wissenschaft und Kuns</w:t>
      </w:r>
      <w:r w:rsidR="00E62AC3">
        <w:t>t beantwortet die Anfrage in Ab</w:t>
      </w:r>
      <w:r>
        <w:t>stimmung mit dem Staatsministerium für Wohnen, Bau und Verkehr und dem Staatsministerium für Umwelt und Verbraucherschutz wie folgt:</w:t>
      </w:r>
    </w:p>
    <w:p w:rsidR="00041CAD" w:rsidRDefault="00041CAD" w:rsidP="00041CAD">
      <w:pPr>
        <w:pStyle w:val="LTAntwortRessortText"/>
      </w:pPr>
      <w:r>
        <w:t xml:space="preserve">Der Baumbestand des Gasthauses </w:t>
      </w:r>
      <w:r w:rsidR="00BD06F4">
        <w:t>„</w:t>
      </w:r>
      <w:r>
        <w:t>Gutshof Menterschwaige</w:t>
      </w:r>
      <w:r w:rsidR="00BD06F4">
        <w:t>“</w:t>
      </w:r>
      <w:r w:rsidR="00E62AC3">
        <w:t xml:space="preserve"> grenzt an das Land</w:t>
      </w:r>
      <w:r>
        <w:t>schaftsschutzgebiet Isarauen und das FFH-Gebiet Oberes Isartal (8034-371) an, ist aber selbst nicht Bestandteil dieser Schutzgebiete.</w:t>
      </w:r>
    </w:p>
    <w:p w:rsidR="00041CAD" w:rsidRDefault="00041CAD" w:rsidP="00041CAD">
      <w:pPr>
        <w:pStyle w:val="LTAntwortRessortText"/>
      </w:pPr>
      <w:r>
        <w:t>Im Bereich des Gasthofs Menterschwaige sind folgende Objekte als Denkmäler in die Denkmalliste eingetragen:</w:t>
      </w:r>
    </w:p>
    <w:p w:rsidR="00041CAD" w:rsidRDefault="00041CAD" w:rsidP="00314186">
      <w:pPr>
        <w:pStyle w:val="LTAntwortRessortText"/>
        <w:spacing w:before="0"/>
      </w:pPr>
      <w:r>
        <w:t>Baudenkmal (D-1-62-000-4506): Gasthof, Gutsho</w:t>
      </w:r>
      <w:r w:rsidR="00E62AC3">
        <w:t>f Menterschwaige, ein- und zwei</w:t>
      </w:r>
      <w:r>
        <w:t>geschossiger Gruppenbau auf dreiflügeligem Grundriss mit Sattel-, Mansard,- Man-sardwalm- und Schopfwalmdächern, N</w:t>
      </w:r>
      <w:r w:rsidR="00E62AC3">
        <w:t>ordflügel im Kern frühes 19. Jahrhundert</w:t>
      </w:r>
      <w:r>
        <w:t>, Umbau 1899</w:t>
      </w:r>
      <w:r w:rsidR="00E62AC3">
        <w:t>,</w:t>
      </w:r>
      <w:r>
        <w:t xml:space="preserve"> Wirtsgarten, mit Bäumen dicht bestandener Garten, um 1900 angelegt</w:t>
      </w:r>
      <w:r w:rsidR="00E62AC3">
        <w:t>,</w:t>
      </w:r>
      <w:r>
        <w:t xml:space="preserve"> Schweizerhaus, sog. Lola Montez-Haus, zweigeschossiger Satteldachbau mit holzverschaltem Obergeschoss, nach 1850. Bodendenkmal (D-1-7935-0310): Untertägige mittelalterliche und frühneuzeitliche Befunde im Bereich der ehem. Schwaige Harthausen (</w:t>
      </w:r>
      <w:r w:rsidR="00BD06F4">
        <w:t>„</w:t>
      </w:r>
      <w:r>
        <w:t>Menterschwaige</w:t>
      </w:r>
      <w:r w:rsidR="00BD06F4">
        <w:t>“</w:t>
      </w:r>
      <w:r>
        <w:t>) und der abgegangenen Kirche St. Margaretha mit zugehörigem Friedhof.</w:t>
      </w:r>
    </w:p>
    <w:p w:rsidR="00041CAD" w:rsidRDefault="00041CAD" w:rsidP="00041CAD">
      <w:pPr>
        <w:pStyle w:val="LTAntwortRessortText"/>
      </w:pPr>
      <w:r>
        <w:t>Neben den baulichen Anlagen der Gaststätte ist somit auch der Wirtsgarten als Baudenkmal erkannt. Zudem befindet sich in einem größeren Bereich die ehemalige mittelalterliche und frühneuzeitliche Vorgängerbebauung im Boden.</w:t>
      </w:r>
    </w:p>
    <w:p w:rsidR="00041CAD" w:rsidRDefault="00041CAD" w:rsidP="00314186">
      <w:pPr>
        <w:pStyle w:val="LTAntwortRessortText"/>
        <w:spacing w:before="0"/>
      </w:pPr>
      <w:r>
        <w:t xml:space="preserve">Die Gebäude des Gasthofs und sein Wirtsgarten unterliegen damit der Erhaltungs-pflicht nach Art. 4 des Bayerischen Denkmalschutzgesetzes (BayDSchG). Die für die denkmalschutzrechtliche Erlaubnis nach dem </w:t>
      </w:r>
      <w:r w:rsidR="00283FA7">
        <w:t>BayDSchG zuständige Untere Denk</w:t>
      </w:r>
      <w:r>
        <w:t>malschutzbehörde der Landeshauptstadt München befürwortet den Erhalt des historischen Gasthofs sowie des dazugehörigen Wirtsgartens und steht dem Eigentümer für eine Beratung zur Instandsetzung des vorhan</w:t>
      </w:r>
      <w:r w:rsidR="00283FA7">
        <w:t>denen Baubestands gerne zur Ver</w:t>
      </w:r>
      <w:r>
        <w:t>fügung.</w:t>
      </w:r>
    </w:p>
    <w:p w:rsidR="00041CAD" w:rsidRDefault="00041CAD" w:rsidP="00041CAD">
      <w:pPr>
        <w:pStyle w:val="LTAntwortRessortText"/>
      </w:pPr>
      <w:r>
        <w:t>Hinsichtlich der Frage zum Ankauf durch die Staatsregierung ist darauf hinzuweisen, dass aus haushaltsrechtlichen Gründen kein Grundstück auf Vorrat, also ohne Staatsbedarf, erworben werden kann.</w:t>
      </w:r>
    </w:p>
    <w:p w:rsidR="00041CAD" w:rsidRDefault="00041CAD">
      <w:bookmarkStart w:id="62" w:name="Frage_Nr_30_Ende"/>
      <w:bookmarkEnd w:id="6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BF1E07" w:rsidTr="00BF1E07">
        <w:tc>
          <w:tcPr>
            <w:tcW w:w="1852" w:type="dxa"/>
          </w:tcPr>
          <w:p w:rsidR="00BF1E07" w:rsidRDefault="00BF1E07" w:rsidP="00BF1E07">
            <w:pPr>
              <w:pStyle w:val="LTAnfrageInitiator"/>
            </w:pPr>
            <w:r>
              <w:t>Abgeordneter</w:t>
            </w:r>
            <w:r>
              <w:rPr>
                <w:b/>
              </w:rPr>
              <w:br/>
              <w:t>Dr. Wolfgang</w:t>
            </w:r>
            <w:r>
              <w:rPr>
                <w:b/>
              </w:rPr>
              <w:br/>
              <w:t>Heubisch</w:t>
            </w:r>
            <w:r>
              <w:rPr>
                <w:b/>
              </w:rPr>
              <w:br/>
            </w:r>
            <w:r>
              <w:t>(FDP)</w:t>
            </w:r>
            <w:bookmarkStart w:id="63" w:name="Frage_Nr_31"/>
            <w:bookmarkEnd w:id="63"/>
          </w:p>
        </w:tc>
        <w:tc>
          <w:tcPr>
            <w:tcW w:w="5764" w:type="dxa"/>
          </w:tcPr>
          <w:p w:rsidR="00BF1E07" w:rsidRPr="00754CFD" w:rsidRDefault="00BF1E07" w:rsidP="00754CFD">
            <w:pPr>
              <w:pStyle w:val="LTAnfrageText"/>
            </w:pPr>
            <w:r w:rsidRPr="00754CFD">
              <w:t>Laut Aussagen einiger Politikerinnen und Politiker der Regierungsfraktionen liegt diesen bereits der Gesetzentwurf des Hochschulinnovationsgesetzes vor, weshalb ich die Staatsregierung frage, inwieweit es richtig ist, dass der Gesetzentwurf bereits den Regierungsfraktionen zugegangen ist, wann der Gesetzentwurf Verbänden, Experten und Oppositionsfraktionen vorgelegt wird und ob der Gesetzentwurf rechtzeitig (d. h. mindestens zwei Wochen vor der Anhörung) vor der Anhörung den Expertinnen und Experten sowie den Oppositionsfraktionen zugänglich sein wird?</w:t>
            </w:r>
          </w:p>
        </w:tc>
        <w:tc>
          <w:tcPr>
            <w:tcW w:w="5764" w:type="dxa"/>
          </w:tcPr>
          <w:p w:rsidR="00BF1E07" w:rsidRDefault="00BF1E07" w:rsidP="00BF1E07">
            <w:pPr>
              <w:pStyle w:val="LTAnfrageText"/>
            </w:pPr>
          </w:p>
        </w:tc>
      </w:tr>
    </w:tbl>
    <w:p w:rsidR="00041CAD" w:rsidRDefault="00041CAD" w:rsidP="00041CAD">
      <w:pPr>
        <w:pStyle w:val="LTUeberschrAntwortRessort"/>
      </w:pPr>
      <w:r>
        <w:t>Antwort des Staatsministeriums für Wissenschaft und Kunst</w:t>
      </w:r>
    </w:p>
    <w:p w:rsidR="00041CAD" w:rsidRDefault="00041CAD" w:rsidP="00041CAD">
      <w:pPr>
        <w:pStyle w:val="LTAntwortRessortText"/>
      </w:pPr>
      <w:r>
        <w:t>Es ist in allen Ländern gängige Praxis, dass die gesetzgeberischen Überlegungen mit Vertretern der Regierungsfraktionen diskutiert we</w:t>
      </w:r>
      <w:r w:rsidR="00283FA7">
        <w:t>rden. Ein offizieller Gesetzent</w:t>
      </w:r>
      <w:r>
        <w:t>wurf bzw. Referentenentwurf liegt allerdings erst na</w:t>
      </w:r>
      <w:r w:rsidR="00283FA7">
        <w:t>ch dem Beschluss des Ministerra</w:t>
      </w:r>
      <w:r>
        <w:t>tes vor, mit dem dieser die Einleitung der Verbändeanhörung billigt. Sodann wird der Referentenentwurf veröffentlicht und damit zugleich allen Fraktionen des Landtags zugänglich gemacht. Das Staatsministerium wird den</w:t>
      </w:r>
      <w:r w:rsidR="00283FA7">
        <w:t xml:space="preserve"> vom Ministerrat gebilligten Ge</w:t>
      </w:r>
      <w:r>
        <w:t>setzentwurf den Verbänden, den vom Landtag fü</w:t>
      </w:r>
      <w:r w:rsidR="00283FA7">
        <w:t>r die Anhörung vorgesehen Exper</w:t>
      </w:r>
      <w:r>
        <w:t>ten und dem Landtag selbst unverzüglich nach der Ministerratsbehandlung zuleiten.</w:t>
      </w:r>
    </w:p>
    <w:p w:rsidR="00041CAD" w:rsidRDefault="00041CAD">
      <w:bookmarkStart w:id="64" w:name="Frage_Nr_31_Ende"/>
      <w:bookmarkEnd w:id="64"/>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45067D" w:rsidTr="0045067D">
        <w:tc>
          <w:tcPr>
            <w:tcW w:w="1909" w:type="dxa"/>
          </w:tcPr>
          <w:p w:rsidR="0045067D" w:rsidRDefault="0045067D" w:rsidP="0045067D">
            <w:pPr>
              <w:pStyle w:val="LTAnfrageInitiator"/>
            </w:pPr>
            <w:r>
              <w:t>Abgeordnete</w:t>
            </w:r>
            <w:r>
              <w:rPr>
                <w:b/>
              </w:rPr>
              <w:br/>
              <w:t>Susanne</w:t>
            </w:r>
            <w:r>
              <w:rPr>
                <w:b/>
              </w:rPr>
              <w:br/>
              <w:t>Kurz</w:t>
            </w:r>
            <w:r>
              <w:rPr>
                <w:b/>
              </w:rPr>
              <w:br/>
            </w:r>
            <w:r>
              <w:t>(BÜNDNIS 90/DIE GRÜNEN)</w:t>
            </w:r>
            <w:bookmarkStart w:id="65" w:name="Frage_Nr_32"/>
            <w:bookmarkEnd w:id="65"/>
          </w:p>
        </w:tc>
        <w:tc>
          <w:tcPr>
            <w:tcW w:w="5707" w:type="dxa"/>
          </w:tcPr>
          <w:p w:rsidR="0045067D" w:rsidRPr="00754CFD" w:rsidRDefault="0045067D" w:rsidP="00754CFD">
            <w:pPr>
              <w:pStyle w:val="LTAnfrageText"/>
            </w:pPr>
            <w:r w:rsidRPr="00754CFD">
              <w:t>Ich frage die Staatsr</w:t>
            </w:r>
            <w:r w:rsidR="00283FA7">
              <w:t>egierung, welche Corona-Arbeits</w:t>
            </w:r>
            <w:r w:rsidRPr="00754CFD">
              <w:t>schutzregelungen für die Beschäftigten der jeweiligen staatlichen Kultureinrichtungen gelten, insbesondere der Kultureinrichtungen mit Probebetrieb wie Theater, Tanzensembles und Orchester, mit jeweils welchen Maßnahmen (regelmäßige PCR- und/oder Schnelltests, Masken, Belüftungsanlagen oder CO</w:t>
            </w:r>
            <w:r w:rsidRPr="00283FA7">
              <w:rPr>
                <w:vertAlign w:val="subscript"/>
              </w:rPr>
              <w:t>2</w:t>
            </w:r>
            <w:r w:rsidRPr="00754CFD">
              <w:t>-Messung in Proberäumen etc.) die Betroffenen der einzelnen Einrichtungen vor COVID-19 geschützt werden (bitte mit Angabe pro Haus) und wie sie von den Beteiligten angenommen werden (bitte mit Prozentangabe tatsächlich durchgeführter Tests pro Haus)? </w:t>
            </w:r>
          </w:p>
        </w:tc>
        <w:tc>
          <w:tcPr>
            <w:tcW w:w="5707" w:type="dxa"/>
          </w:tcPr>
          <w:p w:rsidR="0045067D" w:rsidRDefault="0045067D" w:rsidP="0045067D">
            <w:pPr>
              <w:pStyle w:val="LTAnfrageText"/>
            </w:pPr>
          </w:p>
        </w:tc>
      </w:tr>
    </w:tbl>
    <w:p w:rsidR="00041CAD" w:rsidRDefault="00041CAD" w:rsidP="00041CAD">
      <w:pPr>
        <w:pStyle w:val="LTUeberschrAntwortRessort"/>
      </w:pPr>
      <w:r>
        <w:t>Antwort des Staatsministeriums für Wissenschaft und Kunst</w:t>
      </w:r>
    </w:p>
    <w:p w:rsidR="00041CAD" w:rsidRDefault="00041CAD" w:rsidP="00041CAD">
      <w:pPr>
        <w:pStyle w:val="LTAntwortRessortText"/>
      </w:pPr>
      <w:r>
        <w:t>Der Freistaat Bayern ist Träger der folgenden Kultureinrichtungen, an denen derzeit trotz der Schließungen Proben unter Beteiligung</w:t>
      </w:r>
      <w:r w:rsidR="00283FA7">
        <w:t xml:space="preserve"> von an diesen Einrichtungen be</w:t>
      </w:r>
      <w:r>
        <w:t>schäftigten Personen stattfinden:</w:t>
      </w:r>
    </w:p>
    <w:p w:rsidR="00041CAD" w:rsidRDefault="00041CAD" w:rsidP="00BE4259">
      <w:pPr>
        <w:pStyle w:val="LTAntwortRessortText"/>
        <w:numPr>
          <w:ilvl w:val="0"/>
          <w:numId w:val="28"/>
        </w:numPr>
        <w:ind w:left="697" w:hanging="357"/>
      </w:pPr>
      <w:r>
        <w:t>Bayerische Staatsoper</w:t>
      </w:r>
    </w:p>
    <w:p w:rsidR="00041CAD" w:rsidRDefault="00041CAD" w:rsidP="00BE4259">
      <w:pPr>
        <w:pStyle w:val="LTAntwortRessortText"/>
        <w:numPr>
          <w:ilvl w:val="0"/>
          <w:numId w:val="28"/>
        </w:numPr>
        <w:spacing w:before="0"/>
        <w:ind w:left="697" w:hanging="357"/>
      </w:pPr>
      <w:r>
        <w:t>Bayerisches Staatsschauspiel</w:t>
      </w:r>
    </w:p>
    <w:p w:rsidR="00041CAD" w:rsidRDefault="00041CAD" w:rsidP="00BE4259">
      <w:pPr>
        <w:pStyle w:val="LTAntwortRessortText"/>
        <w:numPr>
          <w:ilvl w:val="0"/>
          <w:numId w:val="28"/>
        </w:numPr>
        <w:spacing w:before="0"/>
        <w:ind w:left="697" w:hanging="357"/>
      </w:pPr>
      <w:r>
        <w:t>Staatstheater am Gärtnerplatz</w:t>
      </w:r>
    </w:p>
    <w:p w:rsidR="00041CAD" w:rsidRDefault="00041CAD" w:rsidP="00041CAD">
      <w:pPr>
        <w:pStyle w:val="LTAntwortRessortText"/>
      </w:pPr>
      <w:r>
        <w:t>Die drei staatlichen Theater haben die im Rahmen des gesetzlichen Arbeitsschutzes vorgesehenen Gefährdungsanalysen durchgeführt und Hygienekommissionen (</w:t>
      </w:r>
      <w:r w:rsidR="00283FA7">
        <w:t>be</w:t>
      </w:r>
      <w:r>
        <w:t>stehend aus Mitgliedern der Geschäftsführenden Di</w:t>
      </w:r>
      <w:r w:rsidR="00136848">
        <w:t>rektionen, einzelnen Abteilungs</w:t>
      </w:r>
      <w:r>
        <w:t>leitern, speziellen Hygienebeauftragten, dem jeweiligen Personalrat, dem Betriebsärztlichen Dienst und dem Sicherheitsingenieur de</w:t>
      </w:r>
      <w:r w:rsidR="00283FA7">
        <w:t>s Zentralen Dienstes der Bayeri</w:t>
      </w:r>
      <w:r>
        <w:t>schen Staatstheater) eingesetzt, die auf den Gefährdungsanalysen basierende, nach Einsatz- und Arbeitsbereichen differenzierende Hygienekonzepte erstellt haben.</w:t>
      </w:r>
    </w:p>
    <w:p w:rsidR="00041CAD" w:rsidRDefault="00041CAD" w:rsidP="00041CAD">
      <w:pPr>
        <w:pStyle w:val="LTAntwortRessortText"/>
      </w:pPr>
      <w:r>
        <w:t>Diese Konzepte werden konsequent angewendet und fortlaufend aktualisiert. In die im Einzelnen zum Teil unterschiedlichen Konzepte s</w:t>
      </w:r>
      <w:r w:rsidR="00283FA7">
        <w:t>ind die Vorgaben der Infektions</w:t>
      </w:r>
      <w:r>
        <w:t>schutzmaßnahmenverordnung und die speziellen Vorgaben des Arbeitsschutzes in Kulturbetrieben eingearbeitet.</w:t>
      </w:r>
    </w:p>
    <w:p w:rsidR="00041CAD" w:rsidRDefault="00041CAD" w:rsidP="00041CAD">
      <w:pPr>
        <w:pStyle w:val="LTAntwortRessortText"/>
      </w:pPr>
      <w:r>
        <w:t>Dabei bedingt die Unterschiedlichkeit der Arbeitsbereiche im Theater, speziell im Musiktheater, eine Reihe von Regelungen, die jeweils nur für bestimmte Tätigkeiten gelten. So sind spezielle Regelungen erforderlich für den Übungsbetrieb, für szeni-sche Proben und Vorstellungen, für den Chor, für das Orchester, für das Ballett, für die Statisterie und für Kostüm und Maske.</w:t>
      </w:r>
    </w:p>
    <w:p w:rsidR="00041CAD" w:rsidRDefault="00041CAD" w:rsidP="00041CAD">
      <w:pPr>
        <w:pStyle w:val="LTAntwortRessortText"/>
      </w:pPr>
      <w:r>
        <w:t>Die grundlegenden Maßgaben gelten in allen Staatstheatern gleichermaßen, zum Beispiel (Aufzählung nicht abschließend):</w:t>
      </w:r>
    </w:p>
    <w:p w:rsidR="00041CAD" w:rsidRDefault="00041CAD" w:rsidP="00BE4259">
      <w:pPr>
        <w:pStyle w:val="LTAntwortRessortText"/>
        <w:numPr>
          <w:ilvl w:val="1"/>
          <w:numId w:val="31"/>
        </w:numPr>
        <w:ind w:left="697" w:hanging="357"/>
      </w:pPr>
      <w:r>
        <w:t>Homeoffice-Tätigkeit wird, soweit möglich</w:t>
      </w:r>
      <w:r w:rsidR="00283FA7">
        <w:t xml:space="preserve"> und sinnvoll, konsequent unter</w:t>
      </w:r>
      <w:r>
        <w:t>stützt.</w:t>
      </w:r>
    </w:p>
    <w:p w:rsidR="00041CAD" w:rsidRDefault="00041CAD" w:rsidP="00BE4259">
      <w:pPr>
        <w:pStyle w:val="LTAntwortRessortText"/>
        <w:numPr>
          <w:ilvl w:val="1"/>
          <w:numId w:val="31"/>
        </w:numPr>
        <w:spacing w:before="0"/>
        <w:ind w:left="697" w:hanging="357"/>
      </w:pPr>
      <w:r>
        <w:t xml:space="preserve">Die Diensteinteilung erfolgt unter der Maßgabe, möglichst kleine Gruppen zu bilden, die sich über längere Zeiträume </w:t>
      </w:r>
      <w:r w:rsidR="00283FA7">
        <w:t>aus den gleichen Personen zusam</w:t>
      </w:r>
      <w:r>
        <w:t>mensetzen.</w:t>
      </w:r>
    </w:p>
    <w:p w:rsidR="00041CAD" w:rsidRDefault="00041CAD" w:rsidP="00BE4259">
      <w:pPr>
        <w:pStyle w:val="LTAntwortRessortText"/>
        <w:numPr>
          <w:ilvl w:val="1"/>
          <w:numId w:val="31"/>
        </w:numPr>
        <w:spacing w:before="0"/>
        <w:ind w:left="697" w:hanging="357"/>
      </w:pPr>
      <w:r>
        <w:t>Der Dienstantritt verschiedener Gruppen wird nach Möglichkeit entzerrt und die Pausen zwischen verschiedenen Schichten (auc</w:t>
      </w:r>
      <w:r w:rsidR="00283FA7">
        <w:t>h für erhöhte Lüftungsin</w:t>
      </w:r>
      <w:r>
        <w:t>tervalle) verlängert, um Begegnungen zu minimieren.</w:t>
      </w:r>
    </w:p>
    <w:p w:rsidR="00041CAD" w:rsidRDefault="00041CAD" w:rsidP="00BE4259">
      <w:pPr>
        <w:pStyle w:val="LTAntwortRessortText"/>
        <w:numPr>
          <w:ilvl w:val="1"/>
          <w:numId w:val="31"/>
        </w:numPr>
        <w:spacing w:before="0"/>
        <w:ind w:left="697" w:hanging="357"/>
      </w:pPr>
      <w:r>
        <w:t>Der Zutritt für externe Dienstleister und private Personen wird auf das absolut notwendige Maß beschränkt und stets bei Hauszutritt protokolliert.</w:t>
      </w:r>
    </w:p>
    <w:p w:rsidR="00041CAD" w:rsidRDefault="00041CAD" w:rsidP="00BE4259">
      <w:pPr>
        <w:pStyle w:val="LTAntwortRessortText"/>
        <w:numPr>
          <w:ilvl w:val="1"/>
          <w:numId w:val="31"/>
        </w:numPr>
        <w:spacing w:before="0"/>
        <w:ind w:left="697" w:hanging="357"/>
      </w:pPr>
      <w:r>
        <w:t>In allen Probe- und Trainingssituationen ist</w:t>
      </w:r>
      <w:r w:rsidR="00283FA7">
        <w:t xml:space="preserve"> besonders auf einen ausreichen</w:t>
      </w:r>
      <w:r>
        <w:t>den Luftaustausch zu achten.</w:t>
      </w:r>
    </w:p>
    <w:p w:rsidR="00041CAD" w:rsidRDefault="00041CAD" w:rsidP="00BE4259">
      <w:pPr>
        <w:pStyle w:val="LTAntwortRessortText"/>
        <w:numPr>
          <w:ilvl w:val="1"/>
          <w:numId w:val="31"/>
        </w:numPr>
        <w:spacing w:before="0"/>
        <w:ind w:left="697" w:hanging="357"/>
      </w:pPr>
      <w:r>
        <w:t>Grundsätzlich ist überall und zu jeder Zeit</w:t>
      </w:r>
      <w:r w:rsidR="00283FA7">
        <w:t xml:space="preserve"> ein Abstand von 1,5 Metern zwi</w:t>
      </w:r>
      <w:r>
        <w:t>schen zwei Personen konsequent einzuhalten. Dies gilt nicht für Personen, die in einer Lebensgemeinschaft oder in demse</w:t>
      </w:r>
      <w:r w:rsidR="00283FA7">
        <w:t>lben Haushalt leben. Bei Blasin</w:t>
      </w:r>
      <w:r>
        <w:t xml:space="preserve">strumenten und Gesang gilt ein erweiterter Mindestabstand von zwei Metern in </w:t>
      </w:r>
      <w:r w:rsidR="003F6AA4">
        <w:br/>
      </w:r>
      <w:r>
        <w:t>Blas-/Singrichtung.</w:t>
      </w:r>
    </w:p>
    <w:p w:rsidR="00041CAD" w:rsidRDefault="00041CAD" w:rsidP="00BE4259">
      <w:pPr>
        <w:pStyle w:val="LTAntwortRessortText"/>
        <w:numPr>
          <w:ilvl w:val="1"/>
          <w:numId w:val="31"/>
        </w:numPr>
        <w:spacing w:before="0"/>
        <w:ind w:left="697" w:hanging="357"/>
      </w:pPr>
      <w:r>
        <w:t xml:space="preserve">Kann der Mindestabstand von 1,5 Metern aus </w:t>
      </w:r>
      <w:r w:rsidR="00283FA7">
        <w:t>betrieblichen oder tätigkeitsbe</w:t>
      </w:r>
      <w:r>
        <w:t>zogenen Gründen in einzelnen Situationen nicht eingehalten werden, muss ein medizinischer Mund-Nasen-Schutz getragen werden. Ergänzend können konstruktive Schutzmaßnahmen ergriffen werden (</w:t>
      </w:r>
      <w:r w:rsidR="00BD06F4">
        <w:t>z. B.</w:t>
      </w:r>
      <w:r>
        <w:t xml:space="preserve"> Plexiglasscheiben, Vorhänge, Paravents, Trennwände, Tischblenden).</w:t>
      </w:r>
    </w:p>
    <w:p w:rsidR="00041CAD" w:rsidRDefault="00041CAD" w:rsidP="00041CAD">
      <w:pPr>
        <w:pStyle w:val="LTAntwortRessortText"/>
      </w:pPr>
      <w:r>
        <w:t>Zu den Testungen der Beschäftigten an den einz</w:t>
      </w:r>
      <w:r w:rsidR="00283FA7">
        <w:t>elnen Staatstheatern können fol</w:t>
      </w:r>
      <w:r>
        <w:t>gende Angaben gemacht werden:</w:t>
      </w:r>
    </w:p>
    <w:p w:rsidR="00041CAD" w:rsidRDefault="00041CAD" w:rsidP="00BE4259">
      <w:pPr>
        <w:pStyle w:val="LTAntwortRessortText"/>
        <w:numPr>
          <w:ilvl w:val="1"/>
          <w:numId w:val="31"/>
        </w:numPr>
        <w:ind w:left="697" w:hanging="357"/>
      </w:pPr>
      <w:r>
        <w:t>Bayerische Staatsoper:</w:t>
      </w:r>
    </w:p>
    <w:p w:rsidR="00041CAD" w:rsidRDefault="00041CAD" w:rsidP="00BE4259">
      <w:pPr>
        <w:pStyle w:val="LTAntwortRessortText"/>
        <w:numPr>
          <w:ilvl w:val="0"/>
          <w:numId w:val="32"/>
        </w:numPr>
      </w:pPr>
      <w:r>
        <w:t>Bei Dienstantritt in der Spielzeit 2020/</w:t>
      </w:r>
      <w:r w:rsidR="00283FA7">
        <w:t>2021 musste von allen Beschäftigten (ca. 1 </w:t>
      </w:r>
      <w:r>
        <w:t>000 Personen), nach der</w:t>
      </w:r>
      <w:r w:rsidR="003F6AA4">
        <w:t xml:space="preserve"> Weihnachtspause 2020/2021 von al</w:t>
      </w:r>
      <w:r>
        <w:t>len Mitgliedern der künstlerischen Kollektive (Chor, Orchester, Ballett) ein negativer Testbefund (PCR-Test) vorliegen.</w:t>
      </w:r>
    </w:p>
    <w:p w:rsidR="00041CAD" w:rsidRDefault="00041CAD" w:rsidP="00BE4259">
      <w:pPr>
        <w:pStyle w:val="LTAntwortRessortText"/>
        <w:numPr>
          <w:ilvl w:val="0"/>
          <w:numId w:val="32"/>
        </w:numPr>
      </w:pPr>
      <w:r>
        <w:t>Die Teilnahme an regelmäßigen Folgetestungen ist an der Staatsoper insbesondere für das künstlerische Personal und weitere Beschäftigte im Bühnenbereich grundsätzlich verpfl</w:t>
      </w:r>
      <w:r w:rsidR="003F6AA4">
        <w:t>ichtend. Die Festlegung der Per</w:t>
      </w:r>
      <w:r>
        <w:t>sonenkreise und der Testzyklen erfolgt unter medizinischer Beratung des Instituts für Virologie der Technischen Universität München und des Klinikums rechts der Isar unter Berücksichtigung der konkreten Tätigkeit der Mitarbeiterinnen und Mitarbeiter.</w:t>
      </w:r>
    </w:p>
    <w:p w:rsidR="00041CAD" w:rsidRDefault="00041CAD" w:rsidP="00BE4259">
      <w:pPr>
        <w:pStyle w:val="LTAntwortRessortText"/>
        <w:numPr>
          <w:ilvl w:val="0"/>
          <w:numId w:val="32"/>
        </w:numPr>
      </w:pPr>
      <w:r>
        <w:t xml:space="preserve">In einem rollierenden System werden </w:t>
      </w:r>
      <w:r w:rsidR="003F6AA4">
        <w:t>vom Klinikum rechts der Isar wö</w:t>
      </w:r>
      <w:r>
        <w:t>chentlich ca. 250 (demnächst 350)</w:t>
      </w:r>
      <w:r w:rsidR="003F6AA4">
        <w:t xml:space="preserve"> PCR-Tests durchgeführt und aus</w:t>
      </w:r>
      <w:r>
        <w:t>gewertet. Alternativ können Beschäftigte selbst Testbefunde (PCR-Test) in Absprache mit der Hygiene Task Force beibringen. Der Abstrich muss in diesem Fall am selben Tag oder am Folgetag des zugeteilten Testtermins stattfinden, Abweichungen sind nach Rücksprache mit dem Testausschuss möglich.</w:t>
      </w:r>
    </w:p>
    <w:p w:rsidR="00041CAD" w:rsidRDefault="00041CAD" w:rsidP="00BE4259">
      <w:pPr>
        <w:pStyle w:val="LTAntwortRessortText"/>
        <w:numPr>
          <w:ilvl w:val="0"/>
          <w:numId w:val="32"/>
        </w:numPr>
      </w:pPr>
      <w:r>
        <w:t>Die Beschäftigten der Staatsoper haben darüber hinaus die Möglichkeit, sich zusätzlich zu den allgemein geltenden Möglichkeiten (</w:t>
      </w:r>
      <w:r w:rsidR="00BD06F4">
        <w:t>„</w:t>
      </w:r>
      <w:r w:rsidR="003F6AA4">
        <w:t>Bür</w:t>
      </w:r>
      <w:r>
        <w:t>gertest</w:t>
      </w:r>
      <w:r w:rsidR="00BD06F4">
        <w:t>“</w:t>
      </w:r>
      <w:r>
        <w:t>) einmal wöchentlich unter Gewährung von Dienstbefreiung in einer Testeinrichtung freiwillig einem Schnelltest zu unterziehen.</w:t>
      </w:r>
    </w:p>
    <w:p w:rsidR="00041CAD" w:rsidRDefault="00041CAD" w:rsidP="00BE4259">
      <w:pPr>
        <w:pStyle w:val="LTAntwortRessortText"/>
        <w:numPr>
          <w:ilvl w:val="1"/>
          <w:numId w:val="31"/>
        </w:numPr>
        <w:ind w:left="697" w:hanging="357"/>
      </w:pPr>
      <w:r>
        <w:t>Staatstheater am Gärtnerplatz:</w:t>
      </w:r>
    </w:p>
    <w:p w:rsidR="00041CAD" w:rsidRDefault="00041CAD" w:rsidP="00BE4259">
      <w:pPr>
        <w:pStyle w:val="LTAntwortRessortText"/>
        <w:numPr>
          <w:ilvl w:val="0"/>
          <w:numId w:val="32"/>
        </w:numPr>
      </w:pPr>
      <w:r>
        <w:t>Für besonders exponierte Beschäftigt</w:t>
      </w:r>
      <w:r w:rsidR="00136848">
        <w:t>e (insbesondere im Darstellungs</w:t>
      </w:r>
      <w:r>
        <w:t>bereich) werden produktionsbezogen probentägliche Schnelltestungen durchgeführt.</w:t>
      </w:r>
    </w:p>
    <w:p w:rsidR="00041CAD" w:rsidRDefault="00041CAD" w:rsidP="00BE4259">
      <w:pPr>
        <w:pStyle w:val="LTAntwortRessortText"/>
        <w:numPr>
          <w:ilvl w:val="0"/>
          <w:numId w:val="32"/>
        </w:numPr>
      </w:pPr>
      <w:r>
        <w:t>Das Gärtnerplatztheater bietet allen Mitarbe</w:t>
      </w:r>
      <w:r w:rsidR="003F6AA4">
        <w:t>iterinnen und Mitarbeitern (ca. </w:t>
      </w:r>
      <w:r>
        <w:t>500 Personen) zudem zweimal pro Woche einen Schnelltest durch geschultes Personal auf freiwilliger Basis an.</w:t>
      </w:r>
    </w:p>
    <w:p w:rsidR="00041CAD" w:rsidRDefault="00041CAD" w:rsidP="00BE4259">
      <w:pPr>
        <w:pStyle w:val="LTAntwortRessortText"/>
        <w:numPr>
          <w:ilvl w:val="0"/>
          <w:numId w:val="32"/>
        </w:numPr>
      </w:pPr>
      <w:r>
        <w:t>Das Angebot zur freiwilligen Testung wird von allen Beteiligten sehr gut angenommen. Da die Schnellteststelle im Theater erst seit dem 06.04.2021 in Betrieb ist, gibt es noch keine statistische Auswertung. Überschlägig wu</w:t>
      </w:r>
      <w:r w:rsidR="003F6AA4">
        <w:t>rden in zwei Wochen annähernd 1 </w:t>
      </w:r>
      <w:r>
        <w:t>000 Testungen vorgenommen.</w:t>
      </w:r>
    </w:p>
    <w:p w:rsidR="00041CAD" w:rsidRDefault="00041CAD" w:rsidP="00BE4259">
      <w:pPr>
        <w:pStyle w:val="LTAntwortRessortText"/>
        <w:numPr>
          <w:ilvl w:val="1"/>
          <w:numId w:val="31"/>
        </w:numPr>
        <w:ind w:left="697" w:hanging="357"/>
      </w:pPr>
      <w:r>
        <w:t>Bayerisches Staatsschauspiel:</w:t>
      </w:r>
    </w:p>
    <w:p w:rsidR="00041CAD" w:rsidRDefault="00041CAD" w:rsidP="00BE4259">
      <w:pPr>
        <w:pStyle w:val="LTAntwortRessortText"/>
        <w:numPr>
          <w:ilvl w:val="0"/>
          <w:numId w:val="33"/>
        </w:numPr>
      </w:pPr>
      <w:r>
        <w:t>Teilnehmerinnen und Teilnehmer an Proben unterziehen sich grundsätzlich einem täglichen Schnelltest.</w:t>
      </w:r>
    </w:p>
    <w:p w:rsidR="00041CAD" w:rsidRDefault="00041CAD" w:rsidP="00BE4259">
      <w:pPr>
        <w:pStyle w:val="LTAntwortRessortText"/>
        <w:numPr>
          <w:ilvl w:val="0"/>
          <w:numId w:val="33"/>
        </w:numPr>
      </w:pPr>
      <w:r>
        <w:t>Das Staatsschauspiel bietet allen Beschäftigten mindestens zweimal pro Woche einen Schnelltest durch geschultes Personal auf freiwilliger Basis an. Seit dem 24.03.2021 wur</w:t>
      </w:r>
      <w:r w:rsidR="003F6AA4">
        <w:t>den 1 071 solcher Tests durchgeführt, also ca. </w:t>
      </w:r>
      <w:r>
        <w:t>270 pro Woche.</w:t>
      </w:r>
    </w:p>
    <w:p w:rsidR="00041CAD" w:rsidRDefault="00041CAD" w:rsidP="00BE4259">
      <w:pPr>
        <w:pStyle w:val="LTAntwortRessortText"/>
        <w:numPr>
          <w:ilvl w:val="0"/>
          <w:numId w:val="33"/>
        </w:numPr>
      </w:pPr>
      <w:r>
        <w:t>Zusätzlich werden anhand von Gefährdungsbeurteilungen Selbsttests an die einzelnen Gewerke ausgeg</w:t>
      </w:r>
      <w:r w:rsidR="003F6AA4">
        <w:t>eben. Seit Anfang März wurden 1 </w:t>
      </w:r>
      <w:r>
        <w:t>500 solcher Test ausgereicht, also ca. 250 pro Woche.</w:t>
      </w:r>
    </w:p>
    <w:p w:rsidR="00041CAD" w:rsidRDefault="00041CAD" w:rsidP="00BE4259">
      <w:pPr>
        <w:pStyle w:val="LTAntwortRessortText"/>
        <w:numPr>
          <w:ilvl w:val="0"/>
          <w:numId w:val="33"/>
        </w:numPr>
      </w:pPr>
      <w:r>
        <w:t>Pro Woche werden am Staatsschauspiel (bei ca. 450 Beschäftigten) derzeit ca. 520 Tests (Schnell- und Selbsttests) durchgeführt.</w:t>
      </w:r>
    </w:p>
    <w:p w:rsidR="00041CAD" w:rsidRDefault="00041CAD">
      <w:bookmarkStart w:id="66" w:name="Frage_Nr_32_Ende"/>
      <w:bookmarkEnd w:id="66"/>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45067D" w:rsidTr="0045067D">
        <w:tc>
          <w:tcPr>
            <w:tcW w:w="1877" w:type="dxa"/>
          </w:tcPr>
          <w:p w:rsidR="0045067D" w:rsidRDefault="0045067D" w:rsidP="0045067D">
            <w:pPr>
              <w:pStyle w:val="LTAnfrageInitiator"/>
            </w:pPr>
            <w:r>
              <w:t>Abgeordneter</w:t>
            </w:r>
            <w:r>
              <w:rPr>
                <w:b/>
              </w:rPr>
              <w:br/>
              <w:t>Stefan</w:t>
            </w:r>
            <w:r>
              <w:rPr>
                <w:b/>
              </w:rPr>
              <w:br/>
              <w:t>Schuster</w:t>
            </w:r>
            <w:r>
              <w:rPr>
                <w:b/>
              </w:rPr>
              <w:br/>
            </w:r>
            <w:r>
              <w:t>(SPD)</w:t>
            </w:r>
            <w:bookmarkStart w:id="67" w:name="Frage_Nr_33"/>
            <w:bookmarkEnd w:id="67"/>
          </w:p>
        </w:tc>
        <w:tc>
          <w:tcPr>
            <w:tcW w:w="5739" w:type="dxa"/>
          </w:tcPr>
          <w:p w:rsidR="0045067D" w:rsidRPr="00754CFD" w:rsidRDefault="0045067D" w:rsidP="00754CFD">
            <w:pPr>
              <w:pStyle w:val="LTAnfrageText"/>
            </w:pPr>
            <w:r w:rsidRPr="00754CFD">
              <w:t>Vor dem Hintergrund, dass die Friedrich-Alexander-Universität Erlangen-Nürnberg (FAU) für den Wissenschaftsstandort Bayern von herausragender Bedeutung ist, die Universität mit exzellenter Forschung Pionierarbeit in zahlreichen Fachbereichen leistet, der damalige Staatsminister der Finanzen, für Landesentwicklung und Heimat un</w:t>
            </w:r>
            <w:r w:rsidR="003F6AA4">
              <w:t>d heutige Ministerpräsident Dr. </w:t>
            </w:r>
            <w:r w:rsidRPr="00754CFD">
              <w:t>Markus Söder bereits Anfang Juli 2018 der FAU 1,5 Mrd. Euro in Aussicht stellte und angesichts des Umstands, dass der strukturelle Ausbau der Universität durch zahlreiche Verzögerungen und Unterfinanzierungen seitens der Staatsregierung nur schleppend vorankommt, frage ich die Staatsregierung, bis wann die zugesagten 1,5 Mrd. Euro vollständig zu Gunsten der FAU eingesetzt werden, ob diese Investitionen bereits für die zukünftigen Haushaltsplanungen berücksichtigt wurden bzw. werden und welche weiteren Unterstützungen der Freistaat für den Wissenschaftsstandort in Franken, insbesondere die FAU vorsieht? </w:t>
            </w:r>
          </w:p>
        </w:tc>
        <w:tc>
          <w:tcPr>
            <w:tcW w:w="5739" w:type="dxa"/>
          </w:tcPr>
          <w:p w:rsidR="0045067D" w:rsidRDefault="0045067D" w:rsidP="0045067D">
            <w:pPr>
              <w:pStyle w:val="LTAnfrageText"/>
            </w:pPr>
          </w:p>
        </w:tc>
      </w:tr>
    </w:tbl>
    <w:p w:rsidR="00041CAD" w:rsidRDefault="00041CAD" w:rsidP="00041CAD">
      <w:pPr>
        <w:pStyle w:val="LTUeberschrAntwortRessort"/>
      </w:pPr>
      <w:r>
        <w:t>Antwort des Staatsministeriums für Wissenschaft und Kunst</w:t>
      </w:r>
    </w:p>
    <w:p w:rsidR="00041CAD" w:rsidRDefault="00041CAD" w:rsidP="00041CAD">
      <w:pPr>
        <w:pStyle w:val="LTAntwortRessortText"/>
      </w:pPr>
      <w:r>
        <w:t xml:space="preserve">Der strukturelle Ausbau der FAU kommt gut voran. Die Zahl von 1,5 </w:t>
      </w:r>
      <w:r w:rsidR="003F6AA4">
        <w:t>Mrd.</w:t>
      </w:r>
      <w:r>
        <w:t xml:space="preserve"> Euro repräsentiert die Größenordnung für die in den nächsten Jahren an der FAU anstehenden notwendigen und jetzt schon absehbaren Baumaßnahmen sowie ihre grob geschätzten Kosten. Die Mittel für diese Bauinvestitionen werden entsprechend d</w:t>
      </w:r>
      <w:r w:rsidR="003F6AA4">
        <w:t>em jeweiligen Bedarf und dem je</w:t>
      </w:r>
      <w:r>
        <w:t>weiligen Planungsstand schrittweise abfließen: Angesichts ihrer Dimension, ihrer Komplexität und des langfristigen Charakters der erforderlichen Baumaßnahmen werden sich der Ausbau und die bauliche Sanierung der FAU noch über mehrere Jahre erstrecken.</w:t>
      </w:r>
    </w:p>
    <w:p w:rsidR="00041CAD" w:rsidRDefault="00041CAD" w:rsidP="00041CAD">
      <w:pPr>
        <w:pStyle w:val="LTAntwortRessortText"/>
      </w:pPr>
      <w:r>
        <w:t xml:space="preserve">Seit 2018 hat das </w:t>
      </w:r>
      <w:r w:rsidR="003F6AA4">
        <w:t>Staatsministerium für Wissenschaft und Kunst</w:t>
      </w:r>
      <w:r>
        <w:t xml:space="preserve"> </w:t>
      </w:r>
      <w:r w:rsidR="003F6AA4">
        <w:t xml:space="preserve">(StMWK) </w:t>
      </w:r>
      <w:r>
        <w:t>bereits eine hohe Zahl an Projekten mit erheblichem Umfang vorangetrieben. Für folgende Sanierungen und Neubauten wurden dabei Planungsaufträge erteilt:</w:t>
      </w:r>
    </w:p>
    <w:p w:rsidR="00041CAD" w:rsidRDefault="00041CAD" w:rsidP="000A2162">
      <w:pPr>
        <w:pStyle w:val="LTAntwortRessortText"/>
        <w:numPr>
          <w:ilvl w:val="0"/>
          <w:numId w:val="35"/>
        </w:numPr>
        <w:ind w:left="697" w:hanging="357"/>
      </w:pPr>
      <w:r>
        <w:t>Neubau für die Technische Chemie</w:t>
      </w:r>
    </w:p>
    <w:p w:rsidR="00041CAD" w:rsidRDefault="00041CAD" w:rsidP="000A2162">
      <w:pPr>
        <w:pStyle w:val="LTAntwortRessortText"/>
        <w:numPr>
          <w:ilvl w:val="0"/>
          <w:numId w:val="35"/>
        </w:numPr>
        <w:spacing w:before="0"/>
        <w:ind w:left="697" w:hanging="357"/>
      </w:pPr>
      <w:r>
        <w:t>Zweiter Bauabschnitt des Chemikums</w:t>
      </w:r>
    </w:p>
    <w:p w:rsidR="00041CAD" w:rsidRDefault="00041CAD" w:rsidP="000A2162">
      <w:pPr>
        <w:pStyle w:val="LTAntwortRessortText"/>
        <w:numPr>
          <w:ilvl w:val="0"/>
          <w:numId w:val="35"/>
        </w:numPr>
        <w:spacing w:before="0"/>
        <w:ind w:left="697" w:hanging="357"/>
      </w:pPr>
      <w:r>
        <w:t>Erschließungsmaßnahmen für den zweiten Bauabschnitt des Chemikums</w:t>
      </w:r>
    </w:p>
    <w:p w:rsidR="00041CAD" w:rsidRDefault="00041CAD" w:rsidP="000A2162">
      <w:pPr>
        <w:pStyle w:val="LTAntwortRessortText"/>
        <w:numPr>
          <w:ilvl w:val="0"/>
          <w:numId w:val="35"/>
        </w:numPr>
        <w:spacing w:before="0"/>
        <w:ind w:left="697" w:hanging="357"/>
      </w:pPr>
      <w:r>
        <w:t>Sanierung, Umbau und Erweiterung des Himbeerpalastes</w:t>
      </w:r>
    </w:p>
    <w:p w:rsidR="00041CAD" w:rsidRDefault="00041CAD" w:rsidP="000A2162">
      <w:pPr>
        <w:pStyle w:val="LTAntwortRessortText"/>
        <w:numPr>
          <w:ilvl w:val="0"/>
          <w:numId w:val="35"/>
        </w:numPr>
        <w:spacing w:before="0"/>
        <w:ind w:left="697" w:hanging="357"/>
      </w:pPr>
      <w:r>
        <w:t>Zwei neue Hörsaalgebäude auf dem Südgelände</w:t>
      </w:r>
    </w:p>
    <w:p w:rsidR="00041CAD" w:rsidRDefault="00041CAD" w:rsidP="000A2162">
      <w:pPr>
        <w:pStyle w:val="LTAntwortRessortText"/>
        <w:numPr>
          <w:ilvl w:val="0"/>
          <w:numId w:val="35"/>
        </w:numPr>
        <w:spacing w:before="0"/>
        <w:ind w:left="697" w:hanging="357"/>
      </w:pPr>
      <w:r>
        <w:t>Hörsaalzentrum mit Audimax in der Henkestraße</w:t>
      </w:r>
    </w:p>
    <w:p w:rsidR="00041CAD" w:rsidRDefault="00041CAD" w:rsidP="00041CAD">
      <w:pPr>
        <w:pStyle w:val="LTAntwortRessortText"/>
      </w:pPr>
      <w:r>
        <w:t>Für sämtliche oben genannte Vorhaben ist die Finanzierung gesichert.</w:t>
      </w:r>
    </w:p>
    <w:p w:rsidR="00041CAD" w:rsidRDefault="00041CAD" w:rsidP="00041CAD">
      <w:pPr>
        <w:pStyle w:val="LTAntwortRessortText"/>
      </w:pPr>
      <w:r>
        <w:t>Weiter wurde für die Unterbringung der in Nürnb</w:t>
      </w:r>
      <w:r w:rsidR="003F6AA4">
        <w:t>erg angesiedelten Erziehungswis</w:t>
      </w:r>
      <w:r>
        <w:t>senschaften eine Lösung in Form eines Bestellbaus gefunden. Die diesbezügliche Ausschreibung ist derzeit in Vorbereitung. Auch hier ist die Finanzierung gesichert. Damit sind sämtliche dem Staatsministerium bis</w:t>
      </w:r>
      <w:r w:rsidR="003F6AA4">
        <w:t>her von der FAU vorgelegten Bau</w:t>
      </w:r>
      <w:r>
        <w:t>vorhaben positiv verbeschieden worden und werd</w:t>
      </w:r>
      <w:r w:rsidR="003F6AA4">
        <w:t>en vorangetrieben. Die Schätzkos</w:t>
      </w:r>
      <w:r>
        <w:t>ten der bisher aufs Gleis gesetzten FAU-Bauvorhaben belaufen sich auf einen hohen dreistelligen Millionenbetrag.</w:t>
      </w:r>
    </w:p>
    <w:p w:rsidR="00041CAD" w:rsidRDefault="00041CAD" w:rsidP="00041CAD">
      <w:pPr>
        <w:pStyle w:val="LTAntwortRessortText"/>
      </w:pPr>
      <w:r>
        <w:t xml:space="preserve">Unabhängig davon fördert die Staatsregierung den Wissenschaftsstandort Franken mit zahlreichen erheblichen Investitionen. Auch die </w:t>
      </w:r>
      <w:r w:rsidR="003F6AA4">
        <w:t>FAU profitiert von einer großzü</w:t>
      </w:r>
      <w:r>
        <w:t>gigen Förderung (hier nur die Nennung der aktuellsten):</w:t>
      </w:r>
    </w:p>
    <w:p w:rsidR="00041CAD" w:rsidRDefault="00041CAD" w:rsidP="000A2162">
      <w:pPr>
        <w:pStyle w:val="LTAntwortRessortText"/>
        <w:numPr>
          <w:ilvl w:val="1"/>
          <w:numId w:val="37"/>
        </w:numPr>
        <w:spacing w:before="0"/>
        <w:ind w:left="697" w:hanging="357"/>
      </w:pPr>
      <w:r>
        <w:t xml:space="preserve">Aufbau des KI-Gesundheitsknotens </w:t>
      </w:r>
      <w:r w:rsidR="003F6AA4">
        <w:t xml:space="preserve">(KI = Künstliche Intelligenz) </w:t>
      </w:r>
      <w:r>
        <w:t>durch acht Professuren im Rahmen der Hightech Agenda</w:t>
      </w:r>
    </w:p>
    <w:p w:rsidR="00041CAD" w:rsidRDefault="00041CAD" w:rsidP="000A2162">
      <w:pPr>
        <w:pStyle w:val="LTAntwortRessortText"/>
        <w:numPr>
          <w:ilvl w:val="1"/>
          <w:numId w:val="37"/>
        </w:numPr>
        <w:spacing w:before="0"/>
        <w:ind w:left="697" w:hanging="357"/>
      </w:pPr>
      <w:r>
        <w:t xml:space="preserve">Vorgezogene Besetzbarkeit zum </w:t>
      </w:r>
      <w:r w:rsidR="003F6AA4">
        <w:t>01.04.</w:t>
      </w:r>
      <w:r>
        <w:t>2021 einer hohen zweistelligen Zahl an zusätzlichen Lehrstühlen an FAU und TH Nürnberg im Zuge der Hightech Agenda Plus</w:t>
      </w:r>
    </w:p>
    <w:p w:rsidR="00041CAD" w:rsidRDefault="00041CAD" w:rsidP="000A2162">
      <w:pPr>
        <w:pStyle w:val="LTAntwortRessortText"/>
        <w:numPr>
          <w:ilvl w:val="1"/>
          <w:numId w:val="37"/>
        </w:numPr>
        <w:spacing w:before="0"/>
        <w:ind w:left="697" w:hanging="357"/>
      </w:pPr>
      <w:r>
        <w:t>Unterstützung zweier Verbundprojekte von FAU (mit TU München und Un</w:t>
      </w:r>
      <w:r w:rsidR="003F6AA4">
        <w:t>iver</w:t>
      </w:r>
      <w:r>
        <w:t xml:space="preserve">sität Regensburg) im Rahmen des StMWK-Programms </w:t>
      </w:r>
      <w:r w:rsidR="00BD06F4">
        <w:t>„</w:t>
      </w:r>
      <w:r>
        <w:t>Exzellenzverbünde und Universitätskooperationen</w:t>
      </w:r>
      <w:r w:rsidR="00BD06F4">
        <w:t>“</w:t>
      </w:r>
      <w:r>
        <w:t xml:space="preserve"> (EVUK) zur </w:t>
      </w:r>
      <w:r w:rsidR="003F6AA4">
        <w:t>Vorbereitung schlagkräftiger An</w:t>
      </w:r>
      <w:r>
        <w:t>träge in der nächsten Runde der Exzellenzstrategie 2025</w:t>
      </w:r>
      <w:r w:rsidR="003F6AA4">
        <w:t>.</w:t>
      </w:r>
    </w:p>
    <w:p w:rsidR="00041CAD" w:rsidRDefault="00041CAD">
      <w:bookmarkStart w:id="68" w:name="Frage_Nr_33_Ende"/>
      <w:bookmarkEnd w:id="68"/>
      <w:r>
        <w:br w:type="page"/>
      </w:r>
    </w:p>
    <w:p w:rsidR="00041CAD" w:rsidRDefault="00041CAD" w:rsidP="00041CAD">
      <w:pPr>
        <w:pStyle w:val="LTUeberschrRessort"/>
      </w:pPr>
      <w:r>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35478" w:rsidTr="00D35478">
        <w:tc>
          <w:tcPr>
            <w:tcW w:w="1883" w:type="dxa"/>
          </w:tcPr>
          <w:p w:rsidR="00D35478" w:rsidRDefault="00D35478" w:rsidP="00D35478">
            <w:pPr>
              <w:pStyle w:val="LTAnfrageInitiator"/>
            </w:pPr>
            <w:r>
              <w:t>Abgeord</w:t>
            </w:r>
            <w:r w:rsidR="0079474A">
              <w:t>nete</w:t>
            </w:r>
            <w:r>
              <w:rPr>
                <w:b/>
              </w:rPr>
              <w:br/>
              <w:t>Tessa</w:t>
            </w:r>
            <w:r>
              <w:rPr>
                <w:b/>
              </w:rPr>
              <w:br/>
              <w:t>Ganserer</w:t>
            </w:r>
            <w:r>
              <w:rPr>
                <w:b/>
              </w:rPr>
              <w:br/>
            </w:r>
            <w:r>
              <w:t>(BÜNDNIS 90/DIE GRÜNEN)</w:t>
            </w:r>
            <w:bookmarkStart w:id="69" w:name="Frage_Nr_34"/>
            <w:bookmarkEnd w:id="69"/>
          </w:p>
        </w:tc>
        <w:tc>
          <w:tcPr>
            <w:tcW w:w="5733" w:type="dxa"/>
          </w:tcPr>
          <w:p w:rsidR="00D35478" w:rsidRPr="00754CFD" w:rsidRDefault="00D35478" w:rsidP="00754CFD">
            <w:pPr>
              <w:pStyle w:val="LTAnfrageText"/>
            </w:pPr>
            <w:r w:rsidRPr="00754CFD">
              <w:t>Nachdem der Berliner Senat beschlossen hat, die Kostenerstattung für die Präexpositionsprophylaxe (PrEP) zur Verhütung einer Ansteckung mit HIV (HIV = Humane Immundefi</w:t>
            </w:r>
            <w:r w:rsidR="003F6AA4">
              <w:t>-</w:t>
            </w:r>
            <w:r w:rsidR="003F6AA4">
              <w:br/>
            </w:r>
            <w:r w:rsidRPr="00754CFD">
              <w:t>zienz-Virus) in die Landesbeihilfeverordnung aufzunehmen und eine bundesweite Abstimmung zu vergleichbaren Lösungen läuft, frage ich die Staatsregierung, ob Bayern ebenfalls plant, die Kosten der PrEP über die Bayerische Beihilfeverordnung teilweise oder in Gänze zu erstatten, falls nicht, das zu begründen, und ob Bayern sich an den bundesweiten Abstimmungen zu einer Kostenerstattung beteiligen wird?</w:t>
            </w:r>
          </w:p>
        </w:tc>
        <w:tc>
          <w:tcPr>
            <w:tcW w:w="5733" w:type="dxa"/>
          </w:tcPr>
          <w:p w:rsidR="00D35478" w:rsidRDefault="00D35478" w:rsidP="00D35478">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Aufgrund der föderalen Struktur entscheiden die Länder jeweils eigenverantwortlich über erforderliche Änderungen des jeweiligen Landesbeihilferechts. Im Rahmen der aktuellen Erarbeitung eines Entwurfs einer Verordnung zur Änderung der Bayerischen Beihilfeverordnung wird neben einer möglichen Einführung der üblichen anteiligen Kostenerstattung für Maßnahmen der PrEP über weitere Änderungen als Gesamtmaßnahme zu entscheiden sein.</w:t>
      </w:r>
    </w:p>
    <w:p w:rsidR="00041CAD" w:rsidRDefault="00041CAD" w:rsidP="000A2162">
      <w:pPr>
        <w:pStyle w:val="LTAntwortRessortText"/>
        <w:spacing w:before="0"/>
      </w:pPr>
      <w:r>
        <w:t>An einer bundesweiten Umfrage zur Meinungsbildung hat der Freistaat Bayern teilgenommen.</w:t>
      </w:r>
    </w:p>
    <w:p w:rsidR="00041CAD" w:rsidRDefault="00041CAD">
      <w:bookmarkStart w:id="70" w:name="Frage_Nr_34_Ende"/>
      <w:bookmarkEnd w:id="7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F6600" w:rsidTr="009F6600">
        <w:tc>
          <w:tcPr>
            <w:tcW w:w="1852" w:type="dxa"/>
          </w:tcPr>
          <w:p w:rsidR="009F6600" w:rsidRDefault="009F6600" w:rsidP="009F6600">
            <w:pPr>
              <w:pStyle w:val="LTAnfrageInitiator"/>
            </w:pPr>
            <w:r>
              <w:t>Abgeordneter</w:t>
            </w:r>
            <w:r>
              <w:rPr>
                <w:b/>
              </w:rPr>
              <w:br/>
              <w:t>Helmut</w:t>
            </w:r>
            <w:r>
              <w:rPr>
                <w:b/>
              </w:rPr>
              <w:br/>
              <w:t>Markwort</w:t>
            </w:r>
            <w:r>
              <w:rPr>
                <w:b/>
              </w:rPr>
              <w:br/>
            </w:r>
            <w:r>
              <w:t>(FDP)</w:t>
            </w:r>
            <w:bookmarkStart w:id="71" w:name="Frage_Nr_35"/>
            <w:bookmarkEnd w:id="71"/>
          </w:p>
        </w:tc>
        <w:tc>
          <w:tcPr>
            <w:tcW w:w="5764" w:type="dxa"/>
          </w:tcPr>
          <w:p w:rsidR="009F6600" w:rsidRPr="00754CFD" w:rsidRDefault="009F6600" w:rsidP="00754CFD">
            <w:pPr>
              <w:pStyle w:val="LTAnfrageText"/>
            </w:pPr>
            <w:r w:rsidRPr="00754CFD">
              <w:t>Ich frage die Staatsregierung, in welchen Fällen der Bayerische Oberste Rechnungshof (ORH) gemäß Art. 88 Abs. 2 Haushaltsordnung des Freistaates Bayern (BayHo) die Staatsregierung seit 2010 beraten hat (bitte entsprechende Ministerien angeben), was er dabei im Konkreten empfohlen hat und warum nicht – wie im umgekehrten Fall bei der Beratung des Landtags durch den ORH – eine Unterrichtung des Landtags erforderlich ist, wenn der ORH die Staatsregierung berät?</w:t>
            </w:r>
          </w:p>
        </w:tc>
        <w:tc>
          <w:tcPr>
            <w:tcW w:w="5764" w:type="dxa"/>
          </w:tcPr>
          <w:p w:rsidR="009F6600" w:rsidRDefault="009F6600" w:rsidP="009F6600">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Dem Staatsministerium der Finanzen und für Heimat liegen keine zentralen Kenntnisse der Beratungen der Staatsregierung d</w:t>
      </w:r>
      <w:r w:rsidR="003F6AA4">
        <w:t>urch den ORH nach Art. 88 Abs. </w:t>
      </w:r>
      <w:r w:rsidR="00136848">
        <w:t xml:space="preserve">2 </w:t>
      </w:r>
      <w:r>
        <w:t>BayHO vor. Derart umfangreiche Abfragen sind im Rahmen einer Anfrage zum Plenum nicht darstellbar. Ob der Bayerische Oberste Rechnungshof (ORH) diese zentral erfasst, ist nicht bekannt.</w:t>
      </w:r>
    </w:p>
    <w:p w:rsidR="00041CAD" w:rsidRDefault="00136848" w:rsidP="00041CAD">
      <w:pPr>
        <w:pStyle w:val="LTAntwortRessortText"/>
      </w:pPr>
      <w:r>
        <w:t>Art. 88 Abs.</w:t>
      </w:r>
      <w:r w:rsidR="00041CAD">
        <w:t xml:space="preserve"> 2 Satz 2 BayHO wurde bereit</w:t>
      </w:r>
      <w:r w:rsidR="003F6AA4">
        <w:t>s in der Erstfassung der Bayeri</w:t>
      </w:r>
      <w:r w:rsidR="00041CAD">
        <w:t>schen Haushaltsordnung vom 8. Dezember 1971 durch den Landtag als Gesetzgeber in Haushaltsfra</w:t>
      </w:r>
      <w:r w:rsidR="003F6AA4">
        <w:t>gen beschlossen. Die damals ver</w:t>
      </w:r>
      <w:r w:rsidR="00041CAD">
        <w:t>abschiedete BayHO war das Ergebnis einer konzertierten und vereinheitlichten Gesetzgebung durch Bund und Länder zur Umsetzung der gemeinsamen Vorgaben des Haushaltsgrundsätzegesetzes (HGrG). Entsprechend find</w:t>
      </w:r>
      <w:r w:rsidR="003F6AA4">
        <w:t xml:space="preserve">en sich bis heute </w:t>
      </w:r>
      <w:r>
        <w:t xml:space="preserve">dem </w:t>
      </w:r>
      <w:r w:rsidR="003F6AA4">
        <w:t>Art. 88 Abs.</w:t>
      </w:r>
      <w:r w:rsidR="00041CAD">
        <w:t xml:space="preserve"> 2 Satz 2 BayHO entsprechende Regelungen in den Haushaltsordnungen von Bund und Ländern. Diese Regelungen stellen jeweils eine Umsetz</w:t>
      </w:r>
      <w:r w:rsidR="003F6AA4">
        <w:t>ung der Vorgaben von § 42 Abs.</w:t>
      </w:r>
      <w:r w:rsidR="00041CAD">
        <w:t xml:space="preserve"> 5 HGrG (</w:t>
      </w:r>
      <w:r w:rsidR="003F6AA4">
        <w:t>a</w:t>
      </w:r>
      <w:r w:rsidR="00041CAD">
        <w:t>ufgrund von Prüfungserfahrungen kann der Rech</w:t>
      </w:r>
      <w:r w:rsidR="003F6AA4">
        <w:t>nungshof beraten. Das Nähere re</w:t>
      </w:r>
      <w:r w:rsidR="00041CAD">
        <w:t>gelt ein Gesetz.) dar.</w:t>
      </w:r>
    </w:p>
    <w:p w:rsidR="00041CAD" w:rsidRDefault="00041CAD" w:rsidP="00041CAD">
      <w:pPr>
        <w:pStyle w:val="LTAntwortRessortText"/>
      </w:pPr>
      <w:r>
        <w:t>Zum Regelungshintergrund enthält die Gesetzesbegründung zu Art. 88 Ab</w:t>
      </w:r>
      <w:r w:rsidR="003F6AA4">
        <w:t>s. 2 Satz </w:t>
      </w:r>
      <w:r>
        <w:t>2 BayHO keine Ausführungen. H</w:t>
      </w:r>
      <w:r w:rsidR="003F6AA4">
        <w:t>intergrund der einschlägigen Re</w:t>
      </w:r>
      <w:r>
        <w:t>gelung dürfte folgende Überlegung sein: Die Staatsregierung ist als solche zuständig für den Haushaltsvollzug; insoweit ist es zwingend notwendig, zur Sicherstellung einer geordneten Haushaltswirtschaft jedwede Expertise des ORH zur Kenntnis zu bekommen.</w:t>
      </w:r>
    </w:p>
    <w:p w:rsidR="00041CAD" w:rsidRDefault="00041CAD" w:rsidP="00041CAD">
      <w:pPr>
        <w:pStyle w:val="LTAntwortRessortText"/>
      </w:pPr>
      <w:r>
        <w:t>Für eine umgekehrte Informationspflicht in Bezug auf jedwede Beratung der Staatsregierung und der Staatsministerien durch den ORH, die ggf. auch nur geringfügige Vollzugsfragen betreffen kann, wurde durch den Gesetzgeber offenbar keine Notwendigkeit gesehen. Hierbei ist auch zu beachten, dass der Bayerische Landtag jedes Jahr über de</w:t>
      </w:r>
      <w:r w:rsidR="003F6AA4">
        <w:t>n Rechnungshofbericht eine voll</w:t>
      </w:r>
      <w:r>
        <w:t>umfängliche Information über die wesentlichen Prüfungserfahrungen des ORH erhält und diese zur Basis seiner Entlastungsentscheidung machen kann.</w:t>
      </w:r>
    </w:p>
    <w:p w:rsidR="00041CAD" w:rsidRDefault="00041CAD">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E7F09" w:rsidTr="000E7F09">
        <w:tc>
          <w:tcPr>
            <w:tcW w:w="1883" w:type="dxa"/>
          </w:tcPr>
          <w:p w:rsidR="000E7F09" w:rsidRDefault="000E7F09" w:rsidP="000E7F09">
            <w:pPr>
              <w:pStyle w:val="LTAnfrageInitiator"/>
            </w:pPr>
            <w:r>
              <w:t>Abgeordneter</w:t>
            </w:r>
            <w:r>
              <w:rPr>
                <w:b/>
              </w:rPr>
              <w:br/>
              <w:t>Tim</w:t>
            </w:r>
            <w:r>
              <w:rPr>
                <w:b/>
              </w:rPr>
              <w:br/>
              <w:t>Pargent</w:t>
            </w:r>
            <w:r>
              <w:rPr>
                <w:b/>
              </w:rPr>
              <w:br/>
            </w:r>
            <w:r>
              <w:t>(BÜNDNIS 90/DIE GRÜNEN)</w:t>
            </w:r>
            <w:bookmarkStart w:id="73" w:name="Frage_Nr_36"/>
            <w:bookmarkEnd w:id="73"/>
          </w:p>
        </w:tc>
        <w:tc>
          <w:tcPr>
            <w:tcW w:w="5733" w:type="dxa"/>
          </w:tcPr>
          <w:p w:rsidR="000E7F09" w:rsidRPr="00754CFD" w:rsidRDefault="000E7F09" w:rsidP="00754CFD">
            <w:pPr>
              <w:pStyle w:val="LTAnfrageText"/>
            </w:pPr>
            <w:r w:rsidRPr="00754CFD">
              <w:t>Ich frage die Staatsregierung, in wie vielen Fällen fanden Außeneinsätze der Beschäftigten der Steuerverwaltung im Vollstreckungsaußendienst und der Steuerfahndung seit März 2021 statt (bitte für beide Bereiche getrennt angeben), inwiefern plant sie, die Beschäftigten der Steuerverwaltung im Vollstreckungsaußendienst und der Steuerfahndung analog zu den Beschäftigten der Polizei oder der Zollfahndung, deren Aufgabenstellung und Gesetzesgrundlage nahezu identisch sind, in die Vorschrift des § 4 Nr. 4b Coronavirus-Impfverordnung einzuordnen (bitte getrennt angeben für die Bereiche Vollstreckungsaußendienst, Steuerfahndung und alle anderen Bereiche) und wie kommt die Staatsregierung zum jeweiligen Ergebnis?</w:t>
            </w:r>
          </w:p>
        </w:tc>
        <w:tc>
          <w:tcPr>
            <w:tcW w:w="5733" w:type="dxa"/>
          </w:tcPr>
          <w:p w:rsidR="000E7F09" w:rsidRDefault="000E7F09" w:rsidP="000E7F09">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Der Gesundheitsschutz der Beschäftigten d</w:t>
      </w:r>
      <w:r w:rsidR="00054EC0">
        <w:t>es öffentlichen Dienstes und da</w:t>
      </w:r>
      <w:r>
        <w:t>mit insbesondere auch der Steuerverwaltung hat in Bayern oberste Priorität. So wird den Beschäftigten zur größtmöglichen Kontaktvermeidung derzeit auf ihren Wunsch hin generell Telearbeit ermöglicht, sofern die technischen Möglichkeiten bestehen und ein geordneter Dienstbetrieb das zulässt. Die an den Dienststellen in Präsenz Beschäftigten werden durch ein Maskenkonzept und ein Schnell- und Selbsttestkonzept geschützt.</w:t>
      </w:r>
    </w:p>
    <w:p w:rsidR="00041CAD" w:rsidRDefault="00041CAD" w:rsidP="00041CAD">
      <w:pPr>
        <w:pStyle w:val="LTAntwortRessortText"/>
      </w:pPr>
      <w:r>
        <w:t>Zum Schutz der Bürger und Beschäftigten des Freistaat</w:t>
      </w:r>
      <w:r w:rsidR="00054EC0">
        <w:t>es Bayern wurde au</w:t>
      </w:r>
      <w:r>
        <w:t>ßerdem der direkte Kontakt insbesondere im Bereich der in Rede stehenden steuerlichen Außendienste auf ein notwendiges Maß reduziert und Ermittlungen soweit möglich auf den Innendienst verl</w:t>
      </w:r>
      <w:r w:rsidR="00054EC0">
        <w:t>agert. Zwingend gebotene Maß</w:t>
      </w:r>
      <w:r>
        <w:t>nahmen im Außendienst (wie insbesondere Durchsuchungen), in denen kein Aufschub möglich ist (</w:t>
      </w:r>
      <w:r w:rsidR="00BD06F4">
        <w:t>z. B.</w:t>
      </w:r>
      <w:r>
        <w:t xml:space="preserve"> wegen Verdunklungs- und Fluchtgefahr oder drohender Verjährung), werden mit geeignetem Personal und den notwendigen Schutzvorkehrungen im Rahmen eines speziellen Hygienekonzepts durchgeführt. Die Zahl dieser Außeneinsätze seit März 2021 konnte in der Kürze der zur Verfügung stehenden Zeit mit vertretbarem Aufwand nicht ermittelt werden. Hierüber werden weder beim Landesamt für Steuern</w:t>
      </w:r>
      <w:r w:rsidR="00CD3CA9">
        <w:t>,</w:t>
      </w:r>
      <w:r>
        <w:t xml:space="preserve"> noch bei den Finanzämtern laufende Aufzeichnungen geführt.</w:t>
      </w:r>
    </w:p>
    <w:p w:rsidR="00041CAD" w:rsidRDefault="00041CAD" w:rsidP="00041CAD">
      <w:pPr>
        <w:pStyle w:val="LTAntwortRessortText"/>
      </w:pPr>
      <w:r>
        <w:t>Auch die Corona-Schutzimpfung ist ein wic</w:t>
      </w:r>
      <w:r w:rsidR="00054EC0">
        <w:t>htiger Baustein des Gesundheits</w:t>
      </w:r>
      <w:r>
        <w:t xml:space="preserve">schutzes. Die </w:t>
      </w:r>
      <w:r w:rsidR="00054EC0">
        <w:t>Coronavirus-Impfverordnung (</w:t>
      </w:r>
      <w:r>
        <w:t>CoronaImpfV</w:t>
      </w:r>
      <w:r w:rsidR="00054EC0">
        <w:t>)</w:t>
      </w:r>
      <w:r>
        <w:t xml:space="preserve"> liegt in der Kompetenz des Bundesministeriums für Gesundheit (BMG). Das BMG hat in § </w:t>
      </w:r>
      <w:r w:rsidR="00054EC0">
        <w:t>3 CoronaImpfV abschließend gere</w:t>
      </w:r>
      <w:r>
        <w:t>gelt, welche Personen mit hoher Priorität Anspruch auf Schutzimpfung haben, darunter Polizeikräfte, die in Ausübung ihrer Tätigkeit zur Sicherstellung der öffentlichen Ordnung einem hohen Infektionsrisiko ausgesetzt sind. Dies gilt ebenso für die erhöhte Priorität in § 4 CoronalmpfV. Die Festlegung der Impf-reihenfolge baut im Wesentlichen auf der Impfempfehlung der Ständ</w:t>
      </w:r>
      <w:r w:rsidR="00054EC0">
        <w:t xml:space="preserve">igen Impfkommission beim Robert </w:t>
      </w:r>
      <w:r>
        <w:t>Koch-Institut auf. Derzeit prüft das Staatsministerium der Finanzen und für Heimat, inwieweit dem in der Frage genannten Personenkreis auf der Grundlage der best</w:t>
      </w:r>
      <w:r w:rsidR="00CD3CA9">
        <w:t>ehenden CoronaImpfV eine Priori</w:t>
      </w:r>
      <w:r>
        <w:t>sierung gewährt werden kann.</w:t>
      </w:r>
    </w:p>
    <w:p w:rsidR="00041CAD" w:rsidRDefault="00041CAD">
      <w:bookmarkStart w:id="74" w:name="Frage_Nr_36_Ende"/>
      <w:bookmarkEnd w:id="74"/>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0E7F09" w:rsidTr="000E7F09">
        <w:tc>
          <w:tcPr>
            <w:tcW w:w="1894" w:type="dxa"/>
          </w:tcPr>
          <w:p w:rsidR="000E7F09" w:rsidRDefault="000E7F09" w:rsidP="000E7F09">
            <w:pPr>
              <w:pStyle w:val="LTAnfrageInitiator"/>
            </w:pPr>
            <w:r>
              <w:t>Abgeordnete</w:t>
            </w:r>
            <w:r>
              <w:rPr>
                <w:b/>
              </w:rPr>
              <w:br/>
              <w:t>Katharina</w:t>
            </w:r>
            <w:r>
              <w:rPr>
                <w:b/>
              </w:rPr>
              <w:br/>
              <w:t>Schulze</w:t>
            </w:r>
            <w:r>
              <w:rPr>
                <w:b/>
              </w:rPr>
              <w:br/>
            </w:r>
            <w:r>
              <w:t>(BÜNDNIS 90/DIE GRÜNEN)</w:t>
            </w:r>
            <w:bookmarkStart w:id="75" w:name="Frage_Nr_37"/>
            <w:bookmarkEnd w:id="75"/>
          </w:p>
        </w:tc>
        <w:tc>
          <w:tcPr>
            <w:tcW w:w="5722" w:type="dxa"/>
          </w:tcPr>
          <w:p w:rsidR="000E7F09" w:rsidRPr="00754CFD" w:rsidRDefault="000E7F09" w:rsidP="00754CFD">
            <w:pPr>
              <w:pStyle w:val="LTAnfrageText"/>
            </w:pPr>
            <w:r w:rsidRPr="00754CFD">
              <w:t xml:space="preserve">Ich frage die Staatsregierung, wie viel Prozent der gesamten bayerischen Ministerialverwaltung arbeiten nach ihren </w:t>
            </w:r>
            <w:r w:rsidR="00CD3CA9">
              <w:br/>
            </w:r>
            <w:r w:rsidRPr="00754CFD">
              <w:t>Erkenntnissen an wie vielen Tagen im Homeoffice und sind tagesaktuelle Schnelltests – zweimal die Woche – in den Ministerien Voraussetzung für die Ausübung der Tätigkeiten in Präsenz (bitte nach Ministerien aufschlüsseln)? </w:t>
            </w:r>
          </w:p>
        </w:tc>
        <w:tc>
          <w:tcPr>
            <w:tcW w:w="5722" w:type="dxa"/>
          </w:tcPr>
          <w:p w:rsidR="000E7F09" w:rsidRDefault="000E7F09" w:rsidP="000E7F09">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In den Ministerien arbeiten derzeit zwischen 80 und 95 Prozent der Beschäf</w:t>
      </w:r>
      <w:r w:rsidR="00CD3CA9">
        <w:t>tigten mit homeoffice</w:t>
      </w:r>
      <w:r>
        <w:t>fähigem Arbeitsplatz und nötiger IT-Ausstattung tatsächlich im Homeoffice. Eine zur Beantwortung der Anfrage erforderliche, tiefgehende Erhebung von einzelnen Homeofficetagen bei den Beschäftigten wäre nur durch eine arbeits- und zeitaufwändige Abfrage bei allen Ministerien möglich. Dies ist im Rahmen einer Plenaranfrage und unter der gegebenen Situation insbesondere unter Berücksichtigung</w:t>
      </w:r>
      <w:r w:rsidR="00F60A42">
        <w:t xml:space="preserve"> der Kapazitäten nicht darstell</w:t>
      </w:r>
      <w:r>
        <w:t>bar.</w:t>
      </w:r>
    </w:p>
    <w:p w:rsidR="00041CAD" w:rsidRDefault="00041CAD" w:rsidP="00041CAD">
      <w:pPr>
        <w:pStyle w:val="LTAntwortRessortText"/>
      </w:pPr>
      <w:r>
        <w:t>Für die Ausübung der Tätigkeit in Präsenz i</w:t>
      </w:r>
      <w:r w:rsidR="00CD3CA9">
        <w:t>n den Ministerien sind keine ta</w:t>
      </w:r>
      <w:r>
        <w:t>gesaktuellen Schnelltests verpflichtend. Der Freistaat Bayern bietet seinen in Präsenz Beschäftigten entsprechend der SARS-CoV-2-Arbeitsschutzverordnung einmal pro Woche einen Selbsttest, den in § 5 Abs. 2 der SARS-CoV-Arbeitsschutzverordnung genannten Besch</w:t>
      </w:r>
      <w:r w:rsidR="00CD3CA9">
        <w:t>äftigten mindestens zwei Selbst</w:t>
      </w:r>
      <w:r>
        <w:t>tests an; auf Wunsch wird ein Testat erstellt. Die Selbsttests stehen ab Mitte der 16. KW zur Verfügung. Bis dahin wird d</w:t>
      </w:r>
      <w:r w:rsidR="00CD3CA9">
        <w:t>en in Präsenz Beschäftigten ent</w:t>
      </w:r>
      <w:r>
        <w:t>sprechend dem Beschluss des Ministerrats vom 16. März 2021 einmal pro Woche ein kostenloser Schnelltest bei den Testeinrichtungen bzw. b</w:t>
      </w:r>
      <w:r w:rsidR="00CD3CA9">
        <w:t>ei Apo</w:t>
      </w:r>
      <w:r>
        <w:t>theken angeboten. Diese stellen auch eine Bescheinigung aus. Für den Weg zu den Testzentren bzw. zur Apotheke und die Durchführung des Schnelltests wird Dienstbefreiung gewährt.</w:t>
      </w:r>
    </w:p>
    <w:p w:rsidR="00041CAD" w:rsidRDefault="00041CAD">
      <w:bookmarkStart w:id="76" w:name="Frage_Nr_37_Ende"/>
      <w:bookmarkEnd w:id="7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E7F09" w:rsidTr="000E7F09">
        <w:tc>
          <w:tcPr>
            <w:tcW w:w="1854" w:type="dxa"/>
          </w:tcPr>
          <w:p w:rsidR="000E7F09" w:rsidRDefault="000E7F09" w:rsidP="000E7F09">
            <w:pPr>
              <w:pStyle w:val="LTAnfrageInitiator"/>
            </w:pPr>
            <w:r>
              <w:t>Abgeordneter</w:t>
            </w:r>
            <w:r w:rsidR="00B06357">
              <w:rPr>
                <w:b/>
              </w:rPr>
              <w:br/>
              <w:t>Arif</w:t>
            </w:r>
            <w:r w:rsidR="00B06357">
              <w:rPr>
                <w:b/>
              </w:rPr>
              <w:br/>
              <w:t>Ta</w:t>
            </w:r>
            <w:r w:rsidR="00516B5F">
              <w:rPr>
                <w:rFonts w:cs="Arial"/>
                <w:b/>
              </w:rPr>
              <w:t>ş</w:t>
            </w:r>
            <w:r>
              <w:rPr>
                <w:b/>
              </w:rPr>
              <w:t>delen</w:t>
            </w:r>
            <w:r>
              <w:rPr>
                <w:b/>
              </w:rPr>
              <w:br/>
            </w:r>
            <w:r>
              <w:t>(SPD)</w:t>
            </w:r>
            <w:bookmarkStart w:id="77" w:name="Frage_Nr_38"/>
            <w:bookmarkEnd w:id="77"/>
          </w:p>
        </w:tc>
        <w:tc>
          <w:tcPr>
            <w:tcW w:w="5762" w:type="dxa"/>
          </w:tcPr>
          <w:p w:rsidR="000E7F09" w:rsidRPr="00754CFD" w:rsidRDefault="000E7F09" w:rsidP="00754CFD">
            <w:pPr>
              <w:pStyle w:val="LTAnfrageText"/>
            </w:pPr>
            <w:r w:rsidRPr="00754CFD">
              <w:t>Ich frage die Staatsregierung, wie regelmäßig können bzw. müssen sich Beschäftigte und Bedienstete in Behörden und Einrichtungen des Freistaates Bayern einem Corona-Test unterziehen und wie viele Beschäftigte und Bedienstete (anteilig und in absoluten Zahlen) unterziehen sich mindestens einmal bzw. mindestens zweimal pro Woche einem Corona-Test (bitte nach Möglichkeit jeweils wochenweise seit Beginn des Jahres 2021 aufgliedern sowie nach Einrichtungen und Art der Beschäftigung – insbesondere Voll- und Teilzeit – ausdifferenzieren)? </w:t>
            </w:r>
          </w:p>
        </w:tc>
        <w:tc>
          <w:tcPr>
            <w:tcW w:w="5762" w:type="dxa"/>
          </w:tcPr>
          <w:p w:rsidR="000E7F09" w:rsidRDefault="000E7F09" w:rsidP="000E7F09">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Der Freistaat Bayern als Arbeitgeber/Dienstherr hat nach der SARS-CoV-2-Arbeitsschutzverordnung den in Präsenz Beschäftigten mindestens einen Test pro Woche anzubieten. Hierzu hat der Ministerrat bereits am 16. März 2021 ein zweistufiges Testkonzept für Beschäftigte des Freistaates Bayern beschlossen. Dieses Testkonzept gilt für alle Beschäftigten des Freistaates Bayern. Der Schulbereich ist insoweit gesondert zu betrachten. Im Einzelnen gilt Folgendes:</w:t>
      </w:r>
    </w:p>
    <w:p w:rsidR="00041CAD" w:rsidRPr="00516B5F" w:rsidRDefault="00041CAD" w:rsidP="00041CAD">
      <w:pPr>
        <w:pStyle w:val="LTAntwortRessortText"/>
        <w:rPr>
          <w:b/>
        </w:rPr>
      </w:pPr>
      <w:r w:rsidRPr="00516B5F">
        <w:rPr>
          <w:b/>
        </w:rPr>
        <w:t>Stufe 1:</w:t>
      </w:r>
    </w:p>
    <w:p w:rsidR="00041CAD" w:rsidRDefault="00041CAD" w:rsidP="00516B5F">
      <w:pPr>
        <w:pStyle w:val="LTAntwortRessortText"/>
        <w:spacing w:before="0"/>
      </w:pPr>
      <w:r>
        <w:t>Seit dem Beschluss des Ministerrats wird den in Präsenz Beschäftigten im Rahmen einer Übergangslösung zusätzlich zu bereits bestehenden Angeboten einmal pro Woche ein kostenloser Schnelltest bei den Testeinrichtungen bzw. bei Apotheken angeboten. Diese stellen auch eine Bescheinigung aus. Für den Weg zu den Testzentren bzw. zur Apotheke und die Durchführung des Schnelltests wird Dienstbefreiung gewährt.</w:t>
      </w:r>
    </w:p>
    <w:p w:rsidR="00041CAD" w:rsidRPr="00516B5F" w:rsidRDefault="00041CAD" w:rsidP="00041CAD">
      <w:pPr>
        <w:pStyle w:val="LTAntwortRessortText"/>
        <w:rPr>
          <w:b/>
        </w:rPr>
      </w:pPr>
      <w:r w:rsidRPr="00516B5F">
        <w:rPr>
          <w:b/>
        </w:rPr>
        <w:t>Stufe 2:</w:t>
      </w:r>
    </w:p>
    <w:p w:rsidR="00041CAD" w:rsidRDefault="00041CAD" w:rsidP="00516B5F">
      <w:pPr>
        <w:pStyle w:val="LTAntwortRessortText"/>
        <w:spacing w:before="0"/>
      </w:pPr>
      <w:r>
        <w:t>Selbsttests werden im Laufe der 16. KW ausgeliefert. Den in Präsenz Beschäftigten wird künftig auf Wunsch einmal pro Woche ein Selbsttest, den in § 5 Abs. 2 der SARS-CoV-Arbeitsschutzverordnung genannten Beschäftigten werden mindestens zwei Selbsttests kostenlos zur Verfügung gestellt; auf Wunsch wird ein Testat erstellt. Den Dienststellen werden Informationen zur Verfügung gestellt, wie im Einzelnen zu verfahren ist.</w:t>
      </w:r>
    </w:p>
    <w:p w:rsidR="00041CAD" w:rsidRDefault="00041CAD" w:rsidP="00041CAD">
      <w:pPr>
        <w:pStyle w:val="LTAntwortRessortText"/>
      </w:pPr>
      <w:r>
        <w:t>Oberste Maxime zur Eindämmung der Pand</w:t>
      </w:r>
      <w:r w:rsidR="00CD3CA9">
        <w:t>emie ist jedoch, solange es kei</w:t>
      </w:r>
      <w:r>
        <w:t>nen umfassenden Impfschutz gibt, die Reduzierung und Vermeidung von Kontakten. Der Freistaat Bayern setzt daher weiterhin auf das Angebot der freiwilligen Arbeit im Homeoffice. Durch das Testkonzept ergibt sich insoweit keine Änderung.</w:t>
      </w:r>
    </w:p>
    <w:p w:rsidR="00041CAD" w:rsidRDefault="00041CAD" w:rsidP="00041CAD">
      <w:pPr>
        <w:pStyle w:val="LTAntwortRessortText"/>
      </w:pPr>
      <w:r>
        <w:t>Nachdem das Angebot erst seit kurzer Zeit besteht, liegt kein belastbares Zahlenmaterial zur Anzahl der Beschäftigten vor, die bislang von dem Angebot Gebrauch gemacht haben.</w:t>
      </w:r>
    </w:p>
    <w:p w:rsidR="00041CAD" w:rsidRDefault="00041CAD">
      <w:bookmarkStart w:id="78" w:name="Frage_Nr_38_Ende"/>
      <w:bookmarkEnd w:id="7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E7F09" w:rsidTr="000E7F09">
        <w:tc>
          <w:tcPr>
            <w:tcW w:w="1883" w:type="dxa"/>
          </w:tcPr>
          <w:p w:rsidR="000E7F09" w:rsidRDefault="000E7F09" w:rsidP="000E7F09">
            <w:pPr>
              <w:pStyle w:val="LTAnfrageInitiator"/>
            </w:pPr>
            <w:r>
              <w:t>Abgeordnete</w:t>
            </w:r>
            <w:r>
              <w:rPr>
                <w:b/>
              </w:rPr>
              <w:br/>
              <w:t>Dr. Sabine</w:t>
            </w:r>
            <w:r>
              <w:rPr>
                <w:b/>
              </w:rPr>
              <w:br/>
              <w:t>Weigand</w:t>
            </w:r>
            <w:r>
              <w:rPr>
                <w:b/>
              </w:rPr>
              <w:br/>
            </w:r>
            <w:r>
              <w:t>(BÜNDNIS 90/DIE GRÜNEN)</w:t>
            </w:r>
            <w:bookmarkStart w:id="79" w:name="Frage_Nr_39"/>
            <w:bookmarkEnd w:id="79"/>
          </w:p>
        </w:tc>
        <w:tc>
          <w:tcPr>
            <w:tcW w:w="5733" w:type="dxa"/>
          </w:tcPr>
          <w:p w:rsidR="000E7F09" w:rsidRPr="00754CFD" w:rsidRDefault="000E7F09" w:rsidP="00754CFD">
            <w:pPr>
              <w:pStyle w:val="LTAnfrageText"/>
            </w:pPr>
            <w:r w:rsidRPr="00754CFD">
              <w:t>Ich frage die Staatsregierung, nachdem der Freistaat im Rahmen der Internationale Automobil-Ausstellung (IAA) dieses Jahr in München in und um den Hofgarten Flächen zur Verfügung stellt, wie sind die genauen Nutzungspläne der IAA in und am Hofgarten, mit welchen konkreten Maßnahmen will sie verhindern, dass das Gartendenkmal durch diese Nutzung und die große Menge der Besucher in Mitleidenschaft gezogen wird und wieviel Miete bezahlt die IAA für die Zurverfügungstellung der Flächen?</w:t>
            </w:r>
          </w:p>
        </w:tc>
        <w:tc>
          <w:tcPr>
            <w:tcW w:w="5733" w:type="dxa"/>
          </w:tcPr>
          <w:p w:rsidR="000E7F09" w:rsidRDefault="000E7F09" w:rsidP="000E7F09">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Für die Internationale Automobil-Ausstellung (IAA) kann im Hofg</w:t>
      </w:r>
      <w:r w:rsidR="00CD3CA9">
        <w:t>arten Mün</w:t>
      </w:r>
      <w:r>
        <w:t xml:space="preserve">chen eine Seite der Hofgartenstraße und ein Wegstück von der Hofgartenstraße zum Vierschäftesaal der Residenz München zur Verfügung gestellt werden. Durch die Beschränkung auf diese </w:t>
      </w:r>
      <w:r w:rsidR="00CD3CA9">
        <w:t>Flächen und durch weitere geeig</w:t>
      </w:r>
      <w:r>
        <w:t>nete Maßnahmen des Veranstalters ist sicherzustellen, dass durch die Veranstaltung keine Beschädigung des Gartendenkmals erfolgt.</w:t>
      </w:r>
    </w:p>
    <w:p w:rsidR="00041CAD" w:rsidRDefault="00041CAD" w:rsidP="00041CAD">
      <w:pPr>
        <w:pStyle w:val="LTAntwortRessortText"/>
      </w:pPr>
      <w:r>
        <w:t>Die Schlösserverwaltung erhebt für die Nutzung ihrer Flächen durch Dritte Nutzungsentgelte, die verbindlich festgelegt</w:t>
      </w:r>
      <w:r w:rsidR="00CD3CA9">
        <w:t xml:space="preserve"> sind. Die Höhe der Nutzungsent</w:t>
      </w:r>
      <w:r>
        <w:t>gelte hängt dabei von der jeweiligen Nut</w:t>
      </w:r>
      <w:r w:rsidR="00CD3CA9">
        <w:t>zungsart und dem jeweiligen Nut</w:t>
      </w:r>
      <w:r>
        <w:t>zungsumfang ab. Der konkrete Nutzungsumfang einschließlich der notwendigen Auf- und Abbautage für die IAA stehen noch nicht fest. Deswegen kann auch die Höhe des Nutzungsentgelts noch nicht beziffert werden.</w:t>
      </w:r>
    </w:p>
    <w:p w:rsidR="00041CAD" w:rsidRDefault="00041CAD">
      <w:bookmarkStart w:id="80" w:name="Frage_Nr_39_Ende"/>
      <w:bookmarkEnd w:id="8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87617" w:rsidTr="00987617">
        <w:tc>
          <w:tcPr>
            <w:tcW w:w="1852" w:type="dxa"/>
          </w:tcPr>
          <w:p w:rsidR="00987617" w:rsidRDefault="00987617" w:rsidP="00987617">
            <w:pPr>
              <w:pStyle w:val="LTAnfrageInitiator"/>
            </w:pPr>
            <w:r>
              <w:t>Abgeordneter</w:t>
            </w:r>
            <w:r>
              <w:rPr>
                <w:b/>
              </w:rPr>
              <w:br/>
              <w:t>Andreas</w:t>
            </w:r>
            <w:r>
              <w:rPr>
                <w:b/>
              </w:rPr>
              <w:br/>
              <w:t>Winhart</w:t>
            </w:r>
            <w:r>
              <w:rPr>
                <w:b/>
              </w:rPr>
              <w:br/>
            </w:r>
            <w:r>
              <w:t>(AfD)</w:t>
            </w:r>
            <w:bookmarkStart w:id="81" w:name="Frage_Nr_40"/>
            <w:bookmarkEnd w:id="81"/>
          </w:p>
        </w:tc>
        <w:tc>
          <w:tcPr>
            <w:tcW w:w="5764" w:type="dxa"/>
          </w:tcPr>
          <w:p w:rsidR="00987617" w:rsidRPr="00754CFD" w:rsidRDefault="00987617" w:rsidP="00754CFD">
            <w:pPr>
              <w:pStyle w:val="LTAnfrageText"/>
            </w:pPr>
            <w:r w:rsidRPr="00754CFD">
              <w:t>Ich frage die Staatsregierung, hat die Stadt Rosenheim, der Landkreis Rosenheim oder deren Eigen- und Regiebetrieb sowie Beteiligungsgesellschaften (z. B. RoMed Kliniken der Stadt und des Landkreises Rosenheim), der Bezirk Oberbayern oder der Freistaat Bayern Verträge mit der Versicherungsagentur Allianz Versicherung Teicher und Co. OHG Generalvertretung aus Prien am Chiemsee, wann wurden diese Verträge abgeschlossen und durch wen wurden diese Verträge vermittelt? </w:t>
            </w:r>
          </w:p>
        </w:tc>
        <w:tc>
          <w:tcPr>
            <w:tcW w:w="5764" w:type="dxa"/>
          </w:tcPr>
          <w:p w:rsidR="00987617" w:rsidRDefault="00987617" w:rsidP="00987617">
            <w:pPr>
              <w:pStyle w:val="LTAnfrageText"/>
            </w:pPr>
          </w:p>
        </w:tc>
      </w:tr>
    </w:tbl>
    <w:p w:rsidR="00041CAD" w:rsidRDefault="00041CAD" w:rsidP="00041CAD">
      <w:pPr>
        <w:pStyle w:val="LTUeberschrAntwortRessort"/>
      </w:pPr>
      <w:r>
        <w:t>Antwort des Staatsministeriums der Finanzen und für Heimat</w:t>
      </w:r>
    </w:p>
    <w:p w:rsidR="00041CAD" w:rsidRDefault="00041CAD" w:rsidP="00041CAD">
      <w:pPr>
        <w:pStyle w:val="LTAntwortRessortText"/>
      </w:pPr>
      <w:r>
        <w:t>Nach Auskunft des Staatsministeriums des Innern, für Sport und Integration</w:t>
      </w:r>
      <w:r w:rsidR="00CD3CA9">
        <w:t xml:space="preserve"> (StMI)</w:t>
      </w:r>
      <w:r>
        <w:t xml:space="preserve"> liegen zu Verträgen zwischen der Stadt Rosenheim, dem Landkreis Rosenheim, dem Bezirk Oberbayern sowie Ges</w:t>
      </w:r>
      <w:r w:rsidR="00CD3CA9">
        <w:t>ellschaften, an denen diese Kom</w:t>
      </w:r>
      <w:r>
        <w:t>munen beteiligt sind, und der Versicherungsagentur Allianz Versicherung Teicher und Co. OHG keine Erkenntnisse vor. In Angelegenheiten des eigenen Wirkungskreises beschränkt sich die staatliche Rechtsaufsicht darauf, die Erfüllung der gesetzlich festgelegten und übernommenen öffentlich-rechtlichen Aufgaben und Verpflichtungen und die Gesetzmäßigkeit der Verwaltung zu überwachen. Der Staatsregierung liegen im Zusammenhang mit poten</w:t>
      </w:r>
      <w:r w:rsidR="00F60A42">
        <w:t>z</w:t>
      </w:r>
      <w:r>
        <w:t>iellen Vertragsbeziehungen zu dem bezeichneten Unternehmen keine Informationen vor. Ein Anlass für rechtsaufsichtlic</w:t>
      </w:r>
      <w:r w:rsidR="00CD3CA9">
        <w:t>he Maßnahmen ist daher nach Ein</w:t>
      </w:r>
      <w:r>
        <w:t xml:space="preserve">schätzung des </w:t>
      </w:r>
      <w:r w:rsidR="00CD3CA9">
        <w:t>StMI</w:t>
      </w:r>
      <w:r>
        <w:t xml:space="preserve"> nicht ersichtlich.</w:t>
      </w:r>
    </w:p>
    <w:p w:rsidR="00041CAD" w:rsidRDefault="00041CAD" w:rsidP="00041CAD">
      <w:pPr>
        <w:pStyle w:val="LTAntwortRessortText"/>
      </w:pPr>
      <w:r>
        <w:t>Dem Staatsministerium der Finanzen und für Heimat liegen fe</w:t>
      </w:r>
      <w:r w:rsidR="00CD3CA9">
        <w:t>rner keine zent</w:t>
      </w:r>
      <w:r>
        <w:t>ralen Kenntnisse zu Verträgen des Freistaat</w:t>
      </w:r>
      <w:r w:rsidR="00CD3CA9">
        <w:t>es Bayern mit der Versicherungs</w:t>
      </w:r>
      <w:r>
        <w:t>agentur Allianz Versicherung Teicher und Co. OHG vor. Derart umfangreiche Abfragen sind im Rahmen einer Anfrage zum Plenum nicht darstellbar.</w:t>
      </w:r>
    </w:p>
    <w:p w:rsidR="00041CAD" w:rsidRDefault="00041CAD">
      <w:bookmarkStart w:id="82" w:name="Frage_Nr_40_Ende"/>
      <w:bookmarkEnd w:id="82"/>
      <w:r>
        <w:br w:type="page"/>
      </w:r>
    </w:p>
    <w:p w:rsidR="00041CAD" w:rsidRDefault="00041CAD" w:rsidP="00041CAD">
      <w:pPr>
        <w:pStyle w:val="LTUeberschrRessort"/>
      </w:pPr>
      <w:r>
        <w:t>Geschäftsbereich des Staatsministeriums für Wirtschaft, Landesentwicklung und Energie</w:t>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987617" w:rsidTr="00987617">
        <w:tc>
          <w:tcPr>
            <w:tcW w:w="1917" w:type="dxa"/>
          </w:tcPr>
          <w:p w:rsidR="00987617" w:rsidRDefault="00987617" w:rsidP="00987617">
            <w:pPr>
              <w:pStyle w:val="LTAnfrageInitiator"/>
            </w:pPr>
            <w:r>
              <w:t>Abgeordneter</w:t>
            </w:r>
            <w:r>
              <w:rPr>
                <w:b/>
              </w:rPr>
              <w:br/>
              <w:t>Franz</w:t>
            </w:r>
            <w:r>
              <w:rPr>
                <w:b/>
              </w:rPr>
              <w:br/>
              <w:t>Bergmüller</w:t>
            </w:r>
            <w:r>
              <w:rPr>
                <w:b/>
              </w:rPr>
              <w:br/>
            </w:r>
            <w:r>
              <w:t>(AfD)</w:t>
            </w:r>
            <w:bookmarkStart w:id="83" w:name="Frage_Nr_41"/>
            <w:bookmarkEnd w:id="83"/>
          </w:p>
        </w:tc>
        <w:tc>
          <w:tcPr>
            <w:tcW w:w="5699" w:type="dxa"/>
          </w:tcPr>
          <w:p w:rsidR="00987617" w:rsidRPr="00754CFD" w:rsidRDefault="00987617" w:rsidP="00754CFD">
            <w:pPr>
              <w:pStyle w:val="LTAnfrageText"/>
            </w:pPr>
            <w:r w:rsidRPr="00754CFD">
              <w:t>Ich frage die Staatsregierung, welche Kompetenzen haben die politischen Gliederungsebenen Gemeinde/Stadt, Landkreis/kreis-freie Stadt, Bezirk, Land, Bund und EU hinsichtlich des Gebens von Wirtschaftshilfen an ein in z. B. Oberbayern ansässiges Unternehmen Geldzahlungen zu leisten – sei es auf Kreditbasis oder als Subvention etc. – oder geldwerte Vorteile zu gewähren (bitte für jede Gliederungsebene die Rechtsgrundlagen offenlegen und hierbei bitte einen Schwerpunkt auf jede denkbare Möglichkeit einer Hilfe durch eine Kommune legen), welche Handlungsmöglichkeiten haben die politischen Gliederungsebenen Gemeinde/Stadt, Landkreis/kreisfreie Stadt, Bezirk, Land, Bund und EU, um ein z. B. in Oberbayern ansässiges Unternehmen vor einer Insolvenz zu bewahren (bitte für jede Gliederungsebene die Rechtsgrundlagen offenlegen und hierbei bitte einen Schwerpunkt auf jede denkbare Möglichkeit einer Hilfe durch eine Kommune legen) und welche zusätzlichen Möglichkeiten sind im Rahmen des von Ministerpräsident Dr. Markus Söder ausgegebenen Katastrophenfalls und/oder im vorliegenden Pandemiefall gegeben, um an ein in z. B. Oberbayern ansässiges Unternehmen Geldzahlungen zu leisten, geldwerte Vorteile zu gewähren oder vor einer Insolvenz zu bewahren (bitte vollumfänglich aufschlüsseln)?</w:t>
            </w:r>
          </w:p>
        </w:tc>
        <w:tc>
          <w:tcPr>
            <w:tcW w:w="5699" w:type="dxa"/>
          </w:tcPr>
          <w:p w:rsidR="00987617" w:rsidRDefault="00987617" w:rsidP="00987617">
            <w:pPr>
              <w:pStyle w:val="LTAnfrageText"/>
            </w:pPr>
          </w:p>
        </w:tc>
      </w:tr>
    </w:tbl>
    <w:p w:rsidR="00041CAD" w:rsidRDefault="00041CAD" w:rsidP="00041CAD">
      <w:pPr>
        <w:pStyle w:val="LTUeberschrAntwortRessort"/>
      </w:pPr>
      <w:r>
        <w:t>Antwort des Staatsministeriums für Wirtschaft, Landesentwicklung und Energie</w:t>
      </w:r>
    </w:p>
    <w:p w:rsidR="00041CAD" w:rsidRDefault="00CD3CA9" w:rsidP="00041CAD">
      <w:pPr>
        <w:pStyle w:val="LTAntwortRessortText"/>
      </w:pPr>
      <w:r>
        <w:t xml:space="preserve">Dem </w:t>
      </w:r>
      <w:r w:rsidR="00041CAD">
        <w:t>Staatsministerium für Wirtschaft, Landesentwicklung und Energie (StMWi) liegen keine Aufstellungen, Übersichten oder ähnliche Unterlagen vor, aus denen alle ggf. vorhandenen Förderangebote de</w:t>
      </w:r>
      <w:r>
        <w:t>r bayerischen Kommunen, des Bun</w:t>
      </w:r>
      <w:r w:rsidR="00041CAD">
        <w:t>des oder der Europäischen Kommission für Unternehmen ersichtlich sind. Bzgl. der Kompetenz der bayerischen Kommunen darf auch auf die Beantwortung der Fragen 6.1 und 8 der D</w:t>
      </w:r>
      <w:r>
        <w:t>rs.</w:t>
      </w:r>
      <w:r w:rsidR="00041CAD">
        <w:t xml:space="preserve"> 18/11706 verwiesen werden. Die einzelnen Förderangebote wären ggf. bei den jeweiligen Fördergebern gesondert zu erfragen.</w:t>
      </w:r>
    </w:p>
    <w:p w:rsidR="00041CAD" w:rsidRDefault="00041CAD" w:rsidP="00041CAD">
      <w:pPr>
        <w:pStyle w:val="LTAntwortRessortText"/>
      </w:pPr>
      <w:r>
        <w:t>Spezielle Programme zur Insolvenzvermeidung existieren nicht. Vielmehr geht es darum, sich im Einzelfall einen Überblick über die aktuelle wirtschaftliche Situation des betroffenen Unternehmens zu verschaffen und dann auf Basis der bestehenden Programme ggf. geeignete Unterstützungsmöglichkeiten mit den Beteiligten zu prüfen. Insbesondere in der wirtschaftlichen Krise und Insolvenznähe sind der Unterstützung von Unternehmen sehr enge EU-beihilferechtliche und förderrechtliche Grenzen gesetzt.</w:t>
      </w:r>
    </w:p>
    <w:p w:rsidR="00041CAD" w:rsidRDefault="00041CAD" w:rsidP="00041CAD">
      <w:pPr>
        <w:pStyle w:val="LTAntwortRessortText"/>
      </w:pPr>
      <w:r>
        <w:t>Einen guten Überblick über die bestehenden Förd</w:t>
      </w:r>
      <w:r w:rsidR="00CD3CA9">
        <w:t>erangebote für bayerische Unter</w:t>
      </w:r>
      <w:r>
        <w:t xml:space="preserve">nehmen bietet die Homepage des </w:t>
      </w:r>
      <w:r w:rsidR="00CD3CA9">
        <w:t>StMWi</w:t>
      </w:r>
      <w:r>
        <w:t xml:space="preserve"> unter </w:t>
      </w:r>
      <w:hyperlink r:id="rId20" w:history="1">
        <w:r w:rsidR="00CD3CA9" w:rsidRPr="00CD3CA9">
          <w:rPr>
            <w:rStyle w:val="LTHyperlinkZchn"/>
            <w:b w:val="0"/>
          </w:rPr>
          <w:t>https://</w:t>
        </w:r>
        <w:r w:rsidRPr="00CD3CA9">
          <w:rPr>
            <w:rStyle w:val="LTHyperlinkZchn"/>
            <w:b w:val="0"/>
          </w:rPr>
          <w:t>www.stmwi.bayern.de</w:t>
        </w:r>
      </w:hyperlink>
      <w:r>
        <w:t xml:space="preserve">, insbesondere auch zu den aktuellen Sonderprogrammen im Zusammenhang mit der </w:t>
      </w:r>
      <w:r w:rsidR="00BD06F4">
        <w:t>COVID-19</w:t>
      </w:r>
      <w:r w:rsidR="00CD3CA9">
        <w:t>-</w:t>
      </w:r>
      <w:r>
        <w:t>Pandemie. Die Homepage wird laufend aktualisiert.</w:t>
      </w:r>
    </w:p>
    <w:p w:rsidR="00041CAD" w:rsidRDefault="00041CAD">
      <w:bookmarkStart w:id="84" w:name="Frage_Nr_41_Ende"/>
      <w:bookmarkEnd w:id="8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987617" w:rsidTr="00987617">
        <w:tc>
          <w:tcPr>
            <w:tcW w:w="1862" w:type="dxa"/>
          </w:tcPr>
          <w:p w:rsidR="00987617" w:rsidRDefault="00987617" w:rsidP="00987617">
            <w:pPr>
              <w:pStyle w:val="LTAnfrageInitiator"/>
            </w:pPr>
            <w:r>
              <w:t>Abgeordneter</w:t>
            </w:r>
            <w:r>
              <w:rPr>
                <w:b/>
              </w:rPr>
              <w:br/>
              <w:t>Florian</w:t>
            </w:r>
            <w:r>
              <w:rPr>
                <w:b/>
              </w:rPr>
              <w:br/>
              <w:t>von Brunn</w:t>
            </w:r>
            <w:r>
              <w:rPr>
                <w:b/>
              </w:rPr>
              <w:br/>
            </w:r>
            <w:r>
              <w:t>(SPD)</w:t>
            </w:r>
            <w:bookmarkStart w:id="85" w:name="Frage_Nr_42"/>
            <w:bookmarkEnd w:id="85"/>
          </w:p>
        </w:tc>
        <w:tc>
          <w:tcPr>
            <w:tcW w:w="5754" w:type="dxa"/>
          </w:tcPr>
          <w:p w:rsidR="00987617" w:rsidRPr="00754CFD" w:rsidRDefault="00987617" w:rsidP="00190458">
            <w:pPr>
              <w:pStyle w:val="LTAnfrageText"/>
            </w:pPr>
            <w:r w:rsidRPr="00754CFD">
              <w:t>Nachdem noch zahlreiche Fragen im Zusammenhang mit der Auftragsvergabe für Corona-Schutzmasken durch die Staatsregierung an die Firma Zettl und im Zusammenhang mit dem sogenannten „Masken</w:t>
            </w:r>
            <w:r w:rsidR="00190458">
              <w:t>-Verbund-</w:t>
            </w:r>
            <w:r w:rsidRPr="00754CFD">
              <w:t>Bayern“ ungeklärt sind, frage ich die Staatsregierung, warum der Masken</w:t>
            </w:r>
            <w:r w:rsidR="00190458">
              <w:t>-V</w:t>
            </w:r>
            <w:r w:rsidRPr="00754CFD">
              <w:t>erbund</w:t>
            </w:r>
            <w:r w:rsidR="00190458">
              <w:t>-</w:t>
            </w:r>
            <w:r w:rsidRPr="00754CFD">
              <w:t>Bayern nur aus den drei Firmen PIA Automation (Amberg), Sandler AG (Schwarzenbach) und Zettl Group (Weng) besteht und keine weiteren Firmen hinzugenommen wurden, ob es zutreffend ist, dass die Staatsregierung bzw. der Freistaat Bayern im März 2020 die gesamte Produktion der Firma Sandler AG an Schutzmasken-Vlies („meltblown“-Vlies) aufgekauft hat und es dann gelagert bzw. als Vliesrollen u. a. an die Landkreise verteilt wurde, und warum ein am 19. März bzw. 20. März 2020 an die Staatsregierung abgegebenes Angebot eines niederbayerischen Unternehmers zum Preis von nur 19 Cent bzw. 22 Cent pro OP-Maske, der Ende April 2020 rund 1,5 Mio. OP-Masken hätte herstellen können, nicht angenommen, geschweige denn beantwortet wurde? </w:t>
            </w:r>
          </w:p>
        </w:tc>
        <w:tc>
          <w:tcPr>
            <w:tcW w:w="5754" w:type="dxa"/>
          </w:tcPr>
          <w:p w:rsidR="00987617" w:rsidRDefault="00987617" w:rsidP="00987617">
            <w:pPr>
              <w:pStyle w:val="LTAnfrageText"/>
            </w:pPr>
          </w:p>
        </w:tc>
      </w:tr>
    </w:tbl>
    <w:p w:rsidR="00041CAD" w:rsidRDefault="00041CAD" w:rsidP="00041CAD">
      <w:pPr>
        <w:pStyle w:val="LTUeberschrAntwortRessort"/>
      </w:pPr>
      <w:r>
        <w:t>Antwort des Staatsministeriums für Wirtschaft, Landesentwicklung und Energie</w:t>
      </w:r>
    </w:p>
    <w:p w:rsidR="00041CAD" w:rsidRDefault="00041CAD" w:rsidP="00041CAD">
      <w:pPr>
        <w:pStyle w:val="LTAntwortRessortText"/>
      </w:pPr>
      <w:r>
        <w:t>Der Masken-Verbund-Bayern ist keine Veranstaltung oder Organisation des Freistaates Bayern.</w:t>
      </w:r>
    </w:p>
    <w:p w:rsidR="00041CAD" w:rsidRDefault="00041CAD" w:rsidP="00041CAD">
      <w:pPr>
        <w:pStyle w:val="LTAntwortRessortText"/>
      </w:pPr>
      <w:r>
        <w:t>Die Staatsregierung hat, koordiniert durch das Technische Hilfswerk, in einer einmaligen Aktion Vliesstoff zur schnellen und unkomplizierten Hilfe vor Ort an die Landkreise und kreisfreien Städte verteilt, da</w:t>
      </w:r>
      <w:r w:rsidR="00CD3CA9">
        <w:t>mit Näherinnen und Näher zur De</w:t>
      </w:r>
      <w:r>
        <w:t xml:space="preserve">ckung des dringenden Bedarfs sogenannte </w:t>
      </w:r>
      <w:r w:rsidR="00BD06F4">
        <w:t>„</w:t>
      </w:r>
      <w:r>
        <w:t>Community Masken</w:t>
      </w:r>
      <w:r w:rsidR="00BD06F4">
        <w:t>“</w:t>
      </w:r>
      <w:r>
        <w:t xml:space="preserve"> (bzw. </w:t>
      </w:r>
      <w:r w:rsidR="00BD06F4">
        <w:t>„</w:t>
      </w:r>
      <w:r w:rsidR="00CD3CA9">
        <w:t>Behelfsmas</w:t>
      </w:r>
      <w:r>
        <w:t>ken</w:t>
      </w:r>
      <w:r w:rsidR="00BD06F4">
        <w:t>“</w:t>
      </w:r>
      <w:r>
        <w:t xml:space="preserve"> oder </w:t>
      </w:r>
      <w:r w:rsidR="00BD06F4">
        <w:t>„</w:t>
      </w:r>
      <w:r>
        <w:t>Do-it-yourself-Masken</w:t>
      </w:r>
      <w:r w:rsidR="00BD06F4">
        <w:t>“</w:t>
      </w:r>
      <w:r>
        <w:t>) herstellen können.</w:t>
      </w:r>
      <w:r w:rsidR="00CD3CA9">
        <w:t xml:space="preserve"> Dazu hat die Staatsregierung 1 </w:t>
      </w:r>
      <w:r>
        <w:t>240 Vliesrollen mit jeweils 160 qm bei der Firma Sand</w:t>
      </w:r>
      <w:r w:rsidR="00CD3CA9">
        <w:t>ler bestellt. Es ist der Staats</w:t>
      </w:r>
      <w:r>
        <w:t>regierung nicht bekannt, welchen Anteil die genannte Bestellung an de</w:t>
      </w:r>
      <w:r w:rsidR="00CD3CA9">
        <w:t>r Produktions</w:t>
      </w:r>
      <w:r>
        <w:t>kapazität der Sandler AG im März hatte.</w:t>
      </w:r>
    </w:p>
    <w:p w:rsidR="00041CAD" w:rsidRDefault="00041CAD" w:rsidP="00041CAD">
      <w:pPr>
        <w:pStyle w:val="LTAntwortRessortText"/>
      </w:pPr>
      <w:r>
        <w:t>Zu dem erwähnten Angebot eines niederbayerischen Unternehmers vom 19. oder 20. März 2020 betreffend OP-Masken kann ohne Angabe des Firmennamens keine konkrete Auskunft gegeben werden.</w:t>
      </w:r>
    </w:p>
    <w:p w:rsidR="00041CAD" w:rsidRDefault="00041CAD">
      <w:bookmarkStart w:id="86" w:name="Frage_Nr_42_Ende"/>
      <w:bookmarkEnd w:id="8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DF1E24" w:rsidTr="00DF1E24">
        <w:tc>
          <w:tcPr>
            <w:tcW w:w="1852" w:type="dxa"/>
          </w:tcPr>
          <w:p w:rsidR="00DF1E24" w:rsidRDefault="00DF1E24" w:rsidP="00DF1E24">
            <w:pPr>
              <w:pStyle w:val="LTAnfrageInitiator"/>
            </w:pPr>
            <w:r>
              <w:t>Abgeordneter</w:t>
            </w:r>
            <w:r>
              <w:rPr>
                <w:b/>
              </w:rPr>
              <w:br/>
              <w:t>Albert</w:t>
            </w:r>
            <w:r>
              <w:rPr>
                <w:b/>
              </w:rPr>
              <w:br/>
              <w:t>Duin</w:t>
            </w:r>
            <w:r>
              <w:rPr>
                <w:b/>
              </w:rPr>
              <w:br/>
            </w:r>
            <w:r>
              <w:t>(FDP)</w:t>
            </w:r>
            <w:bookmarkStart w:id="87" w:name="Frage_Nr_43"/>
            <w:bookmarkEnd w:id="87"/>
          </w:p>
        </w:tc>
        <w:tc>
          <w:tcPr>
            <w:tcW w:w="5764" w:type="dxa"/>
          </w:tcPr>
          <w:p w:rsidR="00DF1E24" w:rsidRPr="00754CFD" w:rsidRDefault="00DF1E24" w:rsidP="00CC17DE">
            <w:pPr>
              <w:pStyle w:val="LTAnfrageText"/>
            </w:pPr>
            <w:r w:rsidRPr="00754CFD">
              <w:t xml:space="preserve">Sowohl vor dem Hintergrund der Energiepartnerschaft mit der Ukraine, die u. a. dem Import von Wasserstoff dienen soll, als auch bezugnehmend auf die Anstrengungen Deutschlands mit Frankreich ein gemeinsames „Important Project of Common European Interest“ (IPCEI) abzuschließen, in dessen Rahmen Wasserstoff in Frankreich produziert werden soll, frage ich die Staatsregierung, ob sie aufgrund der hohen Nutzung der Kernenergie in diesen beiden Ländern und in anderen osteuropäischen Staaten vollkommen ausschließen kann, dass innerhalb der deutschen und bayerischen Wasserstoffstrategie kein </w:t>
            </w:r>
            <w:r w:rsidR="00CC17DE">
              <w:t>„</w:t>
            </w:r>
            <w:r w:rsidRPr="00754CFD">
              <w:t>gelber</w:t>
            </w:r>
            <w:r w:rsidR="00CC17DE">
              <w:t>“</w:t>
            </w:r>
            <w:r w:rsidRPr="00754CFD">
              <w:t xml:space="preserve"> Wasserstoff, welcher durch Atomstrom herg</w:t>
            </w:r>
            <w:r w:rsidR="00417969">
              <w:t xml:space="preserve">estellt wurde, importiert wird, </w:t>
            </w:r>
            <w:r w:rsidRPr="00754CFD">
              <w:t xml:space="preserve">was ein Überangebot von </w:t>
            </w:r>
            <w:r w:rsidR="00CC17DE">
              <w:t>„</w:t>
            </w:r>
            <w:r w:rsidRPr="00754CFD">
              <w:t>gelbem</w:t>
            </w:r>
            <w:r w:rsidR="00CC17DE">
              <w:t>“</w:t>
            </w:r>
            <w:r w:rsidRPr="00754CFD">
              <w:t xml:space="preserve"> Wasserstoff auf dem internationalen Markt für die angepeilten Importquoten Bayerns bedeuten würde und ob der Freistaat bei nur geringen Importmengen an </w:t>
            </w:r>
            <w:r w:rsidR="00CC17DE">
              <w:t>„</w:t>
            </w:r>
            <w:r w:rsidRPr="00754CFD">
              <w:t>grünem</w:t>
            </w:r>
            <w:r w:rsidR="00CC17DE">
              <w:t>“</w:t>
            </w:r>
            <w:r w:rsidRPr="00754CFD">
              <w:t xml:space="preserve"> Wasserstoff auf dem internationalen Markt bei gleichzeitiger Nutzungsverweigerung von </w:t>
            </w:r>
            <w:r w:rsidR="00CC17DE">
              <w:t>„</w:t>
            </w:r>
            <w:r w:rsidRPr="00754CFD">
              <w:t>blauem</w:t>
            </w:r>
            <w:r w:rsidR="00CC17DE">
              <w:t>“</w:t>
            </w:r>
            <w:r w:rsidRPr="00754CFD">
              <w:t xml:space="preserve"> Wasserstoff indirekt den Übergang in eine Wasserstoffwirtschaft verzögern würde?</w:t>
            </w:r>
          </w:p>
        </w:tc>
        <w:tc>
          <w:tcPr>
            <w:tcW w:w="5764" w:type="dxa"/>
          </w:tcPr>
          <w:p w:rsidR="00DF1E24" w:rsidRDefault="00DF1E24" w:rsidP="00DF1E24">
            <w:pPr>
              <w:pStyle w:val="LTAnfrageText"/>
            </w:pPr>
          </w:p>
        </w:tc>
      </w:tr>
    </w:tbl>
    <w:p w:rsidR="00041CAD" w:rsidRDefault="00041CAD" w:rsidP="00041CAD">
      <w:pPr>
        <w:pStyle w:val="LTUeberschrAntwortRessort"/>
      </w:pPr>
      <w:r>
        <w:t>Antwort des Staatsministeriums für Wirtschaft, Landesentwicklung und Energie</w:t>
      </w:r>
    </w:p>
    <w:p w:rsidR="00041CAD" w:rsidRDefault="00041CAD" w:rsidP="00041CAD">
      <w:pPr>
        <w:pStyle w:val="LTAntwortRessortText"/>
      </w:pPr>
      <w:r>
        <w:t xml:space="preserve">Die Bayerische Wasserstoffstrategie verfolgt einen technologieoffenen Ansatz und ist nicht auf einzelne Verfahren oder Wasserstofftechnologien begrenzt. Zielrichtung ist aus energie- und industriepolitischen Gründen jedoch </w:t>
      </w:r>
      <w:r w:rsidR="00BD06F4">
        <w:t>„</w:t>
      </w:r>
      <w:r>
        <w:t>grüner</w:t>
      </w:r>
      <w:r w:rsidR="00BD06F4">
        <w:t>“</w:t>
      </w:r>
      <w:r>
        <w:t>, CO</w:t>
      </w:r>
      <w:r w:rsidRPr="00417969">
        <w:rPr>
          <w:vertAlign w:val="subscript"/>
        </w:rPr>
        <w:t>2</w:t>
      </w:r>
      <w:r>
        <w:t>-freier Wasserstoff auf Basis erneuerbarer Energien. Damit verbunden sind hohe Wachstumschancen für die bayerische Industrie durch die Entwicklung und Produktion weltweit führender Technologien. Gelber, auf Kernenergie basierender Wasserstoff ist dabei keine Option.</w:t>
      </w:r>
    </w:p>
    <w:p w:rsidR="00041CAD" w:rsidRDefault="00041CAD" w:rsidP="00245108">
      <w:pPr>
        <w:pStyle w:val="LTAntwortRessortText"/>
        <w:spacing w:before="0"/>
      </w:pPr>
      <w:r>
        <w:t xml:space="preserve">Im Übrigen wird die Haltung der Bundesregierung </w:t>
      </w:r>
      <w:r w:rsidR="00417969">
        <w:t>im Rahmen der nationalen Wasser</w:t>
      </w:r>
      <w:r>
        <w:t>stoffstrategie geteilt, dass sich in den nächsten zehn Jahren ein globaler</w:t>
      </w:r>
      <w:r w:rsidR="00417969">
        <w:t xml:space="preserve"> und europäi</w:t>
      </w:r>
      <w:r>
        <w:t>scher Wasserstoffmarkt herausbilden wird, auf dem auch CO</w:t>
      </w:r>
      <w:r w:rsidRPr="00417969">
        <w:rPr>
          <w:vertAlign w:val="subscript"/>
        </w:rPr>
        <w:t>2</w:t>
      </w:r>
      <w:r>
        <w:t xml:space="preserve">-neutraler, </w:t>
      </w:r>
      <w:r w:rsidR="00BD06F4">
        <w:t>„</w:t>
      </w:r>
      <w:r>
        <w:t>blauer</w:t>
      </w:r>
      <w:r w:rsidR="00BD06F4">
        <w:t>“</w:t>
      </w:r>
      <w:r>
        <w:t xml:space="preserve"> Wasserstoff gehandelt werden wird. Aufgrund der engen Einbindung von Deutschland in die europäische Energieversorgungsinfrastruktur wird daher auch in Deutschland CO</w:t>
      </w:r>
      <w:r w:rsidRPr="00417969">
        <w:rPr>
          <w:vertAlign w:val="subscript"/>
        </w:rPr>
        <w:t>2</w:t>
      </w:r>
      <w:r>
        <w:t>-neutraler Wasserstoff eine Rolle spielen und,</w:t>
      </w:r>
      <w:r w:rsidR="00417969">
        <w:t xml:space="preserve"> wenn verfügbar, auch übergangs</w:t>
      </w:r>
      <w:r>
        <w:t>weise genutzt werden.</w:t>
      </w:r>
    </w:p>
    <w:p w:rsidR="00041CAD" w:rsidRDefault="00041CAD">
      <w:bookmarkStart w:id="88" w:name="Frage_Nr_43_Ende"/>
      <w:bookmarkEnd w:id="8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F1E24" w:rsidTr="00DF1E24">
        <w:tc>
          <w:tcPr>
            <w:tcW w:w="1854" w:type="dxa"/>
          </w:tcPr>
          <w:p w:rsidR="00DF1E24" w:rsidRDefault="00DF1E24" w:rsidP="00DF1E24">
            <w:pPr>
              <w:pStyle w:val="LTAnfrageInitiator"/>
            </w:pPr>
            <w:r>
              <w:t>Abgeordnete</w:t>
            </w:r>
            <w:r>
              <w:rPr>
                <w:b/>
              </w:rPr>
              <w:br/>
              <w:t>Martina</w:t>
            </w:r>
            <w:r>
              <w:rPr>
                <w:b/>
              </w:rPr>
              <w:br/>
              <w:t>Fehlner</w:t>
            </w:r>
            <w:r>
              <w:rPr>
                <w:b/>
              </w:rPr>
              <w:br/>
            </w:r>
            <w:r>
              <w:t>(SPD)</w:t>
            </w:r>
            <w:bookmarkStart w:id="89" w:name="Frage_Nr_44"/>
            <w:bookmarkEnd w:id="89"/>
          </w:p>
        </w:tc>
        <w:tc>
          <w:tcPr>
            <w:tcW w:w="5762" w:type="dxa"/>
          </w:tcPr>
          <w:p w:rsidR="00DF1E24" w:rsidRPr="00754CFD" w:rsidRDefault="00DF1E24" w:rsidP="00CC17DE">
            <w:pPr>
              <w:pStyle w:val="LTAnfrageText"/>
            </w:pPr>
            <w:r w:rsidRPr="00754CFD">
              <w:t>Da nach 20 Jahren derzeit viele Genehmigungen der ersten Generation von Photovoltaik</w:t>
            </w:r>
            <w:r w:rsidR="00CC17DE">
              <w:t>a</w:t>
            </w:r>
            <w:r w:rsidRPr="00754CFD">
              <w:t>nlagen (PV-Anlagen) mit Überschusseinspeisung auslaufen und Betreiber von hohen bürokratischen Hürden für den Weiterbetrieb für Eigennutzung und ggf. Überschusseinspeisung berichten, frage ich die Staatsregierung, wie viele PV-Anlagen 2020 und 2021 vom Ablauf der Betriebserlaubnis betroffen sind (bitte Angabe der Anlagen in den einzelnen Regierungsbezirken) wie viele davon (bitte aufgeschlüsselt nach Regierungsbezirken), nach derzeitigem Stand weiterbetrieben werden bzw. dieser Weiterbetrieb beantragt wurde und welche Möglichkeiten die Staatsregierung sieht bzw. unterstützt bzw. entsprechende Anstrengungen unternimmt, damit die Anlagen möglichst unbürokratisch und mit möglichst geringem Kostenaufwand mit niedrigschwelligem Aufwand und technisch sicher weiterbetrieben werden können (z. B. durch Beratung, einfach auffindbare Formulare, Verpflichtung der Energieversorger, den Betreibern ein Angebot für die Fortführung der Einspeisung zu machen etc.)?</w:t>
            </w:r>
          </w:p>
        </w:tc>
        <w:tc>
          <w:tcPr>
            <w:tcW w:w="5762" w:type="dxa"/>
          </w:tcPr>
          <w:p w:rsidR="00DF1E24" w:rsidRDefault="00DF1E24" w:rsidP="00DF1E24">
            <w:pPr>
              <w:pStyle w:val="LTAnfrageText"/>
            </w:pPr>
          </w:p>
        </w:tc>
      </w:tr>
    </w:tbl>
    <w:p w:rsidR="00041CAD" w:rsidRDefault="00041CAD" w:rsidP="00041CAD">
      <w:pPr>
        <w:pStyle w:val="LTUeberschrAntwortRessort"/>
      </w:pPr>
      <w:r>
        <w:t>Antwort des Staatsministeriums für Wirtschaft, Landesentwicklung und Energie</w:t>
      </w:r>
    </w:p>
    <w:p w:rsidR="00041CAD" w:rsidRDefault="00041CAD" w:rsidP="00041CAD">
      <w:pPr>
        <w:pStyle w:val="LTAntwortRessortText"/>
      </w:pPr>
      <w:r>
        <w:t xml:space="preserve">Die folgende Tabelle zeigt die Anzahl, sowie die jeweils kumulierte installierte Leistung der PV-Anlagen, bei welchen 2020, also zum 01.01.2021, und 2021, also zum 01.01.2022, die auf 20 Jahre begrenzte EEG-Vergütung </w:t>
      </w:r>
      <w:r w:rsidR="007B4CE1">
        <w:t xml:space="preserve">(EEG = Erneuerbare-Energien-Gesetz) </w:t>
      </w:r>
      <w:r>
        <w:t>ausläuft.</w:t>
      </w:r>
    </w:p>
    <w:p w:rsidR="00041CAD" w:rsidRDefault="00041CAD" w:rsidP="00041CAD">
      <w:pPr>
        <w:pStyle w:val="LTAntwortRessortText"/>
      </w:pPr>
    </w:p>
    <w:tbl>
      <w:tblPr>
        <w:tblStyle w:val="TableNormal"/>
        <w:tblW w:w="7796"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51"/>
        <w:gridCol w:w="2927"/>
        <w:gridCol w:w="3118"/>
      </w:tblGrid>
      <w:tr w:rsidR="00253747" w:rsidTr="00C7441E">
        <w:trPr>
          <w:trHeight w:val="1237"/>
        </w:trPr>
        <w:tc>
          <w:tcPr>
            <w:tcW w:w="1751" w:type="dxa"/>
          </w:tcPr>
          <w:p w:rsidR="00253747" w:rsidRPr="00253747" w:rsidRDefault="00253747" w:rsidP="00B231D9">
            <w:pPr>
              <w:pStyle w:val="TableParagraph"/>
              <w:spacing w:before="1" w:line="270" w:lineRule="atLeast"/>
              <w:ind w:left="71" w:right="32"/>
              <w:jc w:val="both"/>
              <w:rPr>
                <w:rFonts w:ascii="Arial" w:hAnsi="Arial" w:cs="Arial"/>
                <w:b/>
                <w:sz w:val="18"/>
                <w:szCs w:val="18"/>
              </w:rPr>
            </w:pPr>
            <w:r w:rsidRPr="00253747">
              <w:rPr>
                <w:rFonts w:ascii="Arial" w:hAnsi="Arial" w:cs="Arial"/>
                <w:b/>
                <w:sz w:val="18"/>
                <w:szCs w:val="18"/>
              </w:rPr>
              <w:t>Regierungsbezirk</w:t>
            </w:r>
          </w:p>
        </w:tc>
        <w:tc>
          <w:tcPr>
            <w:tcW w:w="2927" w:type="dxa"/>
            <w:tcBorders>
              <w:right w:val="single" w:sz="8" w:space="0" w:color="000000"/>
            </w:tcBorders>
          </w:tcPr>
          <w:p w:rsidR="00253747" w:rsidRPr="00253747" w:rsidRDefault="00253747" w:rsidP="00B231D9">
            <w:pPr>
              <w:pStyle w:val="TableParagraph"/>
              <w:spacing w:before="1" w:line="270" w:lineRule="atLeast"/>
              <w:ind w:left="70" w:right="302"/>
              <w:jc w:val="both"/>
              <w:rPr>
                <w:rFonts w:ascii="Arial" w:hAnsi="Arial" w:cs="Arial"/>
                <w:b/>
                <w:sz w:val="18"/>
                <w:szCs w:val="18"/>
              </w:rPr>
            </w:pPr>
            <w:r w:rsidRPr="00253747">
              <w:rPr>
                <w:rFonts w:ascii="Arial" w:hAnsi="Arial" w:cs="Arial"/>
                <w:b/>
                <w:sz w:val="18"/>
                <w:szCs w:val="18"/>
              </w:rPr>
              <w:t>Anzahl der PV-Anlagen mit auslaufender EEG-Vergütung zum 01.01.2021</w:t>
            </w:r>
          </w:p>
        </w:tc>
        <w:tc>
          <w:tcPr>
            <w:tcW w:w="3118" w:type="dxa"/>
            <w:tcBorders>
              <w:left w:val="single" w:sz="8" w:space="0" w:color="000000"/>
            </w:tcBorders>
          </w:tcPr>
          <w:p w:rsidR="00253747" w:rsidRPr="00253747" w:rsidRDefault="00253747" w:rsidP="00B231D9">
            <w:pPr>
              <w:pStyle w:val="TableParagraph"/>
              <w:spacing w:before="1" w:line="270" w:lineRule="atLeast"/>
              <w:ind w:left="70" w:right="302"/>
              <w:jc w:val="both"/>
              <w:rPr>
                <w:rFonts w:ascii="Arial" w:hAnsi="Arial" w:cs="Arial"/>
                <w:b/>
                <w:sz w:val="18"/>
                <w:szCs w:val="18"/>
              </w:rPr>
            </w:pPr>
            <w:r w:rsidRPr="00253747">
              <w:rPr>
                <w:rFonts w:ascii="Arial" w:hAnsi="Arial" w:cs="Arial"/>
                <w:b/>
                <w:sz w:val="18"/>
                <w:szCs w:val="18"/>
              </w:rPr>
              <w:t>Installierte Leistung (MW) der PV-Anlagen mit auslaufender EEG-Vergütung zum 01.01.2021</w:t>
            </w:r>
          </w:p>
        </w:tc>
      </w:tr>
      <w:tr w:rsidR="00253747" w:rsidTr="00C7441E">
        <w:trPr>
          <w:trHeight w:val="306"/>
        </w:trPr>
        <w:tc>
          <w:tcPr>
            <w:tcW w:w="1751" w:type="dxa"/>
            <w:tcBorders>
              <w:bottom w:val="single" w:sz="4" w:space="0" w:color="000000"/>
            </w:tcBorders>
          </w:tcPr>
          <w:p w:rsidR="00253747" w:rsidRPr="00253747" w:rsidRDefault="00253747" w:rsidP="007D4274">
            <w:pPr>
              <w:pStyle w:val="TableParagraph"/>
              <w:spacing w:before="28"/>
              <w:ind w:left="71"/>
              <w:jc w:val="center"/>
              <w:rPr>
                <w:rFonts w:ascii="Arial" w:hAnsi="Arial" w:cs="Arial"/>
                <w:b/>
                <w:sz w:val="18"/>
                <w:szCs w:val="18"/>
              </w:rPr>
            </w:pPr>
            <w:r w:rsidRPr="00253747">
              <w:rPr>
                <w:rFonts w:ascii="Arial" w:hAnsi="Arial" w:cs="Arial"/>
                <w:b/>
                <w:sz w:val="18"/>
                <w:szCs w:val="18"/>
              </w:rPr>
              <w:t>Oberbayern</w:t>
            </w:r>
          </w:p>
        </w:tc>
        <w:tc>
          <w:tcPr>
            <w:tcW w:w="2927" w:type="dxa"/>
            <w:tcBorders>
              <w:bottom w:val="single" w:sz="4" w:space="0" w:color="000000"/>
              <w:righ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1</w:t>
            </w:r>
            <w:r w:rsidR="007B4CE1">
              <w:rPr>
                <w:rFonts w:ascii="Arial" w:hAnsi="Arial" w:cs="Arial"/>
                <w:sz w:val="18"/>
                <w:szCs w:val="18"/>
              </w:rPr>
              <w:t> </w:t>
            </w:r>
            <w:r w:rsidRPr="00B231D9">
              <w:rPr>
                <w:rFonts w:ascii="Arial" w:hAnsi="Arial" w:cs="Arial"/>
                <w:sz w:val="18"/>
                <w:szCs w:val="18"/>
              </w:rPr>
              <w:t>627</w:t>
            </w:r>
          </w:p>
        </w:tc>
        <w:tc>
          <w:tcPr>
            <w:tcW w:w="3118" w:type="dxa"/>
            <w:tcBorders>
              <w:left w:val="single" w:sz="8" w:space="0" w:color="000000"/>
              <w:bottom w:val="single" w:sz="4"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6,3</w:t>
            </w:r>
          </w:p>
        </w:tc>
      </w:tr>
      <w:tr w:rsidR="00253747" w:rsidTr="00C7441E">
        <w:trPr>
          <w:trHeight w:val="304"/>
        </w:trPr>
        <w:tc>
          <w:tcPr>
            <w:tcW w:w="1751" w:type="dxa"/>
            <w:tcBorders>
              <w:top w:val="single" w:sz="4" w:space="0" w:color="000000"/>
              <w:bottom w:val="single" w:sz="4" w:space="0" w:color="000000"/>
            </w:tcBorders>
            <w:shd w:val="clear" w:color="auto" w:fill="DDEBF7"/>
          </w:tcPr>
          <w:p w:rsidR="00253747" w:rsidRPr="00253747" w:rsidRDefault="00253747" w:rsidP="007D4274">
            <w:pPr>
              <w:pStyle w:val="TableParagraph"/>
              <w:ind w:right="133"/>
              <w:jc w:val="center"/>
              <w:rPr>
                <w:rFonts w:ascii="Arial" w:hAnsi="Arial" w:cs="Arial"/>
                <w:b/>
                <w:sz w:val="18"/>
                <w:szCs w:val="18"/>
              </w:rPr>
            </w:pPr>
            <w:r w:rsidRPr="00253747">
              <w:rPr>
                <w:rFonts w:ascii="Arial" w:hAnsi="Arial" w:cs="Arial"/>
                <w:b/>
                <w:sz w:val="18"/>
                <w:szCs w:val="18"/>
              </w:rPr>
              <w:t>Niederbayern</w:t>
            </w:r>
          </w:p>
        </w:tc>
        <w:tc>
          <w:tcPr>
            <w:tcW w:w="2927" w:type="dxa"/>
            <w:tcBorders>
              <w:top w:val="single" w:sz="4" w:space="0" w:color="000000"/>
              <w:bottom w:val="single" w:sz="4" w:space="0" w:color="000000"/>
              <w:right w:val="single" w:sz="8" w:space="0" w:color="000000"/>
            </w:tcBorders>
            <w:shd w:val="clear" w:color="auto" w:fill="DDEBF7"/>
          </w:tcPr>
          <w:p w:rsidR="00253747" w:rsidRPr="00B231D9" w:rsidRDefault="00253747" w:rsidP="007D4274">
            <w:pPr>
              <w:pStyle w:val="TableParagraph"/>
              <w:ind w:right="133"/>
              <w:jc w:val="center"/>
              <w:rPr>
                <w:rFonts w:ascii="Arial" w:hAnsi="Arial" w:cs="Arial"/>
                <w:sz w:val="18"/>
                <w:szCs w:val="18"/>
              </w:rPr>
            </w:pPr>
            <w:r w:rsidRPr="00B231D9">
              <w:rPr>
                <w:rFonts w:ascii="Arial" w:hAnsi="Arial" w:cs="Arial"/>
                <w:sz w:val="18"/>
                <w:szCs w:val="18"/>
              </w:rPr>
              <w:t>909</w:t>
            </w:r>
          </w:p>
        </w:tc>
        <w:tc>
          <w:tcPr>
            <w:tcW w:w="3118" w:type="dxa"/>
            <w:tcBorders>
              <w:top w:val="single" w:sz="4" w:space="0" w:color="000000"/>
              <w:left w:val="single" w:sz="8" w:space="0" w:color="000000"/>
              <w:bottom w:val="single" w:sz="4" w:space="0" w:color="000000"/>
            </w:tcBorders>
            <w:shd w:val="clear" w:color="auto" w:fill="DDEBF7"/>
          </w:tcPr>
          <w:p w:rsidR="00253747" w:rsidRPr="00B231D9" w:rsidRDefault="00253747" w:rsidP="007D4274">
            <w:pPr>
              <w:pStyle w:val="TableParagraph"/>
              <w:ind w:right="133"/>
              <w:jc w:val="center"/>
              <w:rPr>
                <w:rFonts w:ascii="Arial" w:hAnsi="Arial" w:cs="Arial"/>
                <w:sz w:val="18"/>
                <w:szCs w:val="18"/>
              </w:rPr>
            </w:pPr>
            <w:r w:rsidRPr="00B231D9">
              <w:rPr>
                <w:rFonts w:ascii="Arial" w:hAnsi="Arial" w:cs="Arial"/>
                <w:sz w:val="18"/>
                <w:szCs w:val="18"/>
              </w:rPr>
              <w:t>4,3</w:t>
            </w:r>
          </w:p>
        </w:tc>
      </w:tr>
      <w:tr w:rsidR="00253747" w:rsidTr="00C7441E">
        <w:trPr>
          <w:trHeight w:val="304"/>
        </w:trPr>
        <w:tc>
          <w:tcPr>
            <w:tcW w:w="1751" w:type="dxa"/>
            <w:tcBorders>
              <w:top w:val="single" w:sz="4" w:space="0" w:color="000000"/>
              <w:bottom w:val="single" w:sz="4" w:space="0" w:color="000000"/>
            </w:tcBorders>
          </w:tcPr>
          <w:p w:rsidR="00253747" w:rsidRPr="00253747" w:rsidRDefault="00253747" w:rsidP="007D4274">
            <w:pPr>
              <w:pStyle w:val="TableParagraph"/>
              <w:ind w:left="138"/>
              <w:jc w:val="center"/>
              <w:rPr>
                <w:rFonts w:ascii="Arial" w:hAnsi="Arial" w:cs="Arial"/>
                <w:b/>
                <w:sz w:val="18"/>
                <w:szCs w:val="18"/>
              </w:rPr>
            </w:pPr>
            <w:r w:rsidRPr="00253747">
              <w:rPr>
                <w:rFonts w:ascii="Arial" w:hAnsi="Arial" w:cs="Arial"/>
                <w:b/>
                <w:sz w:val="18"/>
                <w:szCs w:val="18"/>
              </w:rPr>
              <w:t>Oberpfalz</w:t>
            </w:r>
          </w:p>
        </w:tc>
        <w:tc>
          <w:tcPr>
            <w:tcW w:w="2927" w:type="dxa"/>
            <w:tcBorders>
              <w:top w:val="single" w:sz="4" w:space="0" w:color="000000"/>
              <w:bottom w:val="single" w:sz="4" w:space="0" w:color="000000"/>
              <w:righ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424</w:t>
            </w:r>
          </w:p>
        </w:tc>
        <w:tc>
          <w:tcPr>
            <w:tcW w:w="3118" w:type="dxa"/>
            <w:tcBorders>
              <w:top w:val="single" w:sz="4" w:space="0" w:color="000000"/>
              <w:left w:val="single" w:sz="8" w:space="0" w:color="000000"/>
              <w:bottom w:val="single" w:sz="4"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2,1</w:t>
            </w:r>
          </w:p>
        </w:tc>
      </w:tr>
      <w:tr w:rsidR="00253747" w:rsidTr="00C7441E">
        <w:trPr>
          <w:trHeight w:val="306"/>
        </w:trPr>
        <w:tc>
          <w:tcPr>
            <w:tcW w:w="1751" w:type="dxa"/>
            <w:tcBorders>
              <w:top w:val="single" w:sz="4" w:space="0" w:color="000000"/>
              <w:bottom w:val="single" w:sz="4" w:space="0" w:color="000000"/>
            </w:tcBorders>
            <w:shd w:val="clear" w:color="auto" w:fill="DDEBF7"/>
          </w:tcPr>
          <w:p w:rsidR="00253747" w:rsidRPr="00253747" w:rsidRDefault="00253747" w:rsidP="007D4274">
            <w:pPr>
              <w:pStyle w:val="TableParagraph"/>
              <w:spacing w:before="29"/>
              <w:ind w:left="138"/>
              <w:jc w:val="center"/>
              <w:rPr>
                <w:rFonts w:ascii="Arial" w:hAnsi="Arial" w:cs="Arial"/>
                <w:b/>
                <w:sz w:val="18"/>
                <w:szCs w:val="18"/>
              </w:rPr>
            </w:pPr>
            <w:r w:rsidRPr="00253747">
              <w:rPr>
                <w:rFonts w:ascii="Arial" w:hAnsi="Arial" w:cs="Arial"/>
                <w:b/>
                <w:sz w:val="18"/>
                <w:szCs w:val="18"/>
              </w:rPr>
              <w:t>Oberfranken</w:t>
            </w:r>
          </w:p>
        </w:tc>
        <w:tc>
          <w:tcPr>
            <w:tcW w:w="2927" w:type="dxa"/>
            <w:tcBorders>
              <w:top w:val="single" w:sz="4" w:space="0" w:color="000000"/>
              <w:bottom w:val="single" w:sz="4" w:space="0" w:color="000000"/>
              <w:right w:val="single" w:sz="8" w:space="0" w:color="000000"/>
            </w:tcBorders>
            <w:shd w:val="clear" w:color="auto" w:fill="DDEBF7"/>
          </w:tcPr>
          <w:p w:rsidR="00253747" w:rsidRPr="00B231D9" w:rsidRDefault="00253747" w:rsidP="007D4274">
            <w:pPr>
              <w:pStyle w:val="TableParagraph"/>
              <w:ind w:right="133"/>
              <w:jc w:val="center"/>
              <w:rPr>
                <w:rFonts w:ascii="Arial" w:hAnsi="Arial" w:cs="Arial"/>
                <w:sz w:val="18"/>
                <w:szCs w:val="18"/>
              </w:rPr>
            </w:pPr>
            <w:r w:rsidRPr="00B231D9">
              <w:rPr>
                <w:rFonts w:ascii="Arial" w:hAnsi="Arial" w:cs="Arial"/>
                <w:sz w:val="18"/>
                <w:szCs w:val="18"/>
              </w:rPr>
              <w:t>350</w:t>
            </w:r>
          </w:p>
        </w:tc>
        <w:tc>
          <w:tcPr>
            <w:tcW w:w="3118" w:type="dxa"/>
            <w:tcBorders>
              <w:top w:val="single" w:sz="4" w:space="0" w:color="000000"/>
              <w:left w:val="single" w:sz="8" w:space="0" w:color="000000"/>
              <w:bottom w:val="single" w:sz="4" w:space="0" w:color="000000"/>
            </w:tcBorders>
            <w:shd w:val="clear" w:color="auto" w:fill="DDEBF7"/>
          </w:tcPr>
          <w:p w:rsidR="00253747" w:rsidRPr="00B231D9" w:rsidRDefault="00253747" w:rsidP="007D4274">
            <w:pPr>
              <w:pStyle w:val="TableParagraph"/>
              <w:ind w:right="133"/>
              <w:jc w:val="center"/>
              <w:rPr>
                <w:rFonts w:ascii="Arial" w:hAnsi="Arial" w:cs="Arial"/>
                <w:sz w:val="18"/>
                <w:szCs w:val="18"/>
              </w:rPr>
            </w:pPr>
            <w:r w:rsidRPr="00B231D9">
              <w:rPr>
                <w:rFonts w:ascii="Arial" w:hAnsi="Arial" w:cs="Arial"/>
                <w:sz w:val="18"/>
                <w:szCs w:val="18"/>
              </w:rPr>
              <w:t>1,1</w:t>
            </w:r>
          </w:p>
        </w:tc>
      </w:tr>
      <w:tr w:rsidR="00253747" w:rsidTr="00C7441E">
        <w:trPr>
          <w:trHeight w:val="304"/>
        </w:trPr>
        <w:tc>
          <w:tcPr>
            <w:tcW w:w="1751" w:type="dxa"/>
            <w:tcBorders>
              <w:top w:val="single" w:sz="4" w:space="0" w:color="000000"/>
              <w:bottom w:val="single" w:sz="4" w:space="0" w:color="000000"/>
            </w:tcBorders>
          </w:tcPr>
          <w:p w:rsidR="00253747" w:rsidRPr="00253747" w:rsidRDefault="00253747" w:rsidP="007D4274">
            <w:pPr>
              <w:pStyle w:val="TableParagraph"/>
              <w:ind w:right="168"/>
              <w:jc w:val="center"/>
              <w:rPr>
                <w:rFonts w:ascii="Arial" w:hAnsi="Arial" w:cs="Arial"/>
                <w:b/>
                <w:sz w:val="18"/>
                <w:szCs w:val="18"/>
              </w:rPr>
            </w:pPr>
            <w:r w:rsidRPr="00253747">
              <w:rPr>
                <w:rFonts w:ascii="Arial" w:hAnsi="Arial" w:cs="Arial"/>
                <w:b/>
                <w:sz w:val="18"/>
                <w:szCs w:val="18"/>
              </w:rPr>
              <w:t>Mittelfranken</w:t>
            </w:r>
          </w:p>
        </w:tc>
        <w:tc>
          <w:tcPr>
            <w:tcW w:w="2927" w:type="dxa"/>
            <w:tcBorders>
              <w:top w:val="single" w:sz="4" w:space="0" w:color="000000"/>
              <w:bottom w:val="single" w:sz="4" w:space="0" w:color="000000"/>
              <w:righ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1</w:t>
            </w:r>
            <w:r w:rsidR="007B4CE1">
              <w:rPr>
                <w:rFonts w:ascii="Arial" w:hAnsi="Arial" w:cs="Arial"/>
                <w:sz w:val="18"/>
                <w:szCs w:val="18"/>
              </w:rPr>
              <w:t> </w:t>
            </w:r>
            <w:r w:rsidRPr="00B231D9">
              <w:rPr>
                <w:rFonts w:ascii="Arial" w:hAnsi="Arial" w:cs="Arial"/>
                <w:sz w:val="18"/>
                <w:szCs w:val="18"/>
              </w:rPr>
              <w:t>248</w:t>
            </w:r>
          </w:p>
        </w:tc>
        <w:tc>
          <w:tcPr>
            <w:tcW w:w="3118" w:type="dxa"/>
            <w:tcBorders>
              <w:top w:val="single" w:sz="4" w:space="0" w:color="000000"/>
              <w:left w:val="single" w:sz="8" w:space="0" w:color="000000"/>
              <w:bottom w:val="single" w:sz="4"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4,9</w:t>
            </w:r>
          </w:p>
        </w:tc>
      </w:tr>
      <w:tr w:rsidR="00253747" w:rsidTr="00C7441E">
        <w:trPr>
          <w:trHeight w:val="304"/>
        </w:trPr>
        <w:tc>
          <w:tcPr>
            <w:tcW w:w="1751" w:type="dxa"/>
            <w:tcBorders>
              <w:top w:val="single" w:sz="4" w:space="0" w:color="000000"/>
              <w:bottom w:val="single" w:sz="4" w:space="0" w:color="000000"/>
            </w:tcBorders>
            <w:shd w:val="clear" w:color="auto" w:fill="DDEBF7"/>
          </w:tcPr>
          <w:p w:rsidR="00253747" w:rsidRPr="00253747" w:rsidRDefault="00253747" w:rsidP="007D4274">
            <w:pPr>
              <w:pStyle w:val="TableParagraph"/>
              <w:ind w:right="168"/>
              <w:jc w:val="center"/>
              <w:rPr>
                <w:rFonts w:ascii="Arial" w:hAnsi="Arial" w:cs="Arial"/>
                <w:b/>
                <w:sz w:val="18"/>
                <w:szCs w:val="18"/>
              </w:rPr>
            </w:pPr>
            <w:r w:rsidRPr="00253747">
              <w:rPr>
                <w:rFonts w:ascii="Arial" w:hAnsi="Arial" w:cs="Arial"/>
                <w:b/>
                <w:sz w:val="18"/>
                <w:szCs w:val="18"/>
              </w:rPr>
              <w:t>Unterfranken</w:t>
            </w:r>
          </w:p>
        </w:tc>
        <w:tc>
          <w:tcPr>
            <w:tcW w:w="2927" w:type="dxa"/>
            <w:tcBorders>
              <w:top w:val="single" w:sz="4" w:space="0" w:color="000000"/>
              <w:bottom w:val="single" w:sz="4" w:space="0" w:color="000000"/>
              <w:right w:val="single" w:sz="8" w:space="0" w:color="000000"/>
            </w:tcBorders>
            <w:shd w:val="clear" w:color="auto" w:fill="DDEBF7"/>
          </w:tcPr>
          <w:p w:rsidR="00253747" w:rsidRPr="00B231D9" w:rsidRDefault="00253747" w:rsidP="007D4274">
            <w:pPr>
              <w:pStyle w:val="TableParagraph"/>
              <w:ind w:right="133"/>
              <w:jc w:val="center"/>
              <w:rPr>
                <w:rFonts w:ascii="Arial" w:hAnsi="Arial" w:cs="Arial"/>
                <w:sz w:val="18"/>
                <w:szCs w:val="18"/>
              </w:rPr>
            </w:pPr>
            <w:r w:rsidRPr="00B231D9">
              <w:rPr>
                <w:rFonts w:ascii="Arial" w:hAnsi="Arial" w:cs="Arial"/>
                <w:sz w:val="18"/>
                <w:szCs w:val="18"/>
              </w:rPr>
              <w:t>342</w:t>
            </w:r>
          </w:p>
        </w:tc>
        <w:tc>
          <w:tcPr>
            <w:tcW w:w="3118" w:type="dxa"/>
            <w:tcBorders>
              <w:top w:val="single" w:sz="4" w:space="0" w:color="000000"/>
              <w:left w:val="single" w:sz="8" w:space="0" w:color="000000"/>
              <w:bottom w:val="single" w:sz="4" w:space="0" w:color="000000"/>
            </w:tcBorders>
            <w:shd w:val="clear" w:color="auto" w:fill="DDEBF7"/>
          </w:tcPr>
          <w:p w:rsidR="00253747" w:rsidRPr="00B231D9" w:rsidRDefault="00253747" w:rsidP="007D4274">
            <w:pPr>
              <w:pStyle w:val="TableParagraph"/>
              <w:ind w:right="133"/>
              <w:jc w:val="center"/>
              <w:rPr>
                <w:rFonts w:ascii="Arial" w:hAnsi="Arial" w:cs="Arial"/>
                <w:sz w:val="18"/>
                <w:szCs w:val="18"/>
              </w:rPr>
            </w:pPr>
            <w:r w:rsidRPr="00B231D9">
              <w:rPr>
                <w:rFonts w:ascii="Arial" w:hAnsi="Arial" w:cs="Arial"/>
                <w:sz w:val="18"/>
                <w:szCs w:val="18"/>
              </w:rPr>
              <w:t>1,1</w:t>
            </w:r>
          </w:p>
        </w:tc>
      </w:tr>
      <w:tr w:rsidR="00253747" w:rsidTr="00C7441E">
        <w:trPr>
          <w:trHeight w:val="320"/>
        </w:trPr>
        <w:tc>
          <w:tcPr>
            <w:tcW w:w="1751" w:type="dxa"/>
            <w:tcBorders>
              <w:top w:val="single" w:sz="4" w:space="0" w:color="000000"/>
            </w:tcBorders>
          </w:tcPr>
          <w:p w:rsidR="00253747" w:rsidRPr="00253747" w:rsidRDefault="00253747" w:rsidP="007D4274">
            <w:pPr>
              <w:pStyle w:val="TableParagraph"/>
              <w:spacing w:before="43" w:line="257" w:lineRule="exact"/>
              <w:ind w:left="138"/>
              <w:jc w:val="center"/>
              <w:rPr>
                <w:rFonts w:ascii="Arial" w:hAnsi="Arial" w:cs="Arial"/>
                <w:b/>
                <w:sz w:val="18"/>
                <w:szCs w:val="18"/>
              </w:rPr>
            </w:pPr>
            <w:r w:rsidRPr="00253747">
              <w:rPr>
                <w:rFonts w:ascii="Arial" w:hAnsi="Arial" w:cs="Arial"/>
                <w:b/>
                <w:sz w:val="18"/>
                <w:szCs w:val="18"/>
              </w:rPr>
              <w:t>Schwaben</w:t>
            </w:r>
          </w:p>
        </w:tc>
        <w:tc>
          <w:tcPr>
            <w:tcW w:w="2927" w:type="dxa"/>
            <w:tcBorders>
              <w:top w:val="single" w:sz="4" w:space="0" w:color="000000"/>
              <w:righ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599</w:t>
            </w:r>
          </w:p>
        </w:tc>
        <w:tc>
          <w:tcPr>
            <w:tcW w:w="3118" w:type="dxa"/>
            <w:tcBorders>
              <w:top w:val="single" w:sz="4" w:space="0" w:color="000000"/>
              <w:lef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2,8</w:t>
            </w:r>
          </w:p>
        </w:tc>
      </w:tr>
      <w:tr w:rsidR="00253747" w:rsidTr="00C7441E">
        <w:trPr>
          <w:trHeight w:val="323"/>
        </w:trPr>
        <w:tc>
          <w:tcPr>
            <w:tcW w:w="1751" w:type="dxa"/>
          </w:tcPr>
          <w:p w:rsidR="00253747" w:rsidRPr="00253747" w:rsidRDefault="00253747" w:rsidP="007D4274">
            <w:pPr>
              <w:pStyle w:val="TableParagraph"/>
              <w:spacing w:before="43" w:line="260" w:lineRule="exact"/>
              <w:ind w:left="71"/>
              <w:jc w:val="center"/>
              <w:rPr>
                <w:rFonts w:ascii="Arial" w:hAnsi="Arial" w:cs="Arial"/>
                <w:b/>
                <w:sz w:val="18"/>
                <w:szCs w:val="18"/>
              </w:rPr>
            </w:pPr>
            <w:r w:rsidRPr="00253747">
              <w:rPr>
                <w:rFonts w:ascii="Arial" w:hAnsi="Arial" w:cs="Arial"/>
                <w:b/>
                <w:sz w:val="18"/>
                <w:szCs w:val="18"/>
              </w:rPr>
              <w:t>Gesamt</w:t>
            </w:r>
          </w:p>
        </w:tc>
        <w:tc>
          <w:tcPr>
            <w:tcW w:w="2927" w:type="dxa"/>
            <w:tcBorders>
              <w:righ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5</w:t>
            </w:r>
            <w:r w:rsidR="007B4CE1">
              <w:rPr>
                <w:rFonts w:ascii="Arial" w:hAnsi="Arial" w:cs="Arial"/>
                <w:sz w:val="18"/>
                <w:szCs w:val="18"/>
              </w:rPr>
              <w:t> </w:t>
            </w:r>
            <w:r w:rsidRPr="00B231D9">
              <w:rPr>
                <w:rFonts w:ascii="Arial" w:hAnsi="Arial" w:cs="Arial"/>
                <w:sz w:val="18"/>
                <w:szCs w:val="18"/>
              </w:rPr>
              <w:t>499</w:t>
            </w:r>
          </w:p>
        </w:tc>
        <w:tc>
          <w:tcPr>
            <w:tcW w:w="3118" w:type="dxa"/>
            <w:tcBorders>
              <w:left w:val="single" w:sz="8" w:space="0" w:color="000000"/>
            </w:tcBorders>
          </w:tcPr>
          <w:p w:rsidR="00253747" w:rsidRPr="00B231D9" w:rsidRDefault="00253747" w:rsidP="007D4274">
            <w:pPr>
              <w:pStyle w:val="TableParagraph"/>
              <w:spacing w:before="28"/>
              <w:ind w:left="71"/>
              <w:jc w:val="center"/>
              <w:rPr>
                <w:rFonts w:ascii="Arial" w:hAnsi="Arial" w:cs="Arial"/>
                <w:sz w:val="18"/>
                <w:szCs w:val="18"/>
              </w:rPr>
            </w:pPr>
            <w:r w:rsidRPr="00B231D9">
              <w:rPr>
                <w:rFonts w:ascii="Arial" w:hAnsi="Arial" w:cs="Arial"/>
                <w:sz w:val="18"/>
                <w:szCs w:val="18"/>
              </w:rPr>
              <w:t>23</w:t>
            </w:r>
          </w:p>
        </w:tc>
      </w:tr>
    </w:tbl>
    <w:p w:rsidR="00041CAD" w:rsidRDefault="00041CAD" w:rsidP="00041CAD">
      <w:pPr>
        <w:pStyle w:val="LTAntwortRessortText"/>
      </w:pPr>
    </w:p>
    <w:p w:rsidR="00C7441E" w:rsidRDefault="00C7441E" w:rsidP="00041CAD">
      <w:pPr>
        <w:pStyle w:val="LTAntwortRessortText"/>
      </w:pPr>
    </w:p>
    <w:tbl>
      <w:tblPr>
        <w:tblStyle w:val="TableNormal"/>
        <w:tblW w:w="7796"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51"/>
        <w:gridCol w:w="2927"/>
        <w:gridCol w:w="3118"/>
      </w:tblGrid>
      <w:tr w:rsidR="00253747" w:rsidTr="00C7441E">
        <w:trPr>
          <w:trHeight w:val="1254"/>
        </w:trPr>
        <w:tc>
          <w:tcPr>
            <w:tcW w:w="1751" w:type="dxa"/>
          </w:tcPr>
          <w:p w:rsidR="00253747" w:rsidRPr="00C7441E" w:rsidRDefault="007B4CE1" w:rsidP="00E62AC3">
            <w:pPr>
              <w:pStyle w:val="TableParagraph"/>
              <w:spacing w:before="0" w:line="270" w:lineRule="atLeast"/>
              <w:ind w:left="71" w:right="32"/>
              <w:rPr>
                <w:rFonts w:ascii="Arial" w:hAnsi="Arial" w:cs="Arial"/>
                <w:b/>
                <w:sz w:val="18"/>
                <w:szCs w:val="18"/>
              </w:rPr>
            </w:pPr>
            <w:r>
              <w:rPr>
                <w:rFonts w:ascii="Arial" w:hAnsi="Arial" w:cs="Arial"/>
                <w:b/>
                <w:sz w:val="18"/>
                <w:szCs w:val="18"/>
              </w:rPr>
              <w:t>Regierungsbe</w:t>
            </w:r>
            <w:r w:rsidR="00253747" w:rsidRPr="00C7441E">
              <w:rPr>
                <w:rFonts w:ascii="Arial" w:hAnsi="Arial" w:cs="Arial"/>
                <w:b/>
                <w:sz w:val="18"/>
                <w:szCs w:val="18"/>
              </w:rPr>
              <w:t>zirk</w:t>
            </w:r>
          </w:p>
        </w:tc>
        <w:tc>
          <w:tcPr>
            <w:tcW w:w="2927" w:type="dxa"/>
            <w:tcBorders>
              <w:right w:val="single" w:sz="8" w:space="0" w:color="000000"/>
            </w:tcBorders>
          </w:tcPr>
          <w:p w:rsidR="00253747" w:rsidRPr="00C7441E" w:rsidRDefault="00253747" w:rsidP="007B4CE1">
            <w:pPr>
              <w:pStyle w:val="TableParagraph"/>
              <w:spacing w:before="0" w:line="270" w:lineRule="atLeast"/>
              <w:ind w:left="70" w:right="41"/>
              <w:rPr>
                <w:rFonts w:ascii="Arial" w:hAnsi="Arial" w:cs="Arial"/>
                <w:b/>
                <w:sz w:val="18"/>
                <w:szCs w:val="18"/>
              </w:rPr>
            </w:pPr>
            <w:r w:rsidRPr="00C7441E">
              <w:rPr>
                <w:rFonts w:ascii="Arial" w:hAnsi="Arial" w:cs="Arial"/>
                <w:b/>
                <w:sz w:val="18"/>
                <w:szCs w:val="18"/>
              </w:rPr>
              <w:t>Anzahl der PV-Anlagen mit aus-laufender EEG-Vergütung zum 01.01.2022</w:t>
            </w:r>
          </w:p>
        </w:tc>
        <w:tc>
          <w:tcPr>
            <w:tcW w:w="3118" w:type="dxa"/>
            <w:tcBorders>
              <w:left w:val="single" w:sz="8" w:space="0" w:color="000000"/>
            </w:tcBorders>
          </w:tcPr>
          <w:p w:rsidR="00253747" w:rsidRPr="00C7441E" w:rsidRDefault="00253747" w:rsidP="00C7441E">
            <w:pPr>
              <w:pStyle w:val="TableParagraph"/>
              <w:spacing w:before="0" w:line="270" w:lineRule="atLeast"/>
              <w:ind w:left="70" w:right="41"/>
              <w:rPr>
                <w:rFonts w:ascii="Arial" w:hAnsi="Arial" w:cs="Arial"/>
                <w:b/>
                <w:sz w:val="18"/>
                <w:szCs w:val="18"/>
              </w:rPr>
            </w:pPr>
            <w:r w:rsidRPr="00C7441E">
              <w:rPr>
                <w:rFonts w:ascii="Arial" w:hAnsi="Arial" w:cs="Arial"/>
                <w:b/>
                <w:sz w:val="18"/>
                <w:szCs w:val="18"/>
              </w:rPr>
              <w:t>Installierte Leistung (MW) der PV-Anlagen mit auslaufender EEG-Vergütung zum 01.01.2022</w:t>
            </w:r>
          </w:p>
        </w:tc>
      </w:tr>
      <w:tr w:rsidR="00253747" w:rsidTr="00C7441E">
        <w:trPr>
          <w:trHeight w:val="311"/>
        </w:trPr>
        <w:tc>
          <w:tcPr>
            <w:tcW w:w="1751" w:type="dxa"/>
            <w:tcBorders>
              <w:bottom w:val="single" w:sz="4" w:space="0" w:color="000000"/>
            </w:tcBorders>
          </w:tcPr>
          <w:p w:rsidR="00253747" w:rsidRPr="00C7441E" w:rsidRDefault="00253747" w:rsidP="007D4274">
            <w:pPr>
              <w:pStyle w:val="TableParagraph"/>
              <w:spacing w:before="33"/>
              <w:ind w:left="71"/>
              <w:jc w:val="center"/>
              <w:rPr>
                <w:rFonts w:ascii="Arial" w:hAnsi="Arial" w:cs="Arial"/>
                <w:b/>
                <w:sz w:val="18"/>
                <w:szCs w:val="18"/>
              </w:rPr>
            </w:pPr>
            <w:r w:rsidRPr="00C7441E">
              <w:rPr>
                <w:rFonts w:ascii="Arial" w:hAnsi="Arial" w:cs="Arial"/>
                <w:b/>
                <w:sz w:val="18"/>
                <w:szCs w:val="18"/>
              </w:rPr>
              <w:t>Oberbayern</w:t>
            </w:r>
          </w:p>
        </w:tc>
        <w:tc>
          <w:tcPr>
            <w:tcW w:w="2927" w:type="dxa"/>
            <w:tcBorders>
              <w:bottom w:val="single" w:sz="4" w:space="0" w:color="000000"/>
              <w:righ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2</w:t>
            </w:r>
            <w:r w:rsidR="007B4CE1">
              <w:rPr>
                <w:rFonts w:ascii="Arial" w:hAnsi="Arial" w:cs="Arial"/>
                <w:sz w:val="18"/>
                <w:szCs w:val="18"/>
              </w:rPr>
              <w:t> </w:t>
            </w:r>
            <w:r w:rsidRPr="00C7441E">
              <w:rPr>
                <w:rFonts w:ascii="Arial" w:hAnsi="Arial" w:cs="Arial"/>
                <w:sz w:val="18"/>
                <w:szCs w:val="18"/>
              </w:rPr>
              <w:t>531</w:t>
            </w:r>
          </w:p>
        </w:tc>
        <w:tc>
          <w:tcPr>
            <w:tcW w:w="3118" w:type="dxa"/>
            <w:tcBorders>
              <w:left w:val="single" w:sz="8" w:space="0" w:color="000000"/>
              <w:bottom w:val="single" w:sz="4"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12,6</w:t>
            </w:r>
          </w:p>
        </w:tc>
      </w:tr>
      <w:tr w:rsidR="00253747" w:rsidTr="00C7441E">
        <w:trPr>
          <w:trHeight w:val="306"/>
        </w:trPr>
        <w:tc>
          <w:tcPr>
            <w:tcW w:w="1751" w:type="dxa"/>
            <w:tcBorders>
              <w:top w:val="single" w:sz="4" w:space="0" w:color="000000"/>
              <w:bottom w:val="single" w:sz="4" w:space="0" w:color="000000"/>
            </w:tcBorders>
            <w:shd w:val="clear" w:color="auto" w:fill="DDEBF7"/>
          </w:tcPr>
          <w:p w:rsidR="00253747" w:rsidRPr="00C7441E" w:rsidRDefault="00253747" w:rsidP="007D4274">
            <w:pPr>
              <w:pStyle w:val="TableParagraph"/>
              <w:spacing w:before="29"/>
              <w:ind w:right="133"/>
              <w:jc w:val="center"/>
              <w:rPr>
                <w:rFonts w:ascii="Arial" w:hAnsi="Arial" w:cs="Arial"/>
                <w:b/>
                <w:sz w:val="18"/>
                <w:szCs w:val="18"/>
              </w:rPr>
            </w:pPr>
            <w:r w:rsidRPr="00C7441E">
              <w:rPr>
                <w:rFonts w:ascii="Arial" w:hAnsi="Arial" w:cs="Arial"/>
                <w:b/>
                <w:sz w:val="18"/>
                <w:szCs w:val="18"/>
              </w:rPr>
              <w:t>Niederbayern</w:t>
            </w:r>
          </w:p>
        </w:tc>
        <w:tc>
          <w:tcPr>
            <w:tcW w:w="2927" w:type="dxa"/>
            <w:tcBorders>
              <w:top w:val="single" w:sz="4" w:space="0" w:color="000000"/>
              <w:bottom w:val="single" w:sz="4" w:space="0" w:color="000000"/>
              <w:right w:val="single" w:sz="8" w:space="0" w:color="000000"/>
            </w:tcBorders>
            <w:shd w:val="clear" w:color="auto" w:fill="DDEBF7"/>
          </w:tcPr>
          <w:p w:rsidR="00253747" w:rsidRPr="00C7441E" w:rsidRDefault="00253747" w:rsidP="007D4274">
            <w:pPr>
              <w:pStyle w:val="TableParagraph"/>
              <w:ind w:right="133"/>
              <w:jc w:val="center"/>
              <w:rPr>
                <w:rFonts w:ascii="Arial" w:hAnsi="Arial" w:cs="Arial"/>
                <w:sz w:val="18"/>
                <w:szCs w:val="18"/>
              </w:rPr>
            </w:pPr>
            <w:r w:rsidRPr="00C7441E">
              <w:rPr>
                <w:rFonts w:ascii="Arial" w:hAnsi="Arial" w:cs="Arial"/>
                <w:sz w:val="18"/>
                <w:szCs w:val="18"/>
              </w:rPr>
              <w:t>2</w:t>
            </w:r>
            <w:r w:rsidR="007B4CE1">
              <w:rPr>
                <w:rFonts w:ascii="Arial" w:hAnsi="Arial" w:cs="Arial"/>
                <w:sz w:val="18"/>
                <w:szCs w:val="18"/>
              </w:rPr>
              <w:t> </w:t>
            </w:r>
            <w:r w:rsidRPr="00C7441E">
              <w:rPr>
                <w:rFonts w:ascii="Arial" w:hAnsi="Arial" w:cs="Arial"/>
                <w:sz w:val="18"/>
                <w:szCs w:val="18"/>
              </w:rPr>
              <w:t>109</w:t>
            </w:r>
          </w:p>
        </w:tc>
        <w:tc>
          <w:tcPr>
            <w:tcW w:w="3118" w:type="dxa"/>
            <w:tcBorders>
              <w:top w:val="single" w:sz="4" w:space="0" w:color="000000"/>
              <w:left w:val="single" w:sz="8" w:space="0" w:color="000000"/>
              <w:bottom w:val="single" w:sz="4" w:space="0" w:color="000000"/>
            </w:tcBorders>
            <w:shd w:val="clear" w:color="auto" w:fill="DDEBF7"/>
          </w:tcPr>
          <w:p w:rsidR="00253747" w:rsidRPr="00C7441E" w:rsidRDefault="00253747" w:rsidP="007D4274">
            <w:pPr>
              <w:pStyle w:val="TableParagraph"/>
              <w:ind w:right="133"/>
              <w:jc w:val="center"/>
              <w:rPr>
                <w:rFonts w:ascii="Arial" w:hAnsi="Arial" w:cs="Arial"/>
                <w:sz w:val="18"/>
                <w:szCs w:val="18"/>
              </w:rPr>
            </w:pPr>
            <w:r w:rsidRPr="00C7441E">
              <w:rPr>
                <w:rFonts w:ascii="Arial" w:hAnsi="Arial" w:cs="Arial"/>
                <w:sz w:val="18"/>
                <w:szCs w:val="18"/>
              </w:rPr>
              <w:t>10,3</w:t>
            </w:r>
          </w:p>
        </w:tc>
      </w:tr>
      <w:tr w:rsidR="00253747" w:rsidTr="00C7441E">
        <w:trPr>
          <w:trHeight w:val="309"/>
        </w:trPr>
        <w:tc>
          <w:tcPr>
            <w:tcW w:w="1751" w:type="dxa"/>
            <w:tcBorders>
              <w:top w:val="single" w:sz="4" w:space="0" w:color="000000"/>
              <w:bottom w:val="single" w:sz="4" w:space="0" w:color="000000"/>
            </w:tcBorders>
          </w:tcPr>
          <w:p w:rsidR="00253747" w:rsidRPr="00C7441E" w:rsidRDefault="00253747" w:rsidP="007D4274">
            <w:pPr>
              <w:pStyle w:val="TableParagraph"/>
              <w:spacing w:before="31"/>
              <w:ind w:left="138"/>
              <w:jc w:val="center"/>
              <w:rPr>
                <w:rFonts w:ascii="Arial" w:hAnsi="Arial" w:cs="Arial"/>
                <w:b/>
                <w:sz w:val="18"/>
                <w:szCs w:val="18"/>
              </w:rPr>
            </w:pPr>
            <w:r w:rsidRPr="00C7441E">
              <w:rPr>
                <w:rFonts w:ascii="Arial" w:hAnsi="Arial" w:cs="Arial"/>
                <w:b/>
                <w:sz w:val="18"/>
                <w:szCs w:val="18"/>
              </w:rPr>
              <w:t>Oberpfalz</w:t>
            </w:r>
          </w:p>
        </w:tc>
        <w:tc>
          <w:tcPr>
            <w:tcW w:w="2927" w:type="dxa"/>
            <w:tcBorders>
              <w:top w:val="single" w:sz="4" w:space="0" w:color="000000"/>
              <w:bottom w:val="single" w:sz="4" w:space="0" w:color="000000"/>
              <w:righ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1</w:t>
            </w:r>
            <w:r w:rsidR="007B4CE1">
              <w:rPr>
                <w:rFonts w:ascii="Arial" w:hAnsi="Arial" w:cs="Arial"/>
                <w:sz w:val="18"/>
                <w:szCs w:val="18"/>
              </w:rPr>
              <w:t> </w:t>
            </w:r>
            <w:r w:rsidRPr="00C7441E">
              <w:rPr>
                <w:rFonts w:ascii="Arial" w:hAnsi="Arial" w:cs="Arial"/>
                <w:sz w:val="18"/>
                <w:szCs w:val="18"/>
              </w:rPr>
              <w:t>173</w:t>
            </w:r>
          </w:p>
        </w:tc>
        <w:tc>
          <w:tcPr>
            <w:tcW w:w="3118" w:type="dxa"/>
            <w:tcBorders>
              <w:top w:val="single" w:sz="4" w:space="0" w:color="000000"/>
              <w:left w:val="single" w:sz="8" w:space="0" w:color="000000"/>
              <w:bottom w:val="single" w:sz="4"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6,4</w:t>
            </w:r>
          </w:p>
        </w:tc>
      </w:tr>
      <w:tr w:rsidR="00253747" w:rsidTr="00C7441E">
        <w:trPr>
          <w:trHeight w:val="306"/>
        </w:trPr>
        <w:tc>
          <w:tcPr>
            <w:tcW w:w="1751" w:type="dxa"/>
            <w:tcBorders>
              <w:top w:val="single" w:sz="4" w:space="0" w:color="000000"/>
              <w:bottom w:val="single" w:sz="6" w:space="0" w:color="000000"/>
            </w:tcBorders>
            <w:shd w:val="clear" w:color="auto" w:fill="DDEBF7"/>
          </w:tcPr>
          <w:p w:rsidR="00253747" w:rsidRPr="00C7441E" w:rsidRDefault="00253747" w:rsidP="007D4274">
            <w:pPr>
              <w:pStyle w:val="TableParagraph"/>
              <w:spacing w:before="31" w:line="255" w:lineRule="exact"/>
              <w:ind w:left="138"/>
              <w:jc w:val="center"/>
              <w:rPr>
                <w:rFonts w:ascii="Arial" w:hAnsi="Arial" w:cs="Arial"/>
                <w:b/>
                <w:sz w:val="18"/>
                <w:szCs w:val="18"/>
              </w:rPr>
            </w:pPr>
            <w:r w:rsidRPr="00C7441E">
              <w:rPr>
                <w:rFonts w:ascii="Arial" w:hAnsi="Arial" w:cs="Arial"/>
                <w:b/>
                <w:sz w:val="18"/>
                <w:szCs w:val="18"/>
              </w:rPr>
              <w:t>Oberfranken</w:t>
            </w:r>
          </w:p>
        </w:tc>
        <w:tc>
          <w:tcPr>
            <w:tcW w:w="2927" w:type="dxa"/>
            <w:tcBorders>
              <w:top w:val="single" w:sz="4" w:space="0" w:color="000000"/>
              <w:bottom w:val="single" w:sz="6" w:space="0" w:color="000000"/>
              <w:right w:val="single" w:sz="8" w:space="0" w:color="000000"/>
            </w:tcBorders>
            <w:shd w:val="clear" w:color="auto" w:fill="DDEBF7"/>
          </w:tcPr>
          <w:p w:rsidR="00253747" w:rsidRPr="00C7441E" w:rsidRDefault="00253747" w:rsidP="007D4274">
            <w:pPr>
              <w:pStyle w:val="TableParagraph"/>
              <w:ind w:right="133"/>
              <w:jc w:val="center"/>
              <w:rPr>
                <w:rFonts w:ascii="Arial" w:hAnsi="Arial" w:cs="Arial"/>
                <w:sz w:val="18"/>
                <w:szCs w:val="18"/>
              </w:rPr>
            </w:pPr>
            <w:r w:rsidRPr="00C7441E">
              <w:rPr>
                <w:rFonts w:ascii="Arial" w:hAnsi="Arial" w:cs="Arial"/>
                <w:sz w:val="18"/>
                <w:szCs w:val="18"/>
              </w:rPr>
              <w:t>482</w:t>
            </w:r>
          </w:p>
        </w:tc>
        <w:tc>
          <w:tcPr>
            <w:tcW w:w="3118" w:type="dxa"/>
            <w:tcBorders>
              <w:top w:val="single" w:sz="4" w:space="0" w:color="000000"/>
              <w:left w:val="single" w:sz="8" w:space="0" w:color="000000"/>
              <w:bottom w:val="single" w:sz="6" w:space="0" w:color="000000"/>
            </w:tcBorders>
            <w:shd w:val="clear" w:color="auto" w:fill="DDEBF7"/>
          </w:tcPr>
          <w:p w:rsidR="00253747" w:rsidRPr="00C7441E" w:rsidRDefault="00253747" w:rsidP="007D4274">
            <w:pPr>
              <w:pStyle w:val="TableParagraph"/>
              <w:ind w:right="133"/>
              <w:jc w:val="center"/>
              <w:rPr>
                <w:rFonts w:ascii="Arial" w:hAnsi="Arial" w:cs="Arial"/>
                <w:sz w:val="18"/>
                <w:szCs w:val="18"/>
              </w:rPr>
            </w:pPr>
            <w:r w:rsidRPr="00C7441E">
              <w:rPr>
                <w:rFonts w:ascii="Arial" w:hAnsi="Arial" w:cs="Arial"/>
                <w:sz w:val="18"/>
                <w:szCs w:val="18"/>
              </w:rPr>
              <w:t>2</w:t>
            </w:r>
          </w:p>
        </w:tc>
      </w:tr>
      <w:tr w:rsidR="00253747" w:rsidTr="00C7441E">
        <w:trPr>
          <w:trHeight w:val="306"/>
        </w:trPr>
        <w:tc>
          <w:tcPr>
            <w:tcW w:w="1751" w:type="dxa"/>
            <w:tcBorders>
              <w:top w:val="single" w:sz="6" w:space="0" w:color="000000"/>
              <w:bottom w:val="single" w:sz="4" w:space="0" w:color="000000"/>
            </w:tcBorders>
          </w:tcPr>
          <w:p w:rsidR="00253747" w:rsidRPr="00C7441E" w:rsidRDefault="00253747" w:rsidP="007D4274">
            <w:pPr>
              <w:pStyle w:val="TableParagraph"/>
              <w:spacing w:before="29"/>
              <w:ind w:right="168"/>
              <w:jc w:val="center"/>
              <w:rPr>
                <w:rFonts w:ascii="Arial" w:hAnsi="Arial" w:cs="Arial"/>
                <w:b/>
                <w:sz w:val="18"/>
                <w:szCs w:val="18"/>
              </w:rPr>
            </w:pPr>
            <w:r w:rsidRPr="00C7441E">
              <w:rPr>
                <w:rFonts w:ascii="Arial" w:hAnsi="Arial" w:cs="Arial"/>
                <w:b/>
                <w:sz w:val="18"/>
                <w:szCs w:val="18"/>
              </w:rPr>
              <w:t>Mittelfranken</w:t>
            </w:r>
          </w:p>
        </w:tc>
        <w:tc>
          <w:tcPr>
            <w:tcW w:w="2927" w:type="dxa"/>
            <w:tcBorders>
              <w:top w:val="single" w:sz="6" w:space="0" w:color="000000"/>
              <w:bottom w:val="single" w:sz="4" w:space="0" w:color="000000"/>
              <w:righ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422</w:t>
            </w:r>
          </w:p>
        </w:tc>
        <w:tc>
          <w:tcPr>
            <w:tcW w:w="3118" w:type="dxa"/>
            <w:tcBorders>
              <w:top w:val="single" w:sz="6" w:space="0" w:color="000000"/>
              <w:left w:val="single" w:sz="8" w:space="0" w:color="000000"/>
              <w:bottom w:val="single" w:sz="4"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1,5</w:t>
            </w:r>
          </w:p>
        </w:tc>
      </w:tr>
      <w:tr w:rsidR="00253747" w:rsidTr="00C7441E">
        <w:trPr>
          <w:trHeight w:val="309"/>
        </w:trPr>
        <w:tc>
          <w:tcPr>
            <w:tcW w:w="1751" w:type="dxa"/>
            <w:tcBorders>
              <w:top w:val="single" w:sz="4" w:space="0" w:color="000000"/>
              <w:bottom w:val="single" w:sz="4" w:space="0" w:color="000000"/>
            </w:tcBorders>
            <w:shd w:val="clear" w:color="auto" w:fill="DDEBF7"/>
          </w:tcPr>
          <w:p w:rsidR="00253747" w:rsidRPr="00C7441E" w:rsidRDefault="00253747" w:rsidP="007D4274">
            <w:pPr>
              <w:pStyle w:val="TableParagraph"/>
              <w:spacing w:before="31"/>
              <w:ind w:right="168"/>
              <w:jc w:val="center"/>
              <w:rPr>
                <w:rFonts w:ascii="Arial" w:hAnsi="Arial" w:cs="Arial"/>
                <w:b/>
                <w:sz w:val="18"/>
                <w:szCs w:val="18"/>
              </w:rPr>
            </w:pPr>
            <w:r w:rsidRPr="00C7441E">
              <w:rPr>
                <w:rFonts w:ascii="Arial" w:hAnsi="Arial" w:cs="Arial"/>
                <w:b/>
                <w:sz w:val="18"/>
                <w:szCs w:val="18"/>
              </w:rPr>
              <w:t>Unterfranken</w:t>
            </w:r>
          </w:p>
        </w:tc>
        <w:tc>
          <w:tcPr>
            <w:tcW w:w="2927" w:type="dxa"/>
            <w:tcBorders>
              <w:top w:val="single" w:sz="4" w:space="0" w:color="000000"/>
              <w:bottom w:val="single" w:sz="4" w:space="0" w:color="000000"/>
              <w:right w:val="single" w:sz="8" w:space="0" w:color="000000"/>
            </w:tcBorders>
            <w:shd w:val="clear" w:color="auto" w:fill="DDEBF7"/>
          </w:tcPr>
          <w:p w:rsidR="00253747" w:rsidRPr="00C7441E" w:rsidRDefault="00253747" w:rsidP="007D4274">
            <w:pPr>
              <w:pStyle w:val="TableParagraph"/>
              <w:ind w:right="133"/>
              <w:jc w:val="center"/>
              <w:rPr>
                <w:rFonts w:ascii="Arial" w:hAnsi="Arial" w:cs="Arial"/>
                <w:sz w:val="18"/>
                <w:szCs w:val="18"/>
              </w:rPr>
            </w:pPr>
            <w:r w:rsidRPr="00C7441E">
              <w:rPr>
                <w:rFonts w:ascii="Arial" w:hAnsi="Arial" w:cs="Arial"/>
                <w:sz w:val="18"/>
                <w:szCs w:val="18"/>
              </w:rPr>
              <w:t>672</w:t>
            </w:r>
          </w:p>
        </w:tc>
        <w:tc>
          <w:tcPr>
            <w:tcW w:w="3118" w:type="dxa"/>
            <w:tcBorders>
              <w:top w:val="single" w:sz="4" w:space="0" w:color="000000"/>
              <w:left w:val="single" w:sz="8" w:space="0" w:color="000000"/>
              <w:bottom w:val="single" w:sz="4" w:space="0" w:color="000000"/>
            </w:tcBorders>
            <w:shd w:val="clear" w:color="auto" w:fill="DDEBF7"/>
          </w:tcPr>
          <w:p w:rsidR="00253747" w:rsidRPr="00C7441E" w:rsidRDefault="00253747" w:rsidP="007D4274">
            <w:pPr>
              <w:pStyle w:val="TableParagraph"/>
              <w:ind w:right="133"/>
              <w:jc w:val="center"/>
              <w:rPr>
                <w:rFonts w:ascii="Arial" w:hAnsi="Arial" w:cs="Arial"/>
                <w:sz w:val="18"/>
                <w:szCs w:val="18"/>
              </w:rPr>
            </w:pPr>
            <w:r w:rsidRPr="00C7441E">
              <w:rPr>
                <w:rFonts w:ascii="Arial" w:hAnsi="Arial" w:cs="Arial"/>
                <w:sz w:val="18"/>
                <w:szCs w:val="18"/>
              </w:rPr>
              <w:t>3,1</w:t>
            </w:r>
          </w:p>
        </w:tc>
      </w:tr>
      <w:tr w:rsidR="00253747" w:rsidTr="00C7441E">
        <w:trPr>
          <w:trHeight w:val="325"/>
        </w:trPr>
        <w:tc>
          <w:tcPr>
            <w:tcW w:w="1751" w:type="dxa"/>
            <w:tcBorders>
              <w:top w:val="single" w:sz="4" w:space="0" w:color="000000"/>
            </w:tcBorders>
          </w:tcPr>
          <w:p w:rsidR="00253747" w:rsidRPr="00C7441E" w:rsidRDefault="00253747" w:rsidP="007D4274">
            <w:pPr>
              <w:pStyle w:val="TableParagraph"/>
              <w:spacing w:before="48" w:line="257" w:lineRule="exact"/>
              <w:ind w:left="138"/>
              <w:jc w:val="center"/>
              <w:rPr>
                <w:rFonts w:ascii="Arial" w:hAnsi="Arial" w:cs="Arial"/>
                <w:b/>
                <w:sz w:val="18"/>
                <w:szCs w:val="18"/>
              </w:rPr>
            </w:pPr>
            <w:r w:rsidRPr="00C7441E">
              <w:rPr>
                <w:rFonts w:ascii="Arial" w:hAnsi="Arial" w:cs="Arial"/>
                <w:b/>
                <w:sz w:val="18"/>
                <w:szCs w:val="18"/>
              </w:rPr>
              <w:t>Schwaben</w:t>
            </w:r>
          </w:p>
        </w:tc>
        <w:tc>
          <w:tcPr>
            <w:tcW w:w="2927" w:type="dxa"/>
            <w:tcBorders>
              <w:top w:val="single" w:sz="4" w:space="0" w:color="000000"/>
              <w:righ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1</w:t>
            </w:r>
            <w:r w:rsidR="007B4CE1">
              <w:rPr>
                <w:rFonts w:ascii="Arial" w:hAnsi="Arial" w:cs="Arial"/>
                <w:sz w:val="18"/>
                <w:szCs w:val="18"/>
              </w:rPr>
              <w:t> </w:t>
            </w:r>
            <w:r w:rsidRPr="00C7441E">
              <w:rPr>
                <w:rFonts w:ascii="Arial" w:hAnsi="Arial" w:cs="Arial"/>
                <w:sz w:val="18"/>
                <w:szCs w:val="18"/>
              </w:rPr>
              <w:t>371</w:t>
            </w:r>
          </w:p>
        </w:tc>
        <w:tc>
          <w:tcPr>
            <w:tcW w:w="3118" w:type="dxa"/>
            <w:tcBorders>
              <w:top w:val="single" w:sz="4" w:space="0" w:color="000000"/>
              <w:lef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6,3</w:t>
            </w:r>
          </w:p>
        </w:tc>
      </w:tr>
      <w:tr w:rsidR="00253747" w:rsidTr="00C7441E">
        <w:trPr>
          <w:trHeight w:val="325"/>
        </w:trPr>
        <w:tc>
          <w:tcPr>
            <w:tcW w:w="1751" w:type="dxa"/>
          </w:tcPr>
          <w:p w:rsidR="00253747" w:rsidRPr="00C7441E" w:rsidRDefault="00253747" w:rsidP="007D4274">
            <w:pPr>
              <w:pStyle w:val="TableParagraph"/>
              <w:spacing w:before="28"/>
              <w:ind w:left="71"/>
              <w:jc w:val="center"/>
              <w:rPr>
                <w:rFonts w:ascii="Arial" w:hAnsi="Arial" w:cs="Arial"/>
                <w:b/>
                <w:sz w:val="18"/>
                <w:szCs w:val="18"/>
              </w:rPr>
            </w:pPr>
            <w:r w:rsidRPr="00C7441E">
              <w:rPr>
                <w:rFonts w:ascii="Arial" w:hAnsi="Arial" w:cs="Arial"/>
                <w:b/>
                <w:sz w:val="18"/>
                <w:szCs w:val="18"/>
              </w:rPr>
              <w:t>Gesamt</w:t>
            </w:r>
          </w:p>
        </w:tc>
        <w:tc>
          <w:tcPr>
            <w:tcW w:w="2927" w:type="dxa"/>
            <w:tcBorders>
              <w:righ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8</w:t>
            </w:r>
            <w:r w:rsidR="007B4CE1">
              <w:rPr>
                <w:rFonts w:ascii="Arial" w:hAnsi="Arial" w:cs="Arial"/>
                <w:sz w:val="18"/>
                <w:szCs w:val="18"/>
              </w:rPr>
              <w:t> </w:t>
            </w:r>
            <w:r w:rsidRPr="00C7441E">
              <w:rPr>
                <w:rFonts w:ascii="Arial" w:hAnsi="Arial" w:cs="Arial"/>
                <w:sz w:val="18"/>
                <w:szCs w:val="18"/>
              </w:rPr>
              <w:t>760</w:t>
            </w:r>
          </w:p>
        </w:tc>
        <w:tc>
          <w:tcPr>
            <w:tcW w:w="3118" w:type="dxa"/>
            <w:tcBorders>
              <w:left w:val="single" w:sz="8" w:space="0" w:color="000000"/>
            </w:tcBorders>
          </w:tcPr>
          <w:p w:rsidR="00253747" w:rsidRPr="00C7441E" w:rsidRDefault="00253747" w:rsidP="007D4274">
            <w:pPr>
              <w:pStyle w:val="TableParagraph"/>
              <w:spacing w:before="28"/>
              <w:ind w:left="71"/>
              <w:jc w:val="center"/>
              <w:rPr>
                <w:rFonts w:ascii="Arial" w:hAnsi="Arial" w:cs="Arial"/>
                <w:sz w:val="18"/>
                <w:szCs w:val="18"/>
              </w:rPr>
            </w:pPr>
            <w:r w:rsidRPr="00C7441E">
              <w:rPr>
                <w:rFonts w:ascii="Arial" w:hAnsi="Arial" w:cs="Arial"/>
                <w:sz w:val="18"/>
                <w:szCs w:val="18"/>
              </w:rPr>
              <w:t>42</w:t>
            </w:r>
          </w:p>
        </w:tc>
      </w:tr>
    </w:tbl>
    <w:p w:rsidR="00041CAD" w:rsidRDefault="007B4CE1" w:rsidP="00041CAD">
      <w:pPr>
        <w:pStyle w:val="LTAntwortRessortText"/>
      </w:pPr>
      <w:r>
        <w:t>Nach § 21 Abs.</w:t>
      </w:r>
      <w:r w:rsidR="00041CAD">
        <w:t xml:space="preserve"> 1 Nr. 3 </w:t>
      </w:r>
      <w:r w:rsidR="0078516B">
        <w:t>Buchstabe</w:t>
      </w:r>
      <w:r>
        <w:t xml:space="preserve"> b) EEG 2021 und § 25 Abs.</w:t>
      </w:r>
      <w:r w:rsidR="00041CAD">
        <w:t xml:space="preserve"> 2 Nr. 1 EEG 2021 schließt sich für ausgeförderte PV-Anlagen mit einer instal</w:t>
      </w:r>
      <w:r>
        <w:t>lierten Leistung von bis zu 100 </w:t>
      </w:r>
      <w:r w:rsidR="00041CAD">
        <w:t>kW eine bis zum 31.12.2027 befristete Einspeisevergütung an. Eine ausgeförderte Anlage gilt mit Beendigung des Anspruchs auf Zahlung nach der für sie maßgeblichen Fassung des Erneuerbare-Energi</w:t>
      </w:r>
      <w:r w:rsidR="0078516B">
        <w:t>en-Gesetzes nach § 21c Abs. 1 Satz</w:t>
      </w:r>
      <w:r w:rsidR="00041CAD">
        <w:t xml:space="preserve"> 3 EEG 2021 automatisch als der Veräußerungsform nach § 21b Ab</w:t>
      </w:r>
      <w:r w:rsidR="0078516B">
        <w:t>s. 1 Satz 1 Nr.</w:t>
      </w:r>
      <w:r w:rsidR="00041CAD">
        <w:t xml:space="preserve"> 2 und § 21 Ab</w:t>
      </w:r>
      <w:r w:rsidR="004220FE">
        <w:t>s. 1 Nr.</w:t>
      </w:r>
      <w:r w:rsidR="00041CAD">
        <w:t xml:space="preserve"> 3 zugeordnet, soweit der Anlagenbetreiber keine andere Zuordnung getroffen hat. Diese anschließende Einspeisevergütung umfasst den Jahresmarktwert pro kWh abzüglich einer Pauschale, um die Vermarktungskosten des Netzbetreibers zu decken. Hierdurch wird dem Betreiber eine sic</w:t>
      </w:r>
      <w:r w:rsidR="004220FE">
        <w:t>here, konstante Vergütung ermög</w:t>
      </w:r>
      <w:r w:rsidR="00041CAD">
        <w:t>licht. Die Wirtschaftlichkeit ausgeförderter Anlagen ist abhängig von der Entwicklung des Strompreises, die aktuell noch nicht abzuseh</w:t>
      </w:r>
      <w:r w:rsidR="004220FE">
        <w:t>en ist. Während die Monatsmarkt</w:t>
      </w:r>
      <w:r w:rsidR="00041CAD">
        <w:t>wer</w:t>
      </w:r>
      <w:r w:rsidR="0078516B">
        <w:t>te im Jahr 2020 deutlich zurück</w:t>
      </w:r>
      <w:r w:rsidR="00041CAD">
        <w:t>gingen, konnte in den Monaten Januar bis März</w:t>
      </w:r>
      <w:r w:rsidR="00253747">
        <w:t xml:space="preserve"> </w:t>
      </w:r>
      <w:r w:rsidR="00041CAD">
        <w:t>2021 bereits eine Erholung festgestellt werden. Die</w:t>
      </w:r>
      <w:r w:rsidR="004220FE">
        <w:t xml:space="preserve"> weitere Entwicklung der Monats</w:t>
      </w:r>
      <w:r w:rsidR="00041CAD">
        <w:t>marktwerte ist stark vom Strombedarf und damit a</w:t>
      </w:r>
      <w:r w:rsidR="004220FE">
        <w:t>uch dem aktuellen Corona-Gesche</w:t>
      </w:r>
      <w:r w:rsidR="00041CAD">
        <w:t>hen abhängig.</w:t>
      </w:r>
    </w:p>
    <w:p w:rsidR="00041CAD" w:rsidRDefault="00041CAD" w:rsidP="00253747">
      <w:pPr>
        <w:pStyle w:val="LTAntwortRessortText"/>
        <w:spacing w:before="0"/>
      </w:pPr>
      <w:r>
        <w:t>Ausgeförderte Solaranlagen mit einer installierten Lei</w:t>
      </w:r>
      <w:r w:rsidR="0078516B">
        <w:t>stung von über 100 kW</w:t>
      </w:r>
      <w:r w:rsidR="004220FE">
        <w:t xml:space="preserve"> wer</w:t>
      </w:r>
      <w:r>
        <w:t>den nicht weiter gefördert und nutzen die sonstige Direktvermarktung nach §</w:t>
      </w:r>
      <w:r w:rsidR="004220FE">
        <w:t> </w:t>
      </w:r>
      <w:r>
        <w:t>21a EEG 2021, was bei dieser Größenordnung (ggf. mit Hilfe eines Dienstleisters) möglich erscheint.</w:t>
      </w:r>
    </w:p>
    <w:p w:rsidR="00041CAD" w:rsidRDefault="00041CAD" w:rsidP="00041CAD">
      <w:pPr>
        <w:pStyle w:val="LTAntwortRessortText"/>
      </w:pPr>
      <w:r>
        <w:t>Neben der Vergütung von eingespeistem Strom bietet die Eigenversorgung, die häufig möglich ist, ein hohes wirtschaftliches Poten</w:t>
      </w:r>
      <w:r w:rsidR="0078516B">
        <w:t>z</w:t>
      </w:r>
      <w:r>
        <w:t>ial für Betreiber von PV-Anlagen. Der von ausgeförderten Anlagen erzeugte Strom darf grund</w:t>
      </w:r>
      <w:r w:rsidR="004220FE">
        <w:t>sätzlich zur Eigenversorgung ge</w:t>
      </w:r>
      <w:r>
        <w:t>nutzt werden. Durch eine Neuregelung in § 61b Abs</w:t>
      </w:r>
      <w:r w:rsidR="004220FE">
        <w:t>.</w:t>
      </w:r>
      <w:r>
        <w:t xml:space="preserve"> 2 EEG 2021 entfällt bei Eigenversorgungen aus Anlagen mit einer installierten</w:t>
      </w:r>
      <w:r w:rsidR="004220FE">
        <w:t xml:space="preserve"> Leistung von höchstens 30 </w:t>
      </w:r>
      <w:r w:rsidR="0078516B">
        <w:t>kW</w:t>
      </w:r>
      <w:r>
        <w:t xml:space="preserve"> für bis zu 30 </w:t>
      </w:r>
      <w:r w:rsidR="0078516B">
        <w:t>MWh</w:t>
      </w:r>
      <w:r>
        <w:t xml:space="preserve"> selbst verbrauchten Stroms pro Kalenderjahr die EEG-Umlage, wenn in der Anlage in dem Kalenderjahr ausschließlich erneuerbare Energien eingesetzt worden sind (bei </w:t>
      </w:r>
      <w:r w:rsidR="0078516B">
        <w:t>PV</w:t>
      </w:r>
      <w:r>
        <w:t>-Anlagen gegeben). Diese Umlagereduzierung ist nicht mehr auf die potenzielle Förderdauer beschränkt und gilt somit auch für ausgeförderte Anlagen.</w:t>
      </w:r>
    </w:p>
    <w:p w:rsidR="00041CAD" w:rsidRDefault="00041CAD" w:rsidP="00253747">
      <w:pPr>
        <w:pStyle w:val="LTAntwortRessortText"/>
        <w:spacing w:before="0"/>
      </w:pPr>
      <w:r>
        <w:t>Grundsätzlich muss beachtet werden, dass PV-Anlagen zum Zeitpunkt des Auslaufens der Förderung bereits amortisiert sind und für den Betreiber i.</w:t>
      </w:r>
      <w:r w:rsidR="0078516B">
        <w:t> </w:t>
      </w:r>
      <w:r>
        <w:t>d.</w:t>
      </w:r>
      <w:r w:rsidR="0078516B">
        <w:t> </w:t>
      </w:r>
      <w:r>
        <w:t>R. einige Jahre sehr wirtschaftlich betrieben werden konnten. Die Abwägung zwischen Weiterbetrieb der Bestandsanlage und Ersatz durch eine, bezüglich des</w:t>
      </w:r>
      <w:r w:rsidR="004220FE">
        <w:t xml:space="preserve"> Stromertrags, effizientere Neu</w:t>
      </w:r>
      <w:r>
        <w:t>anlage obliegt dem Betreiber. Ziel des EEG ist die Weiterentwicklung von Techno</w:t>
      </w:r>
      <w:r w:rsidR="004220FE">
        <w:t>lo</w:t>
      </w:r>
      <w:r>
        <w:t xml:space="preserve">gien zur Erzeugung von Strom aus </w:t>
      </w:r>
      <w:r w:rsidR="004220FE">
        <w:t xml:space="preserve">erneuerbaren Energien </w:t>
      </w:r>
      <w:r w:rsidR="0078516B">
        <w:br/>
      </w:r>
      <w:r w:rsidR="004220FE">
        <w:t>(§ 1 Abs. </w:t>
      </w:r>
      <w:r>
        <w:t xml:space="preserve">1 EEG). Für den dauerhaften Erfolg der Energiewende und die im EEG erwähnte </w:t>
      </w:r>
      <w:r w:rsidR="00BD06F4">
        <w:t>„</w:t>
      </w:r>
      <w:r>
        <w:t>nachhaltige Entwicklung der Energieversorgung</w:t>
      </w:r>
      <w:r w:rsidR="00BD06F4">
        <w:t>“</w:t>
      </w:r>
      <w:r>
        <w:t xml:space="preserve"> ist es entscheidend, dass neue Technologien durch die EEG-Förderung Kostenvorteile realisieren können u</w:t>
      </w:r>
      <w:r w:rsidR="004220FE">
        <w:t>nd zügig weitere Verbreitung er</w:t>
      </w:r>
      <w:r>
        <w:t>fahren. Die Förderung von Bestandsanlagen kann in dieser Hinsicht keinen Nutzen mehr stiften.</w:t>
      </w:r>
    </w:p>
    <w:p w:rsidR="00041CAD" w:rsidRDefault="00041CAD" w:rsidP="00253747">
      <w:pPr>
        <w:pStyle w:val="LTAntwortRessortText"/>
        <w:spacing w:before="0"/>
      </w:pPr>
      <w:r>
        <w:t>Bei Kleinanlagen, bei denen Aspekte wie Teilhabe und Akzeptanz der Energiewende im Vordergrund stehen, sollen jedoch unnötige Hürden für den Weiterbetrieb aus dem Weg geräumt werden. Hierzu dient gerade die mit dem EEG 2021 neu eingeführte Einspeisevergütung für ausgeförderte Anlagen. Z</w:t>
      </w:r>
      <w:r w:rsidR="004220FE">
        <w:t>udem wurden im Gesetzgebungsver</w:t>
      </w:r>
      <w:r>
        <w:t xml:space="preserve">fahren </w:t>
      </w:r>
      <w:r w:rsidR="00BD06F4">
        <w:t>u. a.</w:t>
      </w:r>
      <w:r>
        <w:t xml:space="preserve"> die unverhältnismäßigen messtechnisc</w:t>
      </w:r>
      <w:r w:rsidR="004220FE">
        <w:t>hen Anforderungen für Kleinanla</w:t>
      </w:r>
      <w:r>
        <w:t>gen, die die Bundesregierung zunächst einfü</w:t>
      </w:r>
      <w:r w:rsidR="004220FE">
        <w:t>hren wollte, wieder entschärft –</w:t>
      </w:r>
      <w:r>
        <w:t xml:space="preserve"> entsprechend der bayerischen Forderung.</w:t>
      </w:r>
    </w:p>
    <w:p w:rsidR="00041CAD" w:rsidRDefault="00041CAD" w:rsidP="00253747">
      <w:pPr>
        <w:pStyle w:val="LTAntwortRessortText"/>
        <w:spacing w:before="0"/>
      </w:pPr>
      <w:r>
        <w:t>Von technischer Seite ist eine Lebensdauer von i.</w:t>
      </w:r>
      <w:r w:rsidR="004220FE">
        <w:t> </w:t>
      </w:r>
      <w:r>
        <w:t>d.</w:t>
      </w:r>
      <w:r w:rsidR="004220FE">
        <w:t xml:space="preserve"> R. rund 25 bis </w:t>
      </w:r>
      <w:r>
        <w:t>30 Jahren bei PV-Anlagen anzugeben.</w:t>
      </w:r>
    </w:p>
    <w:p w:rsidR="00041CAD" w:rsidRDefault="00041CAD" w:rsidP="00253747">
      <w:pPr>
        <w:pStyle w:val="LTAntwortRessortText"/>
        <w:spacing w:before="0"/>
      </w:pPr>
      <w:r>
        <w:t>Bezüglich der vorhandenen Möglichkeiten zum Weiterbetrieb von PV-Altanlagen gibt es diverse Publikationen von Energieberatern. Auch die einschlägigen Verbände, Netzbetreiber und Projektierer informieren über die</w:t>
      </w:r>
      <w:r w:rsidR="004220FE">
        <w:t xml:space="preserve"> möglichen Geschäftsmodelle. Ei</w:t>
      </w:r>
      <w:r>
        <w:t xml:space="preserve">nige Projektierer bieten über </w:t>
      </w:r>
      <w:r w:rsidR="00BD06F4">
        <w:t>„</w:t>
      </w:r>
      <w:r>
        <w:t>Solarrechner</w:t>
      </w:r>
      <w:r w:rsidR="00BD06F4">
        <w:t>“</w:t>
      </w:r>
      <w:r>
        <w:t xml:space="preserve"> an, online die Möglichkeiten mit der spezifischen Altanlage abhängig von der Anlagenleis</w:t>
      </w:r>
      <w:r w:rsidR="004220FE">
        <w:t>tung aufzuzeigen und nach unter</w:t>
      </w:r>
      <w:r>
        <w:t>schiedlichen Gesichtspunkten wie Wirtschaftlichkeit und Ökologie zu bewerten. Der Energie-Atlas Bayern verweist auf ein Projekt (PVLOTSE) der Deutschen Gesellschaft für Sonnenenergie e.</w:t>
      </w:r>
      <w:r w:rsidR="004220FE">
        <w:t> </w:t>
      </w:r>
      <w:r>
        <w:t>V. (DGS), welches bezweckt, die wirtschaftliche Weiterführung von P</w:t>
      </w:r>
      <w:r w:rsidR="0078516B">
        <w:t>V</w:t>
      </w:r>
      <w:r>
        <w:t>-Anlagen nach Ablauf der EEG-Förderung sicherzustellen. Ein Baustein des Projekts ist eine Informations-Hotline für Betreiber von Altanlagen.</w:t>
      </w:r>
    </w:p>
    <w:p w:rsidR="00041CAD" w:rsidRDefault="00041CAD">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F1E24" w:rsidTr="00DF1E24">
        <w:tc>
          <w:tcPr>
            <w:tcW w:w="1883" w:type="dxa"/>
          </w:tcPr>
          <w:p w:rsidR="00DF1E24" w:rsidRDefault="00DF1E24" w:rsidP="00DF1E24">
            <w:pPr>
              <w:pStyle w:val="LTAnfrageInitiator"/>
            </w:pPr>
            <w:r>
              <w:t>Abgeordnete</w:t>
            </w:r>
            <w:r>
              <w:rPr>
                <w:b/>
              </w:rPr>
              <w:br/>
              <w:t>Anne</w:t>
            </w:r>
            <w:r>
              <w:rPr>
                <w:b/>
              </w:rPr>
              <w:br/>
              <w:t>Franke</w:t>
            </w:r>
            <w:r>
              <w:rPr>
                <w:b/>
              </w:rPr>
              <w:br/>
            </w:r>
            <w:r>
              <w:t>(BÜNDNIS 90/DIE GRÜNEN)</w:t>
            </w:r>
            <w:bookmarkStart w:id="91" w:name="Frage_Nr_45"/>
            <w:bookmarkEnd w:id="91"/>
          </w:p>
        </w:tc>
        <w:tc>
          <w:tcPr>
            <w:tcW w:w="5733" w:type="dxa"/>
          </w:tcPr>
          <w:p w:rsidR="00DF1E24" w:rsidRPr="00754CFD" w:rsidRDefault="00DF1E24" w:rsidP="00754CFD">
            <w:pPr>
              <w:pStyle w:val="LTAnfrageText"/>
            </w:pPr>
            <w:r w:rsidRPr="00754CFD">
              <w:t>Nach der Auskunft auf meine Frage bei der Regierungsbefragung am 09.02.2021 nach dem Forschungsförderprogramm der Staatsregierung zur Therapie- und Medikamentenforschung (BayTherapie 2020), dass das Auswahlverfahren derzeit laufe, frage ich die Staatsregierung, welche Forschungsvorhaben wurden ausgewählt, wie hoch fällt die Fördersumme für das jeweilige Vorhaben aus und wer hat die Entscheidung über die Auswahl getroffen? </w:t>
            </w:r>
          </w:p>
        </w:tc>
        <w:tc>
          <w:tcPr>
            <w:tcW w:w="5733" w:type="dxa"/>
          </w:tcPr>
          <w:p w:rsidR="00DF1E24" w:rsidRDefault="00DF1E24" w:rsidP="00DF1E24">
            <w:pPr>
              <w:pStyle w:val="LTAnfrageText"/>
            </w:pPr>
          </w:p>
        </w:tc>
      </w:tr>
    </w:tbl>
    <w:p w:rsidR="00041CAD" w:rsidRDefault="00041CAD" w:rsidP="00041CAD">
      <w:pPr>
        <w:pStyle w:val="LTUeberschrAntwortRessort"/>
      </w:pPr>
      <w:r>
        <w:t>Antwort des Staatsministeriums für Wirtschaft, Landesentwicklung und Energie</w:t>
      </w:r>
    </w:p>
    <w:p w:rsidR="00041CAD" w:rsidRDefault="00041CAD" w:rsidP="00041CAD">
      <w:pPr>
        <w:pStyle w:val="LTAntwortRessortText"/>
      </w:pPr>
      <w:r>
        <w:t>Das Staatsministerium für Wirtschaft, Landesent</w:t>
      </w:r>
      <w:r w:rsidR="004220FE">
        <w:t>wicklung und Energie hat am 23.12.</w:t>
      </w:r>
      <w:r>
        <w:t>2020 einen Förderaufruf veröffentlicht, um Forschungs</w:t>
      </w:r>
      <w:r w:rsidR="004220FE">
        <w:t>-, Entwick</w:t>
      </w:r>
      <w:r>
        <w:t xml:space="preserve">lungs- und Innovationsvorhaben (FuEul) zu fördern, </w:t>
      </w:r>
      <w:r w:rsidR="004220FE">
        <w:t>die zur Erforschung und Entwick</w:t>
      </w:r>
      <w:r>
        <w:t>lung von Medikamenten und Therapeutika beitragen,</w:t>
      </w:r>
      <w:r w:rsidR="004220FE">
        <w:t xml:space="preserve"> mit welchen sich potenziell le</w:t>
      </w:r>
      <w:r>
        <w:t>bensbedrohliche Erkrankungen, die das SARS-CoV-2-</w:t>
      </w:r>
      <w:r w:rsidR="0078516B">
        <w:t>Virus hervorruft, behandeln las</w:t>
      </w:r>
      <w:r>
        <w:t>sen. Um gezielt Vorhaben adres</w:t>
      </w:r>
      <w:r w:rsidR="0078516B">
        <w:t>sieren zu können, die das Potenz</w:t>
      </w:r>
      <w:r>
        <w:t xml:space="preserve">ial haben, noch in der </w:t>
      </w:r>
      <w:r w:rsidR="00BD06F4">
        <w:t>COVID-19</w:t>
      </w:r>
      <w:r w:rsidR="004220FE">
        <w:t>-</w:t>
      </w:r>
      <w:r>
        <w:t>Pandemie Wirkung zu entfalten, konnten Projektskizzen bis spätestens 31.01.2021 eingereicht werden.</w:t>
      </w:r>
    </w:p>
    <w:p w:rsidR="00041CAD" w:rsidRDefault="00041CAD" w:rsidP="00EF7425">
      <w:pPr>
        <w:pStyle w:val="LTAntwortRessortText"/>
        <w:spacing w:before="120"/>
      </w:pPr>
      <w:r>
        <w:t>Anschließend wurden die eingereichten Fördervorhaben in einem wettbewerblichen Verfahren von einem externen, unabhängigen Exp</w:t>
      </w:r>
      <w:r w:rsidR="004220FE">
        <w:t>ertengremium begutachtet und be</w:t>
      </w:r>
      <w:r>
        <w:t>wertet. D</w:t>
      </w:r>
      <w:r w:rsidR="004220FE">
        <w:t>ie Gutachtersitzung fand am 26.02.</w:t>
      </w:r>
      <w:r>
        <w:t>2021 statt.</w:t>
      </w:r>
    </w:p>
    <w:p w:rsidR="00041CAD" w:rsidRDefault="00041CAD" w:rsidP="00EF7425">
      <w:pPr>
        <w:pStyle w:val="LTAntwortRessortText"/>
        <w:spacing w:before="120"/>
      </w:pPr>
      <w:r>
        <w:t>Die vom Expertengremium zur Förderung empfohlenen Vorhaben wurden Mitte März zur Antragstellung aufgefordert. Die Aufforderung zur Antragstellung stellt jedoch noch keine Förderzusage dar. Es handelt sich somit um ein noch offenes Verfahren. Daher können noch keine abschließenden Aussagen zur Förderung einzelner Unternehmen bzw. antragstellender Konsortien getroffen werden.</w:t>
      </w:r>
    </w:p>
    <w:p w:rsidR="00041CAD" w:rsidRDefault="00041CAD">
      <w:bookmarkStart w:id="92" w:name="Frage_Nr_45_Ende"/>
      <w:bookmarkEnd w:id="92"/>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DF1E24" w:rsidTr="00DF1E24">
        <w:tc>
          <w:tcPr>
            <w:tcW w:w="1896" w:type="dxa"/>
          </w:tcPr>
          <w:p w:rsidR="00DF1E24" w:rsidRDefault="00DF1E24" w:rsidP="00DF1E24">
            <w:pPr>
              <w:pStyle w:val="LTAnfrageInitiator"/>
            </w:pPr>
            <w:r>
              <w:t>Abgeordneter</w:t>
            </w:r>
            <w:r>
              <w:rPr>
                <w:b/>
              </w:rPr>
              <w:br/>
              <w:t>Christoph</w:t>
            </w:r>
            <w:r>
              <w:rPr>
                <w:b/>
              </w:rPr>
              <w:br/>
              <w:t>Skutella</w:t>
            </w:r>
            <w:r>
              <w:rPr>
                <w:b/>
              </w:rPr>
              <w:br/>
            </w:r>
            <w:r>
              <w:t>(FDP)</w:t>
            </w:r>
            <w:bookmarkStart w:id="93" w:name="Frage_Nr_46"/>
            <w:bookmarkEnd w:id="93"/>
          </w:p>
        </w:tc>
        <w:tc>
          <w:tcPr>
            <w:tcW w:w="5720" w:type="dxa"/>
          </w:tcPr>
          <w:p w:rsidR="00DF1E24" w:rsidRPr="00754CFD" w:rsidRDefault="00DF1E24" w:rsidP="00754CFD">
            <w:pPr>
              <w:pStyle w:val="LTAnfrageText"/>
            </w:pPr>
            <w:r w:rsidRPr="00754CFD">
              <w:t>Ich frage die Staatsregierung, wie viele Unternehmen des Vereinigten Königreichs bzw. des Freistaates Bayern jährlich seit 2016 (ab 2021 bitte Monatszahlen angeben) ihren Firmensitz nach bzw. aus Bayern verlagert haben, wie viele Mitarbeiter dieser Firmen somit jährlich netto zu- bzw. abgewandert sind und wie sich dadurch der Zu- bzw. Abfluss von Geschäftsvolumen dieser Firmen im Freistaat insgesamt pro Jahr netto entwickelt hat?</w:t>
            </w:r>
          </w:p>
        </w:tc>
        <w:tc>
          <w:tcPr>
            <w:tcW w:w="5720" w:type="dxa"/>
          </w:tcPr>
          <w:p w:rsidR="00DF1E24" w:rsidRDefault="00DF1E24" w:rsidP="00DF1E24">
            <w:pPr>
              <w:pStyle w:val="LTAnfrageText"/>
            </w:pPr>
          </w:p>
        </w:tc>
      </w:tr>
    </w:tbl>
    <w:p w:rsidR="00041CAD" w:rsidRDefault="00041CAD" w:rsidP="00041CAD">
      <w:pPr>
        <w:pStyle w:val="LTUeberschrAntwortRessort"/>
      </w:pPr>
      <w:r>
        <w:t>Antwort des Staatsministeriums für Wirtschaft, Landesentwicklung und Energie</w:t>
      </w:r>
    </w:p>
    <w:p w:rsidR="00041CAD" w:rsidRDefault="00041CAD" w:rsidP="00041CAD">
      <w:pPr>
        <w:pStyle w:val="LTAntwortRessortText"/>
      </w:pPr>
      <w:r>
        <w:t>Hierzu liegen der Staatsregierung keine amtlichen Statistiken bzw. gesicherten Daten vor, die einen vollständigen Überblick ermöglichen.</w:t>
      </w:r>
    </w:p>
    <w:p w:rsidR="00041CAD" w:rsidRDefault="00041CAD">
      <w:bookmarkStart w:id="94" w:name="Frage_Nr_46_Ende"/>
      <w:bookmarkEnd w:id="94"/>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DF1E24" w:rsidTr="00DF1E24">
        <w:tc>
          <w:tcPr>
            <w:tcW w:w="1846" w:type="dxa"/>
          </w:tcPr>
          <w:p w:rsidR="00DF1E24" w:rsidRDefault="00DF1E24" w:rsidP="00DF1E24">
            <w:pPr>
              <w:pStyle w:val="LTAnfrageInitiator"/>
            </w:pPr>
            <w:r>
              <w:t>Abgeordneter</w:t>
            </w:r>
            <w:r>
              <w:rPr>
                <w:b/>
              </w:rPr>
              <w:br/>
              <w:t>Ralf</w:t>
            </w:r>
            <w:r>
              <w:rPr>
                <w:b/>
              </w:rPr>
              <w:br/>
              <w:t>Stadler</w:t>
            </w:r>
            <w:r>
              <w:rPr>
                <w:b/>
              </w:rPr>
              <w:br/>
            </w:r>
            <w:r>
              <w:t>(AfD)</w:t>
            </w:r>
            <w:bookmarkStart w:id="95" w:name="Frage_Nr_47"/>
            <w:bookmarkEnd w:id="95"/>
          </w:p>
        </w:tc>
        <w:tc>
          <w:tcPr>
            <w:tcW w:w="5770" w:type="dxa"/>
          </w:tcPr>
          <w:p w:rsidR="00DF1E24" w:rsidRPr="00754CFD" w:rsidRDefault="00DF1E24" w:rsidP="00754CFD">
            <w:pPr>
              <w:pStyle w:val="LTAnfrageText"/>
            </w:pPr>
            <w:r w:rsidRPr="00754CFD">
              <w:t>Ich frage die Staatsregierung, welche bayerischen Profifußballclubs (1. und 2. Liga) haben 2020/2021 Anträge auf staatliche Corona-Hilfen gestellt, welche bayerischen Profifußballclubs (1. und 2. Liga) haben Erstattungsanträge für Verdienstausfälle von Spielern gestellt und welche finanziellen Hilfen haben diese Vereine 2020/2021 erhalten (bitte nach Vereinen und Höhe auflisten)? </w:t>
            </w:r>
          </w:p>
        </w:tc>
        <w:tc>
          <w:tcPr>
            <w:tcW w:w="5770" w:type="dxa"/>
          </w:tcPr>
          <w:p w:rsidR="00DF1E24" w:rsidRDefault="00DF1E24" w:rsidP="00DF1E24">
            <w:pPr>
              <w:pStyle w:val="LTAnfrageText"/>
            </w:pPr>
          </w:p>
        </w:tc>
      </w:tr>
    </w:tbl>
    <w:p w:rsidR="00041CAD" w:rsidRDefault="00041CAD" w:rsidP="00041CAD">
      <w:pPr>
        <w:pStyle w:val="LTUeberschrAntwortRessort"/>
      </w:pPr>
      <w:r>
        <w:t>Antwort des Staatsministeriums für Wirtschaft, Landesentwicklung und Energie</w:t>
      </w:r>
    </w:p>
    <w:p w:rsidR="00041CAD" w:rsidRDefault="00041CAD" w:rsidP="00041CAD">
      <w:pPr>
        <w:pStyle w:val="LTAntwortRessortText"/>
      </w:pPr>
      <w:r>
        <w:t xml:space="preserve">Bisher liegen für die Corona-Hilfsprogramme des Bundes zwei Anträge von </w:t>
      </w:r>
      <w:r w:rsidR="00730DC3">
        <w:t>bayeri</w:t>
      </w:r>
      <w:r>
        <w:t>schen Profifußballclubs vor. Die Spielvereinigung Greuther Fürth und der SSV Jahn Regensburg haben Anträge auf Überbrückungshilfe II gestellt. An die Spielvereinigung Greuther Fürth wurde bereits Überbrückungshilfe I</w:t>
      </w:r>
      <w:r w:rsidR="00730DC3">
        <w:t>I in Höhe von 50.000 Euro ausge</w:t>
      </w:r>
      <w:r>
        <w:t>zahlt. Der Antrag des SSV Jahn Regensburg ist no</w:t>
      </w:r>
      <w:r w:rsidR="00730DC3">
        <w:t>ch nicht bewilligt. Die Überbrü</w:t>
      </w:r>
      <w:r>
        <w:t xml:space="preserve">ckungshilfe II erstattet anteilig Fixkosten bei coronabedingten Umsatzeinbrüchen im Förderzeitraum September bis Dezember 2020. Informationen zum Bundesprogramm </w:t>
      </w:r>
      <w:r w:rsidR="00BD06F4">
        <w:t>„</w:t>
      </w:r>
      <w:r>
        <w:t>Coronahilfen Profisport</w:t>
      </w:r>
      <w:r w:rsidR="00BD06F4">
        <w:t>“</w:t>
      </w:r>
      <w:r>
        <w:t xml:space="preserve"> liegen der Staat</w:t>
      </w:r>
      <w:r w:rsidR="00730DC3">
        <w:t>sregierung nicht vor. Ebenso we</w:t>
      </w:r>
      <w:r>
        <w:t>nig hat die Staatsregierung Kenntnis von Erstattungsanträgen für Verdienstausfälle von Spielern.</w:t>
      </w:r>
    </w:p>
    <w:p w:rsidR="00041CAD" w:rsidRDefault="00041CAD">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C2E71" w:rsidTr="004C2E71">
        <w:tc>
          <w:tcPr>
            <w:tcW w:w="1883" w:type="dxa"/>
          </w:tcPr>
          <w:p w:rsidR="004C2E71" w:rsidRDefault="004C2E71" w:rsidP="004C2E71">
            <w:pPr>
              <w:pStyle w:val="LTAnfrageInitiator"/>
            </w:pPr>
            <w:r>
              <w:t>Abgeordneter</w:t>
            </w:r>
            <w:r>
              <w:rPr>
                <w:b/>
              </w:rPr>
              <w:br/>
              <w:t>Martin</w:t>
            </w:r>
            <w:r>
              <w:rPr>
                <w:b/>
              </w:rPr>
              <w:br/>
              <w:t>Stümpfig</w:t>
            </w:r>
            <w:r>
              <w:rPr>
                <w:b/>
              </w:rPr>
              <w:br/>
            </w:r>
            <w:r>
              <w:t>(BÜNDNIS 90/DIE GRÜNEN)</w:t>
            </w:r>
            <w:bookmarkStart w:id="97" w:name="Frage_Nr_48"/>
            <w:bookmarkEnd w:id="97"/>
          </w:p>
        </w:tc>
        <w:tc>
          <w:tcPr>
            <w:tcW w:w="5733" w:type="dxa"/>
          </w:tcPr>
          <w:p w:rsidR="004C2E71" w:rsidRPr="00754CFD" w:rsidRDefault="004C2E71" w:rsidP="00754CFD">
            <w:pPr>
              <w:pStyle w:val="LTAnfrageText"/>
            </w:pPr>
            <w:r w:rsidRPr="00754CFD">
              <w:t>Ich frage die Staatsregierung, hält sie den geplanten Ersatzbau P53 (Juraleitung), unabhängig von der konkreten Trassenführung, für sinnvoll und notwendig, wenn nein, welche Untersuchungen liegen der Staatsregierung dazu vor und wo hat sie diese Position im Verfahren eingebracht?</w:t>
            </w:r>
          </w:p>
        </w:tc>
        <w:tc>
          <w:tcPr>
            <w:tcW w:w="5733" w:type="dxa"/>
          </w:tcPr>
          <w:p w:rsidR="004C2E71" w:rsidRDefault="004C2E71" w:rsidP="004C2E71">
            <w:pPr>
              <w:pStyle w:val="LTAnfrageText"/>
            </w:pPr>
          </w:p>
        </w:tc>
      </w:tr>
    </w:tbl>
    <w:p w:rsidR="00041CAD" w:rsidRDefault="00041CAD" w:rsidP="00041CAD">
      <w:pPr>
        <w:pStyle w:val="LTUeberschrAntwortRessort"/>
      </w:pPr>
      <w:r>
        <w:t>Antwort des Staatsministeriums für Wirtschaft, Landesentwicklung und Energie</w:t>
      </w:r>
    </w:p>
    <w:p w:rsidR="00041CAD" w:rsidRDefault="00730DC3" w:rsidP="00041CAD">
      <w:pPr>
        <w:pStyle w:val="LTAntwortRessortText"/>
      </w:pPr>
      <w:r>
        <w:t xml:space="preserve">Die </w:t>
      </w:r>
      <w:r w:rsidR="00041CAD">
        <w:t>Staatsregierung akzeptiert den Ersatzneubau für die sog. Juraleitung als aktuell gültige bundespolitische Beschlusslage. Die Festschreibung des Bedarfs im Bundesbedarfsplangesetz wurde erst vor Kurzem mit dem Gesetz zur Änderung des Bundesbedarfsplangesetzes und anderer Vorschriften vom 25</w:t>
      </w:r>
      <w:r w:rsidR="00F522C0">
        <w:t>.02.2021 bestä</w:t>
      </w:r>
      <w:r w:rsidR="00041CAD">
        <w:t>tigt.</w:t>
      </w:r>
    </w:p>
    <w:p w:rsidR="00041CAD" w:rsidRDefault="00041CAD" w:rsidP="00041CAD">
      <w:pPr>
        <w:pStyle w:val="LTAntwortRessortText"/>
      </w:pPr>
      <w:r>
        <w:t>Dem Bundesbedarfsplangesetz liegt jeweils ein Netzentwicklungsplan zugrunde, der von den Übertragungsnetzbetreibern erarbeitet und der Bundesnetzagentur geprüft bzw. bestätigt wird. Im Zuge dieses Prozesses gibt es mehrere Konsultationen der Öffentlichkeit und der Fachwelt und es werden begleitende Gutachten erstellt.</w:t>
      </w:r>
    </w:p>
    <w:p w:rsidR="00041CAD" w:rsidRDefault="00041CAD" w:rsidP="00041CAD">
      <w:pPr>
        <w:pStyle w:val="LTAntwortRessortText"/>
      </w:pPr>
      <w:r>
        <w:t>Unabhängig von einzelnen Netzausbauvorhaben wie der Juraleitung ist es Ziel der Staatsregierung, durch eine verstärkt dezentrale Energiewende in Bayern in Verbindung mit dem Einsatz von Speichertechnologien sowie durch intelligente, digitale und innovative Maßnahmen im Bereich des Netzbetriebs den Übertragungsnetz-ausbaubedarf möglichst gering zu halten. Dies wurde u.</w:t>
      </w:r>
      <w:r w:rsidR="00F522C0">
        <w:t> a. in der Konsultation der Bun</w:t>
      </w:r>
      <w:r>
        <w:t>desnetzagentur zum Netzentwicklungsplan 2030 (20</w:t>
      </w:r>
      <w:r w:rsidR="00F522C0">
        <w:t>19) durch das Bayerische Staats</w:t>
      </w:r>
      <w:r>
        <w:t>ministerium für Wirtschaft, Landesentwicklung und Energie entsprechend vorgebracht.</w:t>
      </w:r>
    </w:p>
    <w:p w:rsidR="00041CAD" w:rsidRDefault="00041CAD" w:rsidP="00041CAD">
      <w:pPr>
        <w:pStyle w:val="LTAntwortRessortText"/>
      </w:pPr>
      <w:r>
        <w:t>Dieser Netzentwicklungsplan liegt der jüngsten Novelle des Bundesbedarfsplangesetzes</w:t>
      </w:r>
      <w:r w:rsidR="00EF7425">
        <w:t xml:space="preserve"> </w:t>
      </w:r>
      <w:r>
        <w:t>zugrunde.</w:t>
      </w:r>
    </w:p>
    <w:p w:rsidR="00041CAD" w:rsidRDefault="00041CAD">
      <w:bookmarkStart w:id="98" w:name="Frage_Nr_48_Ende"/>
      <w:bookmarkEnd w:id="98"/>
      <w:r>
        <w:br w:type="page"/>
      </w:r>
    </w:p>
    <w:p w:rsidR="00041CAD" w:rsidRDefault="00041CAD" w:rsidP="00041CAD">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C2E71" w:rsidTr="004C2E71">
        <w:tc>
          <w:tcPr>
            <w:tcW w:w="1883" w:type="dxa"/>
          </w:tcPr>
          <w:p w:rsidR="004C2E71" w:rsidRDefault="004C2E71" w:rsidP="004C2E71">
            <w:pPr>
              <w:pStyle w:val="LTAnfrageInitiator"/>
            </w:pPr>
            <w:r>
              <w:t>Abgeordneter</w:t>
            </w:r>
            <w:r>
              <w:rPr>
                <w:b/>
              </w:rPr>
              <w:br/>
              <w:t>Paul</w:t>
            </w:r>
            <w:r>
              <w:rPr>
                <w:b/>
              </w:rPr>
              <w:br/>
              <w:t>Knoblach</w:t>
            </w:r>
            <w:r>
              <w:rPr>
                <w:b/>
              </w:rPr>
              <w:br/>
            </w:r>
            <w:r>
              <w:t>(BÜNDNIS 90/DIE GRÜNEN)</w:t>
            </w:r>
            <w:bookmarkStart w:id="99" w:name="Frage_Nr_49"/>
            <w:bookmarkEnd w:id="99"/>
          </w:p>
        </w:tc>
        <w:tc>
          <w:tcPr>
            <w:tcW w:w="5733" w:type="dxa"/>
          </w:tcPr>
          <w:p w:rsidR="004C2E71" w:rsidRPr="00754CFD" w:rsidRDefault="004C2E71" w:rsidP="00754CFD">
            <w:pPr>
              <w:pStyle w:val="LTAnfrageText"/>
            </w:pPr>
            <w:r w:rsidRPr="00754CFD">
              <w:t>Hinsichtlich der Antwort auf Frage 4b des Staatsministeriums für Umwelt und Verbraucherschutz auf die Schriftliche Anfrage „Verbrennung und Deponierung freigemessener Abfälle aus kerntechnischen Anlagen“ (Drs. 18/10192) der Abgeordneten Rosi Steinberger und Paul Knoblach vom 02.09.2020: „Die Festlegung der Freigabewerte in der StrlSchV basiert auf dem 10 Mikrosievert (µSv)-Konzept. Die Einhaltung einer im Vergleich zur natürlichen S</w:t>
            </w:r>
            <w:r w:rsidR="00F522C0">
              <w:t>trahlenexposition von ca. 2.100 </w:t>
            </w:r>
            <w:r w:rsidRPr="00754CFD">
              <w:t>µSv/Jahr als vernachlässigbar eingestuften zusätzlichen Strahlenexposition von 10 µSv/Jahr für die am höchsten exponierte Einzelperson der Bevölkerung ist die Grundlage des Konzepts der Freigabe. Die Einhaltung der Freigabewerte wird überprüft.“ – frage ich die Staatsregierung, welche Messungen von Radioaktivität und Strahlung haben staatliche Behörden – insbesondere das Landesamt für Umweltschutz (LfU) – bisher bezüglich spezifisch freigegebenen Abfällen aus dem Kernkraftwerk Grafenrheinfeld (KKG), die auf der Reststoffdeponie Rothmühle deponiert wurden, durchgeführt, welche – gegebenenfalls regelmäßigen – Messungen sind geplant und welche Ergebnisse haben diese Messungen ergeben (bitte aufschlüsseln nach Art der Messung, Datum, Ort innerhalb der Reststoffdeponie und Ergebnis)?</w:t>
            </w:r>
          </w:p>
        </w:tc>
        <w:tc>
          <w:tcPr>
            <w:tcW w:w="5733" w:type="dxa"/>
          </w:tcPr>
          <w:p w:rsidR="004C2E71" w:rsidRDefault="004C2E71" w:rsidP="004C2E71">
            <w:pPr>
              <w:pStyle w:val="LTAnfrageText"/>
            </w:pPr>
          </w:p>
        </w:tc>
      </w:tr>
    </w:tbl>
    <w:p w:rsidR="00041CAD" w:rsidRDefault="00041CAD" w:rsidP="00041CAD">
      <w:pPr>
        <w:pStyle w:val="LTUeberschrAntwortRessort"/>
      </w:pPr>
      <w:r>
        <w:t>Antwort des Staatsministeriums für Umwelt und Verbraucherschutz</w:t>
      </w:r>
    </w:p>
    <w:p w:rsidR="00041CAD" w:rsidRDefault="00041CAD" w:rsidP="00041CAD">
      <w:pPr>
        <w:pStyle w:val="LTAntwortRessortText"/>
      </w:pPr>
      <w:r>
        <w:t>Die spezifische Freigabe von radioaktiven Stoffen aus dem Kernkraftwerk Grafenrheinfeld (KKG) zur Beseitigung auf der Reststoffdeponie Rothmühle als nicht radioaktive Stoffe erfolgt auf der Grundlage von Messungen der Betreiberin des KKG. Im anschließenden Aufsichtsverfahren prüft das L</w:t>
      </w:r>
      <w:r w:rsidR="002F342A">
        <w:t>andesamt für Umwelt (L</w:t>
      </w:r>
      <w:r>
        <w:t>fU</w:t>
      </w:r>
      <w:r w:rsidR="002F342A">
        <w:t>)</w:t>
      </w:r>
      <w:r>
        <w:t xml:space="preserve"> die Ergebnisse dieser Messungen und nimmt chargenweise stichprobenartig eigene Kontrollmessungen im KKG vor. Messungen nach der Beseitigung auf der Reststoffdeponie sind im Rahmen dieses Verfahrens nicht vorgesehen. Gleichwohl hat das LfU im Zusammenhang mit der aktuell stattfindenden Beseitigung von Isoliermaterial aus dem KKG auf Bitten des Landratsamts Schweinfurt am 15.02.2021 am Einlagerungsort dieses Materials auf der Reststoffdeponie Rothmühle Dosisleistungsmessungen durchgeführt. Dabei wurde eine Ortsdosisleistung von 45 Nanosievert pro Stunde gemessen, was im unteren Bereich der natürlichen Hintergrundstrahlung in dieser Region liegt. Damit konnte kein durch dieses Material verursachter zusätzlicher Beitrag zur Ortsdosisleistung festgestellt werden.</w:t>
      </w:r>
    </w:p>
    <w:p w:rsidR="00041CAD" w:rsidRDefault="00041CAD">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C2E71" w:rsidTr="004C2E71">
        <w:tc>
          <w:tcPr>
            <w:tcW w:w="1883" w:type="dxa"/>
          </w:tcPr>
          <w:p w:rsidR="004C2E71" w:rsidRDefault="004C2E71" w:rsidP="004C2E71">
            <w:pPr>
              <w:pStyle w:val="LTAnfrageInitiator"/>
            </w:pPr>
            <w:r>
              <w:t>Abgeordnete</w:t>
            </w:r>
            <w:r>
              <w:rPr>
                <w:b/>
              </w:rPr>
              <w:br/>
              <w:t>Ursula</w:t>
            </w:r>
            <w:r>
              <w:rPr>
                <w:b/>
              </w:rPr>
              <w:br/>
              <w:t>Sowa</w:t>
            </w:r>
            <w:r>
              <w:rPr>
                <w:b/>
              </w:rPr>
              <w:br/>
            </w:r>
            <w:r>
              <w:t>(BÜNDNIS 90/DIE GRÜNEN)</w:t>
            </w:r>
            <w:bookmarkStart w:id="101" w:name="Frage_Nr_50"/>
            <w:bookmarkEnd w:id="101"/>
          </w:p>
        </w:tc>
        <w:tc>
          <w:tcPr>
            <w:tcW w:w="5733" w:type="dxa"/>
          </w:tcPr>
          <w:p w:rsidR="004C2E71" w:rsidRPr="00754CFD" w:rsidRDefault="004C2E71" w:rsidP="00EF7425">
            <w:pPr>
              <w:pStyle w:val="LTAnfrageText"/>
            </w:pPr>
            <w:r w:rsidRPr="00754CFD">
              <w:t xml:space="preserve">Ich frage die Staatsregierung, wie lautet die Antwort von Frau Bundesministerin für Ernährung und Landwirtschaft Julia Klöckner auf die Nachfragen des Staatsministers für Umwelt und Verbraucherschutz Thorsten Glauber (siehe Antwortschreiben an </w:t>
            </w:r>
            <w:r w:rsidRPr="00EF7425">
              <w:rPr>
                <w:highlight w:val="black"/>
              </w:rPr>
              <w:t>---------------</w:t>
            </w:r>
            <w:r w:rsidRPr="00754CFD">
              <w:t>, 12.02.2021, Az: 64h-U8633-2021/</w:t>
            </w:r>
            <w:r w:rsidR="001F7903">
              <w:br/>
            </w:r>
            <w:r w:rsidRPr="00754CFD">
              <w:t xml:space="preserve">3-1) bezüglich des uneingeschränkten Zugangs auch von Nebenerwerbslandwirtinnen bzw. -landwirten zu den EU-Fördermitteln sowie bezüglich der Einbeziehung der Beschlüsse der Umweltministerkonferenz sowie der Zukunftskommission hinsichtlich einer abschließenden Grundentscheidung zur nationalen Gemeinsamen Agrarpolitik </w:t>
            </w:r>
            <w:r w:rsidR="001F7903">
              <w:t xml:space="preserve">(GAP) </w:t>
            </w:r>
            <w:r w:rsidRPr="00754CFD">
              <w:t>in den Abstimmungsprozess und welche weiteren Schritte sind in dieser fachlichen Hinsicht vonseiten des Staatsministeriums für Umwelt und Verbraucherschutz geplant?</w:t>
            </w:r>
          </w:p>
        </w:tc>
        <w:tc>
          <w:tcPr>
            <w:tcW w:w="5733" w:type="dxa"/>
          </w:tcPr>
          <w:p w:rsidR="004C2E71" w:rsidRDefault="004C2E71" w:rsidP="004C2E71">
            <w:pPr>
              <w:pStyle w:val="LTAnfrageText"/>
            </w:pPr>
          </w:p>
        </w:tc>
      </w:tr>
    </w:tbl>
    <w:p w:rsidR="00041CAD" w:rsidRDefault="00041CAD" w:rsidP="00041CAD">
      <w:pPr>
        <w:pStyle w:val="LTUeberschrAntwortRessort"/>
      </w:pPr>
      <w:r>
        <w:t>Antwort des Staatsministeriums für Umwelt und Verbraucherschutz</w:t>
      </w:r>
    </w:p>
    <w:p w:rsidR="00041CAD" w:rsidRDefault="00041CAD" w:rsidP="00041CAD">
      <w:pPr>
        <w:pStyle w:val="LTAntwortRessortText"/>
      </w:pPr>
      <w:r>
        <w:t xml:space="preserve">Ein Antwortschreiben von </w:t>
      </w:r>
      <w:r w:rsidR="001F7903">
        <w:t>Bundesministerin für Ernährung, Landwirtschaft und Verbraucherschutz Julia</w:t>
      </w:r>
      <w:r>
        <w:t xml:space="preserve"> Klöckner steht noch aus.</w:t>
      </w:r>
    </w:p>
    <w:p w:rsidR="00041CAD" w:rsidRDefault="00041CAD" w:rsidP="00EF7425">
      <w:pPr>
        <w:pStyle w:val="LTAntwortRessortText"/>
        <w:spacing w:before="0"/>
      </w:pPr>
      <w:r>
        <w:t>Die Gesetzgebungsverfahren zur nationalen Umsetzung der GAP laufen. Bayern wird sich, sofern erforderlich, im Bundesrat entsprechend einbringen.</w:t>
      </w:r>
    </w:p>
    <w:p w:rsidR="00041CAD" w:rsidRDefault="00041CAD">
      <w:bookmarkStart w:id="102" w:name="Frage_Nr_50_Ende"/>
      <w:bookmarkEnd w:id="10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92745" w:rsidTr="00692745">
        <w:tc>
          <w:tcPr>
            <w:tcW w:w="1883" w:type="dxa"/>
          </w:tcPr>
          <w:p w:rsidR="00692745" w:rsidRDefault="00692745" w:rsidP="00692745">
            <w:pPr>
              <w:pStyle w:val="LTAnfrageInitiator"/>
            </w:pPr>
            <w:r>
              <w:t>Abgeordneter</w:t>
            </w:r>
            <w:r>
              <w:rPr>
                <w:b/>
              </w:rPr>
              <w:br/>
              <w:t>Hans</w:t>
            </w:r>
            <w:r>
              <w:rPr>
                <w:b/>
              </w:rPr>
              <w:br/>
              <w:t>Urban</w:t>
            </w:r>
            <w:r>
              <w:rPr>
                <w:b/>
              </w:rPr>
              <w:br/>
            </w:r>
            <w:r>
              <w:t>(BÜNDNIS 90/DIE GRÜNEN)</w:t>
            </w:r>
            <w:bookmarkStart w:id="103" w:name="Frage_Nr_51"/>
            <w:bookmarkEnd w:id="103"/>
          </w:p>
        </w:tc>
        <w:tc>
          <w:tcPr>
            <w:tcW w:w="5733" w:type="dxa"/>
          </w:tcPr>
          <w:p w:rsidR="00692745" w:rsidRPr="00754CFD" w:rsidRDefault="00692745" w:rsidP="00754CFD">
            <w:pPr>
              <w:pStyle w:val="LTAnfrageText"/>
            </w:pPr>
            <w:r w:rsidRPr="00754CFD">
              <w:t xml:space="preserve">Ich frage die Staatsregierung, wird sie Flächen zur Schaffung weiterer Parkplätze (Verdreifachung auf 450 Stück) am Sylvensteinstausee zur Verfügung stellen, wie steht sie zu Alternativen wie einem Shuttlebussystem für Tagestouristinnen und </w:t>
            </w:r>
            <w:r w:rsidR="002F342A">
              <w:br/>
            </w:r>
            <w:r w:rsidRPr="00754CFD">
              <w:t>-touristen o. Ä. insbesondere hinsichtlich des sensiblen Gebiets (FFH/Naturschutz), dem hier Rechnung zu tragen ist und welche Maßnahmen kommen hier aus Sicht der Staatsregierung zusätzlich in Betracht, um eine gezielte Besucherinnen- bzw. Besucherlenkung insbesondere hinsichtlich des Verkehrsaufkommens zu erreichen? </w:t>
            </w:r>
          </w:p>
        </w:tc>
        <w:tc>
          <w:tcPr>
            <w:tcW w:w="5733" w:type="dxa"/>
          </w:tcPr>
          <w:p w:rsidR="00692745" w:rsidRDefault="00692745" w:rsidP="00692745">
            <w:pPr>
              <w:pStyle w:val="LTAnfrageText"/>
            </w:pPr>
          </w:p>
        </w:tc>
      </w:tr>
    </w:tbl>
    <w:p w:rsidR="00041CAD" w:rsidRDefault="00041CAD" w:rsidP="00041CAD">
      <w:pPr>
        <w:pStyle w:val="LTUeberschrAntwortRessort"/>
      </w:pPr>
      <w:r>
        <w:t>Antwort des Staatsministeriums für Umwelt und Verbraucherschutz</w:t>
      </w:r>
      <w:r w:rsidR="003B574F">
        <w:t xml:space="preserve"> im Einvernehmen mit dem Staatsministerium für Wirtschaft, Landesentwicklung und Energie</w:t>
      </w:r>
    </w:p>
    <w:p w:rsidR="00041CAD" w:rsidRDefault="00041CAD" w:rsidP="00041CAD">
      <w:pPr>
        <w:pStyle w:val="LTAntwortRessortText"/>
      </w:pPr>
      <w:r>
        <w:t>Die Gemeinde Lenggries möchte ein Grundstück des Wasserwirtschaftsamtes Weilheim im Bereich der Wasserwachthütte pachten, um hier einen bestehenden (unbewirtschafteten) Parkplatz zu betreiben (eines von 14 Parkplatzprojekten im Gemeindegebiet). Die Parkplatzfläche soll hierfür ca. verdoppelt sowie verkehrssichere Ein- und Ausfahrten über die (Fahrbahn-) Böschungen (Baumbestand) gebaut werden. Das Grundstück liegt im Einstaubereich des Sylvensteinspeichers, wobei eine ausreichende Vorwarnzeit (mehrere Tage) zum Räumen des Parkplatzes besteht. Einer Verpachtung kann nur zugestimmt werden, wenn die Gemeinde Lenggries die Unterhaltung übernimmt (Pflege der Flächen, Müllentsorgung, Toilettenwartung, Verkehrssicherungspflicht etc.). Auf die notwendigen wasserrechtlichen und naturschutzfachlichen Genehmigungen wurde die Gemeinde hingewiesen.</w:t>
      </w:r>
    </w:p>
    <w:p w:rsidR="00041CAD" w:rsidRDefault="00041CAD" w:rsidP="00041CAD">
      <w:pPr>
        <w:pStyle w:val="LTAntwortRessortText"/>
      </w:pPr>
      <w:r>
        <w:t>Ein konkreter Antrag liegt laut Landratsamt Bad Tölz-Wolfratshausen als unterer Naturschutzbehörde noch nicht vor, so dass auch keine konkreten Aussagen zur eventuellen naturschutzfachlichen Bewertung und zu möglicherweise erforderlichen Vermeidungs- und Ausgleichsmaßnahmen getroffen werden können.</w:t>
      </w:r>
    </w:p>
    <w:p w:rsidR="00041CAD" w:rsidRDefault="00041CAD" w:rsidP="003B574F">
      <w:pPr>
        <w:pStyle w:val="LTAntwortRessortText"/>
        <w:spacing w:before="0"/>
      </w:pPr>
      <w:r>
        <w:t>Der Parkplatz liegt im L</w:t>
      </w:r>
      <w:r w:rsidR="002F342A">
        <w:t>andschaftsschutzgebiet</w:t>
      </w:r>
      <w:r>
        <w:t xml:space="preserve"> </w:t>
      </w:r>
      <w:r w:rsidR="00BD06F4">
        <w:t>„</w:t>
      </w:r>
      <w:r w:rsidR="002F342A">
        <w:t>Sylvensteinsee und O</w:t>
      </w:r>
      <w:r>
        <w:t>beres Isartal in den Gemeinden Lenggries und Jachenau</w:t>
      </w:r>
      <w:r w:rsidR="00BD06F4">
        <w:t>“</w:t>
      </w:r>
      <w:r>
        <w:t>. Nach erster Einschätzung des Landratsamts liegen die eventuell zur Erweiterung des Parkplatzes vorgesehenen Flächen jedoch außerhalb des FFH-Gebietes DE8034-371 Oberes Isartal.</w:t>
      </w:r>
    </w:p>
    <w:p w:rsidR="00041CAD" w:rsidRDefault="00041CAD" w:rsidP="00041CAD">
      <w:pPr>
        <w:pStyle w:val="LTAntwortRessortText"/>
      </w:pPr>
      <w:r>
        <w:t>Für die Frage eines Shuttlebussystems besteht die Zuständigkeit der Kommunen.</w:t>
      </w:r>
    </w:p>
    <w:p w:rsidR="00041CAD" w:rsidRDefault="00041CAD" w:rsidP="00041CAD">
      <w:pPr>
        <w:pStyle w:val="LTAntwortRessortText"/>
      </w:pPr>
      <w:r>
        <w:t>Bezüglich Besucherlenkungsmaßnahmen im Gelände ist es wichtig, die Menschen über</w:t>
      </w:r>
      <w:r w:rsidR="003B574F">
        <w:t xml:space="preserve"> </w:t>
      </w:r>
      <w:r>
        <w:t>naturverträgliches Verhalten vor Ort aufzuklären. Der Bayerische Naturschutzfonds fördert hierzu</w:t>
      </w:r>
      <w:r w:rsidR="003B574F">
        <w:t xml:space="preserve"> </w:t>
      </w:r>
      <w:r>
        <w:t>den Einsatz von Gebietsbetreuern. Ein derartiges Betreuungsgebiet ist</w:t>
      </w:r>
      <w:r w:rsidR="002F342A">
        <w:t xml:space="preserve"> auch das O</w:t>
      </w:r>
      <w:r>
        <w:t>bere Isartal.</w:t>
      </w:r>
      <w:r w:rsidR="003B574F">
        <w:t xml:space="preserve"> </w:t>
      </w:r>
      <w:r>
        <w:t>Zudem kann die Naturschutzwacht, deren Aufgaben im Landkreis Bad Tölz-Wolfratshausen durch</w:t>
      </w:r>
      <w:r w:rsidR="003B574F">
        <w:t xml:space="preserve"> </w:t>
      </w:r>
      <w:r>
        <w:t>die Bergwacht wahrgenommen werden, zur Besucherlenkung vor Ort beitragen.</w:t>
      </w:r>
    </w:p>
    <w:p w:rsidR="00041CAD" w:rsidRDefault="00041CAD" w:rsidP="00041CAD">
      <w:pPr>
        <w:pStyle w:val="LTAntwortRessortText"/>
      </w:pPr>
      <w:r>
        <w:t>Wünschenswert ist es, dass sich Besucher vorab informieren können, welche Gebiete aktuell stark</w:t>
      </w:r>
      <w:r w:rsidR="003B574F">
        <w:t xml:space="preserve"> </w:t>
      </w:r>
      <w:r>
        <w:t>frequentiert sind.</w:t>
      </w:r>
    </w:p>
    <w:p w:rsidR="00041CAD" w:rsidRDefault="00041CAD" w:rsidP="003B574F">
      <w:pPr>
        <w:pStyle w:val="LTAntwortRessortText"/>
        <w:spacing w:before="0"/>
      </w:pPr>
      <w:r>
        <w:t xml:space="preserve">Das </w:t>
      </w:r>
      <w:r w:rsidR="003A0EE0">
        <w:t xml:space="preserve">Staatsministerium für Wirtschaft, Landesentwicklung und Energie </w:t>
      </w:r>
      <w:r>
        <w:t>hat daher den Ausflugsticker Bayern</w:t>
      </w:r>
      <w:r w:rsidR="003B574F">
        <w:t xml:space="preserve"> </w:t>
      </w:r>
      <w:r>
        <w:t>(</w:t>
      </w:r>
      <w:hyperlink r:id="rId21" w:history="1">
        <w:r w:rsidR="003A0EE0" w:rsidRPr="003A0EE0">
          <w:rPr>
            <w:rStyle w:val="LTHyperlinkZchn"/>
            <w:b w:val="0"/>
          </w:rPr>
          <w:t>https://</w:t>
        </w:r>
        <w:r w:rsidRPr="003A0EE0">
          <w:rPr>
            <w:rStyle w:val="LTHyperlinkZchn"/>
            <w:b w:val="0"/>
          </w:rPr>
          <w:t>www.ausflugsticker.bayern</w:t>
        </w:r>
      </w:hyperlink>
      <w:r>
        <w:t>) gestartet, um möglichst bereits vor der Anreise die Besucherströme in</w:t>
      </w:r>
      <w:r w:rsidR="003B574F">
        <w:t xml:space="preserve"> </w:t>
      </w:r>
      <w:r>
        <w:t>weniger frequentierte Ausflugsziele zu lenken. Der Ausflugsticker bietet den Destinationen die</w:t>
      </w:r>
      <w:r w:rsidR="003B574F">
        <w:t xml:space="preserve"> </w:t>
      </w:r>
      <w:r>
        <w:t>Möglichkeit, potenzielle Gäste aktuell über Wartezeiten, Staus, volle Parkp</w:t>
      </w:r>
      <w:r w:rsidR="003A0EE0">
        <w:t>lätze o. </w:t>
      </w:r>
      <w:r>
        <w:t>ä. zu</w:t>
      </w:r>
      <w:r w:rsidR="003B574F">
        <w:t xml:space="preserve"> </w:t>
      </w:r>
      <w:r>
        <w:t>informieren, aber auch auf Alternativen hinzuweisen. Der Ausflugsticker Bayern wurde rechtzeitig</w:t>
      </w:r>
      <w:r w:rsidR="003B574F">
        <w:t xml:space="preserve"> </w:t>
      </w:r>
      <w:r>
        <w:t>vor den Osterfeiertagen technisch überarbeitet und verbessert mit dem Ziel, die</w:t>
      </w:r>
      <w:r w:rsidR="003B574F">
        <w:t xml:space="preserve"> </w:t>
      </w:r>
      <w:r>
        <w:t>Nutzerfreundlichkeit und die Filterfunktionen zu verbessern.</w:t>
      </w:r>
    </w:p>
    <w:p w:rsidR="00041CAD" w:rsidRDefault="00041CAD">
      <w:bookmarkStart w:id="104" w:name="Frage_Nr_51_Ende"/>
      <w:bookmarkEnd w:id="104"/>
      <w:r>
        <w:br w:type="page"/>
      </w:r>
    </w:p>
    <w:p w:rsidR="00041CAD" w:rsidRDefault="00041CAD" w:rsidP="00041CAD">
      <w:pPr>
        <w:pStyle w:val="LTUeberschrRessort"/>
      </w:pPr>
      <w:r>
        <w:t>Geschäftsbereich des Staatsministeriums für Ernährung, Landwirtschaft und Forsten</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CF635D" w:rsidTr="00CF635D">
        <w:tc>
          <w:tcPr>
            <w:tcW w:w="1873" w:type="dxa"/>
          </w:tcPr>
          <w:p w:rsidR="00CF635D" w:rsidRDefault="00CF635D" w:rsidP="00CF635D">
            <w:pPr>
              <w:pStyle w:val="LTAnfrageInitiator"/>
            </w:pPr>
            <w:r>
              <w:t>Abgeordneter</w:t>
            </w:r>
            <w:r>
              <w:rPr>
                <w:b/>
              </w:rPr>
              <w:br/>
              <w:t>Horst</w:t>
            </w:r>
            <w:r>
              <w:rPr>
                <w:b/>
              </w:rPr>
              <w:br/>
              <w:t>Arnold</w:t>
            </w:r>
            <w:r>
              <w:rPr>
                <w:b/>
              </w:rPr>
              <w:br/>
            </w:r>
            <w:r>
              <w:t>(SPD)</w:t>
            </w:r>
            <w:bookmarkStart w:id="105" w:name="Frage_Nr_52"/>
            <w:bookmarkEnd w:id="105"/>
          </w:p>
        </w:tc>
        <w:tc>
          <w:tcPr>
            <w:tcW w:w="5743" w:type="dxa"/>
          </w:tcPr>
          <w:p w:rsidR="00CF635D" w:rsidRPr="00754CFD" w:rsidRDefault="00CF635D" w:rsidP="00754CFD">
            <w:pPr>
              <w:pStyle w:val="LTAnfrageText"/>
            </w:pPr>
            <w:r w:rsidRPr="00754CFD">
              <w:t xml:space="preserve">Ich frage die Staatsregierung, wie viele Erntearbeiterinnen und </w:t>
            </w:r>
            <w:r w:rsidRPr="00754CFD">
              <w:br/>
              <w:t>-arbeiter bzw. -helferinnen und -helfer sind nach Kenntnis oder Schätzung der Staatsregierung aktuell (in dieser Saison) in der bayerischen Landwirtschaft tätig (bitte auch nach Regierungsbezirken und Kommunen ausdifferenzieren), wie hat sich das Corona-Infektionsgeschehen in diesem Bereich in den vergangenen 14 Tagen entwickelt (bitte für jeden einzelnen Tag Anzahl der positiven Tests und der Anzahl an Tests insgesamt angeben und jeweils auf Ebene der Regierungsbezirke und der Kommunen ausdifferenzieren) und welche konkreten Maßnahmen unternimmt die Staatsregierung zur Prävention und zur Eindämmung eines möglichen Infektionsgeschehens?</w:t>
            </w:r>
          </w:p>
        </w:tc>
        <w:tc>
          <w:tcPr>
            <w:tcW w:w="5743" w:type="dxa"/>
          </w:tcPr>
          <w:p w:rsidR="00CF635D" w:rsidRDefault="00CF635D" w:rsidP="00CF635D">
            <w:pPr>
              <w:pStyle w:val="LTAnfrageText"/>
            </w:pPr>
          </w:p>
        </w:tc>
      </w:tr>
    </w:tbl>
    <w:p w:rsidR="00041CAD" w:rsidRDefault="00041CAD" w:rsidP="00041CAD">
      <w:pPr>
        <w:pStyle w:val="LTUeberschrAntwortRessort"/>
      </w:pPr>
      <w:r>
        <w:t>Antwort des Staatsministeriums für Ernährung, Landwirtschaft und Forsten</w:t>
      </w:r>
    </w:p>
    <w:p w:rsidR="00041CAD" w:rsidRPr="005B2E9C" w:rsidRDefault="00041CAD" w:rsidP="00EE28B3">
      <w:pPr>
        <w:pStyle w:val="LTAntwortRessortText"/>
        <w:spacing w:after="240"/>
        <w:rPr>
          <w:b/>
        </w:rPr>
      </w:pPr>
      <w:r w:rsidRPr="005B2E9C">
        <w:rPr>
          <w:b/>
        </w:rPr>
        <w:t>Schätzung nach aktuell in der Landwirtschaft tätigen Saisonarbeitskräften</w:t>
      </w:r>
    </w:p>
    <w:p w:rsidR="00041CAD" w:rsidRDefault="00041CAD" w:rsidP="00511FF3">
      <w:pPr>
        <w:pStyle w:val="LTAntwortRessortText"/>
        <w:spacing w:before="0"/>
      </w:pPr>
      <w:r>
        <w:t>Die Staatsregierung schätzt auf Basis von Hochrechnungen mit Angaben des Bayerischen Bauernverbandes für den April 2021, dass unge</w:t>
      </w:r>
      <w:r w:rsidR="003A0EE0">
        <w:t>fähr 10 </w:t>
      </w:r>
      <w:r>
        <w:t>000 Saisonarbeitskräften in den landwirtschaftlichen Betrieben in Bayern tätig sind.</w:t>
      </w:r>
    </w:p>
    <w:p w:rsidR="00041CAD" w:rsidRDefault="00041CAD" w:rsidP="00041CAD">
      <w:pPr>
        <w:pStyle w:val="LTAntwortRessortText"/>
      </w:pPr>
      <w:r>
        <w:t xml:space="preserve">Hinsichtlich der genauen Verteilung auf Kommunen und Regierungsbezirke liegen keine Kenntnisse vor. Nach Angabe des Staatsministeriums für Gesundheit und Pflege </w:t>
      </w:r>
      <w:r w:rsidR="003A0EE0">
        <w:t xml:space="preserve">(StMGP) </w:t>
      </w:r>
      <w:r>
        <w:t>ist in der aktuellen Pandemiesituation eine Abfrage bei den Gesundheitsämtern aufgrund der dort derzeit erheblichen Arbeitsbelastung und in der Kürze der Zeit nicht möglich.</w:t>
      </w:r>
    </w:p>
    <w:p w:rsidR="00041CAD" w:rsidRPr="00511FF3" w:rsidRDefault="00041CAD" w:rsidP="00EE28B3">
      <w:pPr>
        <w:pStyle w:val="LTAntwortRessortText"/>
        <w:spacing w:after="240"/>
        <w:rPr>
          <w:b/>
        </w:rPr>
      </w:pPr>
      <w:r w:rsidRPr="00511FF3">
        <w:rPr>
          <w:b/>
        </w:rPr>
        <w:t>Entwicklung des Corona-lnfektionsgeschehens unter den Saisonarbeits-kräfte</w:t>
      </w:r>
      <w:r w:rsidR="00EE28B3">
        <w:rPr>
          <w:b/>
        </w:rPr>
        <w:t>n</w:t>
      </w:r>
      <w:r w:rsidRPr="00511FF3">
        <w:rPr>
          <w:b/>
        </w:rPr>
        <w:t xml:space="preserve"> anhand von Testzahlen</w:t>
      </w:r>
    </w:p>
    <w:p w:rsidR="00041CAD" w:rsidRDefault="00041CAD" w:rsidP="00511FF3">
      <w:pPr>
        <w:pStyle w:val="LTAntwortRessortText"/>
        <w:spacing w:before="0"/>
      </w:pPr>
      <w:r>
        <w:t xml:space="preserve">Nach Angabe des </w:t>
      </w:r>
      <w:r w:rsidR="003A0EE0">
        <w:t>StMGP</w:t>
      </w:r>
      <w:r>
        <w:t xml:space="preserve"> ist nach dem Infektionsschutzgesetz eine Kategorisierung nach Saisonarbeitskräften und die Meldung der Anzahl aller Tests nicht vorgesehen. Aus diesem Grund liegen diese Daten nicht vor. Konkrete Hinweise auf größere Ausbruchs- und Infektionsgeschehen unter Saisonarbeitskräften sind aus den täglichen Lageberichten der Kreisverwalt</w:t>
      </w:r>
      <w:r w:rsidR="003A0EE0">
        <w:t>ungsbehörden aus den letzten 14 </w:t>
      </w:r>
      <w:r>
        <w:t>Tage</w:t>
      </w:r>
      <w:r w:rsidR="00EE28B3">
        <w:t>n</w:t>
      </w:r>
      <w:r>
        <w:t xml:space="preserve"> nicht ersichtlich.</w:t>
      </w:r>
    </w:p>
    <w:p w:rsidR="00041CAD" w:rsidRPr="00511FF3" w:rsidRDefault="00041CAD" w:rsidP="00EE28B3">
      <w:pPr>
        <w:pStyle w:val="LTAntwortRessortText"/>
        <w:spacing w:after="240"/>
        <w:rPr>
          <w:b/>
        </w:rPr>
      </w:pPr>
      <w:r w:rsidRPr="00511FF3">
        <w:rPr>
          <w:b/>
        </w:rPr>
        <w:t>Konkrete Maßnahmen zur Prävention und zur Eindämmung eines möglichen Infektionsgeschehens</w:t>
      </w:r>
    </w:p>
    <w:p w:rsidR="00041CAD" w:rsidRDefault="00041CAD" w:rsidP="00511FF3">
      <w:pPr>
        <w:pStyle w:val="LTAntwortRessortText"/>
        <w:spacing w:before="0"/>
      </w:pPr>
      <w:r>
        <w:t xml:space="preserve">Die Staatsregierung hat nach dem Infektionsfall auf einem Einlegegurkenbetrieb in Mamming im August 2020 ein Kommunikations- und Kontrollkonzept in landwirtschaftlichen </w:t>
      </w:r>
      <w:r w:rsidR="00EE28B3">
        <w:t>Betrieben durch Ministerratsb</w:t>
      </w:r>
      <w:r w:rsidR="003A0EE0">
        <w:t>e</w:t>
      </w:r>
      <w:r>
        <w:t xml:space="preserve">schluss vom </w:t>
      </w:r>
      <w:r w:rsidR="003A0EE0">
        <w:t>01.09.</w:t>
      </w:r>
      <w:r>
        <w:t>2020 installiert. Der Ministerrat befasste sich mit dem schriftlichen Bericht zur Umsetzung des Corona-Kommunikations- und Kontrollkonzepts in landwirtschaftlichen Bet</w:t>
      </w:r>
      <w:r w:rsidR="003A0EE0">
        <w:t>rieben mit Erntehelfern und Sai</w:t>
      </w:r>
      <w:r>
        <w:t xml:space="preserve">sonarbeitskräften am </w:t>
      </w:r>
      <w:r w:rsidR="003A0EE0">
        <w:t>01.12.</w:t>
      </w:r>
      <w:r>
        <w:t>2020.</w:t>
      </w:r>
    </w:p>
    <w:p w:rsidR="003A0EE0" w:rsidRDefault="003A0EE0" w:rsidP="00041CAD">
      <w:pPr>
        <w:pStyle w:val="LTAntwortRessortText"/>
      </w:pPr>
    </w:p>
    <w:p w:rsidR="00041CAD" w:rsidRDefault="00041CAD" w:rsidP="00041CAD">
      <w:pPr>
        <w:pStyle w:val="LTAntwortRessortText"/>
      </w:pPr>
      <w:r>
        <w:t>Folgende Maßnahmen wurden im Rahmen des Kommunikations- und Kontrollkonzepts ergriffen:</w:t>
      </w:r>
    </w:p>
    <w:p w:rsidR="00041CAD" w:rsidRPr="00511FF3" w:rsidRDefault="00041CAD" w:rsidP="00EB4BF9">
      <w:pPr>
        <w:pStyle w:val="LTAntwortRessortText"/>
        <w:numPr>
          <w:ilvl w:val="0"/>
          <w:numId w:val="38"/>
        </w:numPr>
        <w:spacing w:after="240"/>
        <w:ind w:left="697" w:hanging="357"/>
        <w:rPr>
          <w:b/>
          <w:u w:val="single"/>
        </w:rPr>
      </w:pPr>
      <w:r w:rsidRPr="00511FF3">
        <w:rPr>
          <w:b/>
          <w:u w:val="single"/>
        </w:rPr>
        <w:t>Kontrolle</w:t>
      </w:r>
    </w:p>
    <w:p w:rsidR="00041CAD" w:rsidRDefault="00041CAD" w:rsidP="00B84F49">
      <w:pPr>
        <w:pStyle w:val="LTAntwortRessortText"/>
        <w:spacing w:before="0"/>
      </w:pPr>
      <w:r>
        <w:t>Es wurden sog. Dreierteams unter Federführung der Kreisverwaltungsbehörden bestehend aus Vertretern der Gesundheitsämter, der Ämter für Ernährung, Landwirtschaft und Forsten (ÄELF) und der Sozialversicherung für</w:t>
      </w:r>
      <w:r w:rsidR="00B84F49">
        <w:t xml:space="preserve"> </w:t>
      </w:r>
      <w:r>
        <w:t>Landwirtschaft, Forsten und Gartenbau (SVL</w:t>
      </w:r>
      <w:r w:rsidR="007E552B">
        <w:t>FG) und zur Kontrolle der land</w:t>
      </w:r>
      <w:r>
        <w:t>wirtschaftlichen Betriebe mit Saisonarbeitskräften eingerichtet.</w:t>
      </w:r>
    </w:p>
    <w:p w:rsidR="00041CAD" w:rsidRDefault="00041CAD" w:rsidP="00041CAD">
      <w:pPr>
        <w:pStyle w:val="LTAntwortRessortText"/>
      </w:pPr>
      <w:r>
        <w:t>Bis zum Jahresende 2020 wurden nach Angabe der SVLFG insgesamt mehr als 504 Betriebsüberprüfungen durchgeführt.</w:t>
      </w:r>
    </w:p>
    <w:p w:rsidR="00041CAD" w:rsidRDefault="00041CAD" w:rsidP="00041CAD">
      <w:pPr>
        <w:pStyle w:val="LTAntwortRessortText"/>
      </w:pPr>
      <w:r>
        <w:t xml:space="preserve">Die Kontrollen werden 2021 weitergeführt. Mit Stand </w:t>
      </w:r>
      <w:r w:rsidR="00414D5F">
        <w:t>09.04.</w:t>
      </w:r>
      <w:r>
        <w:t>2021 wurden laut SVLFG bereits mehr als 241 Überprüf</w:t>
      </w:r>
      <w:r w:rsidR="00414D5F">
        <w:t>ungen seit Jahresbeginn durchge</w:t>
      </w:r>
      <w:r>
        <w:t>führt.</w:t>
      </w:r>
    </w:p>
    <w:p w:rsidR="00041CAD" w:rsidRPr="00511FF3" w:rsidRDefault="00041CAD" w:rsidP="00EB4BF9">
      <w:pPr>
        <w:pStyle w:val="LTAntwortRessortText"/>
        <w:numPr>
          <w:ilvl w:val="0"/>
          <w:numId w:val="38"/>
        </w:numPr>
        <w:spacing w:after="240"/>
        <w:ind w:left="697" w:hanging="357"/>
        <w:rPr>
          <w:b/>
          <w:u w:val="single"/>
        </w:rPr>
      </w:pPr>
      <w:r w:rsidRPr="00511FF3">
        <w:rPr>
          <w:b/>
          <w:u w:val="single"/>
        </w:rPr>
        <w:t>Kommunikation</w:t>
      </w:r>
    </w:p>
    <w:p w:rsidR="00041CAD" w:rsidRPr="00511FF3" w:rsidRDefault="00041CAD" w:rsidP="00414D5F">
      <w:pPr>
        <w:pStyle w:val="LTAntwortRessortText"/>
        <w:numPr>
          <w:ilvl w:val="0"/>
          <w:numId w:val="40"/>
        </w:numPr>
        <w:spacing w:before="0"/>
        <w:ind w:left="697" w:hanging="357"/>
        <w:rPr>
          <w:u w:val="single"/>
        </w:rPr>
      </w:pPr>
      <w:r w:rsidRPr="00511FF3">
        <w:rPr>
          <w:u w:val="single"/>
        </w:rPr>
        <w:t>Informationsmaterialien</w:t>
      </w:r>
    </w:p>
    <w:p w:rsidR="00041CAD" w:rsidRDefault="00041CAD" w:rsidP="00511FF3">
      <w:pPr>
        <w:pStyle w:val="LTAntwortRessortText"/>
        <w:spacing w:before="0"/>
      </w:pPr>
      <w:r>
        <w:t>Den Betrieben wurden Informationsmaterialien zu Arbeitsschutz- und Hygienemaßnahmen von der SVLFG und dem St</w:t>
      </w:r>
      <w:r w:rsidR="00414D5F">
        <w:t>aatsministerium für Ernährung, Landwirtschaft und Forsten (St</w:t>
      </w:r>
      <w:r>
        <w:t>MELF</w:t>
      </w:r>
      <w:r w:rsidR="00414D5F">
        <w:t>)</w:t>
      </w:r>
      <w:r>
        <w:t xml:space="preserve"> bereitgestellt (Piktogramme</w:t>
      </w:r>
      <w:r w:rsidR="00414D5F">
        <w:t>, Unterweisungen –</w:t>
      </w:r>
      <w:r>
        <w:t xml:space="preserve"> auch auf Rumänisch, Ungarisch, Polnisch).</w:t>
      </w:r>
    </w:p>
    <w:p w:rsidR="00041CAD" w:rsidRDefault="00041CAD" w:rsidP="00511FF3">
      <w:pPr>
        <w:pStyle w:val="LTAntwortRessortText"/>
        <w:spacing w:before="0"/>
      </w:pPr>
      <w:r>
        <w:t>Vom StMELF wurde ein Video zur Best-Practice bei der Umsetzung von Hygienemaßnahmen in den landwirtschaftlichen Betrieben erstellt (mit Untertiteln in Rumänisch, Ungarisch, Polnisch). Das Video ist auf dem Youtube-Kanal des StMELF eingestellt.</w:t>
      </w:r>
    </w:p>
    <w:p w:rsidR="00041CAD" w:rsidRDefault="00041CAD" w:rsidP="00511FF3">
      <w:pPr>
        <w:pStyle w:val="LTAntwortRessortText"/>
        <w:spacing w:before="0"/>
      </w:pPr>
      <w:r>
        <w:t>Im Vorfeld der Anbausaison 2021 wurden die landwirtschaftlichen Verbände und Betriebe über die einschlägigen Vorschrift</w:t>
      </w:r>
      <w:r w:rsidR="00414D5F">
        <w:t>en zum Infektionsschutz (vor/</w:t>
      </w:r>
      <w:r>
        <w:t>bei Einreise, am Betrieb) informiert und es fanden Gespräche mit Landräten/Oberbürgermeistern und den Bezirksregierungen statt. Bei Neuerungen wird laufend nachinformiert (über Newsletter der ÄELF mit Abt. Gartenbau, Corona-FAQ des StMELF).</w:t>
      </w:r>
    </w:p>
    <w:p w:rsidR="00041CAD" w:rsidRDefault="00041CAD" w:rsidP="00511FF3">
      <w:pPr>
        <w:pStyle w:val="LTAntwortRessortText"/>
        <w:spacing w:before="0"/>
      </w:pPr>
      <w:r>
        <w:t>Daneben wurde von der SVLFG ein</w:t>
      </w:r>
      <w:r w:rsidR="00414D5F">
        <w:t>e Web-App speziell für Saisonar</w:t>
      </w:r>
      <w:r>
        <w:t>beitskräfte mit mehrsprachigen Infor</w:t>
      </w:r>
      <w:r w:rsidR="00414D5F">
        <w:t>mationen zum sicheren und gesun</w:t>
      </w:r>
      <w:r>
        <w:t>den Arbeiten entwickelt und den Saison</w:t>
      </w:r>
      <w:r w:rsidR="00414D5F">
        <w:t>arbeitskräften zur Verfügung ge</w:t>
      </w:r>
      <w:r>
        <w:t>stellt.</w:t>
      </w:r>
    </w:p>
    <w:p w:rsidR="00041CAD" w:rsidRPr="00511FF3" w:rsidRDefault="00041CAD" w:rsidP="00511FF3">
      <w:pPr>
        <w:pStyle w:val="LTAntwortRessortText"/>
        <w:numPr>
          <w:ilvl w:val="0"/>
          <w:numId w:val="40"/>
        </w:numPr>
        <w:ind w:left="697" w:hanging="357"/>
        <w:rPr>
          <w:u w:val="single"/>
        </w:rPr>
      </w:pPr>
      <w:r w:rsidRPr="00511FF3">
        <w:rPr>
          <w:u w:val="single"/>
        </w:rPr>
        <w:t>Fortbildungen für Unternehmer mit Saisonarbeitskräften</w:t>
      </w:r>
    </w:p>
    <w:p w:rsidR="00041CAD" w:rsidRDefault="00041CAD" w:rsidP="00511FF3">
      <w:pPr>
        <w:pStyle w:val="LTAntwortRessortText"/>
        <w:spacing w:before="0"/>
      </w:pPr>
      <w:r>
        <w:t>Die SVLFG bot bis Jahresende 2020 fünf Schulungen speziell für Unternehmer mit Saisonarbeitskräften an. Seit Jahresbeginn gab es zudem fünf Lehrgänge im Rahmen des Unternehm</w:t>
      </w:r>
      <w:r w:rsidR="00511FF3">
        <w:t>ermodells. Thematisch wurden da</w:t>
      </w:r>
      <w:r>
        <w:t>bei vorhandene Schulungsinhalte um aktuelle Rechtsgrundlagen, Erfahrungen mit Hygienekonzepten, Hilfestellungen im Hinblick auf Testmöglichkeiten, Problemlösungen und Checklisten ergänzt. Zudem wurden die Betriebsinhaberinnen und Betriebsinhaber noch einmal dafür sensibilisiert, die Umsetzung der Hygienemaß</w:t>
      </w:r>
      <w:r w:rsidR="00414D5F">
        <w:t>nahmen immer wieder bei den Sai</w:t>
      </w:r>
      <w:r>
        <w:t>sonarbeitskräften aktiv einzufordern.</w:t>
      </w:r>
    </w:p>
    <w:p w:rsidR="00041CAD" w:rsidRPr="00511FF3" w:rsidRDefault="00041CAD" w:rsidP="00511FF3">
      <w:pPr>
        <w:pStyle w:val="LTAntwortRessortText"/>
        <w:numPr>
          <w:ilvl w:val="0"/>
          <w:numId w:val="40"/>
        </w:numPr>
        <w:ind w:left="697" w:hanging="357"/>
        <w:rPr>
          <w:u w:val="single"/>
        </w:rPr>
      </w:pPr>
      <w:r w:rsidRPr="00511FF3">
        <w:rPr>
          <w:u w:val="single"/>
        </w:rPr>
        <w:t>Kontaktaufnahme mit Herkunftsländern von Saisonarbeitskräften</w:t>
      </w:r>
    </w:p>
    <w:p w:rsidR="00041CAD" w:rsidRDefault="00041CAD" w:rsidP="00511FF3">
      <w:pPr>
        <w:pStyle w:val="LTAntwortRessortText"/>
        <w:spacing w:before="0"/>
      </w:pPr>
      <w:r>
        <w:t>Das StMELF hat die Generalkonsulate</w:t>
      </w:r>
      <w:r w:rsidR="00414D5F">
        <w:t xml:space="preserve"> von Rumänien, Bulgarien und Po</w:t>
      </w:r>
      <w:r>
        <w:t>len angeschrieben und gezielt über d</w:t>
      </w:r>
      <w:r w:rsidR="00311178">
        <w:t>ie Infektionsschutzmaßnahmen in</w:t>
      </w:r>
      <w:r>
        <w:t>formiert und die in der jeweiligen Sprachfassung erstellten Informationsmaterialien übermittelt.</w:t>
      </w:r>
    </w:p>
    <w:p w:rsidR="00041CAD" w:rsidRDefault="00041CAD">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50083" w:rsidTr="00750083">
        <w:tc>
          <w:tcPr>
            <w:tcW w:w="1883" w:type="dxa"/>
          </w:tcPr>
          <w:p w:rsidR="00750083" w:rsidRDefault="00750083" w:rsidP="00750083">
            <w:pPr>
              <w:pStyle w:val="LTAnfrageInitiator"/>
            </w:pPr>
            <w:r>
              <w:t>Abgeordneter</w:t>
            </w:r>
            <w:r>
              <w:rPr>
                <w:b/>
              </w:rPr>
              <w:br/>
              <w:t>Patrick</w:t>
            </w:r>
            <w:r>
              <w:rPr>
                <w:b/>
              </w:rPr>
              <w:br/>
              <w:t>Friedl</w:t>
            </w:r>
            <w:r>
              <w:rPr>
                <w:b/>
              </w:rPr>
              <w:br/>
            </w:r>
            <w:r>
              <w:t>(BÜNDNIS 90/DIE GRÜNEN)</w:t>
            </w:r>
            <w:bookmarkStart w:id="107" w:name="Frage_Nr_53"/>
            <w:bookmarkEnd w:id="107"/>
          </w:p>
        </w:tc>
        <w:tc>
          <w:tcPr>
            <w:tcW w:w="5733" w:type="dxa"/>
          </w:tcPr>
          <w:p w:rsidR="00750083" w:rsidRPr="00754CFD" w:rsidRDefault="00750083" w:rsidP="00754CFD">
            <w:pPr>
              <w:pStyle w:val="LTAnfrageText"/>
            </w:pPr>
            <w:r w:rsidRPr="00754CFD">
              <w:t>Angesichts der Bemühungen u. a. des Staatsministeriums für Ernährung, Landwirtschaft und Forsten zur Weiterentwicklung und Umsetzung einer Torfreduktionsstrategie (verankert im Klimaschutzprogramm 2030 der Bundesregierung vom 09.10.2019) auch in Bayern, frage ich die Staatsregierung, wie viele Tonnen Torfsubstrat wurden von staatlichen Einrichtung und Betrieben auf staatlichen Liegenschaften selbst oder durch beauftragte Unternehmen an welchen Standorten in den letzten drei Jahren eingesetzt (bitte aufgegliedert nach Jahren und einsetzender Institution – u. a. Landesanstalten für Landwirtschaft, Fortwirtschaft, Weinbau und Gartenbau, Bayerische Staatsforsten und Bayerische Schlösser- und Seenverwaltung nach Liegenschaften) und gibt es Vorgaben, den Einsatz von Torfsubstraten durch Ersatzstoffe zu substituieren (bitte unter Angabe der Maßnahmen, die zum Verzicht bezüglich der Nutzung von Torf in den letzten drei Jahren ergriffen wurden)? </w:t>
            </w:r>
          </w:p>
        </w:tc>
        <w:tc>
          <w:tcPr>
            <w:tcW w:w="5733" w:type="dxa"/>
          </w:tcPr>
          <w:p w:rsidR="00750083" w:rsidRDefault="00750083" w:rsidP="00750083">
            <w:pPr>
              <w:pStyle w:val="LTAnfrageText"/>
            </w:pPr>
          </w:p>
        </w:tc>
      </w:tr>
    </w:tbl>
    <w:p w:rsidR="00041CAD" w:rsidRDefault="00041CAD" w:rsidP="00041CAD">
      <w:pPr>
        <w:pStyle w:val="LTUeberschrAntwortRessort"/>
      </w:pPr>
      <w:r>
        <w:t>Antwort des Staatsministeriums für Ernährung, Landwirtschaft und Forsten</w:t>
      </w:r>
    </w:p>
    <w:p w:rsidR="000E53E1" w:rsidRDefault="00041CAD" w:rsidP="00041CAD">
      <w:pPr>
        <w:pStyle w:val="LTAntwortRessortText"/>
      </w:pPr>
      <w:r>
        <w:t xml:space="preserve">Nach Kenntnislage der </w:t>
      </w:r>
      <w:r w:rsidR="00414D5F">
        <w:t>S</w:t>
      </w:r>
      <w:r>
        <w:t>taatsregierung stellt sich der Einsatz von Kultursubstrate</w:t>
      </w:r>
      <w:r w:rsidR="000E53E1">
        <w:t>n wie nachfolgend angeführt dar, siehe beigefügt Tabelle</w:t>
      </w:r>
      <w:r w:rsidR="00D2237D">
        <w:t>n</w:t>
      </w:r>
      <w:r w:rsidR="000E53E1">
        <w:t xml:space="preserve"> 1 bis 6</w:t>
      </w:r>
      <w:r w:rsidR="00414D5F">
        <w:t>*) **) ***) ****) *****) ******)</w:t>
      </w:r>
      <w:r w:rsidR="000E53E1">
        <w:t>.</w:t>
      </w:r>
    </w:p>
    <w:p w:rsidR="00041CAD" w:rsidRDefault="00041CAD" w:rsidP="00041CAD">
      <w:pPr>
        <w:pStyle w:val="LTAntwortRessortText"/>
      </w:pPr>
      <w:r>
        <w:t>Die Bayerische Verwaltung der staatlichen Schlösser, Gärten und Seen hat</w:t>
      </w:r>
      <w:r w:rsidR="000E53E1">
        <w:t xml:space="preserve"> </w:t>
      </w:r>
      <w:r>
        <w:t>im Jahr 2012 ermittelt, dass sie in ihren gärtnerischen Regiebetrieben jährlich</w:t>
      </w:r>
      <w:r w:rsidR="000E53E1">
        <w:t xml:space="preserve"> </w:t>
      </w:r>
      <w:r>
        <w:t>rund 70 t torfh</w:t>
      </w:r>
      <w:r w:rsidR="000E53E1">
        <w:t>altige Kultursubstrate einsetzt.</w:t>
      </w:r>
    </w:p>
    <w:p w:rsidR="000E53E1" w:rsidRPr="000E53E1" w:rsidRDefault="000E53E1" w:rsidP="000E53E1">
      <w:pPr>
        <w:pStyle w:val="Textkrper"/>
        <w:spacing w:before="72"/>
        <w:ind w:left="284" w:right="-1"/>
        <w:jc w:val="both"/>
        <w:rPr>
          <w:rFonts w:ascii="Arial" w:hAnsi="Arial"/>
          <w:sz w:val="20"/>
          <w:szCs w:val="24"/>
          <w:lang w:bidi="ar-SA"/>
        </w:rPr>
      </w:pPr>
      <w:r w:rsidRPr="000E53E1">
        <w:rPr>
          <w:rFonts w:ascii="Arial" w:hAnsi="Arial"/>
          <w:sz w:val="20"/>
          <w:szCs w:val="24"/>
          <w:lang w:bidi="ar-SA"/>
        </w:rPr>
        <w:t xml:space="preserve">Tab. 7: Gesamtmasse des verwendeten Kultursubstrats </w:t>
      </w:r>
      <w:r>
        <w:rPr>
          <w:rFonts w:ascii="Arial" w:hAnsi="Arial"/>
          <w:sz w:val="20"/>
          <w:szCs w:val="24"/>
          <w:lang w:bidi="ar-SA"/>
        </w:rPr>
        <w:t>d</w:t>
      </w:r>
      <w:r w:rsidR="00414D5F">
        <w:rPr>
          <w:rFonts w:ascii="Arial" w:hAnsi="Arial"/>
          <w:sz w:val="20"/>
          <w:szCs w:val="24"/>
          <w:lang w:bidi="ar-SA"/>
        </w:rPr>
        <w:t>er Bayerischen Ver</w:t>
      </w:r>
      <w:r w:rsidRPr="000E53E1">
        <w:rPr>
          <w:rFonts w:ascii="Arial" w:hAnsi="Arial"/>
          <w:sz w:val="20"/>
          <w:szCs w:val="24"/>
          <w:lang w:bidi="ar-SA"/>
        </w:rPr>
        <w:t>waltung der staatlichen Schlösser, Gärten und Seen im Jahr in Tonnen nach Standorten</w:t>
      </w:r>
    </w:p>
    <w:p w:rsidR="000E53E1" w:rsidRDefault="000E53E1" w:rsidP="00041CAD">
      <w:pPr>
        <w:pStyle w:val="LTAntwortRessortText"/>
      </w:pP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3119"/>
      </w:tblGrid>
      <w:tr w:rsidR="000E53E1" w:rsidTr="00414D5F">
        <w:trPr>
          <w:trHeight w:val="798"/>
        </w:trPr>
        <w:tc>
          <w:tcPr>
            <w:tcW w:w="4252" w:type="dxa"/>
            <w:tcBorders>
              <w:bottom w:val="single" w:sz="12" w:space="0" w:color="000000"/>
            </w:tcBorders>
          </w:tcPr>
          <w:p w:rsidR="000E53E1" w:rsidRPr="00414D5F" w:rsidRDefault="000E53E1" w:rsidP="000E53E1">
            <w:pPr>
              <w:pStyle w:val="TableParagraph"/>
              <w:spacing w:before="76"/>
              <w:ind w:left="107"/>
              <w:rPr>
                <w:rFonts w:ascii="Arial" w:hAnsi="Arial" w:cs="Arial"/>
                <w:sz w:val="18"/>
                <w:szCs w:val="16"/>
              </w:rPr>
            </w:pPr>
            <w:r w:rsidRPr="00414D5F">
              <w:rPr>
                <w:rFonts w:ascii="Arial" w:hAnsi="Arial" w:cs="Arial"/>
                <w:sz w:val="18"/>
                <w:szCs w:val="16"/>
              </w:rPr>
              <w:t>Standort</w:t>
            </w:r>
          </w:p>
        </w:tc>
        <w:tc>
          <w:tcPr>
            <w:tcW w:w="3119" w:type="dxa"/>
            <w:tcBorders>
              <w:bottom w:val="single" w:sz="12" w:space="0" w:color="000000"/>
            </w:tcBorders>
          </w:tcPr>
          <w:p w:rsidR="000E53E1" w:rsidRPr="00414D5F" w:rsidRDefault="000E53E1" w:rsidP="00414D5F">
            <w:pPr>
              <w:pStyle w:val="TableParagraph"/>
              <w:spacing w:before="0" w:line="398" w:lineRule="exact"/>
              <w:ind w:left="108" w:right="232"/>
              <w:rPr>
                <w:rFonts w:ascii="Arial" w:hAnsi="Arial" w:cs="Arial"/>
                <w:sz w:val="18"/>
                <w:szCs w:val="16"/>
              </w:rPr>
            </w:pPr>
            <w:r w:rsidRPr="00414D5F">
              <w:rPr>
                <w:rFonts w:ascii="Arial" w:hAnsi="Arial" w:cs="Arial"/>
                <w:sz w:val="18"/>
                <w:szCs w:val="16"/>
              </w:rPr>
              <w:t xml:space="preserve">Gesamtmasse pro Jahr – </w:t>
            </w:r>
            <w:r w:rsidR="00414D5F">
              <w:rPr>
                <w:rFonts w:ascii="Arial" w:hAnsi="Arial" w:cs="Arial"/>
                <w:sz w:val="18"/>
                <w:szCs w:val="16"/>
              </w:rPr>
              <w:br/>
            </w:r>
            <w:r w:rsidRPr="00414D5F">
              <w:rPr>
                <w:rFonts w:ascii="Arial" w:hAnsi="Arial" w:cs="Arial"/>
                <w:sz w:val="18"/>
                <w:szCs w:val="16"/>
              </w:rPr>
              <w:t>Kultursubstrat</w:t>
            </w:r>
          </w:p>
        </w:tc>
      </w:tr>
      <w:tr w:rsidR="000E53E1" w:rsidTr="00311178">
        <w:trPr>
          <w:trHeight w:val="400"/>
        </w:trPr>
        <w:tc>
          <w:tcPr>
            <w:tcW w:w="4252" w:type="dxa"/>
            <w:tcBorders>
              <w:top w:val="single" w:sz="12" w:space="0" w:color="000000"/>
            </w:tcBorders>
          </w:tcPr>
          <w:p w:rsidR="000E53E1" w:rsidRPr="00414D5F" w:rsidRDefault="000E53E1" w:rsidP="000E53E1">
            <w:pPr>
              <w:pStyle w:val="TableParagraph"/>
              <w:spacing w:before="78"/>
              <w:ind w:left="107"/>
              <w:rPr>
                <w:rFonts w:ascii="Arial" w:hAnsi="Arial" w:cs="Arial"/>
                <w:sz w:val="18"/>
                <w:szCs w:val="16"/>
              </w:rPr>
            </w:pPr>
            <w:r w:rsidRPr="00414D5F">
              <w:rPr>
                <w:rFonts w:ascii="Arial" w:hAnsi="Arial" w:cs="Arial"/>
                <w:sz w:val="18"/>
                <w:szCs w:val="16"/>
              </w:rPr>
              <w:t>Schloss- und Gartenverwaltung Bayreuth</w:t>
            </w:r>
          </w:p>
        </w:tc>
        <w:tc>
          <w:tcPr>
            <w:tcW w:w="3119" w:type="dxa"/>
            <w:tcBorders>
              <w:top w:val="single" w:sz="12" w:space="0" w:color="000000"/>
            </w:tcBorders>
          </w:tcPr>
          <w:p w:rsidR="000E53E1" w:rsidRPr="00414D5F" w:rsidRDefault="000E53E1" w:rsidP="00311178">
            <w:pPr>
              <w:pStyle w:val="TableParagraph"/>
              <w:spacing w:before="78"/>
              <w:ind w:right="1148"/>
              <w:jc w:val="center"/>
              <w:rPr>
                <w:rFonts w:ascii="Arial" w:hAnsi="Arial" w:cs="Arial"/>
                <w:sz w:val="18"/>
                <w:szCs w:val="16"/>
              </w:rPr>
            </w:pPr>
            <w:r w:rsidRPr="00414D5F">
              <w:rPr>
                <w:rFonts w:ascii="Arial" w:hAnsi="Arial" w:cs="Arial"/>
                <w:w w:val="99"/>
                <w:sz w:val="18"/>
                <w:szCs w:val="16"/>
              </w:rPr>
              <w:t>5</w:t>
            </w:r>
          </w:p>
        </w:tc>
      </w:tr>
      <w:tr w:rsidR="000E53E1" w:rsidTr="00311178">
        <w:trPr>
          <w:trHeight w:val="400"/>
        </w:trPr>
        <w:tc>
          <w:tcPr>
            <w:tcW w:w="4252" w:type="dxa"/>
          </w:tcPr>
          <w:p w:rsidR="000E53E1" w:rsidRPr="00414D5F" w:rsidRDefault="000E53E1" w:rsidP="000E53E1">
            <w:pPr>
              <w:pStyle w:val="TableParagraph"/>
              <w:spacing w:before="76"/>
              <w:ind w:left="107"/>
              <w:rPr>
                <w:rFonts w:ascii="Arial" w:hAnsi="Arial" w:cs="Arial"/>
                <w:sz w:val="18"/>
                <w:szCs w:val="16"/>
              </w:rPr>
            </w:pPr>
            <w:r w:rsidRPr="00414D5F">
              <w:rPr>
                <w:rFonts w:ascii="Arial" w:hAnsi="Arial" w:cs="Arial"/>
                <w:sz w:val="18"/>
                <w:szCs w:val="16"/>
              </w:rPr>
              <w:t>Schloss- und Gartenverwaltung Coburg</w:t>
            </w:r>
          </w:p>
        </w:tc>
        <w:tc>
          <w:tcPr>
            <w:tcW w:w="3119" w:type="dxa"/>
          </w:tcPr>
          <w:p w:rsidR="000E53E1" w:rsidRPr="00414D5F" w:rsidRDefault="000E53E1" w:rsidP="00311178">
            <w:pPr>
              <w:pStyle w:val="TableParagraph"/>
              <w:spacing w:before="76"/>
              <w:ind w:right="1148"/>
              <w:jc w:val="center"/>
              <w:rPr>
                <w:rFonts w:ascii="Arial" w:hAnsi="Arial" w:cs="Arial"/>
                <w:sz w:val="18"/>
                <w:szCs w:val="16"/>
              </w:rPr>
            </w:pPr>
            <w:r w:rsidRPr="00414D5F">
              <w:rPr>
                <w:rFonts w:ascii="Arial" w:hAnsi="Arial" w:cs="Arial"/>
                <w:w w:val="95"/>
                <w:sz w:val="18"/>
                <w:szCs w:val="16"/>
              </w:rPr>
              <w:t>0,5</w:t>
            </w:r>
          </w:p>
        </w:tc>
      </w:tr>
      <w:tr w:rsidR="000E53E1" w:rsidTr="00311178">
        <w:trPr>
          <w:trHeight w:val="400"/>
        </w:trPr>
        <w:tc>
          <w:tcPr>
            <w:tcW w:w="4252" w:type="dxa"/>
          </w:tcPr>
          <w:p w:rsidR="000E53E1" w:rsidRPr="00414D5F" w:rsidRDefault="000E53E1" w:rsidP="000E53E1">
            <w:pPr>
              <w:pStyle w:val="TableParagraph"/>
              <w:spacing w:before="76"/>
              <w:ind w:left="107"/>
              <w:rPr>
                <w:rFonts w:ascii="Arial" w:hAnsi="Arial" w:cs="Arial"/>
                <w:sz w:val="18"/>
                <w:szCs w:val="16"/>
              </w:rPr>
            </w:pPr>
            <w:r w:rsidRPr="00414D5F">
              <w:rPr>
                <w:rFonts w:ascii="Arial" w:hAnsi="Arial" w:cs="Arial"/>
                <w:sz w:val="18"/>
                <w:szCs w:val="16"/>
              </w:rPr>
              <w:t>Schloss- und Gartenverwaltung Herrenchiemsee</w:t>
            </w:r>
          </w:p>
        </w:tc>
        <w:tc>
          <w:tcPr>
            <w:tcW w:w="3119" w:type="dxa"/>
          </w:tcPr>
          <w:p w:rsidR="000E53E1" w:rsidRPr="00414D5F" w:rsidRDefault="000E53E1" w:rsidP="00311178">
            <w:pPr>
              <w:pStyle w:val="TableParagraph"/>
              <w:spacing w:before="76"/>
              <w:ind w:right="1148"/>
              <w:jc w:val="center"/>
              <w:rPr>
                <w:rFonts w:ascii="Arial" w:hAnsi="Arial" w:cs="Arial"/>
                <w:sz w:val="18"/>
                <w:szCs w:val="16"/>
              </w:rPr>
            </w:pPr>
            <w:r w:rsidRPr="00414D5F">
              <w:rPr>
                <w:rFonts w:ascii="Arial" w:hAnsi="Arial" w:cs="Arial"/>
                <w:w w:val="99"/>
                <w:sz w:val="18"/>
                <w:szCs w:val="16"/>
              </w:rPr>
              <w:t>9</w:t>
            </w:r>
          </w:p>
        </w:tc>
      </w:tr>
      <w:tr w:rsidR="000E53E1" w:rsidTr="00311178">
        <w:trPr>
          <w:trHeight w:val="400"/>
        </w:trPr>
        <w:tc>
          <w:tcPr>
            <w:tcW w:w="4252" w:type="dxa"/>
          </w:tcPr>
          <w:p w:rsidR="000E53E1" w:rsidRPr="00414D5F" w:rsidRDefault="000E53E1" w:rsidP="000E53E1">
            <w:pPr>
              <w:pStyle w:val="TableParagraph"/>
              <w:spacing w:before="76"/>
              <w:ind w:left="107"/>
              <w:rPr>
                <w:rFonts w:ascii="Arial" w:hAnsi="Arial" w:cs="Arial"/>
                <w:sz w:val="18"/>
                <w:szCs w:val="16"/>
              </w:rPr>
            </w:pPr>
            <w:r w:rsidRPr="00414D5F">
              <w:rPr>
                <w:rFonts w:ascii="Arial" w:hAnsi="Arial" w:cs="Arial"/>
                <w:sz w:val="18"/>
                <w:szCs w:val="16"/>
              </w:rPr>
              <w:t>Schloss- und Gartenverwaltung Nymphenburg</w:t>
            </w:r>
          </w:p>
        </w:tc>
        <w:tc>
          <w:tcPr>
            <w:tcW w:w="3119" w:type="dxa"/>
          </w:tcPr>
          <w:p w:rsidR="000E53E1" w:rsidRPr="00414D5F" w:rsidRDefault="000E53E1" w:rsidP="00311178">
            <w:pPr>
              <w:pStyle w:val="TableParagraph"/>
              <w:spacing w:before="76"/>
              <w:ind w:right="1148"/>
              <w:jc w:val="center"/>
              <w:rPr>
                <w:rFonts w:ascii="Arial" w:hAnsi="Arial" w:cs="Arial"/>
                <w:sz w:val="18"/>
                <w:szCs w:val="16"/>
              </w:rPr>
            </w:pPr>
            <w:r w:rsidRPr="00414D5F">
              <w:rPr>
                <w:rFonts w:ascii="Arial" w:hAnsi="Arial" w:cs="Arial"/>
                <w:w w:val="95"/>
                <w:sz w:val="18"/>
                <w:szCs w:val="16"/>
              </w:rPr>
              <w:t>40</w:t>
            </w:r>
          </w:p>
        </w:tc>
      </w:tr>
      <w:tr w:rsidR="000E53E1" w:rsidTr="00311178">
        <w:trPr>
          <w:trHeight w:val="400"/>
        </w:trPr>
        <w:tc>
          <w:tcPr>
            <w:tcW w:w="4252" w:type="dxa"/>
          </w:tcPr>
          <w:p w:rsidR="000E53E1" w:rsidRPr="00414D5F" w:rsidRDefault="000E53E1" w:rsidP="000E53E1">
            <w:pPr>
              <w:pStyle w:val="TableParagraph"/>
              <w:spacing w:before="76"/>
              <w:ind w:left="107"/>
              <w:rPr>
                <w:rFonts w:ascii="Arial" w:hAnsi="Arial" w:cs="Arial"/>
                <w:sz w:val="18"/>
                <w:szCs w:val="16"/>
              </w:rPr>
            </w:pPr>
            <w:r w:rsidRPr="00414D5F">
              <w:rPr>
                <w:rFonts w:ascii="Arial" w:hAnsi="Arial" w:cs="Arial"/>
                <w:sz w:val="18"/>
                <w:szCs w:val="16"/>
              </w:rPr>
              <w:t>Schloss- und Gartenverwaltung Würzburg</w:t>
            </w:r>
          </w:p>
        </w:tc>
        <w:tc>
          <w:tcPr>
            <w:tcW w:w="3119" w:type="dxa"/>
          </w:tcPr>
          <w:p w:rsidR="000E53E1" w:rsidRPr="00414D5F" w:rsidRDefault="000E53E1" w:rsidP="00311178">
            <w:pPr>
              <w:pStyle w:val="TableParagraph"/>
              <w:spacing w:before="76"/>
              <w:ind w:right="1151"/>
              <w:jc w:val="center"/>
              <w:rPr>
                <w:rFonts w:ascii="Arial" w:hAnsi="Arial" w:cs="Arial"/>
                <w:sz w:val="18"/>
                <w:szCs w:val="16"/>
              </w:rPr>
            </w:pPr>
            <w:r w:rsidRPr="00414D5F">
              <w:rPr>
                <w:rFonts w:ascii="Arial" w:hAnsi="Arial" w:cs="Arial"/>
                <w:w w:val="95"/>
                <w:sz w:val="18"/>
                <w:szCs w:val="16"/>
              </w:rPr>
              <w:t>15,5</w:t>
            </w:r>
          </w:p>
        </w:tc>
      </w:tr>
      <w:tr w:rsidR="000E53E1" w:rsidTr="00311178">
        <w:trPr>
          <w:trHeight w:val="398"/>
        </w:trPr>
        <w:tc>
          <w:tcPr>
            <w:tcW w:w="4252" w:type="dxa"/>
          </w:tcPr>
          <w:p w:rsidR="000E53E1" w:rsidRPr="00414D5F" w:rsidRDefault="000E53E1" w:rsidP="000E53E1">
            <w:pPr>
              <w:pStyle w:val="TableParagraph"/>
              <w:spacing w:before="76"/>
              <w:ind w:left="107"/>
              <w:rPr>
                <w:rFonts w:ascii="Arial" w:hAnsi="Arial" w:cs="Arial"/>
                <w:sz w:val="18"/>
                <w:szCs w:val="16"/>
              </w:rPr>
            </w:pPr>
            <w:r w:rsidRPr="00414D5F">
              <w:rPr>
                <w:rFonts w:ascii="Arial" w:hAnsi="Arial" w:cs="Arial"/>
                <w:sz w:val="18"/>
                <w:szCs w:val="16"/>
              </w:rPr>
              <w:t>Verwaltung Englischer Garten</w:t>
            </w:r>
          </w:p>
        </w:tc>
        <w:tc>
          <w:tcPr>
            <w:tcW w:w="3119" w:type="dxa"/>
          </w:tcPr>
          <w:p w:rsidR="000E53E1" w:rsidRPr="00414D5F" w:rsidRDefault="000E53E1" w:rsidP="00311178">
            <w:pPr>
              <w:pStyle w:val="TableParagraph"/>
              <w:spacing w:before="76"/>
              <w:ind w:right="1151"/>
              <w:jc w:val="center"/>
              <w:rPr>
                <w:rFonts w:ascii="Arial" w:hAnsi="Arial" w:cs="Arial"/>
                <w:sz w:val="18"/>
                <w:szCs w:val="16"/>
              </w:rPr>
            </w:pPr>
            <w:r w:rsidRPr="00414D5F">
              <w:rPr>
                <w:rFonts w:ascii="Arial" w:hAnsi="Arial" w:cs="Arial"/>
                <w:w w:val="95"/>
                <w:sz w:val="18"/>
                <w:szCs w:val="16"/>
              </w:rPr>
              <w:t>0,25</w:t>
            </w:r>
          </w:p>
        </w:tc>
      </w:tr>
      <w:tr w:rsidR="000E53E1" w:rsidTr="00311178">
        <w:trPr>
          <w:trHeight w:val="400"/>
        </w:trPr>
        <w:tc>
          <w:tcPr>
            <w:tcW w:w="4252" w:type="dxa"/>
          </w:tcPr>
          <w:p w:rsidR="000E53E1" w:rsidRPr="00414D5F" w:rsidRDefault="000E53E1" w:rsidP="000E53E1">
            <w:pPr>
              <w:pStyle w:val="TableParagraph"/>
              <w:spacing w:before="78"/>
              <w:ind w:left="107"/>
              <w:rPr>
                <w:rFonts w:ascii="Arial" w:hAnsi="Arial" w:cs="Arial"/>
                <w:b/>
                <w:sz w:val="18"/>
                <w:szCs w:val="16"/>
              </w:rPr>
            </w:pPr>
            <w:r w:rsidRPr="00414D5F">
              <w:rPr>
                <w:rFonts w:ascii="Arial" w:hAnsi="Arial" w:cs="Arial"/>
                <w:b/>
                <w:sz w:val="18"/>
                <w:szCs w:val="16"/>
              </w:rPr>
              <w:t>Summe</w:t>
            </w:r>
          </w:p>
        </w:tc>
        <w:tc>
          <w:tcPr>
            <w:tcW w:w="3119" w:type="dxa"/>
          </w:tcPr>
          <w:p w:rsidR="000E53E1" w:rsidRPr="00414D5F" w:rsidRDefault="000E53E1" w:rsidP="00311178">
            <w:pPr>
              <w:pStyle w:val="TableParagraph"/>
              <w:spacing w:before="78"/>
              <w:ind w:right="1151"/>
              <w:jc w:val="center"/>
              <w:rPr>
                <w:rFonts w:ascii="Arial" w:hAnsi="Arial" w:cs="Arial"/>
                <w:b/>
                <w:sz w:val="18"/>
                <w:szCs w:val="16"/>
              </w:rPr>
            </w:pPr>
            <w:r w:rsidRPr="00414D5F">
              <w:rPr>
                <w:rFonts w:ascii="Arial" w:hAnsi="Arial" w:cs="Arial"/>
                <w:b/>
                <w:w w:val="95"/>
                <w:sz w:val="18"/>
                <w:szCs w:val="16"/>
              </w:rPr>
              <w:t>70,25</w:t>
            </w:r>
          </w:p>
        </w:tc>
      </w:tr>
    </w:tbl>
    <w:p w:rsidR="00041CAD" w:rsidRDefault="00041CAD" w:rsidP="00041CAD">
      <w:pPr>
        <w:pStyle w:val="LTAntwortRessortText"/>
      </w:pPr>
      <w:r>
        <w:t>Die Bayerische Landesanstalt für Wald und Forstwirtschaft setzt in Ihrem</w:t>
      </w:r>
      <w:r w:rsidR="000E53E1">
        <w:t xml:space="preserve"> </w:t>
      </w:r>
      <w:r>
        <w:t>Aufgabenbereich regelmäßig kein Kultursubstrat ein.</w:t>
      </w:r>
    </w:p>
    <w:p w:rsidR="00041CAD" w:rsidRDefault="00041CAD" w:rsidP="00041CAD">
      <w:pPr>
        <w:pStyle w:val="LTAntwortRessortText"/>
      </w:pPr>
      <w:r>
        <w:t>Konkrete Vorgaben hinsichtlich einer Torfreduktionsstrategie liegen in den</w:t>
      </w:r>
      <w:r w:rsidR="000E53E1">
        <w:t xml:space="preserve"> </w:t>
      </w:r>
      <w:r>
        <w:t>staatlichen Einrichtungen nur teilweise vor, was auch am bereits sehr hohen</w:t>
      </w:r>
      <w:r w:rsidR="000E53E1">
        <w:t xml:space="preserve"> </w:t>
      </w:r>
      <w:r>
        <w:t>Verwendungsanteil an torfreduzierten Kultursubstraten liegt.</w:t>
      </w:r>
    </w:p>
    <w:p w:rsidR="00041CAD" w:rsidRDefault="00041CAD" w:rsidP="000E53E1">
      <w:pPr>
        <w:pStyle w:val="LTAntwortRessortText"/>
        <w:spacing w:before="0"/>
      </w:pPr>
      <w:r>
        <w:t>Teilweise werden au</w:t>
      </w:r>
      <w:r w:rsidR="00311178">
        <w:t>ch reine Torfsubst</w:t>
      </w:r>
      <w:r>
        <w:t>r</w:t>
      </w:r>
      <w:r w:rsidR="00311178">
        <w:t>a</w:t>
      </w:r>
      <w:r>
        <w:t>te im Rahmen der Forschungstätigkeit</w:t>
      </w:r>
      <w:r w:rsidR="000E53E1">
        <w:t xml:space="preserve"> </w:t>
      </w:r>
      <w:r>
        <w:t>benötigt, um abgesiche</w:t>
      </w:r>
      <w:r w:rsidR="00311178">
        <w:t>rte Forschungsergebnisse bereit</w:t>
      </w:r>
      <w:r>
        <w:t>stellen zu können.</w:t>
      </w:r>
      <w:r w:rsidR="000E53E1">
        <w:t xml:space="preserve"> </w:t>
      </w:r>
      <w:r>
        <w:t>Zur Befüllung des Pflanzlochs bei Gehölzen und Stauden oder zur Bodenverbesserung</w:t>
      </w:r>
      <w:r w:rsidR="000E53E1">
        <w:t xml:space="preserve"> </w:t>
      </w:r>
      <w:r>
        <w:t>in Rabatten können hingegen torffreie Substrate eingesetzt</w:t>
      </w:r>
      <w:r w:rsidR="000E53E1">
        <w:t xml:space="preserve"> </w:t>
      </w:r>
      <w:r>
        <w:t>werden.</w:t>
      </w:r>
    </w:p>
    <w:p w:rsidR="00041CAD" w:rsidRDefault="00041CAD" w:rsidP="000E53E1">
      <w:pPr>
        <w:pStyle w:val="LTAntwortRessortText"/>
        <w:spacing w:before="0"/>
      </w:pPr>
      <w:r>
        <w:t>Die Reduktion des Torfanteils in Kultursubstraten ist zudem ein wesentliches</w:t>
      </w:r>
      <w:r w:rsidR="000E53E1">
        <w:t xml:space="preserve"> </w:t>
      </w:r>
      <w:r>
        <w:t>Z</w:t>
      </w:r>
      <w:r w:rsidR="00311178">
        <w:t>iel der Forschungsarbeit der Landesanstalt für Weinbau und Gartenbau</w:t>
      </w:r>
      <w:r>
        <w:t>.</w:t>
      </w:r>
    </w:p>
    <w:p w:rsidR="00D2237D" w:rsidRDefault="00D2237D" w:rsidP="000E53E1">
      <w:pPr>
        <w:pStyle w:val="LTAntwortRessortText"/>
        <w:spacing w:before="0"/>
      </w:pPr>
    </w:p>
    <w:p w:rsidR="00D2237D" w:rsidRDefault="00D2237D" w:rsidP="000E53E1">
      <w:pPr>
        <w:pStyle w:val="LTAntwortRessortText"/>
        <w:spacing w:before="0"/>
      </w:pPr>
      <w:r>
        <w:t xml:space="preserve">*) Von einem Abdruck wurde abgesehen. Die Tabelle 1 ist als pdf-Dokument </w:t>
      </w:r>
      <w:hyperlink r:id="rId22" w:history="1">
        <w:r w:rsidRPr="00503079">
          <w:rPr>
            <w:rStyle w:val="LTHyperlinkZchn"/>
            <w:b w:val="0"/>
          </w:rPr>
          <w:t>hier</w:t>
        </w:r>
      </w:hyperlink>
      <w:r>
        <w:t xml:space="preserve"> einsehbar.</w:t>
      </w:r>
    </w:p>
    <w:p w:rsidR="00D2237D" w:rsidRDefault="00D2237D" w:rsidP="000E53E1">
      <w:pPr>
        <w:pStyle w:val="LTAntwortRessortText"/>
        <w:spacing w:before="0"/>
      </w:pPr>
      <w:r>
        <w:t xml:space="preserve">**) Von einem Abdruck wurde abgesehen. Die Tabelle 2 ist als pdf-Dokument </w:t>
      </w:r>
      <w:hyperlink r:id="rId23" w:history="1">
        <w:r w:rsidRPr="00503079">
          <w:rPr>
            <w:rStyle w:val="LTHyperlinkZchn"/>
            <w:b w:val="0"/>
          </w:rPr>
          <w:t>hier</w:t>
        </w:r>
      </w:hyperlink>
      <w:r>
        <w:t xml:space="preserve"> einsehbar.</w:t>
      </w:r>
    </w:p>
    <w:p w:rsidR="00D2237D" w:rsidRDefault="00D2237D" w:rsidP="000E53E1">
      <w:pPr>
        <w:pStyle w:val="LTAntwortRessortText"/>
        <w:spacing w:before="0"/>
      </w:pPr>
      <w:r>
        <w:t xml:space="preserve">***) Von einem Abdruck wurde abgesehen. Die Tabelle 3 ist als pdf-Dokument </w:t>
      </w:r>
      <w:hyperlink r:id="rId24" w:history="1">
        <w:r w:rsidRPr="00503079">
          <w:rPr>
            <w:rStyle w:val="LTHyperlinkZchn"/>
            <w:b w:val="0"/>
          </w:rPr>
          <w:t>hier</w:t>
        </w:r>
      </w:hyperlink>
      <w:r>
        <w:t xml:space="preserve"> einsehbar.</w:t>
      </w:r>
    </w:p>
    <w:p w:rsidR="00D2237D" w:rsidRDefault="00D2237D" w:rsidP="000E53E1">
      <w:pPr>
        <w:pStyle w:val="LTAntwortRessortText"/>
        <w:spacing w:before="0"/>
      </w:pPr>
      <w:r>
        <w:t xml:space="preserve">****) Von einem Abdruck wurde abgesehen. Die Tabelle 4 ist als pdf-Dokument </w:t>
      </w:r>
      <w:hyperlink r:id="rId25" w:history="1">
        <w:r w:rsidRPr="00503079">
          <w:rPr>
            <w:rStyle w:val="LTHyperlinkZchn"/>
            <w:b w:val="0"/>
          </w:rPr>
          <w:t>hier</w:t>
        </w:r>
      </w:hyperlink>
      <w:r>
        <w:t xml:space="preserve"> einsehbar.</w:t>
      </w:r>
    </w:p>
    <w:p w:rsidR="00D2237D" w:rsidRDefault="00D2237D" w:rsidP="000E53E1">
      <w:pPr>
        <w:pStyle w:val="LTAntwortRessortText"/>
        <w:spacing w:before="0"/>
      </w:pPr>
      <w:r>
        <w:t xml:space="preserve">*****) Von einem Abdruck wurde abgesehen. Die Tabelle 5 ist als pdf-Dokument </w:t>
      </w:r>
      <w:hyperlink r:id="rId26" w:history="1">
        <w:r w:rsidRPr="00503079">
          <w:rPr>
            <w:rStyle w:val="LTHyperlinkZchn"/>
            <w:b w:val="0"/>
          </w:rPr>
          <w:t>hier</w:t>
        </w:r>
      </w:hyperlink>
      <w:r>
        <w:t xml:space="preserve"> einsehbar.</w:t>
      </w:r>
    </w:p>
    <w:p w:rsidR="00D2237D" w:rsidRDefault="00D2237D" w:rsidP="000E53E1">
      <w:pPr>
        <w:pStyle w:val="LTAntwortRessortText"/>
        <w:spacing w:before="0"/>
      </w:pPr>
      <w:r>
        <w:t xml:space="preserve">******) Von einem Abdruck wurde abgesehen. Die Tabelle 6 ist als pdf-Dokument </w:t>
      </w:r>
      <w:hyperlink r:id="rId27" w:history="1">
        <w:r w:rsidRPr="004723A4">
          <w:rPr>
            <w:rStyle w:val="LTHyperlinkZchn"/>
            <w:b w:val="0"/>
          </w:rPr>
          <w:t>hier</w:t>
        </w:r>
      </w:hyperlink>
      <w:r>
        <w:t xml:space="preserve"> einsehbar.</w:t>
      </w:r>
    </w:p>
    <w:p w:rsidR="00D2237D" w:rsidRDefault="00D2237D" w:rsidP="000E53E1">
      <w:pPr>
        <w:pStyle w:val="LTAntwortRessortText"/>
        <w:spacing w:before="0"/>
      </w:pPr>
    </w:p>
    <w:p w:rsidR="00041CAD" w:rsidRDefault="00041CAD">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D3B2C" w:rsidTr="00FD3B2C">
        <w:tc>
          <w:tcPr>
            <w:tcW w:w="1883" w:type="dxa"/>
          </w:tcPr>
          <w:p w:rsidR="00FD3B2C" w:rsidRDefault="00FD3B2C" w:rsidP="00FD3B2C">
            <w:pPr>
              <w:pStyle w:val="LTAnfrageInitiator"/>
            </w:pPr>
            <w:r>
              <w:t>Abgeordneter</w:t>
            </w:r>
            <w:r>
              <w:rPr>
                <w:b/>
              </w:rPr>
              <w:br/>
              <w:t>Ludwig</w:t>
            </w:r>
            <w:r>
              <w:rPr>
                <w:b/>
              </w:rPr>
              <w:br/>
              <w:t>Hartmann</w:t>
            </w:r>
            <w:r>
              <w:rPr>
                <w:b/>
              </w:rPr>
              <w:br/>
            </w:r>
            <w:r>
              <w:t>(BÜNDNIS 90/DIE GRÜNEN)</w:t>
            </w:r>
            <w:bookmarkStart w:id="109" w:name="Frage_Nr_54"/>
            <w:bookmarkEnd w:id="109"/>
          </w:p>
        </w:tc>
        <w:tc>
          <w:tcPr>
            <w:tcW w:w="5733" w:type="dxa"/>
          </w:tcPr>
          <w:p w:rsidR="00FD3B2C" w:rsidRPr="00754CFD" w:rsidRDefault="00FD3B2C" w:rsidP="00754CFD">
            <w:pPr>
              <w:pStyle w:val="LTAnfrageText"/>
            </w:pPr>
            <w:r w:rsidRPr="00754CFD">
              <w:t>Hiermit frage ich die Staatsregierung, ob die Staatswaldfläche, die für das geplante Gewerbegebiet an der Autobahnausfahrt Teublitz vorgesehen ist, bereits von den Bayerischen Staatsforsten (BaySF) durch eine Stellungnahme bzgl. Qualität bzw. Wertigkeit des Grundstücks bewertet wurde, wie sich der aktuelle Verhandlungsstand der Staatsregierung bzw. BaySF mit der Stadt Teublitz darstellt und wann der Landtag über einen Verkauf des Grundstücks entscheidet bzw. die Weitergabe des Grundstücks an die Immobilien Freistaat Bayern (IMBY) geplant ist?  </w:t>
            </w:r>
          </w:p>
        </w:tc>
        <w:tc>
          <w:tcPr>
            <w:tcW w:w="5733" w:type="dxa"/>
          </w:tcPr>
          <w:p w:rsidR="00FD3B2C" w:rsidRDefault="00FD3B2C" w:rsidP="00FD3B2C">
            <w:pPr>
              <w:pStyle w:val="LTAnfrageText"/>
            </w:pPr>
          </w:p>
        </w:tc>
      </w:tr>
    </w:tbl>
    <w:p w:rsidR="00041CAD" w:rsidRDefault="00041CAD" w:rsidP="00041CAD">
      <w:pPr>
        <w:pStyle w:val="LTUeberschrAntwortRessort"/>
      </w:pPr>
      <w:r>
        <w:t>Antwort des Staatsministeriums für Ernährung, Landwirtschaft und Forsten</w:t>
      </w:r>
    </w:p>
    <w:p w:rsidR="00041CAD" w:rsidRDefault="00041CAD" w:rsidP="00041CAD">
      <w:pPr>
        <w:pStyle w:val="LTAntwortRessortText"/>
      </w:pPr>
      <w:r>
        <w:t>Die BaySF sind an den erforderlichen Planungs- und Genehmigungsverfahren nicht beteiligt. Das Verfahren erfolgt ausschließlich unter Mitwirkung der Behörden und sonstigen Träger öffentlicher Belange.</w:t>
      </w:r>
    </w:p>
    <w:p w:rsidR="00041CAD" w:rsidRDefault="00041CAD" w:rsidP="00041CAD">
      <w:pPr>
        <w:pStyle w:val="LTAntwortRessortText"/>
      </w:pPr>
      <w:r>
        <w:t xml:space="preserve">Durch das Amt für Ernährung, Landwirtschaft und Forsten (AELF) Schwandorf erfolgte eine Stellungnahme hinsichtlich der waldgesetzlichen Bestimmungen als Träger öffentlicher Belange. Im </w:t>
      </w:r>
      <w:r w:rsidR="00414D5F">
        <w:t>konkreten Fall führen die vorge</w:t>
      </w:r>
      <w:r>
        <w:t>legten Planungen nach Einschätzung des AELF Schwandorf nicht dazu, dass</w:t>
      </w:r>
      <w:r w:rsidR="005B6566">
        <w:t xml:space="preserve"> </w:t>
      </w:r>
      <w:r>
        <w:t xml:space="preserve">waldrechtliche und im Planungsverfahren sinngemäß zu beachtende Versagungsgründe vorliegen würden. Dem Verlust an Waldfläche und </w:t>
      </w:r>
      <w:r w:rsidR="00414D5F">
        <w:t>-funkti</w:t>
      </w:r>
      <w:r w:rsidR="00845BD8">
        <w:t>onen wirken zudem die im Wesentlichen</w:t>
      </w:r>
      <w:r>
        <w:t xml:space="preserve"> naturschutzrechtlich veranlassten Aus</w:t>
      </w:r>
      <w:r w:rsidR="00414D5F">
        <w:t>gleichs- und Ersatzmaßnahmen u. </w:t>
      </w:r>
      <w:r>
        <w:t>a. in Form von Aufforstungen im Umfang von 6,79 ha und Waldum</w:t>
      </w:r>
      <w:r w:rsidR="00414D5F">
        <w:t>baumaßnahmen im Umfang von 4,42 </w:t>
      </w:r>
      <w:r>
        <w:t>ha entgegen. Hinsichtlich auch der anderen öffentlichen Belange (Natu</w:t>
      </w:r>
      <w:r w:rsidR="00845BD8">
        <w:t>rschutz, Wasserrecht</w:t>
      </w:r>
      <w:r w:rsidR="00414D5F">
        <w:t xml:space="preserve"> etc.) wei</w:t>
      </w:r>
      <w:r>
        <w:t xml:space="preserve">sen wir ergänzend auf die ausführliche Stellungnahme der Staatsregierung vom 23.02.2021 Az. EB.0995.18 zur Eingabe vom 23.08.2020 betreffend </w:t>
      </w:r>
      <w:r w:rsidR="00BD06F4">
        <w:t>„</w:t>
      </w:r>
      <w:r>
        <w:t xml:space="preserve">Einwände gegen den Bebauungsplan </w:t>
      </w:r>
      <w:r w:rsidR="00BD06F4">
        <w:t>„</w:t>
      </w:r>
      <w:r>
        <w:t>Industrie- und Gewerbegebiet an der Autobahn-anschluss-Stelle Teublitz der A93</w:t>
      </w:r>
      <w:r w:rsidR="00BD06F4">
        <w:t>“„</w:t>
      </w:r>
      <w:r>
        <w:t xml:space="preserve"> hin.</w:t>
      </w:r>
    </w:p>
    <w:p w:rsidR="00041CAD" w:rsidRDefault="00041CAD" w:rsidP="00041CAD">
      <w:pPr>
        <w:pStyle w:val="LTAntwortRessortText"/>
      </w:pPr>
      <w:r>
        <w:t>Für die Ermittlung des finanziellen Wertes im Falle eines Verkaufs ist die Immobilien Freistaat Bayern (IMBY) zuständig. Eine solche Wertermittlung hat noch nicht stattgefunden. Die Wertermittlung erfolgt üblicherweise erst nach Freigabe der Flächen durch die nutzende Verwaltung, im vorliegenden Fall die BaySF. Die Freigabe der Flächen ist noch nicht erfolgt.</w:t>
      </w:r>
    </w:p>
    <w:p w:rsidR="00041CAD" w:rsidRDefault="00041CAD" w:rsidP="00041CAD">
      <w:pPr>
        <w:pStyle w:val="LTAntwortRessortText"/>
      </w:pPr>
      <w:r>
        <w:t>Zuständig für das Verkaufsverfahren und die Führung von Verkaufsverhandlungen ist, nach Freigabe der Flächen, die IMBY. Eine Freigabe ist noch nicht erfolgt.</w:t>
      </w:r>
    </w:p>
    <w:p w:rsidR="00041CAD" w:rsidRDefault="00041CAD" w:rsidP="00041CAD">
      <w:pPr>
        <w:pStyle w:val="LTAntwortRessortText"/>
      </w:pPr>
      <w:r>
        <w:t>Soweit die BaySF mit Planungs- oder Vorhabenträgern Gespräche führt, beziehen sich diese auf die betriebliche Entbehrlichkeit der Fläche und sonstige forstbetriebliche Aspekte der Flächeninanspruchnahme. In diesem Sinne hat die BaySF mit der Stadt Teublitz Gespräche geführt. Im Ergebnis wird bei der gegebenen Lage und Größe der Fläche e</w:t>
      </w:r>
      <w:r w:rsidR="00414D5F">
        <w:t>ine solche betriebliche Entbehr</w:t>
      </w:r>
      <w:r>
        <w:t>lichkeit nicht verneint werden können.</w:t>
      </w:r>
    </w:p>
    <w:p w:rsidR="00DC43F7" w:rsidRDefault="00DC43F7">
      <w:r>
        <w:br w:type="page"/>
      </w:r>
    </w:p>
    <w:p w:rsidR="00041CAD" w:rsidRDefault="00041CAD" w:rsidP="00041CAD">
      <w:pPr>
        <w:pStyle w:val="LTAntwortRessortText"/>
      </w:pPr>
      <w:r>
        <w:t xml:space="preserve">Aktuell ist eine weitere Eingabe vom 06.04.2021 betreffend </w:t>
      </w:r>
      <w:r w:rsidR="00BD06F4">
        <w:t>„</w:t>
      </w:r>
      <w:r>
        <w:t>Keine Abgabe des betroffenen Staatsforstgebiets an die Stadt Teublitz</w:t>
      </w:r>
      <w:r w:rsidR="00BD06F4">
        <w:t>“</w:t>
      </w:r>
      <w:r>
        <w:t xml:space="preserve"> anhängig. Im Hinblick auf die noch ausstehende Sachbehandlung dieser Eingabe im Ausschuss für Eingaben und Beschwerden sowie die </w:t>
      </w:r>
      <w:r w:rsidR="00414D5F">
        <w:t>am 20.04.2021 anstehende Behand</w:t>
      </w:r>
      <w:r>
        <w:t>lung im Plenum ist eine Freigabe der betreffenden Flächen durch die BaySF an die IMBY noch nicht erfolgt.</w:t>
      </w:r>
    </w:p>
    <w:p w:rsidR="00041CAD" w:rsidRDefault="00041CAD">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D3B2C" w:rsidTr="00FD3B2C">
        <w:tc>
          <w:tcPr>
            <w:tcW w:w="1883" w:type="dxa"/>
          </w:tcPr>
          <w:p w:rsidR="00FD3B2C" w:rsidRDefault="00FD3B2C" w:rsidP="00FD3B2C">
            <w:pPr>
              <w:pStyle w:val="LTAnfrageInitiator"/>
            </w:pPr>
            <w:r>
              <w:t>Abgeordnete</w:t>
            </w:r>
            <w:r>
              <w:rPr>
                <w:b/>
              </w:rPr>
              <w:br/>
              <w:t>Gisela</w:t>
            </w:r>
            <w:r>
              <w:rPr>
                <w:b/>
              </w:rPr>
              <w:br/>
              <w:t>Sengl</w:t>
            </w:r>
            <w:r>
              <w:rPr>
                <w:b/>
              </w:rPr>
              <w:br/>
            </w:r>
            <w:r>
              <w:t>(BÜNDNIS 90/DIE GRÜNEN)</w:t>
            </w:r>
            <w:bookmarkStart w:id="111" w:name="Frage_Nr_55"/>
            <w:bookmarkEnd w:id="111"/>
          </w:p>
        </w:tc>
        <w:tc>
          <w:tcPr>
            <w:tcW w:w="5733" w:type="dxa"/>
          </w:tcPr>
          <w:p w:rsidR="00FD3B2C" w:rsidRPr="00754CFD" w:rsidRDefault="00FD3B2C" w:rsidP="00754CFD">
            <w:pPr>
              <w:pStyle w:val="LTAnfrageText"/>
            </w:pPr>
            <w:r w:rsidRPr="00754CFD">
              <w:t>Ich frage die Staatsregierung, wie viele Betriebe bieten bayernweit Urlaub auf dem Bauernhof an (bitte aufgeschlüsselt nach Haupt- und Nebenerwerbsbetrieben), wie viele davon betreiben dies gewerblich und plant sie Corona-Hilfen für die Betriebe, die diesen Geschäftszweig nicht gewerblich betreiben? </w:t>
            </w:r>
          </w:p>
        </w:tc>
        <w:tc>
          <w:tcPr>
            <w:tcW w:w="5733" w:type="dxa"/>
          </w:tcPr>
          <w:p w:rsidR="00FD3B2C" w:rsidRDefault="00FD3B2C" w:rsidP="00FD3B2C">
            <w:pPr>
              <w:pStyle w:val="LTAnfrageText"/>
            </w:pPr>
          </w:p>
        </w:tc>
      </w:tr>
    </w:tbl>
    <w:p w:rsidR="00041CAD" w:rsidRDefault="00041CAD" w:rsidP="00041CAD">
      <w:pPr>
        <w:pStyle w:val="LTUeberschrAntwortRessort"/>
      </w:pPr>
      <w:r>
        <w:t>Antwort des Staatsministeriums für Ernährung, Landwirtschaft und Forsten</w:t>
      </w:r>
    </w:p>
    <w:p w:rsidR="00041CAD" w:rsidRDefault="00041CAD" w:rsidP="00041CAD">
      <w:pPr>
        <w:pStyle w:val="LTAntwortRessortText"/>
      </w:pPr>
      <w:r>
        <w:t>Derzeit bieten rund 4</w:t>
      </w:r>
      <w:r w:rsidR="00F61E7A">
        <w:t> </w:t>
      </w:r>
      <w:r>
        <w:t xml:space="preserve">000 landwirtschaftliche Betriebe in Bayern Urlaub auf dem Bauernhof (UadB) an. Davon werden ca. 51 </w:t>
      </w:r>
      <w:r w:rsidR="00BD06F4">
        <w:t>Prozent</w:t>
      </w:r>
      <w:r>
        <w:t xml:space="preserve"> der Betriebe im Haupterwerb geführt.</w:t>
      </w:r>
    </w:p>
    <w:p w:rsidR="00041CAD" w:rsidRDefault="00041CAD" w:rsidP="00041CAD">
      <w:pPr>
        <w:pStyle w:val="LTAntwortRessortText"/>
      </w:pPr>
      <w:r>
        <w:t xml:space="preserve">Gut 55 </w:t>
      </w:r>
      <w:r w:rsidR="00BD06F4">
        <w:t>Prozent</w:t>
      </w:r>
      <w:r w:rsidR="00F61E7A">
        <w:t xml:space="preserve"> haben zehn</w:t>
      </w:r>
      <w:r>
        <w:t xml:space="preserve"> und mehr Betten und sind damit als </w:t>
      </w:r>
      <w:r w:rsidR="00BD06F4">
        <w:t>„</w:t>
      </w:r>
      <w:r>
        <w:t>gewerbliche</w:t>
      </w:r>
      <w:r w:rsidR="00BD06F4">
        <w:t>“</w:t>
      </w:r>
      <w:r w:rsidR="00F61E7A">
        <w:t xml:space="preserve"> Ver</w:t>
      </w:r>
      <w:r>
        <w:t>mieter einzustufen.</w:t>
      </w:r>
    </w:p>
    <w:p w:rsidR="00041CAD" w:rsidRDefault="00041CAD" w:rsidP="00041CAD">
      <w:pPr>
        <w:pStyle w:val="LTAntwortRessortText"/>
      </w:pPr>
      <w:r>
        <w:t>Anbieter von Urlaub auf dem Bauernhof können bei Erfüllung der Vora</w:t>
      </w:r>
      <w:r w:rsidR="00F4278D">
        <w:t>ussetzungen Überbrückungshilfe</w:t>
      </w:r>
      <w:r>
        <w:t xml:space="preserve"> </w:t>
      </w:r>
      <w:r w:rsidR="00F4278D">
        <w:t xml:space="preserve">III </w:t>
      </w:r>
      <w:r>
        <w:t xml:space="preserve">(Ü3) beantragen. Hierzu ist kein Gewerbeschein für Anbieter UadB mehr notwendig. Am </w:t>
      </w:r>
      <w:r w:rsidR="00F61E7A">
        <w:t>01.04.2021</w:t>
      </w:r>
      <w:r>
        <w:t xml:space="preserve"> wurde die Ü3 noch einmal erheblich verbessert und es kann jetzt unter anderem auch ein Eigenkapitalzuschuss gezahlt werden. Die verbess</w:t>
      </w:r>
      <w:r w:rsidR="001C3D68">
        <w:t>erten Hilfen sollen Betriebe un</w:t>
      </w:r>
      <w:r>
        <w:t>terstützen, die schon sehr lange unter Betriebsuntersagungen leiden.</w:t>
      </w:r>
    </w:p>
    <w:p w:rsidR="00041CAD" w:rsidRDefault="00041CAD">
      <w:bookmarkStart w:id="112" w:name="Frage_Nr_55_Ende"/>
      <w:bookmarkEnd w:id="1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D3B2C" w:rsidTr="00FD3B2C">
        <w:tc>
          <w:tcPr>
            <w:tcW w:w="1883" w:type="dxa"/>
          </w:tcPr>
          <w:p w:rsidR="00FD3B2C" w:rsidRDefault="00FD3B2C" w:rsidP="00FD3B2C">
            <w:pPr>
              <w:pStyle w:val="LTAnfrageInitiator"/>
            </w:pPr>
            <w:r>
              <w:t>Abgeordnete</w:t>
            </w:r>
            <w:r>
              <w:rPr>
                <w:b/>
              </w:rPr>
              <w:br/>
              <w:t>Gabriele</w:t>
            </w:r>
            <w:r>
              <w:rPr>
                <w:b/>
              </w:rPr>
              <w:br/>
              <w:t>Triebel</w:t>
            </w:r>
            <w:r>
              <w:rPr>
                <w:b/>
              </w:rPr>
              <w:br/>
            </w:r>
            <w:r>
              <w:t>(BÜNDNIS 90/DIE GRÜNEN)</w:t>
            </w:r>
            <w:bookmarkStart w:id="113" w:name="Frage_Nr_56"/>
            <w:bookmarkEnd w:id="113"/>
          </w:p>
        </w:tc>
        <w:tc>
          <w:tcPr>
            <w:tcW w:w="5733" w:type="dxa"/>
          </w:tcPr>
          <w:p w:rsidR="00FD3B2C" w:rsidRPr="00754CFD" w:rsidRDefault="00FD3B2C" w:rsidP="00754CFD">
            <w:pPr>
              <w:pStyle w:val="LTAnfrageText"/>
            </w:pPr>
            <w:r w:rsidRPr="00754CFD">
              <w:t>Ich frage die Staatsregierung, nachdem das Staatsgut Achselschwang im vergangenen Winter 2020/2021 und in den vorangegangenen Wintern sukzessive am Rande ihrer landwirtschaftlich genutzten Flächen erhebliche und unsachgemäße Rückschnitte von Waldrändern und bachbegleitenden Ufergehölzen durchgeführt hat, wie zum Beispiel an der Schweinach nördlich von Achselschwang, wo große Abschnitte von Hecken bzw. des Ufergehölzes vollständig entfernt bzw. unsachgemäß zurückgeschnitten wurden, sodass nur noch sporadisch Baum- und Heckenreste übrigblieben oder nördlich von Westerschondorf, wo entgegen § 30 Bundesnaturschutzgesetz (BNatSchG) zeitgleich rund 40 gesunde Weiden in einem Feuchtbiotop sowie auf großer Länge ein bis zu 15 Meter breiter Waldrand aus Alteschen, Kleinbäumen und vielen Schlehengebüschen gerodet wurde (die dort vorhandenen Habitate des inzwischen sehr seltenen Neuntöters im Landkreis wurden dabei vollständig zerstört), frage ich die Staatsregierung, ob dem Versuchs-Staatsgut Achselschwang mit seinen Ablegern in Westerschondorf und Hübschenried vom Staatsministerium für Ernährung, Landwirtschaft und Forsten (StMELF), nach vorangegangener Annahme des Volksbegehrens Artenvielfalt durch den Landtag, der Auftrag erteilt wurde, Maßnahmen zur Verschlechterung der Artenvielfalt zu vermeiden und vorbildliche Maßnahmen zur Verbesserung der Artenvielfalt auf den Flächen des Staatsgutes ab 2020 umzusetzen, durch welche konkreten Maßnahmen das StMELF bzw. das Staatsgut Achselschwang die erfolgte Naturzerstörung zu kompensieren gedenkt (bitte Zeitraum mit angeben) und welche konkreten vorbildlichen Maßnahmen das Versuchs-Staatsgut Achselschwang mit seinen Ablegern in Westerschondorf und Hübschenried plant, um zur Verbesserung der Artenvielfalt auf seinen Flächen in den Jahren 2021 und 2022 beizutragen?</w:t>
            </w:r>
          </w:p>
        </w:tc>
        <w:tc>
          <w:tcPr>
            <w:tcW w:w="5733" w:type="dxa"/>
          </w:tcPr>
          <w:p w:rsidR="00FD3B2C" w:rsidRDefault="00FD3B2C" w:rsidP="00FD3B2C">
            <w:pPr>
              <w:pStyle w:val="LTAnfrageText"/>
            </w:pPr>
          </w:p>
        </w:tc>
      </w:tr>
    </w:tbl>
    <w:p w:rsidR="00041CAD" w:rsidRDefault="00041CAD" w:rsidP="00041CAD">
      <w:pPr>
        <w:pStyle w:val="LTUeberschrAntwortRessort"/>
      </w:pPr>
      <w:r>
        <w:t>Antwort des Staatsministeriums für Ernährung, Landwirtschaft und Forsten</w:t>
      </w:r>
    </w:p>
    <w:p w:rsidR="00041CAD" w:rsidRDefault="00041CAD" w:rsidP="00041CAD">
      <w:pPr>
        <w:pStyle w:val="LTAntwortRessortText"/>
      </w:pPr>
      <w:r>
        <w:t>Bereits in den 90er Jahren, lange vor den Beschlüssen zum Volksbegehren, wurden im Staatsgut Achselschwang verschiedene Hecken und Streuobstbestände entlang von Wegen und Gewässern neu angelegt. Im Jahr 2011 wurde dieses Landschaft</w:t>
      </w:r>
      <w:r w:rsidR="001C3D68">
        <w:t>spflegekonzept fortgeschrieben –</w:t>
      </w:r>
      <w:r>
        <w:t xml:space="preserve"> mit aktualisierten Maßnahmenplänen und Entwicklungszielen. Die Vorgaben darin wurden in den vergangenen Jahren laufend umgesetzt. Dabei besteht eine gute Zusammenarbeit mit der Unteren Naturschutzbehörde </w:t>
      </w:r>
      <w:r w:rsidR="001C3D68">
        <w:t>und dem Institut für Agrarökolo</w:t>
      </w:r>
      <w:r>
        <w:t>gie der Landesanstalt für Landwirtschaft.</w:t>
      </w:r>
    </w:p>
    <w:p w:rsidR="00041CAD" w:rsidRDefault="00F4278D" w:rsidP="00041CAD">
      <w:pPr>
        <w:pStyle w:val="LTAntwortRessortText"/>
      </w:pPr>
      <w:r>
        <w:t>Heute umfasst</w:t>
      </w:r>
      <w:r w:rsidR="00041CAD">
        <w:t xml:space="preserve"> das Staatsgut Achselschwan</w:t>
      </w:r>
      <w:r w:rsidR="001C3D68">
        <w:t>g eine Gesamtfläche von ca. 580 </w:t>
      </w:r>
      <w:r w:rsidR="00041CAD">
        <w:t xml:space="preserve">ha. Über 30 ha davon stehen unmittelbar der Natur als </w:t>
      </w:r>
      <w:r w:rsidR="001C3D68">
        <w:t>Biotope, Naturwald, Hecken (9,9 km</w:t>
      </w:r>
      <w:r w:rsidR="00041CAD">
        <w:t xml:space="preserve"> Länge) usw. zur Verfügung und werden als solche gepflegt und erhalten. Zudem verfügt der Betrieb über ca. 20 km naturnahe Waldränder. Der Rest der Flächen wird in unterschiedlichen Intensitätsstufen bewirtschaftet.</w:t>
      </w:r>
    </w:p>
    <w:p w:rsidR="00041CAD" w:rsidRDefault="00041CAD" w:rsidP="00041CAD">
      <w:pPr>
        <w:pStyle w:val="LTAntwortRessortText"/>
      </w:pPr>
      <w:r>
        <w:t>Es ist Teil des Pflege</w:t>
      </w:r>
      <w:r w:rsidR="001C3D68">
        <w:t>konzepts, dass im Rhythmus von acht bis zehn</w:t>
      </w:r>
      <w:r>
        <w:t xml:space="preserve"> Jahren reihum Feldraine, Wiesen- und Waldränder gepflegt und Hecken geplentert und auf Stock gesetzt werden. Es trifft also alle Jahre eine andere Pflegefläche mit unterschiedlichem Bewuchs und unterschiedlichem Pflegebedarf. In diesem Jahr war in den genannten Flächen ein besond</w:t>
      </w:r>
      <w:r w:rsidR="001C3D68">
        <w:t>ers intensiver Eingriff als not</w:t>
      </w:r>
      <w:r>
        <w:t>wendig erachtet und durchgeführt worden. Es wurden keine Wurzelstöcke entfernt, die Gehölze treiben wieder aus.</w:t>
      </w:r>
    </w:p>
    <w:p w:rsidR="00041CAD" w:rsidRDefault="00041CAD" w:rsidP="00041CAD">
      <w:pPr>
        <w:pStyle w:val="LTAntwortRessortText"/>
      </w:pPr>
      <w:r>
        <w:t>Am Dienstag, den 20.04.2021, wurde eine Vorortbegehung mit der Unteren Naturschutzbehörde terminiert. Dabei wur</w:t>
      </w:r>
      <w:r w:rsidR="001C3D68">
        <w:t>den kleinere Korrekturen verein</w:t>
      </w:r>
      <w:r>
        <w:t>bart und eine engere Abstimmung im Vor</w:t>
      </w:r>
      <w:r w:rsidR="001C3D68">
        <w:t>feld künftiger Maßnahmen festge</w:t>
      </w:r>
      <w:r>
        <w:t>legt.</w:t>
      </w:r>
    </w:p>
    <w:p w:rsidR="00041CAD" w:rsidRDefault="00041CAD">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53E87" w:rsidTr="00753E87">
        <w:tc>
          <w:tcPr>
            <w:tcW w:w="1883" w:type="dxa"/>
          </w:tcPr>
          <w:p w:rsidR="00753E87" w:rsidRDefault="00753E87" w:rsidP="00753E87">
            <w:pPr>
              <w:pStyle w:val="LTAnfrageInitiator"/>
            </w:pPr>
            <w:r>
              <w:t>Abgeordneter</w:t>
            </w:r>
            <w:r>
              <w:rPr>
                <w:b/>
              </w:rPr>
              <w:br/>
              <w:t>Christian</w:t>
            </w:r>
            <w:r>
              <w:rPr>
                <w:b/>
              </w:rPr>
              <w:br/>
              <w:t>Zwanziger</w:t>
            </w:r>
            <w:r>
              <w:rPr>
                <w:b/>
              </w:rPr>
              <w:br/>
            </w:r>
            <w:r>
              <w:t>(BÜNDNIS 90/DIE GRÜNEN)</w:t>
            </w:r>
            <w:bookmarkStart w:id="115" w:name="Frage_Nr_57"/>
            <w:bookmarkEnd w:id="115"/>
          </w:p>
        </w:tc>
        <w:tc>
          <w:tcPr>
            <w:tcW w:w="5733" w:type="dxa"/>
          </w:tcPr>
          <w:p w:rsidR="00753E87" w:rsidRPr="00754CFD" w:rsidRDefault="00753E87" w:rsidP="00754CFD">
            <w:pPr>
              <w:pStyle w:val="LTAnfrageText"/>
            </w:pPr>
            <w:r w:rsidRPr="00754CFD">
              <w:t>Ich frage die Staatsregierung, finden derzeit Gespräche zu Wohnmobilstellplätzen bzw. Campingstellplätzen auf landwirtschaftlichen Anwesen im Rahmen der mitgezogenen Betätigung in Staatsregierung bzw. mit weiteren Akteuren statt, welche Änderungen oder Klarstellungen plant sie diesbezüglich und welche Berücksichtigung findet dabei die bauplanungsrechtliche Rechtsprechung zur Ausweisung von Campingplätzen, auch um einen ungewollten Wildwuchs vorzubeugen und die Entwicklung in kommunal erwünschten Bahnen zu halten?</w:t>
            </w:r>
          </w:p>
        </w:tc>
        <w:tc>
          <w:tcPr>
            <w:tcW w:w="5733" w:type="dxa"/>
          </w:tcPr>
          <w:p w:rsidR="00753E87" w:rsidRDefault="00753E87" w:rsidP="00753E87">
            <w:pPr>
              <w:pStyle w:val="LTAnfrageText"/>
            </w:pPr>
          </w:p>
        </w:tc>
      </w:tr>
    </w:tbl>
    <w:p w:rsidR="00041CAD" w:rsidRDefault="00041CAD" w:rsidP="00041CAD">
      <w:pPr>
        <w:pStyle w:val="LTUeberschrAntwortRessort"/>
      </w:pPr>
      <w:r>
        <w:t>Antwort des Staatsministeriums für Ernährung, Landwirtschaft und Forsten</w:t>
      </w:r>
    </w:p>
    <w:p w:rsidR="00041CAD" w:rsidRDefault="00041CAD" w:rsidP="00041CAD">
      <w:pPr>
        <w:pStyle w:val="LTAntwortRessortText"/>
      </w:pPr>
      <w:r>
        <w:t xml:space="preserve">Im Rahmen der Neufassung der Gemeinsamen Bekanntmachung (Gem. Bek.) </w:t>
      </w:r>
      <w:r w:rsidR="00BD06F4">
        <w:t>„</w:t>
      </w:r>
      <w:r>
        <w:t>Bauen im Rahmen land- und forstwirtschaftlicher Betriebe</w:t>
      </w:r>
      <w:r w:rsidR="00BD06F4">
        <w:t>“</w:t>
      </w:r>
      <w:r w:rsidR="00911148">
        <w:t xml:space="preserve"> wurde zwischen </w:t>
      </w:r>
      <w:r w:rsidR="00335043">
        <w:t xml:space="preserve">dem </w:t>
      </w:r>
      <w:r w:rsidR="00911148">
        <w:t>Staatsministerium für Wohnen, Bau und Verkehr (StMB)</w:t>
      </w:r>
      <w:r>
        <w:t xml:space="preserve"> und </w:t>
      </w:r>
      <w:r w:rsidR="00335043">
        <w:t xml:space="preserve">dem </w:t>
      </w:r>
      <w:r w:rsidR="00911148">
        <w:t>Staatsministerium für Ernährung, Landwirtschaft und Forsten (</w:t>
      </w:r>
      <w:r>
        <w:t>StMELF</w:t>
      </w:r>
      <w:r w:rsidR="00911148">
        <w:t>)</w:t>
      </w:r>
      <w:r>
        <w:t xml:space="preserve"> über aktuell immer wieder nachgefragte Wohnmobilstellplätze gesprochen. Im Ergebnis wird</w:t>
      </w:r>
      <w:r w:rsidR="00911148">
        <w:t xml:space="preserve"> unter Berücksichtigung der gel</w:t>
      </w:r>
      <w:r>
        <w:t>tenden Rechtslage nachstehender Passus in die neugefasste Gem. Bek. aufgenommen werden:</w:t>
      </w:r>
    </w:p>
    <w:p w:rsidR="00041CAD" w:rsidRPr="00D37932" w:rsidRDefault="00041CAD" w:rsidP="00041CAD">
      <w:pPr>
        <w:pStyle w:val="LTAntwortRessortText"/>
        <w:rPr>
          <w:i/>
        </w:rPr>
      </w:pPr>
      <w:r w:rsidRPr="00D37932">
        <w:rPr>
          <w:i/>
          <w:vertAlign w:val="superscript"/>
        </w:rPr>
        <w:t>11</w:t>
      </w:r>
      <w:r w:rsidRPr="00D37932">
        <w:rPr>
          <w:i/>
        </w:rPr>
        <w:t>In der Rechtsprechung ist geklärt, dass ein Campingp</w:t>
      </w:r>
      <w:r w:rsidR="00911148">
        <w:rPr>
          <w:i/>
        </w:rPr>
        <w:t>latz nicht von einem land</w:t>
      </w:r>
      <w:r w:rsidRPr="00D37932">
        <w:rPr>
          <w:i/>
        </w:rPr>
        <w:t xml:space="preserve">wirtschaftlichen Betrieb </w:t>
      </w:r>
      <w:r w:rsidR="00BD06F4" w:rsidRPr="00D37932">
        <w:rPr>
          <w:i/>
        </w:rPr>
        <w:t>„</w:t>
      </w:r>
      <w:r w:rsidRPr="00D37932">
        <w:rPr>
          <w:i/>
        </w:rPr>
        <w:t>mitgezogen</w:t>
      </w:r>
      <w:r w:rsidR="00BD06F4" w:rsidRPr="00D37932">
        <w:rPr>
          <w:i/>
        </w:rPr>
        <w:t>“</w:t>
      </w:r>
      <w:r w:rsidRPr="00D37932">
        <w:rPr>
          <w:i/>
        </w:rPr>
        <w:t xml:space="preserve"> werden kann (vgl. </w:t>
      </w:r>
      <w:r w:rsidR="00BD06F4" w:rsidRPr="00D37932">
        <w:rPr>
          <w:i/>
        </w:rPr>
        <w:t>z. B.</w:t>
      </w:r>
      <w:r w:rsidRPr="00D37932">
        <w:rPr>
          <w:i/>
        </w:rPr>
        <w:t xml:space="preserve"> BayVGH vom 20. Februar 2006, BauR 2006, 2021). </w:t>
      </w:r>
      <w:r w:rsidRPr="00911148">
        <w:rPr>
          <w:i/>
          <w:vertAlign w:val="superscript"/>
        </w:rPr>
        <w:t>12</w:t>
      </w:r>
      <w:r w:rsidRPr="00D37932">
        <w:rPr>
          <w:i/>
        </w:rPr>
        <w:t xml:space="preserve">Eine andere Betrachtung kann für einige wenige Wohnmobile gelten, deren Einrichtung den Begriff </w:t>
      </w:r>
      <w:r w:rsidR="00BD06F4" w:rsidRPr="00D37932">
        <w:rPr>
          <w:i/>
        </w:rPr>
        <w:t>„</w:t>
      </w:r>
      <w:r w:rsidRPr="00D37932">
        <w:rPr>
          <w:i/>
        </w:rPr>
        <w:t>Campingplatz</w:t>
      </w:r>
      <w:r w:rsidR="00BD06F4" w:rsidRPr="00D37932">
        <w:rPr>
          <w:i/>
        </w:rPr>
        <w:t>“</w:t>
      </w:r>
      <w:r w:rsidRPr="00D37932">
        <w:rPr>
          <w:i/>
        </w:rPr>
        <w:t xml:space="preserve"> auch in anderen einschlägigen Rechtsgebieten (noch) nicht e</w:t>
      </w:r>
      <w:r w:rsidR="00D37932" w:rsidRPr="00D37932">
        <w:rPr>
          <w:i/>
        </w:rPr>
        <w:t>rfüllt (vgl. Art. 25 Abs. 1 Lan</w:t>
      </w:r>
      <w:r w:rsidRPr="00D37932">
        <w:rPr>
          <w:i/>
        </w:rPr>
        <w:t>desstraf- und Verordnungsgesetz in der Fassun</w:t>
      </w:r>
      <w:r w:rsidR="00911148">
        <w:rPr>
          <w:i/>
        </w:rPr>
        <w:t>g der Bekanntmachung vom 13. De</w:t>
      </w:r>
      <w:r w:rsidRPr="00D37932">
        <w:rPr>
          <w:i/>
        </w:rPr>
        <w:t xml:space="preserve">zember 1982, das zuletzt durch § 2 des Gesetzes vom 27. April 2020 (GVBl. S. 236) geändert worden ist, wonach unter </w:t>
      </w:r>
      <w:r w:rsidR="00BD06F4" w:rsidRPr="00D37932">
        <w:rPr>
          <w:i/>
        </w:rPr>
        <w:t>„</w:t>
      </w:r>
      <w:r w:rsidRPr="00D37932">
        <w:rPr>
          <w:i/>
        </w:rPr>
        <w:t>Campingplätzen</w:t>
      </w:r>
      <w:r w:rsidR="00BD06F4" w:rsidRPr="00D37932">
        <w:rPr>
          <w:i/>
        </w:rPr>
        <w:t>“</w:t>
      </w:r>
      <w:r w:rsidRPr="00D37932">
        <w:rPr>
          <w:i/>
        </w:rPr>
        <w:t xml:space="preserve"> der </w:t>
      </w:r>
      <w:r w:rsidR="00BD06F4" w:rsidRPr="00D37932">
        <w:rPr>
          <w:i/>
        </w:rPr>
        <w:t>„</w:t>
      </w:r>
      <w:r w:rsidRPr="00D37932">
        <w:rPr>
          <w:i/>
        </w:rPr>
        <w:t>[...] Betrieb und die Benutzung von Plätzen, die zum Aufstellen und Bewohnen von mehr als drei Zelten oder Wohnwagen bestimmt sind, [...]</w:t>
      </w:r>
      <w:r w:rsidR="00BD06F4" w:rsidRPr="00D37932">
        <w:rPr>
          <w:i/>
        </w:rPr>
        <w:t>“</w:t>
      </w:r>
      <w:r w:rsidRPr="00D37932">
        <w:rPr>
          <w:i/>
        </w:rPr>
        <w:t xml:space="preserve"> zu verstehen sind). </w:t>
      </w:r>
      <w:r w:rsidRPr="00911148">
        <w:rPr>
          <w:i/>
          <w:vertAlign w:val="superscript"/>
        </w:rPr>
        <w:t>13</w:t>
      </w:r>
      <w:r w:rsidRPr="00D37932">
        <w:rPr>
          <w:i/>
        </w:rPr>
        <w:t xml:space="preserve">Die dafür erforderlichen Sanitär- und sonstigen Einrichtungen sind nach Möglichkeit in bestehenden Räumlichkeiten unterzubringen. </w:t>
      </w:r>
      <w:r w:rsidRPr="00911148">
        <w:rPr>
          <w:i/>
          <w:vertAlign w:val="superscript"/>
        </w:rPr>
        <w:t>14</w:t>
      </w:r>
      <w:r w:rsidRPr="00D37932">
        <w:rPr>
          <w:i/>
        </w:rPr>
        <w:t xml:space="preserve">Insbesondere ist zu berücksichtigen, ob das äußere Erscheinungsbild eines landwirtschaftlichen Betriebs erhalten bleibt. </w:t>
      </w:r>
      <w:r w:rsidRPr="00911148">
        <w:rPr>
          <w:i/>
          <w:vertAlign w:val="superscript"/>
        </w:rPr>
        <w:t>15</w:t>
      </w:r>
      <w:r w:rsidRPr="00D37932">
        <w:rPr>
          <w:i/>
        </w:rPr>
        <w:t>Ein Mitziehen scheidet jedenfalls dann aus, wenn ein Wohnmobilstellplatz durchgehend von dem gleichen Benutzer genutzt wird, es sich gleichsam um eine feste Wohnung handelt.</w:t>
      </w:r>
    </w:p>
    <w:p w:rsidR="00041CAD" w:rsidRDefault="00041CAD" w:rsidP="00041CAD">
      <w:pPr>
        <w:pStyle w:val="LTAntwortRessortText"/>
      </w:pPr>
      <w:r>
        <w:t>Diese Formulierungen dienen der Klarstellung und berücksichtigen neben der geltenden Rechtslage besonders auch die gesicherte obergeri</w:t>
      </w:r>
      <w:r w:rsidR="00911148">
        <w:t>chtliche Recht</w:t>
      </w:r>
      <w:r>
        <w:t>sprechung.</w:t>
      </w:r>
    </w:p>
    <w:p w:rsidR="00041CAD" w:rsidRDefault="00041CAD">
      <w:bookmarkStart w:id="116" w:name="Frage_Nr_57_Ende"/>
      <w:bookmarkEnd w:id="116"/>
      <w:r>
        <w:br w:type="page"/>
      </w:r>
    </w:p>
    <w:p w:rsidR="00041CAD" w:rsidRDefault="00041CAD" w:rsidP="00041CAD">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0F1E" w:rsidTr="00A40F1E">
        <w:tc>
          <w:tcPr>
            <w:tcW w:w="1883" w:type="dxa"/>
          </w:tcPr>
          <w:p w:rsidR="00A40F1E" w:rsidRDefault="00A40F1E" w:rsidP="00A40F1E">
            <w:pPr>
              <w:pStyle w:val="LTAnfrageInitiator"/>
            </w:pPr>
            <w:r>
              <w:t>Abgeordneter</w:t>
            </w:r>
            <w:r>
              <w:rPr>
                <w:b/>
              </w:rPr>
              <w:br/>
              <w:t>Johannes</w:t>
            </w:r>
            <w:r>
              <w:rPr>
                <w:b/>
              </w:rPr>
              <w:br/>
              <w:t>Becher</w:t>
            </w:r>
            <w:r>
              <w:rPr>
                <w:b/>
              </w:rPr>
              <w:br/>
            </w:r>
            <w:r>
              <w:t>(BÜNDNIS 90/DIE GRÜNEN)</w:t>
            </w:r>
            <w:bookmarkStart w:id="117" w:name="Frage_Nr_58"/>
            <w:bookmarkEnd w:id="117"/>
          </w:p>
        </w:tc>
        <w:tc>
          <w:tcPr>
            <w:tcW w:w="5733" w:type="dxa"/>
          </w:tcPr>
          <w:p w:rsidR="00A40F1E" w:rsidRPr="00754CFD" w:rsidRDefault="00A40F1E" w:rsidP="00754CFD">
            <w:pPr>
              <w:pStyle w:val="LTAnfrageText"/>
            </w:pPr>
            <w:r w:rsidRPr="00754CFD">
              <w:t>Ich frage die Staatsregierung, wann ist mit der Fertigstellung der Änderung der Verordnung zur Ausführung des Bayerischen Kinderbildungs- und betreuungsgesetzes (AVBayKiBiG) zu rechnen, ist – wie im Entwurf formuliert – nach wie vor die Streichung des empfohlenen Stellenschlüssels vorgesehen und welche weiteren Änderungen sind geplant?</w:t>
            </w:r>
          </w:p>
        </w:tc>
        <w:tc>
          <w:tcPr>
            <w:tcW w:w="5733" w:type="dxa"/>
          </w:tcPr>
          <w:p w:rsidR="00A40F1E" w:rsidRDefault="00A40F1E" w:rsidP="00A40F1E">
            <w:pPr>
              <w:pStyle w:val="LTAnfrageText"/>
            </w:pPr>
          </w:p>
        </w:tc>
      </w:tr>
    </w:tbl>
    <w:p w:rsidR="00041CAD" w:rsidRDefault="00041CAD" w:rsidP="00041CAD">
      <w:pPr>
        <w:pStyle w:val="LTUeberschrAntwortRessort"/>
      </w:pPr>
      <w:r>
        <w:t>Antwort des Staatsministeriums für Familie, Arbeit und Soziales</w:t>
      </w:r>
    </w:p>
    <w:p w:rsidR="00041CAD" w:rsidRDefault="00041CAD" w:rsidP="00041CAD">
      <w:pPr>
        <w:pStyle w:val="LTAntwortRessortText"/>
      </w:pPr>
      <w:r>
        <w:t>Nach den derzeitigen Planungen ist davon auszugehen, dass die Änderung</w:t>
      </w:r>
      <w:r w:rsidR="00956821">
        <w:t xml:space="preserve"> </w:t>
      </w:r>
      <w:r>
        <w:t>der Kinderbildungsverordnung (AVBayKiBiG) am 1. Mai 2021 in</w:t>
      </w:r>
      <w:r w:rsidR="00956821">
        <w:t xml:space="preserve"> </w:t>
      </w:r>
      <w:r>
        <w:t xml:space="preserve">Kraft tritt. Die </w:t>
      </w:r>
      <w:r w:rsidR="00911148">
        <w:br/>
      </w:r>
      <w:r>
        <w:t>AVBayKiBiG muss geändert werden, um Änderungen im</w:t>
      </w:r>
      <w:r w:rsidR="00956821">
        <w:t xml:space="preserve"> </w:t>
      </w:r>
      <w:r>
        <w:t>Bayerischen Kinderbildungs- und -betreuungsgesetz (BayKiBiG) aufgrund</w:t>
      </w:r>
      <w:r w:rsidR="00956821">
        <w:t xml:space="preserve"> </w:t>
      </w:r>
      <w:r>
        <w:t>der Einführung des Krippengeldes nachzuvollziehen.</w:t>
      </w:r>
    </w:p>
    <w:p w:rsidR="00041CAD" w:rsidRDefault="00041CAD" w:rsidP="00041CAD">
      <w:pPr>
        <w:pStyle w:val="LTAntwortRessortText"/>
      </w:pPr>
      <w:r>
        <w:t>Neben einigen redaktionellen Änderungen sollen bei dieser Gelegenheit</w:t>
      </w:r>
      <w:r w:rsidR="00956821">
        <w:t xml:space="preserve"> </w:t>
      </w:r>
      <w:r>
        <w:t>weitere, zum Teil bereits länger vorgesehene, mit den Verbänden</w:t>
      </w:r>
      <w:r w:rsidR="00956821">
        <w:t xml:space="preserve"> </w:t>
      </w:r>
      <w:r>
        <w:t>besprochene bzw. auch von diesen gewünschte inhaltliche Anpassungen</w:t>
      </w:r>
      <w:r w:rsidR="00956821">
        <w:t xml:space="preserve"> </w:t>
      </w:r>
      <w:r>
        <w:t>vorgenommen werden. In § 17 Abs. 1 Satz 1 AVBayKiBiG soll der</w:t>
      </w:r>
      <w:r w:rsidR="00956821">
        <w:t xml:space="preserve"> </w:t>
      </w:r>
      <w:r w:rsidRPr="00956821">
        <w:rPr>
          <w:b/>
        </w:rPr>
        <w:t>empfohlene</w:t>
      </w:r>
      <w:r>
        <w:t xml:space="preserve"> Anstellungsschlüssel gestrichen werden. Der faktische</w:t>
      </w:r>
      <w:r w:rsidR="00956821">
        <w:t xml:space="preserve"> </w:t>
      </w:r>
      <w:r>
        <w:t>Anstellungsschlüssel beträgt in Bayern bereits seit mehreren Jahren 1</w:t>
      </w:r>
      <w:r w:rsidR="00956821">
        <w:t xml:space="preserve"> </w:t>
      </w:r>
      <w:r>
        <w:t>zu 9,3. Die Empfehlung eines Anstellungsschlüssels von 1 zu 10 bleibt</w:t>
      </w:r>
      <w:r w:rsidR="00956821">
        <w:t xml:space="preserve"> </w:t>
      </w:r>
      <w:r>
        <w:t>daher hinter dem faktischen Anstellungsschlüssel zurück. Anstatt diesen</w:t>
      </w:r>
      <w:r w:rsidR="00956821">
        <w:t xml:space="preserve"> </w:t>
      </w:r>
      <w:r>
        <w:t>daher gänzlich zu streichen, wird nun erwogen, den Trägern der</w:t>
      </w:r>
      <w:r w:rsidR="00956821">
        <w:t xml:space="preserve"> </w:t>
      </w:r>
      <w:r>
        <w:t>Kindertageseinrichtungen einen zielgenaueren Orientierungsrahmen</w:t>
      </w:r>
      <w:r w:rsidR="00956821">
        <w:t xml:space="preserve"> </w:t>
      </w:r>
      <w:r>
        <w:t>zur Qualitätsverbesserung zu bieten. Es ist geplant, den bayernweit</w:t>
      </w:r>
      <w:r w:rsidR="00956821">
        <w:t xml:space="preserve"> </w:t>
      </w:r>
      <w:r>
        <w:t>durchschnittlichen Anstellungsschlüssel eines jeden Jahres jährlich</w:t>
      </w:r>
      <w:r w:rsidR="00956821">
        <w:t xml:space="preserve"> </w:t>
      </w:r>
      <w:r>
        <w:t>zum 15. Juli des darauffolgenden Jahres durch das St</w:t>
      </w:r>
      <w:r w:rsidR="00911148">
        <w:t>aatsministerium für Familie, Arbeit und</w:t>
      </w:r>
      <w:r w:rsidR="00335043">
        <w:t xml:space="preserve"> </w:t>
      </w:r>
      <w:r w:rsidR="00911148">
        <w:t>Soziales (St</w:t>
      </w:r>
      <w:r>
        <w:t>MAS</w:t>
      </w:r>
      <w:r w:rsidR="00911148">
        <w:t>)</w:t>
      </w:r>
      <w:r>
        <w:t xml:space="preserve"> bekanntzugeben.</w:t>
      </w:r>
    </w:p>
    <w:p w:rsidR="00041CAD" w:rsidRDefault="00041CAD" w:rsidP="00041CAD">
      <w:pPr>
        <w:pStyle w:val="LTAntwortRessortText"/>
      </w:pPr>
      <w:r>
        <w:t>Dringend von den Trägern gewünscht:</w:t>
      </w:r>
    </w:p>
    <w:p w:rsidR="00041CAD" w:rsidRDefault="00041CAD" w:rsidP="00956821">
      <w:pPr>
        <w:pStyle w:val="LTAntwortRessortText"/>
        <w:numPr>
          <w:ilvl w:val="0"/>
          <w:numId w:val="41"/>
        </w:numPr>
        <w:spacing w:before="0"/>
        <w:ind w:left="697" w:hanging="357"/>
      </w:pPr>
      <w:r>
        <w:t>In § 17 Abs. 4 AVBayKiBiG soll eine Regelung zur höheren Gewalt</w:t>
      </w:r>
      <w:r w:rsidR="00956821">
        <w:t xml:space="preserve"> </w:t>
      </w:r>
      <w:r>
        <w:t>aufgenommen werden, um auf unvorhersehbare Ereignisse</w:t>
      </w:r>
      <w:r w:rsidR="00956821">
        <w:t xml:space="preserve"> </w:t>
      </w:r>
      <w:r>
        <w:t xml:space="preserve">wie </w:t>
      </w:r>
      <w:r w:rsidR="00BD06F4">
        <w:t>z. B.</w:t>
      </w:r>
      <w:r>
        <w:t xml:space="preserve"> die </w:t>
      </w:r>
      <w:r w:rsidR="00BD06F4">
        <w:t>Coronapandemie</w:t>
      </w:r>
      <w:r>
        <w:t xml:space="preserve"> entsprechend zu reagieren und</w:t>
      </w:r>
      <w:r w:rsidR="00956821">
        <w:t xml:space="preserve"> </w:t>
      </w:r>
      <w:r>
        <w:t>den Kindertageseinrichtungen die Förderung nach dem</w:t>
      </w:r>
      <w:r w:rsidR="00956821">
        <w:t xml:space="preserve"> </w:t>
      </w:r>
      <w:r>
        <w:t>BayKiBiG in voller Höhe zu erhalten, auch wenn sie aufgrund von</w:t>
      </w:r>
      <w:r w:rsidR="00956821">
        <w:t xml:space="preserve"> </w:t>
      </w:r>
      <w:r>
        <w:t>höherer Gewalt den Mindestanstellungsschlüssel oder die Fachkraftquote</w:t>
      </w:r>
      <w:r w:rsidR="00956821">
        <w:t xml:space="preserve"> </w:t>
      </w:r>
      <w:r>
        <w:t>nicht einhalten können.</w:t>
      </w:r>
    </w:p>
    <w:p w:rsidR="00041CAD" w:rsidRDefault="00041CAD" w:rsidP="00956821">
      <w:pPr>
        <w:pStyle w:val="LTAntwortRessortText"/>
        <w:numPr>
          <w:ilvl w:val="0"/>
          <w:numId w:val="41"/>
        </w:numPr>
        <w:spacing w:before="0"/>
        <w:ind w:left="697" w:hanging="357"/>
      </w:pPr>
      <w:r>
        <w:t>Mit Blick auf den Fachkräftemangel erhalten zusätzliche Personengruppen</w:t>
      </w:r>
      <w:r w:rsidR="00956821">
        <w:t xml:space="preserve"> </w:t>
      </w:r>
      <w:r>
        <w:t>unmittelbar in der AVBayKiBiG die Fachkrafteigenschaft</w:t>
      </w:r>
      <w:r w:rsidR="00956821">
        <w:t xml:space="preserve"> </w:t>
      </w:r>
      <w:r>
        <w:t>zugesprochen. Damit wird auch den entsprechenden Fortbildungsmaßnahmen</w:t>
      </w:r>
      <w:r w:rsidR="00956821">
        <w:t xml:space="preserve"> </w:t>
      </w:r>
      <w:r>
        <w:t>der Träger Rechnung getragen.</w:t>
      </w:r>
    </w:p>
    <w:p w:rsidR="00041CAD" w:rsidRDefault="00041CAD" w:rsidP="00041CAD">
      <w:pPr>
        <w:pStyle w:val="LTAntwortRessortText"/>
      </w:pPr>
      <w:r>
        <w:t>Außerdem wird in § 26 Abs. 1 Satz 4 AVBayKiBiG klargestellt, was mit</w:t>
      </w:r>
      <w:r w:rsidR="00956821">
        <w:t xml:space="preserve"> </w:t>
      </w:r>
      <w:r w:rsidR="00BD06F4">
        <w:t>„</w:t>
      </w:r>
      <w:r>
        <w:t>Schließtage, die der Fortbildung dienen</w:t>
      </w:r>
      <w:r w:rsidR="00BD06F4">
        <w:t>“</w:t>
      </w:r>
      <w:r>
        <w:t xml:space="preserve"> konkret gemeint ist, um Unklarheiten</w:t>
      </w:r>
      <w:r w:rsidR="00956821">
        <w:t xml:space="preserve"> </w:t>
      </w:r>
      <w:r>
        <w:t>vorzubeugen und gleichzeitig sicherzustellen, dass die fünf</w:t>
      </w:r>
      <w:r w:rsidR="00956821">
        <w:t xml:space="preserve"> </w:t>
      </w:r>
      <w:r>
        <w:t>zusätzlichen Schließtage, die dem Betreuungsbedürfnis der Eltern an</w:t>
      </w:r>
      <w:r w:rsidR="00956821">
        <w:t xml:space="preserve"> </w:t>
      </w:r>
      <w:r>
        <w:t>sich nicht Rechnung tragen (grundsätzlich 30 Urlaubstage), tatsächlich</w:t>
      </w:r>
      <w:r w:rsidR="00956821">
        <w:t xml:space="preserve"> </w:t>
      </w:r>
      <w:r>
        <w:t>auch der Weiterentwicklung der Qualität in den Kindertageseinrichtungen</w:t>
      </w:r>
      <w:r w:rsidR="00956821">
        <w:t xml:space="preserve"> </w:t>
      </w:r>
      <w:r>
        <w:t>dienen. Damit wird auf eine Streichung der Bestimmung verzichtet.</w:t>
      </w:r>
    </w:p>
    <w:p w:rsidR="00041CAD" w:rsidRDefault="00041CAD" w:rsidP="00956821">
      <w:pPr>
        <w:pStyle w:val="LTAntwortRessortText"/>
        <w:spacing w:before="0"/>
      </w:pPr>
      <w:r>
        <w:t>In Reaktion auf die Verbändeanhörung wird nun nur eine klarstellende</w:t>
      </w:r>
      <w:r w:rsidR="00956821">
        <w:t xml:space="preserve"> </w:t>
      </w:r>
      <w:r>
        <w:t>Änderung vorgenommen, um den Vollzug zu erleichtern.</w:t>
      </w:r>
    </w:p>
    <w:p w:rsidR="00041CAD" w:rsidRDefault="00041CAD">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5896" w:rsidTr="002C5896">
        <w:tc>
          <w:tcPr>
            <w:tcW w:w="1883" w:type="dxa"/>
          </w:tcPr>
          <w:p w:rsidR="002C5896" w:rsidRDefault="002C5896" w:rsidP="002C5896">
            <w:pPr>
              <w:pStyle w:val="LTAnfrageInitiator"/>
            </w:pPr>
            <w:r>
              <w:t>Abgeordnete</w:t>
            </w:r>
            <w:r>
              <w:rPr>
                <w:b/>
              </w:rPr>
              <w:br/>
              <w:t>Eva</w:t>
            </w:r>
            <w:r>
              <w:rPr>
                <w:b/>
              </w:rPr>
              <w:br/>
              <w:t>Lettenbauer</w:t>
            </w:r>
            <w:r>
              <w:rPr>
                <w:b/>
              </w:rPr>
              <w:br/>
            </w:r>
            <w:r>
              <w:t>(BÜNDNIS 90/DIE GRÜNEN)</w:t>
            </w:r>
            <w:bookmarkStart w:id="119" w:name="Frage_Nr_59"/>
            <w:bookmarkEnd w:id="119"/>
          </w:p>
        </w:tc>
        <w:tc>
          <w:tcPr>
            <w:tcW w:w="5733" w:type="dxa"/>
          </w:tcPr>
          <w:p w:rsidR="002C5896" w:rsidRPr="00754CFD" w:rsidRDefault="002C5896" w:rsidP="00754CFD">
            <w:pPr>
              <w:pStyle w:val="LTAnfrageText"/>
            </w:pPr>
            <w:r w:rsidRPr="00754CFD">
              <w:t>Da aktuell wieder viele Saisonarbeitskräfte aus anderen Ländern in Bayern als Erntehelferinnen bzw. -helfer beschäftigt sind, frage ich die Staatsregierung, wie viele Kontrollen wurden bereits durch die Gewerbeaufsicht durchgeführt bzw. sind noch geplant, für wie viele Betriebe sind Gewerbeaufsichtsbeamtinnen bzw. -beamte durchschnittlich zuständig (Betriebe je Beamtin bzw. Beamten) und wird aufgrund der Coronapandemie mehr Personal in der bayerischen Gewerbeaufsicht eingesetzt oder eingestellt? </w:t>
            </w:r>
          </w:p>
        </w:tc>
        <w:tc>
          <w:tcPr>
            <w:tcW w:w="5733" w:type="dxa"/>
          </w:tcPr>
          <w:p w:rsidR="002C5896" w:rsidRDefault="002C5896" w:rsidP="002C5896">
            <w:pPr>
              <w:pStyle w:val="LTAnfrageText"/>
            </w:pPr>
          </w:p>
        </w:tc>
      </w:tr>
    </w:tbl>
    <w:p w:rsidR="00041CAD" w:rsidRDefault="00041CAD" w:rsidP="00041CAD">
      <w:pPr>
        <w:pStyle w:val="LTUeberschrAntwortRessort"/>
      </w:pPr>
      <w:r>
        <w:t>Antwort des Staatsministeriums für Familie, Arbeit und Soziales</w:t>
      </w:r>
    </w:p>
    <w:p w:rsidR="00041CAD" w:rsidRDefault="00041CAD" w:rsidP="00041CAD">
      <w:pPr>
        <w:pStyle w:val="LTAntwortRessortText"/>
      </w:pPr>
      <w:r>
        <w:t>Au</w:t>
      </w:r>
      <w:r w:rsidR="006E40FD">
        <w:t>fgrund der Einleitung zu der o. </w:t>
      </w:r>
      <w:r>
        <w:t>g. Frage und der Erwähnung der aktuellen</w:t>
      </w:r>
      <w:r w:rsidR="001F7285">
        <w:t xml:space="preserve"> </w:t>
      </w:r>
      <w:r>
        <w:t>Beschäftigung von Erntehelferinnen und -helfern wird angenommen,</w:t>
      </w:r>
      <w:r w:rsidR="002F67BA">
        <w:t xml:space="preserve"> </w:t>
      </w:r>
      <w:r>
        <w:t>dass nach Kontrollen des aktuellen Jahres 2021 ausschließlich in</w:t>
      </w:r>
      <w:r w:rsidR="002F67BA">
        <w:t xml:space="preserve"> </w:t>
      </w:r>
      <w:r>
        <w:t>landwirtschaftlichen Betrieben gefragt wird und somit indirekt auf den</w:t>
      </w:r>
      <w:r w:rsidR="002F67BA">
        <w:t xml:space="preserve"> </w:t>
      </w:r>
      <w:r>
        <w:t>Ministerratsbeschluss vom 1. September 2020 zum Kommunikations</w:t>
      </w:r>
      <w:r w:rsidR="006E40FD">
        <w:t xml:space="preserve">- </w:t>
      </w:r>
      <w:r>
        <w:t>und</w:t>
      </w:r>
      <w:r w:rsidR="002F67BA">
        <w:t xml:space="preserve"> </w:t>
      </w:r>
      <w:r>
        <w:t>Kontrollkonzept in landwirtschaftlichen Betrieben Bezug genommen</w:t>
      </w:r>
      <w:r w:rsidR="002F67BA">
        <w:t xml:space="preserve"> </w:t>
      </w:r>
      <w:r>
        <w:t>wird.</w:t>
      </w:r>
    </w:p>
    <w:p w:rsidR="00041CAD" w:rsidRDefault="00041CAD" w:rsidP="002F67BA">
      <w:pPr>
        <w:pStyle w:val="LTAntwortRessortText"/>
        <w:spacing w:before="0"/>
      </w:pPr>
      <w:r>
        <w:t>Aufgrund der Aufgabenübertragung nach § 22 Abs. 4 Arbeitsschutzgesetz</w:t>
      </w:r>
      <w:r w:rsidR="002F67BA">
        <w:t xml:space="preserve"> </w:t>
      </w:r>
      <w:r>
        <w:t>ist in Bayern für die Kontrolle aller landwirtschaftlichen Betriebe,</w:t>
      </w:r>
      <w:r w:rsidR="002F67BA">
        <w:t xml:space="preserve"> </w:t>
      </w:r>
      <w:r>
        <w:t>die auch Saisonarbeitskräfte beschäftigen, die Sozialversicherung für</w:t>
      </w:r>
      <w:r w:rsidR="002F67BA">
        <w:t xml:space="preserve"> </w:t>
      </w:r>
      <w:r>
        <w:t>Landwirtschaft, Forsten und Gartenbau (SVLFG) verantwortlich.</w:t>
      </w:r>
    </w:p>
    <w:p w:rsidR="00041CAD" w:rsidRDefault="00041CAD" w:rsidP="002F67BA">
      <w:pPr>
        <w:pStyle w:val="LTAntwortRessortText"/>
        <w:spacing w:before="0"/>
      </w:pPr>
      <w:r>
        <w:t>Die Bayerische Gewerbeaufsicht ist für Kontrollen der gewerblichen</w:t>
      </w:r>
      <w:r w:rsidR="002F67BA">
        <w:t xml:space="preserve"> </w:t>
      </w:r>
      <w:r>
        <w:t>Unternehmen zuständig. Andere Vorschriften des Arbeitsschutzrechts</w:t>
      </w:r>
      <w:r w:rsidR="002F67BA">
        <w:t xml:space="preserve"> </w:t>
      </w:r>
      <w:r>
        <w:t xml:space="preserve">(wie </w:t>
      </w:r>
      <w:r w:rsidR="00BD06F4">
        <w:t>z. B.</w:t>
      </w:r>
      <w:r>
        <w:t xml:space="preserve"> das Arbeitszeitgesetz sowie das Mutterschutzgesetz) werden</w:t>
      </w:r>
      <w:r w:rsidR="002F67BA">
        <w:t xml:space="preserve"> </w:t>
      </w:r>
      <w:r>
        <w:t>zudem von den sieben Gewerbeaufsichtsämtern bei den Regierungen</w:t>
      </w:r>
      <w:r w:rsidR="002F67BA">
        <w:t xml:space="preserve"> </w:t>
      </w:r>
      <w:r>
        <w:t>in den landwirtschaftlichen Betrieben vollzogen.</w:t>
      </w:r>
    </w:p>
    <w:p w:rsidR="00041CAD" w:rsidRDefault="00041CAD" w:rsidP="00041CAD">
      <w:pPr>
        <w:pStyle w:val="LTAntwortRessortText"/>
      </w:pPr>
      <w:r>
        <w:t>Die SVLFG ist ein agrarsozialer Sozialversicherungsträger und vereint</w:t>
      </w:r>
      <w:r w:rsidR="002F67BA">
        <w:t xml:space="preserve"> </w:t>
      </w:r>
      <w:r>
        <w:t>die landwirtschaftliche Unfallversicherung, Kranken- und Pflegeversicherung</w:t>
      </w:r>
      <w:r w:rsidR="002F67BA">
        <w:t xml:space="preserve"> </w:t>
      </w:r>
      <w:r>
        <w:t>sowie die Alterssicherung der Landwirte unter einem Dach.</w:t>
      </w:r>
    </w:p>
    <w:p w:rsidR="00041CAD" w:rsidRDefault="00041CAD" w:rsidP="002F67BA">
      <w:pPr>
        <w:pStyle w:val="LTAntwortRessortText"/>
        <w:spacing w:before="0"/>
      </w:pPr>
      <w:r>
        <w:t>Die originäre Hauptaufgabe der SVLFG im Bereich Prävention besteht</w:t>
      </w:r>
      <w:r w:rsidR="002F67BA">
        <w:t xml:space="preserve"> </w:t>
      </w:r>
      <w:r>
        <w:t>in der Aufarbeitung von Unfällen, insbesondere bei Wald- und Forstarbeiten,</w:t>
      </w:r>
      <w:r w:rsidR="002F67BA">
        <w:t xml:space="preserve"> </w:t>
      </w:r>
      <w:r>
        <w:t>bei der Benutzung von Leitern, im Umgang mit Maschinen und</w:t>
      </w:r>
      <w:r w:rsidR="002F67BA">
        <w:t xml:space="preserve"> </w:t>
      </w:r>
      <w:r>
        <w:t>Fahrzeugen sowie in der Rinderhaltung.</w:t>
      </w:r>
    </w:p>
    <w:p w:rsidR="00041CAD" w:rsidRDefault="00041CAD" w:rsidP="00D925B1">
      <w:pPr>
        <w:pStyle w:val="LTAntwortRessortText"/>
        <w:spacing w:before="0"/>
      </w:pPr>
      <w:r>
        <w:t>Für Bayern beträgt der SVLFG-Personalbestand für den Bereich Prävention</w:t>
      </w:r>
      <w:r w:rsidR="002F67BA">
        <w:t xml:space="preserve"> </w:t>
      </w:r>
      <w:r>
        <w:t>rund 100 Aufsichtspersonen, davon sind im Jahr 2021 rund 75</w:t>
      </w:r>
      <w:r w:rsidR="002F67BA">
        <w:t xml:space="preserve"> </w:t>
      </w:r>
      <w:r>
        <w:t>Personen im Außendienst tätig. Eine Personalmehrung erfolgte angesichts</w:t>
      </w:r>
      <w:r w:rsidR="002F67BA">
        <w:t xml:space="preserve"> </w:t>
      </w:r>
      <w:r w:rsidR="00335043">
        <w:t>der zusätzlichen c</w:t>
      </w:r>
      <w:r>
        <w:t>oronabedingten Aufgaben bei der SVLFG</w:t>
      </w:r>
      <w:r w:rsidR="002F67BA">
        <w:t xml:space="preserve"> </w:t>
      </w:r>
      <w:r>
        <w:t>nicht. In Bayern sind von der SVLF</w:t>
      </w:r>
      <w:r w:rsidR="006E40FD">
        <w:t>G insgesamt 446 </w:t>
      </w:r>
      <w:r>
        <w:t>329 (Stand 2019)</w:t>
      </w:r>
      <w:r w:rsidR="002F67BA">
        <w:t xml:space="preserve"> </w:t>
      </w:r>
      <w:r w:rsidR="006E40FD">
        <w:t>Mitgliedsunternehmen, davon 382 </w:t>
      </w:r>
      <w:r>
        <w:t>792 (Stand 2019) land- und forstwirtschaftliche</w:t>
      </w:r>
      <w:r w:rsidR="00D925B1">
        <w:t xml:space="preserve"> </w:t>
      </w:r>
      <w:r>
        <w:t>Unternehmen zu betreuen.</w:t>
      </w:r>
    </w:p>
    <w:p w:rsidR="00041CAD" w:rsidRDefault="00041CAD" w:rsidP="00041CAD">
      <w:pPr>
        <w:pStyle w:val="LTAntwortRessortText"/>
      </w:pPr>
      <w:r>
        <w:t>Die SVLFG hat das Staatsministerium für Familie, Arbeit und Soziales</w:t>
      </w:r>
      <w:r w:rsidR="00D925B1">
        <w:t xml:space="preserve"> </w:t>
      </w:r>
      <w:r>
        <w:t>(StMAS) informiert, dass seit Jahresbeginn bis zum 9. April 2021 bereits</w:t>
      </w:r>
      <w:r w:rsidR="00D925B1">
        <w:t xml:space="preserve"> </w:t>
      </w:r>
      <w:r>
        <w:t>493 Be</w:t>
      </w:r>
      <w:r w:rsidR="00335043">
        <w:t>triebe, die Saisonarbeitskräfte</w:t>
      </w:r>
      <w:r>
        <w:t xml:space="preserve"> beschäftigen, der SVLFG</w:t>
      </w:r>
      <w:r w:rsidR="00D925B1">
        <w:t xml:space="preserve"> </w:t>
      </w:r>
      <w:r>
        <w:t>gemeldet wurden. Mit Stand 9. April 2021 wurden bereits insgesamt</w:t>
      </w:r>
      <w:r w:rsidR="00D925B1">
        <w:t xml:space="preserve"> </w:t>
      </w:r>
      <w:r>
        <w:t>mehr als 241 Überprüfungen durch die SVLFG seit Jahresbeginn</w:t>
      </w:r>
      <w:r w:rsidR="00D925B1">
        <w:t xml:space="preserve"> </w:t>
      </w:r>
      <w:r>
        <w:t>durchgeführt. Weitere Überprüfungen sind geplant und werden fortlaufend</w:t>
      </w:r>
      <w:r w:rsidR="00D925B1">
        <w:t xml:space="preserve"> </w:t>
      </w:r>
      <w:r>
        <w:t>durchgeführt.</w:t>
      </w:r>
    </w:p>
    <w:p w:rsidR="00335043" w:rsidRDefault="00335043">
      <w:r>
        <w:br w:type="page"/>
      </w:r>
    </w:p>
    <w:p w:rsidR="00041CAD" w:rsidRDefault="00041CAD" w:rsidP="00041CAD">
      <w:pPr>
        <w:pStyle w:val="LTAntwortRessortText"/>
      </w:pPr>
      <w:r>
        <w:t>Die Beantwortung der Frage nach den Personalkapazitäten der Bayerischen</w:t>
      </w:r>
      <w:r w:rsidR="00D925B1">
        <w:t xml:space="preserve"> </w:t>
      </w:r>
      <w:r>
        <w:t>Gewerbeaufsicht erfolgt in Abstimmung mit dem dafür zuständigen</w:t>
      </w:r>
      <w:r w:rsidR="00D925B1">
        <w:t xml:space="preserve"> </w:t>
      </w:r>
      <w:r>
        <w:t>Staatsministerium für Umwelt und Verbraucherschutz</w:t>
      </w:r>
      <w:r w:rsidR="00D925B1">
        <w:t xml:space="preserve"> </w:t>
      </w:r>
      <w:r>
        <w:t>(StMUV):</w:t>
      </w:r>
    </w:p>
    <w:p w:rsidR="00041CAD" w:rsidRDefault="00041CAD" w:rsidP="00041CAD">
      <w:pPr>
        <w:pStyle w:val="LTAntwortRessortText"/>
      </w:pPr>
      <w:r>
        <w:t>Im Jahr 2020 waren für den gesamten Bereich der Gewerbeaufsicht</w:t>
      </w:r>
      <w:r w:rsidR="00D925B1">
        <w:t xml:space="preserve"> </w:t>
      </w:r>
      <w:r>
        <w:t>(Arbeitsschutz, Gefahrenschutz und Marktüberwachung) 315,77 Aufsichtsbeamt</w:t>
      </w:r>
      <w:r w:rsidR="006E40FD">
        <w:t>innen bzw. -beamte</w:t>
      </w:r>
      <w:r>
        <w:t xml:space="preserve"> in Vollzeitäquivalenten tätig. Die Statistik weist für</w:t>
      </w:r>
      <w:r w:rsidR="00D925B1">
        <w:t xml:space="preserve"> </w:t>
      </w:r>
      <w:r w:rsidR="006E40FD">
        <w:t>den Freistaat Bayern 630 </w:t>
      </w:r>
      <w:r>
        <w:t>341 Unternehmen aus*. Damit ist ein</w:t>
      </w:r>
      <w:r w:rsidR="006E40FD">
        <w:t>e Aufsichtsbeamt</w:t>
      </w:r>
      <w:r w:rsidR="00335043">
        <w:t>in</w:t>
      </w:r>
      <w:r w:rsidR="006E40FD">
        <w:t xml:space="preserve"> bzw. ein Aufsichtsbeamter </w:t>
      </w:r>
      <w:r>
        <w:t>durchschnittlich für 1996 Unternehmen zuständig.</w:t>
      </w:r>
    </w:p>
    <w:p w:rsidR="00041CAD" w:rsidRPr="00D925B1" w:rsidRDefault="00041CAD" w:rsidP="00041CAD">
      <w:pPr>
        <w:pStyle w:val="LTAntwortRessortText"/>
        <w:rPr>
          <w:sz w:val="18"/>
        </w:rPr>
      </w:pPr>
      <w:r w:rsidRPr="00D925B1">
        <w:rPr>
          <w:sz w:val="18"/>
        </w:rPr>
        <w:t>(*Quelle: Bayerisches Landesamt für Statistik: Zahl der Unternehmen in Bayern im Jahr 2019, abgerufen</w:t>
      </w:r>
      <w:r w:rsidR="00D925B1" w:rsidRPr="00D925B1">
        <w:rPr>
          <w:sz w:val="18"/>
        </w:rPr>
        <w:t xml:space="preserve"> </w:t>
      </w:r>
      <w:r w:rsidRPr="00D925B1">
        <w:rPr>
          <w:sz w:val="18"/>
        </w:rPr>
        <w:t>am 20.04.2021)</w:t>
      </w:r>
    </w:p>
    <w:p w:rsidR="00041CAD" w:rsidRDefault="00041CAD" w:rsidP="00041CAD">
      <w:pPr>
        <w:pStyle w:val="LTAntwortRessortText"/>
      </w:pPr>
      <w:r>
        <w:t xml:space="preserve">Im Zusammenhang mit der </w:t>
      </w:r>
      <w:r w:rsidR="00BD06F4">
        <w:t>Coronapandemie</w:t>
      </w:r>
      <w:r>
        <w:t xml:space="preserve"> wurden im Jahr 2021 27</w:t>
      </w:r>
      <w:r w:rsidR="00D925B1">
        <w:t xml:space="preserve"> </w:t>
      </w:r>
      <w:r>
        <w:t>neue Stellen für die Gewerbeaufsicht im Einzelplan 12 des StMUV ausgebracht.</w:t>
      </w:r>
    </w:p>
    <w:p w:rsidR="00041CAD" w:rsidRDefault="00041CAD">
      <w:bookmarkStart w:id="120" w:name="Frage_Nr_59_Ende"/>
      <w:bookmarkEnd w:id="12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85CFF" w:rsidTr="00E85CFF">
        <w:tc>
          <w:tcPr>
            <w:tcW w:w="1854" w:type="dxa"/>
          </w:tcPr>
          <w:p w:rsidR="00E85CFF" w:rsidRDefault="00E85CFF" w:rsidP="00E85CFF">
            <w:pPr>
              <w:pStyle w:val="LTAnfrageInitiator"/>
            </w:pPr>
            <w:r>
              <w:t>Abgeordnete</w:t>
            </w:r>
            <w:r>
              <w:rPr>
                <w:b/>
              </w:rPr>
              <w:br/>
              <w:t>Ruth</w:t>
            </w:r>
            <w:r>
              <w:rPr>
                <w:b/>
              </w:rPr>
              <w:br/>
              <w:t>Müller</w:t>
            </w:r>
            <w:r>
              <w:rPr>
                <w:b/>
              </w:rPr>
              <w:br/>
            </w:r>
            <w:r>
              <w:t>(SPD)</w:t>
            </w:r>
            <w:bookmarkStart w:id="121" w:name="Frage_Nr_60"/>
            <w:bookmarkEnd w:id="121"/>
          </w:p>
        </w:tc>
        <w:tc>
          <w:tcPr>
            <w:tcW w:w="5762" w:type="dxa"/>
          </w:tcPr>
          <w:p w:rsidR="00E85CFF" w:rsidRPr="00754CFD" w:rsidRDefault="00E85CFF" w:rsidP="00754CFD">
            <w:pPr>
              <w:pStyle w:val="LTAnfrageText"/>
            </w:pPr>
            <w:r w:rsidRPr="00754CFD">
              <w:t>Ich frage die Staatsregierung, wie hat sich die Inanspruchnahme der Hilfeleistungen der bayerischen Hilfe- und Beratungsangebote für von Gewalt bedrohte Frauen in den vergangenen drei Jahren entwickelt (bitte Auflistung nach Anzahl der unterstützenden Leistungen und unterteilt in die Kategorien Frauenhäuser, Fachberatungsstellen, Interventionsstellen)?</w:t>
            </w:r>
          </w:p>
        </w:tc>
        <w:tc>
          <w:tcPr>
            <w:tcW w:w="5762" w:type="dxa"/>
          </w:tcPr>
          <w:p w:rsidR="00E85CFF" w:rsidRDefault="00E85CFF" w:rsidP="00E85CFF">
            <w:pPr>
              <w:pStyle w:val="LTAnfrageText"/>
            </w:pPr>
          </w:p>
        </w:tc>
      </w:tr>
    </w:tbl>
    <w:p w:rsidR="00041CAD" w:rsidRDefault="00041CAD" w:rsidP="00041CAD">
      <w:pPr>
        <w:pStyle w:val="LTUeberschrAntwortRessort"/>
      </w:pPr>
      <w:r>
        <w:t>Antwort des Staatsministeriums für Familie, Arbeit und Soziales</w:t>
      </w:r>
    </w:p>
    <w:p w:rsidR="00041CAD" w:rsidRDefault="00041CAD" w:rsidP="00041CAD">
      <w:pPr>
        <w:pStyle w:val="LTAntwortRessortText"/>
      </w:pPr>
      <w:r>
        <w:t>Die Inanspruchnahme der Hilfeleistungen der bayerischen Hilfe- und</w:t>
      </w:r>
      <w:r w:rsidR="008D1EB3">
        <w:t xml:space="preserve"> </w:t>
      </w:r>
      <w:r>
        <w:t>Beratungsangebote für von Gewalt bedrohte Frauen in staatlich geförderten</w:t>
      </w:r>
      <w:r w:rsidR="008D1EB3">
        <w:t xml:space="preserve"> </w:t>
      </w:r>
      <w:r>
        <w:t>Frauenhäusern, Fachberatungsstellen/Notrufen und Interventionsstellen</w:t>
      </w:r>
      <w:r w:rsidR="008D1EB3">
        <w:t xml:space="preserve"> </w:t>
      </w:r>
      <w:r>
        <w:t>hat sich in den vergangenen drei Jahren wie folgt entwickelt:</w:t>
      </w:r>
    </w:p>
    <w:p w:rsidR="00041CAD" w:rsidRDefault="00041CAD" w:rsidP="00041CAD">
      <w:pPr>
        <w:pStyle w:val="LTAntwortRessortText"/>
      </w:pPr>
      <w:r>
        <w:t>Gesamtzahl der von Gewalt betroffenen oder bedrohten Frauen, die in</w:t>
      </w:r>
      <w:r w:rsidR="008D1EB3">
        <w:t xml:space="preserve"> </w:t>
      </w:r>
      <w:r>
        <w:t>den Jahren 2018 bis 2020 jeweils in einem der 39 staatlich geförderten</w:t>
      </w:r>
      <w:r w:rsidR="008D1EB3">
        <w:t xml:space="preserve"> </w:t>
      </w:r>
      <w:r>
        <w:t>Frauenhäusern lebten:</w:t>
      </w:r>
    </w:p>
    <w:p w:rsidR="00041CAD" w:rsidRDefault="008C324F" w:rsidP="008D1EB3">
      <w:pPr>
        <w:pStyle w:val="LTAntwortRessortText"/>
        <w:numPr>
          <w:ilvl w:val="0"/>
          <w:numId w:val="42"/>
        </w:numPr>
        <w:spacing w:before="0"/>
        <w:ind w:left="697" w:hanging="357"/>
      </w:pPr>
      <w:r>
        <w:t>im Jahr 2018: 1 </w:t>
      </w:r>
      <w:r w:rsidR="00335043">
        <w:t>431 Frauen</w:t>
      </w:r>
    </w:p>
    <w:p w:rsidR="00041CAD" w:rsidRDefault="008C324F" w:rsidP="008D1EB3">
      <w:pPr>
        <w:pStyle w:val="LTAntwortRessortText"/>
        <w:numPr>
          <w:ilvl w:val="0"/>
          <w:numId w:val="42"/>
        </w:numPr>
        <w:spacing w:before="0"/>
        <w:ind w:left="697" w:hanging="357"/>
      </w:pPr>
      <w:r>
        <w:t>im Jahr 2019: 1 </w:t>
      </w:r>
      <w:r w:rsidR="00335043">
        <w:t>383 Frauen</w:t>
      </w:r>
    </w:p>
    <w:p w:rsidR="00041CAD" w:rsidRDefault="008C324F" w:rsidP="008D1EB3">
      <w:pPr>
        <w:pStyle w:val="LTAntwortRessortText"/>
        <w:numPr>
          <w:ilvl w:val="0"/>
          <w:numId w:val="42"/>
        </w:numPr>
        <w:spacing w:before="0"/>
        <w:ind w:left="697" w:hanging="357"/>
      </w:pPr>
      <w:r>
        <w:t>im Jahr 2020: 1 </w:t>
      </w:r>
      <w:r w:rsidR="00041CAD">
        <w:t>129 Frauen (Hinweis: Für das Jahr 2020 stehen</w:t>
      </w:r>
      <w:r w:rsidR="008D1EB3">
        <w:t xml:space="preserve"> </w:t>
      </w:r>
      <w:r w:rsidR="00041CAD">
        <w:t>die statistischen Rückmeldungen von drei Frauenhäusern noch</w:t>
      </w:r>
      <w:r w:rsidR="008D1EB3">
        <w:t xml:space="preserve"> </w:t>
      </w:r>
      <w:r w:rsidR="00041CAD">
        <w:t>aus.)</w:t>
      </w:r>
    </w:p>
    <w:p w:rsidR="00041CAD" w:rsidRDefault="00041CAD" w:rsidP="00041CAD">
      <w:pPr>
        <w:pStyle w:val="LTAntwortRessortText"/>
      </w:pPr>
      <w:r>
        <w:t>Gesamtzahl der Personen (Frauen, Männer, Angehörige und Fachpersonal),</w:t>
      </w:r>
      <w:r w:rsidR="008D1EB3">
        <w:t xml:space="preserve"> </w:t>
      </w:r>
      <w:r>
        <w:t>die in den Jahren 2018 bis 2020 bei den 35 staatlich geförderten</w:t>
      </w:r>
      <w:r w:rsidR="008D1EB3">
        <w:t xml:space="preserve"> </w:t>
      </w:r>
      <w:r>
        <w:t>Fachberatungsstellen/Notrufen jeweils Rat suchten:</w:t>
      </w:r>
    </w:p>
    <w:p w:rsidR="00041CAD" w:rsidRDefault="00041CAD" w:rsidP="008D1EB3">
      <w:pPr>
        <w:pStyle w:val="LTAntwortRessortText"/>
        <w:numPr>
          <w:ilvl w:val="0"/>
          <w:numId w:val="43"/>
        </w:numPr>
        <w:spacing w:before="0"/>
        <w:ind w:left="697" w:hanging="357"/>
      </w:pPr>
      <w:r>
        <w:t>im Jahr 2018: insgesamt 9</w:t>
      </w:r>
      <w:r w:rsidR="008C324F">
        <w:t> 725 Personen, darunter 6 </w:t>
      </w:r>
      <w:r>
        <w:t>560 gewaltbetroffene</w:t>
      </w:r>
    </w:p>
    <w:p w:rsidR="00041CAD" w:rsidRDefault="0041024D" w:rsidP="008C324F">
      <w:pPr>
        <w:pStyle w:val="LTAntwortRessortText"/>
        <w:spacing w:before="0"/>
        <w:ind w:left="697"/>
      </w:pPr>
      <w:r>
        <w:t>Frauen</w:t>
      </w:r>
    </w:p>
    <w:p w:rsidR="00041CAD" w:rsidRDefault="008C324F" w:rsidP="008D1EB3">
      <w:pPr>
        <w:pStyle w:val="LTAntwortRessortText"/>
        <w:numPr>
          <w:ilvl w:val="0"/>
          <w:numId w:val="43"/>
        </w:numPr>
        <w:spacing w:before="0"/>
        <w:ind w:left="697" w:hanging="357"/>
      </w:pPr>
      <w:r>
        <w:t>im Jahr 2019: insgesamt 10 236 Personen, darunter 6 </w:t>
      </w:r>
      <w:r w:rsidR="00041CAD">
        <w:t>523 gewaltbetroffene</w:t>
      </w:r>
    </w:p>
    <w:p w:rsidR="00041CAD" w:rsidRDefault="0041024D" w:rsidP="008C324F">
      <w:pPr>
        <w:pStyle w:val="LTAntwortRessortText"/>
        <w:spacing w:before="0"/>
        <w:ind w:left="697"/>
      </w:pPr>
      <w:r>
        <w:t>Frauen</w:t>
      </w:r>
    </w:p>
    <w:p w:rsidR="00041CAD" w:rsidRDefault="008C324F" w:rsidP="008D1EB3">
      <w:pPr>
        <w:pStyle w:val="LTAntwortRessortText"/>
        <w:numPr>
          <w:ilvl w:val="0"/>
          <w:numId w:val="43"/>
        </w:numPr>
        <w:spacing w:before="0"/>
        <w:ind w:left="697" w:hanging="357"/>
      </w:pPr>
      <w:r>
        <w:t>im Jahr 2020: insgesamt 9 </w:t>
      </w:r>
      <w:r w:rsidR="00041CAD">
        <w:t>89</w:t>
      </w:r>
      <w:r>
        <w:t>0 Personen, darunter 6 </w:t>
      </w:r>
      <w:r w:rsidR="00041CAD">
        <w:t>526 gewaltbetroffene</w:t>
      </w:r>
    </w:p>
    <w:p w:rsidR="00041CAD" w:rsidRDefault="0041024D" w:rsidP="008C324F">
      <w:pPr>
        <w:pStyle w:val="LTAntwortRessortText"/>
        <w:spacing w:before="0"/>
        <w:ind w:left="697"/>
      </w:pPr>
      <w:r>
        <w:t>Frauen</w:t>
      </w:r>
    </w:p>
    <w:p w:rsidR="00041CAD" w:rsidRDefault="00041CAD" w:rsidP="00041CAD">
      <w:pPr>
        <w:pStyle w:val="LTAntwortRessortText"/>
      </w:pPr>
      <w:r>
        <w:t>Gesamtanzahl der bei den staatlich geförderten Fachberatungsstellen/Notrufen in den Jahren 2018 bis 2020 jeweils durchgeführten Beratungen:</w:t>
      </w:r>
    </w:p>
    <w:p w:rsidR="00041CAD" w:rsidRDefault="008C324F" w:rsidP="008D1EB3">
      <w:pPr>
        <w:pStyle w:val="LTAntwortRessortText"/>
        <w:numPr>
          <w:ilvl w:val="0"/>
          <w:numId w:val="44"/>
        </w:numPr>
        <w:spacing w:before="0"/>
        <w:ind w:left="697" w:hanging="357"/>
      </w:pPr>
      <w:r>
        <w:t>im Jahr 2018: 30 </w:t>
      </w:r>
      <w:r w:rsidR="00041CAD">
        <w:t>925 Berat</w:t>
      </w:r>
      <w:r w:rsidR="0041024D">
        <w:t>ungen</w:t>
      </w:r>
    </w:p>
    <w:p w:rsidR="00041CAD" w:rsidRDefault="008C324F" w:rsidP="008D1EB3">
      <w:pPr>
        <w:pStyle w:val="LTAntwortRessortText"/>
        <w:numPr>
          <w:ilvl w:val="0"/>
          <w:numId w:val="44"/>
        </w:numPr>
        <w:spacing w:before="0"/>
        <w:ind w:left="697" w:hanging="357"/>
      </w:pPr>
      <w:r>
        <w:t>im Jahr 2019: 31 </w:t>
      </w:r>
      <w:r w:rsidR="0041024D">
        <w:t>719 Beratungen</w:t>
      </w:r>
    </w:p>
    <w:p w:rsidR="0041024D" w:rsidRDefault="008C324F" w:rsidP="0041024D">
      <w:pPr>
        <w:pStyle w:val="LTAntwortRessortText"/>
        <w:numPr>
          <w:ilvl w:val="0"/>
          <w:numId w:val="44"/>
        </w:numPr>
        <w:spacing w:before="0"/>
        <w:ind w:left="697" w:hanging="357"/>
      </w:pPr>
      <w:r>
        <w:t>im Jahr 2020: 35 </w:t>
      </w:r>
      <w:r w:rsidR="0041024D">
        <w:t>352 Beratungen</w:t>
      </w:r>
    </w:p>
    <w:p w:rsidR="00041CAD" w:rsidRDefault="00041CAD" w:rsidP="00041CAD">
      <w:pPr>
        <w:pStyle w:val="LTAntwortRessortText"/>
      </w:pPr>
      <w:r>
        <w:t>Gesamtzahl der bei den 26 (seit 2019: 27) staatlich geförderten Interventionsstellen</w:t>
      </w:r>
      <w:r w:rsidR="008D1EB3">
        <w:t xml:space="preserve"> </w:t>
      </w:r>
      <w:r>
        <w:t>in den Jahren 2018 bis 2020 jeweils beratenen Frauen:</w:t>
      </w:r>
    </w:p>
    <w:p w:rsidR="00041CAD" w:rsidRDefault="0041024D" w:rsidP="008D1EB3">
      <w:pPr>
        <w:pStyle w:val="LTAntwortRessortText"/>
        <w:numPr>
          <w:ilvl w:val="0"/>
          <w:numId w:val="44"/>
        </w:numPr>
        <w:spacing w:before="0"/>
        <w:ind w:left="697" w:hanging="357"/>
      </w:pPr>
      <w:r>
        <w:t>im Jahr 2018: 1.304 Frauen</w:t>
      </w:r>
    </w:p>
    <w:p w:rsidR="00041CAD" w:rsidRDefault="00041CAD" w:rsidP="008D1EB3">
      <w:pPr>
        <w:pStyle w:val="LTAntwortRessortText"/>
        <w:numPr>
          <w:ilvl w:val="0"/>
          <w:numId w:val="44"/>
        </w:numPr>
        <w:spacing w:before="0"/>
        <w:ind w:left="697" w:hanging="357"/>
      </w:pPr>
      <w:r>
        <w:t>im Jahr 2019: 1.</w:t>
      </w:r>
      <w:r w:rsidR="0041024D">
        <w:t>500 Frauen</w:t>
      </w:r>
    </w:p>
    <w:p w:rsidR="00041CAD" w:rsidRDefault="00041CAD" w:rsidP="00041CAD">
      <w:pPr>
        <w:pStyle w:val="LTAntwortRessortText"/>
      </w:pPr>
      <w:r>
        <w:t>Für das Jahr 2020 liegen noch keine Zahlen vor.</w:t>
      </w:r>
    </w:p>
    <w:p w:rsidR="00041CAD" w:rsidRDefault="00041CAD" w:rsidP="00041CAD">
      <w:pPr>
        <w:pStyle w:val="LTAntwortRessortText"/>
      </w:pPr>
      <w:r>
        <w:t>Gesamtzahl der bei den 26 (seit 2019: 27) staatlich geförderten Interventionsstellen</w:t>
      </w:r>
      <w:r w:rsidR="008D1EB3">
        <w:t xml:space="preserve"> </w:t>
      </w:r>
      <w:r>
        <w:t>in den Jahren 2018 bis 2020 jeweils durchgeführten</w:t>
      </w:r>
      <w:r w:rsidR="008D1EB3">
        <w:t xml:space="preserve"> </w:t>
      </w:r>
      <w:r>
        <w:t xml:space="preserve">Erst- und Folgeberatungen (ohne sog. Kurzberatungen, wie </w:t>
      </w:r>
      <w:r w:rsidR="00BD06F4">
        <w:t>z. B.</w:t>
      </w:r>
      <w:r>
        <w:t xml:space="preserve"> Terminvereinbarungen):</w:t>
      </w:r>
    </w:p>
    <w:p w:rsidR="00041CAD" w:rsidRDefault="008C324F" w:rsidP="008D1EB3">
      <w:pPr>
        <w:pStyle w:val="LTAntwortRessortText"/>
        <w:numPr>
          <w:ilvl w:val="0"/>
          <w:numId w:val="44"/>
        </w:numPr>
        <w:spacing w:before="0"/>
        <w:ind w:left="697" w:hanging="357"/>
      </w:pPr>
      <w:r>
        <w:t>im Jahr 2018: 2 </w:t>
      </w:r>
      <w:r w:rsidR="00041CAD">
        <w:t>960 Erst- und Folgeberatungen,</w:t>
      </w:r>
    </w:p>
    <w:p w:rsidR="00041CAD" w:rsidRDefault="008C324F" w:rsidP="008D1EB3">
      <w:pPr>
        <w:pStyle w:val="LTAntwortRessortText"/>
        <w:numPr>
          <w:ilvl w:val="0"/>
          <w:numId w:val="44"/>
        </w:numPr>
        <w:spacing w:before="0"/>
        <w:ind w:left="697" w:hanging="357"/>
      </w:pPr>
      <w:r>
        <w:t>im Jahr 2019: 3 </w:t>
      </w:r>
      <w:r w:rsidR="00041CAD">
        <w:t>120 Erst- und Folgeberatungen.</w:t>
      </w:r>
    </w:p>
    <w:p w:rsidR="00041CAD" w:rsidRDefault="00041CAD" w:rsidP="0041024D">
      <w:pPr>
        <w:pStyle w:val="LTAntwortRessortText"/>
      </w:pPr>
      <w:r>
        <w:t>Für das Jahr 2020 liegen noch keine Zahlen vor.</w:t>
      </w:r>
      <w:bookmarkStart w:id="122" w:name="Frage_Nr_60_Ende"/>
      <w:bookmarkEnd w:id="1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240D7" w:rsidTr="009240D7">
        <w:tc>
          <w:tcPr>
            <w:tcW w:w="1854" w:type="dxa"/>
          </w:tcPr>
          <w:p w:rsidR="009240D7" w:rsidRDefault="009240D7" w:rsidP="009240D7">
            <w:pPr>
              <w:pStyle w:val="LTAnfrageInitiator"/>
            </w:pPr>
            <w:r>
              <w:t>Abgeordnete</w:t>
            </w:r>
            <w:r>
              <w:rPr>
                <w:b/>
              </w:rPr>
              <w:br/>
              <w:t>Doris</w:t>
            </w:r>
            <w:r>
              <w:rPr>
                <w:b/>
              </w:rPr>
              <w:br/>
              <w:t>Rauscher</w:t>
            </w:r>
            <w:r>
              <w:rPr>
                <w:b/>
              </w:rPr>
              <w:br/>
            </w:r>
            <w:r>
              <w:t>(SPD)</w:t>
            </w:r>
            <w:bookmarkStart w:id="123" w:name="Frage_Nr_61"/>
            <w:bookmarkEnd w:id="123"/>
          </w:p>
        </w:tc>
        <w:tc>
          <w:tcPr>
            <w:tcW w:w="5762" w:type="dxa"/>
          </w:tcPr>
          <w:p w:rsidR="009240D7" w:rsidRPr="00754CFD" w:rsidRDefault="009240D7" w:rsidP="00754CFD">
            <w:pPr>
              <w:pStyle w:val="LTAnfrageText"/>
            </w:pPr>
            <w:r w:rsidRPr="00754CFD">
              <w:t>Ich frage die Staatsregierung, wann gedenkt sie einen aktuellen Bericht zur sozialen Lage in Bayern vorzulegen, welche Jahre sollen in diesem zugrunde gelegt werden, und wie wird sichergestellt, dass es in der Interpretation keine Verzerrung durch Corona gibt, sondern das Pandemiejahr gesondert betrachtet wird?</w:t>
            </w:r>
          </w:p>
        </w:tc>
        <w:tc>
          <w:tcPr>
            <w:tcW w:w="5762" w:type="dxa"/>
          </w:tcPr>
          <w:p w:rsidR="009240D7" w:rsidRDefault="009240D7" w:rsidP="009240D7">
            <w:pPr>
              <w:pStyle w:val="LTAnfrageText"/>
            </w:pPr>
          </w:p>
        </w:tc>
      </w:tr>
    </w:tbl>
    <w:p w:rsidR="00041CAD" w:rsidRDefault="00041CAD" w:rsidP="00041CAD">
      <w:pPr>
        <w:pStyle w:val="LTUeberschrAntwortRessort"/>
      </w:pPr>
      <w:r>
        <w:t>Antwort des Staatsministeriums für Familie, Arbeit und Soziales</w:t>
      </w:r>
    </w:p>
    <w:p w:rsidR="00041250" w:rsidRDefault="00041CAD" w:rsidP="00041CAD">
      <w:pPr>
        <w:pStyle w:val="LTAntwortRessortText"/>
      </w:pPr>
      <w:r>
        <w:t>Entsprechend der Beschlüsse des Landtags wird die</w:t>
      </w:r>
      <w:r w:rsidR="00041250">
        <w:t xml:space="preserve"> </w:t>
      </w:r>
      <w:r>
        <w:t>Staatsregierung noch in dieser Legislaturperiode den Fünften Bericht</w:t>
      </w:r>
      <w:r w:rsidR="00041250">
        <w:t xml:space="preserve"> </w:t>
      </w:r>
      <w:r>
        <w:t>der Staatsregierung zur sozialen Lage in Bayern vorlegen.</w:t>
      </w:r>
      <w:r w:rsidR="00041250">
        <w:t xml:space="preserve"> </w:t>
      </w:r>
    </w:p>
    <w:p w:rsidR="00041CAD" w:rsidRDefault="00041CAD" w:rsidP="00041250">
      <w:pPr>
        <w:pStyle w:val="LTAntwortRessortText"/>
        <w:spacing w:before="0"/>
      </w:pPr>
      <w:r>
        <w:t xml:space="preserve">Um statistische Daten zu den Auswirkungen der </w:t>
      </w:r>
      <w:r w:rsidR="00BD06F4">
        <w:t>Coronapandemie</w:t>
      </w:r>
      <w:r>
        <w:t xml:space="preserve"> berücksichtigen</w:t>
      </w:r>
      <w:r w:rsidR="00041250">
        <w:t xml:space="preserve"> </w:t>
      </w:r>
      <w:r>
        <w:t>zu können, soll dieser Bericht nach derzeitigen Planungen</w:t>
      </w:r>
      <w:r w:rsidR="00041250">
        <w:t xml:space="preserve"> </w:t>
      </w:r>
      <w:r>
        <w:t>dem Landtag im ersten Halbjahr 2022 vorgelegt werden.</w:t>
      </w:r>
    </w:p>
    <w:p w:rsidR="00041CAD" w:rsidRDefault="00041CAD" w:rsidP="00041CAD">
      <w:pPr>
        <w:pStyle w:val="LTAntwortRessortText"/>
      </w:pPr>
      <w:r>
        <w:t>Im Bereich der sozialen Indikatoren gibt es regelmäßig eine zeitliche</w:t>
      </w:r>
      <w:r w:rsidR="00041250">
        <w:t xml:space="preserve"> </w:t>
      </w:r>
      <w:r>
        <w:t>Verzögerung bei der Datenerhebung und -auswertung. Dennoch wird</w:t>
      </w:r>
      <w:r w:rsidR="00041250">
        <w:t xml:space="preserve"> </w:t>
      </w:r>
      <w:r>
        <w:t>der Bericht vornehmlich die Entwicklung bis einschließlich des Jahres</w:t>
      </w:r>
      <w:r w:rsidR="00041250">
        <w:t xml:space="preserve"> </w:t>
      </w:r>
      <w:r>
        <w:t>2019 umfassen. Soweit es die Verfügbarkeit und Qualität der Daten zulässt,</w:t>
      </w:r>
      <w:r w:rsidR="00041250">
        <w:t xml:space="preserve"> </w:t>
      </w:r>
      <w:r>
        <w:t>werden datenbasierte Entwicklungen für das Jahr 2020 bzw. zu</w:t>
      </w:r>
      <w:r w:rsidR="00041250">
        <w:t xml:space="preserve"> </w:t>
      </w:r>
      <w:r w:rsidR="008C324F">
        <w:t>den Auswirkungen der Coronak</w:t>
      </w:r>
      <w:r>
        <w:t>rise berücksichtigt werden. Dies wird</w:t>
      </w:r>
      <w:r w:rsidR="00041250">
        <w:t xml:space="preserve"> </w:t>
      </w:r>
      <w:r>
        <w:t>insbesondere im Bereich der Arbeitsmarkt- und Wirtschaftsindikatoren</w:t>
      </w:r>
      <w:r w:rsidR="00041250">
        <w:t xml:space="preserve"> </w:t>
      </w:r>
      <w:r>
        <w:t>der Fall sein.</w:t>
      </w:r>
    </w:p>
    <w:p w:rsidR="00041CAD" w:rsidRDefault="00041CAD" w:rsidP="00041CAD">
      <w:pPr>
        <w:pStyle w:val="LTAntwortRessortText"/>
      </w:pPr>
      <w:r>
        <w:t>Dabei wird die Staatsregierung Sorge dafür tragen, dass an den entsprechenden</w:t>
      </w:r>
      <w:r w:rsidR="00041250">
        <w:t xml:space="preserve"> </w:t>
      </w:r>
      <w:r>
        <w:t>Stellen kenntlich gemacht wird, wo es sich um die Auswirkungen</w:t>
      </w:r>
      <w:r w:rsidR="00041250">
        <w:t xml:space="preserve"> </w:t>
      </w:r>
      <w:r>
        <w:t xml:space="preserve">der </w:t>
      </w:r>
      <w:r w:rsidR="00BD06F4">
        <w:t>Coronapandemie</w:t>
      </w:r>
      <w:r>
        <w:t xml:space="preserve"> handelt.</w:t>
      </w:r>
    </w:p>
    <w:p w:rsidR="00041CAD" w:rsidRDefault="00041CAD" w:rsidP="00041CAD">
      <w:pPr>
        <w:pStyle w:val="LTAntwortRessortText"/>
      </w:pPr>
      <w:r>
        <w:t>Dies wurde auch mit dem Beirat zum Sozialbericht abgesprochen.</w:t>
      </w:r>
    </w:p>
    <w:p w:rsidR="00041CAD" w:rsidRDefault="00041CAD">
      <w:bookmarkStart w:id="124" w:name="Frage_Nr_61_Ende"/>
      <w:bookmarkEnd w:id="124"/>
      <w:r>
        <w:br w:type="page"/>
      </w:r>
    </w:p>
    <w:p w:rsidR="00041CAD" w:rsidRDefault="00041CAD" w:rsidP="00041CAD">
      <w:pPr>
        <w:pStyle w:val="LTUeberschrRessort"/>
      </w:pPr>
      <w:r>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40D7" w:rsidTr="009240D7">
        <w:tc>
          <w:tcPr>
            <w:tcW w:w="1883" w:type="dxa"/>
          </w:tcPr>
          <w:p w:rsidR="009240D7" w:rsidRDefault="009240D7" w:rsidP="009240D7">
            <w:pPr>
              <w:pStyle w:val="LTAnfrageInitiator"/>
            </w:pPr>
            <w:r>
              <w:t>Abgeordnete</w:t>
            </w:r>
            <w:r>
              <w:rPr>
                <w:b/>
              </w:rPr>
              <w:br/>
              <w:t>Barbara</w:t>
            </w:r>
            <w:r>
              <w:rPr>
                <w:b/>
              </w:rPr>
              <w:br/>
              <w:t>Fuchs</w:t>
            </w:r>
            <w:r>
              <w:rPr>
                <w:b/>
              </w:rPr>
              <w:br/>
            </w:r>
            <w:r>
              <w:t>(BÜNDNIS 90/DIE GRÜNEN)</w:t>
            </w:r>
            <w:bookmarkStart w:id="125" w:name="Frage_Nr_62"/>
            <w:bookmarkEnd w:id="125"/>
          </w:p>
        </w:tc>
        <w:tc>
          <w:tcPr>
            <w:tcW w:w="5733" w:type="dxa"/>
          </w:tcPr>
          <w:p w:rsidR="009240D7" w:rsidRPr="00754CFD" w:rsidRDefault="009240D7" w:rsidP="00754CFD">
            <w:pPr>
              <w:pStyle w:val="LTAnfrageText"/>
            </w:pPr>
            <w:r w:rsidRPr="00754CFD">
              <w:t>Ich frage die Staatsregierung, ab wann startet das Modellprojekt zum Impfen in den Betrieben, wer finanziert den Aufbau der Impfstruktur in den Betrieben und wie stellt die Staatsregierung sicher, dass kleine und mittlere Betriebe in den Hotspots genauso schnell Zugang zu einem Impfangebot erhalten? </w:t>
            </w:r>
          </w:p>
        </w:tc>
        <w:tc>
          <w:tcPr>
            <w:tcW w:w="5733" w:type="dxa"/>
          </w:tcPr>
          <w:p w:rsidR="009240D7" w:rsidRDefault="009240D7" w:rsidP="009240D7">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Das Bundesgesundheitsministerium (BMG) hat in der Coronavirus-Impfverordnung (Corona</w:t>
      </w:r>
      <w:r w:rsidR="009917F2">
        <w:t xml:space="preserve">ImpfV) in der Fassung vom 31. März </w:t>
      </w:r>
      <w:r>
        <w:t>2021 festgelegt, dass nur Vertragsärz</w:t>
      </w:r>
      <w:r w:rsidR="009917F2">
        <w:t>te –</w:t>
      </w:r>
      <w:r>
        <w:t xml:space="preserve"> und nicht </w:t>
      </w:r>
      <w:r w:rsidR="009917F2">
        <w:t>auch Privat- und Betriebsärzte –</w:t>
      </w:r>
      <w:r>
        <w:t xml:space="preserve"> neben den Impfzentren Corona-Schutzimpfungen erbringen dürfen. Entsprechend hat das BMG mit Allgemeinverfügung vom 31.03.2021 bestimmt, dass Apotheken Impfstoff ausschließlich an Ärzte abgeben dürfen, welche an der vertragsärztlichen Versorgung teilnehmen. Daher können Privat- und Betriebsärzte derzeit nur im Auftrag der Impfzentren am Impfgeschehen teilnehmen, </w:t>
      </w:r>
      <w:r w:rsidR="00BD06F4">
        <w:t>z. B.</w:t>
      </w:r>
      <w:r>
        <w:t xml:space="preserve"> über Modellprojekte, jedoch (noch) nicht im Wege der Regelversorgung.</w:t>
      </w:r>
    </w:p>
    <w:p w:rsidR="00041CAD" w:rsidRDefault="00041CAD" w:rsidP="00041250">
      <w:pPr>
        <w:pStyle w:val="LTAntwortRessortText"/>
        <w:spacing w:before="0"/>
      </w:pPr>
      <w:r>
        <w:t>Der Ministerrat hat in s</w:t>
      </w:r>
      <w:r w:rsidR="009917F2">
        <w:t xml:space="preserve">einer Sitzung am 7. April </w:t>
      </w:r>
      <w:r>
        <w:t>2021 beschlossen, in Bayern noch im April 2021 im Rahmen von Modellprojekten für die Beschäftigten von zehn größeren bayerischen Arbeitgebern ein Impfangebot durch den betriebsärztlichen Dienst bzw. Betriebsärzte bereitzustellen.</w:t>
      </w:r>
    </w:p>
    <w:p w:rsidR="00041CAD" w:rsidRDefault="00041CAD" w:rsidP="00041250">
      <w:pPr>
        <w:pStyle w:val="LTAntwortRessortText"/>
        <w:spacing w:before="0"/>
      </w:pPr>
      <w:r>
        <w:t>Es handelt sich um Modellprojekte, die dazu dienen, die Organisation und Abläufe im Rahmen der Impfungen in den Betrieben zu erproben und zu verbessern. Diese Erkenntnisse finden bei der anschließenden flächendeckenden Einbindung der Betriebsärzte entsprechende Berücksichtigung, um einen möglichst reibungslosen Verlauf zu gewährleisten.</w:t>
      </w:r>
    </w:p>
    <w:p w:rsidR="00041CAD" w:rsidRDefault="00041CAD" w:rsidP="00041CAD">
      <w:pPr>
        <w:pStyle w:val="LTAntwortRessortText"/>
      </w:pPr>
      <w:r>
        <w:t>Das St</w:t>
      </w:r>
      <w:r w:rsidR="009917F2">
        <w:t xml:space="preserve">aatsministerium für Gesundheit und Pflege </w:t>
      </w:r>
      <w:r>
        <w:t>hat gemeinsam mit der Vereinigung der Bayerischen Wirtschaft (vbw) ein gleitendes Stufenkonzept entwickelt: In einem ersten Schritt sollen noch im April zehn Betriebe ausgewählt werden, weitere Betriebe folgen im nächsten Schritt im Mai. Limitierender Faktor ist weiterhin die generelle Impfstoffknappheit.</w:t>
      </w:r>
    </w:p>
    <w:p w:rsidR="00041CAD" w:rsidRDefault="00041CAD" w:rsidP="00041CAD">
      <w:pPr>
        <w:pStyle w:val="LTAntwortRessortText"/>
      </w:pPr>
      <w:r>
        <w:t>Die Modellunternehmen werden nach festgelegten Kriterien ausgewählt: Diese sollen in stark infektionsbelasteten Regionen liegen und es sollen unterschiedliche Branchen vertreten sein. Die Modellprojekte werden sich mit Blick auf die begrenzte Menge an Impfstoff auf kleine und mittelständische Unternehmen sowie auf kleinere Standorte von Großunternehmen in den bayerischen Hochinzidenzregionen konzentrieren. Die Kosten für die Impfstruktur in den Betrieben (Betriebsärzte) haben diese selbst zu tragen.</w:t>
      </w:r>
    </w:p>
    <w:p w:rsidR="00041CAD" w:rsidRDefault="00041CAD" w:rsidP="009240D7">
      <w:pPr>
        <w:pStyle w:val="LTAntwortRessortText"/>
      </w:pPr>
      <w:r>
        <w:t>Der Bund ist zudem aufgefordert, möglichst bald die Voraussetzungen dafür zu schaffen, dass auch Privat- und Betriebsärzte flächendeckend im Rahmen der Regelversorgung am</w:t>
      </w:r>
      <w:r w:rsidR="00041250">
        <w:t xml:space="preserve"> </w:t>
      </w:r>
      <w:r>
        <w:t>Impfgeschehen teilnehmen können. Ziel ist es, dass diese wie die Arztpraxen den Impfstoff und Impfzubehör über Apotheken beziehen können. Nach aktuellen Informationen des BMG wird hier als möglicher Beginn der Monat Juni ins Auge gefasst.</w:t>
      </w:r>
      <w:bookmarkStart w:id="126" w:name="Frage_Nr_62_Ende"/>
      <w:bookmarkEnd w:id="12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06E52" w:rsidTr="00B06E52">
        <w:tc>
          <w:tcPr>
            <w:tcW w:w="1854" w:type="dxa"/>
          </w:tcPr>
          <w:p w:rsidR="00B06E52" w:rsidRDefault="00B06E52" w:rsidP="00B06E52">
            <w:pPr>
              <w:pStyle w:val="LTAnfrageInitiator"/>
            </w:pPr>
            <w:r>
              <w:t>Abgeordneter</w:t>
            </w:r>
            <w:r>
              <w:rPr>
                <w:b/>
              </w:rPr>
              <w:br/>
              <w:t>Harald</w:t>
            </w:r>
            <w:r>
              <w:rPr>
                <w:b/>
              </w:rPr>
              <w:br/>
              <w:t>Güller</w:t>
            </w:r>
            <w:r>
              <w:rPr>
                <w:b/>
              </w:rPr>
              <w:br/>
            </w:r>
            <w:r>
              <w:t>(SPD)</w:t>
            </w:r>
            <w:bookmarkStart w:id="127" w:name="Frage_Nr_63"/>
            <w:bookmarkEnd w:id="127"/>
          </w:p>
        </w:tc>
        <w:tc>
          <w:tcPr>
            <w:tcW w:w="5762" w:type="dxa"/>
          </w:tcPr>
          <w:p w:rsidR="00B06E52" w:rsidRPr="00754CFD" w:rsidRDefault="00B06E52" w:rsidP="00754CFD">
            <w:pPr>
              <w:pStyle w:val="LTAnfrageText"/>
            </w:pPr>
            <w:r w:rsidRPr="00754CFD">
              <w:t>Nachdem Hundes</w:t>
            </w:r>
            <w:r w:rsidR="009917F2">
              <w:t xml:space="preserve">chulen in Bayern seit dem 17. Dezember </w:t>
            </w:r>
            <w:r w:rsidRPr="00754CFD">
              <w:t>2020 – im Gegensatz zu den derzeit gültigen Regeln in 13 weiteren Bundesländern – nicht geöffnet sein dürfen und einem Ausübungsverbot unterliegen, frage ich die Staatsregierung, ob sie beabsichtigt, dies gegen Auflagen zu ändern (bitte mit genauer Angaben zu den Auflagen), gegebenenfalls bis wann und falls nein, aus welchen infektionslogischen Gründen nicht, auch vor dem Hintergrund, dass aktuelle Forschungsstudien das Ansteckungsrisiko im Freien (Aeorosol-Forschungen) als sehr gering bewerten?</w:t>
            </w:r>
          </w:p>
        </w:tc>
        <w:tc>
          <w:tcPr>
            <w:tcW w:w="5762" w:type="dxa"/>
          </w:tcPr>
          <w:p w:rsidR="00B06E52" w:rsidRDefault="00B06E52" w:rsidP="00B06E52">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Die Regelungen zu Hundeschulen sind inzidenzabhängig; ein generelles Öffnungsverbot besteht seit 17.</w:t>
      </w:r>
      <w:r w:rsidR="009917F2">
        <w:t xml:space="preserve"> Dezember </w:t>
      </w:r>
      <w:r>
        <w:t>2020 in Bayern nicht.</w:t>
      </w:r>
    </w:p>
    <w:p w:rsidR="00041CAD" w:rsidRDefault="00041CAD" w:rsidP="00041250">
      <w:pPr>
        <w:pStyle w:val="LTAntwortRessortText"/>
        <w:spacing w:before="0"/>
      </w:pPr>
      <w:r>
        <w:t>Bei Hundeschulen handelt es sich um auße</w:t>
      </w:r>
      <w:r w:rsidR="009917F2">
        <w:t>rschulische Bildungsangebote i. S. v. § </w:t>
      </w:r>
      <w:r>
        <w:t xml:space="preserve">20 Abs. 2 der </w:t>
      </w:r>
      <w:r w:rsidR="009917F2">
        <w:t>Zwölften Bayerischen Infektionsschutzmaßnahmenverordnung (</w:t>
      </w:r>
      <w:r>
        <w:t>12. BayIfSMV</w:t>
      </w:r>
      <w:r w:rsidR="009917F2">
        <w:t>)</w:t>
      </w:r>
      <w:r>
        <w:t>, die inzidenzabhängig in Landkreisen und kreisfreien Städten mit einer 7-Tage-Inzidenz unter 100 in Präsenzform stattfinden können, wenn zwischen allen Beteiligten ein Mindestabstand von 1,5 m gewahrt ist und weitere Schutzmaßnahmen beachtet werden. Es kann bei einer Inzidenz unter 100 also sowohl Gruppen- als auch Einzelunterricht abgehalten werden, bei einer Inzidenz über 100 jedoch nicht.</w:t>
      </w:r>
    </w:p>
    <w:p w:rsidR="00041CAD" w:rsidRDefault="00041CAD" w:rsidP="00041250">
      <w:pPr>
        <w:pStyle w:val="LTAntwortRessortText"/>
        <w:spacing w:before="0"/>
      </w:pPr>
      <w:r>
        <w:t xml:space="preserve">Sinn und Zweck der Regelung zu außerschulischen Angeboten ist die Verringerung von Mobilität und Kontakten zur Eindämmung der Pandemie. Die auch für Hundeschulen geltenden Beschränkungen sind damit Bestandteil des Gesamtkonzepts zur Pandemiebekämpfung und vor diesem Hintergrund zu bewerten. Das pandemische Geschehen verstärkt sich aktuell erneut; die hohen bundesweiten Fallzahlen werden durch zumeist diffuse Geschehen verursacht. Die Untersagung von außerschulischen Bildungsangeboten bei einer 7-Tage-Inzidenz ab 100 ist erforderlich, weil kein milderes, gleichermaßen geeignetes Mittel ersichtlich ist. Hygiene- und Abstandsregeln stellen zwar mildere Mittel dar, die jedoch nicht ebenso wirksam sind wie das inzidenzabhängige zeitweise Verbot. Verbleibende Infektionsrisiken durch das Aufeinandertreffen von Menschen beim Aufsuchen der Hundeschule, dem Aufenthalt dort und beim Verlassen derselben werden durch diese Maßnahmen jedenfalls nicht verhindert. Diese Auffassung hat der Bayerische Verwaltungsgerichtshof </w:t>
      </w:r>
      <w:r w:rsidR="009917F2">
        <w:t xml:space="preserve">zuletzt mit Beschluss vom 30. März </w:t>
      </w:r>
      <w:r>
        <w:t>2021, Az. 20 NE 21.807, bestätigt.</w:t>
      </w:r>
    </w:p>
    <w:p w:rsidR="00041CAD" w:rsidRDefault="00041CAD">
      <w:bookmarkStart w:id="128" w:name="Frage_Nr_63_Ende"/>
      <w:bookmarkEnd w:id="12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3475E" w:rsidTr="0013475E">
        <w:tc>
          <w:tcPr>
            <w:tcW w:w="1852" w:type="dxa"/>
          </w:tcPr>
          <w:p w:rsidR="0013475E" w:rsidRDefault="0013475E" w:rsidP="0013475E">
            <w:pPr>
              <w:pStyle w:val="LTAnfrageInitiator"/>
            </w:pPr>
            <w:r>
              <w:t>Abgeordneter</w:t>
            </w:r>
            <w:r>
              <w:rPr>
                <w:b/>
              </w:rPr>
              <w:br/>
              <w:t>Martin</w:t>
            </w:r>
            <w:r>
              <w:rPr>
                <w:b/>
              </w:rPr>
              <w:br/>
              <w:t>Hagen</w:t>
            </w:r>
            <w:r>
              <w:rPr>
                <w:b/>
              </w:rPr>
              <w:br/>
            </w:r>
            <w:r>
              <w:t>(FDP)</w:t>
            </w:r>
            <w:bookmarkStart w:id="129" w:name="Frage_Nr_64"/>
            <w:bookmarkEnd w:id="129"/>
          </w:p>
        </w:tc>
        <w:tc>
          <w:tcPr>
            <w:tcW w:w="5764" w:type="dxa"/>
          </w:tcPr>
          <w:p w:rsidR="0013475E" w:rsidRPr="00754CFD" w:rsidRDefault="0013475E" w:rsidP="00754CFD">
            <w:pPr>
              <w:pStyle w:val="LTAnfrageText"/>
            </w:pPr>
            <w:r w:rsidRPr="00754CFD">
              <w:t>Ich frage die Staatsregierung angesichts der aktuellen Beratungen auf Bundesebene über den Gesetzentwurf zur Änderung des Infektionsschutzgesetzes, welche Position sie zu den vorgeschlagenen Änderungen einnimmt (bitte insbesondere auf die Einschränkung des Handlungsspielraums der Länder eingehen), auf welche Art haben sich die Vertreter der Staatsregierung in die Beratungen des Gesetzentwurfs eingebracht (bitte Mitglieder der Staatsregierung sowie weitere zuständige Vertreter des Freistaates beim Bund aufführen) und welche Vorteile gegenüber der aktuellen Rechtslage verspricht sich die Staatsregierung von der geplanten Änderung des Infektionsschutzgesetzes?</w:t>
            </w:r>
          </w:p>
        </w:tc>
        <w:tc>
          <w:tcPr>
            <w:tcW w:w="5764" w:type="dxa"/>
          </w:tcPr>
          <w:p w:rsidR="0013475E" w:rsidRDefault="0013475E" w:rsidP="0013475E">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Das Staatsministerium für Gesundheit und Pflege</w:t>
      </w:r>
      <w:r w:rsidR="009917F2">
        <w:t xml:space="preserve"> (StMGP)</w:t>
      </w:r>
      <w:r>
        <w:t xml:space="preserve"> begrüßt, dass durch den Entwurf des Vierten Gesetzes zum Schutz der Bevölkerung bei einer epidemischen Lage von nationaler Tragweite ein bundesweit einheitliches Mindestniveau an Schutzmaßnahmen ab einer 7-Tage-Inzidenz von 100 vorgesehen wird. Insbesondere ist zu begrüßen, dass </w:t>
      </w:r>
      <w:r w:rsidR="009917F2">
        <w:t>darüberhinausgehende</w:t>
      </w:r>
      <w:r>
        <w:t xml:space="preserve"> infektionsschutzrechtlich erforderliche Schutzmaßnahmen der Länder nach dem Entwurf bestehen bleiben und auch weiterhin zulässig sein sollen.</w:t>
      </w:r>
    </w:p>
    <w:p w:rsidR="00041CAD" w:rsidRDefault="00041CAD" w:rsidP="00041250">
      <w:pPr>
        <w:pStyle w:val="LTAntwortRessortText"/>
        <w:spacing w:before="0"/>
      </w:pPr>
      <w:r>
        <w:t>Die Staatsregierung bringt sich im Rahmen der Sondersitzung des Bundesrates am 22. April 2021 in die Beratung des Gesetzes ein.</w:t>
      </w:r>
    </w:p>
    <w:p w:rsidR="00041CAD" w:rsidRDefault="00041CAD" w:rsidP="00041250">
      <w:pPr>
        <w:pStyle w:val="LTAntwortRessortText"/>
        <w:spacing w:before="0"/>
      </w:pPr>
      <w:r>
        <w:t xml:space="preserve">Das </w:t>
      </w:r>
      <w:r w:rsidR="009917F2">
        <w:t xml:space="preserve">StMGP </w:t>
      </w:r>
      <w:r>
        <w:t>verspricht sich von der geplanten Änderung des Infektionsschutzgesetzes die verbindliche Gewährleistung bundesweit einheitlicher Mindeststandards ab einer 7-Tage-Inzidenz von 100 bei gleichzeitiger Möglichkeit, unabhängig da</w:t>
      </w:r>
      <w:r w:rsidR="009917F2">
        <w:t>von auf Landesebene auch weiter</w:t>
      </w:r>
      <w:r>
        <w:t>gehende Maßnahmen vorsehen zu können, soweit dies infektionsschutzrechtlich erforderlich ist.</w:t>
      </w:r>
    </w:p>
    <w:p w:rsidR="00041CAD" w:rsidRDefault="00041CAD">
      <w:bookmarkStart w:id="130" w:name="Frage_Nr_64_Ende"/>
      <w:bookmarkEnd w:id="1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3475E" w:rsidTr="0013475E">
        <w:tc>
          <w:tcPr>
            <w:tcW w:w="1883" w:type="dxa"/>
          </w:tcPr>
          <w:p w:rsidR="0013475E" w:rsidRDefault="0013475E" w:rsidP="0013475E">
            <w:pPr>
              <w:pStyle w:val="LTAnfrageInitiator"/>
            </w:pPr>
            <w:r>
              <w:t>Abgeordnete</w:t>
            </w:r>
            <w:r>
              <w:rPr>
                <w:b/>
              </w:rPr>
              <w:br/>
              <w:t>Christina</w:t>
            </w:r>
            <w:r>
              <w:rPr>
                <w:b/>
              </w:rPr>
              <w:br/>
              <w:t>Haubrich</w:t>
            </w:r>
            <w:r>
              <w:rPr>
                <w:b/>
              </w:rPr>
              <w:br/>
            </w:r>
            <w:r>
              <w:t>(BÜNDNIS 90/DIE GRÜNEN)</w:t>
            </w:r>
            <w:bookmarkStart w:id="131" w:name="Frage_Nr_65"/>
            <w:bookmarkEnd w:id="131"/>
          </w:p>
        </w:tc>
        <w:tc>
          <w:tcPr>
            <w:tcW w:w="5733" w:type="dxa"/>
          </w:tcPr>
          <w:p w:rsidR="0013475E" w:rsidRPr="00754CFD" w:rsidRDefault="0013475E" w:rsidP="00754CFD">
            <w:pPr>
              <w:pStyle w:val="LTAnfrageText"/>
            </w:pPr>
            <w:r w:rsidRPr="00754CFD">
              <w:t>Ich frage die Staatsregierung, wie viele der an bayerischen Schulen durchgeführten Selbsttests waren positiv (in absoluten Zahlen und Prozent nach Schularten aufgeschlüsselt), wie viele der anschließend durchgeführten PCR-Tests haben dieses Ergebnis bestätigt und ist bei den für die Schulen zugelassenen Tests sichergestellt, dass diese auch die Mutationen ausreichend nachweisen?</w:t>
            </w:r>
          </w:p>
        </w:tc>
        <w:tc>
          <w:tcPr>
            <w:tcW w:w="5733" w:type="dxa"/>
          </w:tcPr>
          <w:p w:rsidR="0013475E" w:rsidRDefault="0013475E" w:rsidP="0013475E">
            <w:pPr>
              <w:pStyle w:val="LTAnfrageText"/>
            </w:pPr>
          </w:p>
        </w:tc>
      </w:tr>
    </w:tbl>
    <w:p w:rsidR="00041CAD" w:rsidRDefault="00041CAD" w:rsidP="00041CAD">
      <w:pPr>
        <w:pStyle w:val="LTUeberschrAntwortRessort"/>
      </w:pPr>
      <w:r>
        <w:t>Antwort des Staatsministeriums für Gesundheit und Pflege</w:t>
      </w:r>
      <w:r w:rsidR="00041250">
        <w:t xml:space="preserve"> in Abstimmung mit dem Staatsministerium für Unterricht und Kultus</w:t>
      </w:r>
    </w:p>
    <w:p w:rsidR="00041CAD" w:rsidRDefault="00041CAD" w:rsidP="00041CAD">
      <w:pPr>
        <w:pStyle w:val="LTAntwortRessortText"/>
      </w:pPr>
      <w:r>
        <w:t>Daten zu den Testergebnissen der an bayerischen Schulen durchgeführten Selbsttests liegen der Staatsregierung nicht vor, da eine statistische Erfassung hierzu aufgrund des für die Schulen hohen Verwaltungsaufwands vorerst nicht erfolgt ist.</w:t>
      </w:r>
    </w:p>
    <w:p w:rsidR="00041CAD" w:rsidRDefault="00041CAD" w:rsidP="00041CAD">
      <w:pPr>
        <w:pStyle w:val="LTAntwortRessortText"/>
      </w:pPr>
      <w:r>
        <w:t xml:space="preserve">Um als Selbsttest vom Bundesinstitut für Arzneimittel und Medizinprodukte (BfArM) gelistet zu werden, müssen die Tests der Hersteller bestimmte Mindestkriterien erfüllen. Das Paul-Ehrlich-Institut (PEI) legt diese Mindestkriterien fest. Unter (b) Angaben zum Testdesign wird vom PEI folgendes verlangt: </w:t>
      </w:r>
      <w:r w:rsidR="00BD06F4">
        <w:t>„</w:t>
      </w:r>
      <w:r>
        <w:t>Wenn der betreffende Antigentest das SARS-CoV-2-Oberflächenprotein (</w:t>
      </w:r>
      <w:r w:rsidR="00BD06F4">
        <w:t>„</w:t>
      </w:r>
      <w:r>
        <w:t>Spike</w:t>
      </w:r>
      <w:r w:rsidR="00BD06F4">
        <w:t>“</w:t>
      </w:r>
      <w:r>
        <w:t>) detektiert, muss nachgewiesen werden, dass Mutationen in SARS-CoV-2, die zu einer Variation im Spike-Antigen führen (</w:t>
      </w:r>
      <w:r w:rsidR="00BD06F4">
        <w:t>z. B.</w:t>
      </w:r>
      <w:r>
        <w:t xml:space="preserve"> </w:t>
      </w:r>
      <w:r w:rsidR="00BD06F4">
        <w:t>„</w:t>
      </w:r>
      <w:r>
        <w:t>UK-Variante</w:t>
      </w:r>
      <w:r w:rsidR="00BD06F4">
        <w:t>“</w:t>
      </w:r>
      <w:r>
        <w:t>) zuverlässig erkannt werden.</w:t>
      </w:r>
      <w:r w:rsidR="00BD06F4">
        <w:t>“</w:t>
      </w:r>
      <w:r>
        <w:t xml:space="preserve"> Damit wird sichergestellt, dass die gelisteten Tests auch Virusvarianten erkennen können. Die Selbsttests, die der Freistaat Bayern den Schulen zur Verfügung stellt, sind alle gelistet.</w:t>
      </w:r>
    </w:p>
    <w:p w:rsidR="00041CAD" w:rsidRDefault="00041CAD">
      <w:bookmarkStart w:id="132" w:name="Frage_Nr_65_Ende"/>
      <w:bookmarkEnd w:id="1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43C53" w:rsidTr="00843C53">
        <w:tc>
          <w:tcPr>
            <w:tcW w:w="1883" w:type="dxa"/>
          </w:tcPr>
          <w:p w:rsidR="00843C53" w:rsidRDefault="00843C53" w:rsidP="00843C53">
            <w:pPr>
              <w:pStyle w:val="LTAnfrageInitiator"/>
            </w:pPr>
            <w:r>
              <w:t>Abgeordneter</w:t>
            </w:r>
            <w:r>
              <w:rPr>
                <w:b/>
              </w:rPr>
              <w:br/>
              <w:t>Andreas</w:t>
            </w:r>
            <w:r>
              <w:rPr>
                <w:b/>
              </w:rPr>
              <w:br/>
              <w:t>Krahl</w:t>
            </w:r>
            <w:r>
              <w:rPr>
                <w:b/>
              </w:rPr>
              <w:br/>
            </w:r>
            <w:r>
              <w:t>(BÜNDNIS 90/DIE GRÜNEN)</w:t>
            </w:r>
            <w:bookmarkStart w:id="133" w:name="Frage_Nr_66"/>
            <w:bookmarkEnd w:id="133"/>
          </w:p>
        </w:tc>
        <w:tc>
          <w:tcPr>
            <w:tcW w:w="5733" w:type="dxa"/>
          </w:tcPr>
          <w:p w:rsidR="00843C53" w:rsidRPr="00754CFD" w:rsidRDefault="00843C53" w:rsidP="00754CFD">
            <w:pPr>
              <w:pStyle w:val="LTAnfrageText"/>
            </w:pPr>
            <w:r w:rsidRPr="00754CFD">
              <w:t>Ich frage die Staatsregierung, nach welchen Kriterien werden in Bayern Zu- oder Absagen zu sogenannten Sonderimpftagen in den jeweiligen Landkreisen erteilt, welche Landkreise in Bayern haben einen solchen schon ausgerichtet und wie wird der Impfstoff dafür verteilt?</w:t>
            </w:r>
          </w:p>
        </w:tc>
        <w:tc>
          <w:tcPr>
            <w:tcW w:w="5733" w:type="dxa"/>
          </w:tcPr>
          <w:p w:rsidR="00843C53" w:rsidRDefault="00843C53" w:rsidP="00843C53">
            <w:pPr>
              <w:pStyle w:val="LTAnfrageText"/>
            </w:pPr>
          </w:p>
        </w:tc>
      </w:tr>
    </w:tbl>
    <w:p w:rsidR="00041CAD" w:rsidRDefault="00041CAD" w:rsidP="001641A0">
      <w:pPr>
        <w:pStyle w:val="LTUeberschrAntwortRessort"/>
        <w:spacing w:before="760"/>
      </w:pPr>
      <w:r>
        <w:t>Antwort des Staatsministeriums für Gesundheit und Pflege</w:t>
      </w:r>
    </w:p>
    <w:p w:rsidR="00041CAD" w:rsidRDefault="00041CAD" w:rsidP="00041CAD">
      <w:pPr>
        <w:pStyle w:val="LTAntwortRessortText"/>
      </w:pPr>
      <w:r>
        <w:t>Die in Sonderimpfaktionen verwendeten Impfdosen wurden den Impfzentren aufgrund von Sonderbestellungen von AstraZeneca-Impfdosen durch die Impfzentren oder durch Sonderzuweisungen an Grenzgebiete und Hochinzidenzgebiete zur Verfügung gestellt.</w:t>
      </w:r>
    </w:p>
    <w:p w:rsidR="00041CAD" w:rsidRDefault="00041CAD" w:rsidP="00041CAD">
      <w:pPr>
        <w:pStyle w:val="LTAntwortRessortText"/>
      </w:pPr>
      <w:r>
        <w:t>Oberstes Ziel ist eine schnellstmögliche Verimpfung angelieferter Impfdosen. Ab dem 19.04.2021 wird der Impfstoff von AstraZeneca nur noch für Zweitimpftermine an die Impfzentren ausgeliefert. Um eine schnellstmögliche Verwendung des Impfstoffs für Erstimpfungen zu erreichen, wurde den Impfzentren daher ermöglicht, den vorhandenen Bestand an Impfdosen von AstraZeneca möglichst rasch, gegebenenfalls im Rahmen von Sonderaktionen, an Menschen über 60 Jahre zu verimpfen. Zudem konnten die Impfzentren AstraZeneca-Impfdosen entsprechend ihrem Bedarf bestellen. Rückstellungen für die später anstehenden Zweitimpfungen sollten nicht gebildet werden.</w:t>
      </w:r>
    </w:p>
    <w:p w:rsidR="00041CAD" w:rsidRDefault="00041CAD" w:rsidP="008C6E53">
      <w:pPr>
        <w:pStyle w:val="LTAntwortRessortText"/>
        <w:spacing w:before="0"/>
      </w:pPr>
      <w:r>
        <w:t>Von Seiten des Staatsministeriums für Gesundheit und Pflege wurde nicht vorgegeben, dass und in welcher Weise in Landkreisen Sonderimpfaktionen stattfinden sollten; dies wurde von den Kreisverwaltungsbehörden in eigener Verantwortung entschieden.</w:t>
      </w:r>
    </w:p>
    <w:p w:rsidR="00041CAD" w:rsidRDefault="00041CAD" w:rsidP="00041CAD">
      <w:pPr>
        <w:pStyle w:val="LTAntwortRessortText"/>
      </w:pPr>
      <w:r>
        <w:t>Folgende Landkreise und kreisfreien Städte haben in den folgenden Höhen von der Möglichkeit der Sonderbestellungen von AstraZeneca-Impfdosen Gebrauch gemacht:</w:t>
      </w:r>
    </w:p>
    <w:p w:rsidR="001641A0" w:rsidRDefault="001641A0" w:rsidP="00041CAD">
      <w:pPr>
        <w:pStyle w:val="LTAntwortRessortText"/>
      </w:pPr>
    </w:p>
    <w:tbl>
      <w:tblPr>
        <w:tblStyle w:val="TableNormal"/>
        <w:tblW w:w="6804" w:type="dxa"/>
        <w:tblInd w:w="279" w:type="dxa"/>
        <w:tblLayout w:type="fixed"/>
        <w:tblLook w:val="01E0" w:firstRow="1" w:lastRow="1" w:firstColumn="1" w:lastColumn="1" w:noHBand="0" w:noVBand="0"/>
      </w:tblPr>
      <w:tblGrid>
        <w:gridCol w:w="2551"/>
        <w:gridCol w:w="4253"/>
      </w:tblGrid>
      <w:tr w:rsidR="008C6E53" w:rsidRPr="008C6E53" w:rsidTr="001641A0">
        <w:trPr>
          <w:trHeight w:val="314"/>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E62AC3">
            <w:pPr>
              <w:pStyle w:val="TableParagraph"/>
              <w:spacing w:before="0" w:line="247" w:lineRule="exact"/>
              <w:rPr>
                <w:rFonts w:ascii="Arial" w:hAnsi="Arial" w:cs="Arial"/>
                <w:b/>
                <w:sz w:val="18"/>
              </w:rPr>
            </w:pPr>
            <w:r w:rsidRPr="008C6E53">
              <w:rPr>
                <w:rFonts w:ascii="Arial" w:hAnsi="Arial" w:cs="Arial"/>
                <w:b/>
                <w:sz w:val="18"/>
              </w:rPr>
              <w:t>Impfzentrum</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2825AC">
            <w:pPr>
              <w:pStyle w:val="TableParagraph"/>
              <w:spacing w:before="0" w:line="247" w:lineRule="exact"/>
              <w:ind w:left="147"/>
              <w:rPr>
                <w:rFonts w:ascii="Arial" w:hAnsi="Arial" w:cs="Arial"/>
                <w:b/>
                <w:sz w:val="18"/>
              </w:rPr>
            </w:pPr>
            <w:r w:rsidRPr="008C6E53">
              <w:rPr>
                <w:rFonts w:ascii="Arial" w:hAnsi="Arial" w:cs="Arial"/>
                <w:b/>
                <w:sz w:val="18"/>
              </w:rPr>
              <w:t xml:space="preserve">Impfdosen von AstraZeneca in </w:t>
            </w:r>
            <w:r w:rsidR="00787C59">
              <w:rPr>
                <w:rFonts w:ascii="Arial" w:hAnsi="Arial" w:cs="Arial"/>
                <w:b/>
                <w:sz w:val="18"/>
              </w:rPr>
              <w:br/>
            </w:r>
            <w:r w:rsidRPr="008C6E53">
              <w:rPr>
                <w:rFonts w:ascii="Arial" w:hAnsi="Arial" w:cs="Arial"/>
                <w:b/>
                <w:sz w:val="18"/>
              </w:rPr>
              <w:t>Sonderbestellung</w:t>
            </w:r>
          </w:p>
        </w:tc>
      </w:tr>
      <w:tr w:rsidR="008C6E53" w:rsidRPr="008C6E53" w:rsidTr="001641A0">
        <w:trPr>
          <w:trHeight w:val="380"/>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Altötting</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000</w:t>
            </w:r>
          </w:p>
        </w:tc>
      </w:tr>
      <w:tr w:rsidR="008C6E53" w:rsidRPr="008C6E53" w:rsidTr="001641A0">
        <w:trPr>
          <w:trHeight w:val="380"/>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Berchtesgadener Land</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2</w:t>
            </w:r>
            <w:r w:rsidR="00701E38">
              <w:rPr>
                <w:rFonts w:ascii="Arial" w:hAnsi="Arial" w:cs="Arial"/>
                <w:sz w:val="18"/>
              </w:rPr>
              <w:t> </w:t>
            </w:r>
            <w:r w:rsidRPr="008C6E53">
              <w:rPr>
                <w:rFonts w:ascii="Arial" w:hAnsi="Arial" w:cs="Arial"/>
                <w:sz w:val="18"/>
              </w:rPr>
              <w:t>400</w:t>
            </w:r>
          </w:p>
        </w:tc>
      </w:tr>
      <w:tr w:rsidR="008C6E53" w:rsidRPr="008C6E53" w:rsidTr="001641A0">
        <w:trPr>
          <w:trHeight w:val="380"/>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Dachau</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500</w:t>
            </w:r>
          </w:p>
        </w:tc>
      </w:tr>
      <w:tr w:rsidR="008C6E53" w:rsidRPr="008C6E53"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Erding</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000</w:t>
            </w:r>
          </w:p>
        </w:tc>
      </w:tr>
      <w:tr w:rsidR="008C6E53" w:rsidRPr="008C6E53"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Eichstätt</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500</w:t>
            </w:r>
          </w:p>
        </w:tc>
      </w:tr>
      <w:tr w:rsidR="008C6E53" w:rsidRPr="008C6E53" w:rsidTr="001641A0">
        <w:trPr>
          <w:trHeight w:val="312"/>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Ingolstadt</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4</w:t>
            </w:r>
            <w:r w:rsidR="00701E38">
              <w:rPr>
                <w:rFonts w:ascii="Arial" w:hAnsi="Arial" w:cs="Arial"/>
                <w:sz w:val="18"/>
              </w:rPr>
              <w:t> </w:t>
            </w:r>
            <w:r w:rsidRPr="008C6E53">
              <w:rPr>
                <w:rFonts w:ascii="Arial" w:hAnsi="Arial" w:cs="Arial"/>
                <w:sz w:val="18"/>
              </w:rPr>
              <w:t>500</w:t>
            </w:r>
          </w:p>
        </w:tc>
      </w:tr>
      <w:tr w:rsidR="008C6E53" w:rsidTr="001641A0">
        <w:trPr>
          <w:trHeight w:val="313"/>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Mühldorf</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500</w:t>
            </w:r>
          </w:p>
        </w:tc>
      </w:tr>
      <w:tr w:rsidR="008C6E53"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Starnberg</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9</w:t>
            </w:r>
            <w:r w:rsidR="00701E38">
              <w:rPr>
                <w:rFonts w:ascii="Arial" w:hAnsi="Arial" w:cs="Arial"/>
                <w:sz w:val="18"/>
              </w:rPr>
              <w:t> </w:t>
            </w:r>
            <w:r w:rsidRPr="008C6E53">
              <w:rPr>
                <w:rFonts w:ascii="Arial" w:hAnsi="Arial" w:cs="Arial"/>
                <w:sz w:val="18"/>
              </w:rPr>
              <w:t>100</w:t>
            </w:r>
          </w:p>
        </w:tc>
      </w:tr>
      <w:tr w:rsidR="008C6E53" w:rsidTr="001641A0">
        <w:trPr>
          <w:trHeight w:val="400"/>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Landkreis Regensburg</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000</w:t>
            </w:r>
          </w:p>
        </w:tc>
      </w:tr>
      <w:tr w:rsidR="001641A0" w:rsidTr="001641A0">
        <w:trPr>
          <w:trHeight w:val="379"/>
        </w:trPr>
        <w:tc>
          <w:tcPr>
            <w:tcW w:w="2551" w:type="dxa"/>
            <w:tcBorders>
              <w:top w:val="single" w:sz="4" w:space="0" w:color="auto"/>
              <w:left w:val="single" w:sz="4" w:space="0" w:color="auto"/>
              <w:right w:val="single" w:sz="4" w:space="0" w:color="auto"/>
            </w:tcBorders>
          </w:tcPr>
          <w:p w:rsidR="001641A0" w:rsidRPr="008C6E53" w:rsidRDefault="001641A0" w:rsidP="001641A0">
            <w:pPr>
              <w:pStyle w:val="TableParagraph"/>
              <w:spacing w:before="0" w:line="247" w:lineRule="exact"/>
              <w:rPr>
                <w:rFonts w:ascii="Arial" w:hAnsi="Arial" w:cs="Arial"/>
                <w:b/>
                <w:sz w:val="18"/>
              </w:rPr>
            </w:pPr>
            <w:r w:rsidRPr="008C6E53">
              <w:rPr>
                <w:rFonts w:ascii="Arial" w:hAnsi="Arial" w:cs="Arial"/>
                <w:b/>
                <w:sz w:val="18"/>
              </w:rPr>
              <w:t>Impfzentrum</w:t>
            </w:r>
          </w:p>
        </w:tc>
        <w:tc>
          <w:tcPr>
            <w:tcW w:w="4253" w:type="dxa"/>
            <w:tcBorders>
              <w:top w:val="single" w:sz="4" w:space="0" w:color="auto"/>
              <w:left w:val="single" w:sz="4" w:space="0" w:color="auto"/>
              <w:right w:val="single" w:sz="4" w:space="0" w:color="auto"/>
            </w:tcBorders>
          </w:tcPr>
          <w:p w:rsidR="001641A0" w:rsidRPr="008C6E53" w:rsidRDefault="001641A0" w:rsidP="002825AC">
            <w:pPr>
              <w:pStyle w:val="TableParagraph"/>
              <w:spacing w:before="0" w:line="247" w:lineRule="exact"/>
              <w:ind w:left="147"/>
              <w:rPr>
                <w:rFonts w:ascii="Arial" w:hAnsi="Arial" w:cs="Arial"/>
                <w:b/>
                <w:sz w:val="18"/>
              </w:rPr>
            </w:pPr>
            <w:r w:rsidRPr="008C6E53">
              <w:rPr>
                <w:rFonts w:ascii="Arial" w:hAnsi="Arial" w:cs="Arial"/>
                <w:b/>
                <w:sz w:val="18"/>
              </w:rPr>
              <w:t xml:space="preserve">Impfdosen von AstraZeneca in </w:t>
            </w:r>
            <w:r w:rsidR="00787C59">
              <w:rPr>
                <w:rFonts w:ascii="Arial" w:hAnsi="Arial" w:cs="Arial"/>
                <w:b/>
                <w:sz w:val="18"/>
              </w:rPr>
              <w:br/>
            </w:r>
            <w:r w:rsidRPr="008C6E53">
              <w:rPr>
                <w:rFonts w:ascii="Arial" w:hAnsi="Arial" w:cs="Arial"/>
                <w:b/>
                <w:sz w:val="18"/>
              </w:rPr>
              <w:t>Sonderbestellung</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Landkreis Tirschenreuth</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200</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Landkreis Lindau</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300</w:t>
            </w:r>
          </w:p>
        </w:tc>
      </w:tr>
      <w:tr w:rsidR="008C6E53" w:rsidRPr="00AB1201" w:rsidTr="001641A0">
        <w:trPr>
          <w:trHeight w:val="380"/>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Stadt Memmingen</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300</w:t>
            </w:r>
          </w:p>
        </w:tc>
      </w:tr>
      <w:tr w:rsidR="008C6E53" w:rsidRPr="00AB1201" w:rsidTr="001641A0">
        <w:trPr>
          <w:trHeight w:val="380"/>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Stadt und Landkreis Hof</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4</w:t>
            </w:r>
            <w:r w:rsidR="00701E38">
              <w:rPr>
                <w:rFonts w:ascii="Arial" w:hAnsi="Arial" w:cs="Arial"/>
                <w:sz w:val="18"/>
              </w:rPr>
              <w:t> </w:t>
            </w:r>
            <w:r w:rsidRPr="008C6E53">
              <w:rPr>
                <w:rFonts w:ascii="Arial" w:hAnsi="Arial" w:cs="Arial"/>
                <w:sz w:val="18"/>
              </w:rPr>
              <w:t>000</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Landkreis Kronach</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2</w:t>
            </w:r>
            <w:r w:rsidR="00701E38">
              <w:rPr>
                <w:rFonts w:ascii="Arial" w:hAnsi="Arial" w:cs="Arial"/>
                <w:sz w:val="18"/>
              </w:rPr>
              <w:t> </w:t>
            </w:r>
            <w:r w:rsidRPr="008C6E53">
              <w:rPr>
                <w:rFonts w:ascii="Arial" w:hAnsi="Arial" w:cs="Arial"/>
                <w:sz w:val="18"/>
              </w:rPr>
              <w:t>400</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Lichtenfels</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600</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Wunsiedel</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600</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Stadt und Landkreis Fürth</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500</w:t>
            </w:r>
          </w:p>
        </w:tc>
      </w:tr>
      <w:tr w:rsidR="008C6E53" w:rsidRPr="00AB1201" w:rsidTr="001641A0">
        <w:trPr>
          <w:trHeight w:val="379"/>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Neustadt</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400</w:t>
            </w:r>
          </w:p>
        </w:tc>
      </w:tr>
      <w:tr w:rsidR="008C6E53" w:rsidRPr="00AB1201" w:rsidTr="001641A0">
        <w:trPr>
          <w:trHeight w:val="312"/>
        </w:trPr>
        <w:tc>
          <w:tcPr>
            <w:tcW w:w="2551" w:type="dxa"/>
            <w:tcBorders>
              <w:top w:val="single" w:sz="4" w:space="0" w:color="auto"/>
              <w:left w:val="single" w:sz="4" w:space="0" w:color="auto"/>
              <w:bottom w:val="single" w:sz="4" w:space="0" w:color="auto"/>
              <w:right w:val="single" w:sz="4" w:space="0" w:color="auto"/>
            </w:tcBorders>
          </w:tcPr>
          <w:p w:rsidR="008C6E53" w:rsidRPr="008C6E53" w:rsidRDefault="008C6E53" w:rsidP="00AB1201">
            <w:pPr>
              <w:pStyle w:val="TableParagraph"/>
              <w:rPr>
                <w:rFonts w:ascii="Arial" w:hAnsi="Arial" w:cs="Arial"/>
                <w:sz w:val="18"/>
              </w:rPr>
            </w:pPr>
            <w:r w:rsidRPr="008C6E53">
              <w:rPr>
                <w:rFonts w:ascii="Arial" w:hAnsi="Arial" w:cs="Arial"/>
                <w:sz w:val="18"/>
              </w:rPr>
              <w:t>Stadt Nürnberg</w:t>
            </w:r>
          </w:p>
        </w:tc>
        <w:tc>
          <w:tcPr>
            <w:tcW w:w="4253" w:type="dxa"/>
            <w:tcBorders>
              <w:top w:val="single" w:sz="4" w:space="0" w:color="auto"/>
              <w:left w:val="single" w:sz="4" w:space="0" w:color="auto"/>
              <w:bottom w:val="single" w:sz="4" w:space="0" w:color="auto"/>
              <w:right w:val="single" w:sz="4" w:space="0" w:color="auto"/>
            </w:tcBorders>
          </w:tcPr>
          <w:p w:rsidR="008C6E53" w:rsidRPr="008C6E53" w:rsidRDefault="008C6E53" w:rsidP="00787C59">
            <w:pPr>
              <w:pStyle w:val="TableParagraph"/>
              <w:jc w:val="center"/>
              <w:rPr>
                <w:rFonts w:ascii="Arial" w:hAnsi="Arial" w:cs="Arial"/>
                <w:sz w:val="18"/>
              </w:rPr>
            </w:pPr>
            <w:r w:rsidRPr="008C6E53">
              <w:rPr>
                <w:rFonts w:ascii="Arial" w:hAnsi="Arial" w:cs="Arial"/>
                <w:sz w:val="18"/>
              </w:rPr>
              <w:t>1</w:t>
            </w:r>
            <w:r w:rsidR="00701E38">
              <w:rPr>
                <w:rFonts w:ascii="Arial" w:hAnsi="Arial" w:cs="Arial"/>
                <w:sz w:val="18"/>
              </w:rPr>
              <w:t> </w:t>
            </w:r>
            <w:r w:rsidRPr="008C6E53">
              <w:rPr>
                <w:rFonts w:ascii="Arial" w:hAnsi="Arial" w:cs="Arial"/>
                <w:sz w:val="18"/>
              </w:rPr>
              <w:t>000</w:t>
            </w:r>
          </w:p>
        </w:tc>
      </w:tr>
    </w:tbl>
    <w:p w:rsidR="008C6E53" w:rsidRPr="00AB1201" w:rsidRDefault="008C6E53" w:rsidP="00AB1201">
      <w:pPr>
        <w:pStyle w:val="TableParagraph"/>
        <w:rPr>
          <w:rFonts w:ascii="Arial" w:eastAsiaTheme="minorHAnsi" w:hAnsi="Arial" w:cs="Arial"/>
          <w:sz w:val="18"/>
          <w:lang w:val="en-US" w:eastAsia="en-US"/>
        </w:rPr>
      </w:pPr>
    </w:p>
    <w:p w:rsidR="00041CAD" w:rsidRDefault="00041CAD">
      <w:bookmarkStart w:id="134" w:name="Frage_Nr_66_Ende"/>
      <w:bookmarkEnd w:id="1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81149" w:rsidTr="00D81149">
        <w:tc>
          <w:tcPr>
            <w:tcW w:w="1883" w:type="dxa"/>
          </w:tcPr>
          <w:p w:rsidR="00D81149" w:rsidRDefault="00D81149" w:rsidP="00D81149">
            <w:pPr>
              <w:pStyle w:val="LTAnfrageInitiator"/>
            </w:pPr>
            <w:r>
              <w:t>Abgeordneter</w:t>
            </w:r>
            <w:r>
              <w:rPr>
                <w:b/>
              </w:rPr>
              <w:br/>
              <w:t>Jürgen</w:t>
            </w:r>
            <w:r>
              <w:rPr>
                <w:b/>
              </w:rPr>
              <w:br/>
              <w:t>Mistol</w:t>
            </w:r>
            <w:r>
              <w:rPr>
                <w:b/>
              </w:rPr>
              <w:br/>
            </w:r>
            <w:r>
              <w:t>(BÜNDNIS 90/DIE GRÜNEN)</w:t>
            </w:r>
            <w:bookmarkStart w:id="135" w:name="Frage_Nr_67"/>
            <w:bookmarkEnd w:id="135"/>
          </w:p>
        </w:tc>
        <w:tc>
          <w:tcPr>
            <w:tcW w:w="5733" w:type="dxa"/>
          </w:tcPr>
          <w:p w:rsidR="00D81149" w:rsidRPr="00754CFD" w:rsidRDefault="00D81149" w:rsidP="00754CFD">
            <w:pPr>
              <w:pStyle w:val="LTAnfrageText"/>
            </w:pPr>
            <w:r w:rsidRPr="00754CFD">
              <w:t>Ich frage die Staatsregierung, wie weit ist die Impfung der Prioritätsgruppe 1 in den einzelnen Landkreisen Bayerns fortgeschritten, insbesondere bei den über 80-Jährigen, die laut BR-Recherche (BR = Bayerischer Rundfunk) zur Software BayIMCO möglicherweise bei der Terminvergabe benachteiligt wurden, wie viele Lehrerinnen und Lehrer sind in den einzelnen Landkreisen bereits geimpft worden und wie werden die Impfstoffe zwischen den Landkreisen verteilt?</w:t>
            </w:r>
          </w:p>
        </w:tc>
        <w:tc>
          <w:tcPr>
            <w:tcW w:w="5733" w:type="dxa"/>
          </w:tcPr>
          <w:p w:rsidR="00D81149" w:rsidRDefault="00D81149" w:rsidP="00D81149">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Die Behauptung einer Benachteiligung von über 80-Jährigen in BayIMCO ist unzutreffend.</w:t>
      </w:r>
    </w:p>
    <w:p w:rsidR="00041CAD" w:rsidRDefault="00041CAD" w:rsidP="008C6E53">
      <w:pPr>
        <w:pStyle w:val="LTAntwortRessortText"/>
        <w:spacing w:before="0"/>
      </w:pPr>
      <w:r>
        <w:t>Inzwischen haben von den Impfzentren, bis auf sich neu registrierende Impfwillige, bereits alle Impfwilligen, die mit höchster Priorität (Prioritätsgruppe 1) Anspruch auf die Schutzimpfung haben, einen Termin oder zumindest eine Einladung zur Terminvereinbarung erhalten.</w:t>
      </w:r>
    </w:p>
    <w:p w:rsidR="00041CAD" w:rsidRDefault="00041CAD" w:rsidP="008C6E53">
      <w:pPr>
        <w:pStyle w:val="LTAntwortRessortText"/>
        <w:spacing w:before="0"/>
      </w:pPr>
      <w:r>
        <w:t xml:space="preserve">Die Impfquote bei den über 80-Jährigen unterscheidet sich regional je nach Impfwilligkeit der Einwohner und reicht bei den Impfungen der Impfzentren von 60 - 94 </w:t>
      </w:r>
      <w:r w:rsidR="00BD06F4">
        <w:t>Prozent</w:t>
      </w:r>
      <w:r>
        <w:t xml:space="preserve">. In Bayern insgesamt liegt die Impfquote in dieser Altersgruppe bei 76 </w:t>
      </w:r>
      <w:r w:rsidR="00BD06F4">
        <w:t>Prozent</w:t>
      </w:r>
      <w:r>
        <w:t>. Hinzu kommen noch die in den Arztpraxen durchgeführten Impfungen.</w:t>
      </w:r>
    </w:p>
    <w:p w:rsidR="00041CAD" w:rsidRDefault="00041CAD" w:rsidP="00041CAD">
      <w:pPr>
        <w:pStyle w:val="LTAntwortRessortText"/>
      </w:pPr>
      <w:r>
        <w:t>(Regionale) Zahlen zu Impfungen von Lehrerinnen und Lehrern, die im Rahmen der regulären Terminvergabe in den Impfzentren erfolgen, liegen nicht vor.</w:t>
      </w:r>
    </w:p>
    <w:p w:rsidR="00041CAD" w:rsidRDefault="00041CAD" w:rsidP="008C6E53">
      <w:pPr>
        <w:pStyle w:val="LTAntwortRessortText"/>
        <w:spacing w:before="0"/>
      </w:pPr>
      <w:r>
        <w:t xml:space="preserve">Für die Priorisierungsgruppe </w:t>
      </w:r>
      <w:r w:rsidR="00BD06F4">
        <w:t>„</w:t>
      </w:r>
      <w:r>
        <w:t>Personen, die in Kinderbetreuungseinrichtungen und in der Kindertagespflege sowie in Grund- und Förderschulen tätig sind</w:t>
      </w:r>
      <w:r w:rsidR="00BD06F4">
        <w:t>“</w:t>
      </w:r>
      <w:r>
        <w:t xml:space="preserve"> wurde eine Abfrage zu den im Rahmen von Sammelterminen Geimpften bei den Impfzentren durchgeführt. Aktuell sind nach diesen Rückmeldung</w:t>
      </w:r>
      <w:r w:rsidR="00F15D26">
        <w:t>en (Stand: 16.04.2021) dabei 24 </w:t>
      </w:r>
      <w:r>
        <w:t>688 Impfungen bei B</w:t>
      </w:r>
      <w:r w:rsidR="00F15D26">
        <w:t>eschäftigten an Grundschulen, 5 </w:t>
      </w:r>
      <w:r>
        <w:t>603 bei Beschä</w:t>
      </w:r>
      <w:r w:rsidR="00F15D26">
        <w:t>ftigten an Förderschulen und 21 </w:t>
      </w:r>
      <w:r>
        <w:t>067 bei Beschäftigten an Kitas gemeldet. Darüber hinaus fanden in dieser Priorisierungsgruppe bei den Sammelterminen weitere 15.241 Impfungen statt, die keiner konkreten Untergruppe (Grundschulen, Förderschulen oder Kitas) zuordenbar sind. Diese Zahlen sind nicht repräsentativ, da die Impfungen dieses Personenkreises über Individualtermine durch die Registrierungssoftware BayIMCO nicht gesondert ausgewiesen werden.</w:t>
      </w:r>
    </w:p>
    <w:p w:rsidR="00041CAD" w:rsidRDefault="00041CAD" w:rsidP="00041CAD">
      <w:pPr>
        <w:pStyle w:val="LTAntwortRessortText"/>
      </w:pPr>
      <w:r>
        <w:t>Die Verteilung der Impfstoffe richtet sich nach dem Bevölkerungsschlüssel. Zusätzlich haben besonders vom Infektionsgeschehen belastete Grenzregionen Sonderzuweisungen an Impfstoffen erhalten.</w:t>
      </w:r>
    </w:p>
    <w:p w:rsidR="00041CAD" w:rsidRDefault="00041CAD">
      <w:bookmarkStart w:id="136" w:name="Frage_Nr_67_Ende"/>
      <w:bookmarkEnd w:id="1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81149" w:rsidTr="00D81149">
        <w:tc>
          <w:tcPr>
            <w:tcW w:w="1883" w:type="dxa"/>
          </w:tcPr>
          <w:p w:rsidR="00D81149" w:rsidRDefault="00D81149" w:rsidP="00D81149">
            <w:pPr>
              <w:pStyle w:val="LTAnfrageInitiator"/>
            </w:pPr>
            <w:r>
              <w:t>Abgeordnete</w:t>
            </w:r>
            <w:r>
              <w:rPr>
                <w:b/>
              </w:rPr>
              <w:br/>
              <w:t>Verena</w:t>
            </w:r>
            <w:r>
              <w:rPr>
                <w:b/>
              </w:rPr>
              <w:br/>
              <w:t>Osgyan</w:t>
            </w:r>
            <w:r>
              <w:rPr>
                <w:b/>
              </w:rPr>
              <w:br/>
            </w:r>
            <w:r>
              <w:t>(BÜNDNIS 90/DIE GRÜNEN)</w:t>
            </w:r>
            <w:bookmarkStart w:id="137" w:name="Frage_Nr_68"/>
            <w:bookmarkEnd w:id="137"/>
          </w:p>
        </w:tc>
        <w:tc>
          <w:tcPr>
            <w:tcW w:w="5733" w:type="dxa"/>
          </w:tcPr>
          <w:p w:rsidR="00D81149" w:rsidRPr="00754CFD" w:rsidRDefault="00D81149" w:rsidP="00754CFD">
            <w:pPr>
              <w:pStyle w:val="LTAnfrageText"/>
            </w:pPr>
            <w:r w:rsidRPr="00754CFD">
              <w:t>Ich frage die Staatsregierung, welche Impfquoten weisen die einzelnen Landkreise in Bayern auf (bitte nach Erst-/Zweitimpfung sowie Landkreis aufschlüsseln), wie kommt die Diskrepanz in den unterschiedlichen Quoten zustande und warum wird ein solch regionales Monitoring nicht veröffentlicht?</w:t>
            </w:r>
          </w:p>
        </w:tc>
        <w:tc>
          <w:tcPr>
            <w:tcW w:w="5733" w:type="dxa"/>
          </w:tcPr>
          <w:p w:rsidR="00D81149" w:rsidRDefault="00D81149" w:rsidP="00D81149">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Mit Stand 20.04.2021 ergeben sich die folgenden Impfquoten für die Regierungsbezirke:</w:t>
      </w:r>
    </w:p>
    <w:p w:rsidR="00041CAD" w:rsidRDefault="00041CAD" w:rsidP="00041CAD">
      <w:pPr>
        <w:pStyle w:val="LTAntwortRessortText"/>
      </w:pPr>
    </w:p>
    <w:tbl>
      <w:tblPr>
        <w:tblStyle w:val="TableNormal"/>
        <w:tblW w:w="822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1701"/>
        <w:gridCol w:w="1842"/>
        <w:gridCol w:w="1560"/>
        <w:gridCol w:w="1842"/>
      </w:tblGrid>
      <w:tr w:rsidR="002D1B96" w:rsidTr="002D1B96">
        <w:trPr>
          <w:trHeight w:val="949"/>
        </w:trPr>
        <w:tc>
          <w:tcPr>
            <w:tcW w:w="1276" w:type="dxa"/>
            <w:tcBorders>
              <w:top w:val="nil"/>
              <w:left w:val="nil"/>
            </w:tcBorders>
          </w:tcPr>
          <w:p w:rsidR="002D1B96" w:rsidRDefault="002D1B96" w:rsidP="00E62AC3">
            <w:pPr>
              <w:pStyle w:val="TableParagraph"/>
              <w:spacing w:before="0"/>
              <w:ind w:left="0"/>
              <w:rPr>
                <w:sz w:val="20"/>
              </w:rPr>
            </w:pPr>
          </w:p>
        </w:tc>
        <w:tc>
          <w:tcPr>
            <w:tcW w:w="1701" w:type="dxa"/>
          </w:tcPr>
          <w:p w:rsidR="002D1B96" w:rsidRPr="00F15D26" w:rsidRDefault="002D1B96" w:rsidP="00E62AC3">
            <w:pPr>
              <w:pStyle w:val="TableParagraph"/>
              <w:spacing w:before="159" w:line="360" w:lineRule="auto"/>
              <w:ind w:right="181"/>
              <w:rPr>
                <w:rFonts w:ascii="Arial" w:hAnsi="Arial" w:cs="Arial"/>
                <w:b/>
                <w:sz w:val="18"/>
              </w:rPr>
            </w:pPr>
            <w:r w:rsidRPr="00F15D26">
              <w:rPr>
                <w:rFonts w:ascii="Arial" w:hAnsi="Arial" w:cs="Arial"/>
                <w:b/>
                <w:sz w:val="18"/>
              </w:rPr>
              <w:t>Erstimpfungen absolut</w:t>
            </w:r>
          </w:p>
        </w:tc>
        <w:tc>
          <w:tcPr>
            <w:tcW w:w="1842" w:type="dxa"/>
          </w:tcPr>
          <w:p w:rsidR="00F15D26" w:rsidRPr="00F15D26" w:rsidRDefault="002D1B96" w:rsidP="00F15D26">
            <w:pPr>
              <w:pStyle w:val="TableParagraph"/>
              <w:spacing w:before="159" w:line="360" w:lineRule="auto"/>
              <w:ind w:right="323"/>
              <w:rPr>
                <w:rFonts w:ascii="Arial" w:hAnsi="Arial" w:cs="Arial"/>
                <w:b/>
                <w:sz w:val="18"/>
              </w:rPr>
            </w:pPr>
            <w:r w:rsidRPr="00F15D26">
              <w:rPr>
                <w:rFonts w:ascii="Arial" w:hAnsi="Arial" w:cs="Arial"/>
                <w:b/>
                <w:sz w:val="18"/>
              </w:rPr>
              <w:t>Erstimpfungen Quote</w:t>
            </w:r>
            <w:r w:rsidR="00F15D26" w:rsidRPr="00F15D26">
              <w:rPr>
                <w:rFonts w:ascii="Arial" w:hAnsi="Arial" w:cs="Arial"/>
                <w:b/>
                <w:sz w:val="18"/>
              </w:rPr>
              <w:t xml:space="preserve"> </w:t>
            </w:r>
            <w:r w:rsidR="00F15D26" w:rsidRPr="00F15D26">
              <w:rPr>
                <w:rFonts w:ascii="Arial" w:hAnsi="Arial" w:cs="Arial"/>
                <w:b/>
                <w:sz w:val="18"/>
              </w:rPr>
              <w:br/>
              <w:t>(in Prozent)</w:t>
            </w:r>
          </w:p>
        </w:tc>
        <w:tc>
          <w:tcPr>
            <w:tcW w:w="1560" w:type="dxa"/>
          </w:tcPr>
          <w:p w:rsidR="002D1B96" w:rsidRPr="00F15D26" w:rsidRDefault="002D1B96" w:rsidP="00E62AC3">
            <w:pPr>
              <w:pStyle w:val="TableParagraph"/>
              <w:spacing w:before="159" w:line="360" w:lineRule="auto"/>
              <w:ind w:right="73"/>
              <w:rPr>
                <w:rFonts w:ascii="Arial" w:hAnsi="Arial" w:cs="Arial"/>
                <w:b/>
                <w:sz w:val="18"/>
              </w:rPr>
            </w:pPr>
            <w:r w:rsidRPr="00F15D26">
              <w:rPr>
                <w:rFonts w:ascii="Arial" w:hAnsi="Arial" w:cs="Arial"/>
                <w:b/>
                <w:sz w:val="18"/>
              </w:rPr>
              <w:t>Zweitimpfungen absolut</w:t>
            </w:r>
          </w:p>
        </w:tc>
        <w:tc>
          <w:tcPr>
            <w:tcW w:w="1842" w:type="dxa"/>
          </w:tcPr>
          <w:p w:rsidR="002D1B96" w:rsidRPr="00F15D26" w:rsidRDefault="002D1B96" w:rsidP="00E62AC3">
            <w:pPr>
              <w:pStyle w:val="TableParagraph"/>
              <w:spacing w:before="159" w:line="360" w:lineRule="auto"/>
              <w:ind w:right="214"/>
              <w:rPr>
                <w:rFonts w:ascii="Arial" w:hAnsi="Arial" w:cs="Arial"/>
                <w:b/>
                <w:sz w:val="18"/>
              </w:rPr>
            </w:pPr>
            <w:r w:rsidRPr="00F15D26">
              <w:rPr>
                <w:rFonts w:ascii="Arial" w:hAnsi="Arial" w:cs="Arial"/>
                <w:b/>
                <w:sz w:val="18"/>
              </w:rPr>
              <w:t>Zweitimpfungen Quote</w:t>
            </w:r>
            <w:r w:rsidR="00F15D26">
              <w:rPr>
                <w:rFonts w:ascii="Arial" w:hAnsi="Arial" w:cs="Arial"/>
                <w:b/>
                <w:sz w:val="18"/>
              </w:rPr>
              <w:br/>
              <w:t>(in Prozent)</w:t>
            </w:r>
          </w:p>
        </w:tc>
      </w:tr>
      <w:tr w:rsidR="002D1B96" w:rsidTr="00D2711C">
        <w:trPr>
          <w:trHeight w:val="359"/>
        </w:trPr>
        <w:tc>
          <w:tcPr>
            <w:tcW w:w="1276" w:type="dxa"/>
            <w:shd w:val="clear" w:color="auto" w:fill="auto"/>
          </w:tcPr>
          <w:p w:rsidR="002D1B96" w:rsidRPr="005512B9" w:rsidRDefault="002D1B96" w:rsidP="00E62AC3">
            <w:pPr>
              <w:pStyle w:val="TableParagraph"/>
              <w:spacing w:before="18"/>
              <w:ind w:left="69"/>
              <w:rPr>
                <w:rFonts w:ascii="Arial" w:hAnsi="Arial" w:cs="Arial"/>
                <w:b/>
                <w:sz w:val="18"/>
              </w:rPr>
            </w:pPr>
            <w:r w:rsidRPr="005512B9">
              <w:rPr>
                <w:rFonts w:ascii="Arial" w:hAnsi="Arial" w:cs="Arial"/>
                <w:b/>
                <w:sz w:val="18"/>
              </w:rPr>
              <w:t>Bayern (gesamt)</w:t>
            </w:r>
          </w:p>
        </w:tc>
        <w:tc>
          <w:tcPr>
            <w:tcW w:w="1701" w:type="dxa"/>
            <w:shd w:val="clear" w:color="auto" w:fill="auto"/>
          </w:tcPr>
          <w:p w:rsidR="002D1B96" w:rsidRPr="005512B9" w:rsidRDefault="002D1B96" w:rsidP="00BD4AA4">
            <w:pPr>
              <w:pStyle w:val="TableParagraph"/>
              <w:spacing w:before="18"/>
              <w:jc w:val="center"/>
              <w:rPr>
                <w:rFonts w:ascii="Arial" w:hAnsi="Arial" w:cs="Arial"/>
                <w:b/>
                <w:sz w:val="18"/>
              </w:rPr>
            </w:pPr>
            <w:r w:rsidRPr="005512B9">
              <w:rPr>
                <w:rFonts w:ascii="Arial" w:hAnsi="Arial" w:cs="Arial"/>
                <w:b/>
                <w:sz w:val="18"/>
              </w:rPr>
              <w:t>2</w:t>
            </w:r>
            <w:r w:rsidR="00F15D26" w:rsidRPr="005512B9">
              <w:rPr>
                <w:rFonts w:ascii="Arial" w:hAnsi="Arial" w:cs="Arial"/>
                <w:b/>
                <w:sz w:val="18"/>
              </w:rPr>
              <w:t> </w:t>
            </w:r>
            <w:r w:rsidRPr="005512B9">
              <w:rPr>
                <w:rFonts w:ascii="Arial" w:hAnsi="Arial" w:cs="Arial"/>
                <w:b/>
                <w:sz w:val="18"/>
              </w:rPr>
              <w:t>725</w:t>
            </w:r>
            <w:r w:rsidR="00F15D26" w:rsidRPr="005512B9">
              <w:rPr>
                <w:rFonts w:ascii="Arial" w:hAnsi="Arial" w:cs="Arial"/>
                <w:b/>
                <w:sz w:val="18"/>
              </w:rPr>
              <w:t> </w:t>
            </w:r>
            <w:r w:rsidRPr="005512B9">
              <w:rPr>
                <w:rFonts w:ascii="Arial" w:hAnsi="Arial" w:cs="Arial"/>
                <w:b/>
                <w:sz w:val="18"/>
              </w:rPr>
              <w:t>095</w:t>
            </w:r>
          </w:p>
        </w:tc>
        <w:tc>
          <w:tcPr>
            <w:tcW w:w="1842" w:type="dxa"/>
            <w:shd w:val="clear" w:color="auto" w:fill="auto"/>
          </w:tcPr>
          <w:p w:rsidR="002D1B96" w:rsidRPr="005512B9" w:rsidRDefault="00F15D26" w:rsidP="00BD4AA4">
            <w:pPr>
              <w:pStyle w:val="TableParagraph"/>
              <w:spacing w:before="18"/>
              <w:jc w:val="center"/>
              <w:rPr>
                <w:rFonts w:ascii="Arial" w:hAnsi="Arial" w:cs="Arial"/>
                <w:b/>
                <w:sz w:val="18"/>
              </w:rPr>
            </w:pPr>
            <w:r w:rsidRPr="005512B9">
              <w:rPr>
                <w:rFonts w:ascii="Arial" w:hAnsi="Arial" w:cs="Arial"/>
                <w:b/>
                <w:sz w:val="18"/>
              </w:rPr>
              <w:t>20,8</w:t>
            </w:r>
          </w:p>
        </w:tc>
        <w:tc>
          <w:tcPr>
            <w:tcW w:w="1560" w:type="dxa"/>
            <w:shd w:val="clear" w:color="auto" w:fill="auto"/>
          </w:tcPr>
          <w:p w:rsidR="002D1B96" w:rsidRPr="005512B9" w:rsidRDefault="002D1B96" w:rsidP="00BD4AA4">
            <w:pPr>
              <w:pStyle w:val="TableParagraph"/>
              <w:spacing w:before="18"/>
              <w:jc w:val="center"/>
              <w:rPr>
                <w:rFonts w:ascii="Arial" w:hAnsi="Arial" w:cs="Arial"/>
                <w:b/>
                <w:sz w:val="18"/>
              </w:rPr>
            </w:pPr>
            <w:r w:rsidRPr="005512B9">
              <w:rPr>
                <w:rFonts w:ascii="Arial" w:hAnsi="Arial" w:cs="Arial"/>
                <w:b/>
                <w:sz w:val="18"/>
              </w:rPr>
              <w:t>888</w:t>
            </w:r>
            <w:r w:rsidR="00F15D26" w:rsidRPr="005512B9">
              <w:rPr>
                <w:rFonts w:ascii="Arial" w:hAnsi="Arial" w:cs="Arial"/>
                <w:b/>
                <w:sz w:val="18"/>
              </w:rPr>
              <w:t> </w:t>
            </w:r>
            <w:r w:rsidRPr="005512B9">
              <w:rPr>
                <w:rFonts w:ascii="Arial" w:hAnsi="Arial" w:cs="Arial"/>
                <w:b/>
                <w:sz w:val="18"/>
              </w:rPr>
              <w:t>404</w:t>
            </w:r>
          </w:p>
        </w:tc>
        <w:tc>
          <w:tcPr>
            <w:tcW w:w="1842" w:type="dxa"/>
            <w:shd w:val="clear" w:color="auto" w:fill="auto"/>
          </w:tcPr>
          <w:p w:rsidR="002D1B96" w:rsidRPr="005512B9" w:rsidRDefault="00F15D26" w:rsidP="00BD4AA4">
            <w:pPr>
              <w:pStyle w:val="TableParagraph"/>
              <w:spacing w:before="18"/>
              <w:jc w:val="center"/>
              <w:rPr>
                <w:rFonts w:ascii="Arial" w:hAnsi="Arial" w:cs="Arial"/>
                <w:b/>
                <w:sz w:val="18"/>
              </w:rPr>
            </w:pPr>
            <w:r w:rsidRPr="005512B9">
              <w:rPr>
                <w:rFonts w:ascii="Arial" w:hAnsi="Arial" w:cs="Arial"/>
                <w:b/>
                <w:sz w:val="18"/>
              </w:rPr>
              <w:t>6,8</w:t>
            </w:r>
          </w:p>
        </w:tc>
      </w:tr>
      <w:tr w:rsidR="002D1B96" w:rsidTr="00D2711C">
        <w:trPr>
          <w:trHeight w:val="359"/>
        </w:trPr>
        <w:tc>
          <w:tcPr>
            <w:tcW w:w="1276" w:type="dxa"/>
            <w:shd w:val="clear" w:color="auto" w:fill="auto"/>
          </w:tcPr>
          <w:p w:rsidR="002D1B96" w:rsidRPr="005512B9" w:rsidRDefault="002D1B96" w:rsidP="00E62AC3">
            <w:pPr>
              <w:pStyle w:val="TableParagraph"/>
              <w:ind w:left="69"/>
              <w:rPr>
                <w:rFonts w:ascii="Arial" w:hAnsi="Arial" w:cs="Arial"/>
                <w:b/>
                <w:sz w:val="18"/>
              </w:rPr>
            </w:pPr>
            <w:r w:rsidRPr="005512B9">
              <w:rPr>
                <w:rFonts w:ascii="Arial" w:hAnsi="Arial" w:cs="Arial"/>
                <w:b/>
                <w:sz w:val="18"/>
              </w:rPr>
              <w:t>Oberbayern</w:t>
            </w:r>
          </w:p>
        </w:tc>
        <w:tc>
          <w:tcPr>
            <w:tcW w:w="1701"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907</w:t>
            </w:r>
            <w:r w:rsidR="00F15D26" w:rsidRPr="005512B9">
              <w:rPr>
                <w:rFonts w:ascii="Arial" w:hAnsi="Arial" w:cs="Arial"/>
                <w:b/>
                <w:sz w:val="18"/>
              </w:rPr>
              <w:t> </w:t>
            </w:r>
            <w:r w:rsidRPr="005512B9">
              <w:rPr>
                <w:rFonts w:ascii="Arial" w:hAnsi="Arial" w:cs="Arial"/>
                <w:b/>
                <w:sz w:val="18"/>
              </w:rPr>
              <w:t>026</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19,3</w:t>
            </w:r>
          </w:p>
        </w:tc>
        <w:tc>
          <w:tcPr>
            <w:tcW w:w="1560"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298</w:t>
            </w:r>
            <w:r w:rsidR="00F15D26" w:rsidRPr="005512B9">
              <w:rPr>
                <w:rFonts w:ascii="Arial" w:hAnsi="Arial" w:cs="Arial"/>
                <w:b/>
                <w:sz w:val="18"/>
              </w:rPr>
              <w:t> </w:t>
            </w:r>
            <w:r w:rsidRPr="005512B9">
              <w:rPr>
                <w:rFonts w:ascii="Arial" w:hAnsi="Arial" w:cs="Arial"/>
                <w:b/>
                <w:sz w:val="18"/>
              </w:rPr>
              <w:t>768</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6,3</w:t>
            </w:r>
          </w:p>
        </w:tc>
      </w:tr>
      <w:tr w:rsidR="002D1B96" w:rsidTr="00D2711C">
        <w:trPr>
          <w:trHeight w:val="361"/>
        </w:trPr>
        <w:tc>
          <w:tcPr>
            <w:tcW w:w="1276" w:type="dxa"/>
            <w:shd w:val="clear" w:color="auto" w:fill="auto"/>
          </w:tcPr>
          <w:p w:rsidR="002D1B96" w:rsidRPr="005512B9" w:rsidRDefault="002D1B96" w:rsidP="00E62AC3">
            <w:pPr>
              <w:pStyle w:val="TableParagraph"/>
              <w:ind w:left="69"/>
              <w:rPr>
                <w:rFonts w:ascii="Arial" w:hAnsi="Arial" w:cs="Arial"/>
                <w:b/>
                <w:sz w:val="18"/>
              </w:rPr>
            </w:pPr>
            <w:r w:rsidRPr="005512B9">
              <w:rPr>
                <w:rFonts w:ascii="Arial" w:hAnsi="Arial" w:cs="Arial"/>
                <w:b/>
                <w:sz w:val="18"/>
              </w:rPr>
              <w:t>Niederbayern</w:t>
            </w:r>
          </w:p>
        </w:tc>
        <w:tc>
          <w:tcPr>
            <w:tcW w:w="1701"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286</w:t>
            </w:r>
            <w:r w:rsidR="00F15D26" w:rsidRPr="005512B9">
              <w:rPr>
                <w:rFonts w:ascii="Arial" w:hAnsi="Arial" w:cs="Arial"/>
                <w:b/>
                <w:sz w:val="18"/>
              </w:rPr>
              <w:t> </w:t>
            </w:r>
            <w:r w:rsidRPr="005512B9">
              <w:rPr>
                <w:rFonts w:ascii="Arial" w:hAnsi="Arial" w:cs="Arial"/>
                <w:b/>
                <w:sz w:val="18"/>
              </w:rPr>
              <w:t>730</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23,0</w:t>
            </w:r>
          </w:p>
        </w:tc>
        <w:tc>
          <w:tcPr>
            <w:tcW w:w="1560"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84</w:t>
            </w:r>
            <w:r w:rsidR="00F15D26" w:rsidRPr="005512B9">
              <w:rPr>
                <w:rFonts w:ascii="Arial" w:hAnsi="Arial" w:cs="Arial"/>
                <w:b/>
                <w:sz w:val="18"/>
              </w:rPr>
              <w:t> </w:t>
            </w:r>
            <w:r w:rsidRPr="005512B9">
              <w:rPr>
                <w:rFonts w:ascii="Arial" w:hAnsi="Arial" w:cs="Arial"/>
                <w:b/>
                <w:sz w:val="18"/>
              </w:rPr>
              <w:t>745</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6,8</w:t>
            </w:r>
          </w:p>
        </w:tc>
      </w:tr>
      <w:tr w:rsidR="002D1B96" w:rsidTr="00D2711C">
        <w:trPr>
          <w:trHeight w:val="359"/>
        </w:trPr>
        <w:tc>
          <w:tcPr>
            <w:tcW w:w="1276" w:type="dxa"/>
            <w:shd w:val="clear" w:color="auto" w:fill="auto"/>
          </w:tcPr>
          <w:p w:rsidR="002D1B96" w:rsidRPr="005512B9" w:rsidRDefault="002D1B96" w:rsidP="00E62AC3">
            <w:pPr>
              <w:pStyle w:val="TableParagraph"/>
              <w:spacing w:before="18"/>
              <w:ind w:left="69"/>
              <w:rPr>
                <w:rFonts w:ascii="Arial" w:hAnsi="Arial" w:cs="Arial"/>
                <w:b/>
                <w:sz w:val="18"/>
              </w:rPr>
            </w:pPr>
            <w:r w:rsidRPr="005512B9">
              <w:rPr>
                <w:rFonts w:ascii="Arial" w:hAnsi="Arial" w:cs="Arial"/>
                <w:b/>
                <w:sz w:val="18"/>
              </w:rPr>
              <w:t>Oberpfalz</w:t>
            </w:r>
          </w:p>
        </w:tc>
        <w:tc>
          <w:tcPr>
            <w:tcW w:w="1701" w:type="dxa"/>
            <w:shd w:val="clear" w:color="auto" w:fill="auto"/>
          </w:tcPr>
          <w:p w:rsidR="002D1B96" w:rsidRPr="005512B9" w:rsidRDefault="002D1B96" w:rsidP="00BD4AA4">
            <w:pPr>
              <w:pStyle w:val="TableParagraph"/>
              <w:spacing w:before="18"/>
              <w:jc w:val="center"/>
              <w:rPr>
                <w:rFonts w:ascii="Arial" w:hAnsi="Arial" w:cs="Arial"/>
                <w:b/>
                <w:sz w:val="18"/>
              </w:rPr>
            </w:pPr>
            <w:r w:rsidRPr="005512B9">
              <w:rPr>
                <w:rFonts w:ascii="Arial" w:hAnsi="Arial" w:cs="Arial"/>
                <w:b/>
                <w:sz w:val="18"/>
              </w:rPr>
              <w:t>266</w:t>
            </w:r>
            <w:r w:rsidR="00F15D26" w:rsidRPr="005512B9">
              <w:rPr>
                <w:rFonts w:ascii="Arial" w:hAnsi="Arial" w:cs="Arial"/>
                <w:b/>
                <w:sz w:val="18"/>
              </w:rPr>
              <w:t> </w:t>
            </w:r>
            <w:r w:rsidRPr="005512B9">
              <w:rPr>
                <w:rFonts w:ascii="Arial" w:hAnsi="Arial" w:cs="Arial"/>
                <w:b/>
                <w:sz w:val="18"/>
              </w:rPr>
              <w:t>309</w:t>
            </w:r>
          </w:p>
        </w:tc>
        <w:tc>
          <w:tcPr>
            <w:tcW w:w="1842" w:type="dxa"/>
            <w:shd w:val="clear" w:color="auto" w:fill="auto"/>
          </w:tcPr>
          <w:p w:rsidR="002D1B96" w:rsidRPr="005512B9" w:rsidRDefault="005512B9" w:rsidP="00BD4AA4">
            <w:pPr>
              <w:pStyle w:val="TableParagraph"/>
              <w:spacing w:before="18"/>
              <w:jc w:val="center"/>
              <w:rPr>
                <w:rFonts w:ascii="Arial" w:hAnsi="Arial" w:cs="Arial"/>
                <w:b/>
                <w:sz w:val="18"/>
              </w:rPr>
            </w:pPr>
            <w:r w:rsidRPr="005512B9">
              <w:rPr>
                <w:rFonts w:ascii="Arial" w:hAnsi="Arial" w:cs="Arial"/>
                <w:b/>
                <w:sz w:val="18"/>
              </w:rPr>
              <w:t>23,9</w:t>
            </w:r>
          </w:p>
        </w:tc>
        <w:tc>
          <w:tcPr>
            <w:tcW w:w="1560" w:type="dxa"/>
            <w:shd w:val="clear" w:color="auto" w:fill="auto"/>
          </w:tcPr>
          <w:p w:rsidR="002D1B96" w:rsidRPr="005512B9" w:rsidRDefault="002D1B96" w:rsidP="00BD4AA4">
            <w:pPr>
              <w:pStyle w:val="TableParagraph"/>
              <w:spacing w:before="18"/>
              <w:jc w:val="center"/>
              <w:rPr>
                <w:rFonts w:ascii="Arial" w:hAnsi="Arial" w:cs="Arial"/>
                <w:b/>
                <w:sz w:val="18"/>
              </w:rPr>
            </w:pPr>
            <w:r w:rsidRPr="005512B9">
              <w:rPr>
                <w:rFonts w:ascii="Arial" w:hAnsi="Arial" w:cs="Arial"/>
                <w:b/>
                <w:sz w:val="18"/>
              </w:rPr>
              <w:t>90</w:t>
            </w:r>
            <w:r w:rsidR="00F15D26" w:rsidRPr="005512B9">
              <w:rPr>
                <w:rFonts w:ascii="Arial" w:hAnsi="Arial" w:cs="Arial"/>
                <w:b/>
                <w:sz w:val="18"/>
              </w:rPr>
              <w:t> </w:t>
            </w:r>
            <w:r w:rsidRPr="005512B9">
              <w:rPr>
                <w:rFonts w:ascii="Arial" w:hAnsi="Arial" w:cs="Arial"/>
                <w:b/>
                <w:sz w:val="18"/>
              </w:rPr>
              <w:t>288</w:t>
            </w:r>
          </w:p>
        </w:tc>
        <w:tc>
          <w:tcPr>
            <w:tcW w:w="1842" w:type="dxa"/>
            <w:shd w:val="clear" w:color="auto" w:fill="auto"/>
          </w:tcPr>
          <w:p w:rsidR="002D1B96" w:rsidRPr="005512B9" w:rsidRDefault="00F15D26" w:rsidP="00BD4AA4">
            <w:pPr>
              <w:pStyle w:val="TableParagraph"/>
              <w:spacing w:before="18"/>
              <w:jc w:val="center"/>
              <w:rPr>
                <w:rFonts w:ascii="Arial" w:hAnsi="Arial" w:cs="Arial"/>
                <w:b/>
                <w:sz w:val="18"/>
              </w:rPr>
            </w:pPr>
            <w:r w:rsidRPr="005512B9">
              <w:rPr>
                <w:rFonts w:ascii="Arial" w:hAnsi="Arial" w:cs="Arial"/>
                <w:b/>
                <w:sz w:val="18"/>
              </w:rPr>
              <w:t>8,1</w:t>
            </w:r>
          </w:p>
        </w:tc>
      </w:tr>
      <w:tr w:rsidR="002D1B96" w:rsidTr="00D2711C">
        <w:trPr>
          <w:trHeight w:val="359"/>
        </w:trPr>
        <w:tc>
          <w:tcPr>
            <w:tcW w:w="1276" w:type="dxa"/>
            <w:shd w:val="clear" w:color="auto" w:fill="auto"/>
          </w:tcPr>
          <w:p w:rsidR="002D1B96" w:rsidRPr="005512B9" w:rsidRDefault="002D1B96" w:rsidP="00E62AC3">
            <w:pPr>
              <w:pStyle w:val="TableParagraph"/>
              <w:ind w:left="69"/>
              <w:rPr>
                <w:rFonts w:ascii="Arial" w:hAnsi="Arial" w:cs="Arial"/>
                <w:b/>
                <w:sz w:val="18"/>
              </w:rPr>
            </w:pPr>
            <w:r w:rsidRPr="005512B9">
              <w:rPr>
                <w:rFonts w:ascii="Arial" w:hAnsi="Arial" w:cs="Arial"/>
                <w:b/>
                <w:sz w:val="18"/>
              </w:rPr>
              <w:t>Schwaben</w:t>
            </w:r>
          </w:p>
        </w:tc>
        <w:tc>
          <w:tcPr>
            <w:tcW w:w="1701"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376</w:t>
            </w:r>
            <w:r w:rsidR="00F15D26" w:rsidRPr="005512B9">
              <w:rPr>
                <w:rFonts w:ascii="Arial" w:hAnsi="Arial" w:cs="Arial"/>
                <w:b/>
                <w:sz w:val="18"/>
              </w:rPr>
              <w:t> </w:t>
            </w:r>
            <w:r w:rsidRPr="005512B9">
              <w:rPr>
                <w:rFonts w:ascii="Arial" w:hAnsi="Arial" w:cs="Arial"/>
                <w:b/>
                <w:sz w:val="18"/>
              </w:rPr>
              <w:t>520</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19,8</w:t>
            </w:r>
          </w:p>
        </w:tc>
        <w:tc>
          <w:tcPr>
            <w:tcW w:w="1560"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120</w:t>
            </w:r>
            <w:r w:rsidR="00F15D26" w:rsidRPr="005512B9">
              <w:rPr>
                <w:rFonts w:ascii="Arial" w:hAnsi="Arial" w:cs="Arial"/>
                <w:b/>
                <w:sz w:val="18"/>
              </w:rPr>
              <w:t> </w:t>
            </w:r>
            <w:r w:rsidRPr="005512B9">
              <w:rPr>
                <w:rFonts w:ascii="Arial" w:hAnsi="Arial" w:cs="Arial"/>
                <w:b/>
                <w:sz w:val="18"/>
              </w:rPr>
              <w:t>647</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6,4</w:t>
            </w:r>
          </w:p>
        </w:tc>
      </w:tr>
      <w:tr w:rsidR="002D1B96" w:rsidTr="00D2711C">
        <w:trPr>
          <w:trHeight w:val="361"/>
        </w:trPr>
        <w:tc>
          <w:tcPr>
            <w:tcW w:w="1276" w:type="dxa"/>
            <w:shd w:val="clear" w:color="auto" w:fill="auto"/>
          </w:tcPr>
          <w:p w:rsidR="002D1B96" w:rsidRPr="005512B9" w:rsidRDefault="002D1B96" w:rsidP="00E62AC3">
            <w:pPr>
              <w:pStyle w:val="TableParagraph"/>
              <w:ind w:left="69"/>
              <w:rPr>
                <w:rFonts w:ascii="Arial" w:hAnsi="Arial" w:cs="Arial"/>
                <w:b/>
                <w:sz w:val="18"/>
              </w:rPr>
            </w:pPr>
            <w:r w:rsidRPr="005512B9">
              <w:rPr>
                <w:rFonts w:ascii="Arial" w:hAnsi="Arial" w:cs="Arial"/>
                <w:b/>
                <w:sz w:val="18"/>
              </w:rPr>
              <w:t>Oberfranken</w:t>
            </w:r>
          </w:p>
        </w:tc>
        <w:tc>
          <w:tcPr>
            <w:tcW w:w="1701"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245</w:t>
            </w:r>
            <w:r w:rsidR="00F15D26" w:rsidRPr="005512B9">
              <w:rPr>
                <w:rFonts w:ascii="Arial" w:hAnsi="Arial" w:cs="Arial"/>
                <w:b/>
                <w:sz w:val="18"/>
              </w:rPr>
              <w:t> </w:t>
            </w:r>
            <w:r w:rsidRPr="005512B9">
              <w:rPr>
                <w:rFonts w:ascii="Arial" w:hAnsi="Arial" w:cs="Arial"/>
                <w:b/>
                <w:sz w:val="18"/>
              </w:rPr>
              <w:t>156</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23,0</w:t>
            </w:r>
          </w:p>
        </w:tc>
        <w:tc>
          <w:tcPr>
            <w:tcW w:w="1560"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80</w:t>
            </w:r>
            <w:r w:rsidR="00F15D26" w:rsidRPr="005512B9">
              <w:rPr>
                <w:rFonts w:ascii="Arial" w:hAnsi="Arial" w:cs="Arial"/>
                <w:b/>
                <w:sz w:val="18"/>
              </w:rPr>
              <w:t> </w:t>
            </w:r>
            <w:r w:rsidRPr="005512B9">
              <w:rPr>
                <w:rFonts w:ascii="Arial" w:hAnsi="Arial" w:cs="Arial"/>
                <w:b/>
                <w:sz w:val="18"/>
              </w:rPr>
              <w:t>750</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7,6</w:t>
            </w:r>
          </w:p>
        </w:tc>
      </w:tr>
      <w:tr w:rsidR="002D1B96" w:rsidTr="00D2711C">
        <w:trPr>
          <w:trHeight w:val="359"/>
        </w:trPr>
        <w:tc>
          <w:tcPr>
            <w:tcW w:w="1276" w:type="dxa"/>
            <w:shd w:val="clear" w:color="auto" w:fill="auto"/>
          </w:tcPr>
          <w:p w:rsidR="002D1B96" w:rsidRPr="005512B9" w:rsidRDefault="002D1B96" w:rsidP="00E62AC3">
            <w:pPr>
              <w:pStyle w:val="TableParagraph"/>
              <w:spacing w:before="18"/>
              <w:ind w:left="69"/>
              <w:rPr>
                <w:rFonts w:ascii="Arial" w:hAnsi="Arial" w:cs="Arial"/>
                <w:b/>
                <w:sz w:val="18"/>
              </w:rPr>
            </w:pPr>
            <w:r w:rsidRPr="005512B9">
              <w:rPr>
                <w:rFonts w:ascii="Arial" w:hAnsi="Arial" w:cs="Arial"/>
                <w:b/>
                <w:sz w:val="18"/>
              </w:rPr>
              <w:t>Mittelfranken</w:t>
            </w:r>
          </w:p>
        </w:tc>
        <w:tc>
          <w:tcPr>
            <w:tcW w:w="1701" w:type="dxa"/>
            <w:shd w:val="clear" w:color="auto" w:fill="auto"/>
          </w:tcPr>
          <w:p w:rsidR="002D1B96" w:rsidRPr="005512B9" w:rsidRDefault="002D1B96" w:rsidP="00BD4AA4">
            <w:pPr>
              <w:pStyle w:val="TableParagraph"/>
              <w:spacing w:before="18"/>
              <w:jc w:val="center"/>
              <w:rPr>
                <w:rFonts w:ascii="Arial" w:hAnsi="Arial" w:cs="Arial"/>
                <w:b/>
                <w:sz w:val="18"/>
              </w:rPr>
            </w:pPr>
            <w:r w:rsidRPr="005512B9">
              <w:rPr>
                <w:rFonts w:ascii="Arial" w:hAnsi="Arial" w:cs="Arial"/>
                <w:b/>
                <w:sz w:val="18"/>
              </w:rPr>
              <w:t>370</w:t>
            </w:r>
            <w:r w:rsidR="00F15D26" w:rsidRPr="005512B9">
              <w:rPr>
                <w:rFonts w:ascii="Arial" w:hAnsi="Arial" w:cs="Arial"/>
                <w:b/>
                <w:sz w:val="18"/>
              </w:rPr>
              <w:t> </w:t>
            </w:r>
            <w:r w:rsidRPr="005512B9">
              <w:rPr>
                <w:rFonts w:ascii="Arial" w:hAnsi="Arial" w:cs="Arial"/>
                <w:b/>
                <w:sz w:val="18"/>
              </w:rPr>
              <w:t>807</w:t>
            </w:r>
          </w:p>
        </w:tc>
        <w:tc>
          <w:tcPr>
            <w:tcW w:w="1842" w:type="dxa"/>
            <w:shd w:val="clear" w:color="auto" w:fill="auto"/>
          </w:tcPr>
          <w:p w:rsidR="002D1B96" w:rsidRPr="005512B9" w:rsidRDefault="00F15D26" w:rsidP="00BD4AA4">
            <w:pPr>
              <w:pStyle w:val="TableParagraph"/>
              <w:spacing w:before="18"/>
              <w:jc w:val="center"/>
              <w:rPr>
                <w:rFonts w:ascii="Arial" w:hAnsi="Arial" w:cs="Arial"/>
                <w:b/>
                <w:sz w:val="18"/>
              </w:rPr>
            </w:pPr>
            <w:r w:rsidRPr="005512B9">
              <w:rPr>
                <w:rFonts w:ascii="Arial" w:hAnsi="Arial" w:cs="Arial"/>
                <w:b/>
                <w:sz w:val="18"/>
              </w:rPr>
              <w:t>20,9</w:t>
            </w:r>
          </w:p>
        </w:tc>
        <w:tc>
          <w:tcPr>
            <w:tcW w:w="1560" w:type="dxa"/>
            <w:shd w:val="clear" w:color="auto" w:fill="auto"/>
          </w:tcPr>
          <w:p w:rsidR="002D1B96" w:rsidRPr="005512B9" w:rsidRDefault="002D1B96" w:rsidP="00BD4AA4">
            <w:pPr>
              <w:pStyle w:val="TableParagraph"/>
              <w:spacing w:before="18"/>
              <w:jc w:val="center"/>
              <w:rPr>
                <w:rFonts w:ascii="Arial" w:hAnsi="Arial" w:cs="Arial"/>
                <w:b/>
                <w:sz w:val="18"/>
              </w:rPr>
            </w:pPr>
            <w:r w:rsidRPr="005512B9">
              <w:rPr>
                <w:rFonts w:ascii="Arial" w:hAnsi="Arial" w:cs="Arial"/>
                <w:b/>
                <w:sz w:val="18"/>
              </w:rPr>
              <w:t>120</w:t>
            </w:r>
            <w:r w:rsidR="00F15D26" w:rsidRPr="005512B9">
              <w:rPr>
                <w:rFonts w:ascii="Arial" w:hAnsi="Arial" w:cs="Arial"/>
                <w:b/>
                <w:sz w:val="18"/>
              </w:rPr>
              <w:t> </w:t>
            </w:r>
            <w:r w:rsidRPr="005512B9">
              <w:rPr>
                <w:rFonts w:ascii="Arial" w:hAnsi="Arial" w:cs="Arial"/>
                <w:b/>
                <w:sz w:val="18"/>
              </w:rPr>
              <w:t>875</w:t>
            </w:r>
          </w:p>
        </w:tc>
        <w:tc>
          <w:tcPr>
            <w:tcW w:w="1842" w:type="dxa"/>
            <w:shd w:val="clear" w:color="auto" w:fill="auto"/>
          </w:tcPr>
          <w:p w:rsidR="002D1B96" w:rsidRPr="005512B9" w:rsidRDefault="00F15D26" w:rsidP="00BD4AA4">
            <w:pPr>
              <w:pStyle w:val="TableParagraph"/>
              <w:spacing w:before="18"/>
              <w:jc w:val="center"/>
              <w:rPr>
                <w:rFonts w:ascii="Arial" w:hAnsi="Arial" w:cs="Arial"/>
                <w:b/>
                <w:sz w:val="18"/>
              </w:rPr>
            </w:pPr>
            <w:r w:rsidRPr="005512B9">
              <w:rPr>
                <w:rFonts w:ascii="Arial" w:hAnsi="Arial" w:cs="Arial"/>
                <w:b/>
                <w:sz w:val="18"/>
              </w:rPr>
              <w:t>6,8</w:t>
            </w:r>
          </w:p>
        </w:tc>
      </w:tr>
      <w:tr w:rsidR="002D1B96" w:rsidTr="00D2711C">
        <w:trPr>
          <w:trHeight w:val="361"/>
        </w:trPr>
        <w:tc>
          <w:tcPr>
            <w:tcW w:w="1276" w:type="dxa"/>
            <w:shd w:val="clear" w:color="auto" w:fill="auto"/>
          </w:tcPr>
          <w:p w:rsidR="002D1B96" w:rsidRPr="005512B9" w:rsidRDefault="002D1B96" w:rsidP="00E62AC3">
            <w:pPr>
              <w:pStyle w:val="TableParagraph"/>
              <w:ind w:left="69"/>
              <w:rPr>
                <w:rFonts w:ascii="Arial" w:hAnsi="Arial" w:cs="Arial"/>
                <w:b/>
                <w:sz w:val="18"/>
              </w:rPr>
            </w:pPr>
            <w:r w:rsidRPr="005512B9">
              <w:rPr>
                <w:rFonts w:ascii="Arial" w:hAnsi="Arial" w:cs="Arial"/>
                <w:b/>
                <w:sz w:val="18"/>
              </w:rPr>
              <w:t>Unterfranken</w:t>
            </w:r>
          </w:p>
        </w:tc>
        <w:tc>
          <w:tcPr>
            <w:tcW w:w="1701"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272</w:t>
            </w:r>
            <w:r w:rsidR="00F15D26" w:rsidRPr="005512B9">
              <w:rPr>
                <w:rFonts w:ascii="Arial" w:hAnsi="Arial" w:cs="Arial"/>
                <w:b/>
                <w:sz w:val="18"/>
              </w:rPr>
              <w:t> </w:t>
            </w:r>
            <w:r w:rsidRPr="005512B9">
              <w:rPr>
                <w:rFonts w:ascii="Arial" w:hAnsi="Arial" w:cs="Arial"/>
                <w:b/>
                <w:sz w:val="18"/>
              </w:rPr>
              <w:t>547</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20,7</w:t>
            </w:r>
          </w:p>
        </w:tc>
        <w:tc>
          <w:tcPr>
            <w:tcW w:w="1560" w:type="dxa"/>
            <w:shd w:val="clear" w:color="auto" w:fill="auto"/>
          </w:tcPr>
          <w:p w:rsidR="002D1B96" w:rsidRPr="005512B9" w:rsidRDefault="002D1B96" w:rsidP="00BD4AA4">
            <w:pPr>
              <w:pStyle w:val="TableParagraph"/>
              <w:jc w:val="center"/>
              <w:rPr>
                <w:rFonts w:ascii="Arial" w:hAnsi="Arial" w:cs="Arial"/>
                <w:b/>
                <w:sz w:val="18"/>
              </w:rPr>
            </w:pPr>
            <w:r w:rsidRPr="005512B9">
              <w:rPr>
                <w:rFonts w:ascii="Arial" w:hAnsi="Arial" w:cs="Arial"/>
                <w:b/>
                <w:sz w:val="18"/>
              </w:rPr>
              <w:t>92</w:t>
            </w:r>
            <w:r w:rsidR="00F15D26" w:rsidRPr="005512B9">
              <w:rPr>
                <w:rFonts w:ascii="Arial" w:hAnsi="Arial" w:cs="Arial"/>
                <w:b/>
                <w:sz w:val="18"/>
              </w:rPr>
              <w:t> </w:t>
            </w:r>
            <w:r w:rsidRPr="005512B9">
              <w:rPr>
                <w:rFonts w:ascii="Arial" w:hAnsi="Arial" w:cs="Arial"/>
                <w:b/>
                <w:sz w:val="18"/>
              </w:rPr>
              <w:t>331</w:t>
            </w:r>
          </w:p>
        </w:tc>
        <w:tc>
          <w:tcPr>
            <w:tcW w:w="1842" w:type="dxa"/>
            <w:shd w:val="clear" w:color="auto" w:fill="auto"/>
          </w:tcPr>
          <w:p w:rsidR="002D1B96" w:rsidRPr="005512B9" w:rsidRDefault="00F15D26" w:rsidP="00BD4AA4">
            <w:pPr>
              <w:pStyle w:val="TableParagraph"/>
              <w:jc w:val="center"/>
              <w:rPr>
                <w:rFonts w:ascii="Arial" w:hAnsi="Arial" w:cs="Arial"/>
                <w:b/>
                <w:sz w:val="18"/>
              </w:rPr>
            </w:pPr>
            <w:r w:rsidRPr="005512B9">
              <w:rPr>
                <w:rFonts w:ascii="Arial" w:hAnsi="Arial" w:cs="Arial"/>
                <w:b/>
                <w:sz w:val="18"/>
              </w:rPr>
              <w:t>7,0</w:t>
            </w:r>
          </w:p>
        </w:tc>
      </w:tr>
    </w:tbl>
    <w:p w:rsidR="002D1B96" w:rsidRDefault="002D1B96" w:rsidP="002D1B96">
      <w:pPr>
        <w:spacing w:line="360" w:lineRule="auto"/>
        <w:ind w:left="284" w:right="1316"/>
        <w:rPr>
          <w:sz w:val="18"/>
        </w:rPr>
      </w:pPr>
      <w:r>
        <w:rPr>
          <w:sz w:val="18"/>
        </w:rPr>
        <w:t xml:space="preserve">(Zahlen der Tabelle aus Dashboard BayIMCO, BIK-Impfportal und Meldung </w:t>
      </w:r>
      <w:r w:rsidR="005512B9">
        <w:rPr>
          <w:sz w:val="18"/>
        </w:rPr>
        <w:t>d</w:t>
      </w:r>
      <w:r>
        <w:rPr>
          <w:sz w:val="18"/>
        </w:rPr>
        <w:t>er KVB, Stand 20.04.2021. Aufgrund unterschiedlicher Abfragezeitpunkte können Abweichungen von den Zahlen des RKI bestehen.)</w:t>
      </w:r>
    </w:p>
    <w:p w:rsidR="00041CAD" w:rsidRDefault="00041CAD" w:rsidP="00041CAD">
      <w:pPr>
        <w:pStyle w:val="LTAntwortRessortText"/>
      </w:pPr>
      <w:r>
        <w:t xml:space="preserve">Unterschiede bei den Impfquoten ergeben sich insbesondere aufgrund der an die </w:t>
      </w:r>
      <w:r w:rsidR="00BD06F4">
        <w:t>„</w:t>
      </w:r>
      <w:r>
        <w:t>Grenzlandkreise</w:t>
      </w:r>
      <w:r w:rsidR="00BD06F4">
        <w:t>“</w:t>
      </w:r>
      <w:r>
        <w:t xml:space="preserve"> erfolgten Sonderlieferungen, die abweichend von der sonst üblichen Auslieferung nach Bevölkerungsproporz an die Regierungsbezirke erfolgt. Die Regierungsbezirke verteilen den Impfstoff dann grds. ebenfalls entsprechend der Bevölkerungsverteilung regional weiter, können dabei aber ggf. regionale Besonderheiten berücksichtigen.</w:t>
      </w:r>
    </w:p>
    <w:p w:rsidR="00041CAD" w:rsidRDefault="00041CAD" w:rsidP="00041CAD">
      <w:pPr>
        <w:pStyle w:val="LTAntwortRessortText"/>
      </w:pPr>
      <w:r>
        <w:t>Hinsichtlich der regionalen Impfquoten finden derzeit noch Prüfungen der Date</w:t>
      </w:r>
      <w:r w:rsidR="00BD4AA4">
        <w:t>nqualität statt, so</w:t>
      </w:r>
      <w:r>
        <w:t>dass diese nicht dargestellt werden können.</w:t>
      </w:r>
    </w:p>
    <w:p w:rsidR="00041CAD" w:rsidRDefault="00041CAD" w:rsidP="00041CAD">
      <w:pPr>
        <w:pStyle w:val="LTAntwortRessortText"/>
      </w:pPr>
      <w:r>
        <w:t>Unabhängig hiervon wird darauf hingewiesen, dass Impfquoten keinen tatsächlichen Rückschluss auf den Erfolg einer Impfstrategie zulassen, denn sie sind grundsätzlich lediglich als</w:t>
      </w:r>
      <w:r w:rsidR="002D1B96">
        <w:t xml:space="preserve"> </w:t>
      </w:r>
      <w:r>
        <w:t>interpretationsfähige Kenngrößen zur Einordnung der Effektivität von Impfungen vorgesehen und</w:t>
      </w:r>
      <w:r w:rsidR="002D1B96">
        <w:t xml:space="preserve"> </w:t>
      </w:r>
      <w:r>
        <w:t>dienen primär einer zielgruppenspezifischen Steuerung und Anpassung der Impfstrategie. Für eine</w:t>
      </w:r>
      <w:r w:rsidR="002D1B96">
        <w:t xml:space="preserve"> </w:t>
      </w:r>
      <w:r>
        <w:t>vergleichende Betrachtung auf regionaler Ebene sind Impfquoten jedoch, insbesondere ohne eine</w:t>
      </w:r>
    </w:p>
    <w:p w:rsidR="00041CAD" w:rsidRDefault="00041CAD" w:rsidP="00041CAD">
      <w:pPr>
        <w:pStyle w:val="LTAntwortRessortText"/>
      </w:pPr>
      <w:r>
        <w:t>notwendige Berücksichtigung (bevölkerungs-) struktureller beziehungsweise demografischer</w:t>
      </w:r>
      <w:r w:rsidR="002D1B96">
        <w:t xml:space="preserve"> </w:t>
      </w:r>
      <w:r>
        <w:t>Aspekte oder des Zeitpunkts und vor allem der Anzahl gelieferter und verfügbarer Impfdosen, nur</w:t>
      </w:r>
      <w:r w:rsidR="002D1B96">
        <w:t xml:space="preserve"> </w:t>
      </w:r>
      <w:r>
        <w:t>bedingt geeignet.</w:t>
      </w:r>
    </w:p>
    <w:p w:rsidR="00041CAD" w:rsidRDefault="00041CAD" w:rsidP="002D1B96">
      <w:pPr>
        <w:pStyle w:val="LTAntwortRessortText"/>
        <w:spacing w:before="0"/>
      </w:pPr>
      <w:r>
        <w:t xml:space="preserve">Nicht zuletzt erfolgt </w:t>
      </w:r>
      <w:r w:rsidR="00BD06F4">
        <w:t>z. B.</w:t>
      </w:r>
      <w:r>
        <w:t xml:space="preserve"> bei der Impfung von Mitarbeiterinnen und Mitarbeitern in Krankenhäusern</w:t>
      </w:r>
      <w:r w:rsidR="002D1B96">
        <w:t xml:space="preserve"> </w:t>
      </w:r>
      <w:r>
        <w:t>bzw. bei Impfungen in Senioren- und Pflegeeinrichtungen im Rahmen von Mobilen Impfteams eine</w:t>
      </w:r>
      <w:r w:rsidR="002D1B96">
        <w:t xml:space="preserve"> </w:t>
      </w:r>
      <w:r>
        <w:t>Zuordnung der Geimpften zum jeweiligen Standort-Impfzentrum und nicht zum Wohnort-Impfzentrum. Dadurch ergeben sich abweichende Zahlen zu den Zahlen der Impfzentren.</w:t>
      </w:r>
    </w:p>
    <w:p w:rsidR="00041CAD" w:rsidRDefault="00041CAD">
      <w:bookmarkStart w:id="138" w:name="Frage_Nr_68_Ende"/>
      <w:bookmarkEnd w:id="1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97C37" w:rsidTr="00997C37">
        <w:tc>
          <w:tcPr>
            <w:tcW w:w="1883" w:type="dxa"/>
          </w:tcPr>
          <w:p w:rsidR="00997C37" w:rsidRDefault="00997C37" w:rsidP="00997C37">
            <w:pPr>
              <w:pStyle w:val="LTAnfrageInitiator"/>
            </w:pPr>
            <w:r>
              <w:t>Abgeordneter</w:t>
            </w:r>
            <w:r>
              <w:rPr>
                <w:b/>
              </w:rPr>
              <w:br/>
              <w:t>Toni</w:t>
            </w:r>
            <w:r>
              <w:rPr>
                <w:b/>
              </w:rPr>
              <w:br/>
              <w:t>Schuberl</w:t>
            </w:r>
            <w:r>
              <w:rPr>
                <w:b/>
              </w:rPr>
              <w:br/>
            </w:r>
            <w:r>
              <w:t>(BÜNDNIS 90/DIE GRÜNEN)</w:t>
            </w:r>
            <w:bookmarkStart w:id="139" w:name="Frage_Nr_69"/>
            <w:bookmarkEnd w:id="139"/>
          </w:p>
        </w:tc>
        <w:tc>
          <w:tcPr>
            <w:tcW w:w="5733" w:type="dxa"/>
          </w:tcPr>
          <w:p w:rsidR="00997C37" w:rsidRPr="00754CFD" w:rsidRDefault="00997C37" w:rsidP="00754CFD">
            <w:pPr>
              <w:pStyle w:val="LTAnfrageText"/>
            </w:pPr>
            <w:r w:rsidRPr="00754CFD">
              <w:t>Ich frage die Staatsregierung, inwiefern ist es Künstlerinnen und Künstlern nach der geltenden zwölften Bayerischen Infektionsschutzmaßnahmenverordnung (12. BayIfSMV) möglich, ihr künstlerisches Wirken in der Interaktion mit Publikum auf der Bühne im Sinne der Kunstfreiheit zu verwirklichen (vergleichbar mit der körperlichen Anwesenheit bei der Ausübung der Religionsfreiheit und der Versammlungsfreiheit), welche konkreten wissenschaftlichen Studien und Erkenntnisse liegen den aktuell geltenden Einschränkungen in der Ausübung des Grundrechts der Kunstfreiheit im Wirkbereich zugrunde (insbesondere hinsichtlich der Unterschiede zu Einzelhandel, Religionsfreiheit und Versammlungsrecht) und wieso setzt die Staatsregierung nicht den Stufenplan der Kulturminister vom 05.02.2021 um, wonach „Museen, Galerien, Gedenkstätten und Bibliotheken sowie vergleichbare Einrichtungen (...) spätestens mit der Eröffnung des Einzelhandels einen Basisbetrieb für die Öffentlichkeit anbieten“ sollen (gemäß § 23 Abs. 2 Nr. 1 der 12. BayIfSMV sind Museen, Ausstellungen, Gedenkstätten, staatliche Schlösser, Gärten und Seen, vergleichbare Kulturstätten sowie zoologische und botanische Gärten über der Inzidenz von 100 geschlossen, während der Einzelhandel nach § 12 Abs. 1 Satz 7 Nr. 3 mit Terminvereinbarung und negativem Test eingeschränkt öffnen darf)?</w:t>
            </w:r>
          </w:p>
        </w:tc>
        <w:tc>
          <w:tcPr>
            <w:tcW w:w="5733" w:type="dxa"/>
          </w:tcPr>
          <w:p w:rsidR="00997C37" w:rsidRDefault="00997C37" w:rsidP="00997C37">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Zunächst ist darauf hinzuweisen, dass die Nutzung und der Betrieb von Kulturstätten sowohl für die notwendigen Proben als auch für Aufnahmen bzw. Streaming von Berufsmusikern, Berufsdarstellern sowie Berufskünstlern (ohne Anwesenheit von Publikum) jederzeit zulässig war und ist.</w:t>
      </w:r>
    </w:p>
    <w:p w:rsidR="00041CAD" w:rsidRDefault="00041CAD" w:rsidP="00041CAD">
      <w:pPr>
        <w:pStyle w:val="LTAntwortRessortText"/>
      </w:pPr>
      <w:r>
        <w:t xml:space="preserve">Art. 5 Abs. 3 </w:t>
      </w:r>
      <w:r w:rsidR="0054569D">
        <w:t xml:space="preserve">Grundgesetz – </w:t>
      </w:r>
      <w:r>
        <w:t>GG (Kunstfreiheit) schützt sowohl den Werk- als auch den Wirkbereich der künstlerischen Betätigung. Letzterer beinhaltet die öffentliche Darbietung und</w:t>
      </w:r>
      <w:r w:rsidR="0054569D">
        <w:t xml:space="preserve"> Verbreitung des Kunstwerks, d. </w:t>
      </w:r>
      <w:r>
        <w:t xml:space="preserve">h. die Vermittlung und Vermarktung an Dritte als Ausdruck des kommunikativen Aspekts der verfassungsrechtlich geschützten Kunstfreiheit. Die Begegnung mit dem Werk ist als ein kunstspezifischer Vorgang für die Entfaltung der </w:t>
      </w:r>
      <w:r w:rsidR="00BD4AA4">
        <w:t>Kunstfreiheit sachnotwendig, so</w:t>
      </w:r>
      <w:r>
        <w:t>dass zu den typischen grundrechtsgeschützten Handlungen etwa die Ausstellung, die Präsentation und der Verkauf von Kunstwerken, das Konzert, die Aufführung, die Veröffentlichung etc. zählen. Ein Eingriff in den Schutzbereich der Kunstfreiheit kann also grundsätzlich auch in dem Verbot von Auftritten liegen. Allerdings beziehen sich die aktuellen Maßnahmen der Bayerischen Infektionsschutzmaßnahmenverordnung (BayIfSMV) auf alle Lebensbereiche im Zusammenhang</w:t>
      </w:r>
      <w:r w:rsidR="009404C3">
        <w:t xml:space="preserve"> </w:t>
      </w:r>
      <w:r>
        <w:t xml:space="preserve">mit der Vermeidung bzw. Reduzierung von persönlichen Kontakten und stellen gerade keine zielgerichtete Beschränkung des künstlerischen Wirkbereichs dar. Die Regelungen der BayIfSMV sind damit nicht vergleichbar mit einem </w:t>
      </w:r>
      <w:r w:rsidR="00BD06F4">
        <w:t>„</w:t>
      </w:r>
      <w:r>
        <w:t>Auftrittsverbot</w:t>
      </w:r>
      <w:r w:rsidR="00BD06F4">
        <w:t>“</w:t>
      </w:r>
      <w:r>
        <w:t xml:space="preserve"> für bestimmte Künstler, zumal (berufliche) künstlerische Aktivitäten, auch Darbietungen mittels Aufzeichnung oder Stream, ja weiterhin möglich und allein Auftritte in beispielsweise Theatern, Opern- und Konzerthäusern vor Publikum nicht zulässig sind. Bei der Religionsfreiheit gemäß Art. 4 GG und der Versammlungsfreiheit gemäß Art. 8 GG steht im Zentrum jeweils die gemeinschaftliche Grundrechtsausübung der Gottesdienstbesucher bzw. Demonstrationsteilnehmer, wohingegen die Besucher von Kulturveranstaltungen nicht selbst Träger des Grundrechts der</w:t>
      </w:r>
      <w:r w:rsidR="00F82469">
        <w:t xml:space="preserve"> Kunstfreiheit nach Art. 5 Abs. </w:t>
      </w:r>
      <w:r>
        <w:t>3 GG und die Künstler nur in Teilbereichen ihrer Kunstfreiheit betroffen sind</w:t>
      </w:r>
      <w:r w:rsidR="00F82469">
        <w:t xml:space="preserve"> (vgl. VerfGH, E.v. 22.03.2021 – Vf. 23-VII-21 –</w:t>
      </w:r>
      <w:r>
        <w:t xml:space="preserve"> Rn 45).</w:t>
      </w:r>
    </w:p>
    <w:p w:rsidR="00041CAD" w:rsidRDefault="00041CAD" w:rsidP="00041CAD">
      <w:pPr>
        <w:pStyle w:val="LTAntwortRessortText"/>
      </w:pPr>
      <w:r>
        <w:t>Mit Beschluss vom 15.04.2021 (Az. 20 NE 21.919) hat der BayVGH die Regelung des § 23 Abs. 1 der 12. BayIfSMV bestätigt und klargestellt, dass in der derzeitigen Phase der Pandemie, die weiterhin von einem starken, diffusen Ausbruchsgeschehen geprägt ist und in der in vielen Fällen das Infektionsumfeld nicht ermittelt werden kann</w:t>
      </w:r>
      <w:r w:rsidR="00BD4AA4">
        <w:t>,</w:t>
      </w:r>
      <w:r>
        <w:t xml:space="preserve"> die Abwägungsentscheidung des Verordnungsgebers, kulturelle Einrichtungen insgesamt geschlossen zu halten, innerhalb des ihm eingeräumten Beurteilungsspielraums liegt. Die Schließung der in § 23 Abs. 1 der 12. BayIfSMV genannten Kultureinrichtungen ist geeignet, menschliche Kontakte zu reduzieren und damit zu einer Verlangsamung des Infektionsgeschehens beizutragen. Der Besuch kultureller Einrichtungen dient in besonderer Weise auch dem Austausch und der Kommunikation zwischen den Besuchern </w:t>
      </w:r>
      <w:r w:rsidR="00F82469">
        <w:t>(vgl. VerfGH, E. v. 22.03.2021 – Vf. 23-VII-21 –</w:t>
      </w:r>
      <w:r>
        <w:t xml:space="preserve"> Rn. 43). Auch wenn es im Schwerpunkt um die Vermittlung der von den Künstlern dargebotenen Kunst an das Publikum und damit um die Auseinandersetzung zwischen Künstlern und Zuschauern geht, kommt es hier zu Situationen, in denen Menschen aufeinandertreffen und sich austauschen, s</w:t>
      </w:r>
      <w:r w:rsidR="00BD4AA4">
        <w:t>o</w:t>
      </w:r>
      <w:r>
        <w:t>dass das Risiko einer Ansteckung besonders groß sein kann (vgl. BT-Drs. 19/23944, S. 32). Der beschriebene Austausch und die Kommunikation der Besucher untereinander sind bei der Öffnung von Ladengeschäften für einzelne Kunden nicht im gleichen Maße zu b</w:t>
      </w:r>
      <w:r w:rsidR="00BD4AA4">
        <w:t>efürchten, so</w:t>
      </w:r>
      <w:r>
        <w:t>dass die in Rede stehenden Lebensbereiche (Kultur und Einzelhandel) in Bezug auf die Infektionsgefahr nicht vergleichbar sind.</w:t>
      </w:r>
    </w:p>
    <w:p w:rsidR="00041CAD" w:rsidRDefault="00041CAD" w:rsidP="00041CAD">
      <w:pPr>
        <w:pStyle w:val="LTAntwortRessortText"/>
      </w:pPr>
      <w:r>
        <w:t xml:space="preserve">Die Öffnung von Theatern, Konzert- und Opernhäusern sowie </w:t>
      </w:r>
      <w:r w:rsidR="00F82469">
        <w:t>Kinos für Publikum ist derzeit – inzidenzabhängig –</w:t>
      </w:r>
      <w:r>
        <w:t xml:space="preserve"> frühestens ab 26.04.2021 vorgesehen. Hierfür werden Rahmenkonzepte von den zuständigen Staatsministerien im Einvernehmen mit dem Staatsministerium für Gesundheit und Pflege bekanntgemacht. In diesen werden die erforderlichen Schutz- und Hygienemaßnahmen festgelegt.</w:t>
      </w:r>
    </w:p>
    <w:p w:rsidR="00041CAD" w:rsidRDefault="00041CAD">
      <w:bookmarkStart w:id="140" w:name="Frage_Nr_69_Ende"/>
      <w:bookmarkEnd w:id="14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5378A" w:rsidTr="0015378A">
        <w:tc>
          <w:tcPr>
            <w:tcW w:w="1852" w:type="dxa"/>
          </w:tcPr>
          <w:p w:rsidR="0015378A" w:rsidRDefault="0015378A" w:rsidP="0015378A">
            <w:pPr>
              <w:pStyle w:val="LTAnfrageInitiator"/>
            </w:pPr>
            <w:r>
              <w:t>Abgeordneter</w:t>
            </w:r>
            <w:r>
              <w:rPr>
                <w:b/>
              </w:rPr>
              <w:br/>
              <w:t>Dr. Dominik</w:t>
            </w:r>
            <w:r>
              <w:rPr>
                <w:b/>
              </w:rPr>
              <w:br/>
              <w:t>Spitzer</w:t>
            </w:r>
            <w:r>
              <w:rPr>
                <w:b/>
              </w:rPr>
              <w:br/>
            </w:r>
            <w:r>
              <w:t>(FDP)</w:t>
            </w:r>
            <w:bookmarkStart w:id="141" w:name="Frage_Nr_70"/>
            <w:bookmarkEnd w:id="141"/>
          </w:p>
        </w:tc>
        <w:tc>
          <w:tcPr>
            <w:tcW w:w="5764" w:type="dxa"/>
          </w:tcPr>
          <w:p w:rsidR="0015378A" w:rsidRPr="00754CFD" w:rsidRDefault="0015378A" w:rsidP="00754CFD">
            <w:pPr>
              <w:pStyle w:val="LTAnfrageText"/>
            </w:pPr>
            <w:r w:rsidRPr="00754CFD">
              <w:t>Ich frage die Staatsregierung, wie diese die Erkenntnisse des aktuellen Cochrane Review</w:t>
            </w:r>
            <w:r w:rsidRPr="00F82469">
              <w:rPr>
                <w:vertAlign w:val="superscript"/>
              </w:rPr>
              <w:footnoteReference w:id="1"/>
            </w:r>
            <w:r w:rsidRPr="00754CFD">
              <w:t xml:space="preserve"> bewertet, nach dem – bei Personen ohne COVID-19-Symptome – die Antigentests im Durchschnitt 58 Prozent der Infizierten richtig identifizieren und welche Schlüsse die Staatsregierung aus diesen Erkenntnissen zieht?</w:t>
            </w:r>
          </w:p>
        </w:tc>
        <w:tc>
          <w:tcPr>
            <w:tcW w:w="5764" w:type="dxa"/>
          </w:tcPr>
          <w:p w:rsidR="0015378A" w:rsidRDefault="0015378A" w:rsidP="0015378A">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Die Aussagekraft e</w:t>
      </w:r>
      <w:r w:rsidR="00F82469">
        <w:t>ines medizinischen Tests ist u. </w:t>
      </w:r>
      <w:r>
        <w:t>a. abhängig von Test-immanenten Leistungsdaten (Sensitivität, Spezifität), der Testdurchführung, präanalytischen und postanalytischen Gegebenheiten und dem Vorkommen einer Erkrankung in der untersuchten Population (Prävalenz) mit Einfluss auf den positiven und negativen Vorhersagewert eines Testergebnisses.</w:t>
      </w:r>
    </w:p>
    <w:p w:rsidR="00041CAD" w:rsidRDefault="00041CAD" w:rsidP="00041CAD">
      <w:pPr>
        <w:pStyle w:val="LTAntwortRessortText"/>
      </w:pPr>
      <w:r>
        <w:t>Die im Cochrane-Review beobachteten Unterschiede zur Sensitivität von Antigentests in Abhängigkeit vom Hersteller, dem Zeitpunkt der Probennahme im Verlauf einer SARS-CoV-2</w:t>
      </w:r>
      <w:r w:rsidR="00BD4AA4">
        <w:t>-</w:t>
      </w:r>
      <w:r>
        <w:t xml:space="preserve">Infektion und dem Vorliegen von Symptomen sind plausibel und erwartbar. So wurden bei Personen mit Symptomen im Durchschnitt 72 </w:t>
      </w:r>
      <w:r w:rsidR="00BD06F4">
        <w:t>Prozent</w:t>
      </w:r>
      <w:r>
        <w:t xml:space="preserve"> der Infizierten korrekt als infiziert identifiziert, bei Personen ohne Symptome im Durchschnitt 58 </w:t>
      </w:r>
      <w:r w:rsidR="00BD06F4">
        <w:t>Prozent</w:t>
      </w:r>
      <w:r>
        <w:t xml:space="preserve"> der Infizierten. Antigentests schlossen eine Infektion bei 99,5 </w:t>
      </w:r>
      <w:r w:rsidR="00BD06F4">
        <w:t>Prozent</w:t>
      </w:r>
      <w:r>
        <w:t xml:space="preserve"> der nicht infizierten Personen mit </w:t>
      </w:r>
      <w:r w:rsidR="00BD06F4">
        <w:t>COVID-19</w:t>
      </w:r>
      <w:r>
        <w:t>-ä</w:t>
      </w:r>
      <w:r w:rsidR="00F82469">
        <w:t>hnlichen Symptomen und bei 98,9 </w:t>
      </w:r>
      <w:r w:rsidR="00BD06F4">
        <w:t>Prozent</w:t>
      </w:r>
      <w:r>
        <w:t xml:space="preserve"> der nicht infizierten Personen ohne Symptome korrekt aus.</w:t>
      </w:r>
    </w:p>
    <w:p w:rsidR="00041CAD" w:rsidRDefault="00041CAD" w:rsidP="00041CAD">
      <w:pPr>
        <w:pStyle w:val="LTAntwortRessortText"/>
      </w:pPr>
      <w:r>
        <w:t>Daneben ist zu berücksichtigen, dass bei einer Massentestung unter asymptomatischen Personen, einem sog. Screening, die Anzahl der sog. falsch-positiven Testergebnisse die Anzahl der richtig-positiven Testergebnisse häufig übersteigt. Dies ist keine neue Erkenntnis in Zusammenhang mit SARS-CoV-2-Testungen, sondern bekanntes bevölkerungsmedizinisches Wissen. Dies hat zur Folge, dass bei Screening-Programme</w:t>
      </w:r>
      <w:r w:rsidR="00BD4AA4">
        <w:t>n</w:t>
      </w:r>
      <w:r>
        <w:t xml:space="preserve"> die </w:t>
      </w:r>
      <w:r w:rsidR="001F3139">
        <w:t>S</w:t>
      </w:r>
      <w:r>
        <w:t>creening-positiven Personen zunächst einer diagnostischen Abklärung zugeführt werden. Dies erfolgt im vorliegenden Fall mit Hilfe einer PCR-Bestätigungstestung, welche dann mit sehr hoher Genauigkeit eine Infektion bestätigen oder aber ausschließen kann. Damit kann der einzelnen Screening-positiven Person mit hoher Sicherheit Auskunft über das Vorliegen einer Infektion oder aber deren Ausschluss gegeben werden.</w:t>
      </w:r>
    </w:p>
    <w:p w:rsidR="00041CAD" w:rsidRDefault="00041CAD" w:rsidP="001045B5">
      <w:pPr>
        <w:pStyle w:val="LTAntwortRessortText"/>
        <w:spacing w:before="0"/>
      </w:pPr>
      <w:r>
        <w:t>Wichtig ist, den präventiven Ansatz eines gruppenbezogenen Suchtestens von dem diagnostischen Ansatz einer individuellen Bestätigungstestung zu unterscheiden. Dies sollte und wird von der Staatsregierung auch bei allen Verwendungen der Antigen-Schnelltestungen bei asymptomatischen</w:t>
      </w:r>
      <w:r w:rsidR="001045B5">
        <w:t xml:space="preserve"> </w:t>
      </w:r>
      <w:r>
        <w:t xml:space="preserve">Personen deutlich und laienverständlich kommuniziert werden, welche ein verlässliches </w:t>
      </w:r>
      <w:r w:rsidR="00BD06F4">
        <w:t>„</w:t>
      </w:r>
      <w:r>
        <w:t>Freitesten</w:t>
      </w:r>
      <w:r w:rsidR="00BD06F4">
        <w:t>“</w:t>
      </w:r>
      <w:r w:rsidR="001045B5">
        <w:t xml:space="preserve"> </w:t>
      </w:r>
      <w:r>
        <w:t>durch ein einzelnes negatives Testergebnis eines Antigen-Schnelltests nicht erlaubt. Daher müssen</w:t>
      </w:r>
      <w:r w:rsidR="001045B5">
        <w:t xml:space="preserve"> </w:t>
      </w:r>
      <w:r>
        <w:t>auch bei negativem Antigen-Screening-Ergebnis weiterhin die gültigen Hygienemaßnahmen</w:t>
      </w:r>
      <w:r w:rsidR="001045B5">
        <w:t xml:space="preserve"> </w:t>
      </w:r>
      <w:r>
        <w:t>beibehalten werden. Die Bayerische Teststrategie berücksichtigt dies, indem Test stets nur eine</w:t>
      </w:r>
      <w:r w:rsidR="001045B5">
        <w:t xml:space="preserve"> </w:t>
      </w:r>
      <w:r>
        <w:t>zusätzliche Ergänzung zu den weiterhin bestehenden und zu praktizierenden Hygieneregeln</w:t>
      </w:r>
      <w:r w:rsidR="001045B5">
        <w:t xml:space="preserve"> </w:t>
      </w:r>
      <w:r>
        <w:t>darstellt.</w:t>
      </w:r>
    </w:p>
    <w:p w:rsidR="00041CAD" w:rsidRDefault="00041CAD">
      <w:bookmarkStart w:id="142" w:name="Frage_Nr_70_Ende"/>
      <w:bookmarkEnd w:id="1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5378A" w:rsidTr="0015378A">
        <w:tc>
          <w:tcPr>
            <w:tcW w:w="1883" w:type="dxa"/>
          </w:tcPr>
          <w:p w:rsidR="0015378A" w:rsidRDefault="0015378A" w:rsidP="0015378A">
            <w:pPr>
              <w:pStyle w:val="LTAnfrageInitiator"/>
            </w:pPr>
            <w:r>
              <w:t>Abgeordnete</w:t>
            </w:r>
            <w:r>
              <w:rPr>
                <w:b/>
              </w:rPr>
              <w:br/>
              <w:t>Rosi</w:t>
            </w:r>
            <w:r>
              <w:rPr>
                <w:b/>
              </w:rPr>
              <w:br/>
              <w:t>Steinberger</w:t>
            </w:r>
            <w:r>
              <w:rPr>
                <w:b/>
              </w:rPr>
              <w:br/>
            </w:r>
            <w:r>
              <w:t>(BÜNDNIS 90/DIE GRÜNEN)</w:t>
            </w:r>
            <w:bookmarkStart w:id="143" w:name="Frage_Nr_71"/>
            <w:bookmarkEnd w:id="143"/>
          </w:p>
        </w:tc>
        <w:tc>
          <w:tcPr>
            <w:tcW w:w="5733" w:type="dxa"/>
          </w:tcPr>
          <w:p w:rsidR="0015378A" w:rsidRPr="00754CFD" w:rsidRDefault="0015378A" w:rsidP="00754CFD">
            <w:pPr>
              <w:pStyle w:val="LTAnfrageText"/>
            </w:pPr>
            <w:r w:rsidRPr="00754CFD">
              <w:t>Ich frage die Staatsregierung, welchen Nachweis über einen negativen Corona-Test müssen Saisonarbeiterinnen und -arbeiter bei der Einreise erbringen, welche Unterschiede gibt es dabei je nach Risikoeinstufung des Herkunftslandes und wann genau müssen diese Nachweise vorgelegt werden?</w:t>
            </w:r>
          </w:p>
        </w:tc>
        <w:tc>
          <w:tcPr>
            <w:tcW w:w="5733" w:type="dxa"/>
          </w:tcPr>
          <w:p w:rsidR="0015378A" w:rsidRDefault="0015378A" w:rsidP="0015378A">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Nach der von der Bundesregierung erlassenen Coronavirus-Einreiseverordnung (CoronaEinreiseV) in Verbindung mit der Allgemeinverfügung Testnachweis von Einreisenden (AV Testnachweis) des Staatsministeriums für Gesundheit und Pflege vom 23.02.2021 muss grundsätzlich jede Person, die sich innerhalb von 10 Tagen vor der Einreise nach Deutschland in einem Risikogebiet aufgehalten hat, binnen 48 Stunden über einen negativen Testnachweis auf eine Infektion mit dem Coronavirus SARS-CoV-2 verfügen und diesen der zuständigen Kreisverwaltungsbehörde vorlegen. Die Testung darf höchstens 48 Stunden vor der Einreise vorgenommen worden sein und muss den allgemeinen Anforderungen an Testnachweise des Robert Koch-Institutes genügen.</w:t>
      </w:r>
    </w:p>
    <w:p w:rsidR="00041CAD" w:rsidRDefault="00041CAD" w:rsidP="00041CAD">
      <w:pPr>
        <w:pStyle w:val="LTAntwortRessortText"/>
      </w:pPr>
      <w:r>
        <w:t>Einreisende, die sich in einem Hochinzidenzgebiet oder einem Virusvarianten-Gebiet aufgehalten haben, müssen über einen negativen Testnachweis bereits bei Einreise verfügen, § 3 Abs. 2 CoronaEinreiseV. Die Einreisenden müssen den Nachweis unverzüglich, spätestens innerhalb von 24 Stunden nach der Einreise, der zuständigen Kreisverwaltungsbehörde vorlegen. Einreisende, die keinen Nachweis besitzen und gleichwohl einreisen, sind nach Nr. 2.2 AV Testnachweis verpflichtet, sich bei oder unverzüglich nach der Einreise testen zu lassen und den Testnachweis der zuständigen Kreisverwaltungsbehörde unverzüglich vorzulegen.</w:t>
      </w:r>
    </w:p>
    <w:p w:rsidR="00041CAD" w:rsidRDefault="00041CAD" w:rsidP="00041CAD">
      <w:pPr>
        <w:pStyle w:val="LTAntwortRessortText"/>
      </w:pPr>
      <w:r>
        <w:t>Unabhängig von der Einstufung des Herkunftsgebietes als Risiko-, Hochinzidenz-, oder Virusvarianten-Gebiet muss jeder Einreisende gemäß § 1 Abs. 1 CoronaEinreiseV seine Einreise digital anmelden.</w:t>
      </w:r>
    </w:p>
    <w:p w:rsidR="00041CAD" w:rsidRDefault="00041CAD" w:rsidP="00041CAD">
      <w:pPr>
        <w:pStyle w:val="LTAntwortRessortText"/>
      </w:pPr>
      <w:r>
        <w:t>Ausnahmen von der Anmelde-, Test- und Nachweispflicht der CoronaEinreiseV i.</w:t>
      </w:r>
      <w:r w:rsidR="00A021A5">
        <w:t> </w:t>
      </w:r>
      <w:r>
        <w:t>V.</w:t>
      </w:r>
      <w:r w:rsidR="00A021A5">
        <w:t> </w:t>
      </w:r>
      <w:r>
        <w:t>m. der AV Testnachweis für Einreisende sind für Saisonarbeitskräfte, anders als für Grenzgänger, nicht vorgesehen.</w:t>
      </w:r>
    </w:p>
    <w:p w:rsidR="00041CAD" w:rsidRDefault="00041CAD">
      <w:bookmarkStart w:id="144" w:name="Frage_Nr_71_Ende"/>
      <w:bookmarkEnd w:id="14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15378A" w:rsidTr="0015378A">
        <w:tc>
          <w:tcPr>
            <w:tcW w:w="1862" w:type="dxa"/>
          </w:tcPr>
          <w:p w:rsidR="0015378A" w:rsidRDefault="0015378A" w:rsidP="0015378A">
            <w:pPr>
              <w:pStyle w:val="LTAnfrageInitiator"/>
            </w:pPr>
            <w:r>
              <w:t>Abgeordnete</w:t>
            </w:r>
            <w:r>
              <w:rPr>
                <w:b/>
              </w:rPr>
              <w:br/>
              <w:t>Dr. Simone</w:t>
            </w:r>
            <w:r>
              <w:rPr>
                <w:b/>
              </w:rPr>
              <w:br/>
              <w:t>Strohmayr</w:t>
            </w:r>
            <w:r>
              <w:rPr>
                <w:b/>
              </w:rPr>
              <w:br/>
            </w:r>
            <w:r>
              <w:t>(SPD)</w:t>
            </w:r>
            <w:bookmarkStart w:id="145" w:name="Frage_Nr_72"/>
            <w:bookmarkEnd w:id="145"/>
          </w:p>
        </w:tc>
        <w:tc>
          <w:tcPr>
            <w:tcW w:w="5754" w:type="dxa"/>
          </w:tcPr>
          <w:p w:rsidR="0015378A" w:rsidRPr="00754CFD" w:rsidRDefault="0015378A" w:rsidP="00754CFD">
            <w:pPr>
              <w:pStyle w:val="LTAnfrageText"/>
            </w:pPr>
            <w:r w:rsidRPr="00754CFD">
              <w:t>Ich frage die Staatsregierung, wie viele Personen wurden bislang in Schwaben zum Stand 16.04.2021 gegen COVID-19 geimpft (bitte aufschlüsseln nach Priorisierung und Geschlecht, bitte in absoluten und relativen Zahlen angeben, bitte nach Landkreisen und kreisfreien Gemeinden aufschlüsseln) und wie viele Impfdosen wurden zum Stand 16.04.2021 nach Schwaben bisher geliefert (bitte aufgeschlüsselt nach Hersteller, Landkreisen und kreisfreien Gemeinden)?</w:t>
            </w:r>
          </w:p>
        </w:tc>
        <w:tc>
          <w:tcPr>
            <w:tcW w:w="5754" w:type="dxa"/>
          </w:tcPr>
          <w:p w:rsidR="0015378A" w:rsidRDefault="0015378A" w:rsidP="0015378A">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Die Impfzahlen und Impfquoten im Regierungsbezirk Schwaben sind aus der folgenden Übersicht ersichtlich.</w:t>
      </w:r>
    </w:p>
    <w:p w:rsidR="00041CAD" w:rsidRDefault="00041CAD" w:rsidP="00041CAD">
      <w:pPr>
        <w:pStyle w:val="LTAntwortRessortText"/>
      </w:pPr>
    </w:p>
    <w:tbl>
      <w:tblPr>
        <w:tblStyle w:val="TableNormal"/>
        <w:tblW w:w="694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1276"/>
        <w:gridCol w:w="1275"/>
        <w:gridCol w:w="1418"/>
        <w:gridCol w:w="1417"/>
      </w:tblGrid>
      <w:tr w:rsidR="00160D9C" w:rsidTr="00364C13">
        <w:trPr>
          <w:trHeight w:val="757"/>
        </w:trPr>
        <w:tc>
          <w:tcPr>
            <w:tcW w:w="1559" w:type="dxa"/>
            <w:tcBorders>
              <w:top w:val="nil"/>
              <w:left w:val="nil"/>
              <w:bottom w:val="single" w:sz="8" w:space="0" w:color="000000"/>
            </w:tcBorders>
          </w:tcPr>
          <w:p w:rsidR="00160D9C" w:rsidRPr="00160D9C" w:rsidRDefault="00160D9C" w:rsidP="00E62AC3">
            <w:pPr>
              <w:pStyle w:val="TableParagraph"/>
              <w:spacing w:before="8"/>
              <w:ind w:left="0"/>
              <w:rPr>
                <w:rFonts w:ascii="Arial" w:hAnsi="Arial" w:cs="Arial"/>
                <w:sz w:val="18"/>
              </w:rPr>
            </w:pPr>
          </w:p>
          <w:p w:rsidR="00160D9C" w:rsidRPr="00160D9C" w:rsidRDefault="00160D9C" w:rsidP="00E62AC3">
            <w:pPr>
              <w:pStyle w:val="TableParagraph"/>
              <w:ind w:left="79"/>
              <w:rPr>
                <w:rFonts w:ascii="Arial" w:hAnsi="Arial" w:cs="Arial"/>
                <w:sz w:val="18"/>
              </w:rPr>
            </w:pPr>
            <w:r w:rsidRPr="00160D9C">
              <w:rPr>
                <w:rFonts w:ascii="Arial" w:hAnsi="Arial" w:cs="Arial"/>
                <w:sz w:val="18"/>
              </w:rPr>
              <w:t>Stand 20.04.2021</w:t>
            </w:r>
          </w:p>
        </w:tc>
        <w:tc>
          <w:tcPr>
            <w:tcW w:w="1276" w:type="dxa"/>
            <w:vAlign w:val="center"/>
          </w:tcPr>
          <w:p w:rsidR="00160D9C" w:rsidRPr="00160D9C" w:rsidRDefault="00160D9C" w:rsidP="00C24E72">
            <w:pPr>
              <w:pStyle w:val="TableParagraph"/>
              <w:spacing w:line="248" w:lineRule="exact"/>
              <w:ind w:left="173" w:right="154"/>
              <w:rPr>
                <w:rFonts w:ascii="Arial" w:hAnsi="Arial" w:cs="Arial"/>
                <w:b/>
                <w:sz w:val="18"/>
              </w:rPr>
            </w:pPr>
            <w:r w:rsidRPr="00160D9C">
              <w:rPr>
                <w:rFonts w:ascii="Arial" w:hAnsi="Arial" w:cs="Arial"/>
                <w:b/>
                <w:sz w:val="18"/>
              </w:rPr>
              <w:t>Erstimpfungen</w:t>
            </w:r>
          </w:p>
          <w:p w:rsidR="00160D9C" w:rsidRPr="00160D9C" w:rsidRDefault="00160D9C" w:rsidP="00C24E72">
            <w:pPr>
              <w:pStyle w:val="TableParagraph"/>
              <w:spacing w:before="126"/>
              <w:ind w:left="173" w:right="153"/>
              <w:rPr>
                <w:rFonts w:ascii="Arial" w:hAnsi="Arial" w:cs="Arial"/>
                <w:b/>
                <w:sz w:val="18"/>
              </w:rPr>
            </w:pPr>
            <w:r w:rsidRPr="00160D9C">
              <w:rPr>
                <w:rFonts w:ascii="Arial" w:hAnsi="Arial" w:cs="Arial"/>
                <w:b/>
                <w:sz w:val="18"/>
              </w:rPr>
              <w:t>absolut</w:t>
            </w:r>
          </w:p>
        </w:tc>
        <w:tc>
          <w:tcPr>
            <w:tcW w:w="1275" w:type="dxa"/>
            <w:vAlign w:val="center"/>
          </w:tcPr>
          <w:p w:rsidR="00160D9C" w:rsidRPr="00160D9C" w:rsidRDefault="00160D9C" w:rsidP="00C24E72">
            <w:pPr>
              <w:pStyle w:val="TableParagraph"/>
              <w:spacing w:line="248" w:lineRule="exact"/>
              <w:ind w:left="173" w:right="154"/>
              <w:rPr>
                <w:rFonts w:ascii="Arial" w:hAnsi="Arial" w:cs="Arial"/>
                <w:b/>
                <w:sz w:val="18"/>
              </w:rPr>
            </w:pPr>
            <w:r w:rsidRPr="00160D9C">
              <w:rPr>
                <w:rFonts w:ascii="Arial" w:hAnsi="Arial" w:cs="Arial"/>
                <w:b/>
                <w:sz w:val="18"/>
              </w:rPr>
              <w:t>Erstimpfungen</w:t>
            </w:r>
          </w:p>
          <w:p w:rsidR="00160D9C" w:rsidRPr="00160D9C" w:rsidRDefault="00160D9C" w:rsidP="00904E4A">
            <w:pPr>
              <w:pStyle w:val="TableParagraph"/>
              <w:spacing w:before="126"/>
              <w:ind w:left="288" w:right="106" w:hanging="142"/>
              <w:rPr>
                <w:rFonts w:ascii="Arial" w:hAnsi="Arial" w:cs="Arial"/>
                <w:b/>
                <w:sz w:val="18"/>
              </w:rPr>
            </w:pPr>
            <w:r w:rsidRPr="00160D9C">
              <w:rPr>
                <w:rFonts w:ascii="Arial" w:hAnsi="Arial" w:cs="Arial"/>
                <w:b/>
                <w:sz w:val="18"/>
              </w:rPr>
              <w:t>Quote</w:t>
            </w:r>
          </w:p>
        </w:tc>
        <w:tc>
          <w:tcPr>
            <w:tcW w:w="1418" w:type="dxa"/>
            <w:vAlign w:val="center"/>
          </w:tcPr>
          <w:p w:rsidR="00160D9C" w:rsidRPr="00160D9C" w:rsidRDefault="00160D9C" w:rsidP="00C24E72">
            <w:pPr>
              <w:pStyle w:val="TableParagraph"/>
              <w:spacing w:line="248" w:lineRule="exact"/>
              <w:ind w:left="173" w:right="154"/>
              <w:rPr>
                <w:rFonts w:ascii="Arial" w:hAnsi="Arial" w:cs="Arial"/>
                <w:b/>
                <w:sz w:val="18"/>
              </w:rPr>
            </w:pPr>
            <w:r w:rsidRPr="00160D9C">
              <w:rPr>
                <w:rFonts w:ascii="Arial" w:hAnsi="Arial" w:cs="Arial"/>
                <w:b/>
                <w:sz w:val="18"/>
              </w:rPr>
              <w:t>Zweitimpfungen</w:t>
            </w:r>
          </w:p>
          <w:p w:rsidR="00160D9C" w:rsidRPr="00160D9C" w:rsidRDefault="00160D9C" w:rsidP="00904E4A">
            <w:pPr>
              <w:pStyle w:val="TableParagraph"/>
              <w:spacing w:before="126"/>
              <w:ind w:left="288" w:right="48" w:hanging="142"/>
              <w:rPr>
                <w:rFonts w:ascii="Arial" w:hAnsi="Arial" w:cs="Arial"/>
                <w:b/>
                <w:sz w:val="18"/>
              </w:rPr>
            </w:pPr>
            <w:r w:rsidRPr="00160D9C">
              <w:rPr>
                <w:rFonts w:ascii="Arial" w:hAnsi="Arial" w:cs="Arial"/>
                <w:b/>
                <w:sz w:val="18"/>
              </w:rPr>
              <w:t>absolut</w:t>
            </w:r>
          </w:p>
        </w:tc>
        <w:tc>
          <w:tcPr>
            <w:tcW w:w="1417" w:type="dxa"/>
            <w:vAlign w:val="center"/>
          </w:tcPr>
          <w:p w:rsidR="00160D9C" w:rsidRPr="00160D9C" w:rsidRDefault="00160D9C" w:rsidP="00C24E72">
            <w:pPr>
              <w:pStyle w:val="TableParagraph"/>
              <w:spacing w:line="248" w:lineRule="exact"/>
              <w:ind w:left="173" w:right="154"/>
              <w:rPr>
                <w:rFonts w:ascii="Arial" w:hAnsi="Arial" w:cs="Arial"/>
                <w:b/>
                <w:sz w:val="18"/>
              </w:rPr>
            </w:pPr>
            <w:r w:rsidRPr="00160D9C">
              <w:rPr>
                <w:rFonts w:ascii="Arial" w:hAnsi="Arial" w:cs="Arial"/>
                <w:b/>
                <w:sz w:val="18"/>
              </w:rPr>
              <w:t>Zweitimpfungen</w:t>
            </w:r>
          </w:p>
          <w:p w:rsidR="00160D9C" w:rsidRPr="00160D9C" w:rsidRDefault="00160D9C" w:rsidP="00C24E72">
            <w:pPr>
              <w:pStyle w:val="TableParagraph"/>
              <w:spacing w:before="126"/>
              <w:ind w:right="31"/>
              <w:rPr>
                <w:rFonts w:ascii="Arial" w:hAnsi="Arial" w:cs="Arial"/>
                <w:b/>
                <w:sz w:val="18"/>
              </w:rPr>
            </w:pPr>
            <w:r w:rsidRPr="00160D9C">
              <w:rPr>
                <w:rFonts w:ascii="Arial" w:hAnsi="Arial" w:cs="Arial"/>
                <w:b/>
                <w:sz w:val="18"/>
              </w:rPr>
              <w:t>Quote</w:t>
            </w:r>
          </w:p>
        </w:tc>
      </w:tr>
      <w:tr w:rsidR="00160D9C" w:rsidTr="00364C13">
        <w:trPr>
          <w:trHeight w:val="380"/>
        </w:trPr>
        <w:tc>
          <w:tcPr>
            <w:tcW w:w="1559" w:type="dxa"/>
            <w:tcBorders>
              <w:bottom w:val="single" w:sz="4" w:space="0" w:color="auto"/>
            </w:tcBorders>
            <w:shd w:val="clear" w:color="auto" w:fill="auto"/>
          </w:tcPr>
          <w:p w:rsidR="00160D9C" w:rsidRPr="00BD4AA4" w:rsidRDefault="00160D9C" w:rsidP="00364C13">
            <w:pPr>
              <w:pStyle w:val="TableParagraph"/>
              <w:spacing w:line="250" w:lineRule="exact"/>
              <w:ind w:left="283"/>
              <w:rPr>
                <w:rFonts w:ascii="Arial" w:hAnsi="Arial" w:cs="Arial"/>
                <w:b/>
                <w:sz w:val="18"/>
              </w:rPr>
            </w:pPr>
            <w:r w:rsidRPr="00BD4AA4">
              <w:rPr>
                <w:rFonts w:ascii="Arial" w:hAnsi="Arial" w:cs="Arial"/>
                <w:b/>
                <w:sz w:val="18"/>
              </w:rPr>
              <w:t>Schwaben</w:t>
            </w:r>
          </w:p>
        </w:tc>
        <w:tc>
          <w:tcPr>
            <w:tcW w:w="1276" w:type="dxa"/>
            <w:shd w:val="clear" w:color="auto" w:fill="auto"/>
            <w:vAlign w:val="center"/>
          </w:tcPr>
          <w:p w:rsidR="00160D9C" w:rsidRPr="00BD4AA4" w:rsidRDefault="0044428D" w:rsidP="0044428D">
            <w:pPr>
              <w:pStyle w:val="TableParagraph"/>
              <w:spacing w:line="248" w:lineRule="exact"/>
              <w:ind w:left="173" w:right="154"/>
              <w:rPr>
                <w:rFonts w:ascii="Arial" w:hAnsi="Arial" w:cs="Arial"/>
                <w:b/>
                <w:sz w:val="18"/>
              </w:rPr>
            </w:pPr>
            <w:r w:rsidRPr="00BD4AA4">
              <w:rPr>
                <w:rFonts w:ascii="Arial" w:hAnsi="Arial" w:cs="Arial"/>
                <w:b/>
                <w:sz w:val="18"/>
              </w:rPr>
              <w:t>376 </w:t>
            </w:r>
            <w:r w:rsidR="00160D9C" w:rsidRPr="00BD4AA4">
              <w:rPr>
                <w:rFonts w:ascii="Arial" w:hAnsi="Arial" w:cs="Arial"/>
                <w:b/>
                <w:sz w:val="18"/>
              </w:rPr>
              <w:t>520</w:t>
            </w:r>
          </w:p>
        </w:tc>
        <w:tc>
          <w:tcPr>
            <w:tcW w:w="1275" w:type="dxa"/>
            <w:shd w:val="clear" w:color="auto" w:fill="auto"/>
            <w:vAlign w:val="center"/>
          </w:tcPr>
          <w:p w:rsidR="00160D9C" w:rsidRPr="00BD4AA4" w:rsidRDefault="0044428D" w:rsidP="0044428D">
            <w:pPr>
              <w:pStyle w:val="TableParagraph"/>
              <w:spacing w:line="248" w:lineRule="exact"/>
              <w:ind w:left="173" w:right="154"/>
              <w:rPr>
                <w:rFonts w:ascii="Arial" w:hAnsi="Arial" w:cs="Arial"/>
                <w:b/>
                <w:sz w:val="18"/>
              </w:rPr>
            </w:pPr>
            <w:r w:rsidRPr="00BD4AA4">
              <w:rPr>
                <w:rFonts w:ascii="Arial" w:hAnsi="Arial" w:cs="Arial"/>
                <w:b/>
                <w:sz w:val="18"/>
              </w:rPr>
              <w:t xml:space="preserve">19,8 </w:t>
            </w:r>
            <w:r w:rsidRPr="00BD4AA4">
              <w:rPr>
                <w:rFonts w:ascii="Arial" w:hAnsi="Arial" w:cs="Arial"/>
                <w:b/>
                <w:sz w:val="18"/>
              </w:rPr>
              <w:br/>
              <w:t>Prozent</w:t>
            </w:r>
          </w:p>
        </w:tc>
        <w:tc>
          <w:tcPr>
            <w:tcW w:w="1418" w:type="dxa"/>
            <w:shd w:val="clear" w:color="auto" w:fill="auto"/>
            <w:vAlign w:val="center"/>
          </w:tcPr>
          <w:p w:rsidR="00160D9C" w:rsidRPr="00BD4AA4" w:rsidRDefault="0044428D" w:rsidP="0044428D">
            <w:pPr>
              <w:pStyle w:val="TableParagraph"/>
              <w:spacing w:line="248" w:lineRule="exact"/>
              <w:ind w:left="173" w:right="154"/>
              <w:rPr>
                <w:rFonts w:ascii="Arial" w:hAnsi="Arial" w:cs="Arial"/>
                <w:b/>
                <w:sz w:val="18"/>
              </w:rPr>
            </w:pPr>
            <w:r w:rsidRPr="00BD4AA4">
              <w:rPr>
                <w:rFonts w:ascii="Arial" w:hAnsi="Arial" w:cs="Arial"/>
                <w:b/>
                <w:sz w:val="18"/>
              </w:rPr>
              <w:t>120 </w:t>
            </w:r>
            <w:r w:rsidR="00160D9C" w:rsidRPr="00BD4AA4">
              <w:rPr>
                <w:rFonts w:ascii="Arial" w:hAnsi="Arial" w:cs="Arial"/>
                <w:b/>
                <w:sz w:val="18"/>
              </w:rPr>
              <w:t>647</w:t>
            </w:r>
          </w:p>
        </w:tc>
        <w:tc>
          <w:tcPr>
            <w:tcW w:w="1417" w:type="dxa"/>
            <w:shd w:val="clear" w:color="auto" w:fill="auto"/>
            <w:vAlign w:val="center"/>
          </w:tcPr>
          <w:p w:rsidR="0044428D" w:rsidRPr="00BD4AA4" w:rsidRDefault="00160D9C" w:rsidP="0044428D">
            <w:pPr>
              <w:pStyle w:val="TableParagraph"/>
              <w:spacing w:line="248" w:lineRule="exact"/>
              <w:ind w:left="173" w:right="154"/>
              <w:rPr>
                <w:rFonts w:ascii="Arial" w:hAnsi="Arial" w:cs="Arial"/>
                <w:b/>
                <w:sz w:val="18"/>
              </w:rPr>
            </w:pPr>
            <w:r w:rsidRPr="00BD4AA4">
              <w:rPr>
                <w:rFonts w:ascii="Arial" w:hAnsi="Arial" w:cs="Arial"/>
                <w:b/>
                <w:sz w:val="18"/>
              </w:rPr>
              <w:t>6,4</w:t>
            </w:r>
            <w:r w:rsidR="0044428D" w:rsidRPr="00BD4AA4">
              <w:rPr>
                <w:rFonts w:ascii="Arial" w:hAnsi="Arial" w:cs="Arial"/>
                <w:b/>
                <w:sz w:val="18"/>
              </w:rPr>
              <w:br/>
              <w:t>Prozent</w:t>
            </w:r>
          </w:p>
        </w:tc>
      </w:tr>
    </w:tbl>
    <w:p w:rsidR="00041CAD" w:rsidRDefault="00041CAD" w:rsidP="00041CAD">
      <w:pPr>
        <w:pStyle w:val="LTAntwortRessortText"/>
      </w:pPr>
      <w:r>
        <w:t>Konkrete Zahlen, wie viele Personen der jeweiligen Priorisierungsgruppe angehören und davon schon geimpft wurden, liegen nicht vor. Die Daten werden nach der Impfung aus Datenschutzgründen gelöscht. Zum Geschlecht der Geimpften liegen dem St</w:t>
      </w:r>
      <w:r w:rsidR="0044428D">
        <w:t>aatsministerium für Gesundheit und Pflege (St</w:t>
      </w:r>
      <w:r>
        <w:t>MGP</w:t>
      </w:r>
      <w:r w:rsidR="0044428D">
        <w:t>)</w:t>
      </w:r>
      <w:r>
        <w:t xml:space="preserve"> nicht für alle Impfungen Informationen vor, sodass insoweit keine Angabe möglich war.</w:t>
      </w:r>
    </w:p>
    <w:p w:rsidR="00041CAD" w:rsidRDefault="00041CAD" w:rsidP="00041CAD">
      <w:pPr>
        <w:pStyle w:val="LTAntwortRessortText"/>
      </w:pPr>
      <w:r>
        <w:t>Hinsichtlich der regionalen Impfquoten finden derzeit noch Prüfungen der Datenqualität statt, sodass diese nicht dargestellt werden können.</w:t>
      </w:r>
    </w:p>
    <w:p w:rsidR="00041CAD" w:rsidRDefault="00041CAD" w:rsidP="00041CAD">
      <w:pPr>
        <w:pStyle w:val="LTAntwortRessortText"/>
      </w:pPr>
      <w:r>
        <w:t>Der Regierungsbezi</w:t>
      </w:r>
      <w:r w:rsidR="0044428D">
        <w:t>rk Schwaben erhielt bislang 475 </w:t>
      </w:r>
      <w:r>
        <w:t>827 Impfdosen. Diese können wie folgt auf die Hersteller aufgeschlüsselt werden.</w:t>
      </w:r>
    </w:p>
    <w:p w:rsidR="00041CAD" w:rsidRDefault="0044428D" w:rsidP="00041CAD">
      <w:pPr>
        <w:pStyle w:val="LTAntwortRessortText"/>
      </w:pPr>
      <w:r>
        <w:t>BioNTech: 342 </w:t>
      </w:r>
      <w:r w:rsidR="00041CAD">
        <w:t>027</w:t>
      </w:r>
    </w:p>
    <w:p w:rsidR="00041CAD" w:rsidRDefault="0044428D" w:rsidP="00904E4A">
      <w:pPr>
        <w:pStyle w:val="LTAntwortRessortText"/>
        <w:spacing w:before="0"/>
      </w:pPr>
      <w:r>
        <w:t>AstraZeneca: 101 </w:t>
      </w:r>
      <w:r w:rsidR="00041CAD">
        <w:t>800</w:t>
      </w:r>
    </w:p>
    <w:p w:rsidR="00041CAD" w:rsidRDefault="0044428D" w:rsidP="00904E4A">
      <w:pPr>
        <w:pStyle w:val="LTAntwortRessortText"/>
        <w:spacing w:before="0"/>
      </w:pPr>
      <w:r>
        <w:t>Moderna: 32 </w:t>
      </w:r>
      <w:r w:rsidR="00041CAD">
        <w:t>000</w:t>
      </w:r>
    </w:p>
    <w:p w:rsidR="00041CAD" w:rsidRDefault="00041CAD" w:rsidP="00041CAD">
      <w:pPr>
        <w:pStyle w:val="LTAntwortRessortText"/>
      </w:pPr>
      <w:r>
        <w:t>Die zuständige Regierung von Schwaben verteilt die Impfstoffe auf die Impfzentren. Eine Abfrage zur Aufschlüsselung nach Impfzentren war in der Kürze der Zeit nicht möglich.</w:t>
      </w:r>
    </w:p>
    <w:p w:rsidR="00041CAD" w:rsidRDefault="00041CAD">
      <w:bookmarkStart w:id="146" w:name="Frage_Nr_72_Ende"/>
      <w:bookmarkEnd w:id="14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C5BEF" w:rsidTr="009C5BEF">
        <w:tc>
          <w:tcPr>
            <w:tcW w:w="1854" w:type="dxa"/>
          </w:tcPr>
          <w:p w:rsidR="009C5BEF" w:rsidRDefault="009C5BEF" w:rsidP="009C5BEF">
            <w:pPr>
              <w:pStyle w:val="LTAnfrageInitiator"/>
            </w:pPr>
            <w:r>
              <w:t>Abgeordnete</w:t>
            </w:r>
            <w:r>
              <w:rPr>
                <w:b/>
              </w:rPr>
              <w:br/>
              <w:t>Margit</w:t>
            </w:r>
            <w:r>
              <w:rPr>
                <w:b/>
              </w:rPr>
              <w:br/>
              <w:t>Wild</w:t>
            </w:r>
            <w:r>
              <w:rPr>
                <w:b/>
              </w:rPr>
              <w:br/>
            </w:r>
            <w:r>
              <w:t>(SPD)</w:t>
            </w:r>
            <w:bookmarkStart w:id="147" w:name="Frage_Nr_73"/>
            <w:bookmarkEnd w:id="147"/>
          </w:p>
        </w:tc>
        <w:tc>
          <w:tcPr>
            <w:tcW w:w="5762" w:type="dxa"/>
          </w:tcPr>
          <w:p w:rsidR="009C5BEF" w:rsidRPr="00754CFD" w:rsidRDefault="009C5BEF" w:rsidP="00754CFD">
            <w:pPr>
              <w:pStyle w:val="LTAnfrageText"/>
            </w:pPr>
            <w:r w:rsidRPr="00754CFD">
              <w:t>Ich frage die Staatsregierung, welche Arten von Selbst- und Schnelltests sind für den Einsatz an den bayerischen Schulen zugelassen, wie steht die Staatsregierung zu den Lolly-Tests und wieso sind an Schulen, die an wissenschaftlichen Studien wie beispielsweise WICOVIR teilnehmen, trotz der im Zuge der Studie durchgeführten Testungen Schnelltests nötig?</w:t>
            </w:r>
          </w:p>
        </w:tc>
        <w:tc>
          <w:tcPr>
            <w:tcW w:w="5762" w:type="dxa"/>
          </w:tcPr>
          <w:p w:rsidR="009C5BEF" w:rsidRDefault="009C5BEF" w:rsidP="009C5BEF">
            <w:pPr>
              <w:pStyle w:val="LTAnfrageText"/>
            </w:pPr>
          </w:p>
        </w:tc>
      </w:tr>
    </w:tbl>
    <w:p w:rsidR="00041CAD" w:rsidRDefault="00041CAD" w:rsidP="00041CAD">
      <w:pPr>
        <w:pStyle w:val="LTUeberschrAntwortRessort"/>
      </w:pPr>
      <w:r>
        <w:t>Antwort des Staatsministeriums für Gesundheit und Pflege</w:t>
      </w:r>
    </w:p>
    <w:p w:rsidR="00041CAD" w:rsidRDefault="00041CAD" w:rsidP="00041CAD">
      <w:pPr>
        <w:pStyle w:val="LTAntwortRessortText"/>
      </w:pPr>
      <w:r>
        <w:t xml:space="preserve">An den bayerischen Schulen ist zur Erfüllung der Testpflichten laut § 18 Abs. 4 der </w:t>
      </w:r>
      <w:r w:rsidR="0044428D">
        <w:t>Zwölften Bayerischen Infektionsschutzmaßnahmenverordnung (</w:t>
      </w:r>
      <w:r>
        <w:t>12. BayIfSMV</w:t>
      </w:r>
      <w:r w:rsidR="0044428D">
        <w:t>)</w:t>
      </w:r>
      <w:r>
        <w:t xml:space="preserve"> notwendig: Ein schriftliches oder elektronisches negatives Ergebnis eines PCR- oder POC-Antigentests, der beispielsweise in lokalen Testzentren oder in Apotheken durchgeführt worden ist, oder sogenannte Selbsttests zur Laienanwendung, die in der Schule unter Aufsicht vorgenommen werden. Dabei werden ausschließlich Tests verwendet, die beim Bundesinstitut für Arzneimittel und Medizinprodukte (BfArM) gelistet sind.</w:t>
      </w:r>
    </w:p>
    <w:p w:rsidR="00041CAD" w:rsidRDefault="00041CAD" w:rsidP="00041CAD">
      <w:pPr>
        <w:pStyle w:val="LTAntwortRessortText"/>
      </w:pPr>
      <w:r>
        <w:t xml:space="preserve">Bezüglich </w:t>
      </w:r>
      <w:r w:rsidR="00BD06F4">
        <w:t>„</w:t>
      </w:r>
      <w:r>
        <w:t>Lolly-Tests</w:t>
      </w:r>
      <w:r w:rsidR="00BD06F4">
        <w:t>“</w:t>
      </w:r>
      <w:r>
        <w:t xml:space="preserve"> wird davon ausgegangen, dass damit Pool-PCR-Tests mittels Salivettenmethode gemeint sind. Diese werden derzeit in mehreren Pilotprojekten erprobt, die noch nicht abgeschlossen sind. Über das weitere Vorgehen wird im Lichte der dort gewonnenen Erkenntnisse entschieden. Für die an der WICOVIR-St</w:t>
      </w:r>
      <w:r w:rsidR="00DD1F2C">
        <w:t>udie</w:t>
      </w:r>
      <w:r>
        <w:t xml:space="preserve"> teilnehmenden Schulen wurden, soweit beantragt, Ausnahmen von der Verpflichtung zur Abnahme der Tests mittels Selbsttest zugelassen.</w:t>
      </w:r>
    </w:p>
    <w:p w:rsidR="00041CAD" w:rsidRDefault="00041CAD">
      <w:bookmarkStart w:id="148" w:name="Frage_Nr_73_Ende"/>
      <w:bookmarkEnd w:id="148"/>
      <w:r>
        <w:br w:type="page"/>
      </w:r>
    </w:p>
    <w:p w:rsidR="00041CAD" w:rsidRDefault="00041CAD" w:rsidP="00041CAD">
      <w:pPr>
        <w:pStyle w:val="LTUeberschrRessort"/>
      </w:pPr>
      <w:r>
        <w:t>Geschäftsbereich des Staatsministeriums für Digitales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7473E" w:rsidTr="0017473E">
        <w:tc>
          <w:tcPr>
            <w:tcW w:w="1883" w:type="dxa"/>
          </w:tcPr>
          <w:p w:rsidR="0017473E" w:rsidRDefault="0017473E" w:rsidP="0017473E">
            <w:pPr>
              <w:pStyle w:val="LTAnfrageInitiator"/>
            </w:pPr>
            <w:r>
              <w:t>Abgeordneter</w:t>
            </w:r>
            <w:r>
              <w:rPr>
                <w:b/>
              </w:rPr>
              <w:br/>
              <w:t>Benjamin</w:t>
            </w:r>
            <w:r>
              <w:rPr>
                <w:b/>
              </w:rPr>
              <w:br/>
              <w:t>Adjei</w:t>
            </w:r>
            <w:r>
              <w:rPr>
                <w:b/>
              </w:rPr>
              <w:br/>
            </w:r>
            <w:r>
              <w:t>(BÜNDNIS 90/DIE GRÜNEN)</w:t>
            </w:r>
            <w:bookmarkStart w:id="149" w:name="Frage_Nr_74"/>
            <w:bookmarkEnd w:id="149"/>
          </w:p>
        </w:tc>
        <w:tc>
          <w:tcPr>
            <w:tcW w:w="5733" w:type="dxa"/>
          </w:tcPr>
          <w:p w:rsidR="0017473E" w:rsidRPr="00754CFD" w:rsidRDefault="0017473E" w:rsidP="00754CFD">
            <w:pPr>
              <w:pStyle w:val="LTAnfrageText"/>
            </w:pPr>
            <w:r w:rsidRPr="00754CFD">
              <w:t xml:space="preserve">Ich frage die Staatsregierung, hat sie die IT-Sicherheit und Datensicherheit der Luca-App auf Quell-Code-Ebene von unabhängigen IT-Expertinnen und -Experten prüfen lassen, kann die Staatsregierung ausschließen, dass weitere Sicherheitslücken zur Veröffentlichung personenbezogener Daten führen können und wurde die – für Datenverarbeitungsvorgänge in diesem Ausmaß gesetzlich vorgeschriebene – Datenschutz-Folgenabschätzung (Art. 35 </w:t>
            </w:r>
            <w:r w:rsidR="0044428D">
              <w:t xml:space="preserve">DSGVO – </w:t>
            </w:r>
            <w:r w:rsidRPr="00754CFD">
              <w:t>Datenschutz-Grundverordnung) durchgeführt und veröffentlicht (bitte begründen)?</w:t>
            </w:r>
          </w:p>
        </w:tc>
        <w:tc>
          <w:tcPr>
            <w:tcW w:w="5733" w:type="dxa"/>
          </w:tcPr>
          <w:p w:rsidR="0017473E" w:rsidRDefault="0017473E" w:rsidP="0017473E">
            <w:pPr>
              <w:pStyle w:val="LTAnfrageText"/>
            </w:pPr>
          </w:p>
        </w:tc>
      </w:tr>
    </w:tbl>
    <w:p w:rsidR="00041CAD" w:rsidRDefault="00041CAD" w:rsidP="00041CAD">
      <w:pPr>
        <w:pStyle w:val="LTUeberschrAntwortRessort"/>
      </w:pPr>
      <w:r>
        <w:t>Antwort des Staatsministeriums für Digitales</w:t>
      </w:r>
    </w:p>
    <w:p w:rsidR="00041CAD" w:rsidRDefault="00041CAD" w:rsidP="00041CAD">
      <w:pPr>
        <w:pStyle w:val="LTAntwortRessortText"/>
      </w:pPr>
      <w:r>
        <w:t>Da zum Zeitpunkt der Angebotsaufforderung im Vergabeverfahren keiner der Anbieter Sourcen offengelegt hatte, mussten die Anbieter unterschiedliche Nachweise (</w:t>
      </w:r>
      <w:r w:rsidR="00BD06F4">
        <w:t>u. a.</w:t>
      </w:r>
      <w:r>
        <w:t xml:space="preserve"> IT-Sicherheitszertifikate</w:t>
      </w:r>
      <w:r w:rsidR="0044428D">
        <w:t>, Pen-Test-Ergebnisberichte, Da</w:t>
      </w:r>
      <w:r>
        <w:t>tenschutzkonzepte, IT-Sicherheitskonzep</w:t>
      </w:r>
      <w:r w:rsidR="0044428D">
        <w:t>te gemäß Bundesamt für Sicherheit in der Informationstechnik Grundschutz) vorle</w:t>
      </w:r>
      <w:r>
        <w:t>gen, die im weiteren Verlauf des Vergabeverfahren geprüft wurden. Da der Quell-Code zu diesem Zeitpunkt nicht zur Verfügung stand, fand eine darauf basierende Prüfung der Angebote im Rahmen des Vergabeverfahrens nicht statt. Das St</w:t>
      </w:r>
      <w:r w:rsidR="0044428D">
        <w:t>aatsministerium für Digitales hat sich jedoch –</w:t>
      </w:r>
      <w:r>
        <w:t xml:space="preserve"> noch vor V</w:t>
      </w:r>
      <w:r w:rsidR="0044428D">
        <w:t>eröffentlichung des Quellcodes –</w:t>
      </w:r>
      <w:r>
        <w:t xml:space="preserve"> das Recht einräumen lassen, den Quellcode durch die Datenschutzaufsichtsbehörden und das </w:t>
      </w:r>
      <w:r w:rsidR="0044428D">
        <w:t>Landesamt für Sicherheit in der Informationstechnik</w:t>
      </w:r>
      <w:r>
        <w:t xml:space="preserve"> prüfen zu lassen. Aktuell sind keine Sicherheitslücken bekannt, durch die personenbezogene Daten von Gästen öffentlich zugänglich waren. Auch Tage nach Offenleg</w:t>
      </w:r>
      <w:r w:rsidR="0044428D">
        <w:t>ung aller Sourcen ist keine ent</w:t>
      </w:r>
      <w:r>
        <w:t>sprechende Sicherheitslücke gefunde</w:t>
      </w:r>
      <w:r w:rsidR="0044428D">
        <w:t>n worden. Die bayerischen Daten</w:t>
      </w:r>
      <w:r>
        <w:t>schutzbehörden waren von Beginn an in das Verfahren eingebunden. Sie haben auf Grundlage der im Vergabeverfa</w:t>
      </w:r>
      <w:r w:rsidR="0044428D">
        <w:t>hren vorgelegten Unterlagen sig</w:t>
      </w:r>
      <w:r>
        <w:t>nalisiert, dass die beiden zur Auswahl steh</w:t>
      </w:r>
      <w:r w:rsidR="0044428D">
        <w:t>enden Systeme mit ihrer jeweili</w:t>
      </w:r>
      <w:r>
        <w:t>gen technischen Grundkonzeption datenschutzkonform ausgestaltbar sind, und die Bereitschaft erklärt, für die Lösung von auftretenden Kritikpunkten sowohl technisch als auch rechtlich beratend zur Verfügung zu stehen.</w:t>
      </w:r>
    </w:p>
    <w:p w:rsidR="00041CAD" w:rsidRDefault="00041CAD" w:rsidP="00041CAD">
      <w:pPr>
        <w:pStyle w:val="LTAntwortRessortText"/>
      </w:pPr>
      <w:r>
        <w:t>Luca hat eine Datenschutzfolgeabschätzung erstellt. Ob hierzu eine Pflicht bestand, kann derzeit dahinstehen. Diese Datenschutzfolgeabschätzung muss jedoch nach der DSGVO nicht veröffentlicht werden.</w:t>
      </w:r>
    </w:p>
    <w:p w:rsidR="00041CAD" w:rsidRDefault="00041CAD">
      <w:bookmarkStart w:id="150" w:name="Frage_Nr_74_Ende"/>
      <w:bookmarkEnd w:id="150"/>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17473E" w:rsidTr="0017473E">
        <w:tc>
          <w:tcPr>
            <w:tcW w:w="1900" w:type="dxa"/>
          </w:tcPr>
          <w:p w:rsidR="0017473E" w:rsidRDefault="0017473E" w:rsidP="0017473E">
            <w:pPr>
              <w:pStyle w:val="LTAnfrageInitiator"/>
            </w:pPr>
            <w:r>
              <w:t>Abgeordneter</w:t>
            </w:r>
            <w:r>
              <w:rPr>
                <w:b/>
              </w:rPr>
              <w:br/>
              <w:t>Christian</w:t>
            </w:r>
            <w:r>
              <w:rPr>
                <w:b/>
              </w:rPr>
              <w:br/>
              <w:t>Hierneis</w:t>
            </w:r>
            <w:r>
              <w:rPr>
                <w:b/>
              </w:rPr>
              <w:br/>
            </w:r>
            <w:r>
              <w:t>(BÜNDNIS 90/DIE GRÜNEN)</w:t>
            </w:r>
            <w:bookmarkStart w:id="151" w:name="Frage_Nr_75"/>
            <w:bookmarkEnd w:id="151"/>
          </w:p>
        </w:tc>
        <w:tc>
          <w:tcPr>
            <w:tcW w:w="5716" w:type="dxa"/>
          </w:tcPr>
          <w:p w:rsidR="0017473E" w:rsidRPr="00754CFD" w:rsidRDefault="0017473E" w:rsidP="00754CFD">
            <w:pPr>
              <w:pStyle w:val="LTAnfrageText"/>
            </w:pPr>
            <w:r w:rsidRPr="00754CFD">
              <w:t>Im Hinblick auf das durchgeführte Vergabeverfahren zur Einführung einer Kontaktnachverfolgungs-App frage ich die Staatsregierung, wie war der zeitliche Ablauf des Vergabeverfahrens (bitte alle Einzelschritte auflisten), welche Vergabekriterien wurden in den Kriterienkatalog aufgenommen und wie schnitten die anbietenden Unternehmen bei den einzelnen Vergabekriterien jeweils ab (bitte einzeln aufschlüsseln und begründen)?</w:t>
            </w:r>
          </w:p>
        </w:tc>
        <w:tc>
          <w:tcPr>
            <w:tcW w:w="5716" w:type="dxa"/>
          </w:tcPr>
          <w:p w:rsidR="0017473E" w:rsidRDefault="0017473E" w:rsidP="0017473E">
            <w:pPr>
              <w:pStyle w:val="LTAnfrageText"/>
            </w:pPr>
          </w:p>
        </w:tc>
      </w:tr>
    </w:tbl>
    <w:p w:rsidR="00041CAD" w:rsidRDefault="00041CAD" w:rsidP="00041CAD">
      <w:pPr>
        <w:pStyle w:val="LTUeberschrAntwortRessort"/>
      </w:pPr>
      <w:r>
        <w:t>Antwort des Staatsministeriums für Digitales</w:t>
      </w:r>
    </w:p>
    <w:p w:rsidR="00041CAD" w:rsidRDefault="00041CAD" w:rsidP="00041CAD">
      <w:pPr>
        <w:pStyle w:val="LTAntwortRessortText"/>
      </w:pPr>
      <w:r>
        <w:t xml:space="preserve">Im Rahmen einer Dringlichkeitsvergabe gem. § 14 Abs. 4 Nr. 3 </w:t>
      </w:r>
      <w:r w:rsidR="0044428D">
        <w:t>Vergabeverordnung (</w:t>
      </w:r>
      <w:r>
        <w:t>VgV</w:t>
      </w:r>
      <w:r w:rsidR="0044428D">
        <w:t>)</w:t>
      </w:r>
      <w:r>
        <w:t xml:space="preserve"> wurden am 25.03.2021 zwei Unternehmen zur Ab</w:t>
      </w:r>
      <w:r w:rsidR="0044428D">
        <w:t>gabe eines Angebotes für die Di</w:t>
      </w:r>
      <w:r>
        <w:t>gitale Kontaktdatenerfassung aufgefordert. Die Frist für etwaige Fragen zur Ausschreibung wur</w:t>
      </w:r>
      <w:r w:rsidR="0044428D">
        <w:t>de dabei auf den 29.03.2021, 12.</w:t>
      </w:r>
      <w:r>
        <w:t>00 Uhr, die Frist zur Angebot</w:t>
      </w:r>
      <w:r w:rsidR="0044428D">
        <w:t>saufgabe auf den 31.03.2021, 12.00 Uhr, festgesetzt. Als Binde</w:t>
      </w:r>
      <w:r>
        <w:t>frist, bis zu der die Bieter an ihr Angebot gebunden sind, wurde der 09.04.2021 bestimmt.</w:t>
      </w:r>
    </w:p>
    <w:p w:rsidR="00041CAD" w:rsidRDefault="00041CAD" w:rsidP="00041CAD">
      <w:pPr>
        <w:pStyle w:val="LTAntwortRessortText"/>
      </w:pPr>
      <w:r>
        <w:t>Maßgebliche Wertungskriterien waren der Preis zu 25</w:t>
      </w:r>
      <w:r w:rsidR="0044428D">
        <w:t xml:space="preserve"> </w:t>
      </w:r>
      <w:r w:rsidR="00BD06F4">
        <w:t>Prozent</w:t>
      </w:r>
      <w:r>
        <w:t xml:space="preserve"> und die Leistung zu 75</w:t>
      </w:r>
      <w:r w:rsidR="0044428D">
        <w:t xml:space="preserve"> </w:t>
      </w:r>
      <w:r w:rsidR="00BD06F4">
        <w:t>Prozent</w:t>
      </w:r>
      <w:r>
        <w:t xml:space="preserve">, wobei folgende Leistungskriterien bewertet wurden: </w:t>
      </w:r>
      <w:r w:rsidR="00BD06F4">
        <w:t>„</w:t>
      </w:r>
      <w:r>
        <w:t>Skalierbar-keit/Verfügbarkeit</w:t>
      </w:r>
      <w:r w:rsidR="00BD06F4">
        <w:t>“</w:t>
      </w:r>
      <w:r>
        <w:t xml:space="preserve"> zu 3,75</w:t>
      </w:r>
      <w:r w:rsidR="0044428D">
        <w:t xml:space="preserve"> </w:t>
      </w:r>
      <w:r w:rsidR="00BD06F4">
        <w:t>Prozent</w:t>
      </w:r>
      <w:r>
        <w:t xml:space="preserve">, </w:t>
      </w:r>
      <w:r w:rsidR="00BD06F4">
        <w:t>„</w:t>
      </w:r>
      <w:r>
        <w:t>Dauer der Implementier</w:t>
      </w:r>
      <w:r w:rsidR="0044428D">
        <w:t>ung bei einem Ge</w:t>
      </w:r>
      <w:r>
        <w:t>sundheitsamt</w:t>
      </w:r>
      <w:r w:rsidR="00BD06F4">
        <w:t>“</w:t>
      </w:r>
      <w:r>
        <w:t xml:space="preserve"> zu 3,75</w:t>
      </w:r>
      <w:r w:rsidR="0044428D">
        <w:t xml:space="preserve"> </w:t>
      </w:r>
      <w:r w:rsidR="00BD06F4">
        <w:t>Prozent</w:t>
      </w:r>
      <w:r>
        <w:t xml:space="preserve">, </w:t>
      </w:r>
      <w:r w:rsidR="00BD06F4">
        <w:t>„</w:t>
      </w:r>
      <w:r>
        <w:t>Support für Gesundheitsämter</w:t>
      </w:r>
      <w:r w:rsidR="00BD06F4">
        <w:t>“</w:t>
      </w:r>
      <w:r>
        <w:t xml:space="preserve"> zu 11,25</w:t>
      </w:r>
      <w:r w:rsidR="0044428D">
        <w:t xml:space="preserve"> </w:t>
      </w:r>
      <w:r w:rsidR="00BD06F4">
        <w:t>Prozent</w:t>
      </w:r>
      <w:r>
        <w:t xml:space="preserve">, </w:t>
      </w:r>
      <w:r w:rsidR="0044428D">
        <w:br/>
      </w:r>
      <w:r w:rsidR="00BD06F4">
        <w:t>„</w:t>
      </w:r>
      <w:r>
        <w:t>Au</w:t>
      </w:r>
      <w:r w:rsidR="0044428D">
        <w:t>tomatisierungsgrad –</w:t>
      </w:r>
      <w:r>
        <w:t xml:space="preserve"> in folgendem Bereich relevant: Unterstützung der MA in den Gesundheitsämtern bei der aufwendigen Einstufung der Kontaktpersonen in Kategorie 1 und 2 soll vor dem Import in Zielsysteme (</w:t>
      </w:r>
      <w:r w:rsidR="00BD06F4">
        <w:t>z. B.</w:t>
      </w:r>
      <w:r>
        <w:t xml:space="preserve"> SORMAS) gegeben sein</w:t>
      </w:r>
      <w:r w:rsidR="00BD06F4">
        <w:t>“</w:t>
      </w:r>
      <w:r>
        <w:t xml:space="preserve"> zu 22,5</w:t>
      </w:r>
      <w:r w:rsidR="0044428D">
        <w:t xml:space="preserve"> </w:t>
      </w:r>
      <w:r w:rsidR="00BD06F4">
        <w:t>Prozent</w:t>
      </w:r>
      <w:r>
        <w:t xml:space="preserve">, </w:t>
      </w:r>
      <w:r w:rsidR="00BD06F4">
        <w:t>„</w:t>
      </w:r>
      <w:r>
        <w:t>Automatisierung der Übertragung der Kontakthistorie</w:t>
      </w:r>
      <w:r w:rsidR="00BD06F4">
        <w:t>“</w:t>
      </w:r>
      <w:r>
        <w:t xml:space="preserve"> zu 11,25</w:t>
      </w:r>
      <w:r w:rsidR="0044428D">
        <w:t xml:space="preserve"> </w:t>
      </w:r>
      <w:r w:rsidR="00BD06F4">
        <w:t>Prozent</w:t>
      </w:r>
      <w:r>
        <w:t xml:space="preserve">, </w:t>
      </w:r>
      <w:r w:rsidR="00BD06F4">
        <w:t>„</w:t>
      </w:r>
      <w:r>
        <w:t>Automatisierungsgrad Benachrichtigung</w:t>
      </w:r>
      <w:r w:rsidR="00BD06F4">
        <w:t>“</w:t>
      </w:r>
      <w:r>
        <w:t xml:space="preserve"> zu 11,25</w:t>
      </w:r>
      <w:r w:rsidR="0044428D">
        <w:t xml:space="preserve"> </w:t>
      </w:r>
      <w:r w:rsidR="00BD06F4">
        <w:t>Prozent</w:t>
      </w:r>
      <w:r>
        <w:t xml:space="preserve">, </w:t>
      </w:r>
      <w:r w:rsidR="00BD06F4">
        <w:t>„</w:t>
      </w:r>
      <w:r>
        <w:t>Time-to-Market</w:t>
      </w:r>
      <w:r w:rsidR="00BD06F4">
        <w:t>“</w:t>
      </w:r>
      <w:r>
        <w:t xml:space="preserve"> zu 3,75</w:t>
      </w:r>
      <w:r w:rsidR="0044428D">
        <w:t xml:space="preserve"> </w:t>
      </w:r>
      <w:r w:rsidR="00BD06F4">
        <w:t>Prozent</w:t>
      </w:r>
      <w:r>
        <w:t xml:space="preserve"> und </w:t>
      </w:r>
      <w:r w:rsidR="00BD06F4">
        <w:t>„</w:t>
      </w:r>
      <w:r>
        <w:t>Verifizierung von Kontaktdaten</w:t>
      </w:r>
      <w:r w:rsidR="00BD06F4">
        <w:t>“</w:t>
      </w:r>
      <w:r>
        <w:t xml:space="preserve"> zu 7,5</w:t>
      </w:r>
      <w:r w:rsidR="0044428D">
        <w:t xml:space="preserve"> </w:t>
      </w:r>
      <w:r w:rsidR="00BD06F4">
        <w:t>Prozent</w:t>
      </w:r>
      <w:r>
        <w:t>.</w:t>
      </w:r>
    </w:p>
    <w:p w:rsidR="00041CAD" w:rsidRDefault="00041CAD" w:rsidP="00041CAD">
      <w:pPr>
        <w:pStyle w:val="LTAntwortRessortText"/>
      </w:pPr>
      <w:r>
        <w:t xml:space="preserve">Darüber hinaus wurden im Rahmen der Leistungskriterien folgende Ausschlusskriterien festgelegt: </w:t>
      </w:r>
      <w:r w:rsidR="00BD06F4">
        <w:t>„</w:t>
      </w:r>
      <w:r>
        <w:t>DSGVO-Konformität und Einhaltung sämtlicher datenschutzrechtlicher Gesetze und Regelungen</w:t>
      </w:r>
      <w:r w:rsidR="00BD06F4">
        <w:t>“</w:t>
      </w:r>
      <w:r>
        <w:t>,</w:t>
      </w:r>
      <w:r w:rsidR="0044428D">
        <w:t xml:space="preserve"> (DSGVO = Datenschutz-Grundverordnung)</w:t>
      </w:r>
      <w:r>
        <w:t xml:space="preserve"> </w:t>
      </w:r>
      <w:r w:rsidR="00BD06F4">
        <w:t>„</w:t>
      </w:r>
      <w:r>
        <w:t>Vorlegen eines positiven Pen-Test-Reports</w:t>
      </w:r>
      <w:r w:rsidR="00BD06F4">
        <w:t>“</w:t>
      </w:r>
      <w:r>
        <w:t xml:space="preserve">, </w:t>
      </w:r>
      <w:r w:rsidR="00BD06F4">
        <w:t>„</w:t>
      </w:r>
      <w:r>
        <w:t>Vorgaben zur IT-Sicherheit</w:t>
      </w:r>
      <w:r w:rsidR="00BD06F4">
        <w:t>“</w:t>
      </w:r>
      <w:r>
        <w:t xml:space="preserve"> (</w:t>
      </w:r>
      <w:r w:rsidR="00BD06F4">
        <w:t>z. B.</w:t>
      </w:r>
      <w:r>
        <w:t xml:space="preserve"> Zertifizierung des Rechenzentrums nach ISO27001 auf Basis von IT-Grundschutz; System als Bestandteil des zertifizierten Inf</w:t>
      </w:r>
      <w:r w:rsidR="0044428D">
        <w:t>ormationsverbundes; Verschlüsse</w:t>
      </w:r>
      <w:r>
        <w:t xml:space="preserve">lung der erhobenen Daten nach dem Stand der Technik), </w:t>
      </w:r>
      <w:r w:rsidR="00BD06F4">
        <w:t>„</w:t>
      </w:r>
      <w:r>
        <w:t>Anbindung an SORMAS und geplantes bundesweites Ga</w:t>
      </w:r>
      <w:r w:rsidR="0044428D">
        <w:t>teway für unterschiedliche digi</w:t>
      </w:r>
      <w:r>
        <w:t>tale Systeme zur Kontaktdatenerfassung</w:t>
      </w:r>
      <w:r w:rsidR="00BD06F4">
        <w:t>“</w:t>
      </w:r>
      <w:r>
        <w:t xml:space="preserve"> und </w:t>
      </w:r>
      <w:r w:rsidR="00BD06F4">
        <w:t>„</w:t>
      </w:r>
      <w:r>
        <w:t>Werbefreiheit der Lösung</w:t>
      </w:r>
      <w:r w:rsidR="00BD06F4">
        <w:t>“</w:t>
      </w:r>
      <w:r>
        <w:t>.</w:t>
      </w:r>
    </w:p>
    <w:p w:rsidR="00041CAD" w:rsidRDefault="00041CAD" w:rsidP="00041CAD">
      <w:pPr>
        <w:pStyle w:val="LTAntwortRessortText"/>
      </w:pPr>
      <w:r>
        <w:t>Von beiden Unternehmen ging jeweils ein</w:t>
      </w:r>
      <w:r w:rsidR="00DD1F2C">
        <w:t xml:space="preserve"> Angebot innerhalb der Angebots</w:t>
      </w:r>
      <w:r>
        <w:t>frist ein. Da die automatisierte Anbind</w:t>
      </w:r>
      <w:r w:rsidR="0044428D">
        <w:t>ung an die Verfahren der Gesund</w:t>
      </w:r>
      <w:r>
        <w:t>heitsämter beim ausgewählten Angebot erheblich effektiver erfolgt, wurde der Zuschlag am 06.04.2021 gegen 18</w:t>
      </w:r>
      <w:r w:rsidR="0044428D">
        <w:t>.20 Uhr auf das Angebot der cul</w:t>
      </w:r>
      <w:r>
        <w:t>ture4life GmbH erteilt.</w:t>
      </w:r>
    </w:p>
    <w:p w:rsidR="00041CAD" w:rsidRDefault="00041CAD" w:rsidP="00041CAD">
      <w:pPr>
        <w:pStyle w:val="LTAntwortRessortText"/>
      </w:pPr>
      <w:bookmarkStart w:id="152" w:name="Frage_Nr_75_Ende"/>
      <w:bookmarkEnd w:id="152"/>
    </w:p>
    <w:sectPr w:rsidR="00041CAD" w:rsidSect="00F00864">
      <w:headerReference w:type="even" r:id="rId28"/>
      <w:headerReference w:type="default" r:id="rId29"/>
      <w:footerReference w:type="default" r:id="rId30"/>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43" w:rsidRDefault="00335043">
      <w:r>
        <w:separator/>
      </w:r>
    </w:p>
  </w:endnote>
  <w:endnote w:type="continuationSeparator" w:id="0">
    <w:p w:rsidR="00335043" w:rsidRDefault="003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Default="00335043"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Pr="009C32BE" w:rsidRDefault="00335043"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Pr="00311533" w:rsidRDefault="00335043"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43" w:rsidRDefault="00335043">
      <w:r>
        <w:separator/>
      </w:r>
    </w:p>
  </w:footnote>
  <w:footnote w:type="continuationSeparator" w:id="0">
    <w:p w:rsidR="00335043" w:rsidRDefault="00335043">
      <w:r>
        <w:continuationSeparator/>
      </w:r>
    </w:p>
  </w:footnote>
  <w:footnote w:id="1">
    <w:p w:rsidR="00335043" w:rsidRPr="001045B5" w:rsidRDefault="00335043" w:rsidP="0015378A">
      <w:pPr>
        <w:pStyle w:val="Funotentext"/>
        <w:ind w:left="340" w:hanging="340"/>
        <w:rPr>
          <w:rStyle w:val="LTHyperlinkZchn"/>
          <w:b w:val="0"/>
          <w:sz w:val="16"/>
        </w:rPr>
      </w:pPr>
      <w:r>
        <w:rPr>
          <w:rStyle w:val="Funotenzeichen"/>
        </w:rPr>
        <w:footnoteRef/>
      </w:r>
      <w:r>
        <w:tab/>
      </w:r>
      <w:hyperlink r:id="rId1" w:history="1">
        <w:r w:rsidRPr="001045B5">
          <w:rPr>
            <w:rStyle w:val="LTHyperlinkZchn"/>
            <w:b w:val="0"/>
            <w:sz w:val="16"/>
          </w:rPr>
          <w:t>https://www.cochrane.de/de/news/aktualisierter-cochrane-review-bewertet-zuverl%C3%A4ssigkeit-von-schnelltests-zum-nachweis-von-COVID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Default="00335043"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79474A">
        <w:t>18</w:t>
      </w:r>
    </w:fldSimple>
    <w:r w:rsidRPr="00CA6785">
      <w:t>/</w:t>
    </w:r>
    <w:r>
      <w:rPr>
        <w:b/>
      </w:rPr>
      <w:fldChar w:fldCharType="begin"/>
    </w:r>
    <w:r>
      <w:rPr>
        <w:b/>
      </w:rPr>
      <w:instrText xml:space="preserve"> DOCVARIABLE  "Drsnr" \* MERGEFORMAT </w:instrText>
    </w:r>
    <w:r>
      <w:rPr>
        <w:b/>
      </w:rPr>
      <w:fldChar w:fldCharType="separate"/>
    </w:r>
    <w:r w:rsidR="0079474A">
      <w:rPr>
        <w:b/>
      </w:rPr>
      <w:t>15472</w:t>
    </w:r>
    <w:r>
      <w:rPr>
        <w:b/>
      </w:rPr>
      <w:fldChar w:fldCharType="end"/>
    </w:r>
    <w:r>
      <w:tab/>
    </w:r>
    <w:r>
      <w:tab/>
    </w:r>
    <w:r w:rsidRPr="009A2D8C">
      <w:t>Bayerischer Landtag</w:t>
    </w:r>
    <w:r>
      <w:t xml:space="preserve"> -</w:t>
    </w:r>
    <w:fldSimple w:instr=" DOCVARIABLE  &quot;Wp&quot; \* MERGEFORMAT ">
      <w:r w:rsidR="0079474A">
        <w:t>18</w:t>
      </w:r>
    </w:fldSimple>
    <w:r>
      <w:t>. Wahlperiode</w:t>
    </w:r>
  </w:p>
  <w:p w:rsidR="00335043" w:rsidRDefault="00335043"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Default="00335043"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79474A">
        <w:t>18</w:t>
      </w:r>
    </w:fldSimple>
    <w:r>
      <w:t>. Wahlperiode</w:t>
    </w:r>
    <w:r>
      <w:tab/>
    </w:r>
    <w:r>
      <w:tab/>
    </w:r>
    <w:r w:rsidRPr="009A2D8C">
      <w:rPr>
        <w:b/>
      </w:rPr>
      <w:t>Drucksache</w:t>
    </w:r>
    <w:r>
      <w:rPr>
        <w:b/>
      </w:rPr>
      <w:t xml:space="preserve"> </w:t>
    </w:r>
    <w:fldSimple w:instr=" DOCVARIABLE  &quot;Wp&quot; \* MERGEFORMAT ">
      <w:r w:rsidR="0079474A">
        <w:t>18</w:t>
      </w:r>
    </w:fldSimple>
    <w:r w:rsidRPr="00CA6785">
      <w:t>/</w:t>
    </w:r>
    <w:r>
      <w:rPr>
        <w:b/>
      </w:rPr>
      <w:fldChar w:fldCharType="begin"/>
    </w:r>
    <w:r>
      <w:rPr>
        <w:b/>
      </w:rPr>
      <w:instrText xml:space="preserve"> DOCVARIABLE  "Drsnr" \* MERGEFORMAT </w:instrText>
    </w:r>
    <w:r>
      <w:rPr>
        <w:b/>
      </w:rPr>
      <w:fldChar w:fldCharType="separate"/>
    </w:r>
    <w:r w:rsidR="0079474A">
      <w:rPr>
        <w:b/>
      </w:rPr>
      <w:t>15472</w:t>
    </w:r>
    <w:r>
      <w:rPr>
        <w:b/>
      </w:rPr>
      <w:fldChar w:fldCharType="end"/>
    </w:r>
  </w:p>
  <w:p w:rsidR="00335043" w:rsidRPr="00C127DA" w:rsidRDefault="00335043"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Default="00335043"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5E25A3A4" wp14:editId="6503B679">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5A7C2F60" wp14:editId="69325388">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9474A" w:rsidRPr="0079474A">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9474A">
      <w:rPr>
        <w:sz w:val="22"/>
        <w:szCs w:val="22"/>
      </w:rPr>
      <w:t>19.04.2021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9474A" w:rsidRPr="0079474A">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9474A" w:rsidRPr="0079474A">
      <w:rPr>
        <w:b/>
        <w:bCs/>
        <w:sz w:val="42"/>
        <w:szCs w:val="42"/>
      </w:rPr>
      <w:t>15472</w:t>
    </w:r>
    <w:r w:rsidRPr="00853926">
      <w:rPr>
        <w:b/>
        <w:sz w:val="42"/>
        <w:szCs w:val="42"/>
      </w:rPr>
      <w:fldChar w:fldCharType="end"/>
    </w:r>
  </w:p>
  <w:p w:rsidR="00335043" w:rsidRPr="004453BF" w:rsidRDefault="00335043"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Pr="00A44F63" w:rsidRDefault="00335043"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9474A">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9474A">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9474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9474A">
      <w:rPr>
        <w:b/>
        <w:szCs w:val="20"/>
      </w:rPr>
      <w:t>15472</w:t>
    </w:r>
    <w:r w:rsidRPr="00A44F63">
      <w:rPr>
        <w:b/>
        <w:szCs w:val="20"/>
      </w:rPr>
      <w:fldChar w:fldCharType="end"/>
    </w:r>
  </w:p>
  <w:p w:rsidR="00335043" w:rsidRPr="00861320" w:rsidRDefault="00335043"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3" w:rsidRPr="00DE5B17" w:rsidRDefault="00335043"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9474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9474A">
      <w:rPr>
        <w:b/>
        <w:szCs w:val="20"/>
      </w:rPr>
      <w:t>15472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9474A">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9474A">
      <w:rPr>
        <w:rStyle w:val="Seitenzahl"/>
        <w:noProof/>
        <w:szCs w:val="20"/>
      </w:rPr>
      <w:t>46</w:t>
    </w:r>
    <w:r w:rsidRPr="00DE5B17">
      <w:rPr>
        <w:rStyle w:val="Seitenzahl"/>
        <w:szCs w:val="20"/>
      </w:rPr>
      <w:fldChar w:fldCharType="end"/>
    </w:r>
  </w:p>
  <w:p w:rsidR="00335043" w:rsidRPr="00601929" w:rsidRDefault="00335043"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61554"/>
    <w:multiLevelType w:val="hybridMultilevel"/>
    <w:tmpl w:val="ECF62DA0"/>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4745F90"/>
    <w:multiLevelType w:val="hybridMultilevel"/>
    <w:tmpl w:val="A3CC654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9A57AC8"/>
    <w:multiLevelType w:val="hybridMultilevel"/>
    <w:tmpl w:val="404885C2"/>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3" w15:restartNumberingAfterBreak="0">
    <w:nsid w:val="19C01C09"/>
    <w:multiLevelType w:val="hybridMultilevel"/>
    <w:tmpl w:val="73146A8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B84B72"/>
    <w:multiLevelType w:val="hybridMultilevel"/>
    <w:tmpl w:val="402C632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8E7610D"/>
    <w:multiLevelType w:val="hybridMultilevel"/>
    <w:tmpl w:val="E982D35C"/>
    <w:lvl w:ilvl="0" w:tplc="CE0C1DBA">
      <w:start w:val="3"/>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612EAF"/>
    <w:multiLevelType w:val="hybridMultilevel"/>
    <w:tmpl w:val="4CA02E8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34D555E"/>
    <w:multiLevelType w:val="hybridMultilevel"/>
    <w:tmpl w:val="918638E0"/>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B9D2456"/>
    <w:multiLevelType w:val="hybridMultilevel"/>
    <w:tmpl w:val="C3807D78"/>
    <w:lvl w:ilvl="0" w:tplc="5E264614">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4" w15:restartNumberingAfterBreak="0">
    <w:nsid w:val="40E97CFA"/>
    <w:multiLevelType w:val="hybridMultilevel"/>
    <w:tmpl w:val="D304D0A0"/>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58C45FB"/>
    <w:multiLevelType w:val="hybridMultilevel"/>
    <w:tmpl w:val="C13A5A08"/>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8DE2E56"/>
    <w:multiLevelType w:val="hybridMultilevel"/>
    <w:tmpl w:val="8CA2C11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5547FB"/>
    <w:multiLevelType w:val="hybridMultilevel"/>
    <w:tmpl w:val="36221E00"/>
    <w:lvl w:ilvl="0" w:tplc="8A44FB6E">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5F6210"/>
    <w:multiLevelType w:val="hybridMultilevel"/>
    <w:tmpl w:val="B776DA5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1" w15:restartNumberingAfterBreak="0">
    <w:nsid w:val="5DBE170F"/>
    <w:multiLevelType w:val="hybridMultilevel"/>
    <w:tmpl w:val="93EADF6E"/>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9914EA"/>
    <w:multiLevelType w:val="hybridMultilevel"/>
    <w:tmpl w:val="28EEBE7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B3B02A7"/>
    <w:multiLevelType w:val="hybridMultilevel"/>
    <w:tmpl w:val="DA70AB54"/>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703F6EB3"/>
    <w:multiLevelType w:val="hybridMultilevel"/>
    <w:tmpl w:val="1102C61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3B8385F"/>
    <w:multiLevelType w:val="hybridMultilevel"/>
    <w:tmpl w:val="1256D798"/>
    <w:lvl w:ilvl="0" w:tplc="0407000F">
      <w:start w:val="1"/>
      <w:numFmt w:val="decimal"/>
      <w:lvlText w:val="%1."/>
      <w:lvlJc w:val="left"/>
      <w:pPr>
        <w:ind w:left="1060" w:hanging="360"/>
      </w:pPr>
    </w:lvl>
    <w:lvl w:ilvl="1" w:tplc="7A7C65DE">
      <w:start w:val="3"/>
      <w:numFmt w:val="bullet"/>
      <w:lvlText w:val="•"/>
      <w:lvlJc w:val="left"/>
      <w:pPr>
        <w:ind w:left="1780" w:hanging="360"/>
      </w:pPr>
      <w:rPr>
        <w:rFonts w:ascii="Arial" w:eastAsia="Times New Roman" w:hAnsi="Arial" w:cs="Arial"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1" w15:restartNumberingAfterBreak="0">
    <w:nsid w:val="75EA57E0"/>
    <w:multiLevelType w:val="hybridMultilevel"/>
    <w:tmpl w:val="04266C5C"/>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9"/>
  </w:num>
  <w:num w:numId="2">
    <w:abstractNumId w:val="16"/>
  </w:num>
  <w:num w:numId="3">
    <w:abstractNumId w:val="32"/>
  </w:num>
  <w:num w:numId="4">
    <w:abstractNumId w:val="35"/>
  </w:num>
  <w:num w:numId="5">
    <w:abstractNumId w:val="33"/>
  </w:num>
  <w:num w:numId="6">
    <w:abstractNumId w:val="29"/>
  </w:num>
  <w:num w:numId="7">
    <w:abstractNumId w:val="14"/>
  </w:num>
  <w:num w:numId="8">
    <w:abstractNumId w:val="15"/>
  </w:num>
  <w:num w:numId="9">
    <w:abstractNumId w:val="36"/>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8"/>
  </w:num>
  <w:num w:numId="26">
    <w:abstractNumId w:val="40"/>
  </w:num>
  <w:num w:numId="27">
    <w:abstractNumId w:val="23"/>
  </w:num>
  <w:num w:numId="28">
    <w:abstractNumId w:val="13"/>
  </w:num>
  <w:num w:numId="29">
    <w:abstractNumId w:val="18"/>
  </w:num>
  <w:num w:numId="30">
    <w:abstractNumId w:val="31"/>
  </w:num>
  <w:num w:numId="31">
    <w:abstractNumId w:val="37"/>
  </w:num>
  <w:num w:numId="32">
    <w:abstractNumId w:val="10"/>
  </w:num>
  <w:num w:numId="33">
    <w:abstractNumId w:val="24"/>
  </w:num>
  <w:num w:numId="34">
    <w:abstractNumId w:val="41"/>
  </w:num>
  <w:num w:numId="35">
    <w:abstractNumId w:val="12"/>
  </w:num>
  <w:num w:numId="36">
    <w:abstractNumId w:val="22"/>
  </w:num>
  <w:num w:numId="37">
    <w:abstractNumId w:val="25"/>
  </w:num>
  <w:num w:numId="38">
    <w:abstractNumId w:val="30"/>
  </w:num>
  <w:num w:numId="39">
    <w:abstractNumId w:val="28"/>
  </w:num>
  <w:num w:numId="40">
    <w:abstractNumId w:val="34"/>
  </w:num>
  <w:num w:numId="41">
    <w:abstractNumId w:val="26"/>
  </w:num>
  <w:num w:numId="42">
    <w:abstractNumId w:val="17"/>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rsZSH4t/yapqHQiikmc8mG5d6hxZoJOA+AkZZ5ds+VcwqjJXx93YTF3BhZQnD/5q2dmasD2g8bQksng+gRd/GA==" w:salt="YMZA0TIR7s82evAy+eefHg=="/>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0.04.2021"/>
    <w:docVar w:name="Drsnr" w:val="15472"/>
    <w:docVar w:name="Eingangsdatum" w:val="19.04.2021"/>
    <w:docVar w:name="Passwort" w:val="Elan&amp;Internet"/>
    <w:docVar w:name="Wochendatum" w:val="19. April 2021"/>
    <w:docVar w:name="Wp" w:val="18"/>
  </w:docVars>
  <w:rsids>
    <w:rsidRoot w:val="00041CAD"/>
    <w:rsid w:val="00002517"/>
    <w:rsid w:val="000056F2"/>
    <w:rsid w:val="00006292"/>
    <w:rsid w:val="000251E5"/>
    <w:rsid w:val="000371B5"/>
    <w:rsid w:val="00041250"/>
    <w:rsid w:val="00041CAD"/>
    <w:rsid w:val="00043B70"/>
    <w:rsid w:val="000509F3"/>
    <w:rsid w:val="00054EC0"/>
    <w:rsid w:val="000614E0"/>
    <w:rsid w:val="00061EB3"/>
    <w:rsid w:val="000779F7"/>
    <w:rsid w:val="00082243"/>
    <w:rsid w:val="00083D54"/>
    <w:rsid w:val="0008617E"/>
    <w:rsid w:val="0009565F"/>
    <w:rsid w:val="00097682"/>
    <w:rsid w:val="000A2162"/>
    <w:rsid w:val="000B2A68"/>
    <w:rsid w:val="000B764D"/>
    <w:rsid w:val="000C480A"/>
    <w:rsid w:val="000C71A5"/>
    <w:rsid w:val="000C72A9"/>
    <w:rsid w:val="000C780D"/>
    <w:rsid w:val="000C7D5A"/>
    <w:rsid w:val="000D20D7"/>
    <w:rsid w:val="000E21D9"/>
    <w:rsid w:val="000E53E1"/>
    <w:rsid w:val="000E73CC"/>
    <w:rsid w:val="000E79DF"/>
    <w:rsid w:val="000E7F09"/>
    <w:rsid w:val="000F109F"/>
    <w:rsid w:val="000F3417"/>
    <w:rsid w:val="00101BEE"/>
    <w:rsid w:val="001045B5"/>
    <w:rsid w:val="00114B66"/>
    <w:rsid w:val="0012694F"/>
    <w:rsid w:val="0013475E"/>
    <w:rsid w:val="001356F0"/>
    <w:rsid w:val="00135D97"/>
    <w:rsid w:val="00136848"/>
    <w:rsid w:val="00136D38"/>
    <w:rsid w:val="001376A1"/>
    <w:rsid w:val="00141C03"/>
    <w:rsid w:val="00145C5D"/>
    <w:rsid w:val="0015378A"/>
    <w:rsid w:val="00154F5F"/>
    <w:rsid w:val="001576CA"/>
    <w:rsid w:val="001579D6"/>
    <w:rsid w:val="00160D9C"/>
    <w:rsid w:val="00161C71"/>
    <w:rsid w:val="00163927"/>
    <w:rsid w:val="00163EC0"/>
    <w:rsid w:val="001641A0"/>
    <w:rsid w:val="00165D18"/>
    <w:rsid w:val="001676F2"/>
    <w:rsid w:val="00170691"/>
    <w:rsid w:val="00171CDA"/>
    <w:rsid w:val="0017473E"/>
    <w:rsid w:val="001760BF"/>
    <w:rsid w:val="00190458"/>
    <w:rsid w:val="00193153"/>
    <w:rsid w:val="001938BE"/>
    <w:rsid w:val="00193AB7"/>
    <w:rsid w:val="00193FBF"/>
    <w:rsid w:val="001B7DAE"/>
    <w:rsid w:val="001C3D68"/>
    <w:rsid w:val="001C6140"/>
    <w:rsid w:val="001D073A"/>
    <w:rsid w:val="001E17E2"/>
    <w:rsid w:val="001E298D"/>
    <w:rsid w:val="001E3461"/>
    <w:rsid w:val="001E41D1"/>
    <w:rsid w:val="001F1D32"/>
    <w:rsid w:val="001F240A"/>
    <w:rsid w:val="001F3139"/>
    <w:rsid w:val="001F3CDA"/>
    <w:rsid w:val="001F7285"/>
    <w:rsid w:val="001F7903"/>
    <w:rsid w:val="00202E30"/>
    <w:rsid w:val="00215CAA"/>
    <w:rsid w:val="00226E30"/>
    <w:rsid w:val="00227E77"/>
    <w:rsid w:val="002302DA"/>
    <w:rsid w:val="00231278"/>
    <w:rsid w:val="0023365B"/>
    <w:rsid w:val="00235942"/>
    <w:rsid w:val="00235F70"/>
    <w:rsid w:val="002375B2"/>
    <w:rsid w:val="00245108"/>
    <w:rsid w:val="00246003"/>
    <w:rsid w:val="00246DE7"/>
    <w:rsid w:val="00253747"/>
    <w:rsid w:val="00267B16"/>
    <w:rsid w:val="0027797C"/>
    <w:rsid w:val="00277DD9"/>
    <w:rsid w:val="002822CD"/>
    <w:rsid w:val="002825AC"/>
    <w:rsid w:val="00283D88"/>
    <w:rsid w:val="00283FA7"/>
    <w:rsid w:val="0028470E"/>
    <w:rsid w:val="00284AA1"/>
    <w:rsid w:val="00293BC4"/>
    <w:rsid w:val="00293F06"/>
    <w:rsid w:val="002B27E5"/>
    <w:rsid w:val="002B5338"/>
    <w:rsid w:val="002B618A"/>
    <w:rsid w:val="002C5896"/>
    <w:rsid w:val="002D1B96"/>
    <w:rsid w:val="002D2A91"/>
    <w:rsid w:val="002D53C0"/>
    <w:rsid w:val="002D5E77"/>
    <w:rsid w:val="002E158B"/>
    <w:rsid w:val="002F0FD4"/>
    <w:rsid w:val="002F342A"/>
    <w:rsid w:val="002F518C"/>
    <w:rsid w:val="002F67BA"/>
    <w:rsid w:val="0030534E"/>
    <w:rsid w:val="003058D0"/>
    <w:rsid w:val="003078E2"/>
    <w:rsid w:val="00310A7B"/>
    <w:rsid w:val="00311178"/>
    <w:rsid w:val="00311533"/>
    <w:rsid w:val="0031185F"/>
    <w:rsid w:val="00314186"/>
    <w:rsid w:val="00315B5B"/>
    <w:rsid w:val="003220C1"/>
    <w:rsid w:val="00330AC4"/>
    <w:rsid w:val="003317ED"/>
    <w:rsid w:val="003343E3"/>
    <w:rsid w:val="00335043"/>
    <w:rsid w:val="00336CA8"/>
    <w:rsid w:val="00354E4E"/>
    <w:rsid w:val="003571B7"/>
    <w:rsid w:val="0036081C"/>
    <w:rsid w:val="00364C13"/>
    <w:rsid w:val="00384BCC"/>
    <w:rsid w:val="003865DE"/>
    <w:rsid w:val="00390643"/>
    <w:rsid w:val="00390B65"/>
    <w:rsid w:val="003A0B46"/>
    <w:rsid w:val="003A0EE0"/>
    <w:rsid w:val="003A6DDF"/>
    <w:rsid w:val="003B09EA"/>
    <w:rsid w:val="003B0C96"/>
    <w:rsid w:val="003B10EA"/>
    <w:rsid w:val="003B21D3"/>
    <w:rsid w:val="003B4646"/>
    <w:rsid w:val="003B574F"/>
    <w:rsid w:val="003B7D59"/>
    <w:rsid w:val="003C0807"/>
    <w:rsid w:val="003C3519"/>
    <w:rsid w:val="003C4151"/>
    <w:rsid w:val="003D642D"/>
    <w:rsid w:val="003E107C"/>
    <w:rsid w:val="003E2DEE"/>
    <w:rsid w:val="003E36C6"/>
    <w:rsid w:val="003E4991"/>
    <w:rsid w:val="003E7E4B"/>
    <w:rsid w:val="003F467B"/>
    <w:rsid w:val="003F6AA4"/>
    <w:rsid w:val="0041024D"/>
    <w:rsid w:val="004104B6"/>
    <w:rsid w:val="004148C6"/>
    <w:rsid w:val="00414D5F"/>
    <w:rsid w:val="00417969"/>
    <w:rsid w:val="004220FE"/>
    <w:rsid w:val="00431F16"/>
    <w:rsid w:val="004338D0"/>
    <w:rsid w:val="00435864"/>
    <w:rsid w:val="0044428D"/>
    <w:rsid w:val="004453BF"/>
    <w:rsid w:val="0045067D"/>
    <w:rsid w:val="0045352F"/>
    <w:rsid w:val="0045402F"/>
    <w:rsid w:val="00465F83"/>
    <w:rsid w:val="004723A4"/>
    <w:rsid w:val="00476B56"/>
    <w:rsid w:val="00484214"/>
    <w:rsid w:val="00496299"/>
    <w:rsid w:val="004A0B31"/>
    <w:rsid w:val="004A76DB"/>
    <w:rsid w:val="004B184E"/>
    <w:rsid w:val="004B28B6"/>
    <w:rsid w:val="004B5A87"/>
    <w:rsid w:val="004C1BA3"/>
    <w:rsid w:val="004C2E71"/>
    <w:rsid w:val="004C3433"/>
    <w:rsid w:val="004C7A9B"/>
    <w:rsid w:val="004D4829"/>
    <w:rsid w:val="004D7B2E"/>
    <w:rsid w:val="004D7CD3"/>
    <w:rsid w:val="004E1031"/>
    <w:rsid w:val="004F2494"/>
    <w:rsid w:val="00502FBE"/>
    <w:rsid w:val="00503079"/>
    <w:rsid w:val="00503F3C"/>
    <w:rsid w:val="005040C2"/>
    <w:rsid w:val="00511FF3"/>
    <w:rsid w:val="00516B5F"/>
    <w:rsid w:val="005321C0"/>
    <w:rsid w:val="0053309B"/>
    <w:rsid w:val="00544156"/>
    <w:rsid w:val="0054569D"/>
    <w:rsid w:val="005512B9"/>
    <w:rsid w:val="005517B2"/>
    <w:rsid w:val="00567084"/>
    <w:rsid w:val="0057046C"/>
    <w:rsid w:val="0057191B"/>
    <w:rsid w:val="00572482"/>
    <w:rsid w:val="00574ECD"/>
    <w:rsid w:val="005833DD"/>
    <w:rsid w:val="005834A1"/>
    <w:rsid w:val="005878CA"/>
    <w:rsid w:val="00593818"/>
    <w:rsid w:val="005A0EEC"/>
    <w:rsid w:val="005A79EC"/>
    <w:rsid w:val="005B2E9C"/>
    <w:rsid w:val="005B6566"/>
    <w:rsid w:val="005B6943"/>
    <w:rsid w:val="005C4B4C"/>
    <w:rsid w:val="005C55DD"/>
    <w:rsid w:val="005C5701"/>
    <w:rsid w:val="005C5D5B"/>
    <w:rsid w:val="005D0F29"/>
    <w:rsid w:val="005D3C42"/>
    <w:rsid w:val="005D4F92"/>
    <w:rsid w:val="005E5A44"/>
    <w:rsid w:val="005F371F"/>
    <w:rsid w:val="00601929"/>
    <w:rsid w:val="00606488"/>
    <w:rsid w:val="006076A5"/>
    <w:rsid w:val="00610EFD"/>
    <w:rsid w:val="00611FE7"/>
    <w:rsid w:val="00615B3A"/>
    <w:rsid w:val="0062036D"/>
    <w:rsid w:val="00620B1D"/>
    <w:rsid w:val="006350E5"/>
    <w:rsid w:val="00635855"/>
    <w:rsid w:val="00651968"/>
    <w:rsid w:val="00653E6D"/>
    <w:rsid w:val="00661F4C"/>
    <w:rsid w:val="00675AED"/>
    <w:rsid w:val="0068306E"/>
    <w:rsid w:val="00692745"/>
    <w:rsid w:val="006942D9"/>
    <w:rsid w:val="006B0212"/>
    <w:rsid w:val="006B1709"/>
    <w:rsid w:val="006C4DB6"/>
    <w:rsid w:val="006C5C31"/>
    <w:rsid w:val="006D0FD8"/>
    <w:rsid w:val="006D2E83"/>
    <w:rsid w:val="006D591B"/>
    <w:rsid w:val="006E0274"/>
    <w:rsid w:val="006E40FD"/>
    <w:rsid w:val="006E5B9D"/>
    <w:rsid w:val="006F0AB3"/>
    <w:rsid w:val="00701E38"/>
    <w:rsid w:val="007061D4"/>
    <w:rsid w:val="00713F90"/>
    <w:rsid w:val="00714C18"/>
    <w:rsid w:val="00717184"/>
    <w:rsid w:val="00730DC3"/>
    <w:rsid w:val="00750083"/>
    <w:rsid w:val="0075012C"/>
    <w:rsid w:val="00753E87"/>
    <w:rsid w:val="00754CFD"/>
    <w:rsid w:val="007560D6"/>
    <w:rsid w:val="0075769E"/>
    <w:rsid w:val="00760A53"/>
    <w:rsid w:val="00761779"/>
    <w:rsid w:val="007649D6"/>
    <w:rsid w:val="00764C64"/>
    <w:rsid w:val="0077709E"/>
    <w:rsid w:val="00781527"/>
    <w:rsid w:val="00781FB1"/>
    <w:rsid w:val="0078516B"/>
    <w:rsid w:val="007868AE"/>
    <w:rsid w:val="00787923"/>
    <w:rsid w:val="00787C59"/>
    <w:rsid w:val="0079474A"/>
    <w:rsid w:val="00797183"/>
    <w:rsid w:val="007B0B33"/>
    <w:rsid w:val="007B4CE1"/>
    <w:rsid w:val="007D4274"/>
    <w:rsid w:val="007E552B"/>
    <w:rsid w:val="007E5860"/>
    <w:rsid w:val="00805E8A"/>
    <w:rsid w:val="008062A0"/>
    <w:rsid w:val="00816C6F"/>
    <w:rsid w:val="00825C50"/>
    <w:rsid w:val="00843C53"/>
    <w:rsid w:val="00843FF8"/>
    <w:rsid w:val="00844005"/>
    <w:rsid w:val="00845BD8"/>
    <w:rsid w:val="00846D02"/>
    <w:rsid w:val="008540E3"/>
    <w:rsid w:val="008606C1"/>
    <w:rsid w:val="00863A28"/>
    <w:rsid w:val="00863D7F"/>
    <w:rsid w:val="00880170"/>
    <w:rsid w:val="008803A9"/>
    <w:rsid w:val="00881163"/>
    <w:rsid w:val="008930C0"/>
    <w:rsid w:val="00897172"/>
    <w:rsid w:val="00897F88"/>
    <w:rsid w:val="008A671A"/>
    <w:rsid w:val="008C324F"/>
    <w:rsid w:val="008C3EAF"/>
    <w:rsid w:val="008C6176"/>
    <w:rsid w:val="008C6E53"/>
    <w:rsid w:val="008D1EB3"/>
    <w:rsid w:val="008D2301"/>
    <w:rsid w:val="008E2258"/>
    <w:rsid w:val="008E3C99"/>
    <w:rsid w:val="008E41C5"/>
    <w:rsid w:val="008E6914"/>
    <w:rsid w:val="008E7B3B"/>
    <w:rsid w:val="00904E4A"/>
    <w:rsid w:val="00911148"/>
    <w:rsid w:val="0091136E"/>
    <w:rsid w:val="00911F24"/>
    <w:rsid w:val="009149D4"/>
    <w:rsid w:val="009229F8"/>
    <w:rsid w:val="009234BF"/>
    <w:rsid w:val="009240D7"/>
    <w:rsid w:val="0092602C"/>
    <w:rsid w:val="009310B8"/>
    <w:rsid w:val="00932D27"/>
    <w:rsid w:val="009404C3"/>
    <w:rsid w:val="0095379B"/>
    <w:rsid w:val="00956821"/>
    <w:rsid w:val="00962732"/>
    <w:rsid w:val="00966E35"/>
    <w:rsid w:val="009673FE"/>
    <w:rsid w:val="00977682"/>
    <w:rsid w:val="009837B0"/>
    <w:rsid w:val="00987617"/>
    <w:rsid w:val="009917F2"/>
    <w:rsid w:val="009924CE"/>
    <w:rsid w:val="00995D8F"/>
    <w:rsid w:val="00997C37"/>
    <w:rsid w:val="009A2D8C"/>
    <w:rsid w:val="009A5A06"/>
    <w:rsid w:val="009B3DA8"/>
    <w:rsid w:val="009B6B5E"/>
    <w:rsid w:val="009B7205"/>
    <w:rsid w:val="009C1AC7"/>
    <w:rsid w:val="009C32BE"/>
    <w:rsid w:val="009C5BEF"/>
    <w:rsid w:val="009D074A"/>
    <w:rsid w:val="009D58F2"/>
    <w:rsid w:val="009D5962"/>
    <w:rsid w:val="009E25A3"/>
    <w:rsid w:val="009E41B6"/>
    <w:rsid w:val="009E6DDB"/>
    <w:rsid w:val="009F6600"/>
    <w:rsid w:val="009F6B94"/>
    <w:rsid w:val="00A021A5"/>
    <w:rsid w:val="00A02CED"/>
    <w:rsid w:val="00A13730"/>
    <w:rsid w:val="00A17038"/>
    <w:rsid w:val="00A2276D"/>
    <w:rsid w:val="00A25D7C"/>
    <w:rsid w:val="00A265DC"/>
    <w:rsid w:val="00A27016"/>
    <w:rsid w:val="00A3195E"/>
    <w:rsid w:val="00A3336A"/>
    <w:rsid w:val="00A40D60"/>
    <w:rsid w:val="00A40F1E"/>
    <w:rsid w:val="00A42EAA"/>
    <w:rsid w:val="00A44F63"/>
    <w:rsid w:val="00A47020"/>
    <w:rsid w:val="00A5362E"/>
    <w:rsid w:val="00A5482B"/>
    <w:rsid w:val="00A603C5"/>
    <w:rsid w:val="00A76D72"/>
    <w:rsid w:val="00A84172"/>
    <w:rsid w:val="00A966A3"/>
    <w:rsid w:val="00A96B48"/>
    <w:rsid w:val="00AA1DF8"/>
    <w:rsid w:val="00AA3478"/>
    <w:rsid w:val="00AA7233"/>
    <w:rsid w:val="00AB1201"/>
    <w:rsid w:val="00AB31D6"/>
    <w:rsid w:val="00AB461F"/>
    <w:rsid w:val="00AC4FC6"/>
    <w:rsid w:val="00AD7E0F"/>
    <w:rsid w:val="00AE1029"/>
    <w:rsid w:val="00B04E18"/>
    <w:rsid w:val="00B06357"/>
    <w:rsid w:val="00B06E52"/>
    <w:rsid w:val="00B120FC"/>
    <w:rsid w:val="00B231D9"/>
    <w:rsid w:val="00B246BA"/>
    <w:rsid w:val="00B2665E"/>
    <w:rsid w:val="00B3698E"/>
    <w:rsid w:val="00B40DC0"/>
    <w:rsid w:val="00B438F6"/>
    <w:rsid w:val="00B45132"/>
    <w:rsid w:val="00B57DE6"/>
    <w:rsid w:val="00B73C59"/>
    <w:rsid w:val="00B753A4"/>
    <w:rsid w:val="00B8046D"/>
    <w:rsid w:val="00B82BE0"/>
    <w:rsid w:val="00B84F49"/>
    <w:rsid w:val="00B85638"/>
    <w:rsid w:val="00B902FE"/>
    <w:rsid w:val="00B91015"/>
    <w:rsid w:val="00B9456C"/>
    <w:rsid w:val="00B94F86"/>
    <w:rsid w:val="00B97A67"/>
    <w:rsid w:val="00BA7AAC"/>
    <w:rsid w:val="00BB117A"/>
    <w:rsid w:val="00BB3E7A"/>
    <w:rsid w:val="00BB5126"/>
    <w:rsid w:val="00BB6019"/>
    <w:rsid w:val="00BC1C8F"/>
    <w:rsid w:val="00BC3054"/>
    <w:rsid w:val="00BC4D4B"/>
    <w:rsid w:val="00BD06F4"/>
    <w:rsid w:val="00BD4AA4"/>
    <w:rsid w:val="00BD7CAD"/>
    <w:rsid w:val="00BD7DB0"/>
    <w:rsid w:val="00BE0A75"/>
    <w:rsid w:val="00BE4259"/>
    <w:rsid w:val="00BF1E07"/>
    <w:rsid w:val="00C034C9"/>
    <w:rsid w:val="00C11892"/>
    <w:rsid w:val="00C127DA"/>
    <w:rsid w:val="00C20D25"/>
    <w:rsid w:val="00C21F58"/>
    <w:rsid w:val="00C24E72"/>
    <w:rsid w:val="00C2586B"/>
    <w:rsid w:val="00C31000"/>
    <w:rsid w:val="00C4558C"/>
    <w:rsid w:val="00C54C38"/>
    <w:rsid w:val="00C64946"/>
    <w:rsid w:val="00C67283"/>
    <w:rsid w:val="00C72E5B"/>
    <w:rsid w:val="00C743BB"/>
    <w:rsid w:val="00C7441E"/>
    <w:rsid w:val="00C83A7D"/>
    <w:rsid w:val="00C841E1"/>
    <w:rsid w:val="00C84F6F"/>
    <w:rsid w:val="00C95F05"/>
    <w:rsid w:val="00CA46E4"/>
    <w:rsid w:val="00CB1499"/>
    <w:rsid w:val="00CC17DE"/>
    <w:rsid w:val="00CC20C5"/>
    <w:rsid w:val="00CC43A0"/>
    <w:rsid w:val="00CC6B36"/>
    <w:rsid w:val="00CC77D8"/>
    <w:rsid w:val="00CC7D0D"/>
    <w:rsid w:val="00CD3CA9"/>
    <w:rsid w:val="00CD631D"/>
    <w:rsid w:val="00CD6B4E"/>
    <w:rsid w:val="00CE2154"/>
    <w:rsid w:val="00CE5E4F"/>
    <w:rsid w:val="00CF5AA4"/>
    <w:rsid w:val="00CF635D"/>
    <w:rsid w:val="00CF77F6"/>
    <w:rsid w:val="00D0623A"/>
    <w:rsid w:val="00D07F06"/>
    <w:rsid w:val="00D2237D"/>
    <w:rsid w:val="00D22394"/>
    <w:rsid w:val="00D2711C"/>
    <w:rsid w:val="00D32A7D"/>
    <w:rsid w:val="00D33D48"/>
    <w:rsid w:val="00D3404D"/>
    <w:rsid w:val="00D35478"/>
    <w:rsid w:val="00D37932"/>
    <w:rsid w:val="00D45EB8"/>
    <w:rsid w:val="00D46E54"/>
    <w:rsid w:val="00D47CB5"/>
    <w:rsid w:val="00D5247F"/>
    <w:rsid w:val="00D6160D"/>
    <w:rsid w:val="00D81149"/>
    <w:rsid w:val="00D82366"/>
    <w:rsid w:val="00D83DC5"/>
    <w:rsid w:val="00D920CB"/>
    <w:rsid w:val="00D925B1"/>
    <w:rsid w:val="00D936F3"/>
    <w:rsid w:val="00D9414C"/>
    <w:rsid w:val="00DA1063"/>
    <w:rsid w:val="00DA2424"/>
    <w:rsid w:val="00DA5DFD"/>
    <w:rsid w:val="00DA74F1"/>
    <w:rsid w:val="00DB29C5"/>
    <w:rsid w:val="00DC43F7"/>
    <w:rsid w:val="00DC6B7A"/>
    <w:rsid w:val="00DC6F57"/>
    <w:rsid w:val="00DD1F2C"/>
    <w:rsid w:val="00DD48D5"/>
    <w:rsid w:val="00DD6AC7"/>
    <w:rsid w:val="00DE5B17"/>
    <w:rsid w:val="00DF1E24"/>
    <w:rsid w:val="00DF7A33"/>
    <w:rsid w:val="00E06311"/>
    <w:rsid w:val="00E175A9"/>
    <w:rsid w:val="00E2431C"/>
    <w:rsid w:val="00E3270E"/>
    <w:rsid w:val="00E3495B"/>
    <w:rsid w:val="00E62AC3"/>
    <w:rsid w:val="00E6572C"/>
    <w:rsid w:val="00E72D19"/>
    <w:rsid w:val="00E7333F"/>
    <w:rsid w:val="00E73E5A"/>
    <w:rsid w:val="00E7475C"/>
    <w:rsid w:val="00E85CFF"/>
    <w:rsid w:val="00E960B7"/>
    <w:rsid w:val="00EB4BF9"/>
    <w:rsid w:val="00EB6C16"/>
    <w:rsid w:val="00EC2C1B"/>
    <w:rsid w:val="00EC75D6"/>
    <w:rsid w:val="00ED45A2"/>
    <w:rsid w:val="00ED4839"/>
    <w:rsid w:val="00ED7023"/>
    <w:rsid w:val="00ED7D88"/>
    <w:rsid w:val="00EE28B3"/>
    <w:rsid w:val="00EE7752"/>
    <w:rsid w:val="00EF116E"/>
    <w:rsid w:val="00EF398E"/>
    <w:rsid w:val="00EF67A7"/>
    <w:rsid w:val="00EF7425"/>
    <w:rsid w:val="00F0047B"/>
    <w:rsid w:val="00F00864"/>
    <w:rsid w:val="00F06B59"/>
    <w:rsid w:val="00F15D26"/>
    <w:rsid w:val="00F23429"/>
    <w:rsid w:val="00F332E9"/>
    <w:rsid w:val="00F4278D"/>
    <w:rsid w:val="00F44D16"/>
    <w:rsid w:val="00F522C0"/>
    <w:rsid w:val="00F60A42"/>
    <w:rsid w:val="00F61E7A"/>
    <w:rsid w:val="00F73B72"/>
    <w:rsid w:val="00F769C0"/>
    <w:rsid w:val="00F76B51"/>
    <w:rsid w:val="00F82469"/>
    <w:rsid w:val="00F827A4"/>
    <w:rsid w:val="00F9374C"/>
    <w:rsid w:val="00FA64C1"/>
    <w:rsid w:val="00FB269D"/>
    <w:rsid w:val="00FB64A8"/>
    <w:rsid w:val="00FC1B01"/>
    <w:rsid w:val="00FC7D56"/>
    <w:rsid w:val="00FD3B2C"/>
    <w:rsid w:val="00FE0BE9"/>
    <w:rsid w:val="00FE1A91"/>
    <w:rsid w:val="00FE33A3"/>
    <w:rsid w:val="00FF266C"/>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0AF7E25-EC4E-4F26-A377-D005ABA0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15378A"/>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15378A"/>
  </w:style>
  <w:style w:type="character" w:styleId="Funotenzeichen">
    <w:name w:val="footnote reference"/>
    <w:basedOn w:val="Absatz-Standardschriftart"/>
    <w:uiPriority w:val="99"/>
    <w:semiHidden/>
    <w:unhideWhenUsed/>
    <w:rsid w:val="0015378A"/>
    <w:rPr>
      <w:rFonts w:cs="Times New Roman"/>
      <w:vertAlign w:val="superscript"/>
    </w:rPr>
  </w:style>
  <w:style w:type="table" w:customStyle="1" w:styleId="TableNormal">
    <w:name w:val="Table Normal"/>
    <w:uiPriority w:val="2"/>
    <w:semiHidden/>
    <w:unhideWhenUsed/>
    <w:qFormat/>
    <w:rsid w:val="00E349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3495B"/>
    <w:pPr>
      <w:widowControl w:val="0"/>
      <w:autoSpaceDE w:val="0"/>
      <w:autoSpaceDN w:val="0"/>
      <w:spacing w:before="74"/>
      <w:ind w:left="200"/>
    </w:pPr>
    <w:rPr>
      <w:rFonts w:ascii="Times New Roman" w:hAnsi="Times New Roman"/>
      <w:sz w:val="22"/>
      <w:szCs w:val="22"/>
      <w:lang w:bidi="de-DE"/>
    </w:rPr>
  </w:style>
  <w:style w:type="paragraph" w:styleId="Textkrper">
    <w:name w:val="Body Text"/>
    <w:basedOn w:val="Standard"/>
    <w:link w:val="TextkrperZchn"/>
    <w:uiPriority w:val="1"/>
    <w:qFormat/>
    <w:rsid w:val="00E3495B"/>
    <w:pPr>
      <w:widowControl w:val="0"/>
      <w:autoSpaceDE w:val="0"/>
      <w:autoSpaceDN w:val="0"/>
    </w:pPr>
    <w:rPr>
      <w:rFonts w:ascii="Times New Roman" w:hAnsi="Times New Roman"/>
      <w:sz w:val="28"/>
      <w:szCs w:val="28"/>
      <w:lang w:bidi="de-DE"/>
    </w:rPr>
  </w:style>
  <w:style w:type="character" w:customStyle="1" w:styleId="TextkrperZchn">
    <w:name w:val="Textkörper Zchn"/>
    <w:basedOn w:val="Absatz-Standardschriftart"/>
    <w:link w:val="Textkrper"/>
    <w:uiPriority w:val="1"/>
    <w:rsid w:val="00E3495B"/>
    <w:rPr>
      <w:sz w:val="28"/>
      <w:szCs w:val="2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nenministerium.bayern.de/med/podcast/" TargetMode="External"/><Relationship Id="rId18" Type="http://schemas.openxmlformats.org/officeDocument/2006/relationships/hyperlink" Target="https://www.bayern.landtag.de/www/ElanTextAblage_WP18/Drucksachen/Basisdrucksachen/0000009500/0000009929_Flisek_Anlage.pdf" TargetMode="External"/><Relationship Id="rId26" Type="http://schemas.openxmlformats.org/officeDocument/2006/relationships/hyperlink" Target="https://www.bayern.landtag.de/www/ElanTextAblage_WP18/Drucksachen/Basisdrucksachen/0000009500/0000009929_Friedl_Anlage%205.pdf" TargetMode="External"/><Relationship Id="rId3" Type="http://schemas.openxmlformats.org/officeDocument/2006/relationships/styles" Target="styles.xml"/><Relationship Id="rId21" Type="http://schemas.openxmlformats.org/officeDocument/2006/relationships/hyperlink" Target="https://www.ausflugsticker.bayer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for.org" TargetMode="External"/><Relationship Id="rId25" Type="http://schemas.openxmlformats.org/officeDocument/2006/relationships/hyperlink" Target="https://www.bayern.landtag.de/www/ElanTextAblage_WP18/Drucksachen/Basisdrucksachen/0000009500/0000009929_Friedl_Anlage%204.pdf"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9500/0000009929_Rinderspacher_Anlage.pdf" TargetMode="External"/><Relationship Id="rId20" Type="http://schemas.openxmlformats.org/officeDocument/2006/relationships/hyperlink" Target="https://www.stmwi.bayern.d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09500/0000009929_Friedl_Anlage%20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9500/0000009929_Muthmann_Anlage.pdf" TargetMode="External"/><Relationship Id="rId23" Type="http://schemas.openxmlformats.org/officeDocument/2006/relationships/hyperlink" Target="https://www.bayern.landtag.de/www/ElanTextAblage_WP18/Drucksachen/Basisdrucksachen/0000009500/0000009929_Friedl_Anlage%202.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beg.bahnland-bayern.de/pressemitteilungen/beg-legt-gutachten-zum-fahrgastpotenzial-fuer-die-untere-steigerwaldbahn-vo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ier-christoph.de/post/geplante-demo-in-kempten-wer-steckt-hinter-kempten-gegen-rechts" TargetMode="External"/><Relationship Id="rId22" Type="http://schemas.openxmlformats.org/officeDocument/2006/relationships/hyperlink" Target="https://www.bayern.landtag.de/www/ElanTextAblage_WP18/Drucksachen/Basisdrucksachen/0000009500/0000009929_Friedl_Anlage%201.pdf" TargetMode="External"/><Relationship Id="rId27" Type="http://schemas.openxmlformats.org/officeDocument/2006/relationships/hyperlink" Target="https://www.bayern.landtag.de/www/ElanTextAblage_WP18/Drucksachen/Basisdrucksachen/0000009500/0000009929_Friedl_Anlage%206.pdf"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chrane.de/de/news/aktualisierter-cochrane-review-bewertet-zuverl%C3%A4ssigkeit-von-schnelltests-zum-nachweis-von-COV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0E96-7126-4CF1-9AF4-AE183B34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26752</Words>
  <Characters>168544</Characters>
  <Application>Microsoft Office Word</Application>
  <DocSecurity>8</DocSecurity>
  <Lines>1404</Lines>
  <Paragraphs>389</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194907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18/15472</dc:title>
  <dc:creator>Geier, Stephanie</dc:creator>
  <cp:lastModifiedBy>Geier, Stephanie (Bay. Landtag)</cp:lastModifiedBy>
  <cp:revision>2</cp:revision>
  <cp:lastPrinted>2006-11-23T10:15:00Z</cp:lastPrinted>
  <dcterms:created xsi:type="dcterms:W3CDTF">2021-07-13T12:55:00Z</dcterms:created>
  <dcterms:modified xsi:type="dcterms:W3CDTF">2021-07-13T12:55:00Z</dcterms:modified>
</cp:coreProperties>
</file>