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76475B">
      <w:pPr>
        <w:spacing w:before="1560"/>
        <w:ind w:firstLine="426"/>
        <w:rPr>
          <w:b/>
          <w:bCs/>
          <w:sz w:val="32"/>
          <w:szCs w:val="32"/>
        </w:rPr>
      </w:pPr>
      <w:bookmarkStart w:id="0" w:name="_GoBack"/>
      <w:bookmarkEnd w:id="0"/>
      <w:r w:rsidRPr="001E3461">
        <w:rPr>
          <w:b/>
          <w:bCs/>
          <w:sz w:val="32"/>
          <w:szCs w:val="32"/>
        </w:rPr>
        <w:t>Anfragen zum Plenum</w:t>
      </w:r>
    </w:p>
    <w:p w:rsidR="00717184" w:rsidRPr="00717184" w:rsidRDefault="0076475B" w:rsidP="00717184">
      <w:pPr>
        <w:spacing w:before="360"/>
        <w:ind w:left="360"/>
        <w:rPr>
          <w:b/>
        </w:rPr>
      </w:pPr>
      <w:r>
        <w:rPr>
          <w:b/>
        </w:rPr>
        <w:t xml:space="preserve">(Plenarsitzungen </w:t>
      </w:r>
      <w:r w:rsidR="003F02C0">
        <w:rPr>
          <w:b/>
        </w:rPr>
        <w:t>am</w:t>
      </w:r>
      <w:r w:rsidR="00717184" w:rsidRPr="00717184">
        <w:rPr>
          <w:b/>
        </w:rPr>
        <w:t xml:space="preserve"> </w:t>
      </w:r>
      <w:r>
        <w:rPr>
          <w:b/>
        </w:rPr>
        <w:t>10./11/12. Juli 2018</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0E3A3D" w:rsidRPr="005833DD">
        <w:tc>
          <w:tcPr>
            <w:tcW w:w="2500" w:type="pct"/>
            <w:tcBorders>
              <w:right w:val="single" w:sz="4" w:space="0" w:color="auto"/>
            </w:tcBorders>
          </w:tcPr>
          <w:p w:rsidR="000E3A3D" w:rsidRDefault="000E3A3D" w:rsidP="000E3A3D">
            <w:pPr>
              <w:pStyle w:val="LTVerzeichnisDerFragendenLinks"/>
            </w:pPr>
            <w:r>
              <w:t>Adelt, Klaus (SPD)</w:t>
            </w:r>
            <w:r>
              <w:tab/>
              <w:t>52</w:t>
            </w:r>
          </w:p>
        </w:tc>
        <w:tc>
          <w:tcPr>
            <w:tcW w:w="2500" w:type="pct"/>
            <w:tcBorders>
              <w:left w:val="single" w:sz="4" w:space="0" w:color="auto"/>
            </w:tcBorders>
          </w:tcPr>
          <w:p w:rsidR="000E3A3D" w:rsidRPr="005833DD" w:rsidRDefault="00423B2A" w:rsidP="000E3A3D">
            <w:pPr>
              <w:pStyle w:val="LTVerzeichnisDerFragendenRechts"/>
            </w:pPr>
            <w:r>
              <w:t>Muthmann, Alexander (f</w:t>
            </w:r>
            <w:r w:rsidR="000E3A3D">
              <w:t>raktionslos)</w:t>
            </w:r>
            <w:r w:rsidR="000E3A3D">
              <w:tab/>
              <w:t>22</w:t>
            </w:r>
          </w:p>
        </w:tc>
      </w:tr>
      <w:tr w:rsidR="000E3A3D" w:rsidRPr="00423B2A">
        <w:tc>
          <w:tcPr>
            <w:tcW w:w="2500" w:type="pct"/>
            <w:tcBorders>
              <w:right w:val="single" w:sz="4" w:space="0" w:color="auto"/>
            </w:tcBorders>
          </w:tcPr>
          <w:p w:rsidR="000E3A3D" w:rsidRDefault="000E3A3D" w:rsidP="000E3A3D">
            <w:pPr>
              <w:pStyle w:val="LTVerzeichnisDerFragendenLinks"/>
            </w:pPr>
            <w:r>
              <w:t>Aiwanger, Hubert (FREIE WÄHLER)</w:t>
            </w:r>
            <w:r>
              <w:tab/>
              <w:t>48</w:t>
            </w:r>
          </w:p>
        </w:tc>
        <w:tc>
          <w:tcPr>
            <w:tcW w:w="2500" w:type="pct"/>
            <w:tcBorders>
              <w:left w:val="single" w:sz="4" w:space="0" w:color="auto"/>
            </w:tcBorders>
          </w:tcPr>
          <w:p w:rsidR="000E3A3D" w:rsidRPr="00423B2A" w:rsidRDefault="000E3A3D" w:rsidP="00423B2A">
            <w:pPr>
              <w:pStyle w:val="LTVerzeichnisDerFragendenLinks"/>
              <w:rPr>
                <w:spacing w:val="-6"/>
              </w:rPr>
            </w:pPr>
            <w:r w:rsidRPr="00423B2A">
              <w:rPr>
                <w:spacing w:val="-6"/>
              </w:rPr>
              <w:t>Osgyan, Verena (BÜNDNIS 90/DIE GRÜNEN)</w:t>
            </w:r>
            <w:r w:rsidRPr="00423B2A">
              <w:rPr>
                <w:spacing w:val="-6"/>
              </w:rPr>
              <w:tab/>
              <w:t>57</w:t>
            </w:r>
          </w:p>
        </w:tc>
      </w:tr>
      <w:tr w:rsidR="000E3A3D" w:rsidRPr="005833DD">
        <w:tc>
          <w:tcPr>
            <w:tcW w:w="2500" w:type="pct"/>
            <w:tcBorders>
              <w:right w:val="single" w:sz="4" w:space="0" w:color="auto"/>
            </w:tcBorders>
          </w:tcPr>
          <w:p w:rsidR="000E3A3D" w:rsidRDefault="000E3A3D" w:rsidP="000E3A3D">
            <w:pPr>
              <w:pStyle w:val="LTVerzeichnisDerFragendenLinks"/>
            </w:pPr>
            <w:r>
              <w:t>Arnold, Horst (SPD)</w:t>
            </w:r>
            <w:r>
              <w:tab/>
              <w:t>53</w:t>
            </w:r>
          </w:p>
        </w:tc>
        <w:tc>
          <w:tcPr>
            <w:tcW w:w="2500" w:type="pct"/>
            <w:tcBorders>
              <w:left w:val="single" w:sz="4" w:space="0" w:color="auto"/>
            </w:tcBorders>
          </w:tcPr>
          <w:p w:rsidR="000E3A3D" w:rsidRPr="005833DD" w:rsidRDefault="000E3A3D" w:rsidP="000E3A3D">
            <w:pPr>
              <w:pStyle w:val="LTVerzeichnisDerFragendenRechts"/>
            </w:pPr>
            <w:r>
              <w:t>Pfaffmann, Hans-Ulrich (SPD)</w:t>
            </w:r>
            <w:r>
              <w:tab/>
              <w:t>3</w:t>
            </w:r>
          </w:p>
        </w:tc>
      </w:tr>
      <w:tr w:rsidR="000E3A3D" w:rsidRPr="005833DD">
        <w:tc>
          <w:tcPr>
            <w:tcW w:w="2500" w:type="pct"/>
            <w:tcBorders>
              <w:right w:val="single" w:sz="4" w:space="0" w:color="auto"/>
            </w:tcBorders>
          </w:tcPr>
          <w:p w:rsidR="000E3A3D" w:rsidRDefault="000E3A3D" w:rsidP="000E3A3D">
            <w:pPr>
              <w:pStyle w:val="LTVerzeichnisDerFragendenLinks"/>
            </w:pPr>
            <w:r>
              <w:t>Aures, Inge (SPD)</w:t>
            </w:r>
            <w:r>
              <w:tab/>
              <w:t>8</w:t>
            </w:r>
          </w:p>
        </w:tc>
        <w:tc>
          <w:tcPr>
            <w:tcW w:w="2500" w:type="pct"/>
            <w:tcBorders>
              <w:left w:val="single" w:sz="4" w:space="0" w:color="auto"/>
            </w:tcBorders>
          </w:tcPr>
          <w:p w:rsidR="000E3A3D" w:rsidRPr="005833DD" w:rsidRDefault="000E3A3D" w:rsidP="000E3A3D">
            <w:pPr>
              <w:pStyle w:val="LTVerzeichnisDerFragendenRechts"/>
            </w:pPr>
            <w:r>
              <w:t>Dr. Rabenstein, Christoph (SPD)</w:t>
            </w:r>
            <w:r>
              <w:tab/>
              <w:t>40</w:t>
            </w:r>
          </w:p>
        </w:tc>
      </w:tr>
      <w:tr w:rsidR="000E3A3D" w:rsidRPr="005833DD">
        <w:tc>
          <w:tcPr>
            <w:tcW w:w="2500" w:type="pct"/>
            <w:tcBorders>
              <w:right w:val="single" w:sz="4" w:space="0" w:color="auto"/>
            </w:tcBorders>
          </w:tcPr>
          <w:p w:rsidR="000E3A3D" w:rsidRPr="00423B2A" w:rsidRDefault="000E3A3D" w:rsidP="000E3A3D">
            <w:pPr>
              <w:pStyle w:val="LTVerzeichnisDerFragendenLinks"/>
              <w:rPr>
                <w:spacing w:val="-14"/>
              </w:rPr>
            </w:pPr>
            <w:r w:rsidRPr="00423B2A">
              <w:rPr>
                <w:spacing w:val="-14"/>
              </w:rPr>
              <w:t>Prof. (Univ. Lima) Dr. Bauer, Peter (FREIE WÄHLER)</w:t>
            </w:r>
            <w:r w:rsidRPr="00423B2A">
              <w:rPr>
                <w:spacing w:val="-14"/>
              </w:rPr>
              <w:tab/>
              <w:t>61</w:t>
            </w:r>
          </w:p>
        </w:tc>
        <w:tc>
          <w:tcPr>
            <w:tcW w:w="2500" w:type="pct"/>
            <w:tcBorders>
              <w:left w:val="single" w:sz="4" w:space="0" w:color="auto"/>
            </w:tcBorders>
          </w:tcPr>
          <w:p w:rsidR="000E3A3D" w:rsidRPr="005833DD" w:rsidRDefault="000E3A3D" w:rsidP="000E3A3D">
            <w:pPr>
              <w:pStyle w:val="LTVerzeichnisDerFragendenRechts"/>
            </w:pPr>
            <w:r>
              <w:t>Rauscher, Doris (SPD)</w:t>
            </w:r>
            <w:r>
              <w:tab/>
              <w:t>58</w:t>
            </w:r>
          </w:p>
        </w:tc>
      </w:tr>
      <w:tr w:rsidR="000E3A3D" w:rsidRPr="005833DD">
        <w:tc>
          <w:tcPr>
            <w:tcW w:w="2500" w:type="pct"/>
            <w:tcBorders>
              <w:right w:val="single" w:sz="4" w:space="0" w:color="auto"/>
            </w:tcBorders>
          </w:tcPr>
          <w:p w:rsidR="000E3A3D" w:rsidRDefault="000E3A3D" w:rsidP="000E3A3D">
            <w:pPr>
              <w:pStyle w:val="LTVerzeichnisDerFragendenLinks"/>
            </w:pPr>
            <w:r>
              <w:t>Biedefeld, Susann (SPD)</w:t>
            </w:r>
            <w:r>
              <w:tab/>
              <w:t>62</w:t>
            </w:r>
          </w:p>
        </w:tc>
        <w:tc>
          <w:tcPr>
            <w:tcW w:w="2500" w:type="pct"/>
            <w:tcBorders>
              <w:left w:val="single" w:sz="4" w:space="0" w:color="auto"/>
            </w:tcBorders>
          </w:tcPr>
          <w:p w:rsidR="000E3A3D" w:rsidRPr="005833DD" w:rsidRDefault="000E3A3D" w:rsidP="000E3A3D">
            <w:pPr>
              <w:pStyle w:val="LTVerzeichnisDerFragendenRechts"/>
            </w:pPr>
            <w:r>
              <w:t>Rinderspacher, Markus (SPD)</w:t>
            </w:r>
            <w:r>
              <w:tab/>
              <w:t>4</w:t>
            </w:r>
          </w:p>
        </w:tc>
      </w:tr>
      <w:tr w:rsidR="000E3A3D" w:rsidRPr="005833DD">
        <w:tc>
          <w:tcPr>
            <w:tcW w:w="2500" w:type="pct"/>
            <w:tcBorders>
              <w:right w:val="single" w:sz="4" w:space="0" w:color="auto"/>
            </w:tcBorders>
          </w:tcPr>
          <w:p w:rsidR="000E3A3D" w:rsidRDefault="00423B2A" w:rsidP="000E3A3D">
            <w:pPr>
              <w:pStyle w:val="LTVerzeichnisDerFragendenLinks"/>
            </w:pPr>
            <w:r>
              <w:t>von B</w:t>
            </w:r>
            <w:r w:rsidR="000E3A3D">
              <w:t>runn, Florian (SPD)</w:t>
            </w:r>
            <w:r w:rsidR="000E3A3D">
              <w:tab/>
              <w:t>44</w:t>
            </w:r>
          </w:p>
        </w:tc>
        <w:tc>
          <w:tcPr>
            <w:tcW w:w="2500" w:type="pct"/>
            <w:tcBorders>
              <w:left w:val="single" w:sz="4" w:space="0" w:color="auto"/>
            </w:tcBorders>
          </w:tcPr>
          <w:p w:rsidR="000E3A3D" w:rsidRPr="005833DD" w:rsidRDefault="000E3A3D" w:rsidP="000E3A3D">
            <w:pPr>
              <w:pStyle w:val="LTVerzeichnisDerFragendenRechts"/>
            </w:pPr>
            <w:r>
              <w:t>Ritter, Florian (SPD)</w:t>
            </w:r>
            <w:r>
              <w:tab/>
              <w:t>23</w:t>
            </w:r>
          </w:p>
        </w:tc>
      </w:tr>
      <w:tr w:rsidR="000E3A3D" w:rsidRPr="005833DD">
        <w:tc>
          <w:tcPr>
            <w:tcW w:w="2500" w:type="pct"/>
            <w:tcBorders>
              <w:right w:val="single" w:sz="4" w:space="0" w:color="auto"/>
            </w:tcBorders>
          </w:tcPr>
          <w:p w:rsidR="000E3A3D" w:rsidRDefault="000E3A3D" w:rsidP="000E3A3D">
            <w:pPr>
              <w:pStyle w:val="LTVerzeichnisDerFragendenLinks"/>
            </w:pPr>
            <w:r>
              <w:t>Celina, Kerstin (BÜNDNIS 90/DIE GRÜNEN)</w:t>
            </w:r>
            <w:r>
              <w:tab/>
              <w:t>9</w:t>
            </w:r>
          </w:p>
        </w:tc>
        <w:tc>
          <w:tcPr>
            <w:tcW w:w="2500" w:type="pct"/>
            <w:tcBorders>
              <w:left w:val="single" w:sz="4" w:space="0" w:color="auto"/>
            </w:tcBorders>
          </w:tcPr>
          <w:p w:rsidR="000E3A3D" w:rsidRPr="005833DD" w:rsidRDefault="000E3A3D" w:rsidP="000E3A3D">
            <w:pPr>
              <w:pStyle w:val="LTVerzeichnisDerFragendenRechts"/>
            </w:pPr>
            <w:r>
              <w:t>Roos, Bernhard (SPD)</w:t>
            </w:r>
            <w:r>
              <w:tab/>
              <w:t>41</w:t>
            </w:r>
          </w:p>
        </w:tc>
      </w:tr>
      <w:tr w:rsidR="000E3A3D" w:rsidRPr="005833DD">
        <w:tc>
          <w:tcPr>
            <w:tcW w:w="2500" w:type="pct"/>
            <w:tcBorders>
              <w:right w:val="single" w:sz="4" w:space="0" w:color="auto"/>
            </w:tcBorders>
          </w:tcPr>
          <w:p w:rsidR="000E3A3D" w:rsidRDefault="000E3A3D" w:rsidP="000E3A3D">
            <w:pPr>
              <w:pStyle w:val="LTVerzeichnisDerFragendenLinks"/>
            </w:pPr>
            <w:r>
              <w:t>Dr. Dürr, Sepp (BÜNDNIS 90/DIE GRÜNEN)</w:t>
            </w:r>
            <w:r>
              <w:tab/>
              <w:t>45</w:t>
            </w:r>
          </w:p>
        </w:tc>
        <w:tc>
          <w:tcPr>
            <w:tcW w:w="2500" w:type="pct"/>
            <w:tcBorders>
              <w:left w:val="single" w:sz="4" w:space="0" w:color="auto"/>
            </w:tcBorders>
          </w:tcPr>
          <w:p w:rsidR="000E3A3D" w:rsidRPr="005833DD" w:rsidRDefault="000E3A3D" w:rsidP="000E3A3D">
            <w:pPr>
              <w:pStyle w:val="LTVerzeichnisDerFragendenRechts"/>
            </w:pPr>
            <w:r>
              <w:t>Rosenthal, Georg (SPD)</w:t>
            </w:r>
            <w:r>
              <w:tab/>
              <w:t>5</w:t>
            </w:r>
          </w:p>
        </w:tc>
      </w:tr>
      <w:tr w:rsidR="000E3A3D" w:rsidRPr="005833DD">
        <w:tc>
          <w:tcPr>
            <w:tcW w:w="2500" w:type="pct"/>
            <w:tcBorders>
              <w:right w:val="single" w:sz="4" w:space="0" w:color="auto"/>
            </w:tcBorders>
          </w:tcPr>
          <w:p w:rsidR="000E3A3D" w:rsidRDefault="000E3A3D" w:rsidP="000E3A3D">
            <w:pPr>
              <w:pStyle w:val="LTVerzeichnisDerFragendenLinks"/>
            </w:pPr>
            <w:r>
              <w:t>Dr. Fahn, Hans Jürgen (FREIE WÄHLER)</w:t>
            </w:r>
            <w:r>
              <w:tab/>
              <w:t>20</w:t>
            </w:r>
          </w:p>
        </w:tc>
        <w:tc>
          <w:tcPr>
            <w:tcW w:w="2500" w:type="pct"/>
            <w:tcBorders>
              <w:left w:val="single" w:sz="4" w:space="0" w:color="auto"/>
            </w:tcBorders>
          </w:tcPr>
          <w:p w:rsidR="000E3A3D" w:rsidRPr="005833DD" w:rsidRDefault="000E3A3D" w:rsidP="000E3A3D">
            <w:pPr>
              <w:pStyle w:val="LTVerzeichnisDerFragendenRechts"/>
            </w:pPr>
            <w:r>
              <w:t>Scheuenstuhl, Harry (SPD)</w:t>
            </w:r>
            <w:r>
              <w:tab/>
              <w:t>13</w:t>
            </w:r>
          </w:p>
        </w:tc>
      </w:tr>
      <w:tr w:rsidR="000E3A3D" w:rsidRPr="005833DD">
        <w:tc>
          <w:tcPr>
            <w:tcW w:w="2500" w:type="pct"/>
            <w:tcBorders>
              <w:right w:val="single" w:sz="4" w:space="0" w:color="auto"/>
            </w:tcBorders>
          </w:tcPr>
          <w:p w:rsidR="000E3A3D" w:rsidRDefault="000E3A3D" w:rsidP="000E3A3D">
            <w:pPr>
              <w:pStyle w:val="LTVerzeichnisDerFragendenLinks"/>
            </w:pPr>
            <w:r>
              <w:t>Fehlner, Martina (SPD)</w:t>
            </w:r>
            <w:r>
              <w:tab/>
              <w:t>38</w:t>
            </w:r>
          </w:p>
        </w:tc>
        <w:tc>
          <w:tcPr>
            <w:tcW w:w="2500" w:type="pct"/>
            <w:tcBorders>
              <w:left w:val="single" w:sz="4" w:space="0" w:color="auto"/>
            </w:tcBorders>
          </w:tcPr>
          <w:p w:rsidR="000E3A3D" w:rsidRPr="005833DD" w:rsidRDefault="000E3A3D" w:rsidP="000E3A3D">
            <w:pPr>
              <w:pStyle w:val="LTVerzeichnisDerFragendenRechts"/>
            </w:pPr>
            <w:r>
              <w:t>Schindler, Franz (SPD)</w:t>
            </w:r>
            <w:r>
              <w:tab/>
              <w:t>29</w:t>
            </w:r>
          </w:p>
        </w:tc>
      </w:tr>
      <w:tr w:rsidR="000E3A3D" w:rsidRPr="005833DD">
        <w:tc>
          <w:tcPr>
            <w:tcW w:w="2500" w:type="pct"/>
            <w:tcBorders>
              <w:right w:val="single" w:sz="4" w:space="0" w:color="auto"/>
            </w:tcBorders>
          </w:tcPr>
          <w:p w:rsidR="000E3A3D" w:rsidRDefault="000E3A3D" w:rsidP="00423B2A">
            <w:pPr>
              <w:pStyle w:val="LTVerzeichnisDerFragendenLinks"/>
            </w:pPr>
            <w:r>
              <w:t>Felbinger, Günther (</w:t>
            </w:r>
            <w:r w:rsidR="00423B2A">
              <w:t>f</w:t>
            </w:r>
            <w:r>
              <w:t>raktionslos)</w:t>
            </w:r>
            <w:r>
              <w:tab/>
              <w:t>30</w:t>
            </w:r>
          </w:p>
        </w:tc>
        <w:tc>
          <w:tcPr>
            <w:tcW w:w="2500" w:type="pct"/>
            <w:tcBorders>
              <w:left w:val="single" w:sz="4" w:space="0" w:color="auto"/>
            </w:tcBorders>
          </w:tcPr>
          <w:p w:rsidR="000E3A3D" w:rsidRPr="005833DD" w:rsidRDefault="000E3A3D" w:rsidP="000E3A3D">
            <w:pPr>
              <w:pStyle w:val="LTVerzeichnisDerFragendenRechts"/>
            </w:pPr>
            <w:r>
              <w:t>Schmidt, Gabi (FREIE WÄHLER)</w:t>
            </w:r>
            <w:r>
              <w:tab/>
              <w:t>59</w:t>
            </w:r>
          </w:p>
        </w:tc>
      </w:tr>
      <w:tr w:rsidR="000E3A3D" w:rsidRPr="005833DD">
        <w:tc>
          <w:tcPr>
            <w:tcW w:w="2500" w:type="pct"/>
            <w:tcBorders>
              <w:right w:val="single" w:sz="4" w:space="0" w:color="auto"/>
            </w:tcBorders>
          </w:tcPr>
          <w:p w:rsidR="000E3A3D" w:rsidRPr="00423B2A" w:rsidRDefault="000E3A3D" w:rsidP="000E3A3D">
            <w:pPr>
              <w:pStyle w:val="LTVerzeichnisDerFragendenLinks"/>
              <w:rPr>
                <w:spacing w:val="-6"/>
              </w:rPr>
            </w:pPr>
            <w:r w:rsidRPr="00423B2A">
              <w:rPr>
                <w:spacing w:val="-6"/>
              </w:rPr>
              <w:t>Ganserer, Markus (BÜNDNIS 90/DIE GRÜNEN)</w:t>
            </w:r>
            <w:r w:rsidRPr="00423B2A">
              <w:rPr>
                <w:spacing w:val="-6"/>
              </w:rPr>
              <w:tab/>
              <w:t>54</w:t>
            </w:r>
          </w:p>
        </w:tc>
        <w:tc>
          <w:tcPr>
            <w:tcW w:w="2500" w:type="pct"/>
            <w:tcBorders>
              <w:left w:val="single" w:sz="4" w:space="0" w:color="auto"/>
            </w:tcBorders>
          </w:tcPr>
          <w:p w:rsidR="000E3A3D" w:rsidRPr="005833DD" w:rsidRDefault="000E3A3D" w:rsidP="000E3A3D">
            <w:pPr>
              <w:pStyle w:val="LTVerzeichnisDerFragendenRechts"/>
            </w:pPr>
            <w:r>
              <w:t>Schmitt-Bussinger, Helga (SPD)</w:t>
            </w:r>
            <w:r>
              <w:tab/>
              <w:t>14</w:t>
            </w:r>
          </w:p>
        </w:tc>
      </w:tr>
      <w:tr w:rsidR="000E3A3D" w:rsidRPr="00423B2A">
        <w:tc>
          <w:tcPr>
            <w:tcW w:w="2500" w:type="pct"/>
            <w:tcBorders>
              <w:right w:val="single" w:sz="4" w:space="0" w:color="auto"/>
            </w:tcBorders>
          </w:tcPr>
          <w:p w:rsidR="000E3A3D" w:rsidRDefault="000E3A3D" w:rsidP="000E3A3D">
            <w:pPr>
              <w:pStyle w:val="LTVerzeichnisDerFragendenLinks"/>
            </w:pPr>
            <w:r>
              <w:t>Prof. Dr. Gantzer, Peter Paul (SPD)</w:t>
            </w:r>
            <w:r>
              <w:tab/>
              <w:t>28</w:t>
            </w:r>
          </w:p>
        </w:tc>
        <w:tc>
          <w:tcPr>
            <w:tcW w:w="2500" w:type="pct"/>
            <w:tcBorders>
              <w:left w:val="single" w:sz="4" w:space="0" w:color="auto"/>
            </w:tcBorders>
          </w:tcPr>
          <w:p w:rsidR="000E3A3D" w:rsidRPr="00423B2A" w:rsidRDefault="000E3A3D" w:rsidP="00423B2A">
            <w:pPr>
              <w:pStyle w:val="LTVerzeichnisDerFragendenLinks"/>
              <w:rPr>
                <w:spacing w:val="-6"/>
              </w:rPr>
            </w:pPr>
            <w:r w:rsidRPr="00423B2A">
              <w:rPr>
                <w:spacing w:val="-6"/>
              </w:rPr>
              <w:t>Schulze, Katharina (BÜNDNIS 90/DIE GRÜNEN)</w:t>
            </w:r>
            <w:r w:rsidRPr="00423B2A">
              <w:rPr>
                <w:spacing w:val="-6"/>
              </w:rPr>
              <w:tab/>
              <w:t>15</w:t>
            </w:r>
          </w:p>
        </w:tc>
      </w:tr>
      <w:tr w:rsidR="000E3A3D" w:rsidRPr="005833DD">
        <w:tc>
          <w:tcPr>
            <w:tcW w:w="2500" w:type="pct"/>
            <w:tcBorders>
              <w:right w:val="single" w:sz="4" w:space="0" w:color="auto"/>
            </w:tcBorders>
          </w:tcPr>
          <w:p w:rsidR="000E3A3D" w:rsidRPr="00423B2A" w:rsidRDefault="000E3A3D" w:rsidP="000E3A3D">
            <w:pPr>
              <w:pStyle w:val="LTVerzeichnisDerFragendenLinks"/>
              <w:rPr>
                <w:spacing w:val="-6"/>
              </w:rPr>
            </w:pPr>
            <w:r w:rsidRPr="00423B2A">
              <w:rPr>
                <w:spacing w:val="-6"/>
              </w:rPr>
              <w:t>Gehring, Thomas (BÜNDNIS 90/DIE GRÜNEN)</w:t>
            </w:r>
            <w:r w:rsidRPr="00423B2A">
              <w:rPr>
                <w:spacing w:val="-6"/>
              </w:rPr>
              <w:tab/>
              <w:t>31</w:t>
            </w:r>
          </w:p>
        </w:tc>
        <w:tc>
          <w:tcPr>
            <w:tcW w:w="2500" w:type="pct"/>
            <w:tcBorders>
              <w:left w:val="single" w:sz="4" w:space="0" w:color="auto"/>
            </w:tcBorders>
          </w:tcPr>
          <w:p w:rsidR="000E3A3D" w:rsidRPr="005833DD" w:rsidRDefault="000E3A3D" w:rsidP="000E3A3D">
            <w:pPr>
              <w:pStyle w:val="LTVerzeichnisDerFragendenRechts"/>
            </w:pPr>
            <w:r>
              <w:t>Schuster, Stefan (SPD)</w:t>
            </w:r>
            <w:r>
              <w:tab/>
              <w:t>24</w:t>
            </w:r>
          </w:p>
        </w:tc>
      </w:tr>
      <w:tr w:rsidR="000E3A3D" w:rsidRPr="005833DD">
        <w:tc>
          <w:tcPr>
            <w:tcW w:w="2500" w:type="pct"/>
            <w:tcBorders>
              <w:right w:val="single" w:sz="4" w:space="0" w:color="auto"/>
            </w:tcBorders>
          </w:tcPr>
          <w:p w:rsidR="000E3A3D" w:rsidRDefault="000E3A3D" w:rsidP="000E3A3D">
            <w:pPr>
              <w:pStyle w:val="LTVerzeichnisDerFragendenLinks"/>
            </w:pPr>
            <w:r>
              <w:t>Gote, Ulrike (BÜNDNIS 90/DIE GRÜNEN)</w:t>
            </w:r>
            <w:r>
              <w:tab/>
              <w:t>49</w:t>
            </w:r>
          </w:p>
        </w:tc>
        <w:tc>
          <w:tcPr>
            <w:tcW w:w="2500" w:type="pct"/>
            <w:tcBorders>
              <w:left w:val="single" w:sz="4" w:space="0" w:color="auto"/>
            </w:tcBorders>
          </w:tcPr>
          <w:p w:rsidR="000E3A3D" w:rsidRPr="005833DD" w:rsidRDefault="000E3A3D" w:rsidP="000E3A3D">
            <w:pPr>
              <w:pStyle w:val="LTVerzeichnisDerFragendenRechts"/>
            </w:pPr>
            <w:r>
              <w:t>Sengl, Gisela (BÜNDNIS 90/DIE GRÜNEN)</w:t>
            </w:r>
            <w:r>
              <w:tab/>
              <w:t>51</w:t>
            </w:r>
          </w:p>
        </w:tc>
      </w:tr>
      <w:tr w:rsidR="000E3A3D" w:rsidRPr="005833DD">
        <w:tc>
          <w:tcPr>
            <w:tcW w:w="2500" w:type="pct"/>
            <w:tcBorders>
              <w:right w:val="single" w:sz="4" w:space="0" w:color="auto"/>
            </w:tcBorders>
          </w:tcPr>
          <w:p w:rsidR="000E3A3D" w:rsidRDefault="000E3A3D" w:rsidP="000E3A3D">
            <w:pPr>
              <w:pStyle w:val="LTVerzeichnisDerFragendenLinks"/>
            </w:pPr>
            <w:r>
              <w:t>Gottstein, Eva (FREIE WÄHLER)</w:t>
            </w:r>
            <w:r>
              <w:tab/>
              <w:t>36</w:t>
            </w:r>
          </w:p>
        </w:tc>
        <w:tc>
          <w:tcPr>
            <w:tcW w:w="2500" w:type="pct"/>
            <w:tcBorders>
              <w:left w:val="single" w:sz="4" w:space="0" w:color="auto"/>
            </w:tcBorders>
          </w:tcPr>
          <w:p w:rsidR="000E3A3D" w:rsidRPr="005833DD" w:rsidRDefault="000E3A3D" w:rsidP="000E3A3D">
            <w:pPr>
              <w:pStyle w:val="LTVerzeichnisDerFragendenRechts"/>
            </w:pPr>
            <w:r>
              <w:t>Stachowitz, Diana (SPD)</w:t>
            </w:r>
            <w:r>
              <w:tab/>
              <w:t>42</w:t>
            </w:r>
          </w:p>
        </w:tc>
      </w:tr>
      <w:tr w:rsidR="000E3A3D" w:rsidRPr="005833DD">
        <w:tc>
          <w:tcPr>
            <w:tcW w:w="2500" w:type="pct"/>
            <w:tcBorders>
              <w:right w:val="single" w:sz="4" w:space="0" w:color="auto"/>
            </w:tcBorders>
          </w:tcPr>
          <w:p w:rsidR="000E3A3D" w:rsidRDefault="000E3A3D" w:rsidP="000E3A3D">
            <w:pPr>
              <w:pStyle w:val="LTVerzeichnisDerFragendenLinks"/>
            </w:pPr>
            <w:r>
              <w:t>Güll, Martin (SPD)</w:t>
            </w:r>
            <w:r>
              <w:tab/>
              <w:t>32</w:t>
            </w:r>
          </w:p>
        </w:tc>
        <w:tc>
          <w:tcPr>
            <w:tcW w:w="2500" w:type="pct"/>
            <w:tcBorders>
              <w:left w:val="single" w:sz="4" w:space="0" w:color="auto"/>
            </w:tcBorders>
          </w:tcPr>
          <w:p w:rsidR="000E3A3D" w:rsidRPr="005833DD" w:rsidRDefault="00423B2A" w:rsidP="000E3A3D">
            <w:pPr>
              <w:pStyle w:val="LTVerzeichnisDerFragendenRechts"/>
            </w:pPr>
            <w:r>
              <w:t>Stamm, Claudia (f</w:t>
            </w:r>
            <w:r w:rsidR="000E3A3D">
              <w:t>raktionslos)</w:t>
            </w:r>
            <w:r w:rsidR="000E3A3D">
              <w:tab/>
              <w:t>60</w:t>
            </w:r>
          </w:p>
        </w:tc>
      </w:tr>
      <w:tr w:rsidR="000E3A3D" w:rsidRPr="005833DD">
        <w:tc>
          <w:tcPr>
            <w:tcW w:w="2500" w:type="pct"/>
            <w:tcBorders>
              <w:right w:val="single" w:sz="4" w:space="0" w:color="auto"/>
            </w:tcBorders>
          </w:tcPr>
          <w:p w:rsidR="000E3A3D" w:rsidRDefault="000E3A3D" w:rsidP="000E3A3D">
            <w:pPr>
              <w:pStyle w:val="LTVerzeichnisDerFragendenLinks"/>
            </w:pPr>
            <w:r>
              <w:t>Güller, Harald (SPD)</w:t>
            </w:r>
            <w:r>
              <w:tab/>
              <w:t>10</w:t>
            </w:r>
          </w:p>
        </w:tc>
        <w:tc>
          <w:tcPr>
            <w:tcW w:w="2500" w:type="pct"/>
            <w:tcBorders>
              <w:left w:val="single" w:sz="4" w:space="0" w:color="auto"/>
            </w:tcBorders>
          </w:tcPr>
          <w:p w:rsidR="000E3A3D" w:rsidRPr="005833DD" w:rsidRDefault="000E3A3D" w:rsidP="00423B2A">
            <w:pPr>
              <w:pStyle w:val="LTVerzeichnisDerFragendenLinks"/>
            </w:pPr>
            <w:r w:rsidRPr="00423B2A">
              <w:rPr>
                <w:spacing w:val="-6"/>
              </w:rPr>
              <w:t>Steinberger, Rosi (BÜNDNIS 90/DIE GRÜNEN)</w:t>
            </w:r>
            <w:r w:rsidRPr="00423B2A">
              <w:rPr>
                <w:spacing w:val="-6"/>
              </w:rPr>
              <w:tab/>
              <w:t>25</w:t>
            </w:r>
          </w:p>
        </w:tc>
      </w:tr>
      <w:tr w:rsidR="000E3A3D" w:rsidRPr="005833DD">
        <w:tc>
          <w:tcPr>
            <w:tcW w:w="2500" w:type="pct"/>
            <w:tcBorders>
              <w:right w:val="single" w:sz="4" w:space="0" w:color="auto"/>
            </w:tcBorders>
          </w:tcPr>
          <w:p w:rsidR="000E3A3D" w:rsidRDefault="000E3A3D" w:rsidP="000E3A3D">
            <w:pPr>
              <w:pStyle w:val="LTVerzeichnisDerFragendenLinks"/>
            </w:pPr>
            <w:r>
              <w:t>Halbleib, Volkmar (SPD)</w:t>
            </w:r>
            <w:r>
              <w:tab/>
              <w:t>39</w:t>
            </w:r>
          </w:p>
        </w:tc>
        <w:tc>
          <w:tcPr>
            <w:tcW w:w="2500" w:type="pct"/>
            <w:tcBorders>
              <w:left w:val="single" w:sz="4" w:space="0" w:color="auto"/>
            </w:tcBorders>
          </w:tcPr>
          <w:p w:rsidR="000E3A3D" w:rsidRPr="005833DD" w:rsidRDefault="000E3A3D" w:rsidP="000E3A3D">
            <w:pPr>
              <w:pStyle w:val="LTVerzeichnisDerFragendenRechts"/>
            </w:pPr>
            <w:r>
              <w:t>Streibl, Florian (FREIE WÄHLER)</w:t>
            </w:r>
            <w:r>
              <w:tab/>
              <w:t>16</w:t>
            </w:r>
          </w:p>
        </w:tc>
      </w:tr>
      <w:tr w:rsidR="000E3A3D" w:rsidRPr="005833DD">
        <w:tc>
          <w:tcPr>
            <w:tcW w:w="2500" w:type="pct"/>
            <w:tcBorders>
              <w:right w:val="single" w:sz="4" w:space="0" w:color="auto"/>
            </w:tcBorders>
          </w:tcPr>
          <w:p w:rsidR="000E3A3D" w:rsidRPr="00423B2A" w:rsidRDefault="000E3A3D" w:rsidP="000E3A3D">
            <w:pPr>
              <w:pStyle w:val="LTVerzeichnisDerFragendenLinks"/>
              <w:rPr>
                <w:spacing w:val="-6"/>
              </w:rPr>
            </w:pPr>
            <w:r w:rsidRPr="00423B2A">
              <w:rPr>
                <w:spacing w:val="-6"/>
              </w:rPr>
              <w:t>Hartmann, Ludwig (BÜNDNIS 90/DIE GRÜNEN)</w:t>
            </w:r>
            <w:r w:rsidRPr="00423B2A">
              <w:rPr>
                <w:spacing w:val="-6"/>
              </w:rPr>
              <w:tab/>
              <w:t>1</w:t>
            </w:r>
          </w:p>
        </w:tc>
        <w:tc>
          <w:tcPr>
            <w:tcW w:w="2500" w:type="pct"/>
            <w:tcBorders>
              <w:left w:val="single" w:sz="4" w:space="0" w:color="auto"/>
            </w:tcBorders>
          </w:tcPr>
          <w:p w:rsidR="000E3A3D" w:rsidRPr="005833DD" w:rsidRDefault="000E3A3D" w:rsidP="000E3A3D">
            <w:pPr>
              <w:pStyle w:val="LTVerzeichnisDerFragendenRechts"/>
            </w:pPr>
            <w:r>
              <w:t>Strobl, Reinhold (SPD)</w:t>
            </w:r>
            <w:r>
              <w:tab/>
              <w:t>26</w:t>
            </w:r>
          </w:p>
        </w:tc>
      </w:tr>
      <w:tr w:rsidR="000E3A3D" w:rsidRPr="005833DD">
        <w:tc>
          <w:tcPr>
            <w:tcW w:w="2500" w:type="pct"/>
            <w:tcBorders>
              <w:right w:val="single" w:sz="4" w:space="0" w:color="auto"/>
            </w:tcBorders>
          </w:tcPr>
          <w:p w:rsidR="000E3A3D" w:rsidRDefault="000E3A3D" w:rsidP="000E3A3D">
            <w:pPr>
              <w:pStyle w:val="LTVerzeichnisDerFragendenLinks"/>
            </w:pPr>
            <w:r>
              <w:lastRenderedPageBreak/>
              <w:t>Dr. Herz, Leopold (FREIE WÄHLER)</w:t>
            </w:r>
            <w:r>
              <w:tab/>
              <w:t>33</w:t>
            </w:r>
          </w:p>
        </w:tc>
        <w:tc>
          <w:tcPr>
            <w:tcW w:w="2500" w:type="pct"/>
            <w:tcBorders>
              <w:left w:val="single" w:sz="4" w:space="0" w:color="auto"/>
            </w:tcBorders>
          </w:tcPr>
          <w:p w:rsidR="000E3A3D" w:rsidRPr="005833DD" w:rsidRDefault="000E3A3D" w:rsidP="000E3A3D">
            <w:pPr>
              <w:pStyle w:val="LTVerzeichnisDerFragendenRechts"/>
            </w:pPr>
            <w:r>
              <w:t>Dr. Strohmayr, Simone (SPD)</w:t>
            </w:r>
            <w:r>
              <w:tab/>
              <w:t>34</w:t>
            </w:r>
          </w:p>
        </w:tc>
      </w:tr>
      <w:tr w:rsidR="000E3A3D" w:rsidRPr="005833DD">
        <w:tc>
          <w:tcPr>
            <w:tcW w:w="2500" w:type="pct"/>
            <w:tcBorders>
              <w:right w:val="single" w:sz="4" w:space="0" w:color="auto"/>
            </w:tcBorders>
          </w:tcPr>
          <w:p w:rsidR="000E3A3D" w:rsidRDefault="000E3A3D" w:rsidP="000E3A3D">
            <w:pPr>
              <w:pStyle w:val="LTVerzeichnisDerFragendenLinks"/>
            </w:pPr>
            <w:r>
              <w:t>Hiersemann, Alexandra (SPD)</w:t>
            </w:r>
            <w:r>
              <w:tab/>
              <w:t>11</w:t>
            </w:r>
          </w:p>
        </w:tc>
        <w:tc>
          <w:tcPr>
            <w:tcW w:w="2500" w:type="pct"/>
            <w:tcBorders>
              <w:left w:val="single" w:sz="4" w:space="0" w:color="auto"/>
            </w:tcBorders>
          </w:tcPr>
          <w:p w:rsidR="000E3A3D" w:rsidRPr="00423B2A" w:rsidRDefault="000E3A3D" w:rsidP="00423B2A">
            <w:pPr>
              <w:pStyle w:val="LTVerzeichnisDerFragendenLinks"/>
              <w:rPr>
                <w:spacing w:val="-6"/>
              </w:rPr>
            </w:pPr>
            <w:r w:rsidRPr="00423B2A">
              <w:rPr>
                <w:spacing w:val="-6"/>
              </w:rPr>
              <w:t>Stümpfig, Martin (BÜNDNIS 90/DIE GRÜNEN)</w:t>
            </w:r>
            <w:r w:rsidRPr="00423B2A">
              <w:rPr>
                <w:spacing w:val="-6"/>
              </w:rPr>
              <w:tab/>
              <w:t>17</w:t>
            </w:r>
          </w:p>
        </w:tc>
      </w:tr>
      <w:tr w:rsidR="000E3A3D" w:rsidRPr="005833DD">
        <w:tc>
          <w:tcPr>
            <w:tcW w:w="2500" w:type="pct"/>
            <w:tcBorders>
              <w:right w:val="single" w:sz="4" w:space="0" w:color="auto"/>
            </w:tcBorders>
          </w:tcPr>
          <w:p w:rsidR="000E3A3D" w:rsidRPr="00423B2A" w:rsidRDefault="000E3A3D" w:rsidP="000E3A3D">
            <w:pPr>
              <w:pStyle w:val="LTVerzeichnisDerFragendenLinks"/>
              <w:rPr>
                <w:spacing w:val="-6"/>
              </w:rPr>
            </w:pPr>
            <w:r w:rsidRPr="00423B2A">
              <w:rPr>
                <w:spacing w:val="-6"/>
              </w:rPr>
              <w:t>Kamm, Christine (BÜNDNIS 90/DIE GRÜNEN)</w:t>
            </w:r>
            <w:r w:rsidRPr="00423B2A">
              <w:rPr>
                <w:spacing w:val="-6"/>
              </w:rPr>
              <w:tab/>
              <w:t>12</w:t>
            </w:r>
          </w:p>
        </w:tc>
        <w:tc>
          <w:tcPr>
            <w:tcW w:w="2500" w:type="pct"/>
            <w:tcBorders>
              <w:left w:val="single" w:sz="4" w:space="0" w:color="auto"/>
            </w:tcBorders>
          </w:tcPr>
          <w:p w:rsidR="000E3A3D" w:rsidRPr="005833DD" w:rsidRDefault="000E3A3D" w:rsidP="00423B2A">
            <w:pPr>
              <w:pStyle w:val="LTVerzeichnisDerFragendenRechts"/>
            </w:pPr>
            <w:r>
              <w:t>Ta</w:t>
            </w:r>
            <w:r w:rsidR="00423B2A">
              <w:rPr>
                <w:rFonts w:cs="Arial"/>
              </w:rPr>
              <w:t>ş</w:t>
            </w:r>
            <w:r>
              <w:t>delen, Arif (SPD)</w:t>
            </w:r>
            <w:r>
              <w:tab/>
              <w:t>6</w:t>
            </w:r>
          </w:p>
        </w:tc>
      </w:tr>
      <w:tr w:rsidR="000E3A3D" w:rsidRPr="005833DD">
        <w:tc>
          <w:tcPr>
            <w:tcW w:w="2500" w:type="pct"/>
            <w:tcBorders>
              <w:right w:val="single" w:sz="4" w:space="0" w:color="auto"/>
            </w:tcBorders>
          </w:tcPr>
          <w:p w:rsidR="000E3A3D" w:rsidRDefault="000E3A3D" w:rsidP="000E3A3D">
            <w:pPr>
              <w:pStyle w:val="LTVerzeichnisDerFragendenLinks"/>
            </w:pPr>
            <w:r>
              <w:t>Karl, Annette (SPD)</w:t>
            </w:r>
            <w:r>
              <w:tab/>
              <w:t>46</w:t>
            </w:r>
          </w:p>
        </w:tc>
        <w:tc>
          <w:tcPr>
            <w:tcW w:w="2500" w:type="pct"/>
            <w:tcBorders>
              <w:left w:val="single" w:sz="4" w:space="0" w:color="auto"/>
            </w:tcBorders>
          </w:tcPr>
          <w:p w:rsidR="000E3A3D" w:rsidRPr="005833DD" w:rsidRDefault="000E3A3D" w:rsidP="000E3A3D">
            <w:pPr>
              <w:pStyle w:val="LTVerzeichnisDerFragendenRechts"/>
            </w:pPr>
            <w:r>
              <w:t>Waldmann, Ruth (SPD)</w:t>
            </w:r>
            <w:r>
              <w:tab/>
              <w:t>65</w:t>
            </w:r>
          </w:p>
        </w:tc>
      </w:tr>
      <w:tr w:rsidR="000E3A3D" w:rsidRPr="005833DD">
        <w:tc>
          <w:tcPr>
            <w:tcW w:w="2500" w:type="pct"/>
            <w:tcBorders>
              <w:right w:val="single" w:sz="4" w:space="0" w:color="auto"/>
            </w:tcBorders>
          </w:tcPr>
          <w:p w:rsidR="000E3A3D" w:rsidRDefault="000E3A3D" w:rsidP="000E3A3D">
            <w:pPr>
              <w:pStyle w:val="LTVerzeichnisDerFragendenLinks"/>
            </w:pPr>
            <w:r>
              <w:t>Knoblauch, Günther (SPD)</w:t>
            </w:r>
            <w:r>
              <w:tab/>
              <w:t>63</w:t>
            </w:r>
          </w:p>
        </w:tc>
        <w:tc>
          <w:tcPr>
            <w:tcW w:w="2500" w:type="pct"/>
            <w:tcBorders>
              <w:left w:val="single" w:sz="4" w:space="0" w:color="auto"/>
            </w:tcBorders>
          </w:tcPr>
          <w:p w:rsidR="000E3A3D" w:rsidRPr="005833DD" w:rsidRDefault="000E3A3D" w:rsidP="000E3A3D">
            <w:pPr>
              <w:pStyle w:val="LTVerzeichnisDerFragendenRechts"/>
            </w:pPr>
            <w:r>
              <w:t>Weikert, Angelika (SPD)</w:t>
            </w:r>
            <w:r>
              <w:tab/>
              <w:t>18</w:t>
            </w:r>
          </w:p>
        </w:tc>
      </w:tr>
      <w:tr w:rsidR="000E3A3D" w:rsidRPr="005833DD">
        <w:tc>
          <w:tcPr>
            <w:tcW w:w="2500" w:type="pct"/>
            <w:tcBorders>
              <w:right w:val="single" w:sz="4" w:space="0" w:color="auto"/>
            </w:tcBorders>
          </w:tcPr>
          <w:p w:rsidR="000E3A3D" w:rsidRDefault="000E3A3D" w:rsidP="000E3A3D">
            <w:pPr>
              <w:pStyle w:val="LTVerzeichnisDerFragendenLinks"/>
            </w:pPr>
            <w:r>
              <w:t>Dr. Kränzlein, Herbert (SPD)</w:t>
            </w:r>
            <w:r>
              <w:tab/>
              <w:t>2</w:t>
            </w:r>
          </w:p>
        </w:tc>
        <w:tc>
          <w:tcPr>
            <w:tcW w:w="2500" w:type="pct"/>
            <w:tcBorders>
              <w:left w:val="single" w:sz="4" w:space="0" w:color="auto"/>
            </w:tcBorders>
          </w:tcPr>
          <w:p w:rsidR="000E3A3D" w:rsidRPr="005833DD" w:rsidRDefault="000E3A3D" w:rsidP="000E3A3D">
            <w:pPr>
              <w:pStyle w:val="LTVerzeichnisDerFragendenRechts"/>
            </w:pPr>
            <w:r>
              <w:t>Dr. Wengert, Paul (SPD)</w:t>
            </w:r>
            <w:r>
              <w:tab/>
              <w:t>27</w:t>
            </w:r>
          </w:p>
        </w:tc>
      </w:tr>
      <w:tr w:rsidR="000E3A3D" w:rsidRPr="005833DD">
        <w:tc>
          <w:tcPr>
            <w:tcW w:w="2500" w:type="pct"/>
            <w:tcBorders>
              <w:right w:val="single" w:sz="4" w:space="0" w:color="auto"/>
            </w:tcBorders>
          </w:tcPr>
          <w:p w:rsidR="000E3A3D" w:rsidRDefault="000E3A3D" w:rsidP="000E3A3D">
            <w:pPr>
              <w:pStyle w:val="LTVerzeichnisDerFragendenLinks"/>
            </w:pPr>
            <w:r>
              <w:t>Kraus, Nikolaus (FREIE WÄHLER)</w:t>
            </w:r>
            <w:r>
              <w:tab/>
              <w:t>50</w:t>
            </w:r>
          </w:p>
        </w:tc>
        <w:tc>
          <w:tcPr>
            <w:tcW w:w="2500" w:type="pct"/>
            <w:tcBorders>
              <w:left w:val="single" w:sz="4" w:space="0" w:color="auto"/>
            </w:tcBorders>
          </w:tcPr>
          <w:p w:rsidR="000E3A3D" w:rsidRPr="005833DD" w:rsidRDefault="000E3A3D" w:rsidP="000E3A3D">
            <w:pPr>
              <w:pStyle w:val="LTVerzeichnisDerFragendenRechts"/>
            </w:pPr>
            <w:r>
              <w:t>Werner-Muggendorfer, Johanna (SPD)</w:t>
            </w:r>
            <w:r>
              <w:tab/>
              <w:t>43</w:t>
            </w:r>
          </w:p>
        </w:tc>
      </w:tr>
      <w:tr w:rsidR="000E3A3D" w:rsidRPr="005833DD">
        <w:tc>
          <w:tcPr>
            <w:tcW w:w="2500" w:type="pct"/>
            <w:tcBorders>
              <w:right w:val="single" w:sz="4" w:space="0" w:color="auto"/>
            </w:tcBorders>
          </w:tcPr>
          <w:p w:rsidR="000E3A3D" w:rsidRDefault="000E3A3D" w:rsidP="000E3A3D">
            <w:pPr>
              <w:pStyle w:val="LTVerzeichnisDerFragendenLinks"/>
            </w:pPr>
            <w:r>
              <w:t>Leiner, Ulrich (BÜNDNIS 90/DIE GRÜNEN)</w:t>
            </w:r>
            <w:r>
              <w:tab/>
              <w:t>64</w:t>
            </w:r>
          </w:p>
        </w:tc>
        <w:tc>
          <w:tcPr>
            <w:tcW w:w="2500" w:type="pct"/>
            <w:tcBorders>
              <w:left w:val="single" w:sz="4" w:space="0" w:color="auto"/>
            </w:tcBorders>
          </w:tcPr>
          <w:p w:rsidR="000E3A3D" w:rsidRPr="005833DD" w:rsidRDefault="000E3A3D" w:rsidP="000E3A3D">
            <w:pPr>
              <w:pStyle w:val="LTVerzeichnisDerFragendenRechts"/>
            </w:pPr>
            <w:r>
              <w:t>Widmann, Jutta (FREIE WÄHLER)</w:t>
            </w:r>
            <w:r>
              <w:tab/>
              <w:t>35</w:t>
            </w:r>
          </w:p>
        </w:tc>
      </w:tr>
      <w:tr w:rsidR="000E3A3D" w:rsidRPr="005833DD">
        <w:tc>
          <w:tcPr>
            <w:tcW w:w="2500" w:type="pct"/>
            <w:tcBorders>
              <w:right w:val="single" w:sz="4" w:space="0" w:color="auto"/>
            </w:tcBorders>
          </w:tcPr>
          <w:p w:rsidR="000E3A3D" w:rsidRDefault="000E3A3D" w:rsidP="000E3A3D">
            <w:pPr>
              <w:pStyle w:val="LTVerzeichnisDerFragendenLinks"/>
            </w:pPr>
            <w:r>
              <w:t>Lotte, Andreas (SPD)</w:t>
            </w:r>
            <w:r>
              <w:tab/>
              <w:t>37</w:t>
            </w:r>
          </w:p>
        </w:tc>
        <w:tc>
          <w:tcPr>
            <w:tcW w:w="2500" w:type="pct"/>
            <w:tcBorders>
              <w:left w:val="single" w:sz="4" w:space="0" w:color="auto"/>
            </w:tcBorders>
          </w:tcPr>
          <w:p w:rsidR="000E3A3D" w:rsidRPr="005833DD" w:rsidRDefault="000E3A3D" w:rsidP="000E3A3D">
            <w:pPr>
              <w:pStyle w:val="LTVerzeichnisDerFragendenRechts"/>
            </w:pPr>
            <w:r>
              <w:t>Wild, Margit (SPD)</w:t>
            </w:r>
            <w:r>
              <w:tab/>
              <w:t>47</w:t>
            </w:r>
          </w:p>
        </w:tc>
      </w:tr>
      <w:tr w:rsidR="000E3A3D" w:rsidRPr="005833DD">
        <w:tc>
          <w:tcPr>
            <w:tcW w:w="2500" w:type="pct"/>
            <w:tcBorders>
              <w:right w:val="single" w:sz="4" w:space="0" w:color="auto"/>
            </w:tcBorders>
          </w:tcPr>
          <w:p w:rsidR="000E3A3D" w:rsidRDefault="000E3A3D" w:rsidP="000E3A3D">
            <w:pPr>
              <w:pStyle w:val="LTVerzeichnisDerFragendenLinks"/>
            </w:pPr>
            <w:r>
              <w:t>Mistol, Jürgen (BÜNDNIS 90/DIE GRÜNEN)</w:t>
            </w:r>
            <w:r>
              <w:tab/>
              <w:t>21</w:t>
            </w:r>
          </w:p>
        </w:tc>
        <w:tc>
          <w:tcPr>
            <w:tcW w:w="2500" w:type="pct"/>
            <w:tcBorders>
              <w:left w:val="single" w:sz="4" w:space="0" w:color="auto"/>
            </w:tcBorders>
          </w:tcPr>
          <w:p w:rsidR="000E3A3D" w:rsidRPr="005833DD" w:rsidRDefault="000E3A3D" w:rsidP="000E3A3D">
            <w:pPr>
              <w:pStyle w:val="LTVerzeichnisDerFragendenRechts"/>
            </w:pPr>
            <w:r>
              <w:t>Woerlein, Herbert (SPD)</w:t>
            </w:r>
            <w:r>
              <w:tab/>
              <w:t>19</w:t>
            </w:r>
          </w:p>
        </w:tc>
      </w:tr>
      <w:tr w:rsidR="000E3A3D" w:rsidRPr="005833DD">
        <w:tc>
          <w:tcPr>
            <w:tcW w:w="2500" w:type="pct"/>
            <w:tcBorders>
              <w:right w:val="single" w:sz="4" w:space="0" w:color="auto"/>
            </w:tcBorders>
          </w:tcPr>
          <w:p w:rsidR="000E3A3D" w:rsidRDefault="000E3A3D" w:rsidP="000E3A3D">
            <w:pPr>
              <w:pStyle w:val="LTVerzeichnisDerFragendenLinks"/>
            </w:pPr>
            <w:r>
              <w:t>Müller, Ruth (SPD)</w:t>
            </w:r>
            <w:r>
              <w:tab/>
              <w:t>55</w:t>
            </w:r>
          </w:p>
        </w:tc>
        <w:tc>
          <w:tcPr>
            <w:tcW w:w="2500" w:type="pct"/>
            <w:tcBorders>
              <w:left w:val="single" w:sz="4" w:space="0" w:color="auto"/>
            </w:tcBorders>
          </w:tcPr>
          <w:p w:rsidR="000E3A3D" w:rsidRPr="005833DD" w:rsidRDefault="000E3A3D" w:rsidP="000E3A3D">
            <w:pPr>
              <w:pStyle w:val="LTVerzeichnisDerFragendenRechts"/>
            </w:pPr>
            <w:r>
              <w:t>Zacharias, Isabell (SPD)</w:t>
            </w:r>
            <w:r>
              <w:tab/>
              <w:t>7</w:t>
            </w:r>
          </w:p>
        </w:tc>
      </w:tr>
      <w:tr w:rsidR="00A42EAA" w:rsidRPr="005833DD">
        <w:tc>
          <w:tcPr>
            <w:tcW w:w="2500" w:type="pct"/>
            <w:tcBorders>
              <w:right w:val="single" w:sz="4" w:space="0" w:color="auto"/>
            </w:tcBorders>
          </w:tcPr>
          <w:p w:rsidR="00A42EAA" w:rsidRPr="00423B2A" w:rsidRDefault="000E3A3D" w:rsidP="000E3A3D">
            <w:pPr>
              <w:pStyle w:val="LTVerzeichnisDerFragendenLinks"/>
              <w:rPr>
                <w:spacing w:val="-6"/>
              </w:rPr>
            </w:pPr>
            <w:r w:rsidRPr="00423B2A">
              <w:rPr>
                <w:spacing w:val="-6"/>
              </w:rPr>
              <w:t>Mütze, Thomas (BÜNDNIS 90/DIE GRÜNEN)</w:t>
            </w:r>
            <w:r w:rsidRPr="00423B2A">
              <w:rPr>
                <w:spacing w:val="-6"/>
              </w:rPr>
              <w:tab/>
              <w:t>56</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0E3A3D"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19153189" w:history="1">
        <w:r w:rsidR="000E3A3D" w:rsidRPr="002442E4">
          <w:rPr>
            <w:rStyle w:val="Hyperlink"/>
            <w:noProof/>
          </w:rPr>
          <w:t>Geschäftsbereich der Staatskanzlei</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0" w:history="1">
        <w:r w:rsidR="000E3A3D" w:rsidRPr="002442E4">
          <w:rPr>
            <w:rStyle w:val="Hyperlink"/>
          </w:rPr>
          <w:t>Hartmann, Ludwig (BÜNDNIS 90/DIE GRÜNEN)</w:t>
        </w:r>
        <w:r w:rsidR="000E3A3D" w:rsidRPr="002442E4">
          <w:rPr>
            <w:rStyle w:val="Hyperlink"/>
          </w:rPr>
          <w:br/>
          <w:t>Planungsstab in der Staatskanzlei</w:t>
        </w:r>
        <w:r w:rsidR="000E3A3D">
          <w:rPr>
            <w:webHidden/>
          </w:rPr>
          <w:tab/>
        </w:r>
        <w:r w:rsidR="000E3A3D">
          <w:rPr>
            <w:webHidden/>
          </w:rPr>
          <w:fldChar w:fldCharType="begin"/>
        </w:r>
        <w:r w:rsidR="000E3A3D">
          <w:rPr>
            <w:webHidden/>
          </w:rPr>
          <w:instrText xml:space="preserve"> PAGEREF _Toc519153190 \h </w:instrText>
        </w:r>
        <w:r w:rsidR="000E3A3D">
          <w:rPr>
            <w:webHidden/>
          </w:rPr>
        </w:r>
        <w:r w:rsidR="000E3A3D">
          <w:rPr>
            <w:webHidden/>
          </w:rPr>
          <w:fldChar w:fldCharType="separate"/>
        </w:r>
        <w:r w:rsidR="00D71E7D">
          <w:rPr>
            <w:webHidden/>
          </w:rPr>
          <w:t>1</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1" w:history="1">
        <w:r w:rsidR="000E3A3D" w:rsidRPr="002442E4">
          <w:rPr>
            <w:rStyle w:val="Hyperlink"/>
          </w:rPr>
          <w:t>Dr. Kränzlein, Herbert (SPD)</w:t>
        </w:r>
        <w:r w:rsidR="000E3A3D" w:rsidRPr="002442E4">
          <w:rPr>
            <w:rStyle w:val="Hyperlink"/>
          </w:rPr>
          <w:br/>
        </w:r>
        <w:r w:rsidR="00423B2A">
          <w:rPr>
            <w:rStyle w:val="Hyperlink"/>
          </w:rPr>
          <w:t>„</w:t>
        </w:r>
        <w:r w:rsidR="000E3A3D" w:rsidRPr="002442E4">
          <w:rPr>
            <w:rStyle w:val="Hyperlink"/>
          </w:rPr>
          <w:t>Bürgersprechstunden</w:t>
        </w:r>
        <w:r w:rsidR="00423B2A">
          <w:rPr>
            <w:rStyle w:val="Hyperlink"/>
          </w:rPr>
          <w:t>“</w:t>
        </w:r>
        <w:r w:rsidR="000E3A3D" w:rsidRPr="002442E4">
          <w:rPr>
            <w:rStyle w:val="Hyperlink"/>
          </w:rPr>
          <w:t xml:space="preserve"> von Minister</w:t>
        </w:r>
        <w:r w:rsidR="00423B2A">
          <w:rPr>
            <w:rStyle w:val="Hyperlink"/>
          </w:rPr>
          <w:softHyphen/>
        </w:r>
        <w:r w:rsidR="000E3A3D" w:rsidRPr="002442E4">
          <w:rPr>
            <w:rStyle w:val="Hyperlink"/>
          </w:rPr>
          <w:t>präsident Dr. Markus Söder</w:t>
        </w:r>
        <w:r w:rsidR="000E3A3D">
          <w:rPr>
            <w:webHidden/>
          </w:rPr>
          <w:tab/>
        </w:r>
        <w:r w:rsidR="000E3A3D">
          <w:rPr>
            <w:webHidden/>
          </w:rPr>
          <w:fldChar w:fldCharType="begin"/>
        </w:r>
        <w:r w:rsidR="000E3A3D">
          <w:rPr>
            <w:webHidden/>
          </w:rPr>
          <w:instrText xml:space="preserve"> PAGEREF _Toc519153191 \h </w:instrText>
        </w:r>
        <w:r w:rsidR="000E3A3D">
          <w:rPr>
            <w:webHidden/>
          </w:rPr>
        </w:r>
        <w:r w:rsidR="000E3A3D">
          <w:rPr>
            <w:webHidden/>
          </w:rPr>
          <w:fldChar w:fldCharType="separate"/>
        </w:r>
        <w:r w:rsidR="00D71E7D">
          <w:rPr>
            <w:webHidden/>
          </w:rPr>
          <w:t>1</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2" w:history="1">
        <w:r w:rsidR="000E3A3D" w:rsidRPr="002442E4">
          <w:rPr>
            <w:rStyle w:val="Hyperlink"/>
          </w:rPr>
          <w:t>Pfaffmann, Hans-Ulrich (SPD)</w:t>
        </w:r>
        <w:r w:rsidR="000E3A3D" w:rsidRPr="002442E4">
          <w:rPr>
            <w:rStyle w:val="Hyperlink"/>
          </w:rPr>
          <w:br/>
          <w:t>Wahlkampf mit dem österreichischen Bundeskanzler</w:t>
        </w:r>
        <w:r w:rsidR="000E3A3D">
          <w:rPr>
            <w:webHidden/>
          </w:rPr>
          <w:tab/>
        </w:r>
        <w:r w:rsidR="000E3A3D">
          <w:rPr>
            <w:webHidden/>
          </w:rPr>
          <w:fldChar w:fldCharType="begin"/>
        </w:r>
        <w:r w:rsidR="000E3A3D">
          <w:rPr>
            <w:webHidden/>
          </w:rPr>
          <w:instrText xml:space="preserve"> PAGEREF _Toc519153192 \h </w:instrText>
        </w:r>
        <w:r w:rsidR="000E3A3D">
          <w:rPr>
            <w:webHidden/>
          </w:rPr>
        </w:r>
        <w:r w:rsidR="000E3A3D">
          <w:rPr>
            <w:webHidden/>
          </w:rPr>
          <w:fldChar w:fldCharType="separate"/>
        </w:r>
        <w:r w:rsidR="00D71E7D">
          <w:rPr>
            <w:webHidden/>
          </w:rPr>
          <w:t>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3" w:history="1">
        <w:r w:rsidR="000E3A3D" w:rsidRPr="002442E4">
          <w:rPr>
            <w:rStyle w:val="Hyperlink"/>
          </w:rPr>
          <w:t>Rinderspacher, Markus (SPD)</w:t>
        </w:r>
        <w:r w:rsidR="000E3A3D" w:rsidRPr="002442E4">
          <w:rPr>
            <w:rStyle w:val="Hyperlink"/>
          </w:rPr>
          <w:br/>
          <w:t>Empfang für EVP-Fraktion</w:t>
        </w:r>
        <w:r w:rsidR="000E3A3D">
          <w:rPr>
            <w:webHidden/>
          </w:rPr>
          <w:tab/>
        </w:r>
        <w:r w:rsidR="000E3A3D">
          <w:rPr>
            <w:webHidden/>
          </w:rPr>
          <w:fldChar w:fldCharType="begin"/>
        </w:r>
        <w:r w:rsidR="000E3A3D">
          <w:rPr>
            <w:webHidden/>
          </w:rPr>
          <w:instrText xml:space="preserve"> PAGEREF _Toc519153193 \h </w:instrText>
        </w:r>
        <w:r w:rsidR="000E3A3D">
          <w:rPr>
            <w:webHidden/>
          </w:rPr>
        </w:r>
        <w:r w:rsidR="000E3A3D">
          <w:rPr>
            <w:webHidden/>
          </w:rPr>
          <w:fldChar w:fldCharType="separate"/>
        </w:r>
        <w:r w:rsidR="00D71E7D">
          <w:rPr>
            <w:webHidden/>
          </w:rPr>
          <w:t>3</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4" w:history="1">
        <w:r w:rsidR="000E3A3D" w:rsidRPr="002442E4">
          <w:rPr>
            <w:rStyle w:val="Hyperlink"/>
          </w:rPr>
          <w:t>Rosenthal, Georg (SPD)</w:t>
        </w:r>
        <w:r w:rsidR="000E3A3D" w:rsidRPr="002442E4">
          <w:rPr>
            <w:rStyle w:val="Hyperlink"/>
          </w:rPr>
          <w:br/>
          <w:t>RTL/n-tv-Trendbarometer von Forsa</w:t>
        </w:r>
        <w:r w:rsidR="000E3A3D">
          <w:rPr>
            <w:webHidden/>
          </w:rPr>
          <w:tab/>
        </w:r>
        <w:r w:rsidR="000E3A3D">
          <w:rPr>
            <w:webHidden/>
          </w:rPr>
          <w:fldChar w:fldCharType="begin"/>
        </w:r>
        <w:r w:rsidR="000E3A3D">
          <w:rPr>
            <w:webHidden/>
          </w:rPr>
          <w:instrText xml:space="preserve"> PAGEREF _Toc519153194 \h </w:instrText>
        </w:r>
        <w:r w:rsidR="000E3A3D">
          <w:rPr>
            <w:webHidden/>
          </w:rPr>
        </w:r>
        <w:r w:rsidR="000E3A3D">
          <w:rPr>
            <w:webHidden/>
          </w:rPr>
          <w:fldChar w:fldCharType="separate"/>
        </w:r>
        <w:r w:rsidR="00D71E7D">
          <w:rPr>
            <w:webHidden/>
          </w:rPr>
          <w:t>10</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5" w:history="1">
        <w:r w:rsidR="000E3A3D" w:rsidRPr="002442E4">
          <w:rPr>
            <w:rStyle w:val="Hyperlink"/>
          </w:rPr>
          <w:t>Ta</w:t>
        </w:r>
        <w:r w:rsidR="00423B2A">
          <w:rPr>
            <w:rStyle w:val="Hyperlink"/>
            <w:rFonts w:cs="Arial"/>
          </w:rPr>
          <w:t>ş</w:t>
        </w:r>
        <w:r w:rsidR="000E3A3D" w:rsidRPr="002442E4">
          <w:rPr>
            <w:rStyle w:val="Hyperlink"/>
          </w:rPr>
          <w:t>delen, Arif (SPD)</w:t>
        </w:r>
        <w:r w:rsidR="000E3A3D" w:rsidRPr="002442E4">
          <w:rPr>
            <w:rStyle w:val="Hyperlink"/>
          </w:rPr>
          <w:br/>
          <w:t>Aussagen von Ministerpräsident Dr.</w:t>
        </w:r>
        <w:r w:rsidR="00423B2A">
          <w:rPr>
            <w:rStyle w:val="Hyperlink"/>
          </w:rPr>
          <w:t> </w:t>
        </w:r>
        <w:r w:rsidR="000E3A3D" w:rsidRPr="002442E4">
          <w:rPr>
            <w:rStyle w:val="Hyperlink"/>
          </w:rPr>
          <w:t>Markus Söder zum Multilateralis</w:t>
        </w:r>
        <w:r w:rsidR="00423B2A">
          <w:rPr>
            <w:rStyle w:val="Hyperlink"/>
          </w:rPr>
          <w:softHyphen/>
        </w:r>
        <w:r w:rsidR="000E3A3D" w:rsidRPr="002442E4">
          <w:rPr>
            <w:rStyle w:val="Hyperlink"/>
          </w:rPr>
          <w:t>mus</w:t>
        </w:r>
        <w:r w:rsidR="000E3A3D">
          <w:rPr>
            <w:webHidden/>
          </w:rPr>
          <w:tab/>
        </w:r>
        <w:r w:rsidR="000E3A3D">
          <w:rPr>
            <w:webHidden/>
          </w:rPr>
          <w:fldChar w:fldCharType="begin"/>
        </w:r>
        <w:r w:rsidR="000E3A3D">
          <w:rPr>
            <w:webHidden/>
          </w:rPr>
          <w:instrText xml:space="preserve"> PAGEREF _Toc519153195 \h </w:instrText>
        </w:r>
        <w:r w:rsidR="000E3A3D">
          <w:rPr>
            <w:webHidden/>
          </w:rPr>
        </w:r>
        <w:r w:rsidR="000E3A3D">
          <w:rPr>
            <w:webHidden/>
          </w:rPr>
          <w:fldChar w:fldCharType="separate"/>
        </w:r>
        <w:r w:rsidR="00D71E7D">
          <w:rPr>
            <w:webHidden/>
          </w:rPr>
          <w:t>10</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6" w:history="1">
        <w:r w:rsidR="000E3A3D" w:rsidRPr="002442E4">
          <w:rPr>
            <w:rStyle w:val="Hyperlink"/>
          </w:rPr>
          <w:t>Zacharias, Isabell (SPD)</w:t>
        </w:r>
        <w:r w:rsidR="000E3A3D" w:rsidRPr="002442E4">
          <w:rPr>
            <w:rStyle w:val="Hyperlink"/>
          </w:rPr>
          <w:br/>
          <w:t>Filmfest München</w:t>
        </w:r>
        <w:r w:rsidR="000E3A3D">
          <w:rPr>
            <w:webHidden/>
          </w:rPr>
          <w:tab/>
        </w:r>
        <w:r w:rsidR="000E3A3D">
          <w:rPr>
            <w:webHidden/>
          </w:rPr>
          <w:fldChar w:fldCharType="begin"/>
        </w:r>
        <w:r w:rsidR="000E3A3D">
          <w:rPr>
            <w:webHidden/>
          </w:rPr>
          <w:instrText xml:space="preserve"> PAGEREF _Toc519153196 \h </w:instrText>
        </w:r>
        <w:r w:rsidR="000E3A3D">
          <w:rPr>
            <w:webHidden/>
          </w:rPr>
        </w:r>
        <w:r w:rsidR="000E3A3D">
          <w:rPr>
            <w:webHidden/>
          </w:rPr>
          <w:fldChar w:fldCharType="separate"/>
        </w:r>
        <w:r w:rsidR="00D71E7D">
          <w:rPr>
            <w:webHidden/>
          </w:rPr>
          <w:t>11</w:t>
        </w:r>
        <w:r w:rsidR="000E3A3D">
          <w:rPr>
            <w:webHidden/>
          </w:rPr>
          <w:fldChar w:fldCharType="end"/>
        </w:r>
      </w:hyperlink>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197" w:history="1">
        <w:r w:rsidR="000E3A3D" w:rsidRPr="002442E4">
          <w:rPr>
            <w:rStyle w:val="Hyperlink"/>
            <w:noProof/>
          </w:rPr>
          <w:t>Geschäftsbereich des Staatsministeriums des Innern und für Integration</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8" w:history="1">
        <w:r w:rsidR="000E3A3D" w:rsidRPr="002442E4">
          <w:rPr>
            <w:rStyle w:val="Hyperlink"/>
          </w:rPr>
          <w:t>Aures, Inge (SPD)</w:t>
        </w:r>
        <w:r w:rsidR="000E3A3D" w:rsidRPr="002442E4">
          <w:rPr>
            <w:rStyle w:val="Hyperlink"/>
          </w:rPr>
          <w:br/>
          <w:t>Sanierungsbedarf von Polizei</w:t>
        </w:r>
        <w:r w:rsidR="00423B2A">
          <w:rPr>
            <w:rStyle w:val="Hyperlink"/>
          </w:rPr>
          <w:softHyphen/>
        </w:r>
        <w:r w:rsidR="000E3A3D" w:rsidRPr="002442E4">
          <w:rPr>
            <w:rStyle w:val="Hyperlink"/>
          </w:rPr>
          <w:t>gebäuden</w:t>
        </w:r>
        <w:r w:rsidR="000E3A3D">
          <w:rPr>
            <w:webHidden/>
          </w:rPr>
          <w:tab/>
        </w:r>
        <w:r w:rsidR="000E3A3D">
          <w:rPr>
            <w:webHidden/>
          </w:rPr>
          <w:fldChar w:fldCharType="begin"/>
        </w:r>
        <w:r w:rsidR="000E3A3D">
          <w:rPr>
            <w:webHidden/>
          </w:rPr>
          <w:instrText xml:space="preserve"> PAGEREF _Toc519153198 \h </w:instrText>
        </w:r>
        <w:r w:rsidR="000E3A3D">
          <w:rPr>
            <w:webHidden/>
          </w:rPr>
        </w:r>
        <w:r w:rsidR="000E3A3D">
          <w:rPr>
            <w:webHidden/>
          </w:rPr>
          <w:fldChar w:fldCharType="separate"/>
        </w:r>
        <w:r w:rsidR="00D71E7D">
          <w:rPr>
            <w:webHidden/>
          </w:rPr>
          <w:t>12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199" w:history="1">
        <w:r w:rsidR="000E3A3D" w:rsidRPr="002442E4">
          <w:rPr>
            <w:rStyle w:val="Hyperlink"/>
          </w:rPr>
          <w:t>Celina, Kerstin (BÜNDNIS 90/DIE GRÜNEN)</w:t>
        </w:r>
        <w:r w:rsidR="000E3A3D" w:rsidRPr="002442E4">
          <w:rPr>
            <w:rStyle w:val="Hyperlink"/>
          </w:rPr>
          <w:br/>
          <w:t>Grauer Pass</w:t>
        </w:r>
        <w:r w:rsidR="000E3A3D">
          <w:rPr>
            <w:webHidden/>
          </w:rPr>
          <w:tab/>
        </w:r>
        <w:r w:rsidR="000E3A3D">
          <w:rPr>
            <w:webHidden/>
          </w:rPr>
          <w:fldChar w:fldCharType="begin"/>
        </w:r>
        <w:r w:rsidR="000E3A3D">
          <w:rPr>
            <w:webHidden/>
          </w:rPr>
          <w:instrText xml:space="preserve"> PAGEREF _Toc519153199 \h </w:instrText>
        </w:r>
        <w:r w:rsidR="000E3A3D">
          <w:rPr>
            <w:webHidden/>
          </w:rPr>
        </w:r>
        <w:r w:rsidR="000E3A3D">
          <w:rPr>
            <w:webHidden/>
          </w:rPr>
          <w:fldChar w:fldCharType="separate"/>
        </w:r>
        <w:r w:rsidR="00D71E7D">
          <w:rPr>
            <w:webHidden/>
          </w:rPr>
          <w:t>12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0" w:history="1">
        <w:r w:rsidR="000E3A3D" w:rsidRPr="002442E4">
          <w:rPr>
            <w:rStyle w:val="Hyperlink"/>
          </w:rPr>
          <w:t>Güller, Harald (SPD)</w:t>
        </w:r>
        <w:r w:rsidR="000E3A3D" w:rsidRPr="002442E4">
          <w:rPr>
            <w:rStyle w:val="Hyperlink"/>
          </w:rPr>
          <w:br/>
          <w:t xml:space="preserve">Mannstunden zur Schleierfahndung an der Grenze Bayern </w:t>
        </w:r>
        <w:r w:rsidR="00423B2A">
          <w:rPr>
            <w:rStyle w:val="Hyperlink"/>
          </w:rPr>
          <w:t>–</w:t>
        </w:r>
        <w:r w:rsidR="000E3A3D" w:rsidRPr="002442E4">
          <w:rPr>
            <w:rStyle w:val="Hyperlink"/>
          </w:rPr>
          <w:t xml:space="preserve"> Österreich</w:t>
        </w:r>
        <w:r w:rsidR="000E3A3D">
          <w:rPr>
            <w:webHidden/>
          </w:rPr>
          <w:tab/>
        </w:r>
        <w:r w:rsidR="000E3A3D">
          <w:rPr>
            <w:webHidden/>
          </w:rPr>
          <w:fldChar w:fldCharType="begin"/>
        </w:r>
        <w:r w:rsidR="000E3A3D">
          <w:rPr>
            <w:webHidden/>
          </w:rPr>
          <w:instrText xml:space="preserve"> PAGEREF _Toc519153200 \h </w:instrText>
        </w:r>
        <w:r w:rsidR="000E3A3D">
          <w:rPr>
            <w:webHidden/>
          </w:rPr>
        </w:r>
        <w:r w:rsidR="000E3A3D">
          <w:rPr>
            <w:webHidden/>
          </w:rPr>
          <w:fldChar w:fldCharType="separate"/>
        </w:r>
        <w:r w:rsidR="00D71E7D">
          <w:rPr>
            <w:webHidden/>
          </w:rPr>
          <w:t>13</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1" w:history="1">
        <w:r w:rsidR="000E3A3D" w:rsidRPr="002442E4">
          <w:rPr>
            <w:rStyle w:val="Hyperlink"/>
          </w:rPr>
          <w:t>Hiersemann, Alexandra (SPD)</w:t>
        </w:r>
        <w:r w:rsidR="000E3A3D" w:rsidRPr="002442E4">
          <w:rPr>
            <w:rStyle w:val="Hyperlink"/>
          </w:rPr>
          <w:br/>
          <w:t>Illegale Autorennen</w:t>
        </w:r>
        <w:r w:rsidR="000E3A3D">
          <w:rPr>
            <w:webHidden/>
          </w:rPr>
          <w:tab/>
        </w:r>
        <w:r w:rsidR="000E3A3D">
          <w:rPr>
            <w:webHidden/>
          </w:rPr>
          <w:fldChar w:fldCharType="begin"/>
        </w:r>
        <w:r w:rsidR="000E3A3D">
          <w:rPr>
            <w:webHidden/>
          </w:rPr>
          <w:instrText xml:space="preserve"> PAGEREF _Toc519153201 \h </w:instrText>
        </w:r>
        <w:r w:rsidR="000E3A3D">
          <w:rPr>
            <w:webHidden/>
          </w:rPr>
        </w:r>
        <w:r w:rsidR="000E3A3D">
          <w:rPr>
            <w:webHidden/>
          </w:rPr>
          <w:fldChar w:fldCharType="separate"/>
        </w:r>
        <w:r w:rsidR="00D71E7D">
          <w:rPr>
            <w:webHidden/>
          </w:rPr>
          <w:t>13</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2" w:history="1">
        <w:r w:rsidR="000E3A3D" w:rsidRPr="002442E4">
          <w:rPr>
            <w:rStyle w:val="Hyperlink"/>
          </w:rPr>
          <w:t>Kamm, Christine (BÜNDNIS 90/DIE GRÜNEN)</w:t>
        </w:r>
        <w:r w:rsidR="000E3A3D" w:rsidRPr="002442E4">
          <w:rPr>
            <w:rStyle w:val="Hyperlink"/>
          </w:rPr>
          <w:br/>
          <w:t>Sammelabschiebung nach Afghanistan am 03.07.2018</w:t>
        </w:r>
        <w:r w:rsidR="000E3A3D">
          <w:rPr>
            <w:webHidden/>
          </w:rPr>
          <w:tab/>
        </w:r>
        <w:r w:rsidR="000E3A3D">
          <w:rPr>
            <w:webHidden/>
          </w:rPr>
          <w:fldChar w:fldCharType="begin"/>
        </w:r>
        <w:r w:rsidR="000E3A3D">
          <w:rPr>
            <w:webHidden/>
          </w:rPr>
          <w:instrText xml:space="preserve"> PAGEREF _Toc519153202 \h </w:instrText>
        </w:r>
        <w:r w:rsidR="000E3A3D">
          <w:rPr>
            <w:webHidden/>
          </w:rPr>
        </w:r>
        <w:r w:rsidR="000E3A3D">
          <w:rPr>
            <w:webHidden/>
          </w:rPr>
          <w:fldChar w:fldCharType="separate"/>
        </w:r>
        <w:r w:rsidR="00D71E7D">
          <w:rPr>
            <w:webHidden/>
          </w:rPr>
          <w:t>14</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3" w:history="1">
        <w:r w:rsidR="000E3A3D" w:rsidRPr="002442E4">
          <w:rPr>
            <w:rStyle w:val="Hyperlink"/>
          </w:rPr>
          <w:t>Scheuenstuhl, Harry (SPD)</w:t>
        </w:r>
        <w:r w:rsidR="000E3A3D" w:rsidRPr="002442E4">
          <w:rPr>
            <w:rStyle w:val="Hyperlink"/>
          </w:rPr>
          <w:br/>
          <w:t>Einsichts- oder Auskunftsrecht von Bürgerinnen und Bürgern</w:t>
        </w:r>
        <w:r w:rsidR="000E3A3D">
          <w:rPr>
            <w:webHidden/>
          </w:rPr>
          <w:tab/>
        </w:r>
        <w:r w:rsidR="000E3A3D">
          <w:rPr>
            <w:webHidden/>
          </w:rPr>
          <w:fldChar w:fldCharType="begin"/>
        </w:r>
        <w:r w:rsidR="000E3A3D">
          <w:rPr>
            <w:webHidden/>
          </w:rPr>
          <w:instrText xml:space="preserve"> PAGEREF _Toc519153203 \h </w:instrText>
        </w:r>
        <w:r w:rsidR="000E3A3D">
          <w:rPr>
            <w:webHidden/>
          </w:rPr>
        </w:r>
        <w:r w:rsidR="000E3A3D">
          <w:rPr>
            <w:webHidden/>
          </w:rPr>
          <w:fldChar w:fldCharType="separate"/>
        </w:r>
        <w:r w:rsidR="00D71E7D">
          <w:rPr>
            <w:webHidden/>
          </w:rPr>
          <w:t>17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4" w:history="1">
        <w:r w:rsidR="000E3A3D" w:rsidRPr="002442E4">
          <w:rPr>
            <w:rStyle w:val="Hyperlink"/>
          </w:rPr>
          <w:t>Schmitt-Bussinger, Helga (SPD)</w:t>
        </w:r>
        <w:r w:rsidR="000E3A3D" w:rsidRPr="002442E4">
          <w:rPr>
            <w:rStyle w:val="Hyperlink"/>
          </w:rPr>
          <w:br/>
          <w:t xml:space="preserve">Magazine </w:t>
        </w:r>
        <w:r w:rsidR="00423B2A">
          <w:rPr>
            <w:rStyle w:val="Hyperlink"/>
          </w:rPr>
          <w:t>„</w:t>
        </w:r>
        <w:r w:rsidR="000E3A3D" w:rsidRPr="002442E4">
          <w:rPr>
            <w:rStyle w:val="Hyperlink"/>
          </w:rPr>
          <w:t>Arcadi</w:t>
        </w:r>
        <w:r w:rsidR="00423B2A">
          <w:rPr>
            <w:rStyle w:val="Hyperlink"/>
          </w:rPr>
          <w:t>“</w:t>
        </w:r>
        <w:r w:rsidR="000E3A3D" w:rsidRPr="002442E4">
          <w:rPr>
            <w:rStyle w:val="Hyperlink"/>
          </w:rPr>
          <w:t xml:space="preserve"> und </w:t>
        </w:r>
        <w:r w:rsidR="00423B2A">
          <w:rPr>
            <w:rStyle w:val="Hyperlink"/>
          </w:rPr>
          <w:t>„Blaue Narzisse“</w:t>
        </w:r>
        <w:r w:rsidR="000E3A3D">
          <w:rPr>
            <w:webHidden/>
          </w:rPr>
          <w:tab/>
        </w:r>
        <w:r w:rsidR="000E3A3D">
          <w:rPr>
            <w:webHidden/>
          </w:rPr>
          <w:fldChar w:fldCharType="begin"/>
        </w:r>
        <w:r w:rsidR="000E3A3D">
          <w:rPr>
            <w:webHidden/>
          </w:rPr>
          <w:instrText xml:space="preserve"> PAGEREF _Toc519153204 \h </w:instrText>
        </w:r>
        <w:r w:rsidR="000E3A3D">
          <w:rPr>
            <w:webHidden/>
          </w:rPr>
        </w:r>
        <w:r w:rsidR="000E3A3D">
          <w:rPr>
            <w:webHidden/>
          </w:rPr>
          <w:fldChar w:fldCharType="separate"/>
        </w:r>
        <w:r w:rsidR="00D71E7D">
          <w:rPr>
            <w:webHidden/>
          </w:rPr>
          <w:t>19</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5" w:history="1">
        <w:r w:rsidR="000E3A3D" w:rsidRPr="002442E4">
          <w:rPr>
            <w:rStyle w:val="Hyperlink"/>
          </w:rPr>
          <w:t>Schulze, Katharina (BÜNDNIS 90/DIE GRÜNEN)</w:t>
        </w:r>
        <w:r w:rsidR="000E3A3D" w:rsidRPr="002442E4">
          <w:rPr>
            <w:rStyle w:val="Hyperlink"/>
          </w:rPr>
          <w:br/>
          <w:t>AfD-Bundesparteitag</w:t>
        </w:r>
        <w:r w:rsidR="000E3A3D">
          <w:rPr>
            <w:webHidden/>
          </w:rPr>
          <w:tab/>
        </w:r>
        <w:r w:rsidR="000E3A3D">
          <w:rPr>
            <w:webHidden/>
          </w:rPr>
          <w:fldChar w:fldCharType="begin"/>
        </w:r>
        <w:r w:rsidR="000E3A3D">
          <w:rPr>
            <w:webHidden/>
          </w:rPr>
          <w:instrText xml:space="preserve"> PAGEREF _Toc519153205 \h </w:instrText>
        </w:r>
        <w:r w:rsidR="000E3A3D">
          <w:rPr>
            <w:webHidden/>
          </w:rPr>
        </w:r>
        <w:r w:rsidR="000E3A3D">
          <w:rPr>
            <w:webHidden/>
          </w:rPr>
          <w:fldChar w:fldCharType="separate"/>
        </w:r>
        <w:r w:rsidR="00D71E7D">
          <w:rPr>
            <w:webHidden/>
          </w:rPr>
          <w:t>20</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6" w:history="1">
        <w:r w:rsidR="000E3A3D" w:rsidRPr="002442E4">
          <w:rPr>
            <w:rStyle w:val="Hyperlink"/>
          </w:rPr>
          <w:t>Streibl, Florian (FREIE WÄHLER)</w:t>
        </w:r>
        <w:r w:rsidR="000E3A3D" w:rsidRPr="002442E4">
          <w:rPr>
            <w:rStyle w:val="Hyperlink"/>
          </w:rPr>
          <w:br/>
          <w:t>Bayerische Grenzpolizei</w:t>
        </w:r>
        <w:r w:rsidR="000E3A3D">
          <w:rPr>
            <w:webHidden/>
          </w:rPr>
          <w:tab/>
        </w:r>
        <w:r w:rsidR="000E3A3D">
          <w:rPr>
            <w:webHidden/>
          </w:rPr>
          <w:fldChar w:fldCharType="begin"/>
        </w:r>
        <w:r w:rsidR="000E3A3D">
          <w:rPr>
            <w:webHidden/>
          </w:rPr>
          <w:instrText xml:space="preserve"> PAGEREF _Toc519153206 \h </w:instrText>
        </w:r>
        <w:r w:rsidR="000E3A3D">
          <w:rPr>
            <w:webHidden/>
          </w:rPr>
        </w:r>
        <w:r w:rsidR="000E3A3D">
          <w:rPr>
            <w:webHidden/>
          </w:rPr>
          <w:fldChar w:fldCharType="separate"/>
        </w:r>
        <w:r w:rsidR="00D71E7D">
          <w:rPr>
            <w:webHidden/>
          </w:rPr>
          <w:t>20</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7" w:history="1">
        <w:r w:rsidR="000E3A3D" w:rsidRPr="002442E4">
          <w:rPr>
            <w:rStyle w:val="Hyperlink"/>
          </w:rPr>
          <w:t>Stümpfig, Martin (BÜNDNIS 90/DIE GRÜNEN)</w:t>
        </w:r>
        <w:r w:rsidR="000E3A3D" w:rsidRPr="002442E4">
          <w:rPr>
            <w:rStyle w:val="Hyperlink"/>
          </w:rPr>
          <w:br/>
          <w:t>Beschäftigungserlaubnisse für Asyl</w:t>
        </w:r>
        <w:r w:rsidR="00423B2A">
          <w:rPr>
            <w:rStyle w:val="Hyperlink"/>
          </w:rPr>
          <w:softHyphen/>
        </w:r>
        <w:r w:rsidR="000E3A3D" w:rsidRPr="002442E4">
          <w:rPr>
            <w:rStyle w:val="Hyperlink"/>
          </w:rPr>
          <w:t>bewerberinnen bzw. -bewerber und Ge</w:t>
        </w:r>
        <w:r w:rsidR="00423B2A">
          <w:rPr>
            <w:rStyle w:val="Hyperlink"/>
          </w:rPr>
          <w:softHyphen/>
        </w:r>
        <w:r w:rsidR="000E3A3D" w:rsidRPr="002442E4">
          <w:rPr>
            <w:rStyle w:val="Hyperlink"/>
          </w:rPr>
          <w:t>duldete</w:t>
        </w:r>
        <w:r w:rsidR="000E3A3D">
          <w:rPr>
            <w:webHidden/>
          </w:rPr>
          <w:tab/>
        </w:r>
        <w:r w:rsidR="000E3A3D">
          <w:rPr>
            <w:webHidden/>
          </w:rPr>
          <w:fldChar w:fldCharType="begin"/>
        </w:r>
        <w:r w:rsidR="000E3A3D">
          <w:rPr>
            <w:webHidden/>
          </w:rPr>
          <w:instrText xml:space="preserve"> PAGEREF _Toc519153207 \h </w:instrText>
        </w:r>
        <w:r w:rsidR="000E3A3D">
          <w:rPr>
            <w:webHidden/>
          </w:rPr>
        </w:r>
        <w:r w:rsidR="000E3A3D">
          <w:rPr>
            <w:webHidden/>
          </w:rPr>
          <w:fldChar w:fldCharType="separate"/>
        </w:r>
        <w:r w:rsidR="00D71E7D">
          <w:rPr>
            <w:webHidden/>
          </w:rPr>
          <w:t>22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8" w:history="1">
        <w:r w:rsidR="000E3A3D" w:rsidRPr="002442E4">
          <w:rPr>
            <w:rStyle w:val="Hyperlink"/>
          </w:rPr>
          <w:t>Weikert, Angelika (SPD)</w:t>
        </w:r>
        <w:r w:rsidR="000E3A3D" w:rsidRPr="002442E4">
          <w:rPr>
            <w:rStyle w:val="Hyperlink"/>
          </w:rPr>
          <w:br/>
          <w:t>Ausbau der Abschiebehaftkapazitäten</w:t>
        </w:r>
        <w:r w:rsidR="000E3A3D">
          <w:rPr>
            <w:webHidden/>
          </w:rPr>
          <w:tab/>
        </w:r>
        <w:r w:rsidR="000E3A3D">
          <w:rPr>
            <w:webHidden/>
          </w:rPr>
          <w:fldChar w:fldCharType="begin"/>
        </w:r>
        <w:r w:rsidR="000E3A3D">
          <w:rPr>
            <w:webHidden/>
          </w:rPr>
          <w:instrText xml:space="preserve"> PAGEREF _Toc519153208 \h </w:instrText>
        </w:r>
        <w:r w:rsidR="000E3A3D">
          <w:rPr>
            <w:webHidden/>
          </w:rPr>
        </w:r>
        <w:r w:rsidR="000E3A3D">
          <w:rPr>
            <w:webHidden/>
          </w:rPr>
          <w:fldChar w:fldCharType="separate"/>
        </w:r>
        <w:r w:rsidR="00D71E7D">
          <w:rPr>
            <w:webHidden/>
          </w:rPr>
          <w:t>22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09" w:history="1">
        <w:r w:rsidR="000E3A3D" w:rsidRPr="002442E4">
          <w:rPr>
            <w:rStyle w:val="Hyperlink"/>
          </w:rPr>
          <w:t>Woerlein, Herbert (SPD)</w:t>
        </w:r>
        <w:r w:rsidR="000E3A3D" w:rsidRPr="002442E4">
          <w:rPr>
            <w:rStyle w:val="Hyperlink"/>
          </w:rPr>
          <w:br/>
          <w:t>Vergaberecht bei der Vergabe von Rettungsdienstleistungen</w:t>
        </w:r>
        <w:r w:rsidR="000E3A3D">
          <w:rPr>
            <w:webHidden/>
          </w:rPr>
          <w:tab/>
        </w:r>
        <w:r w:rsidR="000E3A3D">
          <w:rPr>
            <w:webHidden/>
          </w:rPr>
          <w:fldChar w:fldCharType="begin"/>
        </w:r>
        <w:r w:rsidR="000E3A3D">
          <w:rPr>
            <w:webHidden/>
          </w:rPr>
          <w:instrText xml:space="preserve"> PAGEREF _Toc519153209 \h </w:instrText>
        </w:r>
        <w:r w:rsidR="000E3A3D">
          <w:rPr>
            <w:webHidden/>
          </w:rPr>
        </w:r>
        <w:r w:rsidR="000E3A3D">
          <w:rPr>
            <w:webHidden/>
          </w:rPr>
          <w:fldChar w:fldCharType="separate"/>
        </w:r>
        <w:r w:rsidR="00D71E7D">
          <w:rPr>
            <w:webHidden/>
          </w:rPr>
          <w:t>23</w:t>
        </w:r>
        <w:r w:rsidR="000E3A3D">
          <w:rPr>
            <w:webHidden/>
          </w:rPr>
          <w:fldChar w:fldCharType="end"/>
        </w:r>
      </w:hyperlink>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10" w:history="1">
        <w:r w:rsidR="000E3A3D" w:rsidRPr="002442E4">
          <w:rPr>
            <w:rStyle w:val="Hyperlink"/>
            <w:noProof/>
          </w:rPr>
          <w:t>Geschäftsbereich des Staatsministeriums für Wohnen, Bau und Verkehr</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1" w:history="1">
        <w:r w:rsidR="000E3A3D" w:rsidRPr="002442E4">
          <w:rPr>
            <w:rStyle w:val="Hyperlink"/>
          </w:rPr>
          <w:t>Dr. Fahn, Hans Jürgen (FREIE WÄHLER)</w:t>
        </w:r>
        <w:r w:rsidR="000E3A3D" w:rsidRPr="002442E4">
          <w:rPr>
            <w:rStyle w:val="Hyperlink"/>
          </w:rPr>
          <w:br/>
          <w:t>Nennung des Planungsbüros und Zeitplan</w:t>
        </w:r>
        <w:r w:rsidR="000E3A3D">
          <w:rPr>
            <w:webHidden/>
          </w:rPr>
          <w:tab/>
        </w:r>
        <w:r w:rsidR="000E3A3D">
          <w:rPr>
            <w:webHidden/>
          </w:rPr>
          <w:fldChar w:fldCharType="begin"/>
        </w:r>
        <w:r w:rsidR="000E3A3D">
          <w:rPr>
            <w:webHidden/>
          </w:rPr>
          <w:instrText xml:space="preserve"> PAGEREF _Toc519153211 \h </w:instrText>
        </w:r>
        <w:r w:rsidR="000E3A3D">
          <w:rPr>
            <w:webHidden/>
          </w:rPr>
        </w:r>
        <w:r w:rsidR="000E3A3D">
          <w:rPr>
            <w:webHidden/>
          </w:rPr>
          <w:fldChar w:fldCharType="separate"/>
        </w:r>
        <w:r w:rsidR="00D71E7D">
          <w:rPr>
            <w:webHidden/>
          </w:rPr>
          <w:t>25</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2" w:history="1">
        <w:r w:rsidR="000E3A3D" w:rsidRPr="002442E4">
          <w:rPr>
            <w:rStyle w:val="Hyperlink"/>
          </w:rPr>
          <w:t>Mistol, Jürgen (BÜNDNIS 90/DIE GRÜNEN)</w:t>
        </w:r>
        <w:r w:rsidR="000E3A3D" w:rsidRPr="002442E4">
          <w:rPr>
            <w:rStyle w:val="Hyperlink"/>
          </w:rPr>
          <w:br/>
          <w:t xml:space="preserve">Bahnverbindung Regensburg </w:t>
        </w:r>
        <w:r w:rsidR="00423B2A">
          <w:rPr>
            <w:rStyle w:val="Hyperlink"/>
          </w:rPr>
          <w:t>–</w:t>
        </w:r>
        <w:r w:rsidR="000E3A3D" w:rsidRPr="002442E4">
          <w:rPr>
            <w:rStyle w:val="Hyperlink"/>
          </w:rPr>
          <w:t xml:space="preserve"> München</w:t>
        </w:r>
        <w:r w:rsidR="000E3A3D">
          <w:rPr>
            <w:webHidden/>
          </w:rPr>
          <w:tab/>
        </w:r>
        <w:r w:rsidR="000E3A3D">
          <w:rPr>
            <w:webHidden/>
          </w:rPr>
          <w:fldChar w:fldCharType="begin"/>
        </w:r>
        <w:r w:rsidR="000E3A3D">
          <w:rPr>
            <w:webHidden/>
          </w:rPr>
          <w:instrText xml:space="preserve"> PAGEREF _Toc519153212 \h </w:instrText>
        </w:r>
        <w:r w:rsidR="000E3A3D">
          <w:rPr>
            <w:webHidden/>
          </w:rPr>
        </w:r>
        <w:r w:rsidR="000E3A3D">
          <w:rPr>
            <w:webHidden/>
          </w:rPr>
          <w:fldChar w:fldCharType="separate"/>
        </w:r>
        <w:r w:rsidR="00D71E7D">
          <w:rPr>
            <w:webHidden/>
          </w:rPr>
          <w:t>25</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3" w:history="1">
        <w:r w:rsidR="000E3A3D" w:rsidRPr="002442E4">
          <w:rPr>
            <w:rStyle w:val="Hyperlink"/>
          </w:rPr>
          <w:t>Muthmann, Alexander (</w:t>
        </w:r>
        <w:r w:rsidR="00423B2A">
          <w:rPr>
            <w:rStyle w:val="Hyperlink"/>
          </w:rPr>
          <w:t>f</w:t>
        </w:r>
        <w:r w:rsidR="000E3A3D" w:rsidRPr="002442E4">
          <w:rPr>
            <w:rStyle w:val="Hyperlink"/>
          </w:rPr>
          <w:t>raktionslos)</w:t>
        </w:r>
        <w:r w:rsidR="000E3A3D" w:rsidRPr="002442E4">
          <w:rPr>
            <w:rStyle w:val="Hyperlink"/>
          </w:rPr>
          <w:br/>
          <w:t>Mittelverschiebungen für die Städte</w:t>
        </w:r>
        <w:r w:rsidR="00423B2A">
          <w:rPr>
            <w:rStyle w:val="Hyperlink"/>
          </w:rPr>
          <w:softHyphen/>
        </w:r>
        <w:r w:rsidR="000E3A3D" w:rsidRPr="002442E4">
          <w:rPr>
            <w:rStyle w:val="Hyperlink"/>
          </w:rPr>
          <w:t>bauförderung</w:t>
        </w:r>
        <w:r w:rsidR="000E3A3D">
          <w:rPr>
            <w:webHidden/>
          </w:rPr>
          <w:tab/>
        </w:r>
        <w:r w:rsidR="000E3A3D">
          <w:rPr>
            <w:webHidden/>
          </w:rPr>
          <w:fldChar w:fldCharType="begin"/>
        </w:r>
        <w:r w:rsidR="000E3A3D">
          <w:rPr>
            <w:webHidden/>
          </w:rPr>
          <w:instrText xml:space="preserve"> PAGEREF _Toc519153213 \h </w:instrText>
        </w:r>
        <w:r w:rsidR="000E3A3D">
          <w:rPr>
            <w:webHidden/>
          </w:rPr>
        </w:r>
        <w:r w:rsidR="000E3A3D">
          <w:rPr>
            <w:webHidden/>
          </w:rPr>
          <w:fldChar w:fldCharType="separate"/>
        </w:r>
        <w:r w:rsidR="00D71E7D">
          <w:rPr>
            <w:webHidden/>
          </w:rPr>
          <w:t>26</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4" w:history="1">
        <w:r w:rsidR="000E3A3D" w:rsidRPr="002442E4">
          <w:rPr>
            <w:rStyle w:val="Hyperlink"/>
          </w:rPr>
          <w:t>Ritter, Florian (SPD)</w:t>
        </w:r>
        <w:r w:rsidR="000E3A3D" w:rsidRPr="002442E4">
          <w:rPr>
            <w:rStyle w:val="Hyperlink"/>
          </w:rPr>
          <w:br/>
          <w:t>Baurecht auf ehemaligen und nicht überplanten Bahnflächen</w:t>
        </w:r>
        <w:r w:rsidR="000E3A3D">
          <w:rPr>
            <w:webHidden/>
          </w:rPr>
          <w:tab/>
        </w:r>
        <w:r w:rsidR="000E3A3D">
          <w:rPr>
            <w:webHidden/>
          </w:rPr>
          <w:fldChar w:fldCharType="begin"/>
        </w:r>
        <w:r w:rsidR="000E3A3D">
          <w:rPr>
            <w:webHidden/>
          </w:rPr>
          <w:instrText xml:space="preserve"> PAGEREF _Toc519153214 \h </w:instrText>
        </w:r>
        <w:r w:rsidR="000E3A3D">
          <w:rPr>
            <w:webHidden/>
          </w:rPr>
        </w:r>
        <w:r w:rsidR="000E3A3D">
          <w:rPr>
            <w:webHidden/>
          </w:rPr>
          <w:fldChar w:fldCharType="separate"/>
        </w:r>
        <w:r w:rsidR="00D71E7D">
          <w:rPr>
            <w:webHidden/>
          </w:rPr>
          <w:t>27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5" w:history="1">
        <w:r w:rsidR="000E3A3D" w:rsidRPr="002442E4">
          <w:rPr>
            <w:rStyle w:val="Hyperlink"/>
          </w:rPr>
          <w:t>Schuster, Stefan (SPD)</w:t>
        </w:r>
        <w:r w:rsidR="000E3A3D" w:rsidRPr="002442E4">
          <w:rPr>
            <w:rStyle w:val="Hyperlink"/>
          </w:rPr>
          <w:br/>
          <w:t>Blow-ups</w:t>
        </w:r>
        <w:r w:rsidR="000E3A3D">
          <w:rPr>
            <w:webHidden/>
          </w:rPr>
          <w:tab/>
        </w:r>
        <w:r w:rsidR="000E3A3D">
          <w:rPr>
            <w:webHidden/>
          </w:rPr>
          <w:fldChar w:fldCharType="begin"/>
        </w:r>
        <w:r w:rsidR="000E3A3D">
          <w:rPr>
            <w:webHidden/>
          </w:rPr>
          <w:instrText xml:space="preserve"> PAGEREF _Toc519153215 \h </w:instrText>
        </w:r>
        <w:r w:rsidR="000E3A3D">
          <w:rPr>
            <w:webHidden/>
          </w:rPr>
        </w:r>
        <w:r w:rsidR="000E3A3D">
          <w:rPr>
            <w:webHidden/>
          </w:rPr>
          <w:fldChar w:fldCharType="separate"/>
        </w:r>
        <w:r w:rsidR="00D71E7D">
          <w:rPr>
            <w:webHidden/>
          </w:rPr>
          <w:t>27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6" w:history="1">
        <w:r w:rsidR="000E3A3D" w:rsidRPr="002442E4">
          <w:rPr>
            <w:rStyle w:val="Hyperlink"/>
          </w:rPr>
          <w:t>Steinberger, Rosi (BÜNDNIS 90/DIE GRÜNEN)</w:t>
        </w:r>
        <w:r w:rsidR="000E3A3D" w:rsidRPr="002442E4">
          <w:rPr>
            <w:rStyle w:val="Hyperlink"/>
          </w:rPr>
          <w:br/>
          <w:t>Beeinträchtigung des Landschaftsbilds durch Kunststofffolien</w:t>
        </w:r>
        <w:r w:rsidR="000E3A3D">
          <w:rPr>
            <w:webHidden/>
          </w:rPr>
          <w:tab/>
        </w:r>
        <w:r w:rsidR="000E3A3D">
          <w:rPr>
            <w:webHidden/>
          </w:rPr>
          <w:fldChar w:fldCharType="begin"/>
        </w:r>
        <w:r w:rsidR="000E3A3D">
          <w:rPr>
            <w:webHidden/>
          </w:rPr>
          <w:instrText xml:space="preserve"> PAGEREF _Toc519153216 \h </w:instrText>
        </w:r>
        <w:r w:rsidR="000E3A3D">
          <w:rPr>
            <w:webHidden/>
          </w:rPr>
        </w:r>
        <w:r w:rsidR="000E3A3D">
          <w:rPr>
            <w:webHidden/>
          </w:rPr>
          <w:fldChar w:fldCharType="separate"/>
        </w:r>
        <w:r w:rsidR="00D71E7D">
          <w:rPr>
            <w:webHidden/>
          </w:rPr>
          <w:t>28</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17" w:history="1">
        <w:r w:rsidR="000E3A3D" w:rsidRPr="002442E4">
          <w:rPr>
            <w:rStyle w:val="Hyperlink"/>
          </w:rPr>
          <w:t>Strobl, Reinhold (SPD)</w:t>
        </w:r>
        <w:r w:rsidR="000E3A3D" w:rsidRPr="002442E4">
          <w:rPr>
            <w:rStyle w:val="Hyperlink"/>
          </w:rPr>
          <w:br/>
          <w:t>Treibstoffschnellablässe durch Flug</w:t>
        </w:r>
        <w:r w:rsidR="00423B2A">
          <w:rPr>
            <w:rStyle w:val="Hyperlink"/>
          </w:rPr>
          <w:softHyphen/>
        </w:r>
        <w:r w:rsidR="000E3A3D" w:rsidRPr="002442E4">
          <w:rPr>
            <w:rStyle w:val="Hyperlink"/>
          </w:rPr>
          <w:t>zeuge</w:t>
        </w:r>
        <w:r w:rsidR="000E3A3D">
          <w:rPr>
            <w:webHidden/>
          </w:rPr>
          <w:tab/>
        </w:r>
        <w:r w:rsidR="000E3A3D">
          <w:rPr>
            <w:webHidden/>
          </w:rPr>
          <w:fldChar w:fldCharType="begin"/>
        </w:r>
        <w:r w:rsidR="000E3A3D">
          <w:rPr>
            <w:webHidden/>
          </w:rPr>
          <w:instrText xml:space="preserve"> PAGEREF _Toc519153217 \h </w:instrText>
        </w:r>
        <w:r w:rsidR="000E3A3D">
          <w:rPr>
            <w:webHidden/>
          </w:rPr>
        </w:r>
        <w:r w:rsidR="000E3A3D">
          <w:rPr>
            <w:webHidden/>
          </w:rPr>
          <w:fldChar w:fldCharType="separate"/>
        </w:r>
        <w:r w:rsidR="00D71E7D">
          <w:rPr>
            <w:webHidden/>
          </w:rPr>
          <w:t>29</w:t>
        </w:r>
        <w:r w:rsidR="000E3A3D">
          <w:rPr>
            <w:webHidden/>
          </w:rPr>
          <w:fldChar w:fldCharType="end"/>
        </w:r>
      </w:hyperlink>
    </w:p>
    <w:p w:rsidR="000E3A3D" w:rsidRDefault="009C71F4">
      <w:pPr>
        <w:pStyle w:val="Verzeichnis2"/>
        <w:tabs>
          <w:tab w:val="right" w:leader="dot" w:pos="4383"/>
        </w:tabs>
        <w:rPr>
          <w:rStyle w:val="Hyperlink"/>
        </w:rPr>
      </w:pPr>
      <w:hyperlink w:anchor="_Toc519153218" w:history="1">
        <w:r w:rsidR="000E3A3D" w:rsidRPr="002442E4">
          <w:rPr>
            <w:rStyle w:val="Hyperlink"/>
          </w:rPr>
          <w:t>Dr. Wengert, Paul (SPD)</w:t>
        </w:r>
        <w:r w:rsidR="000E3A3D" w:rsidRPr="002442E4">
          <w:rPr>
            <w:rStyle w:val="Hyperlink"/>
          </w:rPr>
          <w:br/>
          <w:t xml:space="preserve">Blockabfertigung von Lastwagen an der Grenze Bayern </w:t>
        </w:r>
        <w:r w:rsidR="00423B2A">
          <w:rPr>
            <w:rStyle w:val="Hyperlink"/>
          </w:rPr>
          <w:t>–</w:t>
        </w:r>
        <w:r w:rsidR="000E3A3D" w:rsidRPr="002442E4">
          <w:rPr>
            <w:rStyle w:val="Hyperlink"/>
          </w:rPr>
          <w:t xml:space="preserve"> Österreich</w:t>
        </w:r>
        <w:r w:rsidR="000E3A3D">
          <w:rPr>
            <w:webHidden/>
          </w:rPr>
          <w:tab/>
        </w:r>
        <w:r w:rsidR="000E3A3D">
          <w:rPr>
            <w:webHidden/>
          </w:rPr>
          <w:fldChar w:fldCharType="begin"/>
        </w:r>
        <w:r w:rsidR="000E3A3D">
          <w:rPr>
            <w:webHidden/>
          </w:rPr>
          <w:instrText xml:space="preserve"> PAGEREF _Toc519153218 \h </w:instrText>
        </w:r>
        <w:r w:rsidR="000E3A3D">
          <w:rPr>
            <w:webHidden/>
          </w:rPr>
        </w:r>
        <w:r w:rsidR="000E3A3D">
          <w:rPr>
            <w:webHidden/>
          </w:rPr>
          <w:fldChar w:fldCharType="separate"/>
        </w:r>
        <w:r w:rsidR="00D71E7D">
          <w:rPr>
            <w:webHidden/>
          </w:rPr>
          <w:t>30</w:t>
        </w:r>
        <w:r w:rsidR="000E3A3D">
          <w:rPr>
            <w:webHidden/>
          </w:rPr>
          <w:fldChar w:fldCharType="end"/>
        </w:r>
      </w:hyperlink>
    </w:p>
    <w:p w:rsidR="00423B2A" w:rsidRDefault="00423B2A" w:rsidP="00423B2A">
      <w:pPr>
        <w:rPr>
          <w:rFonts w:eastAsiaTheme="minorEastAsia"/>
          <w:noProof/>
        </w:rPr>
      </w:pPr>
    </w:p>
    <w:p w:rsidR="00423B2A" w:rsidRPr="00423B2A" w:rsidRDefault="00423B2A" w:rsidP="00423B2A">
      <w:pPr>
        <w:rPr>
          <w:rFonts w:eastAsiaTheme="minorEastAsia"/>
          <w:noProof/>
        </w:rPr>
      </w:pPr>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19" w:history="1">
        <w:r w:rsidR="000E3A3D" w:rsidRPr="002442E4">
          <w:rPr>
            <w:rStyle w:val="Hyperlink"/>
            <w:noProof/>
          </w:rPr>
          <w:t>Geschäftsbereich des Staatsministeriums der Justiz</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0" w:history="1">
        <w:r w:rsidR="000E3A3D" w:rsidRPr="002442E4">
          <w:rPr>
            <w:rStyle w:val="Hyperlink"/>
          </w:rPr>
          <w:t>Prof. Dr. Gantzer, Peter Paul (SPD)</w:t>
        </w:r>
        <w:r w:rsidR="000E3A3D" w:rsidRPr="002442E4">
          <w:rPr>
            <w:rStyle w:val="Hyperlink"/>
          </w:rPr>
          <w:br/>
          <w:t>Verschreibung von Arzneimitteln auf Cannabisbasis</w:t>
        </w:r>
        <w:r w:rsidR="000E3A3D">
          <w:rPr>
            <w:webHidden/>
          </w:rPr>
          <w:tab/>
        </w:r>
        <w:r w:rsidR="000E3A3D">
          <w:rPr>
            <w:webHidden/>
          </w:rPr>
          <w:fldChar w:fldCharType="begin"/>
        </w:r>
        <w:r w:rsidR="000E3A3D">
          <w:rPr>
            <w:webHidden/>
          </w:rPr>
          <w:instrText xml:space="preserve"> PAGEREF _Toc519153220 \h </w:instrText>
        </w:r>
        <w:r w:rsidR="000E3A3D">
          <w:rPr>
            <w:webHidden/>
          </w:rPr>
        </w:r>
        <w:r w:rsidR="000E3A3D">
          <w:rPr>
            <w:webHidden/>
          </w:rPr>
          <w:fldChar w:fldCharType="separate"/>
        </w:r>
        <w:r w:rsidR="00D71E7D">
          <w:rPr>
            <w:webHidden/>
          </w:rPr>
          <w:t>31</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1" w:history="1">
        <w:r w:rsidR="000E3A3D" w:rsidRPr="002442E4">
          <w:rPr>
            <w:rStyle w:val="Hyperlink"/>
          </w:rPr>
          <w:t>Schindler, Franz (SPD)</w:t>
        </w:r>
        <w:r w:rsidR="000E3A3D" w:rsidRPr="002442E4">
          <w:rPr>
            <w:rStyle w:val="Hyperlink"/>
          </w:rPr>
          <w:br/>
          <w:t>Ermittlungsverfahren der Sta</w:t>
        </w:r>
        <w:r w:rsidR="00423B2A">
          <w:rPr>
            <w:rStyle w:val="Hyperlink"/>
          </w:rPr>
          <w:t>a</w:t>
        </w:r>
        <w:r w:rsidR="000E3A3D" w:rsidRPr="002442E4">
          <w:rPr>
            <w:rStyle w:val="Hyperlink"/>
          </w:rPr>
          <w:t>ts</w:t>
        </w:r>
        <w:r w:rsidR="00423B2A">
          <w:rPr>
            <w:rStyle w:val="Hyperlink"/>
          </w:rPr>
          <w:softHyphen/>
          <w:t>an</w:t>
        </w:r>
        <w:r w:rsidR="00423B2A">
          <w:rPr>
            <w:rStyle w:val="Hyperlink"/>
          </w:rPr>
          <w:softHyphen/>
        </w:r>
        <w:r w:rsidR="000E3A3D" w:rsidRPr="002442E4">
          <w:rPr>
            <w:rStyle w:val="Hyperlink"/>
          </w:rPr>
          <w:t>walt</w:t>
        </w:r>
        <w:r w:rsidR="00423B2A">
          <w:rPr>
            <w:rStyle w:val="Hyperlink"/>
          </w:rPr>
          <w:softHyphen/>
        </w:r>
        <w:r w:rsidR="000E3A3D" w:rsidRPr="002442E4">
          <w:rPr>
            <w:rStyle w:val="Hyperlink"/>
          </w:rPr>
          <w:t>schaft Regensburg gegen Oberbürger</w:t>
        </w:r>
        <w:r w:rsidR="00423B2A">
          <w:rPr>
            <w:rStyle w:val="Hyperlink"/>
          </w:rPr>
          <w:softHyphen/>
          <w:t>meister Wolbergs u. </w:t>
        </w:r>
        <w:r w:rsidR="000E3A3D" w:rsidRPr="002442E4">
          <w:rPr>
            <w:rStyle w:val="Hyperlink"/>
          </w:rPr>
          <w:t>a.</w:t>
        </w:r>
        <w:r w:rsidR="000E3A3D">
          <w:rPr>
            <w:webHidden/>
          </w:rPr>
          <w:tab/>
        </w:r>
        <w:r w:rsidR="000E3A3D">
          <w:rPr>
            <w:webHidden/>
          </w:rPr>
          <w:fldChar w:fldCharType="begin"/>
        </w:r>
        <w:r w:rsidR="000E3A3D">
          <w:rPr>
            <w:webHidden/>
          </w:rPr>
          <w:instrText xml:space="preserve"> PAGEREF _Toc519153221 \h </w:instrText>
        </w:r>
        <w:r w:rsidR="000E3A3D">
          <w:rPr>
            <w:webHidden/>
          </w:rPr>
        </w:r>
        <w:r w:rsidR="000E3A3D">
          <w:rPr>
            <w:webHidden/>
          </w:rPr>
          <w:fldChar w:fldCharType="separate"/>
        </w:r>
        <w:r w:rsidR="00D71E7D">
          <w:rPr>
            <w:webHidden/>
          </w:rPr>
          <w:t>32</w:t>
        </w:r>
        <w:r w:rsidR="000E3A3D">
          <w:rPr>
            <w:webHidden/>
          </w:rPr>
          <w:fldChar w:fldCharType="end"/>
        </w:r>
      </w:hyperlink>
    </w:p>
    <w:p w:rsidR="00423B2A" w:rsidRDefault="00423B2A">
      <w:pPr>
        <w:pStyle w:val="Verzeichnis1"/>
        <w:tabs>
          <w:tab w:val="right" w:leader="dot" w:pos="4383"/>
        </w:tabs>
        <w:rPr>
          <w:rStyle w:val="Hyperlink"/>
          <w:noProof/>
        </w:rPr>
      </w:pPr>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22" w:history="1">
        <w:r w:rsidR="000E3A3D" w:rsidRPr="002442E4">
          <w:rPr>
            <w:rStyle w:val="Hyperlink"/>
            <w:noProof/>
          </w:rPr>
          <w:t>Geschäftsbereich des Staatsministeriums für Unterricht und Kultus</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3" w:history="1">
        <w:r w:rsidR="00423B2A">
          <w:rPr>
            <w:rStyle w:val="Hyperlink"/>
          </w:rPr>
          <w:t>Felbinger, Günther (f</w:t>
        </w:r>
        <w:r w:rsidR="000E3A3D" w:rsidRPr="002442E4">
          <w:rPr>
            <w:rStyle w:val="Hyperlink"/>
          </w:rPr>
          <w:t>raktionslos)</w:t>
        </w:r>
        <w:r w:rsidR="000E3A3D" w:rsidRPr="002442E4">
          <w:rPr>
            <w:rStyle w:val="Hyperlink"/>
          </w:rPr>
          <w:br/>
          <w:t>Steuererklärung im Lehrplan</w:t>
        </w:r>
        <w:r w:rsidR="000E3A3D">
          <w:rPr>
            <w:webHidden/>
          </w:rPr>
          <w:tab/>
        </w:r>
        <w:r w:rsidR="000E3A3D">
          <w:rPr>
            <w:webHidden/>
          </w:rPr>
          <w:fldChar w:fldCharType="begin"/>
        </w:r>
        <w:r w:rsidR="000E3A3D">
          <w:rPr>
            <w:webHidden/>
          </w:rPr>
          <w:instrText xml:space="preserve"> PAGEREF _Toc519153223 \h </w:instrText>
        </w:r>
        <w:r w:rsidR="000E3A3D">
          <w:rPr>
            <w:webHidden/>
          </w:rPr>
        </w:r>
        <w:r w:rsidR="000E3A3D">
          <w:rPr>
            <w:webHidden/>
          </w:rPr>
          <w:fldChar w:fldCharType="separate"/>
        </w:r>
        <w:r w:rsidR="00D71E7D">
          <w:rPr>
            <w:webHidden/>
          </w:rPr>
          <w:t>34</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4" w:history="1">
        <w:r w:rsidR="000E3A3D" w:rsidRPr="002442E4">
          <w:rPr>
            <w:rStyle w:val="Hyperlink"/>
          </w:rPr>
          <w:t>Gehring, Thomas (BÜNDNIS 90/DIE GRÜNEN)</w:t>
        </w:r>
        <w:r w:rsidR="000E3A3D" w:rsidRPr="002442E4">
          <w:rPr>
            <w:rStyle w:val="Hyperlink"/>
          </w:rPr>
          <w:br/>
          <w:t>Bildung der 5. Klasse an Mittelschulen</w:t>
        </w:r>
        <w:r w:rsidR="000E3A3D">
          <w:rPr>
            <w:webHidden/>
          </w:rPr>
          <w:tab/>
        </w:r>
        <w:r w:rsidR="000E3A3D">
          <w:rPr>
            <w:webHidden/>
          </w:rPr>
          <w:fldChar w:fldCharType="begin"/>
        </w:r>
        <w:r w:rsidR="000E3A3D">
          <w:rPr>
            <w:webHidden/>
          </w:rPr>
          <w:instrText xml:space="preserve"> PAGEREF _Toc519153224 \h </w:instrText>
        </w:r>
        <w:r w:rsidR="000E3A3D">
          <w:rPr>
            <w:webHidden/>
          </w:rPr>
        </w:r>
        <w:r w:rsidR="000E3A3D">
          <w:rPr>
            <w:webHidden/>
          </w:rPr>
          <w:fldChar w:fldCharType="separate"/>
        </w:r>
        <w:r w:rsidR="00D71E7D">
          <w:rPr>
            <w:webHidden/>
          </w:rPr>
          <w:t>36</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5" w:history="1">
        <w:r w:rsidR="000E3A3D" w:rsidRPr="002442E4">
          <w:rPr>
            <w:rStyle w:val="Hyperlink"/>
          </w:rPr>
          <w:t>Güll, Martin (SPD)</w:t>
        </w:r>
        <w:r w:rsidR="000E3A3D" w:rsidRPr="002442E4">
          <w:rPr>
            <w:rStyle w:val="Hyperlink"/>
          </w:rPr>
          <w:br/>
          <w:t>Stellenbesetzungen im Einzelplan 05</w:t>
        </w:r>
        <w:r w:rsidR="000E3A3D">
          <w:rPr>
            <w:webHidden/>
          </w:rPr>
          <w:tab/>
        </w:r>
        <w:r w:rsidR="000E3A3D">
          <w:rPr>
            <w:webHidden/>
          </w:rPr>
          <w:fldChar w:fldCharType="begin"/>
        </w:r>
        <w:r w:rsidR="000E3A3D">
          <w:rPr>
            <w:webHidden/>
          </w:rPr>
          <w:instrText xml:space="preserve"> PAGEREF _Toc519153225 \h </w:instrText>
        </w:r>
        <w:r w:rsidR="000E3A3D">
          <w:rPr>
            <w:webHidden/>
          </w:rPr>
        </w:r>
        <w:r w:rsidR="000E3A3D">
          <w:rPr>
            <w:webHidden/>
          </w:rPr>
          <w:fldChar w:fldCharType="separate"/>
        </w:r>
        <w:r w:rsidR="00D71E7D">
          <w:rPr>
            <w:webHidden/>
          </w:rPr>
          <w:t>37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6" w:history="1">
        <w:r w:rsidR="000E3A3D" w:rsidRPr="002442E4">
          <w:rPr>
            <w:rStyle w:val="Hyperlink"/>
          </w:rPr>
          <w:t>Dr. Herz, Leopold (FREIE WÄHLER)</w:t>
        </w:r>
        <w:r w:rsidR="000E3A3D" w:rsidRPr="002442E4">
          <w:rPr>
            <w:rStyle w:val="Hyperlink"/>
          </w:rPr>
          <w:br/>
          <w:t>Lehrerversorgung</w:t>
        </w:r>
        <w:r w:rsidR="000E3A3D">
          <w:rPr>
            <w:webHidden/>
          </w:rPr>
          <w:tab/>
        </w:r>
        <w:r w:rsidR="000E3A3D">
          <w:rPr>
            <w:webHidden/>
          </w:rPr>
          <w:fldChar w:fldCharType="begin"/>
        </w:r>
        <w:r w:rsidR="000E3A3D">
          <w:rPr>
            <w:webHidden/>
          </w:rPr>
          <w:instrText xml:space="preserve"> PAGEREF _Toc519153226 \h </w:instrText>
        </w:r>
        <w:r w:rsidR="000E3A3D">
          <w:rPr>
            <w:webHidden/>
          </w:rPr>
        </w:r>
        <w:r w:rsidR="000E3A3D">
          <w:rPr>
            <w:webHidden/>
          </w:rPr>
          <w:fldChar w:fldCharType="separate"/>
        </w:r>
        <w:r w:rsidR="00D71E7D">
          <w:rPr>
            <w:webHidden/>
          </w:rPr>
          <w:t>39</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7" w:history="1">
        <w:r w:rsidR="000E3A3D" w:rsidRPr="002442E4">
          <w:rPr>
            <w:rStyle w:val="Hyperlink"/>
          </w:rPr>
          <w:t>Dr. Strohmayr, Simone (SPD)</w:t>
        </w:r>
        <w:r w:rsidR="000E3A3D" w:rsidRPr="002442E4">
          <w:rPr>
            <w:rStyle w:val="Hyperlink"/>
          </w:rPr>
          <w:br/>
          <w:t>Fortbildung zur digitalen Bildung</w:t>
        </w:r>
        <w:r w:rsidR="000E3A3D">
          <w:rPr>
            <w:webHidden/>
          </w:rPr>
          <w:tab/>
        </w:r>
        <w:r w:rsidR="000E3A3D">
          <w:rPr>
            <w:webHidden/>
          </w:rPr>
          <w:fldChar w:fldCharType="begin"/>
        </w:r>
        <w:r w:rsidR="000E3A3D">
          <w:rPr>
            <w:webHidden/>
          </w:rPr>
          <w:instrText xml:space="preserve"> PAGEREF _Toc519153227 \h </w:instrText>
        </w:r>
        <w:r w:rsidR="000E3A3D">
          <w:rPr>
            <w:webHidden/>
          </w:rPr>
        </w:r>
        <w:r w:rsidR="000E3A3D">
          <w:rPr>
            <w:webHidden/>
          </w:rPr>
          <w:fldChar w:fldCharType="separate"/>
        </w:r>
        <w:r w:rsidR="00D71E7D">
          <w:rPr>
            <w:webHidden/>
          </w:rPr>
          <w:t>42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28" w:history="1">
        <w:r w:rsidR="000E3A3D" w:rsidRPr="002442E4">
          <w:rPr>
            <w:rStyle w:val="Hyperlink"/>
          </w:rPr>
          <w:t>Widmann, Jutta (FREIE WÄHLER)</w:t>
        </w:r>
        <w:r w:rsidR="000E3A3D" w:rsidRPr="002442E4">
          <w:rPr>
            <w:rStyle w:val="Hyperlink"/>
          </w:rPr>
          <w:br/>
          <w:t>Notendurchschnitt und Anstellung von Lehrkräften</w:t>
        </w:r>
        <w:r w:rsidR="000E3A3D">
          <w:rPr>
            <w:webHidden/>
          </w:rPr>
          <w:tab/>
        </w:r>
        <w:r w:rsidR="000E3A3D">
          <w:rPr>
            <w:webHidden/>
          </w:rPr>
          <w:fldChar w:fldCharType="begin"/>
        </w:r>
        <w:r w:rsidR="000E3A3D">
          <w:rPr>
            <w:webHidden/>
          </w:rPr>
          <w:instrText xml:space="preserve"> PAGEREF _Toc519153228 \h </w:instrText>
        </w:r>
        <w:r w:rsidR="000E3A3D">
          <w:rPr>
            <w:webHidden/>
          </w:rPr>
        </w:r>
        <w:r w:rsidR="000E3A3D">
          <w:rPr>
            <w:webHidden/>
          </w:rPr>
          <w:fldChar w:fldCharType="separate"/>
        </w:r>
        <w:r w:rsidR="00D71E7D">
          <w:rPr>
            <w:webHidden/>
          </w:rPr>
          <w:t>43</w:t>
        </w:r>
        <w:r w:rsidR="000E3A3D">
          <w:rPr>
            <w:webHidden/>
          </w:rPr>
          <w:fldChar w:fldCharType="end"/>
        </w:r>
      </w:hyperlink>
    </w:p>
    <w:p w:rsidR="000E3A3D" w:rsidRDefault="00423B2A">
      <w:pPr>
        <w:pStyle w:val="Verzeichnis1"/>
        <w:tabs>
          <w:tab w:val="right" w:leader="dot" w:pos="4383"/>
        </w:tabs>
        <w:rPr>
          <w:rFonts w:asciiTheme="minorHAnsi" w:eastAsiaTheme="minorEastAsia" w:hAnsiTheme="minorHAnsi" w:cstheme="minorBidi"/>
          <w:b w:val="0"/>
          <w:noProof/>
        </w:rPr>
      </w:pPr>
      <w:r>
        <w:rPr>
          <w:rStyle w:val="Hyperlink"/>
          <w:noProof/>
        </w:rPr>
        <w:br w:type="column"/>
      </w:r>
      <w:hyperlink w:anchor="_Toc519153229" w:history="1">
        <w:r w:rsidR="000E3A3D" w:rsidRPr="002442E4">
          <w:rPr>
            <w:rStyle w:val="Hyperlink"/>
            <w:noProof/>
          </w:rPr>
          <w:t>Geschäftsbereich des Staatsministeriums für Wissenschaft und Kunst</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30" w:history="1">
        <w:r w:rsidR="000E3A3D" w:rsidRPr="002442E4">
          <w:rPr>
            <w:rStyle w:val="Hyperlink"/>
          </w:rPr>
          <w:t>Gottstein, Eva (FREIE WÄHLER)</w:t>
        </w:r>
        <w:r w:rsidR="000E3A3D" w:rsidRPr="002442E4">
          <w:rPr>
            <w:rStyle w:val="Hyperlink"/>
          </w:rPr>
          <w:br/>
          <w:t>Verlauf des Dialogprozesses mit dem bisherigen Träger sowie möglichen künftigen Trägern des Jura-Museums Eichstätt</w:t>
        </w:r>
        <w:r w:rsidR="000E3A3D">
          <w:rPr>
            <w:webHidden/>
          </w:rPr>
          <w:tab/>
        </w:r>
        <w:r w:rsidR="000E3A3D">
          <w:rPr>
            <w:webHidden/>
          </w:rPr>
          <w:fldChar w:fldCharType="begin"/>
        </w:r>
        <w:r w:rsidR="000E3A3D">
          <w:rPr>
            <w:webHidden/>
          </w:rPr>
          <w:instrText xml:space="preserve"> PAGEREF _Toc519153230 \h </w:instrText>
        </w:r>
        <w:r w:rsidR="000E3A3D">
          <w:rPr>
            <w:webHidden/>
          </w:rPr>
        </w:r>
        <w:r w:rsidR="000E3A3D">
          <w:rPr>
            <w:webHidden/>
          </w:rPr>
          <w:fldChar w:fldCharType="separate"/>
        </w:r>
        <w:r w:rsidR="00D71E7D">
          <w:rPr>
            <w:webHidden/>
          </w:rPr>
          <w:t>44</w:t>
        </w:r>
        <w:r w:rsidR="000E3A3D">
          <w:rPr>
            <w:webHidden/>
          </w:rPr>
          <w:fldChar w:fldCharType="end"/>
        </w:r>
      </w:hyperlink>
    </w:p>
    <w:p w:rsidR="000E3A3D" w:rsidRDefault="009C71F4">
      <w:pPr>
        <w:pStyle w:val="Verzeichnis2"/>
        <w:tabs>
          <w:tab w:val="right" w:leader="dot" w:pos="4383"/>
        </w:tabs>
        <w:rPr>
          <w:rStyle w:val="Hyperlink"/>
        </w:rPr>
      </w:pPr>
      <w:hyperlink w:anchor="_Toc519153231" w:history="1">
        <w:r w:rsidR="000E3A3D" w:rsidRPr="002442E4">
          <w:rPr>
            <w:rStyle w:val="Hyperlink"/>
          </w:rPr>
          <w:t>Lotte, Andreas (SPD)</w:t>
        </w:r>
        <w:r w:rsidR="000E3A3D" w:rsidRPr="002442E4">
          <w:rPr>
            <w:rStyle w:val="Hyperlink"/>
          </w:rPr>
          <w:br/>
          <w:t>Referenzstrecke für ein Hyperloop-System</w:t>
        </w:r>
        <w:r w:rsidR="000E3A3D">
          <w:rPr>
            <w:webHidden/>
          </w:rPr>
          <w:tab/>
        </w:r>
        <w:r w:rsidR="000E3A3D">
          <w:rPr>
            <w:webHidden/>
          </w:rPr>
          <w:fldChar w:fldCharType="begin"/>
        </w:r>
        <w:r w:rsidR="000E3A3D">
          <w:rPr>
            <w:webHidden/>
          </w:rPr>
          <w:instrText xml:space="preserve"> PAGEREF _Toc519153231 \h </w:instrText>
        </w:r>
        <w:r w:rsidR="000E3A3D">
          <w:rPr>
            <w:webHidden/>
          </w:rPr>
        </w:r>
        <w:r w:rsidR="000E3A3D">
          <w:rPr>
            <w:webHidden/>
          </w:rPr>
          <w:fldChar w:fldCharType="separate"/>
        </w:r>
        <w:r w:rsidR="00D71E7D">
          <w:rPr>
            <w:webHidden/>
          </w:rPr>
          <w:t>44</w:t>
        </w:r>
        <w:r w:rsidR="000E3A3D">
          <w:rPr>
            <w:webHidden/>
          </w:rPr>
          <w:fldChar w:fldCharType="end"/>
        </w:r>
      </w:hyperlink>
    </w:p>
    <w:p w:rsidR="00423B2A" w:rsidRPr="00423B2A" w:rsidRDefault="00423B2A" w:rsidP="00423B2A">
      <w:pPr>
        <w:rPr>
          <w:rFonts w:eastAsiaTheme="minorEastAsia"/>
          <w:noProof/>
        </w:rPr>
      </w:pPr>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32" w:history="1">
        <w:r w:rsidR="000E3A3D" w:rsidRPr="002442E4">
          <w:rPr>
            <w:rStyle w:val="Hyperlink"/>
            <w:noProof/>
          </w:rPr>
          <w:t>Geschäftsbereich des Staatsministeriums für Wirtschaft, Energie und Technologie</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33" w:history="1">
        <w:r w:rsidR="000E3A3D" w:rsidRPr="002442E4">
          <w:rPr>
            <w:rStyle w:val="Hyperlink"/>
          </w:rPr>
          <w:t>Fehlner, Martina (SPD)</w:t>
        </w:r>
        <w:r w:rsidR="000E3A3D" w:rsidRPr="002442E4">
          <w:rPr>
            <w:rStyle w:val="Hyperlink"/>
          </w:rPr>
          <w:br/>
          <w:t>Errichtung von zusätzlichen 1.000 Mo</w:t>
        </w:r>
        <w:r w:rsidR="00423B2A">
          <w:rPr>
            <w:rStyle w:val="Hyperlink"/>
          </w:rPr>
          <w:softHyphen/>
        </w:r>
        <w:r w:rsidR="000E3A3D" w:rsidRPr="002442E4">
          <w:rPr>
            <w:rStyle w:val="Hyperlink"/>
          </w:rPr>
          <w:t>bilfunkmasten</w:t>
        </w:r>
        <w:r w:rsidR="000E3A3D">
          <w:rPr>
            <w:webHidden/>
          </w:rPr>
          <w:tab/>
        </w:r>
        <w:r w:rsidR="000E3A3D">
          <w:rPr>
            <w:webHidden/>
          </w:rPr>
          <w:fldChar w:fldCharType="begin"/>
        </w:r>
        <w:r w:rsidR="000E3A3D">
          <w:rPr>
            <w:webHidden/>
          </w:rPr>
          <w:instrText xml:space="preserve"> PAGEREF _Toc519153233 \h </w:instrText>
        </w:r>
        <w:r w:rsidR="000E3A3D">
          <w:rPr>
            <w:webHidden/>
          </w:rPr>
        </w:r>
        <w:r w:rsidR="000E3A3D">
          <w:rPr>
            <w:webHidden/>
          </w:rPr>
          <w:fldChar w:fldCharType="separate"/>
        </w:r>
        <w:r w:rsidR="00D71E7D">
          <w:rPr>
            <w:webHidden/>
          </w:rPr>
          <w:t>46</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34" w:history="1">
        <w:r w:rsidR="000E3A3D" w:rsidRPr="002442E4">
          <w:rPr>
            <w:rStyle w:val="Hyperlink"/>
          </w:rPr>
          <w:t>Halbleib, Volkmar (SPD)</w:t>
        </w:r>
        <w:r w:rsidR="000E3A3D" w:rsidRPr="002442E4">
          <w:rPr>
            <w:rStyle w:val="Hyperlink"/>
          </w:rPr>
          <w:br/>
          <w:t xml:space="preserve">Raumfahrtprogramm </w:t>
        </w:r>
        <w:r w:rsidR="00423B2A">
          <w:rPr>
            <w:rStyle w:val="Hyperlink"/>
          </w:rPr>
          <w:t>„Bavaria One“</w:t>
        </w:r>
        <w:r w:rsidR="000E3A3D">
          <w:rPr>
            <w:webHidden/>
          </w:rPr>
          <w:tab/>
        </w:r>
        <w:r w:rsidR="000E3A3D">
          <w:rPr>
            <w:webHidden/>
          </w:rPr>
          <w:fldChar w:fldCharType="begin"/>
        </w:r>
        <w:r w:rsidR="000E3A3D">
          <w:rPr>
            <w:webHidden/>
          </w:rPr>
          <w:instrText xml:space="preserve"> PAGEREF _Toc519153234 \h </w:instrText>
        </w:r>
        <w:r w:rsidR="000E3A3D">
          <w:rPr>
            <w:webHidden/>
          </w:rPr>
        </w:r>
        <w:r w:rsidR="000E3A3D">
          <w:rPr>
            <w:webHidden/>
          </w:rPr>
          <w:fldChar w:fldCharType="separate"/>
        </w:r>
        <w:r w:rsidR="00D71E7D">
          <w:rPr>
            <w:webHidden/>
          </w:rPr>
          <w:t>46</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35" w:history="1">
        <w:r w:rsidR="000E3A3D" w:rsidRPr="002442E4">
          <w:rPr>
            <w:rStyle w:val="Hyperlink"/>
          </w:rPr>
          <w:t>Dr. Rabenstein, Christoph (SPD)</w:t>
        </w:r>
        <w:r w:rsidR="000E3A3D" w:rsidRPr="002442E4">
          <w:rPr>
            <w:rStyle w:val="Hyperlink"/>
          </w:rPr>
          <w:br/>
          <w:t>Fertigung von Batteriezellen für Elek</w:t>
        </w:r>
        <w:r w:rsidR="00423B2A">
          <w:rPr>
            <w:rStyle w:val="Hyperlink"/>
          </w:rPr>
          <w:softHyphen/>
        </w:r>
        <w:r w:rsidR="000E3A3D" w:rsidRPr="002442E4">
          <w:rPr>
            <w:rStyle w:val="Hyperlink"/>
          </w:rPr>
          <w:t>trofahrzeuge in Bayern</w:t>
        </w:r>
        <w:r w:rsidR="000E3A3D">
          <w:rPr>
            <w:webHidden/>
          </w:rPr>
          <w:tab/>
        </w:r>
        <w:r w:rsidR="000E3A3D">
          <w:rPr>
            <w:webHidden/>
          </w:rPr>
          <w:fldChar w:fldCharType="begin"/>
        </w:r>
        <w:r w:rsidR="000E3A3D">
          <w:rPr>
            <w:webHidden/>
          </w:rPr>
          <w:instrText xml:space="preserve"> PAGEREF _Toc519153235 \h </w:instrText>
        </w:r>
        <w:r w:rsidR="000E3A3D">
          <w:rPr>
            <w:webHidden/>
          </w:rPr>
        </w:r>
        <w:r w:rsidR="000E3A3D">
          <w:rPr>
            <w:webHidden/>
          </w:rPr>
          <w:fldChar w:fldCharType="separate"/>
        </w:r>
        <w:r w:rsidR="00D71E7D">
          <w:rPr>
            <w:webHidden/>
          </w:rPr>
          <w:t>47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36" w:history="1">
        <w:r w:rsidR="000E3A3D" w:rsidRPr="002442E4">
          <w:rPr>
            <w:rStyle w:val="Hyperlink"/>
          </w:rPr>
          <w:t>Roos, Bernhard (SPD)</w:t>
        </w:r>
        <w:r w:rsidR="000E3A3D" w:rsidRPr="002442E4">
          <w:rPr>
            <w:rStyle w:val="Hyperlink"/>
          </w:rPr>
          <w:br/>
          <w:t>Chinesischer Großinvestor Ningbo Jifeng</w:t>
        </w:r>
        <w:r w:rsidR="000E3A3D">
          <w:rPr>
            <w:webHidden/>
          </w:rPr>
          <w:tab/>
        </w:r>
        <w:r w:rsidR="000E3A3D">
          <w:rPr>
            <w:webHidden/>
          </w:rPr>
          <w:fldChar w:fldCharType="begin"/>
        </w:r>
        <w:r w:rsidR="000E3A3D">
          <w:rPr>
            <w:webHidden/>
          </w:rPr>
          <w:instrText xml:space="preserve"> PAGEREF _Toc519153236 \h </w:instrText>
        </w:r>
        <w:r w:rsidR="000E3A3D">
          <w:rPr>
            <w:webHidden/>
          </w:rPr>
        </w:r>
        <w:r w:rsidR="000E3A3D">
          <w:rPr>
            <w:webHidden/>
          </w:rPr>
          <w:fldChar w:fldCharType="separate"/>
        </w:r>
        <w:r w:rsidR="00D71E7D">
          <w:rPr>
            <w:webHidden/>
          </w:rPr>
          <w:t>48</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37" w:history="1">
        <w:r w:rsidR="000E3A3D" w:rsidRPr="002442E4">
          <w:rPr>
            <w:rStyle w:val="Hyperlink"/>
          </w:rPr>
          <w:t>Stachowitz, Diana (SPD)</w:t>
        </w:r>
        <w:r w:rsidR="000E3A3D" w:rsidRPr="002442E4">
          <w:rPr>
            <w:rStyle w:val="Hyperlink"/>
          </w:rPr>
          <w:br/>
        </w:r>
        <w:r w:rsidR="00423B2A">
          <w:rPr>
            <w:rStyle w:val="Hyperlink"/>
          </w:rPr>
          <w:t>„BayernCloud“</w:t>
        </w:r>
        <w:r w:rsidR="000E3A3D">
          <w:rPr>
            <w:webHidden/>
          </w:rPr>
          <w:tab/>
        </w:r>
        <w:r w:rsidR="000E3A3D">
          <w:rPr>
            <w:webHidden/>
          </w:rPr>
          <w:fldChar w:fldCharType="begin"/>
        </w:r>
        <w:r w:rsidR="000E3A3D">
          <w:rPr>
            <w:webHidden/>
          </w:rPr>
          <w:instrText xml:space="preserve"> PAGEREF _Toc519153237 \h </w:instrText>
        </w:r>
        <w:r w:rsidR="000E3A3D">
          <w:rPr>
            <w:webHidden/>
          </w:rPr>
        </w:r>
        <w:r w:rsidR="000E3A3D">
          <w:rPr>
            <w:webHidden/>
          </w:rPr>
          <w:fldChar w:fldCharType="separate"/>
        </w:r>
        <w:r w:rsidR="00D71E7D">
          <w:rPr>
            <w:webHidden/>
          </w:rPr>
          <w:t>49</w:t>
        </w:r>
        <w:r w:rsidR="000E3A3D">
          <w:rPr>
            <w:webHidden/>
          </w:rPr>
          <w:fldChar w:fldCharType="end"/>
        </w:r>
      </w:hyperlink>
    </w:p>
    <w:p w:rsidR="000E3A3D" w:rsidRDefault="009C71F4">
      <w:pPr>
        <w:pStyle w:val="Verzeichnis2"/>
        <w:tabs>
          <w:tab w:val="right" w:leader="dot" w:pos="4383"/>
        </w:tabs>
        <w:rPr>
          <w:rStyle w:val="Hyperlink"/>
        </w:rPr>
      </w:pPr>
      <w:hyperlink w:anchor="_Toc519153238" w:history="1">
        <w:r w:rsidR="000E3A3D" w:rsidRPr="002442E4">
          <w:rPr>
            <w:rStyle w:val="Hyperlink"/>
          </w:rPr>
          <w:t>Werner-Muggendorfer, Johanna (SPD)</w:t>
        </w:r>
        <w:r w:rsidR="000E3A3D" w:rsidRPr="002442E4">
          <w:rPr>
            <w:rStyle w:val="Hyperlink"/>
          </w:rPr>
          <w:br/>
          <w:t xml:space="preserve">Zentrum in Straubing für sauberen </w:t>
        </w:r>
        <w:r w:rsidR="00423B2A">
          <w:rPr>
            <w:rStyle w:val="Hyperlink"/>
          </w:rPr>
          <w:t>„Bayern-Sprit“</w:t>
        </w:r>
        <w:r w:rsidR="000E3A3D">
          <w:rPr>
            <w:webHidden/>
          </w:rPr>
          <w:tab/>
        </w:r>
        <w:r w:rsidR="000E3A3D">
          <w:rPr>
            <w:webHidden/>
          </w:rPr>
          <w:fldChar w:fldCharType="begin"/>
        </w:r>
        <w:r w:rsidR="000E3A3D">
          <w:rPr>
            <w:webHidden/>
          </w:rPr>
          <w:instrText xml:space="preserve"> PAGEREF _Toc519153238 \h </w:instrText>
        </w:r>
        <w:r w:rsidR="000E3A3D">
          <w:rPr>
            <w:webHidden/>
          </w:rPr>
        </w:r>
        <w:r w:rsidR="000E3A3D">
          <w:rPr>
            <w:webHidden/>
          </w:rPr>
          <w:fldChar w:fldCharType="separate"/>
        </w:r>
        <w:r w:rsidR="00D71E7D">
          <w:rPr>
            <w:webHidden/>
          </w:rPr>
          <w:t>50</w:t>
        </w:r>
        <w:r w:rsidR="000E3A3D">
          <w:rPr>
            <w:webHidden/>
          </w:rPr>
          <w:fldChar w:fldCharType="end"/>
        </w:r>
      </w:hyperlink>
    </w:p>
    <w:p w:rsidR="00423B2A" w:rsidRPr="00423B2A" w:rsidRDefault="00423B2A" w:rsidP="00423B2A">
      <w:pPr>
        <w:rPr>
          <w:rFonts w:eastAsiaTheme="minorEastAsia"/>
          <w:noProof/>
        </w:rPr>
      </w:pPr>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39" w:history="1">
        <w:r w:rsidR="000E3A3D" w:rsidRPr="002442E4">
          <w:rPr>
            <w:rStyle w:val="Hyperlink"/>
            <w:noProof/>
          </w:rPr>
          <w:t>Geschäftsbereich des Staatsministeriums der Finanzen, für Landesentwicklung und Heimat</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0" w:history="1">
        <w:r w:rsidR="00423B2A">
          <w:rPr>
            <w:rStyle w:val="Hyperlink"/>
          </w:rPr>
          <w:t>von B</w:t>
        </w:r>
        <w:r w:rsidR="000E3A3D" w:rsidRPr="002442E4">
          <w:rPr>
            <w:rStyle w:val="Hyperlink"/>
          </w:rPr>
          <w:t>runn, Florian (SPD)</w:t>
        </w:r>
        <w:r w:rsidR="000E3A3D" w:rsidRPr="002442E4">
          <w:rPr>
            <w:rStyle w:val="Hyperlink"/>
          </w:rPr>
          <w:br/>
          <w:t>Entschädigung und Nebeneinkünfte der Beauftragten der Staatsregierung</w:t>
        </w:r>
        <w:r w:rsidR="000E3A3D">
          <w:rPr>
            <w:webHidden/>
          </w:rPr>
          <w:tab/>
        </w:r>
        <w:r w:rsidR="000E3A3D">
          <w:rPr>
            <w:webHidden/>
          </w:rPr>
          <w:fldChar w:fldCharType="begin"/>
        </w:r>
        <w:r w:rsidR="000E3A3D">
          <w:rPr>
            <w:webHidden/>
          </w:rPr>
          <w:instrText xml:space="preserve"> PAGEREF _Toc519153240 \h </w:instrText>
        </w:r>
        <w:r w:rsidR="000E3A3D">
          <w:rPr>
            <w:webHidden/>
          </w:rPr>
        </w:r>
        <w:r w:rsidR="000E3A3D">
          <w:rPr>
            <w:webHidden/>
          </w:rPr>
          <w:fldChar w:fldCharType="separate"/>
        </w:r>
        <w:r w:rsidR="00D71E7D">
          <w:rPr>
            <w:webHidden/>
          </w:rPr>
          <w:t>51</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1" w:history="1">
        <w:r w:rsidR="000E3A3D" w:rsidRPr="002442E4">
          <w:rPr>
            <w:rStyle w:val="Hyperlink"/>
          </w:rPr>
          <w:t>Dr. Dürr, Sepp (BÜNDNIS 90/DIE GRÜNEN)</w:t>
        </w:r>
        <w:r w:rsidR="000E3A3D" w:rsidRPr="002442E4">
          <w:rPr>
            <w:rStyle w:val="Hyperlink"/>
          </w:rPr>
          <w:br/>
          <w:t>Bio-Essen in Staatsministerien</w:t>
        </w:r>
        <w:r w:rsidR="000E3A3D">
          <w:rPr>
            <w:webHidden/>
          </w:rPr>
          <w:tab/>
        </w:r>
        <w:r w:rsidR="000E3A3D">
          <w:rPr>
            <w:webHidden/>
          </w:rPr>
          <w:fldChar w:fldCharType="begin"/>
        </w:r>
        <w:r w:rsidR="000E3A3D">
          <w:rPr>
            <w:webHidden/>
          </w:rPr>
          <w:instrText xml:space="preserve"> PAGEREF _Toc519153241 \h </w:instrText>
        </w:r>
        <w:r w:rsidR="000E3A3D">
          <w:rPr>
            <w:webHidden/>
          </w:rPr>
        </w:r>
        <w:r w:rsidR="000E3A3D">
          <w:rPr>
            <w:webHidden/>
          </w:rPr>
          <w:fldChar w:fldCharType="separate"/>
        </w:r>
        <w:r w:rsidR="00D71E7D">
          <w:rPr>
            <w:webHidden/>
          </w:rPr>
          <w:t>54</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2" w:history="1">
        <w:r w:rsidR="000E3A3D" w:rsidRPr="002442E4">
          <w:rPr>
            <w:rStyle w:val="Hyperlink"/>
          </w:rPr>
          <w:t>Karl, Annette (SPD)</w:t>
        </w:r>
        <w:r w:rsidR="000E3A3D" w:rsidRPr="002442E4">
          <w:rPr>
            <w:rStyle w:val="Hyperlink"/>
          </w:rPr>
          <w:br/>
        </w:r>
        <w:r w:rsidR="00423B2A">
          <w:rPr>
            <w:rStyle w:val="Hyperlink"/>
          </w:rPr>
          <w:t>„</w:t>
        </w:r>
        <w:r w:rsidR="000E3A3D" w:rsidRPr="002442E4">
          <w:rPr>
            <w:rStyle w:val="Hyperlink"/>
          </w:rPr>
          <w:t>Digitales Rathaus rund um die Uhr un</w:t>
        </w:r>
        <w:r w:rsidR="00423B2A">
          <w:rPr>
            <w:rStyle w:val="Hyperlink"/>
          </w:rPr>
          <w:t>d an jedem Ort“</w:t>
        </w:r>
        <w:r w:rsidR="000E3A3D">
          <w:rPr>
            <w:webHidden/>
          </w:rPr>
          <w:tab/>
        </w:r>
        <w:r w:rsidR="000E3A3D">
          <w:rPr>
            <w:webHidden/>
          </w:rPr>
          <w:fldChar w:fldCharType="begin"/>
        </w:r>
        <w:r w:rsidR="000E3A3D">
          <w:rPr>
            <w:webHidden/>
          </w:rPr>
          <w:instrText xml:space="preserve"> PAGEREF _Toc519153242 \h </w:instrText>
        </w:r>
        <w:r w:rsidR="000E3A3D">
          <w:rPr>
            <w:webHidden/>
          </w:rPr>
        </w:r>
        <w:r w:rsidR="000E3A3D">
          <w:rPr>
            <w:webHidden/>
          </w:rPr>
          <w:fldChar w:fldCharType="separate"/>
        </w:r>
        <w:r w:rsidR="00D71E7D">
          <w:rPr>
            <w:webHidden/>
          </w:rPr>
          <w:t>54</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3" w:history="1">
        <w:r w:rsidR="000E3A3D" w:rsidRPr="002442E4">
          <w:rPr>
            <w:rStyle w:val="Hyperlink"/>
          </w:rPr>
          <w:t>Wild, Margit (SPD)</w:t>
        </w:r>
        <w:r w:rsidR="000E3A3D" w:rsidRPr="002442E4">
          <w:rPr>
            <w:rStyle w:val="Hyperlink"/>
          </w:rPr>
          <w:br/>
          <w:t>Lotto-Toto-Vertriebsgemeinschaft</w:t>
        </w:r>
        <w:r w:rsidR="000E3A3D">
          <w:rPr>
            <w:webHidden/>
          </w:rPr>
          <w:tab/>
        </w:r>
        <w:r w:rsidR="000E3A3D">
          <w:rPr>
            <w:webHidden/>
          </w:rPr>
          <w:fldChar w:fldCharType="begin"/>
        </w:r>
        <w:r w:rsidR="000E3A3D">
          <w:rPr>
            <w:webHidden/>
          </w:rPr>
          <w:instrText xml:space="preserve"> PAGEREF _Toc519153243 \h </w:instrText>
        </w:r>
        <w:r w:rsidR="000E3A3D">
          <w:rPr>
            <w:webHidden/>
          </w:rPr>
        </w:r>
        <w:r w:rsidR="000E3A3D">
          <w:rPr>
            <w:webHidden/>
          </w:rPr>
          <w:fldChar w:fldCharType="separate"/>
        </w:r>
        <w:r w:rsidR="00D71E7D">
          <w:rPr>
            <w:webHidden/>
          </w:rPr>
          <w:t>55</w:t>
        </w:r>
        <w:r w:rsidR="000E3A3D">
          <w:rPr>
            <w:webHidden/>
          </w:rPr>
          <w:fldChar w:fldCharType="end"/>
        </w:r>
      </w:hyperlink>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44" w:history="1">
        <w:r w:rsidR="000E3A3D" w:rsidRPr="002442E4">
          <w:rPr>
            <w:rStyle w:val="Hyperlink"/>
            <w:noProof/>
          </w:rPr>
          <w:t>Geschäftsbereich des Staatsministeriums für Umwelt und Verbraucherschutz</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5" w:history="1">
        <w:r w:rsidR="000E3A3D" w:rsidRPr="002442E4">
          <w:rPr>
            <w:rStyle w:val="Hyperlink"/>
          </w:rPr>
          <w:t>Aiwanger, Hubert (FREIE WÄHLER)</w:t>
        </w:r>
        <w:r w:rsidR="000E3A3D" w:rsidRPr="002442E4">
          <w:rPr>
            <w:rStyle w:val="Hyperlink"/>
          </w:rPr>
          <w:br/>
          <w:t>Weideschlachtungen</w:t>
        </w:r>
        <w:r w:rsidR="000E3A3D">
          <w:rPr>
            <w:webHidden/>
          </w:rPr>
          <w:tab/>
        </w:r>
        <w:r w:rsidR="000E3A3D">
          <w:rPr>
            <w:webHidden/>
          </w:rPr>
          <w:fldChar w:fldCharType="begin"/>
        </w:r>
        <w:r w:rsidR="000E3A3D">
          <w:rPr>
            <w:webHidden/>
          </w:rPr>
          <w:instrText xml:space="preserve"> PAGEREF _Toc519153245 \h </w:instrText>
        </w:r>
        <w:r w:rsidR="000E3A3D">
          <w:rPr>
            <w:webHidden/>
          </w:rPr>
        </w:r>
        <w:r w:rsidR="000E3A3D">
          <w:rPr>
            <w:webHidden/>
          </w:rPr>
          <w:fldChar w:fldCharType="separate"/>
        </w:r>
        <w:r w:rsidR="00D71E7D">
          <w:rPr>
            <w:webHidden/>
          </w:rPr>
          <w:t>56</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6" w:history="1">
        <w:r w:rsidR="000E3A3D" w:rsidRPr="002442E4">
          <w:rPr>
            <w:rStyle w:val="Hyperlink"/>
          </w:rPr>
          <w:t>Gote, Ulrike (BÜNDNIS 90/DIE GRÜNEN)</w:t>
        </w:r>
        <w:r w:rsidR="000E3A3D" w:rsidRPr="002442E4">
          <w:rPr>
            <w:rStyle w:val="Hyperlink"/>
          </w:rPr>
          <w:br/>
          <w:t xml:space="preserve">RZWas 2016 </w:t>
        </w:r>
        <w:r w:rsidR="00423B2A">
          <w:rPr>
            <w:rStyle w:val="Hyperlink"/>
          </w:rPr>
          <w:t>–</w:t>
        </w:r>
        <w:r w:rsidR="000E3A3D" w:rsidRPr="002442E4">
          <w:rPr>
            <w:rStyle w:val="Hyperlink"/>
          </w:rPr>
          <w:t xml:space="preserve"> Juragruppe</w:t>
        </w:r>
        <w:r w:rsidR="000E3A3D">
          <w:rPr>
            <w:webHidden/>
          </w:rPr>
          <w:tab/>
        </w:r>
        <w:r w:rsidR="000E3A3D">
          <w:rPr>
            <w:webHidden/>
          </w:rPr>
          <w:fldChar w:fldCharType="begin"/>
        </w:r>
        <w:r w:rsidR="000E3A3D">
          <w:rPr>
            <w:webHidden/>
          </w:rPr>
          <w:instrText xml:space="preserve"> PAGEREF _Toc519153246 \h </w:instrText>
        </w:r>
        <w:r w:rsidR="000E3A3D">
          <w:rPr>
            <w:webHidden/>
          </w:rPr>
        </w:r>
        <w:r w:rsidR="000E3A3D">
          <w:rPr>
            <w:webHidden/>
          </w:rPr>
          <w:fldChar w:fldCharType="separate"/>
        </w:r>
        <w:r w:rsidR="00D71E7D">
          <w:rPr>
            <w:webHidden/>
          </w:rPr>
          <w:t>57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7" w:history="1">
        <w:r w:rsidR="000E3A3D" w:rsidRPr="002442E4">
          <w:rPr>
            <w:rStyle w:val="Hyperlink"/>
          </w:rPr>
          <w:t>Kraus, Nikolaus (FREIE WÄHLER)</w:t>
        </w:r>
        <w:r w:rsidR="000E3A3D" w:rsidRPr="002442E4">
          <w:rPr>
            <w:rStyle w:val="Hyperlink"/>
          </w:rPr>
          <w:br/>
          <w:t>Kosten für Wolfssicherung</w:t>
        </w:r>
        <w:r w:rsidR="000E3A3D">
          <w:rPr>
            <w:webHidden/>
          </w:rPr>
          <w:tab/>
        </w:r>
        <w:r w:rsidR="000E3A3D">
          <w:rPr>
            <w:webHidden/>
          </w:rPr>
          <w:fldChar w:fldCharType="begin"/>
        </w:r>
        <w:r w:rsidR="000E3A3D">
          <w:rPr>
            <w:webHidden/>
          </w:rPr>
          <w:instrText xml:space="preserve"> PAGEREF _Toc519153247 \h </w:instrText>
        </w:r>
        <w:r w:rsidR="000E3A3D">
          <w:rPr>
            <w:webHidden/>
          </w:rPr>
        </w:r>
        <w:r w:rsidR="000E3A3D">
          <w:rPr>
            <w:webHidden/>
          </w:rPr>
          <w:fldChar w:fldCharType="separate"/>
        </w:r>
        <w:r w:rsidR="00D71E7D">
          <w:rPr>
            <w:webHidden/>
          </w:rPr>
          <w:t>57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48" w:history="1">
        <w:r w:rsidR="000E3A3D" w:rsidRPr="002442E4">
          <w:rPr>
            <w:rStyle w:val="Hyperlink"/>
          </w:rPr>
          <w:t>Sengl, Gisela (BÜNDNIS 90/DIE GRÜNEN)</w:t>
        </w:r>
        <w:r w:rsidR="000E3A3D" w:rsidRPr="002442E4">
          <w:rPr>
            <w:rStyle w:val="Hyperlink"/>
          </w:rPr>
          <w:br/>
          <w:t>Verbot der betäubungslosen Ferkel</w:t>
        </w:r>
        <w:r w:rsidR="00423B2A">
          <w:rPr>
            <w:rStyle w:val="Hyperlink"/>
          </w:rPr>
          <w:softHyphen/>
        </w:r>
        <w:r w:rsidR="000E3A3D" w:rsidRPr="002442E4">
          <w:rPr>
            <w:rStyle w:val="Hyperlink"/>
          </w:rPr>
          <w:t>kastration zum 01.01.2019</w:t>
        </w:r>
        <w:r w:rsidR="000E3A3D">
          <w:rPr>
            <w:webHidden/>
          </w:rPr>
          <w:tab/>
        </w:r>
        <w:r w:rsidR="000E3A3D">
          <w:rPr>
            <w:webHidden/>
          </w:rPr>
          <w:fldChar w:fldCharType="begin"/>
        </w:r>
        <w:r w:rsidR="000E3A3D">
          <w:rPr>
            <w:webHidden/>
          </w:rPr>
          <w:instrText xml:space="preserve"> PAGEREF _Toc519153248 \h </w:instrText>
        </w:r>
        <w:r w:rsidR="000E3A3D">
          <w:rPr>
            <w:webHidden/>
          </w:rPr>
        </w:r>
        <w:r w:rsidR="000E3A3D">
          <w:rPr>
            <w:webHidden/>
          </w:rPr>
          <w:fldChar w:fldCharType="separate"/>
        </w:r>
        <w:r w:rsidR="00D71E7D">
          <w:rPr>
            <w:webHidden/>
          </w:rPr>
          <w:t>58</w:t>
        </w:r>
        <w:r w:rsidR="000E3A3D">
          <w:rPr>
            <w:webHidden/>
          </w:rPr>
          <w:fldChar w:fldCharType="end"/>
        </w:r>
      </w:hyperlink>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49" w:history="1">
        <w:r w:rsidR="000E3A3D" w:rsidRPr="002442E4">
          <w:rPr>
            <w:rStyle w:val="Hyperlink"/>
            <w:noProof/>
          </w:rPr>
          <w:t>Geschäftsbereich des Staatsministeriums für Ernährung, Landwirtschaft und Forsten</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0" w:history="1">
        <w:r w:rsidR="000E3A3D" w:rsidRPr="002442E4">
          <w:rPr>
            <w:rStyle w:val="Hyperlink"/>
          </w:rPr>
          <w:t>Adelt, Klaus (SPD)</w:t>
        </w:r>
        <w:r w:rsidR="000E3A3D" w:rsidRPr="002442E4">
          <w:rPr>
            <w:rStyle w:val="Hyperlink"/>
          </w:rPr>
          <w:br/>
          <w:t>Das Beste für Bayern - auch für den Frankenwald?</w:t>
        </w:r>
        <w:r w:rsidR="000E3A3D">
          <w:rPr>
            <w:webHidden/>
          </w:rPr>
          <w:tab/>
        </w:r>
        <w:r w:rsidR="000E3A3D">
          <w:rPr>
            <w:webHidden/>
          </w:rPr>
          <w:fldChar w:fldCharType="begin"/>
        </w:r>
        <w:r w:rsidR="000E3A3D">
          <w:rPr>
            <w:webHidden/>
          </w:rPr>
          <w:instrText xml:space="preserve"> PAGEREF _Toc519153250 \h </w:instrText>
        </w:r>
        <w:r w:rsidR="000E3A3D">
          <w:rPr>
            <w:webHidden/>
          </w:rPr>
        </w:r>
        <w:r w:rsidR="000E3A3D">
          <w:rPr>
            <w:webHidden/>
          </w:rPr>
          <w:fldChar w:fldCharType="separate"/>
        </w:r>
        <w:r w:rsidR="00D71E7D">
          <w:rPr>
            <w:webHidden/>
          </w:rPr>
          <w:t>59</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1" w:history="1">
        <w:r w:rsidR="000E3A3D" w:rsidRPr="002442E4">
          <w:rPr>
            <w:rStyle w:val="Hyperlink"/>
          </w:rPr>
          <w:t>Arnold, Horst (SPD)</w:t>
        </w:r>
        <w:r w:rsidR="000E3A3D" w:rsidRPr="002442E4">
          <w:rPr>
            <w:rStyle w:val="Hyperlink"/>
          </w:rPr>
          <w:br/>
          <w:t>Datengrundlage der Bewertung der Ent</w:t>
        </w:r>
        <w:r w:rsidR="00423B2A">
          <w:rPr>
            <w:rStyle w:val="Hyperlink"/>
          </w:rPr>
          <w:softHyphen/>
        </w:r>
        <w:r w:rsidR="000E3A3D" w:rsidRPr="002442E4">
          <w:rPr>
            <w:rStyle w:val="Hyperlink"/>
          </w:rPr>
          <w:t>wicklung landwirtschaftlicher Betriebe in Bayern</w:t>
        </w:r>
        <w:r w:rsidR="000E3A3D">
          <w:rPr>
            <w:webHidden/>
          </w:rPr>
          <w:tab/>
        </w:r>
        <w:r w:rsidR="000E3A3D">
          <w:rPr>
            <w:webHidden/>
          </w:rPr>
          <w:fldChar w:fldCharType="begin"/>
        </w:r>
        <w:r w:rsidR="000E3A3D">
          <w:rPr>
            <w:webHidden/>
          </w:rPr>
          <w:instrText xml:space="preserve"> PAGEREF _Toc519153251 \h </w:instrText>
        </w:r>
        <w:r w:rsidR="000E3A3D">
          <w:rPr>
            <w:webHidden/>
          </w:rPr>
        </w:r>
        <w:r w:rsidR="000E3A3D">
          <w:rPr>
            <w:webHidden/>
          </w:rPr>
          <w:fldChar w:fldCharType="separate"/>
        </w:r>
        <w:r w:rsidR="00D71E7D">
          <w:rPr>
            <w:webHidden/>
          </w:rPr>
          <w:t>59</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2" w:history="1">
        <w:r w:rsidR="000E3A3D" w:rsidRPr="002442E4">
          <w:rPr>
            <w:rStyle w:val="Hyperlink"/>
          </w:rPr>
          <w:t>Ganserer, Markus (BÜNDNIS 90/DIE GRÜNEN)</w:t>
        </w:r>
        <w:r w:rsidR="000E3A3D" w:rsidRPr="002442E4">
          <w:rPr>
            <w:rStyle w:val="Hyperlink"/>
          </w:rPr>
          <w:br/>
          <w:t>Baumwipfelpfad Steigerwald</w:t>
        </w:r>
        <w:r w:rsidR="000E3A3D">
          <w:rPr>
            <w:webHidden/>
          </w:rPr>
          <w:tab/>
        </w:r>
        <w:r w:rsidR="000E3A3D">
          <w:rPr>
            <w:webHidden/>
          </w:rPr>
          <w:fldChar w:fldCharType="begin"/>
        </w:r>
        <w:r w:rsidR="000E3A3D">
          <w:rPr>
            <w:webHidden/>
          </w:rPr>
          <w:instrText xml:space="preserve"> PAGEREF _Toc519153252 \h </w:instrText>
        </w:r>
        <w:r w:rsidR="000E3A3D">
          <w:rPr>
            <w:webHidden/>
          </w:rPr>
        </w:r>
        <w:r w:rsidR="000E3A3D">
          <w:rPr>
            <w:webHidden/>
          </w:rPr>
          <w:fldChar w:fldCharType="separate"/>
        </w:r>
        <w:r w:rsidR="00D71E7D">
          <w:rPr>
            <w:webHidden/>
          </w:rPr>
          <w:t>61</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3" w:history="1">
        <w:r w:rsidR="000E3A3D" w:rsidRPr="002442E4">
          <w:rPr>
            <w:rStyle w:val="Hyperlink"/>
          </w:rPr>
          <w:t>Müller, Ruth (SPD)</w:t>
        </w:r>
        <w:r w:rsidR="000E3A3D" w:rsidRPr="002442E4">
          <w:rPr>
            <w:rStyle w:val="Hyperlink"/>
          </w:rPr>
          <w:br/>
          <w:t>Überbrückungshilfen für Waldbe</w:t>
        </w:r>
        <w:r w:rsidR="00423B2A">
          <w:rPr>
            <w:rStyle w:val="Hyperlink"/>
          </w:rPr>
          <w:softHyphen/>
        </w:r>
        <w:r w:rsidR="000E3A3D" w:rsidRPr="002442E4">
          <w:rPr>
            <w:rStyle w:val="Hyperlink"/>
          </w:rPr>
          <w:t>sitzer</w:t>
        </w:r>
        <w:r w:rsidR="00423B2A">
          <w:rPr>
            <w:rStyle w:val="Hyperlink"/>
          </w:rPr>
          <w:softHyphen/>
        </w:r>
        <w:r w:rsidR="000E3A3D" w:rsidRPr="002442E4">
          <w:rPr>
            <w:rStyle w:val="Hyperlink"/>
          </w:rPr>
          <w:t>vereinigungen</w:t>
        </w:r>
        <w:r w:rsidR="000E3A3D">
          <w:rPr>
            <w:webHidden/>
          </w:rPr>
          <w:tab/>
        </w:r>
        <w:r w:rsidR="000E3A3D">
          <w:rPr>
            <w:webHidden/>
          </w:rPr>
          <w:fldChar w:fldCharType="begin"/>
        </w:r>
        <w:r w:rsidR="000E3A3D">
          <w:rPr>
            <w:webHidden/>
          </w:rPr>
          <w:instrText xml:space="preserve"> PAGEREF _Toc519153253 \h </w:instrText>
        </w:r>
        <w:r w:rsidR="000E3A3D">
          <w:rPr>
            <w:webHidden/>
          </w:rPr>
        </w:r>
        <w:r w:rsidR="000E3A3D">
          <w:rPr>
            <w:webHidden/>
          </w:rPr>
          <w:fldChar w:fldCharType="separate"/>
        </w:r>
        <w:r w:rsidR="00D71E7D">
          <w:rPr>
            <w:webHidden/>
          </w:rPr>
          <w:t>61</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4" w:history="1">
        <w:r w:rsidR="000E3A3D" w:rsidRPr="002442E4">
          <w:rPr>
            <w:rStyle w:val="Hyperlink"/>
          </w:rPr>
          <w:t>Mütze, Thomas (BÜNDNIS 90/DIE GRÜNEN)</w:t>
        </w:r>
        <w:r w:rsidR="000E3A3D" w:rsidRPr="002442E4">
          <w:rPr>
            <w:rStyle w:val="Hyperlink"/>
          </w:rPr>
          <w:br/>
          <w:t>Schutzstatus von Staatswaldflächen</w:t>
        </w:r>
        <w:r w:rsidR="000E3A3D">
          <w:rPr>
            <w:webHidden/>
          </w:rPr>
          <w:tab/>
        </w:r>
        <w:r w:rsidR="000E3A3D">
          <w:rPr>
            <w:webHidden/>
          </w:rPr>
          <w:fldChar w:fldCharType="begin"/>
        </w:r>
        <w:r w:rsidR="000E3A3D">
          <w:rPr>
            <w:webHidden/>
          </w:rPr>
          <w:instrText xml:space="preserve"> PAGEREF _Toc519153254 \h </w:instrText>
        </w:r>
        <w:r w:rsidR="000E3A3D">
          <w:rPr>
            <w:webHidden/>
          </w:rPr>
        </w:r>
        <w:r w:rsidR="000E3A3D">
          <w:rPr>
            <w:webHidden/>
          </w:rPr>
          <w:fldChar w:fldCharType="separate"/>
        </w:r>
        <w:r w:rsidR="00D71E7D">
          <w:rPr>
            <w:webHidden/>
          </w:rPr>
          <w:t>62</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5" w:history="1">
        <w:r w:rsidR="000E3A3D" w:rsidRPr="002442E4">
          <w:rPr>
            <w:rStyle w:val="Hyperlink"/>
          </w:rPr>
          <w:t>Osgyan, Verena (BÜNDNIS 90/DIE GRÜNEN)</w:t>
        </w:r>
        <w:r w:rsidR="000E3A3D" w:rsidRPr="002442E4">
          <w:rPr>
            <w:rStyle w:val="Hyperlink"/>
          </w:rPr>
          <w:br/>
          <w:t xml:space="preserve">Ehemaliger KZ-Steinbruch </w:t>
        </w:r>
        <w:r w:rsidR="00423B2A">
          <w:rPr>
            <w:rStyle w:val="Hyperlink"/>
          </w:rPr>
          <w:t>„Wurmstein“</w:t>
        </w:r>
        <w:r w:rsidR="000E3A3D">
          <w:rPr>
            <w:webHidden/>
          </w:rPr>
          <w:tab/>
        </w:r>
        <w:r w:rsidR="000E3A3D">
          <w:rPr>
            <w:webHidden/>
          </w:rPr>
          <w:fldChar w:fldCharType="begin"/>
        </w:r>
        <w:r w:rsidR="000E3A3D">
          <w:rPr>
            <w:webHidden/>
          </w:rPr>
          <w:instrText xml:space="preserve"> PAGEREF _Toc519153255 \h </w:instrText>
        </w:r>
        <w:r w:rsidR="000E3A3D">
          <w:rPr>
            <w:webHidden/>
          </w:rPr>
        </w:r>
        <w:r w:rsidR="000E3A3D">
          <w:rPr>
            <w:webHidden/>
          </w:rPr>
          <w:fldChar w:fldCharType="separate"/>
        </w:r>
        <w:r w:rsidR="00D71E7D">
          <w:rPr>
            <w:webHidden/>
          </w:rPr>
          <w:t>63</w:t>
        </w:r>
        <w:r w:rsidR="000E3A3D">
          <w:rPr>
            <w:webHidden/>
          </w:rPr>
          <w:fldChar w:fldCharType="end"/>
        </w:r>
      </w:hyperlink>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56" w:history="1">
        <w:r w:rsidR="000E3A3D" w:rsidRPr="002442E4">
          <w:rPr>
            <w:rStyle w:val="Hyperlink"/>
            <w:noProof/>
          </w:rPr>
          <w:t>Geschäftsbereich des Staatsministeriums für Familie, Arbeit und Soziales</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7" w:history="1">
        <w:r w:rsidR="000E3A3D" w:rsidRPr="002442E4">
          <w:rPr>
            <w:rStyle w:val="Hyperlink"/>
          </w:rPr>
          <w:t>Rauscher, Doris (SPD)</w:t>
        </w:r>
        <w:r w:rsidR="000E3A3D" w:rsidRPr="002442E4">
          <w:rPr>
            <w:rStyle w:val="Hyperlink"/>
          </w:rPr>
          <w:br/>
          <w:t>Anstellungsschlüssel in bayerischen Kindertageseinrichtungen</w:t>
        </w:r>
        <w:r w:rsidR="000E3A3D">
          <w:rPr>
            <w:webHidden/>
          </w:rPr>
          <w:tab/>
        </w:r>
        <w:r w:rsidR="000E3A3D">
          <w:rPr>
            <w:webHidden/>
          </w:rPr>
          <w:fldChar w:fldCharType="begin"/>
        </w:r>
        <w:r w:rsidR="000E3A3D">
          <w:rPr>
            <w:webHidden/>
          </w:rPr>
          <w:instrText xml:space="preserve"> PAGEREF _Toc519153257 \h </w:instrText>
        </w:r>
        <w:r w:rsidR="000E3A3D">
          <w:rPr>
            <w:webHidden/>
          </w:rPr>
        </w:r>
        <w:r w:rsidR="000E3A3D">
          <w:rPr>
            <w:webHidden/>
          </w:rPr>
          <w:fldChar w:fldCharType="separate"/>
        </w:r>
        <w:r w:rsidR="00D71E7D">
          <w:rPr>
            <w:webHidden/>
          </w:rPr>
          <w:t>64</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8" w:history="1">
        <w:r w:rsidR="000E3A3D" w:rsidRPr="002442E4">
          <w:rPr>
            <w:rStyle w:val="Hyperlink"/>
          </w:rPr>
          <w:t>Schmidt, Gabi (FREIE WÄHLER)</w:t>
        </w:r>
        <w:r w:rsidR="000E3A3D" w:rsidRPr="002442E4">
          <w:rPr>
            <w:rStyle w:val="Hyperlink"/>
          </w:rPr>
          <w:br/>
          <w:t>Bayerisches Familiengeld für Pflegekinder</w:t>
        </w:r>
        <w:r w:rsidR="000E3A3D">
          <w:rPr>
            <w:webHidden/>
          </w:rPr>
          <w:tab/>
        </w:r>
        <w:r w:rsidR="000E3A3D">
          <w:rPr>
            <w:webHidden/>
          </w:rPr>
          <w:fldChar w:fldCharType="begin"/>
        </w:r>
        <w:r w:rsidR="000E3A3D">
          <w:rPr>
            <w:webHidden/>
          </w:rPr>
          <w:instrText xml:space="preserve"> PAGEREF _Toc519153258 \h </w:instrText>
        </w:r>
        <w:r w:rsidR="000E3A3D">
          <w:rPr>
            <w:webHidden/>
          </w:rPr>
        </w:r>
        <w:r w:rsidR="000E3A3D">
          <w:rPr>
            <w:webHidden/>
          </w:rPr>
          <w:fldChar w:fldCharType="separate"/>
        </w:r>
        <w:r w:rsidR="00D71E7D">
          <w:rPr>
            <w:webHidden/>
          </w:rPr>
          <w:t>64</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59" w:history="1">
        <w:r w:rsidR="00423B2A">
          <w:rPr>
            <w:rStyle w:val="Hyperlink"/>
          </w:rPr>
          <w:t>Stamm, Claudia (f</w:t>
        </w:r>
        <w:r w:rsidR="000E3A3D" w:rsidRPr="002442E4">
          <w:rPr>
            <w:rStyle w:val="Hyperlink"/>
          </w:rPr>
          <w:t>raktionslos)</w:t>
        </w:r>
        <w:r w:rsidR="000E3A3D" w:rsidRPr="002442E4">
          <w:rPr>
            <w:rStyle w:val="Hyperlink"/>
          </w:rPr>
          <w:br/>
          <w:t>Unbesetzte Lehrstellen in Bayern</w:t>
        </w:r>
        <w:r w:rsidR="000E3A3D">
          <w:rPr>
            <w:webHidden/>
          </w:rPr>
          <w:tab/>
        </w:r>
        <w:r w:rsidR="000E3A3D">
          <w:rPr>
            <w:webHidden/>
          </w:rPr>
          <w:fldChar w:fldCharType="begin"/>
        </w:r>
        <w:r w:rsidR="000E3A3D">
          <w:rPr>
            <w:webHidden/>
          </w:rPr>
          <w:instrText xml:space="preserve"> PAGEREF _Toc519153259 \h </w:instrText>
        </w:r>
        <w:r w:rsidR="000E3A3D">
          <w:rPr>
            <w:webHidden/>
          </w:rPr>
        </w:r>
        <w:r w:rsidR="000E3A3D">
          <w:rPr>
            <w:webHidden/>
          </w:rPr>
          <w:fldChar w:fldCharType="separate"/>
        </w:r>
        <w:r w:rsidR="00D71E7D">
          <w:rPr>
            <w:webHidden/>
          </w:rPr>
          <w:t>65</w:t>
        </w:r>
        <w:r w:rsidR="000E3A3D">
          <w:rPr>
            <w:webHidden/>
          </w:rPr>
          <w:fldChar w:fldCharType="end"/>
        </w:r>
      </w:hyperlink>
    </w:p>
    <w:p w:rsidR="000E3A3D" w:rsidRDefault="009C71F4">
      <w:pPr>
        <w:pStyle w:val="Verzeichnis1"/>
        <w:tabs>
          <w:tab w:val="right" w:leader="dot" w:pos="4383"/>
        </w:tabs>
        <w:rPr>
          <w:rFonts w:asciiTheme="minorHAnsi" w:eastAsiaTheme="minorEastAsia" w:hAnsiTheme="minorHAnsi" w:cstheme="minorBidi"/>
          <w:b w:val="0"/>
          <w:noProof/>
        </w:rPr>
      </w:pPr>
      <w:hyperlink w:anchor="_Toc519153260" w:history="1">
        <w:r w:rsidR="000E3A3D" w:rsidRPr="002442E4">
          <w:rPr>
            <w:rStyle w:val="Hyperlink"/>
            <w:noProof/>
          </w:rPr>
          <w:t>Geschäftsbereich des Staatsministeriums für Gesundheit und Pflege</w:t>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61" w:history="1">
        <w:r w:rsidR="000E3A3D" w:rsidRPr="002442E4">
          <w:rPr>
            <w:rStyle w:val="Hyperlink"/>
          </w:rPr>
          <w:t>Prof. (Univ. Lima) Dr. Bauer, Peter (FREIE WÄHLER)</w:t>
        </w:r>
        <w:r w:rsidR="000E3A3D" w:rsidRPr="002442E4">
          <w:rPr>
            <w:rStyle w:val="Hyperlink"/>
          </w:rPr>
          <w:br/>
          <w:t>Entwicklung der Regresse bei be</w:t>
        </w:r>
        <w:r w:rsidR="00423B2A">
          <w:rPr>
            <w:rStyle w:val="Hyperlink"/>
          </w:rPr>
          <w:softHyphen/>
        </w:r>
        <w:r w:rsidR="000E3A3D" w:rsidRPr="002442E4">
          <w:rPr>
            <w:rStyle w:val="Hyperlink"/>
          </w:rPr>
          <w:t>handelnden Ärzten</w:t>
        </w:r>
        <w:r w:rsidR="000E3A3D">
          <w:rPr>
            <w:webHidden/>
          </w:rPr>
          <w:tab/>
        </w:r>
        <w:r w:rsidR="000E3A3D">
          <w:rPr>
            <w:webHidden/>
          </w:rPr>
          <w:fldChar w:fldCharType="begin"/>
        </w:r>
        <w:r w:rsidR="000E3A3D">
          <w:rPr>
            <w:webHidden/>
          </w:rPr>
          <w:instrText xml:space="preserve"> PAGEREF _Toc519153261 \h </w:instrText>
        </w:r>
        <w:r w:rsidR="000E3A3D">
          <w:rPr>
            <w:webHidden/>
          </w:rPr>
        </w:r>
        <w:r w:rsidR="000E3A3D">
          <w:rPr>
            <w:webHidden/>
          </w:rPr>
          <w:fldChar w:fldCharType="separate"/>
        </w:r>
        <w:r w:rsidR="00D71E7D">
          <w:rPr>
            <w:webHidden/>
          </w:rPr>
          <w:t>67</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62" w:history="1">
        <w:r w:rsidR="000E3A3D" w:rsidRPr="002442E4">
          <w:rPr>
            <w:rStyle w:val="Hyperlink"/>
          </w:rPr>
          <w:t>Biedefeld, Susann (SPD)</w:t>
        </w:r>
        <w:r w:rsidR="000E3A3D" w:rsidRPr="002442E4">
          <w:rPr>
            <w:rStyle w:val="Hyperlink"/>
          </w:rPr>
          <w:br/>
          <w:t>Sanierungs- und Modernisierungs</w:t>
        </w:r>
        <w:r w:rsidR="00423B2A">
          <w:rPr>
            <w:rStyle w:val="Hyperlink"/>
          </w:rPr>
          <w:softHyphen/>
        </w:r>
        <w:r w:rsidR="000E3A3D" w:rsidRPr="002442E4">
          <w:rPr>
            <w:rStyle w:val="Hyperlink"/>
          </w:rPr>
          <w:t>bedarf an der Bezirksklinik Hochstadt im Landkreis Lichtenfels</w:t>
        </w:r>
        <w:r w:rsidR="000E3A3D">
          <w:rPr>
            <w:webHidden/>
          </w:rPr>
          <w:tab/>
        </w:r>
        <w:r w:rsidR="000E3A3D">
          <w:rPr>
            <w:webHidden/>
          </w:rPr>
          <w:fldChar w:fldCharType="begin"/>
        </w:r>
        <w:r w:rsidR="000E3A3D">
          <w:rPr>
            <w:webHidden/>
          </w:rPr>
          <w:instrText xml:space="preserve"> PAGEREF _Toc519153262 \h </w:instrText>
        </w:r>
        <w:r w:rsidR="000E3A3D">
          <w:rPr>
            <w:webHidden/>
          </w:rPr>
        </w:r>
        <w:r w:rsidR="000E3A3D">
          <w:rPr>
            <w:webHidden/>
          </w:rPr>
          <w:fldChar w:fldCharType="separate"/>
        </w:r>
        <w:r w:rsidR="00D71E7D">
          <w:rPr>
            <w:webHidden/>
          </w:rPr>
          <w:t>68</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63" w:history="1">
        <w:r w:rsidR="000E3A3D" w:rsidRPr="002442E4">
          <w:rPr>
            <w:rStyle w:val="Hyperlink"/>
          </w:rPr>
          <w:t>Knoblauch, Günther (SPD)</w:t>
        </w:r>
        <w:r w:rsidR="000E3A3D" w:rsidRPr="002442E4">
          <w:rPr>
            <w:rStyle w:val="Hyperlink"/>
          </w:rPr>
          <w:br/>
          <w:t>Nutzung einer bestehenden Tagesbetreuung als Tagespflege</w:t>
        </w:r>
        <w:r w:rsidR="000E3A3D">
          <w:rPr>
            <w:webHidden/>
          </w:rPr>
          <w:tab/>
        </w:r>
        <w:r w:rsidR="000E3A3D">
          <w:rPr>
            <w:webHidden/>
          </w:rPr>
          <w:fldChar w:fldCharType="begin"/>
        </w:r>
        <w:r w:rsidR="000E3A3D">
          <w:rPr>
            <w:webHidden/>
          </w:rPr>
          <w:instrText xml:space="preserve"> PAGEREF _Toc519153263 \h </w:instrText>
        </w:r>
        <w:r w:rsidR="000E3A3D">
          <w:rPr>
            <w:webHidden/>
          </w:rPr>
        </w:r>
        <w:r w:rsidR="000E3A3D">
          <w:rPr>
            <w:webHidden/>
          </w:rPr>
          <w:fldChar w:fldCharType="separate"/>
        </w:r>
        <w:r w:rsidR="00D71E7D">
          <w:rPr>
            <w:webHidden/>
          </w:rPr>
          <w:t>69</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64" w:history="1">
        <w:r w:rsidR="000E3A3D" w:rsidRPr="002442E4">
          <w:rPr>
            <w:rStyle w:val="Hyperlink"/>
          </w:rPr>
          <w:t>Leiner, Ulrich (BÜNDNIS 90/DIE GRÜNEN)</w:t>
        </w:r>
        <w:r w:rsidR="000E3A3D" w:rsidRPr="002442E4">
          <w:rPr>
            <w:rStyle w:val="Hyperlink"/>
          </w:rPr>
          <w:br/>
          <w:t>Notfallambulanzen</w:t>
        </w:r>
        <w:r w:rsidR="000E3A3D">
          <w:rPr>
            <w:webHidden/>
          </w:rPr>
          <w:tab/>
        </w:r>
        <w:r w:rsidR="000E3A3D">
          <w:rPr>
            <w:webHidden/>
          </w:rPr>
          <w:fldChar w:fldCharType="begin"/>
        </w:r>
        <w:r w:rsidR="000E3A3D">
          <w:rPr>
            <w:webHidden/>
          </w:rPr>
          <w:instrText xml:space="preserve"> PAGEREF _Toc519153264 \h </w:instrText>
        </w:r>
        <w:r w:rsidR="000E3A3D">
          <w:rPr>
            <w:webHidden/>
          </w:rPr>
        </w:r>
        <w:r w:rsidR="000E3A3D">
          <w:rPr>
            <w:webHidden/>
          </w:rPr>
          <w:fldChar w:fldCharType="separate"/>
        </w:r>
        <w:r w:rsidR="00D71E7D">
          <w:rPr>
            <w:webHidden/>
          </w:rPr>
          <w:t>69</w:t>
        </w:r>
        <w:r w:rsidR="000E3A3D">
          <w:rPr>
            <w:webHidden/>
          </w:rPr>
          <w:fldChar w:fldCharType="end"/>
        </w:r>
      </w:hyperlink>
    </w:p>
    <w:p w:rsidR="000E3A3D" w:rsidRDefault="009C71F4">
      <w:pPr>
        <w:pStyle w:val="Verzeichnis2"/>
        <w:tabs>
          <w:tab w:val="right" w:leader="dot" w:pos="4383"/>
        </w:tabs>
        <w:rPr>
          <w:rFonts w:asciiTheme="minorHAnsi" w:eastAsiaTheme="minorEastAsia" w:hAnsiTheme="minorHAnsi" w:cstheme="minorBidi"/>
          <w:sz w:val="22"/>
        </w:rPr>
      </w:pPr>
      <w:hyperlink w:anchor="_Toc519153265" w:history="1">
        <w:r w:rsidR="000E3A3D" w:rsidRPr="002442E4">
          <w:rPr>
            <w:rStyle w:val="Hyperlink"/>
          </w:rPr>
          <w:t>Waldmann, Ruth (SPD)</w:t>
        </w:r>
        <w:r w:rsidR="000E3A3D" w:rsidRPr="002442E4">
          <w:rPr>
            <w:rStyle w:val="Hyperlink"/>
          </w:rPr>
          <w:br/>
          <w:t>Herausgabe von Adresslisten von Ab</w:t>
        </w:r>
        <w:r w:rsidR="00423B2A">
          <w:rPr>
            <w:rStyle w:val="Hyperlink"/>
          </w:rPr>
          <w:softHyphen/>
        </w:r>
        <w:r w:rsidR="000E3A3D" w:rsidRPr="002442E4">
          <w:rPr>
            <w:rStyle w:val="Hyperlink"/>
          </w:rPr>
          <w:t>bruchs</w:t>
        </w:r>
        <w:r w:rsidR="00423B2A">
          <w:rPr>
            <w:rStyle w:val="Hyperlink"/>
          </w:rPr>
          <w:softHyphen/>
        </w:r>
        <w:r w:rsidR="000E3A3D" w:rsidRPr="002442E4">
          <w:rPr>
            <w:rStyle w:val="Hyperlink"/>
          </w:rPr>
          <w:t>ärztinnen und -ärzten durch neutrale Schwangerenberatungs</w:t>
        </w:r>
        <w:r w:rsidR="00423B2A">
          <w:rPr>
            <w:rStyle w:val="Hyperlink"/>
          </w:rPr>
          <w:softHyphen/>
        </w:r>
        <w:r w:rsidR="000E3A3D" w:rsidRPr="002442E4">
          <w:rPr>
            <w:rStyle w:val="Hyperlink"/>
          </w:rPr>
          <w:t>stellen</w:t>
        </w:r>
        <w:r w:rsidR="000E3A3D">
          <w:rPr>
            <w:webHidden/>
          </w:rPr>
          <w:tab/>
        </w:r>
        <w:r w:rsidR="000E3A3D">
          <w:rPr>
            <w:webHidden/>
          </w:rPr>
          <w:fldChar w:fldCharType="begin"/>
        </w:r>
        <w:r w:rsidR="000E3A3D">
          <w:rPr>
            <w:webHidden/>
          </w:rPr>
          <w:instrText xml:space="preserve"> PAGEREF _Toc519153265 \h </w:instrText>
        </w:r>
        <w:r w:rsidR="000E3A3D">
          <w:rPr>
            <w:webHidden/>
          </w:rPr>
        </w:r>
        <w:r w:rsidR="000E3A3D">
          <w:rPr>
            <w:webHidden/>
          </w:rPr>
          <w:fldChar w:fldCharType="separate"/>
        </w:r>
        <w:r w:rsidR="00D71E7D">
          <w:rPr>
            <w:webHidden/>
          </w:rPr>
          <w:t>70</w:t>
        </w:r>
        <w:r w:rsidR="000E3A3D">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0E3A3D" w:rsidP="004B6267">
      <w:pPr>
        <w:pStyle w:val="LTUeberschrRessort"/>
        <w:spacing w:before="0"/>
      </w:pPr>
      <w:r>
        <w:lastRenderedPageBreak/>
        <w:t>Geschäftsbereich der Staatskanzlei</w:t>
      </w:r>
      <w:r>
        <w:fldChar w:fldCharType="begin"/>
      </w:r>
      <w:r>
        <w:instrText xml:space="preserve"> TC </w:instrText>
      </w:r>
      <w:r w:rsidR="00423B2A">
        <w:instrText>„</w:instrText>
      </w:r>
      <w:bookmarkStart w:id="3" w:name="_Toc519153189"/>
      <w:r>
        <w:instrText>Geschäftsbereich der Staatskanzlei</w:instrText>
      </w:r>
      <w:bookmarkEnd w:id="3"/>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Ludwig</w:t>
            </w:r>
            <w:r w:rsidRPr="000E3A3D">
              <w:rPr>
                <w:b/>
              </w:rPr>
              <w:br/>
              <w:t>Hartmann</w:t>
            </w:r>
            <w:r w:rsidRPr="000E3A3D">
              <w:rPr>
                <w:b/>
              </w:rPr>
              <w:br/>
            </w:r>
            <w:r w:rsidRPr="000E3A3D">
              <w:t>(BÜNDNIS 90/DIE GRÜNEN)</w:t>
            </w:r>
            <w:r>
              <w:fldChar w:fldCharType="begin"/>
            </w:r>
            <w:r>
              <w:instrText xml:space="preserve"> TC </w:instrText>
            </w:r>
            <w:r w:rsidR="00423B2A">
              <w:instrText>„</w:instrText>
            </w:r>
            <w:bookmarkStart w:id="4" w:name="_Toc519153190"/>
            <w:r>
              <w:instrText>Hartmann, Ludwig (BÜNDNIS 90/DIE GRÜNEN)</w:instrText>
            </w:r>
            <w:r>
              <w:br/>
              <w:instrText>Planungsstab in der Staatskanzlei</w:instrText>
            </w:r>
            <w:bookmarkEnd w:id="4"/>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Infolge des Wechsels eines ehemaligen Ressortleiters der </w:t>
            </w:r>
            <w:r w:rsidR="00423B2A">
              <w:t>„</w:t>
            </w:r>
            <w:r>
              <w:t>Süddeutschen Zeitung</w:t>
            </w:r>
            <w:r w:rsidR="00423B2A">
              <w:t>“</w:t>
            </w:r>
            <w:r w:rsidR="00BF382E">
              <w:t xml:space="preserve"> </w:t>
            </w:r>
            <w:r>
              <w:t xml:space="preserve">in die Presse- und Öffentlichkeitsarbeit der Staatskanzlei, frage ich die Staatsregierung, welche Aufgabe, Größe und Funktion der dort eingerichtete </w:t>
            </w:r>
            <w:r w:rsidR="00423B2A">
              <w:t>„</w:t>
            </w:r>
            <w:r>
              <w:t>Planungsstab</w:t>
            </w:r>
            <w:r w:rsidR="00423B2A">
              <w:t>“</w:t>
            </w:r>
            <w:r>
              <w:t xml:space="preserve"> hat?</w:t>
            </w:r>
          </w:p>
          <w:p w:rsidR="000E3A3D" w:rsidRDefault="000E3A3D" w:rsidP="000E3A3D">
            <w:pPr>
              <w:pStyle w:val="LTAnfrageText"/>
            </w:pPr>
          </w:p>
        </w:tc>
      </w:tr>
    </w:tbl>
    <w:p w:rsidR="000E3A3D" w:rsidRDefault="000E3A3D" w:rsidP="000E3A3D">
      <w:pPr>
        <w:pStyle w:val="LTUeberschrAntwortRessort"/>
      </w:pPr>
      <w:r>
        <w:t>Antwort der Staatskanzlei</w:t>
      </w:r>
    </w:p>
    <w:p w:rsidR="000E3A3D" w:rsidRDefault="000E3A3D" w:rsidP="000E3A3D">
      <w:pPr>
        <w:pStyle w:val="LTAntwortRessortText"/>
      </w:pPr>
      <w:r>
        <w:t xml:space="preserve">Der </w:t>
      </w:r>
      <w:r w:rsidR="00BF382E">
        <w:t>„</w:t>
      </w:r>
      <w:r>
        <w:t>Planungsstab</w:t>
      </w:r>
      <w:r w:rsidR="00BF382E">
        <w:t>“</w:t>
      </w:r>
      <w:r>
        <w:t xml:space="preserve"> besteht derzeit aus fünf Mitarbe</w:t>
      </w:r>
      <w:r w:rsidR="00BF382E">
        <w:t>itern. Er ist Teil des Leitungs</w:t>
      </w:r>
      <w:r>
        <w:t>stabs der Staatskanzlei. Aufgaben und Funktio</w:t>
      </w:r>
      <w:r w:rsidR="00BF382E">
        <w:t>nen des „Planungsstabs“ sind: An</w:t>
      </w:r>
      <w:r>
        <w:t>gelegenheiten der längerfristigen Regierungsplanung, Vo</w:t>
      </w:r>
      <w:r w:rsidR="00BF382E">
        <w:t>rbereitung der Regie</w:t>
      </w:r>
      <w:r>
        <w:t>rungserklärungen, Planung und Koordination politischer Grundsatzfragen, Fragen der Bürgerbeteiligung und Sonderaufgaben.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Dr. Herbert</w:t>
            </w:r>
            <w:r w:rsidRPr="000E3A3D">
              <w:rPr>
                <w:b/>
              </w:rPr>
              <w:br/>
              <w:t>Kränzlein</w:t>
            </w:r>
            <w:r w:rsidRPr="000E3A3D">
              <w:rPr>
                <w:b/>
              </w:rPr>
              <w:br/>
            </w:r>
            <w:r w:rsidRPr="000E3A3D">
              <w:t>(SPD)</w:t>
            </w:r>
            <w:r>
              <w:fldChar w:fldCharType="begin"/>
            </w:r>
            <w:r>
              <w:instrText xml:space="preserve"> TC </w:instrText>
            </w:r>
            <w:r w:rsidR="00423B2A">
              <w:instrText>„</w:instrText>
            </w:r>
            <w:bookmarkStart w:id="5" w:name="_Toc519153191"/>
            <w:r>
              <w:instrText>Dr. Kränzlein, Herbert (SPD)</w:instrText>
            </w:r>
            <w:r>
              <w:br/>
              <w:instrText>\</w:instrText>
            </w:r>
            <w:r w:rsidR="00423B2A">
              <w:instrText>“</w:instrText>
            </w:r>
            <w:r>
              <w:instrText>Bürgersprechstunden\</w:instrText>
            </w:r>
            <w:r w:rsidR="00423B2A">
              <w:instrText>“</w:instrText>
            </w:r>
            <w:r>
              <w:instrText xml:space="preserve"> von Ministerpräsident Dr. Markus Söder</w:instrText>
            </w:r>
            <w:bookmarkEnd w:id="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welche konkreten </w:t>
            </w:r>
            <w:r w:rsidR="00423B2A">
              <w:t>„</w:t>
            </w:r>
            <w:r>
              <w:t>Bürgersprechstunden</w:t>
            </w:r>
            <w:r w:rsidR="00423B2A">
              <w:t>“</w:t>
            </w:r>
            <w:r>
              <w:t xml:space="preserve"> hat Ministerpräsident Dr. Markus Söder 2018 bereits durchgeführt bzw. sind in Planung, wie hoch belaufen sich die Werbekosten für diese </w:t>
            </w:r>
            <w:r w:rsidR="00423B2A">
              <w:t>„</w:t>
            </w:r>
            <w:r>
              <w:t>Bürgersprechstunden</w:t>
            </w:r>
            <w:r w:rsidR="00423B2A">
              <w:t>“</w:t>
            </w:r>
            <w:r>
              <w:t xml:space="preserve"> im Einzelnen und Konkreten (Online-Werbung, Anzeigen in Tageszeitungen, Rundfunk u. a. m.) und wie hoch belaufen sich die Durchführungskosten im Einzelnen und Konkreten (Raummiete, Anfahrt bzw. Abfahrt, Catering u. a. m.)?</w:t>
            </w:r>
          </w:p>
          <w:p w:rsidR="000E3A3D" w:rsidRDefault="000E3A3D" w:rsidP="000E3A3D">
            <w:pPr>
              <w:pStyle w:val="LTAnfrageText"/>
            </w:pPr>
          </w:p>
        </w:tc>
      </w:tr>
    </w:tbl>
    <w:p w:rsidR="000E3A3D" w:rsidRDefault="000E3A3D" w:rsidP="000E3A3D">
      <w:pPr>
        <w:pStyle w:val="LTUeberschrAntwortRessort"/>
      </w:pPr>
      <w:r>
        <w:t>Antwort der Staatskanzlei</w:t>
      </w:r>
    </w:p>
    <w:p w:rsidR="000E3A3D" w:rsidRPr="00451A02" w:rsidRDefault="00451A02" w:rsidP="000E3A3D">
      <w:pPr>
        <w:pStyle w:val="LTAntwortRessortText"/>
        <w:rPr>
          <w:u w:val="single"/>
        </w:rPr>
      </w:pPr>
      <w:r w:rsidRPr="00451A02">
        <w:rPr>
          <w:u w:val="single"/>
        </w:rPr>
        <w:t>Zur ersten Teilfrage:</w:t>
      </w:r>
    </w:p>
    <w:p w:rsidR="000E3A3D" w:rsidRDefault="000E3A3D" w:rsidP="00451A02">
      <w:pPr>
        <w:pStyle w:val="LTAntwortRessortText"/>
        <w:spacing w:before="120"/>
      </w:pPr>
      <w:r>
        <w:t xml:space="preserve">Bürgersprechstunden mit </w:t>
      </w:r>
      <w:r w:rsidR="00451A02">
        <w:t>Ministerpräsident Dr. Markus Söder und dem Beauftrag</w:t>
      </w:r>
      <w:r>
        <w:t>ten für Bürgeranliegen der Staatsregierung haben bereits sta</w:t>
      </w:r>
      <w:r w:rsidR="00451A02">
        <w:t>ttgefun</w:t>
      </w:r>
      <w:r>
        <w:t>den für Unterfranken am 04.06.2018 in Würzburg, für Oberbayern am 07.06.2018 in Rosenheim, für Niederbayern am 22.06.2018 in Landshut sowie für Schwaben am 25.06.2018 in Augsburg. Eine weitere Veransta</w:t>
      </w:r>
      <w:r w:rsidR="00451A02">
        <w:t>ltung ist in Planung für Mittel</w:t>
      </w:r>
      <w:r>
        <w:t xml:space="preserve">franken am 14.09.2018 in Nürnberg. </w:t>
      </w:r>
    </w:p>
    <w:p w:rsidR="000E3A3D" w:rsidRPr="00451A02" w:rsidRDefault="00451A02" w:rsidP="000E3A3D">
      <w:pPr>
        <w:pStyle w:val="LTAntwortRessortText"/>
        <w:rPr>
          <w:u w:val="single"/>
        </w:rPr>
      </w:pPr>
      <w:r w:rsidRPr="00451A02">
        <w:rPr>
          <w:u w:val="single"/>
        </w:rPr>
        <w:t>Zur zweiten Teilfrage:</w:t>
      </w:r>
    </w:p>
    <w:p w:rsidR="000E3A3D" w:rsidRDefault="000E3A3D" w:rsidP="00451A02">
      <w:pPr>
        <w:pStyle w:val="LTAntwortRessortText"/>
        <w:spacing w:before="120"/>
      </w:pPr>
      <w:r>
        <w:t>Über die bisherigen Termine wurden die Bürger</w:t>
      </w:r>
      <w:r w:rsidR="00451A02">
        <w:t>innen und Bürger</w:t>
      </w:r>
      <w:r>
        <w:t xml:space="preserve"> in regionalen Tageszeitungen (insgesamt 54.507,87 Euro zzgl. MwSt.)</w:t>
      </w:r>
      <w:r w:rsidR="00451A02">
        <w:t xml:space="preserve"> und über die Facebook-Seite der</w:t>
      </w:r>
      <w:r>
        <w:t xml:space="preserve"> Staatsregierung (insgesamt 998,81 Euro zzgl. MwSt.) informiert. </w:t>
      </w:r>
    </w:p>
    <w:p w:rsidR="000E3A3D" w:rsidRPr="00451A02" w:rsidRDefault="00451A02" w:rsidP="000E3A3D">
      <w:pPr>
        <w:pStyle w:val="LTAntwortRessortText"/>
        <w:rPr>
          <w:u w:val="single"/>
        </w:rPr>
      </w:pPr>
      <w:r w:rsidRPr="00451A02">
        <w:rPr>
          <w:u w:val="single"/>
        </w:rPr>
        <w:t>Zur dritten Teilfrage:</w:t>
      </w:r>
    </w:p>
    <w:p w:rsidR="000E3A3D" w:rsidRDefault="000E3A3D" w:rsidP="00451A02">
      <w:pPr>
        <w:pStyle w:val="LTAntwortRessortText"/>
        <w:spacing w:before="120"/>
      </w:pPr>
      <w:r>
        <w:t>Fahrtkosten fielen für die Hin- und Rückreise v</w:t>
      </w:r>
      <w:r w:rsidR="00451A02">
        <w:t>on zwei Mitarbeitern der Staats</w:t>
      </w:r>
      <w:r>
        <w:t>kanzlei (Bahnkosten insgesamt 499,35 Euro) an. Keine Raummietkosten. Keine Cateringkosten.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Hans-Ulrich</w:t>
            </w:r>
            <w:r w:rsidRPr="000E3A3D">
              <w:rPr>
                <w:b/>
              </w:rPr>
              <w:br/>
              <w:t>Pfaffmann</w:t>
            </w:r>
            <w:r w:rsidRPr="000E3A3D">
              <w:rPr>
                <w:b/>
              </w:rPr>
              <w:br/>
            </w:r>
            <w:r w:rsidRPr="000E3A3D">
              <w:t>(SPD)</w:t>
            </w:r>
            <w:r>
              <w:fldChar w:fldCharType="begin"/>
            </w:r>
            <w:r>
              <w:instrText xml:space="preserve"> TC </w:instrText>
            </w:r>
            <w:r w:rsidR="00423B2A">
              <w:instrText>„</w:instrText>
            </w:r>
            <w:bookmarkStart w:id="6" w:name="_Toc519153192"/>
            <w:r>
              <w:instrText>Pfaffmann, Hans-Ulrich (SPD)</w:instrText>
            </w:r>
            <w:r>
              <w:br/>
              <w:instrText>Wahlkampf mit dem österreichischen Bundeskanzler</w:instrText>
            </w:r>
            <w:bookmarkEnd w:id="6"/>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wann hat sie eine Genehmigung bei der Bundesregierung eingeholt für die geplanten Wahlkampfaktivitäten von Ministerpräsident Dr. Markus Söder mit dem österreichischen Bundeskanzler Sebastian Kurz, nachdem das Bundesverfassungsgericht (BVerfG) in seinem Beschluss vom 08.03.2017 die Rahmenbedingungen für Wahlkampfaktivitäten ausländischer Politiker so beschrieben hat, dass </w:t>
            </w:r>
            <w:r w:rsidR="00423B2A">
              <w:t>„</w:t>
            </w:r>
            <w:r>
              <w:t>Staatsoberhäupter und Mitglieder ausländischer Regierungen ... weder von Verfassungs wegen noch nach einer allgemeinen Regel des Völkerrechts im Sinne von Art. 25 GG einen Anspruch auf Einreise in das Bundesgebiet und die Ausübung amtlicher Funktionen in Deutschland</w:t>
            </w:r>
            <w:r w:rsidR="00423B2A">
              <w:t>“</w:t>
            </w:r>
            <w:r>
              <w:t xml:space="preserve"> haben und es </w:t>
            </w:r>
            <w:r w:rsidR="00423B2A">
              <w:t>„</w:t>
            </w:r>
            <w:r>
              <w:t>hierzu der ausdrücklichen ... Zustimmung der Bundesregierung</w:t>
            </w:r>
            <w:r w:rsidR="00423B2A">
              <w:t>“</w:t>
            </w:r>
            <w:r>
              <w:t xml:space="preserve"> bedarf, </w:t>
            </w:r>
            <w:r w:rsidR="00423B2A">
              <w:t>„</w:t>
            </w:r>
            <w:r>
              <w:t>in deren Zuständigkeit für auswärtige Angelegenheiten eine solche Entscheidung gemäß Art. 32 Abs. 1 GG fällt</w:t>
            </w:r>
            <w:r w:rsidR="00423B2A">
              <w:t>“</w:t>
            </w:r>
            <w:r>
              <w:t xml:space="preserve">, ist sich Ministerpräsident Dr. Markus Söder bewusst, dass das Werben für eine autoritäre Staatsform, auch wenn diese im Ausland verwirklicht werden soll, den Werten des Grundgesetzes und der Bayerischen Verfassung entgegen steht und einen Anspruch auf Zulassung solcher Werbung für seine Ziele ein fremder Amtsträger nicht hat, ist sich Ministerpräsident Dr. Markus Söder bewusst, dass die politische Betätigung eines Ausländers nach den Bestimmungen des Aufenthaltsgesetzes beschränkt oder untersagt werden kann, </w:t>
            </w:r>
            <w:r w:rsidR="00423B2A">
              <w:t>„</w:t>
            </w:r>
            <w:r>
              <w:t>soweit sie ... den außenpolitischen Interessen (...) der Bundesrepublik Deutschland zuwiderlaufen kann (...), bestimmt ist, Parteien, andere Vereinigungen, Einrichtungen oder Bestrebungen außerhalb des Bundesgebiets zu fördern, deren Ziele oder Mittel mit den Grundwerten einer die Würde des Menschen achtenden staatlichen Ordnung unvereinbar sind</w:t>
            </w:r>
            <w:r w:rsidR="00423B2A">
              <w:t>“</w:t>
            </w:r>
            <w:r>
              <w:t>?</w:t>
            </w:r>
          </w:p>
          <w:p w:rsidR="000E3A3D" w:rsidRDefault="000E3A3D" w:rsidP="000E3A3D">
            <w:pPr>
              <w:pStyle w:val="LTAnfrageText"/>
            </w:pPr>
          </w:p>
        </w:tc>
      </w:tr>
    </w:tbl>
    <w:p w:rsidR="000E3A3D" w:rsidRDefault="000E3A3D" w:rsidP="004B6267">
      <w:pPr>
        <w:pStyle w:val="LTUeberschrAntwortRessort"/>
        <w:spacing w:before="960"/>
      </w:pPr>
      <w:r>
        <w:t>Antwort der Staatskanzlei</w:t>
      </w:r>
    </w:p>
    <w:p w:rsidR="000E3A3D" w:rsidRDefault="000E3A3D" w:rsidP="004B6267">
      <w:pPr>
        <w:pStyle w:val="LTAntwortRessortText"/>
        <w:spacing w:before="360"/>
      </w:pPr>
      <w:r>
        <w:t xml:space="preserve">Die jüngsten Treffen von Ministerpräsident Dr. </w:t>
      </w:r>
      <w:r w:rsidR="00451A02">
        <w:t xml:space="preserve">Markus </w:t>
      </w:r>
      <w:r>
        <w:t xml:space="preserve">Söder mit dem österreichischen Bundeskanzler </w:t>
      </w:r>
      <w:r w:rsidR="00451A02">
        <w:t xml:space="preserve">Sebastian </w:t>
      </w:r>
      <w:r>
        <w:t xml:space="preserve">Kurz </w:t>
      </w:r>
      <w:r w:rsidR="00451A02">
        <w:t>–</w:t>
      </w:r>
      <w:r>
        <w:t xml:space="preserve"> am 06.06.2018 in München sowie zusammen mit den jeweiligen Kabinetten am 20.06.2018 in Linz </w:t>
      </w:r>
      <w:r w:rsidR="00451A02">
        <w:t>–</w:t>
      </w:r>
      <w:r>
        <w:t xml:space="preserve"> dienten dem fachlichen bilateralen Austausch zu Migrations- sowie Verkehrsfragen und stellten daher keine Wahlkampfaktivitäten dar. </w:t>
      </w:r>
    </w:p>
    <w:p w:rsidR="000E3A3D" w:rsidRDefault="000E3A3D" w:rsidP="004B6267">
      <w:pPr>
        <w:pStyle w:val="LTAntwortRessortText"/>
        <w:spacing w:before="360"/>
      </w:pPr>
      <w:r>
        <w:t>Etwaige Wahlkampfplanungen fallen im Übrigen nicht in den Verantwortungsbereich der Staatsregierung, sondern in den der jeweiligen Partei. Lediglich klarstellend wird darauf hingewiesen, dass die vom Anfragenden zitierte Entscheidung des Bundesverfassungsgerichts den Fall des ausländischen Wahlkampfs auf deutschem Hoheitsgebiet betrifft, für deren Zulassung die ausländische Regierung der Zustimmung der Bundesregierung bedürfte. Die zitierte höchstrichterliche Entscheidung behandelt hingegen nicht den Fall der etwaigen Unterstützung des heimischen Wahlkampfs auf deutschem Hoheitsgebiet durch ausländische Staatsoberhäupter.</w:t>
      </w:r>
    </w:p>
    <w:p w:rsidR="004B6267" w:rsidRDefault="004B6267" w:rsidP="004B626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Markus</w:t>
            </w:r>
            <w:r w:rsidRPr="000E3A3D">
              <w:rPr>
                <w:b/>
              </w:rPr>
              <w:br/>
              <w:t>Rinderspacher</w:t>
            </w:r>
            <w:r w:rsidRPr="000E3A3D">
              <w:rPr>
                <w:b/>
              </w:rPr>
              <w:br/>
            </w:r>
            <w:r w:rsidRPr="000E3A3D">
              <w:t>(SPD)</w:t>
            </w:r>
            <w:r>
              <w:fldChar w:fldCharType="begin"/>
            </w:r>
            <w:r>
              <w:instrText xml:space="preserve"> TC </w:instrText>
            </w:r>
            <w:r w:rsidR="00423B2A">
              <w:instrText>„</w:instrText>
            </w:r>
            <w:bookmarkStart w:id="7" w:name="_Toc519153193"/>
            <w:r>
              <w:instrText>Rinderspacher, Markus (SPD)</w:instrText>
            </w:r>
            <w:r>
              <w:br/>
              <w:instrText>Empfang für EVP-Fraktion</w:instrText>
            </w:r>
            <w:bookmarkEnd w:id="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7A70E2">
            <w:pPr>
              <w:pStyle w:val="LTAnfrageText"/>
            </w:pPr>
            <w:r>
              <w:t xml:space="preserve">Ich frage die Staatsregierung, welche konkreten Kosten sind beim Empfang von Ministerpräsident Dr. Markus Söder für die Abgeordneten der konservativen Fraktion der Europäischen Volkspartei (EVP-Fraktion)  im Antiquarium im Konkreten angefallen (bitte aufschlüsseln nach Einladungsverschickung, Einladungsdruck, Catering-Personal, Essen, Getränke, Mietkosten, Security, Versicherungen, Steuern, Personalstunden Protokoll etc.), hat die Staatsregierung in den letzten zehn Jahren Empfänge für Abgeordnete von sozialdemokratischen, liberalen oder ökologischen Partei(-familien) oder </w:t>
            </w:r>
            <w:r w:rsidR="007A70E2">
              <w:t>-</w:t>
            </w:r>
            <w:r>
              <w:t>frak</w:t>
            </w:r>
            <w:r w:rsidR="007A70E2">
              <w:softHyphen/>
            </w:r>
            <w:r>
              <w:t>tio</w:t>
            </w:r>
            <w:r w:rsidR="007A70E2">
              <w:softHyphen/>
            </w:r>
            <w:r>
              <w:t>nen durchgeführt, wie lauten die konkreten Namen der Gäste, die sich zum Fest der EVP-Fraktion in der Bayerischen Residenz angemeldet haben?</w:t>
            </w:r>
          </w:p>
        </w:tc>
      </w:tr>
    </w:tbl>
    <w:p w:rsidR="007A70E2" w:rsidRDefault="007A70E2" w:rsidP="000E3A3D">
      <w:pPr>
        <w:pStyle w:val="LTUeberschrAntwortRessort"/>
      </w:pPr>
    </w:p>
    <w:p w:rsidR="000E3A3D" w:rsidRDefault="000E3A3D" w:rsidP="000E3A3D">
      <w:pPr>
        <w:pStyle w:val="LTUeberschrAntwortRessort"/>
      </w:pPr>
      <w:r>
        <w:t>Antwort der Staatskanzlei</w:t>
      </w:r>
    </w:p>
    <w:p w:rsidR="000E3A3D" w:rsidRDefault="000E3A3D" w:rsidP="000E3A3D">
      <w:pPr>
        <w:pStyle w:val="LTAntwortRessortText"/>
      </w:pPr>
      <w:r>
        <w:t>Im Rahmen des Empfangs sind folgende konkrete Kosten angefallen:</w:t>
      </w:r>
    </w:p>
    <w:p w:rsidR="000E3A3D" w:rsidRDefault="000E3A3D" w:rsidP="008D501B">
      <w:pPr>
        <w:pStyle w:val="LTAntwortRessortText"/>
        <w:numPr>
          <w:ilvl w:val="0"/>
          <w:numId w:val="24"/>
        </w:numPr>
        <w:spacing w:before="120"/>
      </w:pPr>
      <w:r>
        <w:t xml:space="preserve">Einladungsverschickung: 84 </w:t>
      </w:r>
      <w:r w:rsidR="00423B2A">
        <w:t>Euro</w:t>
      </w:r>
      <w:r w:rsidR="008D501B">
        <w:t>;</w:t>
      </w:r>
    </w:p>
    <w:p w:rsidR="000E3A3D" w:rsidRDefault="000E3A3D" w:rsidP="008D501B">
      <w:pPr>
        <w:pStyle w:val="LTAntwortRessortText"/>
        <w:numPr>
          <w:ilvl w:val="0"/>
          <w:numId w:val="24"/>
        </w:numPr>
        <w:spacing w:before="120"/>
      </w:pPr>
      <w:r>
        <w:t>Einladungsdruck: erfolgt in Eigenleistung, konkrete Kosten nicht quantifizierbar</w:t>
      </w:r>
      <w:r w:rsidR="008D501B">
        <w:t>;</w:t>
      </w:r>
    </w:p>
    <w:p w:rsidR="000E3A3D" w:rsidRDefault="000E3A3D" w:rsidP="008D501B">
      <w:pPr>
        <w:pStyle w:val="LTAntwortRessortText"/>
        <w:numPr>
          <w:ilvl w:val="0"/>
          <w:numId w:val="24"/>
        </w:numPr>
        <w:spacing w:before="120"/>
      </w:pPr>
      <w:r>
        <w:t xml:space="preserve">Catering-Personal: 3.148,59 </w:t>
      </w:r>
      <w:r w:rsidR="00423B2A">
        <w:t>Euro</w:t>
      </w:r>
      <w:r w:rsidR="008D501B">
        <w:t>:</w:t>
      </w:r>
    </w:p>
    <w:p w:rsidR="000E3A3D" w:rsidRDefault="000E3A3D" w:rsidP="008D501B">
      <w:pPr>
        <w:pStyle w:val="LTAntwortRessortText"/>
        <w:numPr>
          <w:ilvl w:val="0"/>
          <w:numId w:val="24"/>
        </w:numPr>
        <w:spacing w:before="120"/>
      </w:pPr>
      <w:r>
        <w:t xml:space="preserve">Essen: 9.768,71 </w:t>
      </w:r>
      <w:r w:rsidR="00423B2A">
        <w:t>Euro</w:t>
      </w:r>
      <w:r w:rsidR="008D501B">
        <w:t>;</w:t>
      </w:r>
    </w:p>
    <w:p w:rsidR="000E3A3D" w:rsidRDefault="000E3A3D" w:rsidP="008D501B">
      <w:pPr>
        <w:pStyle w:val="LTAntwortRessortText"/>
        <w:numPr>
          <w:ilvl w:val="0"/>
          <w:numId w:val="24"/>
        </w:numPr>
        <w:spacing w:before="120"/>
      </w:pPr>
      <w:r>
        <w:t xml:space="preserve">Getränke: 1.382,78 </w:t>
      </w:r>
      <w:r w:rsidR="00423B2A">
        <w:t>Euro</w:t>
      </w:r>
      <w:r w:rsidR="008D501B">
        <w:t>;</w:t>
      </w:r>
    </w:p>
    <w:p w:rsidR="000E3A3D" w:rsidRDefault="000E3A3D" w:rsidP="008D501B">
      <w:pPr>
        <w:pStyle w:val="LTAntwortRessortText"/>
        <w:numPr>
          <w:ilvl w:val="0"/>
          <w:numId w:val="24"/>
        </w:numPr>
        <w:spacing w:before="120"/>
      </w:pPr>
      <w:r>
        <w:t>Mietkosten: entfallen</w:t>
      </w:r>
      <w:r w:rsidR="008D501B">
        <w:t>;</w:t>
      </w:r>
    </w:p>
    <w:p w:rsidR="000E3A3D" w:rsidRDefault="000E3A3D" w:rsidP="008D501B">
      <w:pPr>
        <w:pStyle w:val="LTAntwortRessortText"/>
        <w:numPr>
          <w:ilvl w:val="0"/>
          <w:numId w:val="24"/>
        </w:numPr>
        <w:spacing w:before="120"/>
      </w:pPr>
      <w:r>
        <w:t xml:space="preserve">Veranstaltungsdienst: 1.244,38 </w:t>
      </w:r>
      <w:r w:rsidR="00423B2A">
        <w:t>Euro</w:t>
      </w:r>
      <w:r w:rsidR="008D501B">
        <w:t>;</w:t>
      </w:r>
    </w:p>
    <w:p w:rsidR="000E3A3D" w:rsidRDefault="000E3A3D" w:rsidP="008D501B">
      <w:pPr>
        <w:pStyle w:val="LTAntwortRessortText"/>
        <w:numPr>
          <w:ilvl w:val="0"/>
          <w:numId w:val="24"/>
        </w:numPr>
        <w:spacing w:before="120"/>
      </w:pPr>
      <w:r>
        <w:t>Versicherungen: entfallen</w:t>
      </w:r>
      <w:r w:rsidR="008D501B">
        <w:t>;</w:t>
      </w:r>
    </w:p>
    <w:p w:rsidR="000E3A3D" w:rsidRDefault="000E3A3D" w:rsidP="008D501B">
      <w:pPr>
        <w:pStyle w:val="LTAntwortRessortText"/>
        <w:numPr>
          <w:ilvl w:val="0"/>
          <w:numId w:val="24"/>
        </w:numPr>
        <w:spacing w:before="120"/>
      </w:pPr>
      <w:r>
        <w:t>Steuer: in den genannten Beträgen bereits berücksichtigt</w:t>
      </w:r>
      <w:r w:rsidR="008D501B">
        <w:t>;</w:t>
      </w:r>
    </w:p>
    <w:p w:rsidR="000E3A3D" w:rsidRDefault="000E3A3D" w:rsidP="008D501B">
      <w:pPr>
        <w:pStyle w:val="LTAntwortRessortText"/>
        <w:numPr>
          <w:ilvl w:val="0"/>
          <w:numId w:val="24"/>
        </w:numPr>
        <w:spacing w:before="120"/>
      </w:pPr>
      <w:r>
        <w:t>Personalstunden Protokoll etc.: nicht quantifizierbar</w:t>
      </w:r>
      <w:r w:rsidR="008D501B">
        <w:t>.</w:t>
      </w:r>
    </w:p>
    <w:p w:rsidR="000E3A3D" w:rsidRDefault="000E3A3D" w:rsidP="000E3A3D">
      <w:pPr>
        <w:pStyle w:val="LTAntwortRessortText"/>
      </w:pPr>
      <w:r>
        <w:t xml:space="preserve">Grundsätzlich werden keine Empfänge allein für </w:t>
      </w:r>
      <w:r w:rsidR="008D501B">
        <w:t>Abgeordnete, gleich welcher Par</w:t>
      </w:r>
      <w:r>
        <w:t xml:space="preserve">tei oder Fraktion, gegeben. Mit einem Staatsempfang würdigt die Staatsregierung einen besonderen Anlass. Anlass für den Staatsempfang am </w:t>
      </w:r>
      <w:r w:rsidR="008D501B">
        <w:t>06.06.</w:t>
      </w:r>
      <w:r>
        <w:t>2018 war die Zusammenkunft vieler hochrangiger nationaler, europäischer und internationaler Gäste in München.</w:t>
      </w:r>
    </w:p>
    <w:p w:rsidR="000E3A3D" w:rsidRDefault="000E3A3D" w:rsidP="000E3A3D">
      <w:pPr>
        <w:pStyle w:val="LTAntwortRessortText"/>
      </w:pPr>
      <w:r>
        <w:t xml:space="preserve">Ein </w:t>
      </w:r>
      <w:r w:rsidR="00423B2A">
        <w:t>„</w:t>
      </w:r>
      <w:r>
        <w:t>Fest der EVP-Fraktion in der Bayerischen Residenz</w:t>
      </w:r>
      <w:r w:rsidR="00423B2A">
        <w:t>“</w:t>
      </w:r>
      <w:r>
        <w:t xml:space="preserve"> ist hier nicht bekannt. Sollte der genannte Staatsempfang gemeint sein, so haben sich hierfür folgende Gäste angemeldet: </w:t>
      </w:r>
    </w:p>
    <w:p w:rsidR="000E3A3D" w:rsidRDefault="000E3A3D" w:rsidP="000E3A3D">
      <w:pPr>
        <w:pStyle w:val="LTAntwortRessortText"/>
      </w:pPr>
    </w:p>
    <w:tbl>
      <w:tblPr>
        <w:tblW w:w="425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tblGrid>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AGUIRRE Maria Nieves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AHONEN Timo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ALVARGONZÁLEZ Mercedes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ANDRIKIENĖ Laima Liucija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ARENS Markus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ARIMONT Pascal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ARON Christian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ASHWORTH Richard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BAKOLAS Thanasis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BALZ Burkhard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BASTIAANSEN Adriaan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BECKER Anna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BECKER Heinz K.</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BECKSTEIN Günther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BECUWE Nicolas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BELET Ivo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BELLINO Eugenia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BENSOUAG Ouarda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BERCHTOLD Etienne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BERGMANN Iris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BICKL Thomas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BLUME Markus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BOCKLET Reinhold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BOCSKOR Andrea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BÖGEL Benjamin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BOGOVIČ Franc</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BÖHM Lasse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BONI Michał</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BORISSOV Boyko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BRIEAU Nathalie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BUDA Daniel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BURCHARTZ Tabea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BUZEK Jerzy</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BYCZEWSKA Agata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CARNA Alena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CASPARY Daniel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CERKEZ Marino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CHALOULOU Magdalini</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CHIALASTRI Sebastiano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CHIOCCHETTI Alessandro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CICALA Carmelina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CICU Salvatore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COLLIN-LANGEN Birgit</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COMI Lara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CORREIA DA SILVA Francisco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CSAK Dorottya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DAGUET-BABICH Catherine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DAIROMONT Malou</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DANJEAN Arnaud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DAUL Joseph</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DAUL Marie-Therese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 LANGE Esther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 SPIEGELEER Gaelle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DEL CASTILLO VERA Pilar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DELI Andor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DENTLER Astrid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DESS Albert</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DETOURBET Christine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DEUTSCH Tamás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DEUTSCH-LAZSANYI Erika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DI BONITO Piergiorgio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DIAMANTOUDI Eleni</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DIMITRESCU Cristian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DORFMANN Herbert</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DUMONT Frédéric</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DUMONT Peter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EHLER Christian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EMANUELE Gianfranco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ESTARÀS FERRAGUT Rosa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EVISON Marek</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FERBER Markus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FERNANDES José Manuel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FISCUCI Luminita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FOLZ Andreas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FRAPICCINI Francesco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FRIEDRICH Ingo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FURNIERE Brenda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GABRIEL Mariya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GAHLER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GÁL Kinga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GAMBÚS Francesc</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GARDINI Elisabetta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GEORGITSOPOULOS Theodoros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GIAKOUMIS Zacharias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GIANNOU Adrianos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GIESEKE Jens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GIESEMANN Amelie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GIRLING Julie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GONZÁLEZ PONS Esteban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GOTINK Dirk</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GRÄSSLE Ingeborg</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GRLIC RADMAN Gordan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GROSSETÊTE Françoise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HAHN Florian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HAHN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HANDO Tünde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HANSEN Dorte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HAYES Brian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HENDRICKX Gerard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HOHLMEIER Monika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HÖKMARK Gunnar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HOLLAUF Franz</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HÖLVÉNYI György</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HORVAT Ilija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HUBER Erwin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HUBER Peter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HÜBNER Danuta Maria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HUEGEL Christian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ISCHINGER Wolfgang</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IVRY Cédric</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JAHR Peter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JANSSENS Hans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JARECKA-GOMEZ Joanna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JAVORNIK SUHEL Barbara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JEANNE Marion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JIMENEZ ARBELO Javier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JIMÉNEZ-BECERRIL BARRIO Teresa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JORISSEN Mark</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KACZKOWSKA Dominika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KALNIETE Sandra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KANDOLF Harald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KAPI Kyra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KARAGOUNI Amalia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KAROL-VAN DEN BROECK Gabriela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KAUDEL-JENSEN Barbara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KEARNS-THOMPSON Fiona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KEFALOGIANNIS Manolis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KELAM Mari-Ann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KELAM Tunne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KELLY Seán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KLEPSOVA Katerina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KNAPP Heinz-Peter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KONSTANTINIDIS Stavros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KÖSTER Daniel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KOVATCHEV Andrey</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KRATSEV Ivan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KREMER Celina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KREMPOUNI Spyridoula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 xml:space="preserve">KREUZER Thomas </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KRMEK-RADOS Jeanne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KUDRYCKA Barbara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KURZ Sebastian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KYRTSOS Georgios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LAMASSOURE Alain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LANGEN Jochen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LANGEN Werner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LECOMTE Guillaume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LEGOVIC Alen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LEVANTE Salvatore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LEWANDOWSKI Janusz</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LIACHAS Spyros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LICANDRO Paolo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LIESE Peter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LINS Norbert</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LOMMEL Ina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LOPE FONTAGNÉ Verónica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LÓPEZ DE PABLO Pedro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LÓPEZ-ISTÚRIZ WHITE Antonio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MÁDLOVÁ Nina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MAERTIN Carola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MALETIĆ Ivana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MANN Thomas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MARINESCU Marian-Jean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MAYDELL Eva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MCALLISTER David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MCGUINNESS Mairead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MELICHAREK Arno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MELO Nuno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MERILA Tomi</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MERK Beate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MIKOLÁŠIK Miroslav</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MILLÁN MON Francisco José</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MISETIC Tena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MITSOPOULOU Evangelia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MITSOTAKIS Kyriakos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MOCK Stephan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MORIN-CHARTIER Elisabeth</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MUREŞAN Siegfried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NIEBLER Angelika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NIEBLER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NIEDERMAYER Luděk</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OLBRYCHT Jan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OOMEN-RUIJTEN Ria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OPTIZ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OSOJNIK Marta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PAPAMITSOS Dimitris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PERDIKIS Stavros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PETERLE Alojz</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PETERSONS Andris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PIEPER Markus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PIERDONATI Costanza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PITERA Julia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PLENKOVIC Andrej</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PREDA Cristian Dan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PROUST Franck</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PUHOVSKI Sandra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QUISTHOUDT-ROWOHL Godelieve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RADTKE Dennis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RANGEL Paulo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REDING Viviane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RESCHKE Rainer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RESSLER Karlo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RIEGER Franz</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ROCH Dominique Henriette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ROSATI Dariusz</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RÜBIG Maria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RÜBIG Paul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SAID Amanda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SAÏFI Tokia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SALAFRANCA Juan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SALINI Massimiliano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SALMGRIEZIS Girts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SANDER Anne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SCARASCIA MUGNOZZA Beatrice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SCHACHTNER Josef</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SCHMIDT Claudia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SCHMIDT Gabi</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SCHNEDIER Edgar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SCHÖPFLIN György</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SCHULZE Sven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SCHWAB Andreas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SIMANTIRAKI Polyxeni</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SKUNCA Mario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SÓGOR Csaba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ŠOJDROVÁ Michaela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SORG Kaja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SPYRAKI Maria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STARA Milo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ŠTEFANEC Ivan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STOIBER Edmund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STOLOJAN Theodor Dumitru</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STRASSER Romain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STRÖBEL Jürgen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STYLIANIDES Christos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ŠUICA Dubravka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SZÁJER József</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TAJANI Antonio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TATIC Dragan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TAVCAR Nina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TOLIĆ Ivica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TORDAI-LEJKO Gabor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TÖRÖK-ILLYÉS Botond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TROPP Gerhard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UJEVIC Zrinka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UZORINAC Petar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VAIDERE Inese</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VĂLEAN Adina-Ioana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VAN DE GUCHT Jeroen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VAUCHELLE Hanna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VLAJCEVIC Damit</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WEBER Manfred</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WEISS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WENDL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WENTA Bogdan Brunon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WIELAND Rainer</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WINKLER Hermann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WINKLER Iuliu</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WINKLER Tobias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YAN Michael</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ZARIFOPOULOU Fani</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ZDECHOVSKÝ Tomáš</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ZHELEVA Denika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ZIGNIC Denis</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ZOLLEIS Udo</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lastRenderedPageBreak/>
              <w:t>ZONNEDDA Iliana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ZOVKO Željana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ZVER Andreja</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ZVER Milan</w:t>
            </w:r>
          </w:p>
        </w:tc>
      </w:tr>
      <w:tr w:rsidR="008D501B" w:rsidRPr="008D501B" w:rsidTr="008D501B">
        <w:trPr>
          <w:trHeight w:val="285"/>
        </w:trPr>
        <w:tc>
          <w:tcPr>
            <w:tcW w:w="4253" w:type="dxa"/>
            <w:shd w:val="clear" w:color="auto" w:fill="auto"/>
            <w:noWrap/>
            <w:vAlign w:val="bottom"/>
            <w:hideMark/>
          </w:tcPr>
          <w:p w:rsidR="008D501B" w:rsidRPr="008D501B" w:rsidRDefault="008D501B" w:rsidP="00852225">
            <w:pPr>
              <w:rPr>
                <w:rFonts w:cs="Arial"/>
                <w:color w:val="000000"/>
                <w:sz w:val="18"/>
                <w:szCs w:val="18"/>
              </w:rPr>
            </w:pPr>
            <w:r w:rsidRPr="008D501B">
              <w:rPr>
                <w:rFonts w:cs="Arial"/>
                <w:color w:val="000000"/>
                <w:sz w:val="18"/>
                <w:szCs w:val="18"/>
              </w:rPr>
              <w:t>ZWIEFKA Tadeusz</w:t>
            </w:r>
          </w:p>
        </w:tc>
      </w:tr>
    </w:tbl>
    <w:p w:rsidR="000E3A3D" w:rsidRDefault="000E3A3D"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Georg</w:t>
            </w:r>
            <w:r w:rsidRPr="000E3A3D">
              <w:rPr>
                <w:b/>
              </w:rPr>
              <w:br/>
              <w:t>Rosenthal</w:t>
            </w:r>
            <w:r w:rsidRPr="000E3A3D">
              <w:rPr>
                <w:b/>
              </w:rPr>
              <w:br/>
            </w:r>
            <w:r w:rsidRPr="000E3A3D">
              <w:t>(SPD)</w:t>
            </w:r>
            <w:r>
              <w:fldChar w:fldCharType="begin"/>
            </w:r>
            <w:r>
              <w:instrText xml:space="preserve"> TC </w:instrText>
            </w:r>
            <w:r w:rsidR="00423B2A">
              <w:instrText>„</w:instrText>
            </w:r>
            <w:bookmarkStart w:id="8" w:name="_Toc519153194"/>
            <w:r>
              <w:instrText>Rosenthal, Georg (SPD)</w:instrText>
            </w:r>
            <w:r>
              <w:br/>
              <w:instrText>RTL/n-tv-Trendbarometer von Forsa</w:instrText>
            </w:r>
            <w:bookmarkEnd w:id="8"/>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wie bewertet sie die Ergebnisse des neuesten RTL/n-tv-Trendbarometers von Forsa, wonach nur 38 Prozent der Bayern mit der bisherigen Arbeit von Ministerpräsident Dr. Markus Söder </w:t>
            </w:r>
            <w:r w:rsidR="00423B2A">
              <w:t>„</w:t>
            </w:r>
            <w:r>
              <w:t>zufrieden</w:t>
            </w:r>
            <w:r w:rsidR="00423B2A">
              <w:t>“</w:t>
            </w:r>
            <w:r>
              <w:t xml:space="preserve"> sind, 56 Prozent dagegen </w:t>
            </w:r>
            <w:r w:rsidR="00423B2A">
              <w:t>„</w:t>
            </w:r>
            <w:r>
              <w:t>weniger zufrieden oder unzufrieden</w:t>
            </w:r>
            <w:r w:rsidR="00423B2A">
              <w:t>“</w:t>
            </w:r>
            <w:r>
              <w:t>, wie beurteilt die Staatsregierung das Ergebnis dieser Studie, wonach das Urteil über den Ministerpräsidenten Dr. Markus Söder fast so schlecht ausfällt wie das über Dr.</w:t>
            </w:r>
            <w:r w:rsidR="008D501B">
              <w:t> </w:t>
            </w:r>
            <w:r>
              <w:t xml:space="preserve">Markus Söders Vorgänger Horst Seehofer kurz vor seiner Ablösung im Dezember 2017 und wie beurteilt sie den beschriebenen Umstand, wonach </w:t>
            </w:r>
            <w:r w:rsidR="00423B2A">
              <w:t>„</w:t>
            </w:r>
            <w:r>
              <w:t>mehrheitlich zufrieden</w:t>
            </w:r>
            <w:r w:rsidR="00423B2A">
              <w:t>“</w:t>
            </w:r>
            <w:r>
              <w:t xml:space="preserve"> mit Ministerpräsident Dr. Markus Söder nur die Anhänger der CSU (56 Prozent) und der AfD (67 Prozent) sind?</w:t>
            </w:r>
          </w:p>
          <w:p w:rsidR="000E3A3D" w:rsidRDefault="000E3A3D" w:rsidP="000E3A3D">
            <w:pPr>
              <w:pStyle w:val="LTAnfrageText"/>
            </w:pPr>
          </w:p>
        </w:tc>
      </w:tr>
    </w:tbl>
    <w:p w:rsidR="000E3A3D" w:rsidRDefault="000E3A3D" w:rsidP="000E3A3D">
      <w:pPr>
        <w:pStyle w:val="LTUeberschrAntwortRessort"/>
      </w:pPr>
      <w:r>
        <w:t>Antwort der Staatskanzlei</w:t>
      </w:r>
    </w:p>
    <w:p w:rsidR="000E3A3D" w:rsidRDefault="000E3A3D" w:rsidP="000E3A3D">
      <w:pPr>
        <w:pStyle w:val="LTAntwortRessortText"/>
      </w:pPr>
      <w:r>
        <w:t>Einzelne Meinungsumfragen oder Trendstudien spielen für die langfristige Arbeit der Staatsregierung grundsätzlich keine Rolle.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423B2A">
            <w:pPr>
              <w:pStyle w:val="LTNumAnfrageIni1"/>
            </w:pPr>
            <w:r w:rsidRPr="000E3A3D">
              <w:t>Abgeordneter</w:t>
            </w:r>
            <w:r w:rsidRPr="000E3A3D">
              <w:br/>
            </w:r>
            <w:r w:rsidRPr="000E3A3D">
              <w:rPr>
                <w:b/>
              </w:rPr>
              <w:t>Arif</w:t>
            </w:r>
            <w:r w:rsidRPr="000E3A3D">
              <w:rPr>
                <w:b/>
              </w:rPr>
              <w:br/>
              <w:t>Ta</w:t>
            </w:r>
            <w:r w:rsidR="00423B2A">
              <w:rPr>
                <w:rFonts w:cs="Arial"/>
                <w:b/>
              </w:rPr>
              <w:t>ş</w:t>
            </w:r>
            <w:r w:rsidRPr="000E3A3D">
              <w:rPr>
                <w:b/>
              </w:rPr>
              <w:t>delen</w:t>
            </w:r>
            <w:r w:rsidRPr="000E3A3D">
              <w:rPr>
                <w:b/>
              </w:rPr>
              <w:br/>
            </w:r>
            <w:r w:rsidRPr="000E3A3D">
              <w:t>(SPD)</w:t>
            </w:r>
            <w:r>
              <w:fldChar w:fldCharType="begin"/>
            </w:r>
            <w:r>
              <w:instrText xml:space="preserve"> TC </w:instrText>
            </w:r>
            <w:r w:rsidR="00423B2A">
              <w:instrText>„</w:instrText>
            </w:r>
            <w:bookmarkStart w:id="9" w:name="_Toc519153195"/>
            <w:r>
              <w:instrText>Tasdelen, Arif (SPD)</w:instrText>
            </w:r>
            <w:r>
              <w:br/>
              <w:instrText>Aussagen von Ministerpräsident Dr. Markus Söder zum Multilateralismus</w:instrText>
            </w:r>
            <w:bookmarkEnd w:id="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welche Gründe sehen Ministerpräsident Dr. Markus Söder und die Staatsregierung dafür, dass die </w:t>
            </w:r>
            <w:r w:rsidR="00423B2A">
              <w:t>„</w:t>
            </w:r>
            <w:r>
              <w:t>Zeit des geordneten Multilateralismus</w:t>
            </w:r>
            <w:r w:rsidR="00423B2A">
              <w:t>“</w:t>
            </w:r>
            <w:r>
              <w:t xml:space="preserve"> vorbei sei, was im Konkreten soll laut Ministerpräsident Dr. Markus Söder und der Staatsregierung den Multilateralismus ersetzen und wo sehen Ministerpräsident Dr. Markus Söder und die Staatsregierung Ansätze für eine Zukunft des Unilateralismus?</w:t>
            </w:r>
          </w:p>
          <w:p w:rsidR="000E3A3D" w:rsidRDefault="000E3A3D" w:rsidP="000E3A3D">
            <w:pPr>
              <w:pStyle w:val="LTAnfrageText"/>
            </w:pPr>
          </w:p>
        </w:tc>
      </w:tr>
    </w:tbl>
    <w:p w:rsidR="000E3A3D" w:rsidRDefault="000E3A3D" w:rsidP="004B6267">
      <w:pPr>
        <w:pStyle w:val="LTUeberschrAntwortRessort"/>
        <w:spacing w:before="0"/>
      </w:pPr>
      <w:r>
        <w:t>Antwort der Staatskanzlei</w:t>
      </w:r>
    </w:p>
    <w:p w:rsidR="000E3A3D" w:rsidRDefault="000E3A3D" w:rsidP="000E3A3D">
      <w:pPr>
        <w:pStyle w:val="LTAntwortRessortText"/>
      </w:pPr>
      <w:r>
        <w:t>Bei der Aussage handelte sich um eine Tatsachenfeststellung und Bestandsaufnahme der aktuellen Realität. Bereits seit längerem ist zu beobachten, dass die Kraft internationaler Gremien und Institutionen zur Bewältigung dringender internationaler Herausforderungen nachlässt. Dies hat sich etwa beim Dissens über die Abschlusserklärung des jüngsten G7-Gipfels in Kanada gezeigt.</w:t>
      </w:r>
    </w:p>
    <w:p w:rsidR="000E3A3D" w:rsidRDefault="000E3A3D" w:rsidP="000E3A3D">
      <w:pPr>
        <w:pStyle w:val="LTAntwortRessortText"/>
      </w:pPr>
      <w:r>
        <w:t>Multilateralismus ist und bleibt daher Wunsch und Ziel der Staatsregierung, entspricht derzeit leider aber nicht immer der Realität.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w:t>
            </w:r>
            <w:r w:rsidRPr="000E3A3D">
              <w:br/>
            </w:r>
            <w:r w:rsidRPr="000E3A3D">
              <w:rPr>
                <w:b/>
              </w:rPr>
              <w:t>Isabell</w:t>
            </w:r>
            <w:r w:rsidRPr="000E3A3D">
              <w:rPr>
                <w:b/>
              </w:rPr>
              <w:br/>
              <w:t>Zacharias</w:t>
            </w:r>
            <w:r w:rsidRPr="000E3A3D">
              <w:rPr>
                <w:b/>
              </w:rPr>
              <w:br/>
            </w:r>
            <w:r w:rsidRPr="000E3A3D">
              <w:t>(SPD)</w:t>
            </w:r>
            <w:r>
              <w:fldChar w:fldCharType="begin"/>
            </w:r>
            <w:r>
              <w:instrText xml:space="preserve"> TC </w:instrText>
            </w:r>
            <w:r w:rsidR="00423B2A">
              <w:instrText>„</w:instrText>
            </w:r>
            <w:bookmarkStart w:id="10" w:name="_Toc519153196"/>
            <w:r>
              <w:instrText>Zacharias, Isabell (SPD)</w:instrText>
            </w:r>
            <w:r>
              <w:br/>
              <w:instrText>Filmfest München</w:instrText>
            </w:r>
            <w:bookmarkEnd w:id="10"/>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der Ministerpräsident Dr. Markus Söder am 22.06.2018 verkündete, dass der Freistaat Bayern seine Beteiligung am Filmfest München ab 2019 um 3 Mio. Euro aufstocken und das Filmfest zur besseren Berlinale ausbauen werde, frage ich die Staatsregierung, welche inhaltlichen und strukturellen Veränderungen geplant sind und ob die 3 Mio. Euro in den Doppelhaushalt 2019/2020 eingestellt werden?</w:t>
            </w:r>
          </w:p>
          <w:p w:rsidR="000E3A3D" w:rsidRDefault="000E3A3D" w:rsidP="000E3A3D">
            <w:pPr>
              <w:pStyle w:val="LTAnfrageText"/>
            </w:pPr>
          </w:p>
        </w:tc>
      </w:tr>
    </w:tbl>
    <w:p w:rsidR="000E3A3D" w:rsidRDefault="000E3A3D" w:rsidP="000E3A3D">
      <w:pPr>
        <w:pStyle w:val="LTUeberschrAntwortRessort"/>
      </w:pPr>
      <w:r>
        <w:t>Antwort der Staatskanzlei</w:t>
      </w:r>
    </w:p>
    <w:p w:rsidR="000E3A3D" w:rsidRDefault="000E3A3D" w:rsidP="000E3A3D">
      <w:pPr>
        <w:pStyle w:val="LTAntwortRessortText"/>
      </w:pPr>
      <w:r>
        <w:t xml:space="preserve">Ausgangspunkt der Überlegungen sind die grundlegenden Veränderungen durch die Digitalisierung im Film- und Medienbereich. Die Staatsregierung greift dies auf und will den Film- und Medienstandort stärken. In einem sich ständig verändernden Umfeld mit starker Standortkonkurrenz </w:t>
      </w:r>
      <w:r w:rsidR="008D501B">
        <w:t>–</w:t>
      </w:r>
      <w:r>
        <w:t xml:space="preserve"> national wie international </w:t>
      </w:r>
      <w:r w:rsidR="008D501B">
        <w:t>–</w:t>
      </w:r>
      <w:r>
        <w:t xml:space="preserve"> muss sich Bayern als Deutschlands Medienstandort Nr. 1 weiterentwickeln. Als Teil der Standortstrategie ist geplant, dass das Internationale Münchner Filmfest zu einem internationalen Medienfestival ausgebaut wird. Das Filmfest soll eine international einzigartige Verbindung von klassischem Kino mit den modernen und neuen Erzähl- und Erlebnisformen, wie Serien und Animationsfilm, Games und Virtual Reality sowie im Austausch mit anderen Kunstformen werden. </w:t>
      </w:r>
    </w:p>
    <w:p w:rsidR="000E3A3D" w:rsidRDefault="000E3A3D" w:rsidP="000E3A3D">
      <w:pPr>
        <w:pStyle w:val="LTAntwortRessortText"/>
      </w:pPr>
      <w:r>
        <w:t xml:space="preserve">Das Filmfest München hat vom Aufsichtsrat den Auftrag erhalten, die vorliegenden konzeptionellen Ansätze weiterzuentwickeln und ein Umsetzungskonzept vorzulegen. </w:t>
      </w:r>
    </w:p>
    <w:p w:rsidR="000E3A3D" w:rsidRDefault="000E3A3D" w:rsidP="000E3A3D">
      <w:pPr>
        <w:pStyle w:val="LTAntwortRessortText"/>
      </w:pPr>
      <w:r>
        <w:t>Die Erhöhung der Zuwendung des Freistaat</w:t>
      </w:r>
      <w:r w:rsidR="000A7F27">
        <w:t>e</w:t>
      </w:r>
      <w:r>
        <w:t xml:space="preserve">s von 3,0 Mio. </w:t>
      </w:r>
      <w:r w:rsidR="00423B2A">
        <w:t>Euro</w:t>
      </w:r>
      <w:r>
        <w:t xml:space="preserve"> auf 4,75 Mio. </w:t>
      </w:r>
      <w:r w:rsidR="00423B2A">
        <w:t>Euro</w:t>
      </w:r>
      <w:r>
        <w:t xml:space="preserve"> wird von der Staatskanzlei im Haushaltsaufstellungsverfahren für den Doppelhaushalt 2019/</w:t>
      </w:r>
      <w:r w:rsidR="008D501B">
        <w:t>20</w:t>
      </w:r>
      <w:r>
        <w:t>20 angemeldet.</w:t>
      </w:r>
    </w:p>
    <w:p w:rsidR="008D501B" w:rsidRDefault="008D501B">
      <w:pPr>
        <w:rPr>
          <w:rFonts w:cs="Arial"/>
          <w:b/>
          <w:sz w:val="22"/>
          <w:szCs w:val="22"/>
        </w:rPr>
      </w:pPr>
      <w:r>
        <w:br w:type="page"/>
      </w:r>
    </w:p>
    <w:p w:rsidR="000E3A3D" w:rsidRDefault="000E3A3D" w:rsidP="000E3A3D">
      <w:pPr>
        <w:pStyle w:val="LTUeberschrRessort"/>
      </w:pPr>
      <w:r>
        <w:lastRenderedPageBreak/>
        <w:t>Geschäftsbereich des Staatsministeriums des Innern und für Integration</w:t>
      </w:r>
      <w:r>
        <w:fldChar w:fldCharType="begin"/>
      </w:r>
      <w:r>
        <w:instrText xml:space="preserve"> TC </w:instrText>
      </w:r>
      <w:r w:rsidR="00423B2A">
        <w:instrText>„</w:instrText>
      </w:r>
      <w:bookmarkStart w:id="11" w:name="_Toc519153197"/>
      <w:r>
        <w:instrText>Geschäftsbereich des Staatsministeriums des Innern und für Integration</w:instrText>
      </w:r>
      <w:bookmarkEnd w:id="11"/>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Inge</w:t>
            </w:r>
            <w:r w:rsidRPr="000E3A3D">
              <w:rPr>
                <w:b/>
              </w:rPr>
              <w:br/>
              <w:t>Aures</w:t>
            </w:r>
            <w:r w:rsidRPr="000E3A3D">
              <w:rPr>
                <w:b/>
              </w:rPr>
              <w:br/>
            </w:r>
            <w:r w:rsidRPr="000E3A3D">
              <w:t>(SPD)</w:t>
            </w:r>
            <w:r>
              <w:fldChar w:fldCharType="begin"/>
            </w:r>
            <w:r>
              <w:instrText xml:space="preserve"> TC </w:instrText>
            </w:r>
            <w:r w:rsidR="00423B2A">
              <w:instrText>„</w:instrText>
            </w:r>
            <w:bookmarkStart w:id="12" w:name="_Toc519153198"/>
            <w:r>
              <w:instrText>Aures, Inge (SPD)</w:instrText>
            </w:r>
            <w:r>
              <w:br/>
              <w:instrText>Sanierungsbedarf von Polizeigebäuden</w:instrText>
            </w:r>
            <w:bookmarkEnd w:id="12"/>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Polizeigebäude sind sanierungsbedürftig (bitte nach Regierungsbezirken, Landkreisen und kreisfreien Städten sowie Gemeinden aufschlüsseln), wie ist der jeweilige Planungsstand für die Sanierung der Gebäude und wie hoch sind die benötigten Finanzmittel für die Sanierungen (bitte absolut und aufgeschlüsselt nach Regierungsbezirken, Landkreisen und kreisfreien Städten sowie Gemeinden angeben)?</w:t>
            </w:r>
          </w:p>
          <w:p w:rsidR="000E3A3D" w:rsidRDefault="000E3A3D" w:rsidP="000E3A3D">
            <w:pPr>
              <w:pStyle w:val="LTAnfrageText"/>
            </w:pPr>
          </w:p>
        </w:tc>
      </w:tr>
    </w:tbl>
    <w:p w:rsidR="000E3A3D" w:rsidRDefault="000E3A3D" w:rsidP="000E3A3D">
      <w:pPr>
        <w:pStyle w:val="LTUeberschrAntwortRessort"/>
      </w:pPr>
      <w:r>
        <w:t>Antwort des Staatsministeriums des Innern und für Integration</w:t>
      </w:r>
    </w:p>
    <w:p w:rsidR="000E3A3D" w:rsidRDefault="000E3A3D" w:rsidP="000E3A3D">
      <w:pPr>
        <w:pStyle w:val="LTAntwortRessortText"/>
      </w:pPr>
      <w:r>
        <w:t xml:space="preserve">Zur Beantwortung wird auf die Antwort des Staatsministeriums des Innern und für Integration (damals: Staatsministerium des Innern, für Bau und Verkehr) auf die Schriftliche Anfrage </w:t>
      </w:r>
      <w:r w:rsidR="009D540B">
        <w:t xml:space="preserve">betreffend </w:t>
      </w:r>
      <w:r w:rsidR="00423B2A">
        <w:t>„</w:t>
      </w:r>
      <w:r w:rsidR="009D540B">
        <w:t>Po</w:t>
      </w:r>
      <w:r>
        <w:t>lizeigebäude in Bayern</w:t>
      </w:r>
      <w:r w:rsidR="00423B2A">
        <w:t>“</w:t>
      </w:r>
      <w:r>
        <w:t xml:space="preserve"> </w:t>
      </w:r>
      <w:r w:rsidR="00965926">
        <w:t>des Abgeordneten</w:t>
      </w:r>
      <w:r>
        <w:t xml:space="preserve"> Markus R</w:t>
      </w:r>
      <w:r w:rsidR="009D540B">
        <w:t>inderspacher vom 09.11.2017 (</w:t>
      </w:r>
      <w:r>
        <w:t>Drs.</w:t>
      </w:r>
      <w:r w:rsidR="009D540B">
        <w:t xml:space="preserve"> </w:t>
      </w:r>
      <w:r>
        <w:t>17/18973) verwiesen. Die dort dargestellten Informationen sind nach wie vor aktuell.</w:t>
      </w:r>
    </w:p>
    <w:p w:rsidR="000E3A3D" w:rsidRDefault="000E3A3D" w:rsidP="000E3A3D">
      <w:pPr>
        <w:pStyle w:val="LTAntwortRessortText"/>
      </w:pPr>
      <w:r>
        <w:t>In dieser in Bezug genommenen Antwort wird unter den Ziffe</w:t>
      </w:r>
      <w:r w:rsidR="009D540B">
        <w:t>rn 2. bis 4. und 6. der im Hin</w:t>
      </w:r>
      <w:r>
        <w:t>blick auf Polizeigebäude bestehende Sanierungsbedarf umfassend und in der hier abgefragten Aufschlüsselung dargestellt. Die Erhebung wurde im September 2017 durchgeführt und ist, da auch alle langfristig geplanten Maßnahmen aufgenommen wurden, noch aktuell.</w:t>
      </w:r>
    </w:p>
    <w:p w:rsidR="000E3A3D" w:rsidRDefault="000E3A3D" w:rsidP="000E3A3D">
      <w:pPr>
        <w:pStyle w:val="LTAntwortRessortText"/>
      </w:pPr>
      <w:r>
        <w:t xml:space="preserve">Unabhängig davon, dass eine Aktualisierung dieser Aufstellung aufgrund der Vielzahl von Maßnahmen in der Kürze der </w:t>
      </w:r>
      <w:r w:rsidR="009D540B">
        <w:t xml:space="preserve">für die Beantwortung einer Anfrage zum Plenum zur Verfügung stehenden </w:t>
      </w:r>
      <w:r>
        <w:t>Zeit nicht darstellbar ist, würden sich somit auch keine neuen Erkenntnisse ergeben.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Kerstin</w:t>
            </w:r>
            <w:r w:rsidRPr="000E3A3D">
              <w:rPr>
                <w:b/>
              </w:rPr>
              <w:br/>
              <w:t>Celina</w:t>
            </w:r>
            <w:r w:rsidRPr="000E3A3D">
              <w:rPr>
                <w:b/>
              </w:rPr>
              <w:br/>
            </w:r>
            <w:r w:rsidRPr="000E3A3D">
              <w:t>(BÜNDNIS 90/DIE GRÜNEN)</w:t>
            </w:r>
            <w:r>
              <w:fldChar w:fldCharType="begin"/>
            </w:r>
            <w:r>
              <w:instrText xml:space="preserve"> TC </w:instrText>
            </w:r>
            <w:r w:rsidR="00423B2A">
              <w:instrText>„</w:instrText>
            </w:r>
            <w:bookmarkStart w:id="13" w:name="_Toc519153199"/>
            <w:r>
              <w:instrText>Celina, Kerstin (BÜNDNIS 90/DIE GRÜNEN)</w:instrText>
            </w:r>
            <w:r>
              <w:br/>
              <w:instrText>Grauer Pass</w:instrText>
            </w:r>
            <w:bookmarkEnd w:id="13"/>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wie lauten die Verwaltungsvorschriften bezüglich der Ausstellung eines </w:t>
            </w:r>
            <w:r w:rsidR="00423B2A">
              <w:t>„</w:t>
            </w:r>
            <w:r>
              <w:t>grauen Passes</w:t>
            </w:r>
            <w:r w:rsidR="00423B2A">
              <w:t>“</w:t>
            </w:r>
            <w:r>
              <w:t xml:space="preserve"> (Reiseausweis für ausländische Personen, die entweder unter Abschiebeverbot oder subsidiären Schutz stehen) und gibt es interne Regelungen der Ausländerbehörden oder gar Anweisungen bzw. Empfehlungen der Staatsregierung an die zuständigen Behörden, die ein restriktives Vorgehen in der Verwaltungspraxis begründen können?</w:t>
            </w:r>
          </w:p>
          <w:p w:rsidR="000E3A3D" w:rsidRDefault="000E3A3D" w:rsidP="000E3A3D">
            <w:pPr>
              <w:pStyle w:val="LTAnfrageText"/>
            </w:pPr>
          </w:p>
        </w:tc>
      </w:tr>
    </w:tbl>
    <w:p w:rsidR="000E3A3D" w:rsidRDefault="000E3A3D" w:rsidP="007A70E2">
      <w:pPr>
        <w:pStyle w:val="LTUeberschrAntwortRessort"/>
        <w:spacing w:before="0"/>
      </w:pPr>
      <w:r>
        <w:t>Antwort des Staatsministeriums des Innern und für Integration</w:t>
      </w:r>
    </w:p>
    <w:p w:rsidR="000E3A3D" w:rsidRDefault="000E3A3D" w:rsidP="000E3A3D">
      <w:pPr>
        <w:pStyle w:val="LTAntwortRessortText"/>
      </w:pPr>
      <w:r>
        <w:t>Die Ausstellung eines Reiseausweises für Ausländer</w:t>
      </w:r>
      <w:r w:rsidR="005C4537">
        <w:t>innen und Ausländer</w:t>
      </w:r>
      <w:r>
        <w:t>, der in der Verwaltungspraxis teilweise als</w:t>
      </w:r>
      <w:r w:rsidR="005C4537">
        <w:t xml:space="preserve"> </w:t>
      </w:r>
      <w:r w:rsidR="00423B2A">
        <w:t>„</w:t>
      </w:r>
      <w:r w:rsidR="005C4537">
        <w:t>g</w:t>
      </w:r>
      <w:r>
        <w:t>rauer Pass</w:t>
      </w:r>
      <w:r w:rsidR="00423B2A">
        <w:t>“</w:t>
      </w:r>
      <w:r>
        <w:t xml:space="preserve"> bezeichnet wird, ist in den §§ 5 bis 11 Aufenthaltsverordnung im Einzelnen geregelt. Die Erteilung erfolgt im Rahmen einer Ermessense</w:t>
      </w:r>
      <w:r w:rsidR="005C4537">
        <w:t>ntscheidung der zuständigen Be</w:t>
      </w:r>
      <w:r>
        <w:t xml:space="preserve">hörde. Das </w:t>
      </w:r>
      <w:r w:rsidR="000A7F27">
        <w:t xml:space="preserve">damalige </w:t>
      </w:r>
      <w:r w:rsidR="005C4537">
        <w:t>Bundesministerium</w:t>
      </w:r>
      <w:r w:rsidR="005C4537" w:rsidRPr="005C4537">
        <w:t xml:space="preserve"> des Innern</w:t>
      </w:r>
      <w:r>
        <w:t xml:space="preserve"> mit Zustimmung des Bundesrates in den Ziffern</w:t>
      </w:r>
      <w:r w:rsidR="005C4537">
        <w:t xml:space="preserve"> </w:t>
      </w:r>
      <w:r>
        <w:t>3.3.1 ff. der Allgemeinen Verwaltungsvorschrift zum Aufenthaltsgesetz (AVV-AufenthG) Hinweise zur Erteilung von Reiseausweisen für Ausländer</w:t>
      </w:r>
      <w:r w:rsidR="005C4537">
        <w:t>innen und Ausländer</w:t>
      </w:r>
      <w:r>
        <w:t xml:space="preserve"> verö</w:t>
      </w:r>
      <w:r w:rsidR="005C4537">
        <w:t>ffentlicht. Die Verwaltungsvor</w:t>
      </w:r>
      <w:r>
        <w:t xml:space="preserve">schrift ist im Internet unter </w:t>
      </w:r>
      <w:hyperlink r:id="rId15" w:history="1">
        <w:r w:rsidR="005C4537" w:rsidRPr="005B42B3">
          <w:rPr>
            <w:rStyle w:val="Hyperlink"/>
          </w:rPr>
          <w:t>http://www.verwaltungsvorschriften-im-internet.de/pdf/BMI-MI3-20091026-SF-A001.pdf</w:t>
        </w:r>
      </w:hyperlink>
      <w:r w:rsidR="005C4537">
        <w:t xml:space="preserve"> </w:t>
      </w:r>
      <w:r>
        <w:t>abrufbar.</w:t>
      </w:r>
    </w:p>
    <w:p w:rsidR="000E3A3D" w:rsidRDefault="005037A5" w:rsidP="000E3A3D">
      <w:pPr>
        <w:pStyle w:val="LTAntwortRessortText"/>
      </w:pPr>
      <w:r>
        <w:lastRenderedPageBreak/>
        <w:t xml:space="preserve">Darüber </w:t>
      </w:r>
      <w:r w:rsidR="000E3A3D">
        <w:t xml:space="preserve">hinausgehende ermessenslenkende Vorgaben des </w:t>
      </w:r>
      <w:r w:rsidR="005C4537">
        <w:t xml:space="preserve">Bayerischen </w:t>
      </w:r>
      <w:r w:rsidR="000E3A3D">
        <w:t>Staatsministeriums des Innern und für Integration bestehen nicht. Etwaige interne Weisungen von Ausländerbehörden für den Vollzug der Regelungen zur Erteilung von Reiseausweisen für Ausländer</w:t>
      </w:r>
      <w:r w:rsidR="005C4537">
        <w:t>innen und Ausländer</w:t>
      </w:r>
      <w:r w:rsidR="000E3A3D">
        <w:t xml:space="preserve"> sind nicht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Harald</w:t>
            </w:r>
            <w:r w:rsidRPr="000E3A3D">
              <w:rPr>
                <w:b/>
              </w:rPr>
              <w:br/>
              <w:t>Güller</w:t>
            </w:r>
            <w:r w:rsidRPr="000E3A3D">
              <w:rPr>
                <w:b/>
              </w:rPr>
              <w:br/>
            </w:r>
            <w:r w:rsidRPr="000E3A3D">
              <w:t>(SPD)</w:t>
            </w:r>
            <w:r>
              <w:fldChar w:fldCharType="begin"/>
            </w:r>
            <w:r>
              <w:instrText xml:space="preserve"> TC </w:instrText>
            </w:r>
            <w:r w:rsidR="00423B2A">
              <w:instrText>„</w:instrText>
            </w:r>
            <w:bookmarkStart w:id="14" w:name="_Toc519153200"/>
            <w:r>
              <w:instrText>Güller, Harald (SPD)</w:instrText>
            </w:r>
            <w:r>
              <w:br/>
              <w:instrText>Mannstunden zur Schleierfahndung an der Grenze Bayern - Österreich</w:instrText>
            </w:r>
            <w:bookmarkEnd w:id="14"/>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wie viele Mannstunden haben die jeweiligen beteiligten Polizeieinheiten zur Schleierfahndung an der Grenze Bayern </w:t>
            </w:r>
            <w:r w:rsidR="005037A5">
              <w:t>–</w:t>
            </w:r>
            <w:r>
              <w:t xml:space="preserve"> Österreich seit 2014 verwendet (bitte aufschlüsseln nach Jahren und beteiligten Polizeieinheiten), wie viele Mannstunden haben die jeweiligen beteiligten Polizeieinheiten zur Schleierfahndung an der Grenze Bayern </w:t>
            </w:r>
            <w:r w:rsidR="005037A5">
              <w:t>–</w:t>
            </w:r>
            <w:r>
              <w:t xml:space="preserve"> Österreich in den Monaten des Jahres 2018 verwendet (bitte aufschlüsseln nach Monaten und beteiligten Polizeieinheiten) und wie viele Mannstunden werden benötigt, um alle über 70 Straßenübergange an der bayerisch-österreichischen Grenze und an der grünen Grenze lückenlos zu überwachen?</w:t>
            </w:r>
          </w:p>
          <w:p w:rsidR="000E3A3D" w:rsidRDefault="000E3A3D" w:rsidP="000E3A3D">
            <w:pPr>
              <w:pStyle w:val="LTAnfrageText"/>
            </w:pPr>
          </w:p>
        </w:tc>
      </w:tr>
    </w:tbl>
    <w:p w:rsidR="000E3A3D" w:rsidRDefault="000E3A3D" w:rsidP="000E3A3D">
      <w:pPr>
        <w:pStyle w:val="LTUeberschrAntwortRessort"/>
      </w:pPr>
      <w:r>
        <w:t>Antwort des Staatsministeriums des Innern und für Integration</w:t>
      </w:r>
    </w:p>
    <w:p w:rsidR="000E3A3D" w:rsidRDefault="000E3A3D" w:rsidP="000E3A3D">
      <w:pPr>
        <w:pStyle w:val="LTAntwortRessortText"/>
      </w:pPr>
      <w:r>
        <w:t xml:space="preserve">Bei den für die bayerische Südgrenze zuständigen Polizeipräsidien Niederbayern, Oberbayern Süd und Schwaben Süd/West liegen keine Aufzeichnungen </w:t>
      </w:r>
      <w:r w:rsidR="005037A5">
        <w:t>über die hier angefragten Mann</w:t>
      </w:r>
      <w:r>
        <w:t>stunden vor. Die im Rahmen der Schleierfahndung geleisteten Mannstunden sind au</w:t>
      </w:r>
      <w:r w:rsidR="005037A5">
        <w:t>sschließ</w:t>
      </w:r>
      <w:r>
        <w:t xml:space="preserve">lich mit einem hohen Arbeits- und Zeitaufwand recherchierbar. Die Erhebung ist in der Kürze der für die Beantwortung </w:t>
      </w:r>
      <w:r w:rsidR="005037A5">
        <w:t>einer</w:t>
      </w:r>
      <w:r>
        <w:t xml:space="preserve"> Anfrage </w:t>
      </w:r>
      <w:r w:rsidR="005037A5">
        <w:t xml:space="preserve">zum Plenum </w:t>
      </w:r>
      <w:r>
        <w:t>zur Verfügung stehenden Zeit nicht durchführbar.</w:t>
      </w:r>
    </w:p>
    <w:p w:rsidR="000E3A3D" w:rsidRDefault="000E3A3D" w:rsidP="000E3A3D">
      <w:pPr>
        <w:pStyle w:val="LTAntwortRessortText"/>
      </w:pPr>
      <w:r>
        <w:t>Die sachliche Zuständigkeit für Grenzsicherungsmaßnahmen liegt bei der Bundespolizei und fällt somit in die Ressortverantwortung des Bundesministeriu</w:t>
      </w:r>
      <w:r w:rsidR="005037A5">
        <w:t>ms des Innern, für Bau und Hei</w:t>
      </w:r>
      <w:r>
        <w:t>mat. Erfahrungsgemäß lehnt die Bundespolizei die Beantwortung derartiger Anfragen mit dem Verweis ab, dass diese nicht der Kontrolle eines Lan</w:t>
      </w:r>
      <w:r w:rsidR="000A7F27">
        <w:t>desparlament</w:t>
      </w:r>
      <w:r>
        <w:t>s unterliege.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Alexandra</w:t>
            </w:r>
            <w:r w:rsidRPr="000E3A3D">
              <w:rPr>
                <w:b/>
              </w:rPr>
              <w:br/>
              <w:t>Hiersemann</w:t>
            </w:r>
            <w:r w:rsidRPr="000E3A3D">
              <w:rPr>
                <w:b/>
              </w:rPr>
              <w:br/>
            </w:r>
            <w:r w:rsidRPr="000E3A3D">
              <w:t>(SPD)</w:t>
            </w:r>
            <w:r>
              <w:fldChar w:fldCharType="begin"/>
            </w:r>
            <w:r>
              <w:instrText xml:space="preserve"> TC </w:instrText>
            </w:r>
            <w:r w:rsidR="00423B2A">
              <w:instrText>„</w:instrText>
            </w:r>
            <w:bookmarkStart w:id="15" w:name="_Toc519153201"/>
            <w:r>
              <w:instrText>Hiersemann, Alexandra (SPD)</w:instrText>
            </w:r>
            <w:r>
              <w:br/>
              <w:instrText>Illegale Autorennen</w:instrText>
            </w:r>
            <w:bookmarkEnd w:id="1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welche illegalen Autorennen haben in Bayern im ersten Halbjahr 2018 stattgefunden (bitte aufschlüsseln nach Ort, Datum und Teilnehmerzahl), was ist über die Organisatoren und Teilnehmer bekannt, welche Kenntnisse hat die Staatsregierung über die Zahl der Unfallopfer als Folge illegaler Autorennen in Bayern in diesem Zeitraum (bitte aufgeschlüsselt nach Landkreisen und kreisfreien Städten)?</w:t>
            </w:r>
          </w:p>
          <w:p w:rsidR="000E3A3D" w:rsidRDefault="000E3A3D" w:rsidP="000E3A3D">
            <w:pPr>
              <w:pStyle w:val="LTAnfrageText"/>
            </w:pPr>
          </w:p>
        </w:tc>
      </w:tr>
    </w:tbl>
    <w:p w:rsidR="000E3A3D" w:rsidRDefault="000E3A3D" w:rsidP="000E3A3D">
      <w:pPr>
        <w:pStyle w:val="LTUeberschrAntwortRessort"/>
      </w:pPr>
      <w:r>
        <w:t>Antwort des Staatsministeriums des Innern und für Integration</w:t>
      </w:r>
    </w:p>
    <w:p w:rsidR="000E3A3D" w:rsidRDefault="000E3A3D" w:rsidP="000E3A3D">
      <w:pPr>
        <w:pStyle w:val="LTAntwortRessortText"/>
      </w:pPr>
      <w:r>
        <w:t xml:space="preserve">Für die Beantwortung </w:t>
      </w:r>
      <w:r w:rsidR="00965926">
        <w:t xml:space="preserve">der Anfrage zum Plenum </w:t>
      </w:r>
      <w:r>
        <w:t>wurde eine Recherche in den elektronischen Dateien der Bayerischen Polizei durchgeführt. Umfasst wurden davon alle illegalen Rennen mi</w:t>
      </w:r>
      <w:r w:rsidR="00965926">
        <w:t>t Kraft</w:t>
      </w:r>
      <w:r w:rsidR="00965926">
        <w:lastRenderedPageBreak/>
        <w:t>fahrzeugen, na</w:t>
      </w:r>
      <w:r>
        <w:t>mentlich Pkw und Kraftrad. Eine Auswertung der Akten war i</w:t>
      </w:r>
      <w:r w:rsidR="00965926">
        <w:t>m für die Beantwortung einer Anfrage zum Plenum zur Ver</w:t>
      </w:r>
      <w:r>
        <w:t>fügung stehenden Zeitraum nicht leistbar.</w:t>
      </w:r>
    </w:p>
    <w:p w:rsidR="000E3A3D" w:rsidRPr="00965926" w:rsidRDefault="000E3A3D" w:rsidP="000E3A3D">
      <w:pPr>
        <w:pStyle w:val="LTAntwortRessortText"/>
        <w:rPr>
          <w:u w:val="single"/>
        </w:rPr>
      </w:pPr>
      <w:r w:rsidRPr="00965926">
        <w:rPr>
          <w:u w:val="single"/>
        </w:rPr>
        <w:t>Illegale Kraftfahrzeugrennen in Bayern im ersten Halbjahr 2018</w:t>
      </w:r>
      <w:r w:rsidR="00965926">
        <w:rPr>
          <w:u w:val="single"/>
        </w:rPr>
        <w:t>:</w:t>
      </w:r>
    </w:p>
    <w:p w:rsidR="000E3A3D" w:rsidRDefault="000E3A3D" w:rsidP="00965926">
      <w:pPr>
        <w:pStyle w:val="LTAntwortRessortText"/>
        <w:spacing w:before="120"/>
      </w:pPr>
      <w:r>
        <w:t xml:space="preserve">Für den Tatzeitraum vom </w:t>
      </w:r>
      <w:r w:rsidR="00965926">
        <w:t>01.01.</w:t>
      </w:r>
      <w:r>
        <w:t xml:space="preserve">2018 bis </w:t>
      </w:r>
      <w:r w:rsidR="00965926">
        <w:t>30.06.</w:t>
      </w:r>
      <w:r>
        <w:t>2018 wurden in Bayern insgesamt 109 illegale Kraftfahrzeugrennen mit 144 beteiligten Personen polize</w:t>
      </w:r>
      <w:r w:rsidR="00965926">
        <w:t>ilich erfasst. Eine genaue Auf</w:t>
      </w:r>
      <w:r>
        <w:t>schlüsselung enthält die angefügte Tabelle (s. Anlage</w:t>
      </w:r>
      <w:r w:rsidR="00965926">
        <w:t>*</w:t>
      </w:r>
      <w:r>
        <w:t>).</w:t>
      </w:r>
    </w:p>
    <w:p w:rsidR="000E3A3D" w:rsidRDefault="000E3A3D" w:rsidP="000E3A3D">
      <w:pPr>
        <w:pStyle w:val="LTAntwortRessortText"/>
      </w:pPr>
      <w:r>
        <w:t xml:space="preserve">Wie auch in der Antwort auf die Schriftliche Anfrage des </w:t>
      </w:r>
      <w:r w:rsidR="00965926">
        <w:t>Abgeordneten Markus Rinder</w:t>
      </w:r>
      <w:r>
        <w:t xml:space="preserve">spacher vom </w:t>
      </w:r>
      <w:r w:rsidR="00C076CB">
        <w:t>03.01.</w:t>
      </w:r>
      <w:r>
        <w:t xml:space="preserve">2018 </w:t>
      </w:r>
      <w:r w:rsidR="00C076CB">
        <w:t>betreffend</w:t>
      </w:r>
      <w:r>
        <w:t xml:space="preserve"> </w:t>
      </w:r>
      <w:r w:rsidR="00C076CB">
        <w:t>„Illegal</w:t>
      </w:r>
      <w:r>
        <w:t>n Autorennen in Bayern seit 2016</w:t>
      </w:r>
      <w:r w:rsidR="00C076CB">
        <w:t>“ (</w:t>
      </w:r>
      <w:r>
        <w:t>Drs. 17/20722) dargelegt, sind nach vorliegenden Erkenntnissen die Teilnehme</w:t>
      </w:r>
      <w:r w:rsidR="00C076CB">
        <w:t>r privater illegaler Kraftfahr</w:t>
      </w:r>
      <w:r>
        <w:t>zeugrennen fast ausschließlich männlich, in den meisten Fällen</w:t>
      </w:r>
      <w:r w:rsidR="00C076CB">
        <w:t xml:space="preserve"> jünger als 30 Jahre und im Be</w:t>
      </w:r>
      <w:r>
        <w:t>sitz leistungsstarker Fahrzeuge unterschiedlicher Marken. Eine</w:t>
      </w:r>
      <w:r w:rsidR="00C076CB">
        <w:t xml:space="preserve"> nennenswerte Organisationstie</w:t>
      </w:r>
      <w:r>
        <w:t>fe liegt regelmäßig nicht vor. Es kann angenommen werden, dass</w:t>
      </w:r>
      <w:r w:rsidR="00C076CB">
        <w:t xml:space="preserve"> private illegale Kraftfahrzeu</w:t>
      </w:r>
      <w:r>
        <w:t>grennen über Internet-Chats bzw. Messenger-Dienste verabrede</w:t>
      </w:r>
      <w:r w:rsidR="00C076CB">
        <w:t>t werden oder spontan stattfin</w:t>
      </w:r>
      <w:r>
        <w:t>den.</w:t>
      </w:r>
    </w:p>
    <w:p w:rsidR="000E3A3D" w:rsidRPr="00C076CB" w:rsidRDefault="00C076CB" w:rsidP="000E3A3D">
      <w:pPr>
        <w:pStyle w:val="LTAntwortRessortText"/>
        <w:rPr>
          <w:u w:val="single"/>
        </w:rPr>
      </w:pPr>
      <w:r w:rsidRPr="00C076CB">
        <w:rPr>
          <w:u w:val="single"/>
        </w:rPr>
        <w:t>U</w:t>
      </w:r>
      <w:r w:rsidR="000E3A3D" w:rsidRPr="00C076CB">
        <w:rPr>
          <w:u w:val="single"/>
        </w:rPr>
        <w:t>nfallopfer als Folge illegaler Kraftfahrzeugrennen</w:t>
      </w:r>
      <w:r>
        <w:rPr>
          <w:u w:val="single"/>
        </w:rPr>
        <w:t>:</w:t>
      </w:r>
    </w:p>
    <w:p w:rsidR="000E3A3D" w:rsidRDefault="000E3A3D" w:rsidP="00C076CB">
      <w:pPr>
        <w:pStyle w:val="LTAntwortRessortText"/>
        <w:spacing w:before="120"/>
      </w:pPr>
      <w:r>
        <w:t xml:space="preserve">Unter dem Begriff </w:t>
      </w:r>
      <w:r w:rsidR="00423B2A">
        <w:t>„</w:t>
      </w:r>
      <w:r>
        <w:t>Unfallopfer</w:t>
      </w:r>
      <w:r w:rsidR="00423B2A">
        <w:t>“</w:t>
      </w:r>
      <w:r>
        <w:t xml:space="preserve"> werden im Sinne </w:t>
      </w:r>
      <w:r w:rsidR="00C076CB">
        <w:t>der</w:t>
      </w:r>
      <w:r>
        <w:t xml:space="preserve"> Anfrage</w:t>
      </w:r>
      <w:r w:rsidR="00C076CB">
        <w:t xml:space="preserve"> zum Plenum</w:t>
      </w:r>
      <w:r>
        <w:t xml:space="preserve"> Personen verstanden, die infolge illegaler Kfz-Rennen verletzt oder getötet wurden.</w:t>
      </w:r>
    </w:p>
    <w:p w:rsidR="000E3A3D" w:rsidRDefault="000E3A3D" w:rsidP="000E3A3D">
      <w:pPr>
        <w:pStyle w:val="LTAntwortRessortText"/>
      </w:pPr>
      <w:r>
        <w:t xml:space="preserve">Unter dieser Maßgabe konnten für den Zeitraum von </w:t>
      </w:r>
      <w:r w:rsidR="00C076CB">
        <w:t>01.01.</w:t>
      </w:r>
      <w:r>
        <w:t>2018 bis</w:t>
      </w:r>
      <w:r w:rsidR="00C076CB">
        <w:t xml:space="preserve"> 30.06.</w:t>
      </w:r>
      <w:r>
        <w:t>2018 in Bayern insgesamt keine getöteten und 15 verle</w:t>
      </w:r>
      <w:r w:rsidR="00C076CB">
        <w:t>tzte Personen recherchiert wer</w:t>
      </w:r>
      <w:r>
        <w:t>den. Diese verteilen sich wie folgt auf die Landkreise</w:t>
      </w:r>
      <w:r w:rsidR="00C076CB">
        <w:t xml:space="preserve"> bzw. </w:t>
      </w:r>
      <w:r>
        <w:t>kreisfreien Städte:</w:t>
      </w:r>
    </w:p>
    <w:p w:rsidR="000E3A3D" w:rsidRDefault="000E3A3D" w:rsidP="00C076CB">
      <w:pPr>
        <w:pStyle w:val="LTAntwortRessortText"/>
        <w:numPr>
          <w:ilvl w:val="0"/>
          <w:numId w:val="25"/>
        </w:numPr>
        <w:spacing w:before="120"/>
        <w:ind w:left="1054" w:hanging="357"/>
      </w:pPr>
      <w:r>
        <w:t>Stadt München</w:t>
      </w:r>
      <w:r>
        <w:tab/>
      </w:r>
      <w:r w:rsidR="00C076CB">
        <w:tab/>
      </w:r>
      <w:r>
        <w:t>5 verletzte Personen</w:t>
      </w:r>
      <w:r w:rsidR="00C076CB">
        <w:t>,</w:t>
      </w:r>
    </w:p>
    <w:p w:rsidR="000E3A3D" w:rsidRDefault="000E3A3D" w:rsidP="00C076CB">
      <w:pPr>
        <w:pStyle w:val="LTAntwortRessortText"/>
        <w:numPr>
          <w:ilvl w:val="0"/>
          <w:numId w:val="25"/>
        </w:numPr>
        <w:spacing w:before="120"/>
        <w:ind w:left="1054" w:hanging="357"/>
      </w:pPr>
      <w:r>
        <w:t>Landkreis Starnberg</w:t>
      </w:r>
      <w:r>
        <w:tab/>
        <w:t>1 verletzte Person</w:t>
      </w:r>
      <w:r w:rsidR="00C076CB">
        <w:t>,</w:t>
      </w:r>
    </w:p>
    <w:p w:rsidR="000E3A3D" w:rsidRDefault="000E3A3D" w:rsidP="00C076CB">
      <w:pPr>
        <w:pStyle w:val="LTAntwortRessortText"/>
        <w:numPr>
          <w:ilvl w:val="0"/>
          <w:numId w:val="25"/>
        </w:numPr>
        <w:spacing w:before="120"/>
        <w:ind w:left="1054" w:hanging="357"/>
      </w:pPr>
      <w:r>
        <w:t>Landkreis Rosenheim</w:t>
      </w:r>
      <w:r>
        <w:tab/>
        <w:t>1 verletzte Person</w:t>
      </w:r>
      <w:r w:rsidR="00C076CB">
        <w:t>,</w:t>
      </w:r>
    </w:p>
    <w:p w:rsidR="000E3A3D" w:rsidRDefault="000E3A3D" w:rsidP="00C076CB">
      <w:pPr>
        <w:pStyle w:val="LTAntwortRessortText"/>
        <w:numPr>
          <w:ilvl w:val="0"/>
          <w:numId w:val="25"/>
        </w:numPr>
        <w:spacing w:before="120"/>
        <w:ind w:left="1054" w:hanging="357"/>
      </w:pPr>
      <w:r>
        <w:t>Landkreis Pegnitz</w:t>
      </w:r>
      <w:r>
        <w:tab/>
      </w:r>
      <w:r w:rsidR="00C076CB">
        <w:tab/>
      </w:r>
      <w:r>
        <w:t>3 verletzte Personen</w:t>
      </w:r>
      <w:r w:rsidR="00C076CB">
        <w:t>,</w:t>
      </w:r>
    </w:p>
    <w:p w:rsidR="000E3A3D" w:rsidRDefault="000E3A3D" w:rsidP="00C076CB">
      <w:pPr>
        <w:pStyle w:val="LTAntwortRessortText"/>
        <w:numPr>
          <w:ilvl w:val="0"/>
          <w:numId w:val="25"/>
        </w:numPr>
        <w:spacing w:before="120"/>
        <w:ind w:left="1054" w:hanging="357"/>
      </w:pPr>
      <w:r>
        <w:t>Stadt Passau</w:t>
      </w:r>
      <w:r>
        <w:tab/>
      </w:r>
      <w:r w:rsidR="00C076CB">
        <w:tab/>
      </w:r>
      <w:r>
        <w:t>5 verletzte Personen</w:t>
      </w:r>
      <w:r w:rsidR="00C076CB">
        <w:t>.</w:t>
      </w:r>
    </w:p>
    <w:p w:rsidR="004B6267" w:rsidRDefault="00C076CB" w:rsidP="000E3A3D">
      <w:pPr>
        <w:pStyle w:val="LTAntwortRessortText"/>
        <w:rPr>
          <w:sz w:val="24"/>
          <w:vertAlign w:val="superscript"/>
        </w:rPr>
      </w:pPr>
      <w:r w:rsidRPr="00C076CB">
        <w:rPr>
          <w:sz w:val="24"/>
          <w:vertAlign w:val="superscript"/>
        </w:rPr>
        <w:t xml:space="preserve">*) Von einem Abdruck wurde abgesehen. Die Anlage ist als pdf-Dokument </w:t>
      </w:r>
      <w:hyperlink r:id="rId16" w:history="1">
        <w:r w:rsidRPr="00DF2F9A">
          <w:rPr>
            <w:rStyle w:val="Hyperlink"/>
            <w:sz w:val="24"/>
            <w:vertAlign w:val="superscript"/>
          </w:rPr>
          <w:t>hier</w:t>
        </w:r>
      </w:hyperlink>
      <w:r w:rsidRPr="00C076CB">
        <w:rPr>
          <w:sz w:val="24"/>
          <w:vertAlign w:val="superscript"/>
        </w:rPr>
        <w:t xml:space="preserve"> einsehbar.</w:t>
      </w:r>
    </w:p>
    <w:p w:rsidR="000E3A3D" w:rsidRPr="00C076CB" w:rsidRDefault="00C076CB" w:rsidP="000E3A3D">
      <w:pPr>
        <w:pStyle w:val="LTAntwortRessortText"/>
        <w:rPr>
          <w:sz w:val="24"/>
          <w:vertAlign w:val="superscript"/>
        </w:rPr>
      </w:pPr>
      <w:r w:rsidRPr="00C076CB">
        <w:rPr>
          <w:sz w:val="24"/>
          <w:vertAlign w:val="superscript"/>
        </w:rPr>
        <w:t xml:space="preserve">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Christine</w:t>
            </w:r>
            <w:r w:rsidRPr="000E3A3D">
              <w:rPr>
                <w:b/>
              </w:rPr>
              <w:br/>
              <w:t>Kamm</w:t>
            </w:r>
            <w:r w:rsidRPr="000E3A3D">
              <w:rPr>
                <w:b/>
              </w:rPr>
              <w:br/>
            </w:r>
            <w:r w:rsidRPr="000E3A3D">
              <w:t>(BÜNDNIS 90/DIE GRÜNEN)</w:t>
            </w:r>
            <w:r>
              <w:fldChar w:fldCharType="begin"/>
            </w:r>
            <w:r>
              <w:instrText xml:space="preserve"> TC </w:instrText>
            </w:r>
            <w:r w:rsidR="00423B2A">
              <w:instrText>„</w:instrText>
            </w:r>
            <w:bookmarkStart w:id="16" w:name="_Toc519153202"/>
            <w:r>
              <w:instrText>Kamm, Christine (BÜNDNIS 90/DIE GRÜNEN)</w:instrText>
            </w:r>
            <w:r>
              <w:br/>
              <w:instrText>Sammelabschiebung nach Afghanistan am 03.07.2018</w:instrText>
            </w:r>
            <w:bookmarkEnd w:id="16"/>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Personen wurden am 03.07.2018 im Rahmen der Sammelabschiebung aus Bayern nach Afghanistan abgeschoben (bitte die Aufenthaltsdauer in Deutschland, Alter, hier erbrachte Integrationsleistungen wie Arbeit, Hauptschulabschluss, Qualifizierungsmaßnahmen u. a., anwaltliche Vertretung, die Straftaten der Betroffenen sowie die genaue Abschiebeprozedur einzeln und detailliert auflisten, bitte auch die Zahlen der zur Abschiebung vorgesehen</w:t>
            </w:r>
            <w:r w:rsidR="000A7F27">
              <w:t>en</w:t>
            </w:r>
            <w:r>
              <w:t xml:space="preserve"> aber nicht abgeschobenen Personen und die Gründe für die Nichtabschiebung benennen), wie viele Personen von den Betroffenen hatten eine Rückkehrberatung in Anspruch genommen und wie viele Personen hatten ein Antrag auf Arbeits- und Ausbildungsgenehmigung gestellt?</w:t>
            </w:r>
          </w:p>
          <w:p w:rsidR="000E3A3D" w:rsidRDefault="000E3A3D" w:rsidP="000E3A3D">
            <w:pPr>
              <w:pStyle w:val="LTAnfrageText"/>
            </w:pPr>
          </w:p>
        </w:tc>
      </w:tr>
    </w:tbl>
    <w:p w:rsidR="000E3A3D" w:rsidRDefault="000E3A3D" w:rsidP="000E3A3D">
      <w:pPr>
        <w:pStyle w:val="LTUeberschrAntwortRessort"/>
      </w:pPr>
      <w:r>
        <w:lastRenderedPageBreak/>
        <w:t>Antwort des Staatsministeriums des Innern und für Integration</w:t>
      </w:r>
    </w:p>
    <w:p w:rsidR="000E3A3D" w:rsidRDefault="000E3A3D" w:rsidP="00C076CB">
      <w:pPr>
        <w:pStyle w:val="LTAntwortRessortText"/>
      </w:pPr>
      <w:r>
        <w:t>Im Rahmen der Sammelabschiebung nach Afghanistan am 03.07.2018 wurden 51 Personen in der Zuständigkeit bayerischer Ausländerbehörden abgeschoben</w:t>
      </w:r>
      <w:r w:rsidR="00C076CB">
        <w:t>. Angaben hinsichtlich Geburts</w:t>
      </w:r>
      <w:r>
        <w:t>datum und Datum der Ersteinreise ergeben sich aus nachfolgender Aufstellung. Hinsichtlich der übrigen erfragten Kriterien liegen der Staatsregierung keine s</w:t>
      </w:r>
      <w:r w:rsidR="00C076CB">
        <w:t xml:space="preserve">tatistisch auswertbaren Daten </w:t>
      </w:r>
      <w:r>
        <w:t>vor. Hierfür wären umfangreiche und zeitintensive Einzelausw</w:t>
      </w:r>
      <w:r w:rsidR="00C076CB">
        <w:t>ertungen der jeweiligen Auslän</w:t>
      </w:r>
      <w:r>
        <w:t xml:space="preserve">derakten bei den zuständigen Ausländerbehörden erforderlich, </w:t>
      </w:r>
      <w:r w:rsidR="00C076CB">
        <w:t>die in der Kürze der zur Beant</w:t>
      </w:r>
      <w:r>
        <w:t xml:space="preserve">wortung der Anfrage </w:t>
      </w:r>
      <w:r w:rsidR="00C076CB">
        <w:t xml:space="preserve">zum Plenum </w:t>
      </w:r>
      <w:r>
        <w:t>zur Verfügung stehenden Zeit nicht durchführbar sind. Ein Anspruch auf Duldung zur Aufnahme oder Fortsetzung einer qualifizierten B</w:t>
      </w:r>
      <w:r w:rsidR="00C076CB">
        <w:t>erufsausbildung bestand in kei</w:t>
      </w:r>
      <w:r>
        <w:t>nem Fall.</w:t>
      </w:r>
    </w:p>
    <w:p w:rsidR="000E3A3D" w:rsidRDefault="000E3A3D" w:rsidP="000E3A3D">
      <w:pPr>
        <w:pStyle w:val="LTAntwortRessortText"/>
      </w:pPr>
      <w:r>
        <w:t>Unter den abgeschobenen Personen in der Zuständigkeit bay</w:t>
      </w:r>
      <w:r w:rsidR="00C076CB">
        <w:t>erischer Ausländerbehörden bef</w:t>
      </w:r>
      <w:r>
        <w:t>anden sich fünf Straftäter im Sinne der bisherigen, zwischenze</w:t>
      </w:r>
      <w:r w:rsidR="00C076CB">
        <w:t>itlich durch das Bundesministe</w:t>
      </w:r>
      <w:r>
        <w:t>rium des Innern, für Bau und Heimat aufgehobenen Beschränkung der drei Personengruppen, die nach Afghanistan abgeschoben werden können. Diese</w:t>
      </w:r>
      <w:r w:rsidR="00C076CB">
        <w:t xml:space="preserve"> wurden unter anderem wegen be</w:t>
      </w:r>
      <w:r>
        <w:t>sonders schwerer räuberischer Erpressung, Bedrohung, Nötigu</w:t>
      </w:r>
      <w:r w:rsidR="00C076CB">
        <w:t>ng, Widerstands gegen Vollstre</w:t>
      </w:r>
      <w:r>
        <w:t>ckungsbeamte, Körperverletzung, Beleidigung, Diebstahls, Sachbeschädigung und unerlaubtem Handel mit Betäubungsmitteln verurteilt. Es wird darauf hi</w:t>
      </w:r>
      <w:r w:rsidR="00C076CB">
        <w:t xml:space="preserve">ngewiesen, dass nach Aufhebung </w:t>
      </w:r>
      <w:r>
        <w:t>der bisherigen Beschränkung auf drei Personengruppen bei den Rückführungen nach Afghanistan eine durchgehende Erfassung begangener Straftaten der Betroffenen im Rahmen der Organisation von Sammelabschiebungsmaßnahmen nicht mehr erfolgt. Die Benennung der begangenen Straftaten ist daher als nicht abschließend zu verstehen.</w:t>
      </w:r>
    </w:p>
    <w:p w:rsidR="000E3A3D" w:rsidRDefault="000E3A3D" w:rsidP="000E3A3D">
      <w:pPr>
        <w:pStyle w:val="LTAntwortRessortText"/>
      </w:pPr>
      <w:r>
        <w:t>21 der aus Bayern abgeschobenen Personen wurden aus richterlich angeordneter Freiheitsentziehung der Maßnahme zugeführt. Weitere 30 afghanische Staatsangehörige wurden im Wege der Direktabschiebung im</w:t>
      </w:r>
      <w:r w:rsidR="00CD1898">
        <w:t xml:space="preserve"> Laufe des Abflugtag</w:t>
      </w:r>
      <w:r>
        <w:t>s durch die Bayerische Polizei in Gewahrsam genommen und an den Flughafen zugeführt.</w:t>
      </w:r>
    </w:p>
    <w:p w:rsidR="000E3A3D" w:rsidRDefault="000E3A3D" w:rsidP="000E3A3D">
      <w:pPr>
        <w:pStyle w:val="LTAntwortRessortText"/>
      </w:pPr>
      <w:r>
        <w:t>Aus Bayern waren für die Sammelabschiebungsmaßnahme ursprünglich 132 afghanische Staatsangehörige eingeplant. Gründe für den nicht stattgefundenen Vollzug der Abschiebungen finden sich insbesondere in dem Umstand, dass Betroffene durch Abwesenheit und Unterta</w:t>
      </w:r>
      <w:r w:rsidR="00C076CB">
        <w:t>u</w:t>
      </w:r>
      <w:r>
        <w:t>chen der Maßnahme nicht zugeführt werden konnten.</w:t>
      </w:r>
    </w:p>
    <w:p w:rsidR="000E3A3D" w:rsidRDefault="000E3A3D" w:rsidP="000E3A3D">
      <w:pPr>
        <w:pStyle w:val="LTAntwortRessortText"/>
      </w:pPr>
      <w:r>
        <w:t>Die Möglichkeit der Inanspruchnahme von Rückkehrberatungen</w:t>
      </w:r>
      <w:r w:rsidR="00C076CB">
        <w:t xml:space="preserve"> steht ausreisepflichtigen Per</w:t>
      </w:r>
      <w:r>
        <w:t>sonen bereits zum frühestmöglichen Zeitpunkt, was regelmä</w:t>
      </w:r>
      <w:r w:rsidR="00C076CB">
        <w:t>ßig die Ablehnung ihres Asylan</w:t>
      </w:r>
      <w:r>
        <w:t>trags darstellt, in umfangreicher Art und Weise zur Verfügung. Insbesondere werden sie auf bestehende Möglichkeiten der Rückkehrförderung hingewiesen. Zur Frage, wie viele Personen tatsächlich eine Rückkehrberatung in Anspruch genommen haben</w:t>
      </w:r>
      <w:r w:rsidR="00C076CB">
        <w:t>, liegen keine statistisch aus</w:t>
      </w:r>
      <w:r>
        <w:t>wertbaren Daten vor.</w:t>
      </w:r>
    </w:p>
    <w:p w:rsidR="000E3A3D" w:rsidRDefault="000E3A3D" w:rsidP="000E3A3D">
      <w:pPr>
        <w:pStyle w:val="LTAntwortRessortText"/>
      </w:pPr>
    </w:p>
    <w:tbl>
      <w:tblPr>
        <w:tblStyle w:val="TableNormal"/>
        <w:tblW w:w="0" w:type="auto"/>
        <w:tblInd w:w="432" w:type="dxa"/>
        <w:tblLayout w:type="fixed"/>
        <w:tblLook w:val="01E0" w:firstRow="1" w:lastRow="1" w:firstColumn="1" w:lastColumn="1" w:noHBand="0" w:noVBand="0"/>
      </w:tblPr>
      <w:tblGrid>
        <w:gridCol w:w="1397"/>
        <w:gridCol w:w="1863"/>
      </w:tblGrid>
      <w:tr w:rsidR="003B7C6A" w:rsidRPr="003B7C6A" w:rsidTr="003B7C6A">
        <w:trPr>
          <w:trHeight w:hRule="exact" w:val="706"/>
        </w:trPr>
        <w:tc>
          <w:tcPr>
            <w:tcW w:w="1397" w:type="dxa"/>
            <w:tcBorders>
              <w:top w:val="single" w:sz="5" w:space="0" w:color="000000"/>
              <w:left w:val="single" w:sz="5" w:space="0" w:color="000000"/>
              <w:bottom w:val="single" w:sz="5" w:space="0" w:color="000000"/>
              <w:right w:val="single" w:sz="5" w:space="0" w:color="000000"/>
            </w:tcBorders>
            <w:vAlign w:val="center"/>
          </w:tcPr>
          <w:p w:rsidR="003B7C6A" w:rsidRPr="003B7C6A" w:rsidRDefault="003B7C6A" w:rsidP="003B7C6A">
            <w:pPr>
              <w:pStyle w:val="TableParagraph"/>
              <w:spacing w:line="227" w:lineRule="exact"/>
              <w:ind w:left="63"/>
              <w:rPr>
                <w:rFonts w:ascii="Times New Roman" w:eastAsia="Times New Roman" w:hAnsi="Times New Roman" w:cs="Times New Roman"/>
                <w:sz w:val="20"/>
                <w:szCs w:val="20"/>
              </w:rPr>
            </w:pPr>
            <w:r w:rsidRPr="003B7C6A">
              <w:rPr>
                <w:rFonts w:ascii="Times New Roman"/>
                <w:b/>
                <w:spacing w:val="-1"/>
                <w:sz w:val="20"/>
                <w:szCs w:val="20"/>
              </w:rPr>
              <w:t>Geburtsdatum</w:t>
            </w:r>
          </w:p>
        </w:tc>
        <w:tc>
          <w:tcPr>
            <w:tcW w:w="1863" w:type="dxa"/>
            <w:tcBorders>
              <w:top w:val="single" w:sz="5" w:space="0" w:color="000000"/>
              <w:left w:val="single" w:sz="5" w:space="0" w:color="000000"/>
              <w:bottom w:val="single" w:sz="5" w:space="0" w:color="000000"/>
              <w:right w:val="single" w:sz="5" w:space="0" w:color="000000"/>
            </w:tcBorders>
            <w:vAlign w:val="center"/>
          </w:tcPr>
          <w:p w:rsidR="003B7C6A" w:rsidRPr="003B7C6A" w:rsidRDefault="003B7C6A" w:rsidP="003B7C6A">
            <w:pPr>
              <w:pStyle w:val="TableParagraph"/>
              <w:ind w:left="123" w:right="126" w:hanging="1"/>
              <w:rPr>
                <w:rFonts w:ascii="Times New Roman" w:eastAsia="Times New Roman" w:hAnsi="Times New Roman" w:cs="Times New Roman"/>
                <w:sz w:val="20"/>
                <w:szCs w:val="20"/>
              </w:rPr>
            </w:pPr>
            <w:r w:rsidRPr="003B7C6A">
              <w:rPr>
                <w:rFonts w:ascii="Times New Roman"/>
                <w:b/>
                <w:spacing w:val="-1"/>
                <w:sz w:val="20"/>
                <w:szCs w:val="20"/>
              </w:rPr>
              <w:t>Aufenthalt</w:t>
            </w:r>
            <w:r w:rsidRPr="003B7C6A">
              <w:rPr>
                <w:rFonts w:ascii="Times New Roman"/>
                <w:b/>
                <w:spacing w:val="27"/>
                <w:w w:val="99"/>
                <w:sz w:val="20"/>
                <w:szCs w:val="20"/>
              </w:rPr>
              <w:t xml:space="preserve"> </w:t>
            </w:r>
            <w:r w:rsidRPr="003B7C6A">
              <w:rPr>
                <w:rFonts w:ascii="Times New Roman"/>
                <w:b/>
                <w:sz w:val="20"/>
                <w:szCs w:val="20"/>
              </w:rPr>
              <w:t>in</w:t>
            </w:r>
            <w:r w:rsidRPr="003B7C6A">
              <w:rPr>
                <w:rFonts w:ascii="Times New Roman"/>
                <w:b/>
                <w:spacing w:val="-11"/>
                <w:sz w:val="20"/>
                <w:szCs w:val="20"/>
              </w:rPr>
              <w:t xml:space="preserve"> </w:t>
            </w:r>
            <w:r>
              <w:rPr>
                <w:rFonts w:ascii="Times New Roman"/>
                <w:b/>
                <w:spacing w:val="-1"/>
                <w:sz w:val="20"/>
                <w:szCs w:val="20"/>
              </w:rPr>
              <w:t>Deutsch</w:t>
            </w:r>
            <w:r w:rsidRPr="003B7C6A">
              <w:rPr>
                <w:rFonts w:ascii="Times New Roman"/>
                <w:b/>
                <w:spacing w:val="-1"/>
                <w:sz w:val="20"/>
                <w:szCs w:val="20"/>
              </w:rPr>
              <w:t>land</w:t>
            </w:r>
            <w:r w:rsidRPr="003B7C6A">
              <w:rPr>
                <w:rFonts w:ascii="Times New Roman"/>
                <w:b/>
                <w:spacing w:val="-8"/>
                <w:sz w:val="20"/>
                <w:szCs w:val="20"/>
              </w:rPr>
              <w:t xml:space="preserve"> </w:t>
            </w:r>
            <w:r w:rsidRPr="003B7C6A">
              <w:rPr>
                <w:rFonts w:ascii="Times New Roman"/>
                <w:b/>
                <w:spacing w:val="-1"/>
                <w:sz w:val="20"/>
                <w:szCs w:val="20"/>
              </w:rPr>
              <w:t>seit</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01.01.1983</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24.01.2016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01.01.1984</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01.06.2012</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05.04.1985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08.08.2011</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01.01.1986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01.09.2011</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05.04.1986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20.06.2011</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8" w:lineRule="exact"/>
              <w:ind w:left="241"/>
              <w:rPr>
                <w:rFonts w:ascii="Times New Roman" w:eastAsia="Times New Roman" w:hAnsi="Times New Roman" w:cs="Times New Roman"/>
                <w:sz w:val="20"/>
                <w:szCs w:val="20"/>
              </w:rPr>
            </w:pPr>
            <w:r w:rsidRPr="003B7C6A">
              <w:rPr>
                <w:rFonts w:ascii="Times New Roman"/>
                <w:sz w:val="20"/>
                <w:szCs w:val="20"/>
              </w:rPr>
              <w:t>28.08.1986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8" w:lineRule="exact"/>
              <w:ind w:left="75"/>
              <w:rPr>
                <w:rFonts w:ascii="Times New Roman" w:eastAsia="Times New Roman" w:hAnsi="Times New Roman" w:cs="Times New Roman"/>
                <w:sz w:val="20"/>
                <w:szCs w:val="20"/>
              </w:rPr>
            </w:pPr>
            <w:r w:rsidRPr="003B7C6A">
              <w:rPr>
                <w:rFonts w:ascii="Times New Roman"/>
                <w:sz w:val="20"/>
                <w:szCs w:val="20"/>
              </w:rPr>
              <w:t>23.08.2015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01.01.1988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23.11.2013</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01.01.1990</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09.01.2015</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01.01.1991</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09.09.2015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lastRenderedPageBreak/>
              <w:t>06.04.1992</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15.03.2010</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07.10.1992</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18.04.2015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05.03.1993</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28.06.2011</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15.06.1993</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10.07.2015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21.09.1993</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06.05.2010</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23.10.1993</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15.02.2016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01.01.1994</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12.01.2015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01.01.1994</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18.08.2015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31.12.1994</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15.11.2013</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26.09.2011</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14.02.2012</w:t>
            </w:r>
          </w:p>
        </w:tc>
      </w:tr>
    </w:tbl>
    <w:tbl>
      <w:tblPr>
        <w:tblStyle w:val="TableNormal1"/>
        <w:tblW w:w="0" w:type="auto"/>
        <w:tblInd w:w="432" w:type="dxa"/>
        <w:tblLayout w:type="fixed"/>
        <w:tblLook w:val="01E0" w:firstRow="1" w:lastRow="1" w:firstColumn="1" w:lastColumn="1" w:noHBand="0" w:noVBand="0"/>
      </w:tblPr>
      <w:tblGrid>
        <w:gridCol w:w="1397"/>
        <w:gridCol w:w="1863"/>
      </w:tblGrid>
      <w:tr w:rsidR="003B7C6A" w:rsidRPr="003B7C6A" w:rsidTr="003B7C6A">
        <w:trPr>
          <w:trHeight w:hRule="exact" w:val="287"/>
        </w:trPr>
        <w:tc>
          <w:tcPr>
            <w:tcW w:w="1397" w:type="dxa"/>
            <w:tcBorders>
              <w:top w:val="nil"/>
              <w:left w:val="single" w:sz="5" w:space="0" w:color="000000"/>
              <w:bottom w:val="single" w:sz="5" w:space="0" w:color="000000"/>
              <w:right w:val="single" w:sz="5" w:space="0" w:color="000000"/>
            </w:tcBorders>
          </w:tcPr>
          <w:p w:rsidR="003B7C6A" w:rsidRPr="003B7C6A" w:rsidRDefault="003B7C6A" w:rsidP="00852225">
            <w:pPr>
              <w:pStyle w:val="TableParagraph"/>
              <w:spacing w:line="268" w:lineRule="exact"/>
              <w:ind w:left="241"/>
              <w:rPr>
                <w:rFonts w:ascii="Times New Roman" w:eastAsia="Times New Roman" w:hAnsi="Times New Roman" w:cs="Times New Roman"/>
                <w:sz w:val="20"/>
                <w:szCs w:val="20"/>
              </w:rPr>
            </w:pPr>
            <w:r w:rsidRPr="003B7C6A">
              <w:rPr>
                <w:rFonts w:ascii="Times New Roman"/>
                <w:sz w:val="20"/>
                <w:szCs w:val="20"/>
              </w:rPr>
              <w:t>01.01.1995</w:t>
            </w:r>
          </w:p>
        </w:tc>
        <w:tc>
          <w:tcPr>
            <w:tcW w:w="1863" w:type="dxa"/>
            <w:tcBorders>
              <w:top w:val="nil"/>
              <w:left w:val="single" w:sz="5" w:space="0" w:color="000000"/>
              <w:bottom w:val="single" w:sz="5" w:space="0" w:color="000000"/>
              <w:right w:val="single" w:sz="5" w:space="0" w:color="000000"/>
            </w:tcBorders>
          </w:tcPr>
          <w:p w:rsidR="003B7C6A" w:rsidRPr="003B7C6A" w:rsidRDefault="003B7C6A" w:rsidP="00852225">
            <w:pPr>
              <w:pStyle w:val="TableParagraph"/>
              <w:spacing w:line="268" w:lineRule="exact"/>
              <w:ind w:left="75"/>
              <w:rPr>
                <w:rFonts w:ascii="Times New Roman" w:eastAsia="Times New Roman" w:hAnsi="Times New Roman" w:cs="Times New Roman"/>
                <w:sz w:val="20"/>
                <w:szCs w:val="20"/>
              </w:rPr>
            </w:pPr>
            <w:r w:rsidRPr="003B7C6A">
              <w:rPr>
                <w:rFonts w:ascii="Times New Roman"/>
                <w:sz w:val="20"/>
                <w:szCs w:val="20"/>
              </w:rPr>
              <w:t>17.06.2013</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19.01.1995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08.01.2016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12.06.1995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01.07.2015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01.07.1995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22.06.2015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09.07.1995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08.07.2015</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05.09.1995</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03.01.2013</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12.12.2015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29.01.2014</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10.01.2013</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21.03.1996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27.11.2015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03.05.1996</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19.01.2016</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01.01.1997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07.09.2015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10.07.2015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8" w:lineRule="exact"/>
              <w:ind w:left="241"/>
              <w:rPr>
                <w:rFonts w:ascii="Times New Roman" w:eastAsia="Times New Roman" w:hAnsi="Times New Roman" w:cs="Times New Roman"/>
                <w:sz w:val="20"/>
                <w:szCs w:val="20"/>
              </w:rPr>
            </w:pPr>
            <w:r w:rsidRPr="003B7C6A">
              <w:rPr>
                <w:rFonts w:ascii="Times New Roman"/>
                <w:sz w:val="20"/>
                <w:szCs w:val="20"/>
              </w:rPr>
              <w:t>01.01.1997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8" w:lineRule="exact"/>
              <w:ind w:left="75"/>
              <w:rPr>
                <w:rFonts w:ascii="Times New Roman" w:eastAsia="Times New Roman" w:hAnsi="Times New Roman" w:cs="Times New Roman"/>
                <w:sz w:val="20"/>
                <w:szCs w:val="20"/>
              </w:rPr>
            </w:pPr>
            <w:r w:rsidRPr="003B7C6A">
              <w:rPr>
                <w:rFonts w:ascii="Times New Roman"/>
                <w:sz w:val="20"/>
                <w:szCs w:val="20"/>
              </w:rPr>
              <w:t>05.11.2015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21.03.1997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09.10.2015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03.04.1997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03.08.2015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12.04.1997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24.10.2014</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08.07.1997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24.03.2016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21.08.1997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23.10.2015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31.12.1997</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10.08.2015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12.01.2016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14.08.2015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29.11.2015</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01.01.1998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25.01.2016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06.01.1998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08.01.2016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13.03.1998</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13.10.2015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01.01.1999</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08.12.2015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01.01.1999</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23.02.2016</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02.01.1999</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08.07.2015</w:t>
            </w:r>
          </w:p>
        </w:tc>
      </w:tr>
      <w:tr w:rsidR="003B7C6A" w:rsidRPr="003B7C6A" w:rsidTr="003B7C6A">
        <w:trPr>
          <w:trHeight w:hRule="exact" w:val="288"/>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241"/>
              <w:rPr>
                <w:rFonts w:ascii="Times New Roman" w:eastAsia="Times New Roman" w:hAnsi="Times New Roman" w:cs="Times New Roman"/>
                <w:sz w:val="20"/>
                <w:szCs w:val="20"/>
              </w:rPr>
            </w:pPr>
            <w:r w:rsidRPr="003B7C6A">
              <w:rPr>
                <w:rFonts w:ascii="Times New Roman"/>
                <w:sz w:val="20"/>
                <w:szCs w:val="20"/>
              </w:rPr>
              <w:t>05.02.1999</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9" w:lineRule="exact"/>
              <w:ind w:left="75"/>
              <w:rPr>
                <w:rFonts w:ascii="Times New Roman" w:eastAsia="Times New Roman" w:hAnsi="Times New Roman" w:cs="Times New Roman"/>
                <w:sz w:val="20"/>
                <w:szCs w:val="20"/>
              </w:rPr>
            </w:pPr>
            <w:r w:rsidRPr="003B7C6A">
              <w:rPr>
                <w:rFonts w:ascii="Times New Roman"/>
                <w:sz w:val="20"/>
                <w:szCs w:val="20"/>
              </w:rPr>
              <w:t>21.09.2015</w:t>
            </w:r>
          </w:p>
        </w:tc>
      </w:tr>
      <w:tr w:rsidR="003B7C6A" w:rsidRPr="003B7C6A" w:rsidTr="003B7C6A">
        <w:trPr>
          <w:trHeight w:hRule="exact" w:val="286"/>
        </w:trPr>
        <w:tc>
          <w:tcPr>
            <w:tcW w:w="1397"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241"/>
              <w:rPr>
                <w:rFonts w:ascii="Times New Roman" w:eastAsia="Times New Roman" w:hAnsi="Times New Roman" w:cs="Times New Roman"/>
                <w:sz w:val="20"/>
                <w:szCs w:val="20"/>
              </w:rPr>
            </w:pPr>
            <w:r w:rsidRPr="003B7C6A">
              <w:rPr>
                <w:rFonts w:ascii="Times New Roman"/>
                <w:sz w:val="20"/>
                <w:szCs w:val="20"/>
              </w:rPr>
              <w:t>09.09.1999</w:t>
            </w:r>
          </w:p>
        </w:tc>
        <w:tc>
          <w:tcPr>
            <w:tcW w:w="1863" w:type="dxa"/>
            <w:tcBorders>
              <w:top w:val="single" w:sz="5" w:space="0" w:color="000000"/>
              <w:left w:val="single" w:sz="5" w:space="0" w:color="000000"/>
              <w:bottom w:val="single" w:sz="5" w:space="0" w:color="000000"/>
              <w:right w:val="single" w:sz="5" w:space="0" w:color="000000"/>
            </w:tcBorders>
          </w:tcPr>
          <w:p w:rsidR="003B7C6A" w:rsidRPr="003B7C6A" w:rsidRDefault="003B7C6A" w:rsidP="00852225">
            <w:pPr>
              <w:pStyle w:val="TableParagraph"/>
              <w:spacing w:line="267" w:lineRule="exact"/>
              <w:ind w:left="75"/>
              <w:rPr>
                <w:rFonts w:ascii="Times New Roman" w:eastAsia="Times New Roman" w:hAnsi="Times New Roman" w:cs="Times New Roman"/>
                <w:sz w:val="20"/>
                <w:szCs w:val="20"/>
              </w:rPr>
            </w:pPr>
            <w:r w:rsidRPr="003B7C6A">
              <w:rPr>
                <w:rFonts w:ascii="Times New Roman"/>
                <w:sz w:val="20"/>
                <w:szCs w:val="20"/>
              </w:rPr>
              <w:t>24.03.2015</w:t>
            </w:r>
          </w:p>
        </w:tc>
      </w:tr>
    </w:tbl>
    <w:p w:rsidR="000E3A3D" w:rsidRDefault="000E3A3D"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Harry</w:t>
            </w:r>
            <w:r w:rsidRPr="000E3A3D">
              <w:rPr>
                <w:b/>
              </w:rPr>
              <w:br/>
              <w:t>Scheuenstuhl</w:t>
            </w:r>
            <w:r w:rsidRPr="000E3A3D">
              <w:rPr>
                <w:b/>
              </w:rPr>
              <w:br/>
            </w:r>
            <w:r w:rsidRPr="000E3A3D">
              <w:t>(SPD)</w:t>
            </w:r>
            <w:r>
              <w:fldChar w:fldCharType="begin"/>
            </w:r>
            <w:r>
              <w:instrText xml:space="preserve"> TC </w:instrText>
            </w:r>
            <w:r w:rsidR="00423B2A">
              <w:instrText>„</w:instrText>
            </w:r>
            <w:bookmarkStart w:id="17" w:name="_Toc519153203"/>
            <w:r>
              <w:instrText>Scheuenstuhl, Harry (SPD)</w:instrText>
            </w:r>
            <w:r>
              <w:br/>
              <w:instrText>Einsichts- oder Auskunftsrecht von Bürgerinnen und Bürgern</w:instrText>
            </w:r>
            <w:bookmarkEnd w:id="1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welche Unterschiede bestehen zwischen dem Auskunftsrecht nach </w:t>
            </w:r>
            <w:r w:rsidR="00EE40C6">
              <w:t xml:space="preserve">Art. 39 </w:t>
            </w:r>
            <w:r>
              <w:t>Bayerisches Datenschutzgesetz (BayDSG)</w:t>
            </w:r>
            <w:r w:rsidR="00423B2A">
              <w:t xml:space="preserve"> </w:t>
            </w:r>
            <w:r>
              <w:t>und dem Einsichtsrecht nach Art. 54 Abs. 3 S. 2 Gemeindeordnung (GO)</w:t>
            </w:r>
            <w:r w:rsidR="00423B2A">
              <w:t xml:space="preserve"> </w:t>
            </w:r>
            <w:r>
              <w:t>und erscheint es verfassungsrechtlich geboten, das Einsichtsrecht der Gemeindebürger den Bestimmungen des Art. 39 BayDSG, insbesondere im Hinblick auf die Gewährung von Abschriften, Kopien usw.,</w:t>
            </w:r>
            <w:r w:rsidR="00423B2A">
              <w:t xml:space="preserve"> </w:t>
            </w:r>
            <w:r>
              <w:t>anzugleichen</w:t>
            </w:r>
            <w:r w:rsidR="00423B2A">
              <w:t xml:space="preserve"> </w:t>
            </w:r>
            <w:r>
              <w:t>bzw. welche Gründe sprechen für eine von der Staatsregierung nicht gebotene Gleichbehandlung, nachdem</w:t>
            </w:r>
            <w:r w:rsidR="00423B2A">
              <w:t xml:space="preserve"> </w:t>
            </w:r>
            <w:r>
              <w:t>Art. 39 BayDSG ein allgemeines Auskunftsrecht</w:t>
            </w:r>
            <w:r w:rsidR="00423B2A">
              <w:t xml:space="preserve"> </w:t>
            </w:r>
            <w:r>
              <w:t>mit dem</w:t>
            </w:r>
            <w:r w:rsidR="00423B2A">
              <w:t xml:space="preserve"> </w:t>
            </w:r>
            <w:r>
              <w:t>Recht bzw. der Verpflichtung, Abschriften (möglich auch in Form von Kopien und Fotografien usw.) zu fertigen bzw. zu erteilen gewährt, wohingegen das Recht der Gemeindebürger gem. Art. 54 Abs. 3 S. 2 GO ausschließlich auf die Einsichtnahme, ohne Anspruch auf Abschriften, Kopien usw., beschränkt ist</w:t>
            </w:r>
            <w:r w:rsidR="00423B2A">
              <w:t xml:space="preserve"> </w:t>
            </w:r>
            <w:r>
              <w:t>sowie</w:t>
            </w:r>
            <w:r w:rsidR="00423B2A">
              <w:t xml:space="preserve"> </w:t>
            </w:r>
            <w:r>
              <w:t>das Einsichtsrecht der Gemeindebürger in Niederschriften öffentlicher Gemeinderatssitzungen früherer Wahlperioden</w:t>
            </w:r>
            <w:r w:rsidR="00423B2A">
              <w:t xml:space="preserve"> </w:t>
            </w:r>
            <w:r>
              <w:t>nur unter Glaubhaftmachung besonderer Gründe möglich</w:t>
            </w:r>
            <w:r w:rsidR="00423B2A">
              <w:t xml:space="preserve"> </w:t>
            </w:r>
            <w:r>
              <w:t>ist und</w:t>
            </w:r>
            <w:r w:rsidR="00423B2A">
              <w:t xml:space="preserve"> </w:t>
            </w:r>
            <w:r>
              <w:t>diese Einschränkung</w:t>
            </w:r>
            <w:r w:rsidR="00423B2A">
              <w:t xml:space="preserve"> </w:t>
            </w:r>
            <w:r>
              <w:t>Art. 39 BayDSG nicht kennt?</w:t>
            </w:r>
          </w:p>
          <w:p w:rsidR="000E3A3D" w:rsidRDefault="000E3A3D" w:rsidP="000E3A3D">
            <w:pPr>
              <w:pStyle w:val="LTAnfrageText"/>
            </w:pPr>
          </w:p>
        </w:tc>
      </w:tr>
    </w:tbl>
    <w:p w:rsidR="000E3A3D" w:rsidRDefault="000E3A3D" w:rsidP="007A70E2">
      <w:pPr>
        <w:pStyle w:val="LTUeberschrAntwortRessort"/>
        <w:spacing w:before="840"/>
      </w:pPr>
      <w:r>
        <w:t>Antwort des Staatsministeriums des Innern und für Integration</w:t>
      </w:r>
    </w:p>
    <w:p w:rsidR="000E3A3D" w:rsidRPr="00EE40C6" w:rsidRDefault="000E3A3D" w:rsidP="000E3A3D">
      <w:pPr>
        <w:pStyle w:val="LTAntwortRessortText"/>
        <w:rPr>
          <w:u w:val="single"/>
        </w:rPr>
      </w:pPr>
      <w:r w:rsidRPr="00EE40C6">
        <w:rPr>
          <w:u w:val="single"/>
        </w:rPr>
        <w:t>Vorbemerkung: Das Verhältnis der Regelungen des Art. 5</w:t>
      </w:r>
      <w:r w:rsidR="00EE40C6" w:rsidRPr="00EE40C6">
        <w:rPr>
          <w:u w:val="single"/>
        </w:rPr>
        <w:t xml:space="preserve">4 Abs. 3 Satz 2 </w:t>
      </w:r>
      <w:r w:rsidR="00EE40C6">
        <w:rPr>
          <w:u w:val="single"/>
        </w:rPr>
        <w:t>Gemeindeordnung (</w:t>
      </w:r>
      <w:r w:rsidR="00EE40C6" w:rsidRPr="00EE40C6">
        <w:rPr>
          <w:u w:val="single"/>
        </w:rPr>
        <w:t>GO</w:t>
      </w:r>
      <w:r w:rsidR="00EE40C6">
        <w:rPr>
          <w:u w:val="single"/>
        </w:rPr>
        <w:t>)</w:t>
      </w:r>
      <w:r w:rsidR="00EE40C6" w:rsidRPr="00EE40C6">
        <w:rPr>
          <w:u w:val="single"/>
        </w:rPr>
        <w:t xml:space="preserve"> und Art. 39 </w:t>
      </w:r>
      <w:r w:rsidR="00852225" w:rsidRPr="00852225">
        <w:rPr>
          <w:u w:val="single"/>
        </w:rPr>
        <w:t xml:space="preserve">Bayerisches Datenschutzgesetz </w:t>
      </w:r>
      <w:r w:rsidR="00852225">
        <w:rPr>
          <w:u w:val="single"/>
        </w:rPr>
        <w:t>(</w:t>
      </w:r>
      <w:r w:rsidRPr="00EE40C6">
        <w:rPr>
          <w:u w:val="single"/>
        </w:rPr>
        <w:t>BayDSG</w:t>
      </w:r>
      <w:r w:rsidR="00852225">
        <w:rPr>
          <w:u w:val="single"/>
        </w:rPr>
        <w:t>)</w:t>
      </w:r>
      <w:r w:rsidRPr="00EE40C6">
        <w:rPr>
          <w:u w:val="single"/>
        </w:rPr>
        <w:t xml:space="preserve"> zueinander</w:t>
      </w:r>
      <w:r w:rsidR="00EE40C6">
        <w:rPr>
          <w:u w:val="single"/>
        </w:rPr>
        <w:t>:</w:t>
      </w:r>
    </w:p>
    <w:p w:rsidR="000E3A3D" w:rsidRDefault="000E3A3D" w:rsidP="00EE40C6">
      <w:pPr>
        <w:pStyle w:val="LTAntwortRessortText"/>
        <w:spacing w:before="120"/>
      </w:pPr>
      <w:r>
        <w:t>Die kommunalrechtliche Regelung des Art. 54 Abs. 3 Satz 2 GO ist in Bezug auf den von ihr erfassten Sachbereich (Zugang zu den Niederschrifte</w:t>
      </w:r>
      <w:r w:rsidR="00EE40C6">
        <w:t>n öffentlicher Gemeinderatssit</w:t>
      </w:r>
      <w:r>
        <w:t>zungen) abschließend und versperrt den Rückgriff auf das subsidiäre, allgemeine Recht auf Auskunft nach Art. 39 BayDSG (vgl. Art. 39 Abs. 2 BayDSG).</w:t>
      </w:r>
    </w:p>
    <w:p w:rsidR="000E3A3D" w:rsidRPr="00EE40C6" w:rsidRDefault="00EE40C6" w:rsidP="000E3A3D">
      <w:pPr>
        <w:pStyle w:val="LTAntwortRessortText"/>
        <w:rPr>
          <w:u w:val="single"/>
        </w:rPr>
      </w:pPr>
      <w:r w:rsidRPr="00EE40C6">
        <w:rPr>
          <w:u w:val="single"/>
        </w:rPr>
        <w:t>Zur ersten Teilfrage:</w:t>
      </w:r>
    </w:p>
    <w:p w:rsidR="000E3A3D" w:rsidRDefault="000E3A3D" w:rsidP="00EE40C6">
      <w:pPr>
        <w:pStyle w:val="LTAntwortRessortText"/>
        <w:spacing w:before="120"/>
      </w:pPr>
      <w:r>
        <w:t>Die Regelungen des Art. 54 Abs. 3 Satz 2 GO und des Ar</w:t>
      </w:r>
      <w:r w:rsidR="00EE40C6">
        <w:t>t. 39 BayDSG enthalten in mehr</w:t>
      </w:r>
      <w:r>
        <w:t>facher Hinsicht unterschiedlich ausgestaltete Informationszugangsrechte:</w:t>
      </w:r>
    </w:p>
    <w:p w:rsidR="000E3A3D" w:rsidRDefault="000E3A3D" w:rsidP="00EE40C6">
      <w:pPr>
        <w:pStyle w:val="LTAntwortRessortText"/>
        <w:spacing w:before="120"/>
      </w:pPr>
      <w:r>
        <w:t>Während Art. 39 BayDSG ein sog. Jedermannsrecht auf Auskunft begründet, steht das Einsichtsrecht nach Art. 54 Abs. 3 Satz 2 GO nur Gemeindebürgern (oder Forensen, vgl. Satz 2 Halbsatz 2) zu.</w:t>
      </w:r>
    </w:p>
    <w:p w:rsidR="000E3A3D" w:rsidRDefault="000E3A3D" w:rsidP="000E3A3D">
      <w:pPr>
        <w:pStyle w:val="LTAntwortRessortText"/>
      </w:pPr>
      <w:r>
        <w:t>Anders als das Recht nach Art. 39 BayDSG ist das Recht nach Art. 54 Abs. 3 Satz 2 GO aber sonst voraussetzungslos ausgestaltet, d.h. es ist nicht abhängig von de</w:t>
      </w:r>
      <w:r w:rsidR="00852225">
        <w:t>r Geltendma</w:t>
      </w:r>
      <w:r>
        <w:t>chung eines berechtigten Interesses und führt als Rechtsfo</w:t>
      </w:r>
      <w:r w:rsidR="00852225">
        <w:t>lge ausschließlich zu einem An</w:t>
      </w:r>
      <w:r>
        <w:t>spruch auf Einsicht in die Niederschrift.</w:t>
      </w:r>
    </w:p>
    <w:p w:rsidR="000E3A3D" w:rsidRDefault="000E3A3D" w:rsidP="00852225">
      <w:pPr>
        <w:pStyle w:val="LTAntwortRessortText"/>
      </w:pPr>
      <w:r>
        <w:t>Art. 39 Abs. 1 BayDSG verlangt hingegen die glaubhafte Darlegung eines berechtigten, nicht auf eine entgeltliche Weiterverwendung gericht</w:t>
      </w:r>
      <w:r w:rsidR="00852225">
        <w:t>eten Interesses. Sind diese an</w:t>
      </w:r>
      <w:r>
        <w:t>spruchsbegründenden Voraussetzungen erfüllt, eröffnet</w:t>
      </w:r>
      <w:r w:rsidR="00852225">
        <w:t xml:space="preserve"> Art. 39 BayDSG ein mit dem Be</w:t>
      </w:r>
      <w:r>
        <w:t xml:space="preserve">griff der </w:t>
      </w:r>
      <w:r w:rsidR="00423B2A">
        <w:t>„</w:t>
      </w:r>
      <w:r>
        <w:t>Auskunft</w:t>
      </w:r>
      <w:r w:rsidR="00423B2A">
        <w:t>“</w:t>
      </w:r>
      <w:r>
        <w:t xml:space="preserve"> weit gefasstes Recht auf Informat</w:t>
      </w:r>
      <w:r w:rsidR="00852225">
        <w:t>ionszugang. Der Informationszu</w:t>
      </w:r>
      <w:r>
        <w:t xml:space="preserve">gang im Wege einer </w:t>
      </w:r>
      <w:r w:rsidR="00423B2A">
        <w:t>„</w:t>
      </w:r>
      <w:r>
        <w:t>Auskunft</w:t>
      </w:r>
      <w:r w:rsidR="00423B2A">
        <w:t>“</w:t>
      </w:r>
      <w:r>
        <w:t xml:space="preserve"> wird in der Rechtsprechung und Literatur als Überbegriff verstanden, der auch die Akteneinsicht oder eine an</w:t>
      </w:r>
      <w:r>
        <w:lastRenderedPageBreak/>
        <w:t xml:space="preserve">dere Art des Informationszugangs, z.B. die Erteilung einer Kopie, mitumfasst und die konkrete </w:t>
      </w:r>
      <w:r w:rsidR="00852225">
        <w:t>Art und Weise der Informations</w:t>
      </w:r>
      <w:r>
        <w:t>gewährung zunächst in das Ermessen der in Anspruch ge</w:t>
      </w:r>
      <w:r w:rsidR="00852225">
        <w:t>nommenen Behörde stellt (so be</w:t>
      </w:r>
      <w:r>
        <w:t xml:space="preserve">reits </w:t>
      </w:r>
      <w:r w:rsidR="00852225" w:rsidRPr="00852225">
        <w:t xml:space="preserve">Verwaltungsgerichtshof Baden-Württemberg </w:t>
      </w:r>
      <w:r w:rsidR="00852225">
        <w:t xml:space="preserve">– </w:t>
      </w:r>
      <w:r>
        <w:t>VGH BW, Urteil vom 28.</w:t>
      </w:r>
      <w:r w:rsidR="00852225">
        <w:t> </w:t>
      </w:r>
      <w:r>
        <w:t xml:space="preserve">Mai 1974, DVBl 1974, 817 [818]). Der Gesetzgeber hat hierzu auf starre Vorgaben verzichtet und die Lösung dafür </w:t>
      </w:r>
      <w:r w:rsidR="00852225">
        <w:t>dem Antragsteller, der sein In</w:t>
      </w:r>
      <w:r>
        <w:t>formationsinteresse z.</w:t>
      </w:r>
      <w:r w:rsidR="00852225">
        <w:t> B. als Antrag auf eine Ko</w:t>
      </w:r>
      <w:r>
        <w:t>pie konkreti</w:t>
      </w:r>
      <w:r w:rsidR="00852225">
        <w:t>sieren kann und der Einzelfall</w:t>
      </w:r>
      <w:r>
        <w:t>prüfung der verantwortlichen Behörde überlassen, damit alle hierbei relevanten Belange fehl</w:t>
      </w:r>
      <w:r w:rsidR="00852225">
        <w:t>erfrei abgewogen werden können.</w:t>
      </w:r>
    </w:p>
    <w:p w:rsidR="000E3A3D" w:rsidRPr="00852225" w:rsidRDefault="00852225" w:rsidP="000E3A3D">
      <w:pPr>
        <w:pStyle w:val="LTAntwortRessortText"/>
        <w:rPr>
          <w:u w:val="single"/>
        </w:rPr>
      </w:pPr>
      <w:r w:rsidRPr="00852225">
        <w:rPr>
          <w:u w:val="single"/>
        </w:rPr>
        <w:t>Zur zweiten Teilfrage:</w:t>
      </w:r>
    </w:p>
    <w:p w:rsidR="000E3A3D" w:rsidRDefault="000E3A3D" w:rsidP="00852225">
      <w:pPr>
        <w:pStyle w:val="LTAntwortRessortText"/>
        <w:spacing w:before="120"/>
      </w:pPr>
      <w:r>
        <w:t>Die Frage</w:t>
      </w:r>
      <w:r w:rsidR="00852225">
        <w:t>stellung liegt die Prämisse zug</w:t>
      </w:r>
      <w:r>
        <w:t xml:space="preserve">runde, dass sich das Recht nach Art. 54 Abs. 3 Satz 2 GO und jenes nach Art. 39 BayDSG in Bezug auf die </w:t>
      </w:r>
      <w:r w:rsidR="00423B2A">
        <w:t>„</w:t>
      </w:r>
      <w:r w:rsidR="00852225">
        <w:t>Gewährung von Abschrif</w:t>
      </w:r>
      <w:r>
        <w:t>ten, Kopien usw.</w:t>
      </w:r>
      <w:r w:rsidR="00423B2A">
        <w:t>“</w:t>
      </w:r>
      <w:r>
        <w:t xml:space="preserve"> voneinander unterscheiden. Dies ist im Ergebnis jedoch nicht der Fall:</w:t>
      </w:r>
    </w:p>
    <w:p w:rsidR="000E3A3D" w:rsidRDefault="000E3A3D" w:rsidP="00852225">
      <w:pPr>
        <w:pStyle w:val="LTAntwortRessortText"/>
        <w:spacing w:before="120"/>
      </w:pPr>
      <w:r>
        <w:t>Zwar gelangt man bei rein formaler Betrachtung zu ein</w:t>
      </w:r>
      <w:r w:rsidR="00852225">
        <w:t>em Unterschied der beiden Rege</w:t>
      </w:r>
      <w:r>
        <w:t>lungen. Art.</w:t>
      </w:r>
      <w:r w:rsidR="00852225">
        <w:t> </w:t>
      </w:r>
      <w:r>
        <w:t>39 BayDSG liegt der (weite) datenschutzrechtliche Auskunftsbegriff</w:t>
      </w:r>
      <w:r w:rsidR="00852225">
        <w:t xml:space="preserve"> </w:t>
      </w:r>
      <w:r>
        <w:t xml:space="preserve">zugrunde, der auch die Erteilung von Abschriften umfasst, während Art. 54 Abs. 3 Satz 2 GO seinem Wortlaut nach allein auf </w:t>
      </w:r>
      <w:r w:rsidR="00423B2A">
        <w:t>„</w:t>
      </w:r>
      <w:r>
        <w:t>Einsicht</w:t>
      </w:r>
      <w:r w:rsidR="00423B2A">
        <w:t>“</w:t>
      </w:r>
      <w:r>
        <w:t xml:space="preserve"> gerichtet ist, worunter die Erteilung von Abschriften nicht fällt.</w:t>
      </w:r>
    </w:p>
    <w:p w:rsidR="000E3A3D" w:rsidRDefault="000E3A3D" w:rsidP="000E3A3D">
      <w:pPr>
        <w:pStyle w:val="LTAntwortRessortText"/>
      </w:pPr>
      <w:r>
        <w:t xml:space="preserve">Art. 54 Abs. 3 GO schließt es indessen nicht aus, dass Gemeindebürger bei der Gemeinde die Erteilung einer Abschrift von der Niederschrift beantragen (vgl. </w:t>
      </w:r>
      <w:r w:rsidR="00852225">
        <w:rPr>
          <w:rStyle w:val="st"/>
        </w:rPr>
        <w:t>Bayerischer Verwaltungsgerichtshof</w:t>
      </w:r>
      <w:r w:rsidR="00852225">
        <w:t xml:space="preserve"> – </w:t>
      </w:r>
      <w:r>
        <w:t>BayVGH, Urteil vom</w:t>
      </w:r>
      <w:r w:rsidR="00852225">
        <w:t xml:space="preserve"> 4. </w:t>
      </w:r>
      <w:r>
        <w:t>März 2008, BeckRS 2009, 31911, v. a. Rdnr. 15; Urteil vom 26. März 2015, BeckRS 2015, 44297, v. a. Rdnr. 10). Die Prüfung dieses Antrags verpflichtet die Gemeinde nicht anders als im Fall eines allgemeinen, auf Erteilung einer K</w:t>
      </w:r>
      <w:r w:rsidR="00852225">
        <w:t>opie konkretisierten Auskunfts</w:t>
      </w:r>
      <w:r>
        <w:t xml:space="preserve">anspruchs nach Art. 39 BayDSG zu einer Ermessensentscheidung über die Erteilung der Kopie. Die Gemeinde hat dabei insbesondere das Interesse </w:t>
      </w:r>
      <w:r w:rsidR="00852225">
        <w:t xml:space="preserve">der Bürgerin und </w:t>
      </w:r>
      <w:r>
        <w:t xml:space="preserve">des Bürgers am Erhalt gerade einer Abschrift (über die bloße Einsichtnahme hinaus) dem bei Erstellung einer Abschrift anfallenden Verwaltungsaufwand sowie </w:t>
      </w:r>
      <w:r w:rsidR="00852225">
        <w:t>–</w:t>
      </w:r>
      <w:r>
        <w:t xml:space="preserve"> wie einer Prüfung nach Art. 39 BayDSG </w:t>
      </w:r>
      <w:r w:rsidR="00852225">
        <w:t>–</w:t>
      </w:r>
      <w:r>
        <w:t xml:space="preserve"> ggf. mit der besonderen Form der Informationsgewährung mö</w:t>
      </w:r>
      <w:r w:rsidR="00852225">
        <w:t>glicherweise verbundene sonsti</w:t>
      </w:r>
      <w:r>
        <w:t>ge Nachteile gegenüberzustellen.</w:t>
      </w:r>
    </w:p>
    <w:p w:rsidR="000E3A3D" w:rsidRDefault="000E3A3D" w:rsidP="000E3A3D">
      <w:pPr>
        <w:pStyle w:val="LTAntwortRessortText"/>
      </w:pPr>
      <w:r>
        <w:t xml:space="preserve">Vor diesem Hintergrund konkretisiert sich die Fragestellung bezogen auf die </w:t>
      </w:r>
      <w:r w:rsidR="00423B2A">
        <w:t>„</w:t>
      </w:r>
      <w:r>
        <w:t>Gewährung von Abschriften, Kopien usw.</w:t>
      </w:r>
      <w:r w:rsidR="00423B2A">
        <w:t>“</w:t>
      </w:r>
      <w:r>
        <w:t xml:space="preserve"> darauf, ob es zweckmäßig ist, die skizzierte materielle, durch die Rechtsprechung zu Art. 54 Abs. 3 Satz 2 GO vorgezeichnete Rechtslage im Rahmen des Art. 54 Abs. 3 Satz 2 GO explizit zu kodifi</w:t>
      </w:r>
      <w:r w:rsidR="00852225">
        <w:t>zieren. Hiergegen sprechen fol</w:t>
      </w:r>
      <w:r>
        <w:t>gende Argumente:</w:t>
      </w:r>
    </w:p>
    <w:p w:rsidR="000E3A3D" w:rsidRDefault="000E3A3D" w:rsidP="000E3A3D">
      <w:pPr>
        <w:pStyle w:val="LTAntwortRessortText"/>
      </w:pPr>
      <w:r>
        <w:t>Erstens ist die Erteilung von Abschriften auch im BayDSG, insbesondere in Art. 39 BayDSG ebenfalls nicht explizit kodifiziert, sondern erg</w:t>
      </w:r>
      <w:r w:rsidR="004D2633">
        <w:t>ibt sich aus allgemeinen daten</w:t>
      </w:r>
      <w:r>
        <w:t>schutzrechtlichen Grundsätzen und der Rechtsprechung</w:t>
      </w:r>
      <w:r w:rsidR="004D2633">
        <w:t xml:space="preserve"> und soll dadurch der Rechtsan</w:t>
      </w:r>
      <w:r>
        <w:t>wendung Flexibilität im Einzelfall belassen.</w:t>
      </w:r>
    </w:p>
    <w:p w:rsidR="000E3A3D" w:rsidRDefault="000E3A3D" w:rsidP="000E3A3D">
      <w:pPr>
        <w:pStyle w:val="LTAntwortRessortText"/>
      </w:pPr>
      <w:r>
        <w:t>Zweitens wäre selbst ein unter Ermessensvorbehalt stehendes ges</w:t>
      </w:r>
      <w:r w:rsidR="004D2633">
        <w:t>etzliches Recht auf Ertei</w:t>
      </w:r>
      <w:r>
        <w:t>lung von Abschriften von Niederschriften des Gemeinde</w:t>
      </w:r>
      <w:r w:rsidR="004D2633">
        <w:t xml:space="preserve">rats zugunsten von Gemeindebürgerinnen und </w:t>
      </w:r>
      <w:r w:rsidR="004D2633">
        <w:br/>
        <w:t>-bürgern</w:t>
      </w:r>
      <w:r>
        <w:t xml:space="preserve"> nicht ohne Wertungswidersprüche in die Gemeindeordnung aufzunehmen:</w:t>
      </w:r>
    </w:p>
    <w:p w:rsidR="000E3A3D" w:rsidRDefault="000E3A3D" w:rsidP="004D2633">
      <w:pPr>
        <w:pStyle w:val="LTAntwortRessortText"/>
        <w:spacing w:before="120"/>
      </w:pPr>
      <w:r>
        <w:t>Die Niederschriften des Gemeinderats dienen vor allem dem innerdienstlichen Betrieb, um etwa für die Gemeindeverwaltung die Beschlüsse des G</w:t>
      </w:r>
      <w:r w:rsidR="004D2633">
        <w:t>remiums mit Blick auf deren Um</w:t>
      </w:r>
      <w:r>
        <w:t>setzung zu dokumentieren, und den Mitgliedern des Gemeinderats mit Blick auf ihre</w:t>
      </w:r>
      <w:r w:rsidR="004D2633">
        <w:t xml:space="preserve"> </w:t>
      </w:r>
      <w:r>
        <w:t>Mandatsausübung. Daher räumt auch Art. 54 Abs. 3 GO in seinem ersten Satz nur den Mitgliedern des Gemeinderats ein Recht auf Abschriften ein.</w:t>
      </w:r>
    </w:p>
    <w:p w:rsidR="000E3A3D" w:rsidRDefault="000E3A3D" w:rsidP="000E3A3D">
      <w:pPr>
        <w:pStyle w:val="LTAntwortRessortText"/>
      </w:pPr>
      <w:r>
        <w:t>Drittens wäre es widersprüchlich, den Gemeindebürgern mit einem expliziten Recht auf die Erteilung einer Abschrift der Niederschrift ein weiter</w:t>
      </w:r>
      <w:r w:rsidR="004D2633">
        <w:t>gehendes Informationsrecht ein</w:t>
      </w:r>
      <w:r>
        <w:t>zuräumen als den Mitgliedern des Gemeinderats, denen nach der Formulierung des Art. 54 Abs. 3 Satz 1 GO selbst nur ein Recht auf Abschrift der gefassten Beschlüsse (und nicht der gesamten Niederschrift) zusteht (auch insoweit aber wiederum Ermessen in Bezug auf die gesamte Niederschrift).</w:t>
      </w:r>
    </w:p>
    <w:p w:rsidR="000E3A3D" w:rsidRDefault="000E3A3D" w:rsidP="000E3A3D">
      <w:pPr>
        <w:pStyle w:val="LTAntwortRessortText"/>
      </w:pPr>
      <w:r>
        <w:t>Gegebenenfalls müssten auch diese Vorschriften der GO weiterentwickelt werden.</w:t>
      </w:r>
    </w:p>
    <w:p w:rsidR="000E3A3D" w:rsidRPr="004D2633" w:rsidRDefault="004D2633" w:rsidP="000E3A3D">
      <w:pPr>
        <w:pStyle w:val="LTAntwortRessortText"/>
        <w:rPr>
          <w:u w:val="single"/>
        </w:rPr>
      </w:pPr>
      <w:r w:rsidRPr="004D2633">
        <w:rPr>
          <w:u w:val="single"/>
        </w:rPr>
        <w:lastRenderedPageBreak/>
        <w:t>Zur dritten Teilfrage:</w:t>
      </w:r>
    </w:p>
    <w:p w:rsidR="000E3A3D" w:rsidRDefault="000E3A3D" w:rsidP="004D2633">
      <w:pPr>
        <w:pStyle w:val="LTAntwortRessortText"/>
        <w:spacing w:before="120"/>
      </w:pPr>
      <w:r>
        <w:t xml:space="preserve">Wie </w:t>
      </w:r>
      <w:r w:rsidR="004D2633">
        <w:t>in der Antwort zur zweiten Teilfrage</w:t>
      </w:r>
      <w:r>
        <w:t xml:space="preserve"> ausgeführt, besteht rechtlich im Ergebnis die</w:t>
      </w:r>
      <w:r w:rsidR="004D2633">
        <w:t xml:space="preserve"> in der Fragestellung vorausge</w:t>
      </w:r>
      <w:r>
        <w:t>setzte Ungleichbehandlung nicht.</w:t>
      </w:r>
    </w:p>
    <w:p w:rsidR="000E3A3D" w:rsidRDefault="000E3A3D" w:rsidP="000E3A3D">
      <w:pPr>
        <w:pStyle w:val="LTAntwortRessortText"/>
      </w:pPr>
      <w:r>
        <w:t>Im Übrigen ist es, wie ausgeführt, rechtlich nicht zutreffend, dass Art. 39 BayDSG die</w:t>
      </w:r>
      <w:r w:rsidR="004D2633">
        <w:t xml:space="preserve"> </w:t>
      </w:r>
      <w:r w:rsidR="00423B2A">
        <w:t>„</w:t>
      </w:r>
      <w:r>
        <w:t>Einschränkung</w:t>
      </w:r>
      <w:r w:rsidR="00423B2A">
        <w:t>“</w:t>
      </w:r>
      <w:r>
        <w:t xml:space="preserve"> der </w:t>
      </w:r>
      <w:r w:rsidR="00423B2A">
        <w:t>„</w:t>
      </w:r>
      <w:r>
        <w:t>Glaubhaftmachung besonderer Gründe</w:t>
      </w:r>
      <w:r w:rsidR="00423B2A">
        <w:t>“</w:t>
      </w:r>
      <w:r>
        <w:t xml:space="preserve"> nicht kennt. Die Vorschrift verlangt vielmehr die glaubhafte Darlegung eines berechtigten, nicht auf eine entgeltliche Weiterverwendung gerichteten Interesses.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Helga</w:t>
            </w:r>
            <w:r w:rsidRPr="000E3A3D">
              <w:rPr>
                <w:b/>
              </w:rPr>
              <w:br/>
              <w:t>Schmitt-Bussinger</w:t>
            </w:r>
            <w:r w:rsidRPr="000E3A3D">
              <w:rPr>
                <w:b/>
              </w:rPr>
              <w:br/>
            </w:r>
            <w:r w:rsidRPr="000E3A3D">
              <w:t>(SPD)</w:t>
            </w:r>
            <w:r>
              <w:fldChar w:fldCharType="begin"/>
            </w:r>
            <w:r>
              <w:instrText xml:space="preserve"> TC </w:instrText>
            </w:r>
            <w:r w:rsidR="00423B2A">
              <w:instrText>„</w:instrText>
            </w:r>
            <w:bookmarkStart w:id="18" w:name="_Toc519153204"/>
            <w:r>
              <w:instrText>Schmitt-Bussinger, Helga (SPD)</w:instrText>
            </w:r>
            <w:r>
              <w:br/>
              <w:instrText>Magazine \</w:instrText>
            </w:r>
            <w:r w:rsidR="00423B2A">
              <w:instrText>“</w:instrText>
            </w:r>
            <w:r>
              <w:instrText>Arcadi\</w:instrText>
            </w:r>
            <w:r w:rsidR="00423B2A">
              <w:instrText>“</w:instrText>
            </w:r>
            <w:r>
              <w:instrText xml:space="preserve"> und \</w:instrText>
            </w:r>
            <w:r w:rsidR="00423B2A">
              <w:instrText>“</w:instrText>
            </w:r>
            <w:r>
              <w:instrText>Blaue Narzisse\</w:instrText>
            </w:r>
            <w:bookmarkEnd w:id="18"/>
            <w:r w:rsidR="00423B2A">
              <w:instrText>“</w:instrText>
            </w:r>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welche Erkenntnisse liegen ihr über das seit 2018 erscheinende Magazin </w:t>
            </w:r>
            <w:r w:rsidR="00423B2A">
              <w:t>„</w:t>
            </w:r>
            <w:r>
              <w:t>Arcadi</w:t>
            </w:r>
            <w:r w:rsidR="00423B2A">
              <w:t>“</w:t>
            </w:r>
            <w:r>
              <w:t xml:space="preserve"> und die Publikation </w:t>
            </w:r>
            <w:r w:rsidR="00423B2A">
              <w:t>„</w:t>
            </w:r>
            <w:r>
              <w:t>Blaue Narzisse</w:t>
            </w:r>
            <w:r w:rsidR="00423B2A">
              <w:t>“</w:t>
            </w:r>
            <w:r>
              <w:t xml:space="preserve"> bzw. über deren verantwortliche Personen vor?</w:t>
            </w:r>
          </w:p>
          <w:p w:rsidR="000E3A3D" w:rsidRDefault="000E3A3D" w:rsidP="000E3A3D">
            <w:pPr>
              <w:pStyle w:val="LTAnfrageText"/>
            </w:pPr>
          </w:p>
        </w:tc>
      </w:tr>
    </w:tbl>
    <w:p w:rsidR="000E3A3D" w:rsidRDefault="000E3A3D" w:rsidP="000E3A3D">
      <w:pPr>
        <w:pStyle w:val="LTUeberschrAntwortRessort"/>
      </w:pPr>
      <w:r>
        <w:t>Antwort des Staatsministeriums des Innern und für Integration</w:t>
      </w:r>
    </w:p>
    <w:p w:rsidR="000E3A3D" w:rsidRDefault="000E3A3D" w:rsidP="000E3A3D">
      <w:pPr>
        <w:pStyle w:val="LTAntwortRessortText"/>
      </w:pPr>
      <w:r>
        <w:t xml:space="preserve">Die Publikationen </w:t>
      </w:r>
      <w:r w:rsidR="00423B2A">
        <w:t>„</w:t>
      </w:r>
      <w:r>
        <w:t>Arcadi-Magazin</w:t>
      </w:r>
      <w:r w:rsidR="00423B2A">
        <w:t>“</w:t>
      </w:r>
      <w:r>
        <w:t xml:space="preserve"> und </w:t>
      </w:r>
      <w:r w:rsidR="00423B2A">
        <w:t>„</w:t>
      </w:r>
      <w:r>
        <w:t>Blaue Narzisse</w:t>
      </w:r>
      <w:r w:rsidR="00423B2A">
        <w:t>“</w:t>
      </w:r>
      <w:r>
        <w:t xml:space="preserve"> s</w:t>
      </w:r>
      <w:r w:rsidR="008F16DC">
        <w:t>ind derzeit keine Beobachtungs</w:t>
      </w:r>
      <w:r>
        <w:t>objekte des La</w:t>
      </w:r>
      <w:r w:rsidR="008056DA">
        <w:t>ndesamt</w:t>
      </w:r>
      <w:r>
        <w:t>s für Verfassungsschutz (BayLfV).</w:t>
      </w:r>
    </w:p>
    <w:p w:rsidR="000E3A3D" w:rsidRDefault="000E3A3D" w:rsidP="000E3A3D">
      <w:pPr>
        <w:pStyle w:val="LTAntwortRessortText"/>
      </w:pPr>
      <w:r>
        <w:t xml:space="preserve">Beim </w:t>
      </w:r>
      <w:r w:rsidR="00423B2A">
        <w:t>„</w:t>
      </w:r>
      <w:r>
        <w:t>Arcadi-Magazin</w:t>
      </w:r>
      <w:r w:rsidR="00423B2A">
        <w:t>“</w:t>
      </w:r>
      <w:r>
        <w:t xml:space="preserve"> handelt es sich nach eigener Darstellung um ein Kultur- und Lifestyle-Magazin. Es ist mit Berichten und Nachrichten im</w:t>
      </w:r>
      <w:r w:rsidR="008F16DC">
        <w:t xml:space="preserve"> </w:t>
      </w:r>
      <w:r>
        <w:t>Internet (</w:t>
      </w:r>
      <w:hyperlink r:id="rId17" w:history="1">
        <w:r w:rsidR="008F16DC" w:rsidRPr="005B42B3">
          <w:rPr>
            <w:rStyle w:val="Hyperlink"/>
          </w:rPr>
          <w:t>www.arcadimagazin.de</w:t>
        </w:r>
      </w:hyperlink>
      <w:r>
        <w:t>) sowie als Druckausgabe verfügbar. Die Pu</w:t>
      </w:r>
      <w:r w:rsidR="008F16DC">
        <w:t>blikation bezeich</w:t>
      </w:r>
      <w:r>
        <w:t>net sich als Bildungsprojekt, das sich mit gesellschaftlichen und kulturellen Themen sowie Fragen der Lebensführung beschäftigt und von Schülern beziehungsweise Studenten verfasst werde. Sitz der Publikation ist eigenen Angaben zufolge 36039 Fulda (Hessen).</w:t>
      </w:r>
    </w:p>
    <w:p w:rsidR="000E3A3D" w:rsidRDefault="000E3A3D" w:rsidP="000E3A3D">
      <w:pPr>
        <w:pStyle w:val="LTAntwortRessortText"/>
      </w:pPr>
      <w:r>
        <w:t xml:space="preserve">Auf der Internetseite </w:t>
      </w:r>
      <w:hyperlink r:id="rId18" w:history="1">
        <w:r w:rsidR="00EE2E8F" w:rsidRPr="005B42B3">
          <w:rPr>
            <w:rStyle w:val="Hyperlink"/>
          </w:rPr>
          <w:t>www.arcadimagazin.de</w:t>
        </w:r>
      </w:hyperlink>
      <w:r w:rsidR="00EE2E8F">
        <w:t xml:space="preserve"> </w:t>
      </w:r>
      <w:r>
        <w:t xml:space="preserve">wurden einzelne </w:t>
      </w:r>
      <w:r w:rsidR="00EE2E8F">
        <w:t>Artikel über die Identitäre Be</w:t>
      </w:r>
      <w:r>
        <w:t>wegung veröffentlicht. Beispielsweise am 20.03.2018 über di</w:t>
      </w:r>
      <w:r w:rsidR="008056DA">
        <w:t>e Mission der Identitären Bewe</w:t>
      </w:r>
      <w:r>
        <w:t xml:space="preserve">gung </w:t>
      </w:r>
      <w:r w:rsidR="00423B2A">
        <w:t>„</w:t>
      </w:r>
      <w:r>
        <w:t>Defend Europe</w:t>
      </w:r>
      <w:r w:rsidR="00423B2A">
        <w:t>“</w:t>
      </w:r>
      <w:r>
        <w:t xml:space="preserve"> im Mittelmeer im Jahr 2017 oder am 20.06.2017 über eine Kundgebung der Identitären Bewegung in Berlin. Am 15.02.2017 erschien ein Interview mit dem Aktivisten der Identitären Bewegung in Österreich Martin Sellner. In der Gesamtschau wird die Identitäre Bewegung positiv dargestellt.</w:t>
      </w:r>
    </w:p>
    <w:p w:rsidR="000E3A3D" w:rsidRDefault="000E3A3D" w:rsidP="000E3A3D">
      <w:pPr>
        <w:pStyle w:val="LTAntwortRessortText"/>
      </w:pPr>
      <w:r>
        <w:t xml:space="preserve">Über den oder die Herausgeber des </w:t>
      </w:r>
      <w:r w:rsidR="00423B2A">
        <w:t>„</w:t>
      </w:r>
      <w:r>
        <w:t>Arcadi-Mag</w:t>
      </w:r>
      <w:r w:rsidR="008056DA">
        <w:t>az</w:t>
      </w:r>
      <w:r>
        <w:t>in</w:t>
      </w:r>
      <w:r w:rsidR="00423B2A">
        <w:t>“</w:t>
      </w:r>
      <w:r>
        <w:t xml:space="preserve"> liegen beim BayLfV keine Erkenntnisse vor.</w:t>
      </w:r>
    </w:p>
    <w:p w:rsidR="000E3A3D" w:rsidRDefault="000E3A3D" w:rsidP="000E3A3D">
      <w:pPr>
        <w:pStyle w:val="LTAntwortRessortText"/>
      </w:pPr>
      <w:r>
        <w:t xml:space="preserve">Bei der </w:t>
      </w:r>
      <w:r w:rsidR="00423B2A">
        <w:t>„</w:t>
      </w:r>
      <w:r>
        <w:t>Blauen Narzisse</w:t>
      </w:r>
      <w:r w:rsidR="00423B2A">
        <w:t>“</w:t>
      </w:r>
      <w:r>
        <w:t xml:space="preserve"> handelt es sich nach eigenen Angaben um ein Online-Magazin (</w:t>
      </w:r>
      <w:hyperlink r:id="rId19" w:history="1">
        <w:r w:rsidR="00426FD2" w:rsidRPr="005B42B3">
          <w:rPr>
            <w:rStyle w:val="Hyperlink"/>
          </w:rPr>
          <w:t>www.blauenarzisse.de</w:t>
        </w:r>
      </w:hyperlink>
      <w:r w:rsidR="00426FD2">
        <w:t xml:space="preserve"> </w:t>
      </w:r>
      <w:r>
        <w:t xml:space="preserve">) für Jugend, Identität und Kultur. Thematisiert werden nach eigener Darstellung </w:t>
      </w:r>
      <w:r w:rsidR="00423B2A">
        <w:t>„</w:t>
      </w:r>
      <w:r>
        <w:t>kontroverse Fragen der Politik, Kultur, Geschichtsschreibung und Jugend</w:t>
      </w:r>
      <w:r w:rsidR="00423B2A">
        <w:t>“</w:t>
      </w:r>
      <w:r>
        <w:t>. Unter</w:t>
      </w:r>
      <w:r w:rsidR="00426FD2">
        <w:t xml:space="preserve"> </w:t>
      </w:r>
      <w:r>
        <w:t>den Verfassern befinden sich Schüler</w:t>
      </w:r>
      <w:r w:rsidR="00426FD2">
        <w:t>innen bzw. Schüler und Studentinnen bzw. Studenten</w:t>
      </w:r>
      <w:r>
        <w:t xml:space="preserve">, gesucht </w:t>
      </w:r>
      <w:r w:rsidR="00426FD2">
        <w:t>werden regelmäßig weitere Auto</w:t>
      </w:r>
      <w:r>
        <w:t>ren, Blogger oder Podcaster.</w:t>
      </w:r>
    </w:p>
    <w:p w:rsidR="000E3A3D" w:rsidRDefault="000E3A3D" w:rsidP="000E3A3D">
      <w:pPr>
        <w:pStyle w:val="LTAntwortRessortText"/>
      </w:pPr>
      <w:r>
        <w:t>Sitz der Publikation ist eigenen Angaben zufolge 09131 Chemnitz (Sachsen). Herausgeber ist Felix</w:t>
      </w:r>
      <w:r w:rsidR="00426FD2">
        <w:t> </w:t>
      </w:r>
      <w:r>
        <w:t>M.</w:t>
      </w:r>
    </w:p>
    <w:p w:rsidR="000E3A3D" w:rsidRDefault="000E3A3D" w:rsidP="000E3A3D">
      <w:pPr>
        <w:pStyle w:val="LTAntwortRessortText"/>
      </w:pPr>
      <w:r>
        <w:t xml:space="preserve">Felix M. organisierte die ehemalige Veranstaltungsreihe </w:t>
      </w:r>
      <w:r w:rsidR="00423B2A">
        <w:t>„</w:t>
      </w:r>
      <w:r>
        <w:t>Zwischentag</w:t>
      </w:r>
      <w:r w:rsidR="00423B2A">
        <w:t>“</w:t>
      </w:r>
      <w:r>
        <w:t xml:space="preserve">. Die letzte Veranstaltung </w:t>
      </w:r>
      <w:r w:rsidR="00423B2A">
        <w:t>„</w:t>
      </w:r>
      <w:r>
        <w:t>Zwischentag</w:t>
      </w:r>
      <w:r w:rsidR="00423B2A">
        <w:t>“</w:t>
      </w:r>
      <w:r>
        <w:t xml:space="preserve"> fand am 04.07.2015 in der Liegenschaft der Erlanger Burschenschaft Frankonia statt. Über die Veranstaltung infor</w:t>
      </w:r>
      <w:r w:rsidR="00426FD2">
        <w:t>mierte der Verfassungsschutzbe</w:t>
      </w:r>
      <w:r>
        <w:t>richt Bayern für das Jahr 2015 u.</w:t>
      </w:r>
      <w:r w:rsidR="00426FD2">
        <w:t> </w:t>
      </w:r>
      <w:r>
        <w:t xml:space="preserve">a. wie folgt: </w:t>
      </w:r>
      <w:r w:rsidR="00423B2A">
        <w:t>„</w:t>
      </w:r>
      <w:r>
        <w:t>Unter den Auss</w:t>
      </w:r>
      <w:r w:rsidR="00426FD2">
        <w:t>tellern dieser Messe waren meh</w:t>
      </w:r>
      <w:r>
        <w:t xml:space="preserve">rere Organisationen mit Bezügen </w:t>
      </w:r>
      <w:r>
        <w:lastRenderedPageBreak/>
        <w:t xml:space="preserve">zum Rechtsextremismus, darunter das Magazin </w:t>
      </w:r>
      <w:r w:rsidR="00426FD2">
        <w:rPr>
          <w:rFonts w:cs="Arial"/>
        </w:rPr>
        <w:t>‘</w:t>
      </w:r>
      <w:r>
        <w:t>Umwelt &amp; Aktiv</w:t>
      </w:r>
      <w:r w:rsidR="00426FD2">
        <w:rPr>
          <w:rFonts w:cs="Arial"/>
        </w:rPr>
        <w:t>‘</w:t>
      </w:r>
      <w:r>
        <w:t xml:space="preserve">, das von dem rechtsextremistischen Verein Midgard e. </w:t>
      </w:r>
      <w:r w:rsidR="00426FD2">
        <w:t>V. mit Sitz in Landshut heraus</w:t>
      </w:r>
      <w:r>
        <w:t xml:space="preserve">gegeben wird. Unter den Besuchern waren mehrere Personen aus der rechtsextremistischen Szene, darunter auch der ehemalige Leiter der verbotenen </w:t>
      </w:r>
      <w:r w:rsidR="00E2196E">
        <w:t>Wehrsportgruppe Hoffmann, Karl-</w:t>
      </w:r>
      <w:r>
        <w:t>Heinz Hoffmann.</w:t>
      </w:r>
      <w:r w:rsidR="00423B2A">
        <w:t>“</w:t>
      </w:r>
    </w:p>
    <w:p w:rsidR="000E3A3D" w:rsidRDefault="000E3A3D" w:rsidP="000E3A3D">
      <w:pPr>
        <w:pStyle w:val="LTAntwortRessortText"/>
      </w:pPr>
      <w:r>
        <w:t xml:space="preserve">Felix M. trat bei der Veranstaltung </w:t>
      </w:r>
      <w:r w:rsidR="00423B2A">
        <w:t>„</w:t>
      </w:r>
      <w:r>
        <w:t>Zwischentag</w:t>
      </w:r>
      <w:r w:rsidR="00423B2A">
        <w:t>“</w:t>
      </w:r>
      <w:r>
        <w:t xml:space="preserve"> am 04.07.2015 selbst als Redner auf. Im Übrigen wird Felix M. auf der Internetseite der unter Beobachtung des BayLfV stehenden Münchner Burschenschaft Danubia in einer Übersicht von Teilnehmern </w:t>
      </w:r>
      <w:r w:rsidR="00423B2A">
        <w:t>„</w:t>
      </w:r>
      <w:r>
        <w:t>Burschenschaftlicher Abende</w:t>
      </w:r>
      <w:r w:rsidR="00423B2A">
        <w:t>“</w:t>
      </w:r>
      <w:r>
        <w:t xml:space="preserve"> und </w:t>
      </w:r>
      <w:r w:rsidR="00423B2A">
        <w:t>„</w:t>
      </w:r>
      <w:r w:rsidR="00426FD2">
        <w:t>Bo</w:t>
      </w:r>
      <w:r>
        <w:t>genhausener Gespräche</w:t>
      </w:r>
      <w:r w:rsidR="00423B2A">
        <w:t>“</w:t>
      </w:r>
      <w:r>
        <w:t xml:space="preserve"> genannt (Stand 10.07.2018).</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Katharina</w:t>
            </w:r>
            <w:r w:rsidRPr="000E3A3D">
              <w:rPr>
                <w:b/>
              </w:rPr>
              <w:br/>
              <w:t>Schulze</w:t>
            </w:r>
            <w:r w:rsidRPr="000E3A3D">
              <w:rPr>
                <w:b/>
              </w:rPr>
              <w:br/>
            </w:r>
            <w:r w:rsidRPr="000E3A3D">
              <w:t>(BÜNDNIS 90/DIE GRÜNEN)</w:t>
            </w:r>
            <w:r>
              <w:fldChar w:fldCharType="begin"/>
            </w:r>
            <w:r>
              <w:instrText xml:space="preserve"> TC </w:instrText>
            </w:r>
            <w:r w:rsidR="00423B2A">
              <w:instrText>„</w:instrText>
            </w:r>
            <w:bookmarkStart w:id="19" w:name="_Toc519153205"/>
            <w:r>
              <w:instrText>Schulze, Katharina (BÜNDNIS 90/DIE GRÜNEN)</w:instrText>
            </w:r>
            <w:r>
              <w:br/>
              <w:instrText>AfD-Bundesparteitag</w:instrText>
            </w:r>
            <w:bookmarkEnd w:id="1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und wie lange Personen anlässlich des AfD-Bundesparteitags in Präventivgewahrsam genommen worden sind, und mit welcher Begründung?</w:t>
            </w:r>
          </w:p>
          <w:p w:rsidR="000E3A3D" w:rsidRDefault="000E3A3D" w:rsidP="000E3A3D">
            <w:pPr>
              <w:pStyle w:val="LTAnfrageText"/>
            </w:pPr>
          </w:p>
        </w:tc>
      </w:tr>
    </w:tbl>
    <w:p w:rsidR="000E3A3D" w:rsidRDefault="000E3A3D" w:rsidP="000E3A3D">
      <w:pPr>
        <w:pStyle w:val="LTUeberschrAntwortRessort"/>
      </w:pPr>
      <w:r>
        <w:t>Antwort des Staatsministeriums des Innern und für Integration</w:t>
      </w:r>
    </w:p>
    <w:p w:rsidR="000E3A3D" w:rsidRDefault="000E3A3D" w:rsidP="000E3A3D">
      <w:pPr>
        <w:pStyle w:val="LTAntwortRessortText"/>
      </w:pPr>
      <w:r>
        <w:t>Anl</w:t>
      </w:r>
      <w:r w:rsidR="00E2196E">
        <w:t>ässlich des AfD-Bundesparteitag</w:t>
      </w:r>
      <w:r>
        <w:t>s in Augsburg wurde nach Auskunft des P</w:t>
      </w:r>
      <w:r w:rsidR="00DE060F">
        <w:t>olizeipräsidiums (P</w:t>
      </w:r>
      <w:r>
        <w:t>P</w:t>
      </w:r>
      <w:r w:rsidR="00DE060F">
        <w:t>)</w:t>
      </w:r>
      <w:r>
        <w:t xml:space="preserve"> Schwaben Nord </w:t>
      </w:r>
      <w:r w:rsidR="00E2196E">
        <w:t>eine</w:t>
      </w:r>
      <w:r>
        <w:t xml:space="preserve"> Person in Präventivgewahrsam gem. Art. 17 Abs. 1 Nr. 2a </w:t>
      </w:r>
      <w:r w:rsidR="00DE060F">
        <w:t>Polizeiaufgabengesetz (</w:t>
      </w:r>
      <w:r>
        <w:t>PAG</w:t>
      </w:r>
      <w:r w:rsidR="00DE060F">
        <w:t>) genommen. Die Inge</w:t>
      </w:r>
      <w:r>
        <w:t>wahrsamnahme erfolgt am 26.06.2018 um 20.45 Uhr.</w:t>
      </w:r>
    </w:p>
    <w:p w:rsidR="000E3A3D" w:rsidRDefault="000E3A3D" w:rsidP="000E3A3D">
      <w:pPr>
        <w:pStyle w:val="LTAntwortRessortText"/>
      </w:pPr>
      <w:r>
        <w:t xml:space="preserve">Aufgrund von Zeugenangaben wurde bekannt, dass der Betroffene mit weiteren, unbekannten Personen planen solle, im Rahmen des AfD-Parteitags in Augsburg einen gefährlichen Eingriff in den Schienenverkehr gem. § 315 </w:t>
      </w:r>
      <w:r w:rsidR="00DE060F">
        <w:t>Strafgesetzbuch (</w:t>
      </w:r>
      <w:r>
        <w:t>StGB</w:t>
      </w:r>
      <w:r w:rsidR="00DE060F">
        <w:t>)</w:t>
      </w:r>
      <w:r>
        <w:t xml:space="preserve"> sowie Sachbeschädigungen gemäß §§ 303 ff. StGB zu begehen. Zudem waren mutmaßlich Verstöße gegen das Vermummungsverbot im Rahmen der Demonstrationen geplant und somit die Begehung einer </w:t>
      </w:r>
      <w:r w:rsidR="00DE060F">
        <w:t>Ordnungswidrigkeit von erhebli</w:t>
      </w:r>
      <w:r>
        <w:t>cher Bedeutung für die Allgemeinheit.</w:t>
      </w:r>
    </w:p>
    <w:p w:rsidR="000E3A3D" w:rsidRDefault="000E3A3D" w:rsidP="000E3A3D">
      <w:pPr>
        <w:pStyle w:val="LTAntwortRessortText"/>
      </w:pPr>
      <w:r>
        <w:t>Über Zulässigkeit und Fortdauer der Gewahrsamnah</w:t>
      </w:r>
      <w:r w:rsidR="00DE060F">
        <w:t>me bis längstens 01.07.2018, 24.</w:t>
      </w:r>
      <w:r>
        <w:t xml:space="preserve">00 Uhr wurde gem. Art. 18 Abs. 1 PAG durch das </w:t>
      </w:r>
      <w:r w:rsidR="00DE060F">
        <w:t>Amtsgericht</w:t>
      </w:r>
      <w:r>
        <w:t xml:space="preserve"> </w:t>
      </w:r>
      <w:r w:rsidR="00DE060F">
        <w:t>(AG) A</w:t>
      </w:r>
      <w:r>
        <w:t>ugsburg am 2</w:t>
      </w:r>
      <w:r w:rsidR="00DE060F">
        <w:t>7.06.2018 richterlich entschie</w:t>
      </w:r>
      <w:r>
        <w:t>den.</w:t>
      </w:r>
    </w:p>
    <w:p w:rsidR="000E3A3D" w:rsidRDefault="000E3A3D" w:rsidP="000E3A3D">
      <w:pPr>
        <w:pStyle w:val="LTAntwortRessortText"/>
      </w:pPr>
      <w:r>
        <w:t>Das Landgericht Augsburg bestätigte den Beschluss des AG Augsburg am 29.06.2018.</w:t>
      </w:r>
    </w:p>
    <w:p w:rsidR="007A70E2" w:rsidRDefault="000E3A3D" w:rsidP="000E3A3D">
      <w:pPr>
        <w:pStyle w:val="LTAntwortRessortText"/>
      </w:pPr>
      <w:r>
        <w:t>Am Sonntag, den 01.07.2018 wurde im Zuge der fortlaufenden Gefährdungsbewertung die J</w:t>
      </w:r>
      <w:r w:rsidR="00F268AD">
        <w:t xml:space="preserve">ustizvollzugsanstalt </w:t>
      </w:r>
      <w:r>
        <w:t>Gablingen um 12.11 Uhr angewiesen, den Ingewahrsamgenommenen zu entlassen. Gegen</w:t>
      </w:r>
      <w:r w:rsidR="00F268AD">
        <w:t xml:space="preserve"> </w:t>
      </w:r>
      <w:r>
        <w:t>12.44 Uhr wurde er auf freien Fuß gesetzt.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Florian</w:t>
            </w:r>
            <w:r w:rsidRPr="000E3A3D">
              <w:rPr>
                <w:b/>
              </w:rPr>
              <w:br/>
              <w:t>Streibl</w:t>
            </w:r>
            <w:r w:rsidRPr="000E3A3D">
              <w:rPr>
                <w:b/>
              </w:rPr>
              <w:br/>
            </w:r>
            <w:r w:rsidRPr="000E3A3D">
              <w:t>(FREIE WÄHLER)</w:t>
            </w:r>
            <w:r>
              <w:fldChar w:fldCharType="begin"/>
            </w:r>
            <w:r>
              <w:instrText xml:space="preserve"> TC </w:instrText>
            </w:r>
            <w:r w:rsidR="00423B2A">
              <w:instrText>„</w:instrText>
            </w:r>
            <w:bookmarkStart w:id="20" w:name="_Toc519153206"/>
            <w:r>
              <w:instrText>Streibl, Florian (FREIE WÄHLER)</w:instrText>
            </w:r>
            <w:r>
              <w:br/>
              <w:instrText>Bayerische Grenzpolizei</w:instrText>
            </w:r>
            <w:bookmarkEnd w:id="20"/>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7A70E2">
            <w:pPr>
              <w:pStyle w:val="LTAnfrageText"/>
            </w:pPr>
            <w:r>
              <w:t>Nachdem am 02.07.2018 die neue Bayerische Grenzpolizei in Marsch gesetzt wurde, frage ich die Staatsregierung, in welchem Umfang (bezogen auch auf die Personalausstattung, Schaffung von neuen Dienststellen) wird diese künftig Aufgaben in den Landkreisen Miesbach, Bad Tölz-Wolfratshausen und Garmisch-Partenkirchen sowie W</w:t>
            </w:r>
            <w:r w:rsidR="00572546">
              <w:t>eilheim-Schongau wahrnehmen, z. </w:t>
            </w:r>
            <w:r>
              <w:t>B. in Form von dauerhaften oder temporären Grenzkontrollen, einer Ausweitung der Schleierfahndung (im Vergleich zur bisherigen Schleierfahndung)?</w:t>
            </w:r>
          </w:p>
        </w:tc>
      </w:tr>
    </w:tbl>
    <w:p w:rsidR="00DF2F9A" w:rsidRDefault="00DF2F9A" w:rsidP="000E3A3D">
      <w:pPr>
        <w:pStyle w:val="LTUeberschrAntwortRessort"/>
      </w:pPr>
    </w:p>
    <w:p w:rsidR="000E3A3D" w:rsidRDefault="000E3A3D" w:rsidP="000E3A3D">
      <w:pPr>
        <w:pStyle w:val="LTUeberschrAntwortRessort"/>
      </w:pPr>
      <w:r>
        <w:t>Antwort des Staatsministeriums des Innern und für Integration</w:t>
      </w:r>
    </w:p>
    <w:p w:rsidR="000E3A3D" w:rsidRDefault="000E3A3D" w:rsidP="004B6267">
      <w:pPr>
        <w:pStyle w:val="LTAntwortRessortText"/>
        <w:spacing w:before="360"/>
      </w:pPr>
      <w:r>
        <w:t xml:space="preserve">Die Entscheidung der Staatsregierung, ab </w:t>
      </w:r>
      <w:r w:rsidR="00572546">
        <w:t>01.07.</w:t>
      </w:r>
      <w:r>
        <w:t>2018 eine Bay</w:t>
      </w:r>
      <w:r w:rsidR="00572546">
        <w:t>erische Grenzpolizei einzurich</w:t>
      </w:r>
      <w:r>
        <w:t>ten, fußt auf den Bestrebungen, die personellen und sachlichen Ressourcen der Bayerischen Polizei bei der Bekämpfung der illegalen Migration und der grenzüberschreitenden bzw. grenzbezogenen Kriminalität weiter auszubauen. Dies ist Zust</w:t>
      </w:r>
      <w:r w:rsidR="00572546">
        <w:t>ändigkeit und Aufgabe der Poli</w:t>
      </w:r>
      <w:r>
        <w:t>zei des Freistaat</w:t>
      </w:r>
      <w:r w:rsidR="00572546">
        <w:t>e</w:t>
      </w:r>
      <w:r>
        <w:t xml:space="preserve">s Bayern. Mit der Bayerischen Grenzpolizei </w:t>
      </w:r>
      <w:r w:rsidR="00572546">
        <w:t>soll insbesondere die Schleier</w:t>
      </w:r>
      <w:r>
        <w:t xml:space="preserve">fahndung weiter intensiviert werden, darüber hinaus aber auch in enger Abstimmung mit der Bundespolizei die eigenständige Durchführung von </w:t>
      </w:r>
      <w:r w:rsidR="00572546">
        <w:t>Grenzkontrollen durch die Bayerischen</w:t>
      </w:r>
      <w:r>
        <w:t xml:space="preserve"> Polizei ermöglicht werden.</w:t>
      </w:r>
    </w:p>
    <w:p w:rsidR="000E3A3D" w:rsidRDefault="000E3A3D" w:rsidP="004B6267">
      <w:pPr>
        <w:pStyle w:val="LTAntwortRessortText"/>
        <w:spacing w:before="360"/>
      </w:pPr>
      <w:r>
        <w:t xml:space="preserve">Der Ministerrat hat in seiner Sitzung am </w:t>
      </w:r>
      <w:r w:rsidR="00572546">
        <w:t>05.06.</w:t>
      </w:r>
      <w:r>
        <w:t>2018 das Konze</w:t>
      </w:r>
      <w:r w:rsidR="00572546">
        <w:t>pt für die Errichtung der Baye</w:t>
      </w:r>
      <w:r>
        <w:t>rischen Grenzpolizei beschlossen. Zentraler und wichtiger Kernpunkt des Konzepts ist die schrittweise Erhöhung der Personalstärke der Grenzpolizeidienst</w:t>
      </w:r>
      <w:r w:rsidR="00572546">
        <w:t>stellen. Jede Organisationsein</w:t>
      </w:r>
      <w:r>
        <w:t>heit der Bayerischen Grenzpolizei soll von diesem Stellenaufwuchs profitieren.</w:t>
      </w:r>
    </w:p>
    <w:p w:rsidR="000E3A3D" w:rsidRDefault="000E3A3D" w:rsidP="004B6267">
      <w:pPr>
        <w:pStyle w:val="LTAntwortRessortText"/>
        <w:spacing w:before="360"/>
      </w:pPr>
      <w:r>
        <w:t>Die Polizeiinspektionen Fahndung, die Polizeistationen Fa</w:t>
      </w:r>
      <w:r w:rsidR="00572546">
        <w:t>hndung sowie die Fahndungsgrup</w:t>
      </w:r>
      <w:r>
        <w:t xml:space="preserve">pen bei den Polizeiinspektionen wurden zum </w:t>
      </w:r>
      <w:r w:rsidR="00572546">
        <w:t>01.07.</w:t>
      </w:r>
      <w:r>
        <w:t>2018 umbe</w:t>
      </w:r>
      <w:r w:rsidR="00572546">
        <w:t>nannt in Grenzpolizeiinspektio</w:t>
      </w:r>
      <w:r>
        <w:t xml:space="preserve">nen, Grenzpolizeistationen sowie Grenzpolizeigruppen. Mit der Grenzpolizeiinspektion Murnau am Staffelsee und der Grenzpolizeistation Kreuth sind </w:t>
      </w:r>
      <w:r w:rsidR="00572546">
        <w:t>Dienststellen der neuen Bayeri</w:t>
      </w:r>
      <w:r>
        <w:t>schen Grenzpolizei in den Landkreisen Garmisch-Partenkirchen und Miesbach situiert. Die</w:t>
      </w:r>
      <w:r w:rsidR="00572546">
        <w:t xml:space="preserve"> </w:t>
      </w:r>
      <w:r>
        <w:t>unmittelbare organisatorische Anbindung der grenzpolizeiliche</w:t>
      </w:r>
      <w:r w:rsidR="00572546">
        <w:t>n Dienststellen an die Landes</w:t>
      </w:r>
      <w:r>
        <w:t>polizeipräsidien bleibt unverändert. Für die fachliche Aufsicht</w:t>
      </w:r>
      <w:r w:rsidR="00572546">
        <w:t xml:space="preserve"> über die Bayerische Grenzpoli</w:t>
      </w:r>
      <w:r>
        <w:t xml:space="preserve">zei ist ebenfalls seit </w:t>
      </w:r>
      <w:r w:rsidR="00572546">
        <w:t>01.07.</w:t>
      </w:r>
      <w:r>
        <w:t>2018 die neue Direktion der Bayerischen Grenzpolizei in Passau zuständig. Die Direktion ist organisatorisch an das Polizeipräsidium Niederbayern angebunden. Daher mussten keine zusätzlichen Verwaltungsstrukturen aufgebaut werden.</w:t>
      </w:r>
    </w:p>
    <w:p w:rsidR="000E3A3D" w:rsidRDefault="000E3A3D" w:rsidP="004B6267">
      <w:pPr>
        <w:pStyle w:val="LTAntwortRessortText"/>
        <w:spacing w:before="360"/>
      </w:pPr>
      <w:r>
        <w:t xml:space="preserve">Das Personalkonzept sieht im </w:t>
      </w:r>
      <w:r w:rsidR="00572546">
        <w:t>Rahmen des 2. Nachtragshaushalts 2018 insgesamt 44 zusätzli</w:t>
      </w:r>
      <w:r>
        <w:t>che Stellen vor. Hiervon sind für die Direktion elf Beamtenste</w:t>
      </w:r>
      <w:r w:rsidR="00572546">
        <w:t>llen und drei Arbeitnehmerstel</w:t>
      </w:r>
      <w:r>
        <w:t>len vorgesehen. Die Basisdienststellen, so auch die Grenzpolize</w:t>
      </w:r>
      <w:r w:rsidR="00572546">
        <w:t>idienststellen in den Landkrei</w:t>
      </w:r>
      <w:r>
        <w:t>sen Miesbach, Bad Tölz-Wolfratshausen und Garmisc</w:t>
      </w:r>
      <w:r w:rsidR="00E2196E">
        <w:t>h-Partenkirchen sowie Weilheim-</w:t>
      </w:r>
      <w:r>
        <w:t>Schongau, werden mit insgesamt 30 Arbeitnehmerstellen verstärk</w:t>
      </w:r>
      <w:r w:rsidR="00572546">
        <w:t>t. Mit diesen ist bereits zeit</w:t>
      </w:r>
      <w:r>
        <w:t>nah eine personelle Stärkung der vorgenannten Basisdienststellen gewährleistet. Der Vollzug wird dadurch entlastet und es werden Kapazitäten für operative Aufgaben unmittelbar freig</w:t>
      </w:r>
      <w:r w:rsidR="00572546">
        <w:t>e</w:t>
      </w:r>
      <w:r>
        <w:t>setzt.</w:t>
      </w:r>
    </w:p>
    <w:p w:rsidR="000E3A3D" w:rsidRDefault="000E3A3D" w:rsidP="004B6267">
      <w:pPr>
        <w:pStyle w:val="LTAntwortRessortText"/>
        <w:spacing w:before="360"/>
      </w:pPr>
      <w:r>
        <w:t>Mit Blick auf die geplanten zusätzlichen 500 Stellen für die Bayerische Grenzpolizei sollen, beginnend ab dem Jahr 2019 bis ins Jahr 2023</w:t>
      </w:r>
      <w:r w:rsidR="00E2196E">
        <w:t>,</w:t>
      </w:r>
      <w:r>
        <w:t xml:space="preserve"> den Dienststel</w:t>
      </w:r>
      <w:r w:rsidR="00572546">
        <w:t xml:space="preserve">len und Organisationseinheiten </w:t>
      </w:r>
      <w:r>
        <w:t>der Bayerischen Grenzpolizei jährlich 100 Stellen zugewiesen werden. Ebenfalls sukzessive wird in diesem Zeitrahmen die Zuteilung der entsprechenden Be</w:t>
      </w:r>
      <w:r w:rsidR="00572546">
        <w:t>amten erfolgen. Für die Vertei</w:t>
      </w:r>
      <w:r>
        <w:t>lung der zusätzlichen Stellen auf die Dienststellen und Organisationseinheiten der Bayerischen Grenzpolizei wird derzeit ein fachliches Konzept erarbeitet. In</w:t>
      </w:r>
      <w:r w:rsidR="00572546">
        <w:t>wieweit weitergehende organisa</w:t>
      </w:r>
      <w:r>
        <w:t>torische Maßnahmen angezeigt sind, ist im Rahmen der konzeptionellen Weiterentwicklung unter Berücksichtigung des beabsichtigten Personalaufwuchses</w:t>
      </w:r>
      <w:r w:rsidR="00572546">
        <w:t xml:space="preserve"> bei allen Organisationseinhei</w:t>
      </w:r>
      <w:r>
        <w:t>ten der Bayerischen Grenzpolizei bis 2023 sowie der ersten Erfahrungswerte zu prüfen.</w:t>
      </w:r>
    </w:p>
    <w:p w:rsidR="004B6267" w:rsidRDefault="004B6267" w:rsidP="004B6267">
      <w:pPr>
        <w:pStyle w:val="LTAntwortRessortText"/>
        <w:spacing w:before="360"/>
      </w:pPr>
      <w:r>
        <w:br/>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Martin</w:t>
            </w:r>
            <w:r w:rsidRPr="000E3A3D">
              <w:rPr>
                <w:b/>
              </w:rPr>
              <w:br/>
              <w:t>Stümpfig</w:t>
            </w:r>
            <w:r w:rsidRPr="000E3A3D">
              <w:rPr>
                <w:b/>
              </w:rPr>
              <w:br/>
            </w:r>
            <w:r w:rsidRPr="000E3A3D">
              <w:t>(BÜNDNIS 90/DIE GRÜNEN)</w:t>
            </w:r>
            <w:r>
              <w:fldChar w:fldCharType="begin"/>
            </w:r>
            <w:r>
              <w:instrText xml:space="preserve"> TC </w:instrText>
            </w:r>
            <w:r w:rsidR="00423B2A">
              <w:instrText>„</w:instrText>
            </w:r>
            <w:bookmarkStart w:id="21" w:name="_Toc519153207"/>
            <w:r>
              <w:instrText>Stümpfig, Martin (BÜNDNIS 90/DIE GRÜNEN)</w:instrText>
            </w:r>
            <w:r>
              <w:br/>
              <w:instrText>Beschäftigungserlaubnisse für Asylbewerberinnen bzw. -bewerber und Geduldete</w:instrText>
            </w:r>
            <w:bookmarkEnd w:id="21"/>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wie lautet der Wortlaut der Weisung des Staatsministeriums des Innern und für Integration vom 02.07.2018 zur Erteilung von Beschäftigungserlaubnissen für Asylbewerberinnen bzw. -bewerber und Geduldete (sollte solch einen </w:t>
            </w:r>
            <w:r w:rsidR="00423B2A">
              <w:t xml:space="preserve"> </w:t>
            </w:r>
            <w:r>
              <w:t>Weisung nicht existieren, bitte die Innenministeriellen Schreiben und Weisungen, die von der Staatsregierung an die Ausländerbehörden im Jahr 2018 rausgegangen sind und das Thema Beschäftigungserlaubnissen für Asylbewerberinnen bzw. -bewerber und Geduldete betreffen, der Antwort hinzufügen)?</w:t>
            </w:r>
          </w:p>
          <w:p w:rsidR="000E3A3D" w:rsidRDefault="000E3A3D" w:rsidP="000E3A3D">
            <w:pPr>
              <w:pStyle w:val="LTAnfrageText"/>
            </w:pPr>
          </w:p>
        </w:tc>
      </w:tr>
    </w:tbl>
    <w:p w:rsidR="000E3A3D" w:rsidRDefault="000E3A3D" w:rsidP="004B6267">
      <w:pPr>
        <w:pStyle w:val="LTUeberschrAntwortRessort"/>
        <w:spacing w:before="240"/>
      </w:pPr>
      <w:r>
        <w:t>Antwort des Staatsministeriums des Innern und für Integration</w:t>
      </w:r>
    </w:p>
    <w:p w:rsidR="000E3A3D" w:rsidRDefault="000E3A3D" w:rsidP="000E3A3D">
      <w:pPr>
        <w:pStyle w:val="LTAntwortRessortText"/>
      </w:pPr>
      <w:r>
        <w:t>Eine Weisung des Staatsministeriums des Innern und für Integ</w:t>
      </w:r>
      <w:r w:rsidR="0027262C">
        <w:t>ration (StMI) an die Ausländer</w:t>
      </w:r>
      <w:r>
        <w:t xml:space="preserve">behörden vom </w:t>
      </w:r>
      <w:r w:rsidR="0027262C">
        <w:t>02.07.</w:t>
      </w:r>
      <w:r>
        <w:t>2018 zur Erteilung von Beschäftigungserlaubnissen an Asylbewerber</w:t>
      </w:r>
      <w:r w:rsidR="0027262C">
        <w:t xml:space="preserve">innen bzw. </w:t>
      </w:r>
      <w:r w:rsidR="0027262C">
        <w:br/>
        <w:t>-bewerber</w:t>
      </w:r>
      <w:r>
        <w:t xml:space="preserve"> und Geduldete gibt es nicht.</w:t>
      </w:r>
    </w:p>
    <w:p w:rsidR="000E3A3D" w:rsidRDefault="000E3A3D" w:rsidP="0027262C">
      <w:pPr>
        <w:pStyle w:val="LTAntwortRessortText"/>
      </w:pPr>
      <w:r>
        <w:t xml:space="preserve">Mit E-Mail des StMI vom </w:t>
      </w:r>
      <w:r w:rsidR="0027262C">
        <w:t>22.01.</w:t>
      </w:r>
      <w:r>
        <w:t>2018 wurden die Ausl</w:t>
      </w:r>
      <w:r w:rsidR="0027262C">
        <w:t>änderbehörden auf die Vereinba</w:t>
      </w:r>
      <w:r>
        <w:t>rung des Landkreises Traunstein mit Vertretern der dortigen Wirtschaft über die Beschäftigung von Flüchtlingen aufmerksam gemacht und ihnen empfohlen,</w:t>
      </w:r>
      <w:r w:rsidR="0027262C">
        <w:t xml:space="preserve"> solche oder ähnliche Vereinba</w:t>
      </w:r>
      <w:r>
        <w:t>rungen ebenfalls a</w:t>
      </w:r>
      <w:r w:rsidR="0027262C">
        <w:t>uf lokaler Ebene abzuschließen.</w:t>
      </w:r>
    </w:p>
    <w:p w:rsidR="000E3A3D" w:rsidRDefault="000E3A3D" w:rsidP="000E3A3D">
      <w:pPr>
        <w:pStyle w:val="LTAntwortRessortText"/>
      </w:pPr>
      <w:r>
        <w:t xml:space="preserve">Mit E-Mail des StMI vom </w:t>
      </w:r>
      <w:r w:rsidR="0027262C">
        <w:t>06.02.</w:t>
      </w:r>
      <w:r>
        <w:t xml:space="preserve">2018 wurden die Ausländerbehörden über den Beschluss des Bayerischen Verwaltungsgerichtshofs vom </w:t>
      </w:r>
      <w:r w:rsidR="0027262C">
        <w:t>22.01.</w:t>
      </w:r>
      <w:r>
        <w:t>2018 (Az. 19 CE 18.51), der unter anderem die Erteilung einer Ausbildungsduldung nach § 60a Abs. 2 Satz 4 Aufenthaltsgesetz zum Gegenstand hatte, informiert. Der vorgenannte Beschlus</w:t>
      </w:r>
      <w:r w:rsidR="0027262C">
        <w:t>s ist in der Rechtsprechungsda</w:t>
      </w:r>
      <w:r>
        <w:t>tenbank der Staatsregierung abrufbar (</w:t>
      </w:r>
      <w:hyperlink r:id="rId20" w:history="1">
        <w:r w:rsidR="0027262C" w:rsidRPr="005B42B3">
          <w:rPr>
            <w:rStyle w:val="Hyperlink"/>
          </w:rPr>
          <w:t>http://www.gesetze-bayern.de/Search/Hitlist</w:t>
        </w:r>
      </w:hyperlink>
      <w:r w:rsidR="0027262C">
        <w:t xml:space="preserve"> </w:t>
      </w:r>
      <w:r>
        <w:t>).</w:t>
      </w:r>
    </w:p>
    <w:p w:rsidR="000E3A3D" w:rsidRDefault="000E3A3D" w:rsidP="000E3A3D">
      <w:pPr>
        <w:pStyle w:val="LTAntwortRessortText"/>
      </w:pPr>
      <w:r>
        <w:t xml:space="preserve">Mit E-Mail des StMI vom </w:t>
      </w:r>
      <w:r w:rsidR="0027262C">
        <w:t>15.02.</w:t>
      </w:r>
      <w:r>
        <w:t>2018 wurden die Aus</w:t>
      </w:r>
      <w:r w:rsidR="0027262C">
        <w:t>länderbehörden über das Kultus</w:t>
      </w:r>
      <w:r>
        <w:t xml:space="preserve">ministerialschreiben (KMS) vom </w:t>
      </w:r>
      <w:r w:rsidR="0027262C">
        <w:t>12.02.</w:t>
      </w:r>
      <w:r>
        <w:t>2018 an die B</w:t>
      </w:r>
      <w:r w:rsidR="0027262C">
        <w:t xml:space="preserve">erufsschulen informiert. Damit </w:t>
      </w:r>
      <w:r>
        <w:t>wird beginnend ab dem Schuljahr 2018/2019 ein Abstimmung</w:t>
      </w:r>
      <w:r w:rsidR="0027262C">
        <w:t>sverfahren zwischen Berufsschu</w:t>
      </w:r>
      <w:r>
        <w:t>le und Ausländerbehörde fü</w:t>
      </w:r>
      <w:r w:rsidR="0027262C">
        <w:t>r Ausbildungen von Asylbewerberinnen bzw. -bewerbern</w:t>
      </w:r>
      <w:r>
        <w:t xml:space="preserve"> und Geduldeten zum Landwirt, Hauswirtschafter, Schreiner oder Zimmerer eingeführt, das gewährleisten soll, dass der vorgenannte Personenkreis nach Absolvierung des für diese Beru</w:t>
      </w:r>
      <w:r w:rsidR="0027262C">
        <w:t>fe verpflichtenden Berufsgrund</w:t>
      </w:r>
      <w:r>
        <w:t>schuljahres in die duale Phase der jeweiligen Berufsausbildung übertreten kann, für die eine Beschäftigungserlaubnis erforderlich ist. Das vorgenannte KMS war auch Gegenstand eines Antrags im L</w:t>
      </w:r>
      <w:r w:rsidR="0027262C">
        <w:t>andtag (</w:t>
      </w:r>
      <w:r>
        <w:t>Drs.</w:t>
      </w:r>
      <w:r w:rsidR="0027262C">
        <w:t> </w:t>
      </w:r>
      <w:r>
        <w:t>17/21450), der inzwischen sowohl im Aussc</w:t>
      </w:r>
      <w:r w:rsidR="0027262C">
        <w:t xml:space="preserve">huss für Bildung und Kultus (Beschlussempfehlung auf der </w:t>
      </w:r>
      <w:r>
        <w:t xml:space="preserve">Drs. 17/22259), als </w:t>
      </w:r>
      <w:r w:rsidR="0027262C">
        <w:t xml:space="preserve">auch im Plenum des Landtags (Beschluss auf der </w:t>
      </w:r>
      <w:r>
        <w:t>Drs. 17/22656) behandelt wurde.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Angelika</w:t>
            </w:r>
            <w:r w:rsidRPr="000E3A3D">
              <w:rPr>
                <w:b/>
              </w:rPr>
              <w:br/>
              <w:t>Weikert</w:t>
            </w:r>
            <w:r w:rsidRPr="000E3A3D">
              <w:rPr>
                <w:b/>
              </w:rPr>
              <w:br/>
            </w:r>
            <w:r w:rsidRPr="000E3A3D">
              <w:t>(SPD)</w:t>
            </w:r>
            <w:r>
              <w:fldChar w:fldCharType="begin"/>
            </w:r>
            <w:r>
              <w:instrText xml:space="preserve"> TC </w:instrText>
            </w:r>
            <w:r w:rsidR="00423B2A">
              <w:instrText>„</w:instrText>
            </w:r>
            <w:bookmarkStart w:id="22" w:name="_Toc519153208"/>
            <w:r>
              <w:instrText>Weikert, Angelika (SPD)</w:instrText>
            </w:r>
            <w:r>
              <w:br/>
              <w:instrText>Ausbau der Abschiebehaftkapazitäten</w:instrText>
            </w:r>
            <w:bookmarkEnd w:id="22"/>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4B6267">
            <w:pPr>
              <w:pStyle w:val="LTAnfrageText"/>
            </w:pPr>
            <w:r>
              <w:t>Bezugnehmend auf den Beschluss des Ministerrats, im Rahmen des bayerischen Asylplans die Abschiebehaftplätze von aktuell 131 auf 480 zu erhöhen, frage ich die Staatsregierung, wie sich die Belegungszahlen der bestehenden Abschiebehaftplätze in den vergangenen drei Jahren entwickelt haben, auf welcher Grundlage die Anzahl der zusätzlichen Abschiebehaftplätze berechnet wurde und wie viele ausreisepflichtige Personen 2017 trotz vorliegendem richterlichen Beschluss aufgrund fehlender Abschiebehaftkapazitäten nicht in Abschiebehaft genommen werden konnten?</w:t>
            </w:r>
          </w:p>
        </w:tc>
      </w:tr>
    </w:tbl>
    <w:p w:rsidR="000E3A3D" w:rsidRDefault="000E3A3D" w:rsidP="000E3A3D">
      <w:pPr>
        <w:pStyle w:val="LTUeberschrAntwortRessort"/>
      </w:pPr>
      <w:r>
        <w:lastRenderedPageBreak/>
        <w:t>Antwort des Staatsministeriums des Innern und für Integration</w:t>
      </w:r>
    </w:p>
    <w:p w:rsidR="000E3A3D" w:rsidRDefault="000E3A3D" w:rsidP="004B6267">
      <w:pPr>
        <w:pStyle w:val="LTAntwortRessortText"/>
        <w:spacing w:before="360"/>
      </w:pPr>
      <w:r>
        <w:t xml:space="preserve">Im zweiten Halbjahr 2015 waren in der Spitze bis zu 42 Abschiebungshaftplätze gleichzeitig belegt; im Jahr 2016 bis zu 54 Haftplätze, im Jahr 2017 bis zu 102 Haftplätze und im ersten Halbjahr 2018 wurden bereits </w:t>
      </w:r>
      <w:r w:rsidR="00743395">
        <w:t>–</w:t>
      </w:r>
      <w:r>
        <w:t xml:space="preserve"> für kurze Zeit </w:t>
      </w:r>
      <w:r w:rsidR="00743395">
        <w:t>–</w:t>
      </w:r>
      <w:r>
        <w:t xml:space="preserve"> bis zu 132 Haftplätze gleichzeitig belegt. Eine mathematische Berechnung konnte den weiteren Planungen zur Schaffung weiterer, über den derzeitigen Bestand hinausgehender Haftkapazitäten nicht zugrunde gelegt werden, da sichere Prognosen zur Entwicklung der benötigen Haftkapazitäten nicht möglich sind. Allerdings ist ein weiter steigender Bedarf an Abschiebungshaftplätzen aufgrund der fortlaufend steigenden Anzahl vollziehbar ausreisepflichtiger Ausländer im Grundsat</w:t>
      </w:r>
      <w:r w:rsidR="00743395">
        <w:t>z vorhersehbar, sodass ausrei</w:t>
      </w:r>
      <w:r>
        <w:t>chend Abschiebungshaftplätze geschaffen werden müssen, um das geltende Ausländerrecht auch konsequent umsetzen zu können. In der künftigen Kombianstalt fü</w:t>
      </w:r>
      <w:r w:rsidR="00743395">
        <w:t>r Straf- und Untersu</w:t>
      </w:r>
      <w:r>
        <w:t xml:space="preserve">chungshaft sowie für Abschiebungshaft in Passau werden 450 Haftplätze entstehen, von denen bis zu 200 Plätze </w:t>
      </w:r>
      <w:r w:rsidR="00743395">
        <w:t>–</w:t>
      </w:r>
      <w:r>
        <w:t xml:space="preserve"> räumlich getrennt, aber auf dem Gelände der künftigen Anstalt </w:t>
      </w:r>
      <w:r w:rsidR="00743395">
        <w:t>– als Ab</w:t>
      </w:r>
      <w:r>
        <w:t>schiebungshaftplätze genutzt werden können. Sofern dies nicht erforderlich ist, stehen diese</w:t>
      </w:r>
      <w:r w:rsidR="00743395">
        <w:t xml:space="preserve"> Haftplätze dem normalen Straf- bzw. </w:t>
      </w:r>
      <w:r>
        <w:t>Untersuchungshaftvollzug zu</w:t>
      </w:r>
      <w:r w:rsidR="00743395">
        <w:t>r Verfügung. Mit dieser bundes</w:t>
      </w:r>
      <w:r>
        <w:t>weit einmaligen Kombinationslösung kann auf plötzlich ein</w:t>
      </w:r>
      <w:r w:rsidR="00743395">
        <w:t>tretende Veränderungen angemes</w:t>
      </w:r>
      <w:r>
        <w:t>sen und schnell reagiert werden. Auch bezüglich der anderen Einrichtungen kann grundsätzlich eine Umwidmung für Straf- oder Untersuchungshaft erfolgen, sollten tatsächlich entgegen den Erwartungen weniger Abschiebungshaftplätze benötigt werden.</w:t>
      </w:r>
    </w:p>
    <w:p w:rsidR="000E3A3D" w:rsidRDefault="000E3A3D" w:rsidP="004B6267">
      <w:pPr>
        <w:pStyle w:val="LTAntwortRessortText"/>
        <w:spacing w:before="360"/>
      </w:pPr>
      <w:r>
        <w:t>Zu der Anzahl der ausreisepflichtigen Personen, die im Jahr 201</w:t>
      </w:r>
      <w:r w:rsidR="00743395">
        <w:t>7 trotz vorliegenden richterli</w:t>
      </w:r>
      <w:r>
        <w:t>chen Beschlusses aufgrund fehlender Abschiebungshaftkapazitäten nicht in Abschiebungshaft genommen werden konnten, liegen keine statistisch auswertbaren Daten vor.</w:t>
      </w:r>
    </w:p>
    <w:p w:rsidR="004B6267" w:rsidRDefault="004B6267" w:rsidP="004B626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Herbert</w:t>
            </w:r>
            <w:r w:rsidRPr="000E3A3D">
              <w:rPr>
                <w:b/>
              </w:rPr>
              <w:br/>
              <w:t>Woerlein</w:t>
            </w:r>
            <w:r w:rsidRPr="000E3A3D">
              <w:rPr>
                <w:b/>
              </w:rPr>
              <w:br/>
            </w:r>
            <w:r w:rsidRPr="000E3A3D">
              <w:t>(SPD)</w:t>
            </w:r>
            <w:r>
              <w:fldChar w:fldCharType="begin"/>
            </w:r>
            <w:r>
              <w:instrText xml:space="preserve"> TC </w:instrText>
            </w:r>
            <w:r w:rsidR="00423B2A">
              <w:instrText>„</w:instrText>
            </w:r>
            <w:bookmarkStart w:id="23" w:name="_Toc519153209"/>
            <w:r>
              <w:instrText>Woerlein, Herbert (SPD)</w:instrText>
            </w:r>
            <w:r>
              <w:br/>
              <w:instrText>Vergaberecht bei der Vergabe von Rettungsdienstleistungen</w:instrText>
            </w:r>
            <w:bookmarkEnd w:id="23"/>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beurteilt sie die bestehende Möglichkeit, das Vergaberecht bei der Vergabe von Rettungsdienstleistungen gem. § 107 Abs. 1 Nr. 4 Gesetz gegen Wettbewerbsbeschränkungen (GWB) nicht anzuwenden, sodass Aufträge an gemeinnützige Organisationen oder Vereinigungen direkt vergeben werden dürfen, wenn sie Rettungsdienstleistungen im Rahmen des Katastrophenschutzes, des Zivilschutzes oder der Gefahrenabwehr erbringen?</w:t>
            </w:r>
          </w:p>
          <w:p w:rsidR="000E3A3D" w:rsidRDefault="000E3A3D" w:rsidP="000E3A3D">
            <w:pPr>
              <w:pStyle w:val="LTAnfrageText"/>
            </w:pPr>
          </w:p>
        </w:tc>
      </w:tr>
    </w:tbl>
    <w:p w:rsidR="000E3A3D" w:rsidRDefault="000E3A3D" w:rsidP="004B6267">
      <w:pPr>
        <w:pStyle w:val="LTUeberschrAntwortRessort"/>
        <w:spacing w:before="960"/>
      </w:pPr>
      <w:r>
        <w:t>Antwort des Staatsministeriums des Innern und für Integration</w:t>
      </w:r>
    </w:p>
    <w:p w:rsidR="000E3A3D" w:rsidRDefault="000E3A3D" w:rsidP="004B6267">
      <w:pPr>
        <w:pStyle w:val="LTAntwortRessortText"/>
        <w:spacing w:before="360"/>
      </w:pPr>
      <w:r>
        <w:t xml:space="preserve">Anwendungsbereich, Reichweite und Umsetzbarkeit der sogenannten </w:t>
      </w:r>
      <w:r w:rsidR="00423B2A">
        <w:t>„</w:t>
      </w:r>
      <w:r>
        <w:t>Bereichsausnahme Rettungsdienst</w:t>
      </w:r>
      <w:r w:rsidR="00423B2A">
        <w:t>“</w:t>
      </w:r>
      <w:r>
        <w:t xml:space="preserve"> in § 107 Abs. 1 Nr. 4 </w:t>
      </w:r>
      <w:r w:rsidR="00323038">
        <w:t>Gesetz</w:t>
      </w:r>
      <w:r>
        <w:t xml:space="preserve"> gegen Wettbewerbsbeschränkungen (GWB) sind in Fachkreisen hoch umstritten.</w:t>
      </w:r>
    </w:p>
    <w:p w:rsidR="000E3A3D" w:rsidRDefault="000E3A3D" w:rsidP="004B6267">
      <w:pPr>
        <w:pStyle w:val="LTAntwortRessortText"/>
        <w:spacing w:before="360"/>
      </w:pPr>
      <w:r>
        <w:t xml:space="preserve">Das </w:t>
      </w:r>
      <w:r w:rsidR="0084274F">
        <w:t xml:space="preserve">damalige </w:t>
      </w:r>
      <w:r>
        <w:t xml:space="preserve">Staatsministerium </w:t>
      </w:r>
      <w:r w:rsidR="0084274F">
        <w:t>des Innern, für Bau und Verkehr</w:t>
      </w:r>
      <w:r>
        <w:t xml:space="preserve"> hat die Wirkung dieser Vorschrift bereits Ende des Jahres 2016 zusammen mit dem für Grundsatzfragen des Vergaberechts zuständigen </w:t>
      </w:r>
      <w:r w:rsidR="0084274F">
        <w:t xml:space="preserve">damaligen </w:t>
      </w:r>
      <w:r>
        <w:t>Staatsministerium für Wirtschaft</w:t>
      </w:r>
      <w:r w:rsidR="0084274F">
        <w:t xml:space="preserve"> und Medien</w:t>
      </w:r>
      <w:r>
        <w:t xml:space="preserve">, Energie und Technologie umfassend </w:t>
      </w:r>
      <w:r>
        <w:lastRenderedPageBreak/>
        <w:t xml:space="preserve">und gründlich geprüft. Das Ergebnis dieser Begutachtung war, dass eine Anwendung der </w:t>
      </w:r>
      <w:r w:rsidR="00423B2A">
        <w:t>„</w:t>
      </w:r>
      <w:r w:rsidR="00323038">
        <w:t>Bereichsausnahme Ret</w:t>
      </w:r>
      <w:r>
        <w:t>tungsdienst</w:t>
      </w:r>
      <w:r w:rsidR="00423B2A">
        <w:t>“</w:t>
      </w:r>
      <w:r>
        <w:t xml:space="preserve">, die nur durch eine Änderung von Art. 13 </w:t>
      </w:r>
      <w:r w:rsidR="00323038">
        <w:t>Bayerisches Rettungsdienstgesetz</w:t>
      </w:r>
      <w:r>
        <w:t xml:space="preserve"> (BayRDG) umsetzbar wäre, aufgrund eines Urteils des Bayerischen Verfassungsgerichtshofs vom 24. Mai 2012 aus verfassungsrechtlichen Gründen jedenfalls derzeit nicht möglich ist. Das Gutachten ist in den Bayerischen Verwaltungsblättern veröffentlicht (BayVbl. 2017, S. 583 ff.). Gleichzeitig ist vor dem Europäischen Gerichtshof ein Verfahren zum Anwendungsbereich der</w:t>
      </w:r>
      <w:r w:rsidR="00323038">
        <w:t xml:space="preserve"> </w:t>
      </w:r>
      <w:r w:rsidR="00423B2A">
        <w:t>„</w:t>
      </w:r>
      <w:r>
        <w:t>Bereichsausnahme Rettungsdienst</w:t>
      </w:r>
      <w:r w:rsidR="00423B2A">
        <w:t>“</w:t>
      </w:r>
      <w:r>
        <w:t xml:space="preserve"> anhängig, das zwar seinen Ausgangspunkt in Nordrhein- Westfalen hat, das aber auch für die Vergabepraxis in Bayern maßgeblich sein könnte. Der Europäische Gerichtshof hat eine mündliche Verhandlung anges</w:t>
      </w:r>
      <w:r w:rsidR="00323038">
        <w:t>etzt, was als Indiz dafür gese</w:t>
      </w:r>
      <w:r>
        <w:t>hen werden kann, dass die Thematik auch dort als problematisc</w:t>
      </w:r>
      <w:r w:rsidR="00323038">
        <w:t>h bewertet wird. Mit einer Ent</w:t>
      </w:r>
      <w:r>
        <w:t>scheidung ist erst im Verlauf des Jahres 2019 zu rechnen. Das Staatsministerium des Innern und für Integration wird die Thematik daher weiter beobachten und nach einer Entscheidung des Europäischen Gerichtshof</w:t>
      </w:r>
      <w:r w:rsidR="0084274F">
        <w:t>s</w:t>
      </w:r>
      <w:r>
        <w:t xml:space="preserve"> deren Auswirkung auf die bayerische Rechtslage überprüfen.</w:t>
      </w:r>
    </w:p>
    <w:p w:rsidR="00273599" w:rsidRDefault="00273599">
      <w:pPr>
        <w:rPr>
          <w:rFonts w:cs="Arial"/>
          <w:b/>
          <w:sz w:val="22"/>
          <w:szCs w:val="22"/>
        </w:rPr>
      </w:pPr>
      <w:r>
        <w:br w:type="page"/>
      </w:r>
    </w:p>
    <w:p w:rsidR="000E3A3D" w:rsidRDefault="000E3A3D" w:rsidP="000E3A3D">
      <w:pPr>
        <w:pStyle w:val="LTUeberschrRessort"/>
      </w:pPr>
      <w:r>
        <w:lastRenderedPageBreak/>
        <w:t>Geschäftsbereich des Staatsministeriums für Wohnen, Bau und Verkehr</w:t>
      </w:r>
      <w:r>
        <w:fldChar w:fldCharType="begin"/>
      </w:r>
      <w:r>
        <w:instrText xml:space="preserve"> TC </w:instrText>
      </w:r>
      <w:r w:rsidR="00423B2A">
        <w:instrText>„</w:instrText>
      </w:r>
      <w:bookmarkStart w:id="24" w:name="_Toc519153210"/>
      <w:r>
        <w:instrText>Geschäftsbereich des Staatsministeriums für Wohnen, Bau und Verkehr</w:instrText>
      </w:r>
      <w:bookmarkEnd w:id="24"/>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Dr. Hans Jürgen</w:t>
            </w:r>
            <w:r w:rsidRPr="000E3A3D">
              <w:rPr>
                <w:b/>
              </w:rPr>
              <w:br/>
              <w:t>Fahn</w:t>
            </w:r>
            <w:r w:rsidRPr="000E3A3D">
              <w:rPr>
                <w:b/>
              </w:rPr>
              <w:br/>
            </w:r>
            <w:r w:rsidRPr="000E3A3D">
              <w:t>(FREIE WÄHLER)</w:t>
            </w:r>
            <w:r>
              <w:fldChar w:fldCharType="begin"/>
            </w:r>
            <w:r>
              <w:instrText xml:space="preserve"> TC </w:instrText>
            </w:r>
            <w:r w:rsidR="00423B2A">
              <w:instrText>„</w:instrText>
            </w:r>
            <w:bookmarkStart w:id="25" w:name="_Toc519153211"/>
            <w:r>
              <w:instrText>Dr. Fahn, Hans Jürgen (FREIE WÄHLER)</w:instrText>
            </w:r>
            <w:r>
              <w:br/>
              <w:instrText>Nennung des Planungsbüros und Zeitplan</w:instrText>
            </w:r>
            <w:bookmarkEnd w:id="2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welches Planungsbüro wurde mit der Durchführung der Umweltverträglichkeitsprüfung zur Ortsumfahrung Sulzbach beauftragt und wird dieses Gutachten noch im Jahre 2018 erstellt sein?</w:t>
            </w:r>
          </w:p>
          <w:p w:rsidR="000E3A3D" w:rsidRDefault="000E3A3D" w:rsidP="000E3A3D">
            <w:pPr>
              <w:pStyle w:val="LTAnfrageText"/>
            </w:pPr>
          </w:p>
        </w:tc>
      </w:tr>
    </w:tbl>
    <w:p w:rsidR="000E3A3D" w:rsidRDefault="000E3A3D" w:rsidP="004B6267">
      <w:pPr>
        <w:pStyle w:val="LTUeberschrAntwortRessort"/>
        <w:spacing w:before="600"/>
      </w:pPr>
      <w:r>
        <w:t>Antwort des Staatsministeriums für Wohnen, Bau und Verkehr</w:t>
      </w:r>
    </w:p>
    <w:p w:rsidR="000E3A3D" w:rsidRDefault="000E3A3D" w:rsidP="000E3A3D">
      <w:pPr>
        <w:pStyle w:val="LTAntwortRessortText"/>
      </w:pPr>
      <w:r>
        <w:t>Das Staatliche Bauamt Aschaffenburg hat das Fachbüro TNL Energie GmbH, 35410 Hungen, mit der Erstellung einer Umweltverträglichkeitsstudie (UVS)</w:t>
      </w:r>
      <w:r w:rsidR="00273599">
        <w:t xml:space="preserve"> beauftragt. Die Umweltverträg</w:t>
      </w:r>
      <w:r>
        <w:t>lichkeitsprüfung (UVP) erfolgt dann im Rahmen des Genehmigungsverfahr</w:t>
      </w:r>
      <w:r w:rsidR="00273599">
        <w:t>ens durch die Planf</w:t>
      </w:r>
      <w:r>
        <w:t>eststellungsbehörde.</w:t>
      </w:r>
    </w:p>
    <w:p w:rsidR="007A70E2" w:rsidRDefault="007A70E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Jürgen</w:t>
            </w:r>
            <w:r w:rsidRPr="000E3A3D">
              <w:rPr>
                <w:b/>
              </w:rPr>
              <w:br/>
              <w:t>Mistol</w:t>
            </w:r>
            <w:r w:rsidRPr="000E3A3D">
              <w:rPr>
                <w:b/>
              </w:rPr>
              <w:br/>
            </w:r>
            <w:r w:rsidRPr="000E3A3D">
              <w:t>(BÜNDNIS 90/DIE GRÜNEN)</w:t>
            </w:r>
            <w:r>
              <w:fldChar w:fldCharType="begin"/>
            </w:r>
            <w:r>
              <w:instrText xml:space="preserve"> TC </w:instrText>
            </w:r>
            <w:r w:rsidR="00423B2A">
              <w:instrText>„</w:instrText>
            </w:r>
            <w:bookmarkStart w:id="26" w:name="_Toc519153212"/>
            <w:r>
              <w:instrText>Mistol, Jürgen (BÜNDNIS 90/DIE GRÜNEN)</w:instrText>
            </w:r>
            <w:r>
              <w:br/>
              <w:instrText>Bahnverbindung Regensburg - München</w:instrText>
            </w:r>
            <w:bookmarkEnd w:id="26"/>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ob sie Kenntnis hat, welche </w:t>
            </w:r>
            <w:r w:rsidR="00423B2A">
              <w:t>„</w:t>
            </w:r>
            <w:r>
              <w:t>alex</w:t>
            </w:r>
            <w:r w:rsidR="00423B2A">
              <w:t>“</w:t>
            </w:r>
            <w:r>
              <w:t>-Züge zwischen Regensburg und München seit dem 01.06.2018 komplett ausgefallen sind, was jeweils der Grund hierfür war und wie wird die Bayerische Eisenbahngesellschaft mbH sicherstellen, dass die Fahrgäste auf dieser Strecke zukünftig ein verlässliches Angebot im SPNV vorfinden?</w:t>
            </w:r>
          </w:p>
          <w:p w:rsidR="000E3A3D" w:rsidRDefault="000E3A3D" w:rsidP="000E3A3D">
            <w:pPr>
              <w:pStyle w:val="LTAnfrageText"/>
            </w:pPr>
          </w:p>
        </w:tc>
      </w:tr>
    </w:tbl>
    <w:p w:rsidR="000E3A3D" w:rsidRDefault="000E3A3D" w:rsidP="004B6267">
      <w:pPr>
        <w:pStyle w:val="LTUeberschrAntwortRessort"/>
        <w:spacing w:before="600"/>
      </w:pPr>
      <w:r>
        <w:t>Antwort des Staatsministeriums für Wohnen, Bau und Verkehr</w:t>
      </w:r>
    </w:p>
    <w:p w:rsidR="000E3A3D" w:rsidRDefault="000E3A3D" w:rsidP="000E3A3D">
      <w:pPr>
        <w:pStyle w:val="LTAntwortRessortText"/>
      </w:pPr>
      <w:r>
        <w:t xml:space="preserve">Im Zeitraum vom </w:t>
      </w:r>
      <w:r w:rsidR="00273599">
        <w:t>01.06.</w:t>
      </w:r>
      <w:r>
        <w:t xml:space="preserve">2018 bis </w:t>
      </w:r>
      <w:r w:rsidR="00273599">
        <w:t>09.07.</w:t>
      </w:r>
      <w:r>
        <w:t xml:space="preserve">2018 fielen beim </w:t>
      </w:r>
      <w:r w:rsidR="00273599">
        <w:t xml:space="preserve">alex </w:t>
      </w:r>
      <w:r>
        <w:t xml:space="preserve">Nord zwischen Regensburg und München insgesamt 18 Züge aus. Die Gründe waren in elf Fällen </w:t>
      </w:r>
      <w:r w:rsidR="00423B2A">
        <w:t>„</w:t>
      </w:r>
      <w:r w:rsidR="00273599">
        <w:t>Krankenstand des Be</w:t>
      </w:r>
      <w:r>
        <w:t>triebspersonals</w:t>
      </w:r>
      <w:r w:rsidR="00423B2A">
        <w:t>“</w:t>
      </w:r>
      <w:r>
        <w:t xml:space="preserve">, in drei Fällen </w:t>
      </w:r>
      <w:r w:rsidR="00423B2A">
        <w:t>„</w:t>
      </w:r>
      <w:r>
        <w:t>Folgen wegen Unwetter</w:t>
      </w:r>
      <w:r w:rsidR="00423B2A">
        <w:t>“</w:t>
      </w:r>
      <w:r>
        <w:t>, in zwei Fällen war ein Güterzug auf der Strecke liegengeblieben und in weiteren zwei Fällen waren sehr hohe Verspätungen die Ursache.</w:t>
      </w:r>
    </w:p>
    <w:p w:rsidR="000E3A3D" w:rsidRDefault="000E3A3D" w:rsidP="000E3A3D">
      <w:pPr>
        <w:pStyle w:val="LTAntwortRessortText"/>
      </w:pPr>
      <w:r>
        <w:t xml:space="preserve">Die Bayerische Eisenbahngesellschaft mbH (BEG) wurde von der Länderbahn, welche den </w:t>
      </w:r>
      <w:r w:rsidR="00273599">
        <w:t>alex</w:t>
      </w:r>
      <w:r>
        <w:t xml:space="preserve"> betreibt, darüber unterrichtet, dass es wegen einem aktuell überdurchschnittlich hohen Krankenstand beim Betriebspersonal zu vermehrten Zugausfällen kommt. Um den Betrieb zu stabilisieren, wird als kurzfristige Maßnahme der Zug 84116</w:t>
      </w:r>
      <w:r w:rsidR="00273599">
        <w:t xml:space="preserve"> (ab Regensburg 06.51 Uhr Rich</w:t>
      </w:r>
      <w:r>
        <w:t xml:space="preserve">tung München) vorübergehend (bis </w:t>
      </w:r>
      <w:r w:rsidR="00273599">
        <w:t>13.07.2018</w:t>
      </w:r>
      <w:r>
        <w:t>) planmäßig ausfallen, um damit einen geregelten Betriebsablauf zu gewährleisten, der den Fahrgästen kommuniziert werden kann. Dieser Zug wurde ausgewählt, da er die geringsten Auswirkungen auf die</w:t>
      </w:r>
      <w:r w:rsidR="00273599">
        <w:t xml:space="preserve"> Fahrgäste habe. Der darauffol</w:t>
      </w:r>
      <w:r>
        <w:t>gende Zug verkehrt zehn Minuten später und verfügt nach Aussage der Länderbahn noch über entsprechende Kapazitäten.</w:t>
      </w:r>
    </w:p>
    <w:p w:rsidR="000E3A3D" w:rsidRDefault="000E3A3D" w:rsidP="000E3A3D">
      <w:pPr>
        <w:pStyle w:val="LTAntwortRessortText"/>
      </w:pPr>
      <w:r>
        <w:t>Die Länderbahn hat der BEG zugesagt, dass während dieser Zeit externes Betriebspersonal akquiriert werden soll, um die Hauptursache der aktuellen Zuga</w:t>
      </w:r>
      <w:r w:rsidR="00273599">
        <w:t>usfälle kurzfristig zu beseiti</w:t>
      </w:r>
      <w:r>
        <w:t>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Alexander</w:t>
            </w:r>
            <w:r w:rsidRPr="000E3A3D">
              <w:rPr>
                <w:b/>
              </w:rPr>
              <w:br/>
              <w:t>Muthmann</w:t>
            </w:r>
            <w:r w:rsidRPr="000E3A3D">
              <w:rPr>
                <w:b/>
              </w:rPr>
              <w:br/>
            </w:r>
            <w:r w:rsidR="00423B2A">
              <w:t>(f</w:t>
            </w:r>
            <w:r w:rsidRPr="000E3A3D">
              <w:t>raktionslos)</w:t>
            </w:r>
            <w:r>
              <w:fldChar w:fldCharType="begin"/>
            </w:r>
            <w:r>
              <w:instrText xml:space="preserve"> TC </w:instrText>
            </w:r>
            <w:r w:rsidR="00423B2A">
              <w:instrText>„</w:instrText>
            </w:r>
            <w:bookmarkStart w:id="27" w:name="_Toc519153213"/>
            <w:r>
              <w:instrText>Muthmann, Alexander (Fraktionslos)</w:instrText>
            </w:r>
            <w:r>
              <w:br/>
              <w:instrText>Mittelverschiebungen für die Städtebauförderung</w:instrText>
            </w:r>
            <w:bookmarkEnd w:id="2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die Bundesregierung mitgeteilt hat, dass der Freistaat Bayern durch Mittelverschiebung aus nicht abgerufenen Geldern durch andere Bundesländer noch im Jahr 2016 3 Mio. Euro zusätzlich für die Städtebauförderung erhalten hat, im Jahr 2017 von derartigen Verschiebungen jedoch nicht profitieren konnte (0 Euro), während auf die Bundesländer Baden-Württemberg, Mecklenburg-Vorpommern und Sachsen insgesamt fast 13</w:t>
            </w:r>
            <w:r w:rsidR="00267971">
              <w:t> </w:t>
            </w:r>
            <w:r>
              <w:t>Mio. Euro verteilt wurden (Daten aus einer Anfrage des MdB Karsten Klein, FDP, Juni 2018), frage ich die Staatsregierung, warum der Freistaat Bayern im Jahr 2017 von den Mittelverschiebungen im Bereich der Städtebauförderung nicht profitieren konnte, in welcher Höhe Bayern jeweils in den letzten fünf  Jahren von Mittelverschiebungen im Bereich der Städtebauförderung betroffen war und inwiefern sich die Staatsregierung darum bemühen wird, künftig wieder verbleibende Bundesmittel aus Nicht-Abrufen in der Städtebauförderung zu erhalten?</w:t>
            </w:r>
          </w:p>
          <w:p w:rsidR="000E3A3D" w:rsidRDefault="000E3A3D" w:rsidP="000E3A3D">
            <w:pPr>
              <w:pStyle w:val="LTAnfrageText"/>
            </w:pPr>
          </w:p>
        </w:tc>
      </w:tr>
    </w:tbl>
    <w:p w:rsidR="000E3A3D" w:rsidRDefault="000E3A3D" w:rsidP="007A70E2">
      <w:pPr>
        <w:pStyle w:val="LTUeberschrAntwortRessort"/>
        <w:spacing w:before="0"/>
      </w:pPr>
      <w:r>
        <w:t>Antwort des Staatsministeriums für Wohnen, Bau und Verkehr</w:t>
      </w:r>
    </w:p>
    <w:p w:rsidR="000E3A3D" w:rsidRDefault="000E3A3D" w:rsidP="007A70E2">
      <w:pPr>
        <w:pStyle w:val="LTAntwortRessortText"/>
        <w:spacing w:before="120"/>
      </w:pPr>
      <w:r>
        <w:t>Im Herbst 2017 erfolgte eine Nachfrage des Bundesministe</w:t>
      </w:r>
      <w:r w:rsidR="000125A5">
        <w:t>riums für Umwelt, Naturschutz</w:t>
      </w:r>
      <w:r>
        <w:t xml:space="preserve"> und </w:t>
      </w:r>
      <w:r w:rsidR="0049045A">
        <w:t>nukleare Sicherheit</w:t>
      </w:r>
      <w:r>
        <w:t>, ob seitens des Freistaat</w:t>
      </w:r>
      <w:r w:rsidR="000125A5">
        <w:t>e</w:t>
      </w:r>
      <w:r>
        <w:t>s Bayern wie in den Vorjahren grundsätzlich Interesse besteht, Bundesfinanzhilfen, die andere Länder nicht in Anspruch genommen haben, für einen zeitnahen Mittelabruf übertragen zu bekommen. Ein</w:t>
      </w:r>
      <w:r w:rsidR="000125A5">
        <w:t>e Abfrage bei den Bezirksregie</w:t>
      </w:r>
      <w:r>
        <w:t xml:space="preserve">rungen ergab, dass für das Programmjahr 2017 kein zusätzlicher und kurzfristiger Bedarf bei den bayerischen Städtebauförderungsgemeinden vorhanden war, der in der Kürze der </w:t>
      </w:r>
      <w:r w:rsidR="000125A5">
        <w:t xml:space="preserve">für die Beantwortung einer Anfrage zum Plenum zur Verfügung stehenden </w:t>
      </w:r>
      <w:r>
        <w:t>Zeit hätte umgesetzt werden können.</w:t>
      </w:r>
    </w:p>
    <w:p w:rsidR="000E3A3D" w:rsidRDefault="000E3A3D" w:rsidP="007A70E2">
      <w:pPr>
        <w:pStyle w:val="LTAntwortRessortText"/>
        <w:spacing w:before="120"/>
      </w:pPr>
      <w:r>
        <w:t xml:space="preserve">Im Programmjahr 2013 </w:t>
      </w:r>
      <w:r w:rsidR="000125A5">
        <w:t xml:space="preserve">hat das damalige Staatsministerium </w:t>
      </w:r>
      <w:r w:rsidR="0049045A">
        <w:t>des Innern, für Bau und Verkehr</w:t>
      </w:r>
      <w:r w:rsidR="000125A5">
        <w:t xml:space="preserve"> (StMI) </w:t>
      </w:r>
      <w:r>
        <w:t xml:space="preserve">insgesamt 1.112.000 Euro </w:t>
      </w:r>
      <w:r w:rsidR="000125A5">
        <w:t>an Bundesmitteln aus Nichtabru</w:t>
      </w:r>
      <w:r>
        <w:t>fen anderer Bundesländer erhalten. Diese sind in bayer</w:t>
      </w:r>
      <w:r w:rsidR="000125A5">
        <w:t>ische Projekte des Bund-Länder-</w:t>
      </w:r>
      <w:r>
        <w:t>Städtebauförderungsprogramms Städtebaulicher Denkmalschutz geflossen.</w:t>
      </w:r>
    </w:p>
    <w:p w:rsidR="000E3A3D" w:rsidRDefault="000E3A3D" w:rsidP="007A70E2">
      <w:pPr>
        <w:pStyle w:val="LTAntwortRessortText"/>
        <w:spacing w:before="120"/>
      </w:pPr>
      <w:r>
        <w:t xml:space="preserve">Im Programmjahr 2014 </w:t>
      </w:r>
      <w:r w:rsidR="000125A5">
        <w:t>hat das damalige StMI</w:t>
      </w:r>
      <w:r>
        <w:t xml:space="preserve"> insgesamt 5.700.000 Euro </w:t>
      </w:r>
      <w:r w:rsidR="000125A5">
        <w:t>an Bundesmitteln aus Nichtabru</w:t>
      </w:r>
      <w:r>
        <w:t>fen anderer Bundesländer erhalten. Diese sind in bayerische Projekte des Bund-Länder-Städtebauförderungsprogramms Soziale Stadt (1.460.000 Eur</w:t>
      </w:r>
      <w:r w:rsidR="000125A5">
        <w:t>o), Kleinere Städte und Gemein</w:t>
      </w:r>
      <w:r>
        <w:t>den (840.000 Euro), Stadtumbau West (3.000.000 Euro) und Städtebaulicher Denkmalschutz (400.000 Euro) geflossen.</w:t>
      </w:r>
    </w:p>
    <w:p w:rsidR="000E3A3D" w:rsidRDefault="000E3A3D" w:rsidP="007A70E2">
      <w:pPr>
        <w:pStyle w:val="LTAntwortRessortText"/>
        <w:spacing w:before="120"/>
      </w:pPr>
      <w:r>
        <w:t xml:space="preserve">Im Programmjahr 2015 </w:t>
      </w:r>
      <w:r w:rsidR="000125A5">
        <w:t>hat das damalige StMI</w:t>
      </w:r>
      <w:r>
        <w:t xml:space="preserve"> insgesamt 2.600.000 Euro </w:t>
      </w:r>
      <w:r w:rsidR="000125A5">
        <w:t>an Bundesmitteln aus Nichtabru</w:t>
      </w:r>
      <w:r>
        <w:t>fen anderer Bundesländer erhalten. Diese sind in bayer</w:t>
      </w:r>
      <w:r w:rsidR="000125A5">
        <w:t>ische Projekte des Bund-Länder-</w:t>
      </w:r>
      <w:r>
        <w:t>Städtebauförderungsprogramms Kleinere Städte und Gemeinden (120.000 Euro), Aktive Stadt- und Ortsteilzentren (885.000 Euro) und Städtebaulicher Den</w:t>
      </w:r>
      <w:r w:rsidR="000125A5">
        <w:t>kmalschutz (1.595.000 Euro) ge</w:t>
      </w:r>
      <w:r>
        <w:t>flossen.</w:t>
      </w:r>
    </w:p>
    <w:p w:rsidR="000E3A3D" w:rsidRDefault="000E3A3D" w:rsidP="007A70E2">
      <w:pPr>
        <w:pStyle w:val="LTAntwortRessortText"/>
        <w:spacing w:before="120"/>
      </w:pPr>
      <w:r>
        <w:t xml:space="preserve">Im Programmjahr 2016 </w:t>
      </w:r>
      <w:r w:rsidR="000125A5">
        <w:t>hat damalige StMI</w:t>
      </w:r>
      <w:r>
        <w:t xml:space="preserve"> insgesamt 3.000.000 Euro </w:t>
      </w:r>
      <w:r w:rsidR="000125A5">
        <w:t>an Bundesmitteln aus Nichtabru</w:t>
      </w:r>
      <w:r>
        <w:t>fen anderer Bundesländer erhalten. Diese sind in bayer</w:t>
      </w:r>
      <w:r w:rsidR="000125A5">
        <w:t>ische Projekte des Bund-Länder-</w:t>
      </w:r>
      <w:r>
        <w:t>Städtebauförderungsprogramms Soziale Stadt (500.000 Euro) und Aktive Stadt- und</w:t>
      </w:r>
      <w:r w:rsidR="0049045A">
        <w:t xml:space="preserve"> Ortsteil</w:t>
      </w:r>
      <w:r>
        <w:t>zentren (2.500.000 Euro) geflossen.</w:t>
      </w:r>
    </w:p>
    <w:p w:rsidR="000E3A3D" w:rsidRDefault="000E3A3D" w:rsidP="007A70E2">
      <w:pPr>
        <w:pStyle w:val="LTAntwortRessortText"/>
        <w:spacing w:before="120"/>
      </w:pPr>
      <w:r>
        <w:t xml:space="preserve">Im Programmjahr 2017 </w:t>
      </w:r>
      <w:r w:rsidR="0049045A">
        <w:t>hat das damalige StMI</w:t>
      </w:r>
      <w:r>
        <w:t xml:space="preserve"> keine Bundesmittel aus Nichtabrufen anderer Bundesmittel abgerufen.</w:t>
      </w:r>
    </w:p>
    <w:p w:rsidR="000E3A3D" w:rsidRDefault="000E3A3D" w:rsidP="007A70E2">
      <w:pPr>
        <w:pStyle w:val="LTAntwortRessortText"/>
        <w:spacing w:before="120"/>
      </w:pPr>
      <w:r>
        <w:t>Die Inanspruchnahme verbleibender Bundesmittel der Städtebauförderung aus Nicht-Abrufen anderer Bundesländer wird wie in den Vorjahren stets nach Abwägung der je</w:t>
      </w:r>
      <w:r w:rsidR="000125A5">
        <w:t>weiligen Vor- und Nachteile zug</w:t>
      </w:r>
      <w:r>
        <w:t>unsten der bayerischen Städtebauförderungs</w:t>
      </w:r>
      <w:r w:rsidR="000125A5">
        <w:t>gemeinden erfolgen. Auf die be</w:t>
      </w:r>
      <w:r>
        <w:t>währte Vorgehensweise im engen Austausch mit den Bezirks</w:t>
      </w:r>
      <w:r w:rsidR="000125A5">
        <w:t>regierungen unter Berücksichti</w:t>
      </w:r>
      <w:r>
        <w:t>gung der dortigen Bedarfe der jeweiligen Städtebauförderungsgemeinden und -projekte wird Bezug genommen.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Florian</w:t>
            </w:r>
            <w:r w:rsidRPr="000E3A3D">
              <w:rPr>
                <w:b/>
              </w:rPr>
              <w:br/>
              <w:t>Ritter</w:t>
            </w:r>
            <w:r w:rsidRPr="000E3A3D">
              <w:rPr>
                <w:b/>
              </w:rPr>
              <w:br/>
            </w:r>
            <w:r w:rsidRPr="000E3A3D">
              <w:t>(SPD)</w:t>
            </w:r>
            <w:r>
              <w:fldChar w:fldCharType="begin"/>
            </w:r>
            <w:r>
              <w:instrText xml:space="preserve"> TC </w:instrText>
            </w:r>
            <w:r w:rsidR="00423B2A">
              <w:instrText>„</w:instrText>
            </w:r>
            <w:bookmarkStart w:id="28" w:name="_Toc519153214"/>
            <w:r>
              <w:instrText>Ritter, Florian (SPD)</w:instrText>
            </w:r>
            <w:r>
              <w:br/>
              <w:instrText>Baurecht auf ehemaligen und nicht überplanten Bahnflächen</w:instrText>
            </w:r>
            <w:bookmarkEnd w:id="28"/>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in welcher Form, zu welchem Zweck und auf welcher Rechtsgrundlage Flächen, die als ehemaliges Eigentum der Deutschen Bahn als Bahnflächen gewidmet waren, aber noch nicht rechtswirksam neu überplant wurden, genutzt und bebaut werden dürfen?</w:t>
            </w:r>
          </w:p>
          <w:p w:rsidR="000E3A3D" w:rsidRDefault="000E3A3D" w:rsidP="000E3A3D">
            <w:pPr>
              <w:pStyle w:val="LTAnfrageText"/>
            </w:pPr>
          </w:p>
        </w:tc>
      </w:tr>
    </w:tbl>
    <w:p w:rsidR="000E3A3D" w:rsidRDefault="000E3A3D" w:rsidP="000E3A3D">
      <w:pPr>
        <w:pStyle w:val="LTUeberschrAntwortRessort"/>
      </w:pPr>
      <w:r>
        <w:t>Antwort des Staatsministeriums für Wohnen, Bau und Verkehr</w:t>
      </w:r>
    </w:p>
    <w:p w:rsidR="000E3A3D" w:rsidRDefault="000E3A3D" w:rsidP="000E3A3D">
      <w:pPr>
        <w:pStyle w:val="LTAntwortRessortText"/>
      </w:pPr>
      <w:r>
        <w:t xml:space="preserve">Diese </w:t>
      </w:r>
      <w:r w:rsidR="00012325">
        <w:t>Anfrage zum Plenum</w:t>
      </w:r>
      <w:r>
        <w:t xml:space="preserve"> lässt sich nicht allgemein beantworten, sondern hängt von den Umständen des Einzelfalls ab. Wird eine zuvor der Fachplanung unterliegende, Eisenbahnzwecken dienende Fläche entwidmet, so beurteilt sich die Zulässigkeit von Bauvorhaben planungsrechtlich dort nach den §§ 29-35 </w:t>
      </w:r>
      <w:r w:rsidR="00012325">
        <w:t>Baugesetzbuch</w:t>
      </w:r>
      <w:r>
        <w:t xml:space="preserve"> (BauGB). Es kommt insofern zunächst darauf an, ob die betreffende Fläche innerhalb eines im Zusammenhang bebauten Ortsteils (§ 34 Abs. 1 BauGB) oder im Außenbereich (§ 35 BauGB) liegt, sowie ob ggf. Festsetzungen eines bereits bestehenden Bebauungsplans (§ 30 BauGB) gelten. Auf der so ermittelten Rechtsgrundlage basierend kann die Fläche dann nach Maßgabe dieser Vorschriften baulich genutzt und bebaut werden. In welcher Form und zu welchem Zweck dies erfolgen kann, hängt von den konkreten planungsrechtlichen Rahmenbedingungen im Einzelfall ab.</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Stefan</w:t>
            </w:r>
            <w:r w:rsidRPr="000E3A3D">
              <w:rPr>
                <w:b/>
              </w:rPr>
              <w:br/>
              <w:t>Schuster</w:t>
            </w:r>
            <w:r w:rsidRPr="000E3A3D">
              <w:rPr>
                <w:b/>
              </w:rPr>
              <w:br/>
            </w:r>
            <w:r w:rsidRPr="000E3A3D">
              <w:t>(SPD)</w:t>
            </w:r>
            <w:r>
              <w:fldChar w:fldCharType="begin"/>
            </w:r>
            <w:r>
              <w:instrText xml:space="preserve"> TC </w:instrText>
            </w:r>
            <w:r w:rsidR="00423B2A">
              <w:instrText>„</w:instrText>
            </w:r>
            <w:bookmarkStart w:id="29" w:name="_Toc519153215"/>
            <w:r>
              <w:instrText>Schuster, Stefan (SPD)</w:instrText>
            </w:r>
            <w:r>
              <w:br/>
              <w:instrText>Blow-ups</w:instrText>
            </w:r>
            <w:bookmarkEnd w:id="2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Fälle sogenannter Blow-ups gab es in Bayern seit 2013 (bitte nach Jahren und Orten aufschlüsseln), auf welchen bayerischen Autobahnstrecken wird es 2018 womöglich Temporeduzierungen wegen der Gefahr von Blow-ups geben und welche konkreten Fahrbahnsanierungen sind geplant oder bereits durchgeführt (bitte mit Kostenplanung aufschlüsseln)?</w:t>
            </w:r>
          </w:p>
          <w:p w:rsidR="000E3A3D" w:rsidRDefault="000E3A3D" w:rsidP="000E3A3D">
            <w:pPr>
              <w:pStyle w:val="LTAnfrageText"/>
            </w:pPr>
          </w:p>
        </w:tc>
      </w:tr>
    </w:tbl>
    <w:p w:rsidR="000E3A3D" w:rsidRDefault="000E3A3D" w:rsidP="000E3A3D">
      <w:pPr>
        <w:pStyle w:val="LTUeberschrAntwortRessort"/>
      </w:pPr>
      <w:r>
        <w:t>Antwort des Staatsministeriums für Wohnen, Bau und Verkehr</w:t>
      </w:r>
    </w:p>
    <w:p w:rsidR="000E3A3D" w:rsidRDefault="000E3A3D" w:rsidP="000E3A3D">
      <w:pPr>
        <w:pStyle w:val="LTAntwortRessortText"/>
      </w:pPr>
      <w:r>
        <w:t xml:space="preserve">Ein Hitzeschaden kann grundsätzlich als Riss, geringfügige oberflächige Abplatzung, vertikale Plattenhebung, Übereinanderschieben von Platten bzw. Plattenteilen oder </w:t>
      </w:r>
      <w:r w:rsidR="009937CD">
        <w:t>–</w:t>
      </w:r>
      <w:r>
        <w:t xml:space="preserve"> in seltenen Fällen </w:t>
      </w:r>
      <w:r w:rsidR="009937CD">
        <w:t>–</w:t>
      </w:r>
      <w:r>
        <w:t xml:space="preserve"> als plötzliches Ausknicken von Platten bzw. Plattenteilen, dem sog. Blow-up, in Erscheinung treten.</w:t>
      </w:r>
    </w:p>
    <w:p w:rsidR="000E3A3D" w:rsidRDefault="000E3A3D" w:rsidP="000E3A3D">
      <w:pPr>
        <w:pStyle w:val="LTAntwortRessortText"/>
      </w:pPr>
      <w:r>
        <w:t xml:space="preserve">In Bayern wurden in den Jahren 2013 und 2014 insgesamt </w:t>
      </w:r>
      <w:r w:rsidR="009937CD">
        <w:t>sechs</w:t>
      </w:r>
      <w:r>
        <w:t xml:space="preserve"> Blow-ups registriert. In den Jahren 2015 </w:t>
      </w:r>
      <w:r w:rsidR="009937CD">
        <w:t>bis</w:t>
      </w:r>
      <w:r>
        <w:t xml:space="preserve"> 2018 sind in Bayern keine Blow-ups aufgetreten.</w:t>
      </w:r>
    </w:p>
    <w:p w:rsidR="000E3A3D" w:rsidRPr="009937CD" w:rsidRDefault="000E3A3D" w:rsidP="000E3A3D">
      <w:pPr>
        <w:pStyle w:val="LTAntwortRessortText"/>
        <w:rPr>
          <w:u w:val="single"/>
        </w:rPr>
      </w:pPr>
      <w:r w:rsidRPr="009937CD">
        <w:rPr>
          <w:u w:val="single"/>
        </w:rPr>
        <w:t>Blow-ups seit 2013:</w:t>
      </w:r>
    </w:p>
    <w:p w:rsidR="000E3A3D" w:rsidRDefault="000E3A3D" w:rsidP="009937CD">
      <w:pPr>
        <w:pStyle w:val="LTAntwortRessortText"/>
        <w:numPr>
          <w:ilvl w:val="0"/>
          <w:numId w:val="26"/>
        </w:numPr>
        <w:spacing w:before="120"/>
        <w:ind w:left="709" w:hanging="283"/>
      </w:pPr>
      <w:r>
        <w:t>2013: 5 (BAB A 93 Nord, BAB A 3)</w:t>
      </w:r>
      <w:r w:rsidR="009937CD">
        <w:t>,</w:t>
      </w:r>
    </w:p>
    <w:p w:rsidR="000E3A3D" w:rsidRDefault="000E3A3D" w:rsidP="009937CD">
      <w:pPr>
        <w:pStyle w:val="LTAntwortRessortText"/>
        <w:numPr>
          <w:ilvl w:val="0"/>
          <w:numId w:val="26"/>
        </w:numPr>
        <w:spacing w:before="60"/>
        <w:ind w:left="709" w:hanging="283"/>
      </w:pPr>
      <w:r>
        <w:t>2014: 1 (BAB A 3)</w:t>
      </w:r>
      <w:r w:rsidR="009937CD">
        <w:t>,</w:t>
      </w:r>
    </w:p>
    <w:p w:rsidR="000E3A3D" w:rsidRDefault="000E3A3D" w:rsidP="009937CD">
      <w:pPr>
        <w:pStyle w:val="LTAntwortRessortText"/>
        <w:numPr>
          <w:ilvl w:val="0"/>
          <w:numId w:val="26"/>
        </w:numPr>
        <w:spacing w:before="60"/>
        <w:ind w:left="709" w:hanging="283"/>
      </w:pPr>
      <w:r>
        <w:t>2015: 0</w:t>
      </w:r>
      <w:r w:rsidR="009937CD">
        <w:t>,</w:t>
      </w:r>
    </w:p>
    <w:p w:rsidR="000E3A3D" w:rsidRDefault="000E3A3D" w:rsidP="009937CD">
      <w:pPr>
        <w:pStyle w:val="LTAntwortRessortText"/>
        <w:numPr>
          <w:ilvl w:val="0"/>
          <w:numId w:val="26"/>
        </w:numPr>
        <w:spacing w:before="60"/>
        <w:ind w:left="709" w:hanging="283"/>
      </w:pPr>
      <w:r>
        <w:lastRenderedPageBreak/>
        <w:t>2016: 0</w:t>
      </w:r>
      <w:r w:rsidR="009937CD">
        <w:t>,</w:t>
      </w:r>
    </w:p>
    <w:p w:rsidR="000E3A3D" w:rsidRDefault="000E3A3D" w:rsidP="009937CD">
      <w:pPr>
        <w:pStyle w:val="LTAntwortRessortText"/>
        <w:numPr>
          <w:ilvl w:val="0"/>
          <w:numId w:val="26"/>
        </w:numPr>
        <w:spacing w:before="60"/>
        <w:ind w:left="709" w:hanging="283"/>
      </w:pPr>
      <w:r>
        <w:t>2017: 0</w:t>
      </w:r>
      <w:r w:rsidR="009937CD">
        <w:t>,</w:t>
      </w:r>
    </w:p>
    <w:p w:rsidR="00A45535" w:rsidRDefault="000E3A3D" w:rsidP="004B6267">
      <w:pPr>
        <w:pStyle w:val="LTAntwortRessortText"/>
        <w:numPr>
          <w:ilvl w:val="0"/>
          <w:numId w:val="26"/>
        </w:numPr>
        <w:spacing w:before="60"/>
        <w:ind w:left="709" w:hanging="283"/>
      </w:pPr>
      <w:r>
        <w:t>2018: 0</w:t>
      </w:r>
      <w:r w:rsidR="009937CD">
        <w:t>.</w:t>
      </w:r>
    </w:p>
    <w:p w:rsidR="000E3A3D" w:rsidRDefault="000E3A3D" w:rsidP="000E3A3D">
      <w:pPr>
        <w:pStyle w:val="LTAntwortRessortText"/>
      </w:pPr>
      <w:r>
        <w:t>Um die Gefahr von neuen Hitzeschäden, insbesondere von sog. Blow-ups, schnellstmöglich zu beseitigen hat die Straßenbauverwaltung die Betonfahrbahnen der Autobahnen A 3, A 92 und A 93 durch den Einbau von querlaufenden Asphaltbändern (über die ganze Fahr- bahnbreite) in den Jahren 2016 und 2017 entspannt.</w:t>
      </w:r>
    </w:p>
    <w:p w:rsidR="000E3A3D" w:rsidRDefault="000E3A3D" w:rsidP="000E3A3D">
      <w:pPr>
        <w:pStyle w:val="LTAntwortRessortText"/>
      </w:pPr>
      <w:r>
        <w:t>Im Ergebnis wird es wie bereits im Jahr 2017 auch im Jahr 2018 keine hitzebedingten Geschwindigkeitsbegrenzungen im Zuge der A 3, A 92 und A 93 wegen der Gefahr von Blow-ups geben.</w:t>
      </w:r>
    </w:p>
    <w:p w:rsidR="000E3A3D" w:rsidRDefault="000E3A3D" w:rsidP="000E3A3D">
      <w:pPr>
        <w:pStyle w:val="LTAntwortRessortText"/>
      </w:pPr>
      <w:r>
        <w:t>Durch die Entspannung wird die Lebensdauer der Betondecken erheblich verkürzt. Für die grundhafte Erneuerung ist folgender Zeitplan vorgesehen:</w:t>
      </w:r>
    </w:p>
    <w:p w:rsidR="000E3A3D" w:rsidRPr="009937CD" w:rsidRDefault="000E3A3D" w:rsidP="000E3A3D">
      <w:pPr>
        <w:pStyle w:val="LTAntwortRessortText"/>
        <w:rPr>
          <w:u w:val="single"/>
        </w:rPr>
      </w:pPr>
      <w:r w:rsidRPr="009937CD">
        <w:rPr>
          <w:u w:val="single"/>
        </w:rPr>
        <w:t xml:space="preserve">A 3 Straubing </w:t>
      </w:r>
      <w:r w:rsidR="009937CD">
        <w:rPr>
          <w:u w:val="single"/>
        </w:rPr>
        <w:t>–</w:t>
      </w:r>
      <w:r w:rsidRPr="009937CD">
        <w:rPr>
          <w:u w:val="single"/>
        </w:rPr>
        <w:t xml:space="preserve"> Iggensbach</w:t>
      </w:r>
      <w:r w:rsidR="009937CD">
        <w:rPr>
          <w:u w:val="single"/>
        </w:rPr>
        <w:t>:</w:t>
      </w:r>
    </w:p>
    <w:p w:rsidR="000E3A3D" w:rsidRDefault="000E3A3D" w:rsidP="009937CD">
      <w:pPr>
        <w:pStyle w:val="LTAntwortRessortText"/>
        <w:spacing w:before="120"/>
      </w:pPr>
      <w:r>
        <w:t>Ziel ist es, die Erneuerung der Gesamtstrecke der Betonfahrbahnen zwischen Straubing und Iggensbach bis Ende 2020 abzuschließen.</w:t>
      </w:r>
    </w:p>
    <w:p w:rsidR="000E3A3D" w:rsidRDefault="000E3A3D" w:rsidP="000E3A3D">
      <w:pPr>
        <w:pStyle w:val="LTAntwortRessortText"/>
      </w:pPr>
      <w:r>
        <w:t xml:space="preserve">Im Abschnitt Deggendorf </w:t>
      </w:r>
      <w:r w:rsidR="009937CD">
        <w:t>–</w:t>
      </w:r>
      <w:r>
        <w:t xml:space="preserve"> Hengersberg erfolgt die Erneuerung im Rahmen des 6-streifigen Ausbaus (Vorentwurfsplanung ist abgeschlossen).</w:t>
      </w:r>
    </w:p>
    <w:p w:rsidR="000E3A3D" w:rsidRPr="009937CD" w:rsidRDefault="000E3A3D" w:rsidP="009937CD">
      <w:pPr>
        <w:pStyle w:val="LTAntwortRessortText"/>
        <w:spacing w:before="360"/>
        <w:rPr>
          <w:u w:val="single"/>
        </w:rPr>
      </w:pPr>
      <w:r w:rsidRPr="009937CD">
        <w:rPr>
          <w:u w:val="single"/>
        </w:rPr>
        <w:t>A 92 Feldmoching - Dingolfing-Ost</w:t>
      </w:r>
      <w:r w:rsidR="009937CD">
        <w:rPr>
          <w:u w:val="single"/>
        </w:rPr>
        <w:t>:</w:t>
      </w:r>
    </w:p>
    <w:p w:rsidR="000E3A3D" w:rsidRDefault="000E3A3D" w:rsidP="009937CD">
      <w:pPr>
        <w:pStyle w:val="LTAntwortRessortText"/>
        <w:spacing w:before="120"/>
      </w:pPr>
      <w:r>
        <w:t xml:space="preserve">Im Abschnitt Feldmoching </w:t>
      </w:r>
      <w:r w:rsidR="009937CD">
        <w:t>–</w:t>
      </w:r>
      <w:r>
        <w:t xml:space="preserve"> Neufahrn erfolgt die Erneuerung im Rahmen des 6-streifigen Ausbaus (derzeit läuft das Planfeststellungsverfahren).</w:t>
      </w:r>
    </w:p>
    <w:p w:rsidR="000E3A3D" w:rsidRDefault="000E3A3D" w:rsidP="000E3A3D">
      <w:pPr>
        <w:pStyle w:val="LTAntwortRessortText"/>
      </w:pPr>
      <w:r>
        <w:t xml:space="preserve">Zwischen dem </w:t>
      </w:r>
      <w:r w:rsidR="009937CD">
        <w:t>Autobahnkreuz (AK)</w:t>
      </w:r>
      <w:r>
        <w:t xml:space="preserve"> Neufahrn und der Isarbrücke war die Fahrbahn bereits saniert.</w:t>
      </w:r>
    </w:p>
    <w:p w:rsidR="000E3A3D" w:rsidRDefault="000E3A3D" w:rsidP="000E3A3D">
      <w:pPr>
        <w:pStyle w:val="LTAntwortRessortText"/>
      </w:pPr>
      <w:r>
        <w:t xml:space="preserve">Die Erneuerung der A 92 zwischen der Isarbrücke/Flughafen </w:t>
      </w:r>
      <w:r w:rsidR="009937CD">
        <w:t>und Dingolfing-Ost hat 2017 be</w:t>
      </w:r>
      <w:r>
        <w:t xml:space="preserve">gonnen. Ziel ist es, die Erneuerung der 75 km langen Strecke innerhalb von </w:t>
      </w:r>
      <w:r w:rsidR="009937CD">
        <w:t>zehn Jahren abzu</w:t>
      </w:r>
      <w:r>
        <w:t>schließen.</w:t>
      </w:r>
    </w:p>
    <w:p w:rsidR="000E3A3D" w:rsidRPr="009937CD" w:rsidRDefault="000E3A3D" w:rsidP="000E3A3D">
      <w:pPr>
        <w:pStyle w:val="LTAntwortRessortText"/>
        <w:rPr>
          <w:u w:val="single"/>
        </w:rPr>
      </w:pPr>
      <w:r w:rsidRPr="009937CD">
        <w:rPr>
          <w:u w:val="single"/>
        </w:rPr>
        <w:t xml:space="preserve">A 93 Regensburg-Süd </w:t>
      </w:r>
      <w:r w:rsidR="009937CD">
        <w:rPr>
          <w:u w:val="single"/>
        </w:rPr>
        <w:t>–</w:t>
      </w:r>
      <w:r w:rsidRPr="009937CD">
        <w:rPr>
          <w:u w:val="single"/>
        </w:rPr>
        <w:t xml:space="preserve"> Elsendorf</w:t>
      </w:r>
      <w:r w:rsidR="009937CD">
        <w:rPr>
          <w:u w:val="single"/>
        </w:rPr>
        <w:t>:</w:t>
      </w:r>
    </w:p>
    <w:p w:rsidR="000E3A3D" w:rsidRDefault="009937CD" w:rsidP="009937CD">
      <w:pPr>
        <w:pStyle w:val="LTAntwortRessortText"/>
        <w:spacing w:before="120"/>
      </w:pPr>
      <w:r>
        <w:t>Aufg</w:t>
      </w:r>
      <w:r w:rsidR="000E3A3D">
        <w:t xml:space="preserve">rund des derzeit noch überwiegend guten Fahrbahnzustandes der A 93 ist beabsichtigt, die grundhafte Erneuerung mit einem zeitlichen Versatz von ca. </w:t>
      </w:r>
      <w:r w:rsidR="00516852">
        <w:t>drei</w:t>
      </w:r>
      <w:r w:rsidR="000E3A3D">
        <w:t xml:space="preserve"> </w:t>
      </w:r>
      <w:r>
        <w:t>bis</w:t>
      </w:r>
      <w:r w:rsidR="00516852">
        <w:t xml:space="preserve"> vier</w:t>
      </w:r>
      <w:r>
        <w:t xml:space="preserve"> Jahren zur A 92 zu be</w:t>
      </w:r>
      <w:r w:rsidR="000E3A3D">
        <w:t>ginnen.</w:t>
      </w:r>
    </w:p>
    <w:p w:rsidR="000E3A3D" w:rsidRDefault="000E3A3D" w:rsidP="000E3A3D">
      <w:pPr>
        <w:pStyle w:val="LTAntwortRessortText"/>
      </w:pPr>
      <w:r>
        <w:t xml:space="preserve">Aufgrund von Erfahrungen mit ähnlichen Sanierungsmaßnahmen ist von Kosten in Höhe von etwa 3,0 Mio. </w:t>
      </w:r>
      <w:r w:rsidR="00423B2A">
        <w:t>Euro</w:t>
      </w:r>
      <w:r>
        <w:t xml:space="preserve"> pro Kilometer Richtungsfahrbahn auszugehen.</w:t>
      </w:r>
    </w:p>
    <w:p w:rsidR="00A45535" w:rsidRDefault="00A45535"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Rosi</w:t>
            </w:r>
            <w:r w:rsidRPr="000E3A3D">
              <w:rPr>
                <w:b/>
              </w:rPr>
              <w:br/>
              <w:t>Steinberger</w:t>
            </w:r>
            <w:r w:rsidRPr="000E3A3D">
              <w:rPr>
                <w:b/>
              </w:rPr>
              <w:br/>
            </w:r>
            <w:r w:rsidRPr="000E3A3D">
              <w:t>(BÜNDNIS 90/DIE GRÜNEN)</w:t>
            </w:r>
            <w:r>
              <w:fldChar w:fldCharType="begin"/>
            </w:r>
            <w:r>
              <w:instrText xml:space="preserve"> TC </w:instrText>
            </w:r>
            <w:r w:rsidR="00423B2A">
              <w:instrText>„</w:instrText>
            </w:r>
            <w:bookmarkStart w:id="30" w:name="_Toc519153216"/>
            <w:r>
              <w:instrText>Steinberger, Rosi (BÜNDNIS 90/DIE GRÜNEN)</w:instrText>
            </w:r>
            <w:r>
              <w:br/>
              <w:instrText>Beeinträchtigung des Landschaftsbilds durch Kunststofffolien</w:instrText>
            </w:r>
            <w:bookmarkEnd w:id="30"/>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4B6267">
            <w:pPr>
              <w:pStyle w:val="LTAnfrageText"/>
            </w:pPr>
            <w:r w:rsidRPr="009D0949">
              <w:rPr>
                <w:spacing w:val="-2"/>
              </w:rPr>
              <w:t>Ich frage die Staatsregierung, ab welchem Schwellenwert an flächigen Kunststofffolien oder -tunneln sieht sie den öffentlichen Belang der Beeinträchtigung der natürlichen Eigenart der Landschaft und ihres Erholungswerts oder der Verunstaltung des Orts- und Landschaftsbilds als gegeben, der nach § 35 Bau</w:t>
            </w:r>
            <w:r w:rsidR="009D0949" w:rsidRPr="009D0949">
              <w:rPr>
                <w:spacing w:val="-2"/>
              </w:rPr>
              <w:softHyphen/>
            </w:r>
            <w:r w:rsidRPr="009D0949">
              <w:rPr>
                <w:spacing w:val="-2"/>
              </w:rPr>
              <w:t>gesetzbuch (BauGB) einem landwirtschaftlichen Vorhaben entgegensteht, um wie viel liegt dieser Schwellenwert in Landschaftsschutzgebieten niedriger und ab welcher Größenordnung werden diese Aspekte bei der Beurteilung der Privilegierung überhaupt berücksichtigt?</w:t>
            </w:r>
          </w:p>
        </w:tc>
      </w:tr>
    </w:tbl>
    <w:p w:rsidR="00A45535" w:rsidRDefault="00A45535" w:rsidP="000E3A3D">
      <w:pPr>
        <w:pStyle w:val="LTUeberschrAntwortRessort"/>
      </w:pPr>
    </w:p>
    <w:p w:rsidR="000E3A3D" w:rsidRDefault="000E3A3D" w:rsidP="007E1009">
      <w:pPr>
        <w:pStyle w:val="LTUeberschrAntwortRessort"/>
        <w:spacing w:before="0"/>
      </w:pPr>
      <w:r>
        <w:t>Antwort des Staatsministeriums für Wohnen, Bau und Verkehr</w:t>
      </w:r>
    </w:p>
    <w:p w:rsidR="000E3A3D" w:rsidRDefault="000E3A3D" w:rsidP="000E3A3D">
      <w:pPr>
        <w:pStyle w:val="LTAntwortRessortText"/>
      </w:pPr>
      <w:r>
        <w:t>Im gewerblichen Obstanbau werden Ernte- sowie Selbsterntefelder mit Kulturschutznetzen und Kulturschutzfolien überzogen, um die Früchte vor schädlichen</w:t>
      </w:r>
      <w:r w:rsidR="009D0949">
        <w:t xml:space="preserve"> Witterungseinflüssen zu schüt</w:t>
      </w:r>
      <w:r>
        <w:t>zen und damit die heimische Produktion zu stärken. Zudem ermöglichen die Kulturschutzfolien wohl einen Verzicht auf Pestizide.</w:t>
      </w:r>
    </w:p>
    <w:p w:rsidR="000E3A3D" w:rsidRDefault="000E3A3D" w:rsidP="000E3A3D">
      <w:pPr>
        <w:pStyle w:val="LTAntwortRessortText"/>
      </w:pPr>
      <w:r>
        <w:t>Es ist zunächst danach zu differenzieren, ob die Folientunnel überhaupt einem land- oder forstwirtschaftlichen Betrieb oder einem Betrieb der gartenbaulichen Erzeugung dienen, also privilegiert im Sinn der § 35 Abs. 1 Nrn. 1 und 2, § 201 Baugesetzbuch (BauGB) sind.</w:t>
      </w:r>
    </w:p>
    <w:p w:rsidR="000E3A3D" w:rsidRDefault="000E3A3D" w:rsidP="000E3A3D">
      <w:pPr>
        <w:pStyle w:val="LTAntwortRessortText"/>
      </w:pPr>
      <w:r>
        <w:t>Nicht privilegierte</w:t>
      </w:r>
      <w:r w:rsidR="009D0949">
        <w:t xml:space="preserve">, sog. </w:t>
      </w:r>
      <w:r>
        <w:t>sonstige Vorhaben im Sinne von § 35 Abs. 2 BauGB sind zulässig, wenn sie öffentliche Belange nicht beeinträchtigen. Demgegenüber sind privilegierte Vorhaben zulässig, wenn ihnen öffentliche Belange nicht entgegenste</w:t>
      </w:r>
      <w:r w:rsidR="009D0949">
        <w:t>hen. Der hier maßgebliche Unter</w:t>
      </w:r>
      <w:r>
        <w:t>schied zwischen dem Beeinträchtigtsein und dem Entgegenstehen öffentlicher Belange lässt sich allgemein dahingehend beschreiben, dass eine Beeinträchtigung bereits bei einer einfachen Betroffenheit des fraglichen Belangs gegeben ist. Demgegenüber ist ein Entgegenstehen eines öffentlichen Belangs nur gegeben, wenn der Belang in besonders qualifizierter und intensiver Weise betroffen ist.</w:t>
      </w:r>
    </w:p>
    <w:p w:rsidR="000E3A3D" w:rsidRDefault="000E3A3D" w:rsidP="000E3A3D">
      <w:pPr>
        <w:pStyle w:val="LTAntwortRessortText"/>
      </w:pPr>
      <w:r>
        <w:t xml:space="preserve">Die Frage der bauplanungsrechtlichen Zulässigkeit hängt somit von den konkreten Umständen des Einzelfalles vor Ort ab. Ein Schwellenwert, ab dem die Staatsregierung den öffentlichen Belang der Beeinträchtigung der der natürlichen Eigenart der </w:t>
      </w:r>
      <w:r w:rsidR="009D0949">
        <w:t>Landschaft und ihres Erholungswert</w:t>
      </w:r>
      <w:r>
        <w:t>s oder der Verunstaltung des Orts- und Landschaftsbildes als gegeben ansieht, lässt sich daher nicht allgemein festlegen.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Reinhold</w:t>
            </w:r>
            <w:r w:rsidRPr="000E3A3D">
              <w:rPr>
                <w:b/>
              </w:rPr>
              <w:br/>
              <w:t>Strobl</w:t>
            </w:r>
            <w:r w:rsidRPr="000E3A3D">
              <w:rPr>
                <w:b/>
              </w:rPr>
              <w:br/>
            </w:r>
            <w:r w:rsidRPr="000E3A3D">
              <w:t>(SPD)</w:t>
            </w:r>
            <w:r>
              <w:fldChar w:fldCharType="begin"/>
            </w:r>
            <w:r>
              <w:instrText xml:space="preserve"> TC </w:instrText>
            </w:r>
            <w:r w:rsidR="00423B2A">
              <w:instrText>„</w:instrText>
            </w:r>
            <w:bookmarkStart w:id="31" w:name="_Toc519153217"/>
            <w:r>
              <w:instrText>Strobl, Reinhold (SPD)</w:instrText>
            </w:r>
            <w:r>
              <w:br/>
              <w:instrText>Treibstoffschnellablässe durch Flugzeuge</w:instrText>
            </w:r>
            <w:bookmarkEnd w:id="31"/>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häufig sind sogenannte Treibstoffschnellablässe durch Flugzeuge über dem bayerischen Luftraum im ersten Halbjahr 2018 vorgekommen, wie viel Kerosin wurde im ersten Halbjahr 2018 über Bayern durch den Flugverkehr abgelassen (bitte Angaben in Datum, Tonnen und aufschlüsselt nach Landkreis und Regierungsbezirk) und wie hoch war die Belastung durch Kerosinablass in Bayern im Gesamten im Verhältnis zu anderen Bundesländern im Jahr 2017 (bitte Angaben in Vorfälle, Tonnen und Bundesländern)?</w:t>
            </w:r>
          </w:p>
          <w:p w:rsidR="000E3A3D" w:rsidRDefault="000E3A3D" w:rsidP="000E3A3D">
            <w:pPr>
              <w:pStyle w:val="LTAnfrageText"/>
            </w:pPr>
          </w:p>
        </w:tc>
      </w:tr>
    </w:tbl>
    <w:p w:rsidR="000E3A3D" w:rsidRDefault="000E3A3D" w:rsidP="007E1009">
      <w:pPr>
        <w:pStyle w:val="LTUeberschrAntwortRessort"/>
        <w:spacing w:before="0"/>
      </w:pPr>
      <w:r>
        <w:t>Antwort des Staatsministeriums für Wohnen, Bau und Verkehr</w:t>
      </w:r>
    </w:p>
    <w:p w:rsidR="000E3A3D" w:rsidRDefault="000E3A3D" w:rsidP="007E1009">
      <w:pPr>
        <w:pStyle w:val="LTAntwortRessortText"/>
        <w:spacing w:before="120"/>
      </w:pPr>
      <w:r>
        <w:t>Der Staatsregierung liegen keine eigenen Informationen über Er</w:t>
      </w:r>
      <w:r w:rsidR="000B107D">
        <w:t>eignisse von Treibstoffschnell-</w:t>
      </w:r>
      <w:r>
        <w:t xml:space="preserve">ablass vor. Die Informationen über Treibstoffschnellablass werden von der Deutsche Flugsicherung GmbH </w:t>
      </w:r>
      <w:r w:rsidR="003E2261">
        <w:t xml:space="preserve">(DFS) </w:t>
      </w:r>
      <w:r>
        <w:t>auf Anfrage zur Verfügung gestellt. Akt</w:t>
      </w:r>
      <w:r w:rsidR="000B107D">
        <w:t>uell setzt sich die Staatsregie</w:t>
      </w:r>
      <w:r>
        <w:t>rung gemeinsam mit anderen Bundesländern beim Bund dafür ein, dass der Bund bzw. die DFS Informationen für die Öffentlichkeit allgemein zur Verfügung st</w:t>
      </w:r>
      <w:r w:rsidR="000B107D">
        <w:t>ellt. Eine entsprechende Passa</w:t>
      </w:r>
      <w:r>
        <w:t>ge findet sich auch im Koalitionsvertrag der Bundesregierung.</w:t>
      </w:r>
    </w:p>
    <w:p w:rsidR="000E3A3D" w:rsidRDefault="000E3A3D" w:rsidP="007E1009">
      <w:pPr>
        <w:pStyle w:val="LTAntwortRessortText"/>
        <w:spacing w:before="120"/>
      </w:pPr>
      <w:r>
        <w:t>Die DFS hat auf Anfrage für das erste Halbjahr 2018 folge</w:t>
      </w:r>
      <w:r w:rsidR="000B107D">
        <w:t>nde Daten über Treibstoffschnel</w:t>
      </w:r>
      <w:r>
        <w:t>lablässe mitgeteilt:</w:t>
      </w:r>
    </w:p>
    <w:p w:rsidR="000B107D" w:rsidRDefault="000B107D" w:rsidP="007E1009">
      <w:pPr>
        <w:pStyle w:val="LTAntwortRessortText"/>
        <w:spacing w:before="0"/>
      </w:pPr>
    </w:p>
    <w:tbl>
      <w:tblPr>
        <w:tblStyle w:val="TableNormal"/>
        <w:tblW w:w="0" w:type="auto"/>
        <w:tblInd w:w="432" w:type="dxa"/>
        <w:tblLayout w:type="fixed"/>
        <w:tblLook w:val="01E0" w:firstRow="1" w:lastRow="1" w:firstColumn="1" w:lastColumn="1" w:noHBand="0" w:noVBand="0"/>
      </w:tblPr>
      <w:tblGrid>
        <w:gridCol w:w="1385"/>
        <w:gridCol w:w="3404"/>
        <w:gridCol w:w="3404"/>
      </w:tblGrid>
      <w:tr w:rsidR="000B107D" w:rsidRPr="000B107D" w:rsidTr="000B107D">
        <w:trPr>
          <w:trHeight w:hRule="exact" w:val="425"/>
        </w:trPr>
        <w:tc>
          <w:tcPr>
            <w:tcW w:w="1385" w:type="dxa"/>
            <w:tcBorders>
              <w:top w:val="single" w:sz="5" w:space="0" w:color="000000"/>
              <w:left w:val="single" w:sz="5" w:space="0" w:color="000000"/>
              <w:bottom w:val="single" w:sz="5" w:space="0" w:color="000000"/>
              <w:right w:val="single" w:sz="5" w:space="0" w:color="000000"/>
            </w:tcBorders>
          </w:tcPr>
          <w:p w:rsidR="000B107D" w:rsidRPr="000B107D" w:rsidRDefault="000B107D" w:rsidP="00A6619E">
            <w:pPr>
              <w:pStyle w:val="TableParagraph"/>
              <w:spacing w:line="269" w:lineRule="exact"/>
              <w:ind w:left="102"/>
              <w:rPr>
                <w:rFonts w:ascii="Times New Roman" w:eastAsia="Times New Roman" w:hAnsi="Times New Roman" w:cs="Times New Roman"/>
                <w:b/>
                <w:sz w:val="20"/>
                <w:szCs w:val="20"/>
              </w:rPr>
            </w:pPr>
            <w:r w:rsidRPr="000B107D">
              <w:rPr>
                <w:rFonts w:ascii="Times New Roman"/>
                <w:b/>
                <w:spacing w:val="-1"/>
                <w:sz w:val="20"/>
                <w:szCs w:val="20"/>
              </w:rPr>
              <w:t>Datum</w:t>
            </w:r>
          </w:p>
        </w:tc>
        <w:tc>
          <w:tcPr>
            <w:tcW w:w="3404" w:type="dxa"/>
            <w:tcBorders>
              <w:top w:val="single" w:sz="5" w:space="0" w:color="000000"/>
              <w:left w:val="single" w:sz="5" w:space="0" w:color="000000"/>
              <w:bottom w:val="single" w:sz="5" w:space="0" w:color="000000"/>
              <w:right w:val="single" w:sz="5" w:space="0" w:color="000000"/>
            </w:tcBorders>
          </w:tcPr>
          <w:p w:rsidR="000B107D" w:rsidRPr="000B107D" w:rsidRDefault="000B107D" w:rsidP="00A6619E">
            <w:pPr>
              <w:pStyle w:val="TableParagraph"/>
              <w:spacing w:line="269" w:lineRule="exact"/>
              <w:ind w:left="102"/>
              <w:rPr>
                <w:rFonts w:ascii="Times New Roman" w:eastAsia="Times New Roman" w:hAnsi="Times New Roman" w:cs="Times New Roman"/>
                <w:b/>
                <w:sz w:val="20"/>
                <w:szCs w:val="20"/>
              </w:rPr>
            </w:pPr>
            <w:r w:rsidRPr="000B107D">
              <w:rPr>
                <w:rFonts w:ascii="Times New Roman"/>
                <w:b/>
                <w:spacing w:val="-1"/>
                <w:sz w:val="20"/>
                <w:szCs w:val="20"/>
              </w:rPr>
              <w:t>Streckenverlauf</w:t>
            </w:r>
          </w:p>
        </w:tc>
        <w:tc>
          <w:tcPr>
            <w:tcW w:w="3404" w:type="dxa"/>
            <w:tcBorders>
              <w:top w:val="single" w:sz="5" w:space="0" w:color="000000"/>
              <w:left w:val="single" w:sz="5" w:space="0" w:color="000000"/>
              <w:bottom w:val="single" w:sz="5" w:space="0" w:color="000000"/>
              <w:right w:val="single" w:sz="5" w:space="0" w:color="000000"/>
            </w:tcBorders>
          </w:tcPr>
          <w:p w:rsidR="000B107D" w:rsidRPr="000B107D" w:rsidRDefault="000B107D" w:rsidP="00A6619E">
            <w:pPr>
              <w:pStyle w:val="TableParagraph"/>
              <w:spacing w:line="269" w:lineRule="exact"/>
              <w:ind w:left="102"/>
              <w:rPr>
                <w:rFonts w:ascii="Times New Roman" w:eastAsia="Times New Roman" w:hAnsi="Times New Roman" w:cs="Times New Roman"/>
                <w:b/>
                <w:sz w:val="20"/>
                <w:szCs w:val="20"/>
              </w:rPr>
            </w:pPr>
            <w:r w:rsidRPr="000B107D">
              <w:rPr>
                <w:rFonts w:ascii="Times New Roman"/>
                <w:b/>
                <w:spacing w:val="-1"/>
                <w:sz w:val="20"/>
                <w:szCs w:val="20"/>
              </w:rPr>
              <w:t xml:space="preserve">Treibstoffmenge </w:t>
            </w:r>
            <w:r w:rsidRPr="000B107D">
              <w:rPr>
                <w:rFonts w:ascii="Times New Roman"/>
                <w:b/>
                <w:sz w:val="20"/>
                <w:szCs w:val="20"/>
              </w:rPr>
              <w:t>in Tonnen</w:t>
            </w:r>
          </w:p>
        </w:tc>
      </w:tr>
      <w:tr w:rsidR="000B107D" w:rsidRPr="000B107D" w:rsidTr="000B107D">
        <w:trPr>
          <w:trHeight w:hRule="exact" w:val="422"/>
        </w:trPr>
        <w:tc>
          <w:tcPr>
            <w:tcW w:w="1385" w:type="dxa"/>
            <w:tcBorders>
              <w:top w:val="single" w:sz="5" w:space="0" w:color="000000"/>
              <w:left w:val="single" w:sz="5" w:space="0" w:color="000000"/>
              <w:bottom w:val="single" w:sz="5" w:space="0" w:color="000000"/>
              <w:right w:val="single" w:sz="5" w:space="0" w:color="000000"/>
            </w:tcBorders>
          </w:tcPr>
          <w:p w:rsidR="000B107D" w:rsidRPr="000B107D" w:rsidRDefault="000B107D" w:rsidP="00A6619E">
            <w:pPr>
              <w:pStyle w:val="TableParagraph"/>
              <w:spacing w:line="269" w:lineRule="exact"/>
              <w:ind w:left="102"/>
              <w:rPr>
                <w:rFonts w:ascii="Times New Roman" w:eastAsia="Times New Roman" w:hAnsi="Times New Roman" w:cs="Times New Roman"/>
                <w:sz w:val="20"/>
                <w:szCs w:val="20"/>
              </w:rPr>
            </w:pPr>
            <w:r w:rsidRPr="000B107D">
              <w:rPr>
                <w:rFonts w:ascii="Times New Roman"/>
                <w:sz w:val="20"/>
                <w:szCs w:val="20"/>
              </w:rPr>
              <w:t>23.02.2018</w:t>
            </w:r>
          </w:p>
        </w:tc>
        <w:tc>
          <w:tcPr>
            <w:tcW w:w="3404" w:type="dxa"/>
            <w:tcBorders>
              <w:top w:val="single" w:sz="5" w:space="0" w:color="000000"/>
              <w:left w:val="single" w:sz="5" w:space="0" w:color="000000"/>
              <w:bottom w:val="single" w:sz="5" w:space="0" w:color="000000"/>
              <w:right w:val="single" w:sz="5" w:space="0" w:color="000000"/>
            </w:tcBorders>
          </w:tcPr>
          <w:p w:rsidR="000B107D" w:rsidRPr="000B107D" w:rsidRDefault="000B107D" w:rsidP="000B107D">
            <w:pPr>
              <w:pStyle w:val="TableParagraph"/>
              <w:spacing w:line="269" w:lineRule="exact"/>
              <w:ind w:left="102"/>
              <w:rPr>
                <w:rFonts w:ascii="Times New Roman" w:eastAsia="Times New Roman" w:hAnsi="Times New Roman" w:cs="Times New Roman"/>
                <w:sz w:val="20"/>
                <w:szCs w:val="20"/>
              </w:rPr>
            </w:pPr>
            <w:r w:rsidRPr="000B107D">
              <w:rPr>
                <w:rFonts w:ascii="Times New Roman" w:hAnsi="Times New Roman"/>
                <w:spacing w:val="-1"/>
                <w:sz w:val="20"/>
                <w:szCs w:val="20"/>
              </w:rPr>
              <w:t xml:space="preserve">Deggendorf </w:t>
            </w:r>
            <w:r>
              <w:rPr>
                <w:rFonts w:ascii="Times New Roman" w:hAnsi="Times New Roman"/>
                <w:sz w:val="20"/>
                <w:szCs w:val="20"/>
              </w:rPr>
              <w:t xml:space="preserve">– </w:t>
            </w:r>
            <w:r w:rsidRPr="000B107D">
              <w:rPr>
                <w:rFonts w:ascii="Times New Roman" w:hAnsi="Times New Roman"/>
                <w:sz w:val="20"/>
                <w:szCs w:val="20"/>
              </w:rPr>
              <w:t>München</w:t>
            </w:r>
          </w:p>
        </w:tc>
        <w:tc>
          <w:tcPr>
            <w:tcW w:w="3404" w:type="dxa"/>
            <w:tcBorders>
              <w:top w:val="single" w:sz="5" w:space="0" w:color="000000"/>
              <w:left w:val="single" w:sz="5" w:space="0" w:color="000000"/>
              <w:bottom w:val="single" w:sz="5" w:space="0" w:color="000000"/>
              <w:right w:val="single" w:sz="5" w:space="0" w:color="000000"/>
            </w:tcBorders>
            <w:vAlign w:val="center"/>
          </w:tcPr>
          <w:p w:rsidR="000B107D" w:rsidRPr="000B107D" w:rsidRDefault="000B107D" w:rsidP="000B107D">
            <w:pPr>
              <w:pStyle w:val="TableParagraph"/>
              <w:spacing w:line="269" w:lineRule="exact"/>
              <w:ind w:left="102"/>
              <w:jc w:val="center"/>
              <w:rPr>
                <w:rFonts w:ascii="Times New Roman" w:eastAsia="Times New Roman" w:hAnsi="Times New Roman" w:cs="Times New Roman"/>
                <w:sz w:val="20"/>
                <w:szCs w:val="20"/>
              </w:rPr>
            </w:pPr>
            <w:r w:rsidRPr="000B107D">
              <w:rPr>
                <w:rFonts w:ascii="Times New Roman"/>
                <w:sz w:val="20"/>
                <w:szCs w:val="20"/>
              </w:rPr>
              <w:t>21</w:t>
            </w:r>
          </w:p>
        </w:tc>
      </w:tr>
    </w:tbl>
    <w:p w:rsidR="000E3A3D" w:rsidRDefault="000E3A3D" w:rsidP="000E3A3D">
      <w:pPr>
        <w:pStyle w:val="LTAntwortRessortText"/>
      </w:pPr>
      <w:r>
        <w:lastRenderedPageBreak/>
        <w:t>Eine direkte Zuordnung nach Verwaltungsgrenzen ist nicht möglich.</w:t>
      </w:r>
    </w:p>
    <w:p w:rsidR="000E3A3D" w:rsidRDefault="000E3A3D" w:rsidP="000E3A3D">
      <w:pPr>
        <w:pStyle w:val="LTAntwortRessortText"/>
      </w:pPr>
      <w:r>
        <w:t xml:space="preserve">Für die Situation im Jahr 2017 wird auf die Antwort des </w:t>
      </w:r>
      <w:r w:rsidR="000B107D">
        <w:t xml:space="preserve">damaligen </w:t>
      </w:r>
      <w:r>
        <w:t>Staatsministerium</w:t>
      </w:r>
      <w:r w:rsidR="000B107D">
        <w:t>s</w:t>
      </w:r>
      <w:r>
        <w:t xml:space="preserve"> des Innern, für Bau und Verkehr vom </w:t>
      </w:r>
      <w:r w:rsidR="000B107D">
        <w:t xml:space="preserve">08.02.2018 </w:t>
      </w:r>
      <w:r>
        <w:t xml:space="preserve">zur Schriftlichen Anfrage des Abgeordneten Markus Rinderspacher </w:t>
      </w:r>
      <w:r w:rsidR="000B107D">
        <w:t>betreffend „</w:t>
      </w:r>
      <w:r w:rsidR="000B107D" w:rsidRPr="000B107D">
        <w:t>Ablassen von Kerosin über Bayern 2017</w:t>
      </w:r>
      <w:r w:rsidR="000B107D">
        <w:t xml:space="preserve">“ (Drs. 17/20728) </w:t>
      </w:r>
      <w:r>
        <w:t>verwiesen.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Dr. Paul</w:t>
            </w:r>
            <w:r w:rsidRPr="000E3A3D">
              <w:rPr>
                <w:b/>
              </w:rPr>
              <w:br/>
              <w:t>Wengert</w:t>
            </w:r>
            <w:r w:rsidRPr="000E3A3D">
              <w:rPr>
                <w:b/>
              </w:rPr>
              <w:br/>
            </w:r>
            <w:r w:rsidRPr="000E3A3D">
              <w:t>(SPD)</w:t>
            </w:r>
            <w:r>
              <w:fldChar w:fldCharType="begin"/>
            </w:r>
            <w:r>
              <w:instrText xml:space="preserve"> TC </w:instrText>
            </w:r>
            <w:r w:rsidR="00423B2A">
              <w:instrText>„</w:instrText>
            </w:r>
            <w:bookmarkStart w:id="32" w:name="_Toc519153218"/>
            <w:r>
              <w:instrText>Dr. Wengert, Paul (SPD)</w:instrText>
            </w:r>
            <w:r>
              <w:br/>
              <w:instrText>Blockabfertigung von Lastwagen an der Grenze Bayern - Österreich</w:instrText>
            </w:r>
            <w:bookmarkEnd w:id="32"/>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welche Maßnahmen und Pläne verfolgt die Staatsregierung, damit die Blockabfertigung von Lastwagen an der Grenze Bayern </w:t>
            </w:r>
            <w:r w:rsidR="003E2261">
              <w:t>–</w:t>
            </w:r>
            <w:r>
              <w:t xml:space="preserve"> Österreich ein Ende findet, welche Studien, Zahlen und Schätzungen liegen der Staatsregierung zum volkswirtschaftlichen Schaden der Blockabfertigung vor und wie viele Kilometer und Stunden Stau sind bislang durch die Blockabfertigung entstanden?</w:t>
            </w:r>
          </w:p>
          <w:p w:rsidR="000E3A3D" w:rsidRDefault="000E3A3D" w:rsidP="000E3A3D">
            <w:pPr>
              <w:pStyle w:val="LTAnfrageText"/>
            </w:pPr>
          </w:p>
        </w:tc>
      </w:tr>
    </w:tbl>
    <w:p w:rsidR="000E3A3D" w:rsidRDefault="000E3A3D" w:rsidP="000E3A3D">
      <w:pPr>
        <w:pStyle w:val="LTUeberschrAntwortRessort"/>
      </w:pPr>
      <w:r>
        <w:t>Antwort des Staatsministeriums für Wohnen, Bau und Verkehr</w:t>
      </w:r>
    </w:p>
    <w:p w:rsidR="000E3A3D" w:rsidRDefault="000E3A3D" w:rsidP="000E3A3D">
      <w:pPr>
        <w:pStyle w:val="LTAntwortRessortText"/>
      </w:pPr>
      <w:r>
        <w:t>Bayern hat sich von Beginn an gegen die Blockabfertigung des Lkw-Verkehrs bei Kufstein gewandt. Die Blockabfertigung hat massive negative Auswi</w:t>
      </w:r>
      <w:r w:rsidR="000B107D">
        <w:t>rkungen auf die deutschen Auto</w:t>
      </w:r>
      <w:r>
        <w:t xml:space="preserve">bahnen A 93 bis hin zur A 8. Seitens der Polizei liegen punktuell Informationen zur maximalen Staulänge an bestimmten Einsatztagen vor. So kam es beispielsweise am </w:t>
      </w:r>
      <w:r w:rsidR="000B107D">
        <w:t>26.04.</w:t>
      </w:r>
      <w:r>
        <w:t>2018 zu einem Rückstau von über 60 Kilometern auf den Autobahnen A 93 und A 8. Eine Statistik wurde hierüber nicht erstellt. Für die Speditions- und Logistikunternehmen kann es aufgrund der Blockabfertigung zu Verzögerungen, Mehrbelastungen für</w:t>
      </w:r>
      <w:r w:rsidR="000B107D">
        <w:t xml:space="preserve"> das Fahrpersonal, höheren Kos</w:t>
      </w:r>
      <w:r>
        <w:t>ten und schlimmstenfalls Vertragsstrafen kommen. Zahlen zum volkswirtschaftlichen Schaden der Blockabfertigung liegen nicht vor.</w:t>
      </w:r>
    </w:p>
    <w:p w:rsidR="000E3A3D" w:rsidRDefault="000E3A3D" w:rsidP="000E3A3D">
      <w:pPr>
        <w:pStyle w:val="LTAntwortRessortText"/>
      </w:pPr>
      <w:r>
        <w:t xml:space="preserve">Zur Beendigung der Blockabfertigung nimmt Bayern an dem </w:t>
      </w:r>
      <w:r w:rsidR="000B107D">
        <w:t>von der EU initiierten Brenner-</w:t>
      </w:r>
      <w:r>
        <w:t>Gipfel teil und arbeitet in den Arbeitsgruppen der Brenner Corr</w:t>
      </w:r>
      <w:r w:rsidR="000B107D">
        <w:t>idor Platform (BCP) mit, unter ande</w:t>
      </w:r>
      <w:r>
        <w:t>rem auch an der Task Force RoLa, die eine kurzfristige Reak</w:t>
      </w:r>
      <w:r w:rsidR="000B107D">
        <w:t>tivierung einer Rollenden Land</w:t>
      </w:r>
      <w:r>
        <w:t>straße zwischen Regensburg und Italien geprüft hat. Zudem h</w:t>
      </w:r>
      <w:r w:rsidR="000B107D">
        <w:t>at Bayern eine Informationsver</w:t>
      </w:r>
      <w:r>
        <w:t>anstaltung zur Lkw-Block</w:t>
      </w:r>
      <w:r w:rsidR="000B107D">
        <w:softHyphen/>
      </w:r>
      <w:r>
        <w:t>abfertigung in München mit betro</w:t>
      </w:r>
      <w:r w:rsidR="000B107D">
        <w:t>ffenen Verbänden und Transport</w:t>
      </w:r>
      <w:r>
        <w:t>unternehmen initiiert, bei der die Tiroler Seite Hintergrund u</w:t>
      </w:r>
      <w:r w:rsidR="000B107D">
        <w:t>nd Motivation der Blockabferti</w:t>
      </w:r>
      <w:r>
        <w:t>gung zur Diskussion gestellt hat. Der praxisbezogene Austausch soll fortgesetzt werden.</w:t>
      </w:r>
    </w:p>
    <w:p w:rsidR="000E3A3D" w:rsidRDefault="000E3A3D" w:rsidP="000E3A3D">
      <w:pPr>
        <w:pStyle w:val="LTAntwortRessortText"/>
      </w:pPr>
      <w:r>
        <w:t>Nachdem in den Arbeitsgr</w:t>
      </w:r>
      <w:r w:rsidR="000B107D">
        <w:t>uppen der BCP</w:t>
      </w:r>
      <w:r>
        <w:t xml:space="preserve"> keine kurzfristigen Lösungen (z.</w:t>
      </w:r>
      <w:r w:rsidR="000B107D">
        <w:t> </w:t>
      </w:r>
      <w:r>
        <w:t xml:space="preserve">B. RoLa) erarbeitet werden konnten, hat Bayern im Rahmen des 2. Brenner-Gipfels am </w:t>
      </w:r>
      <w:r w:rsidR="000B107D">
        <w:t>12.06.</w:t>
      </w:r>
      <w:r>
        <w:t>2018 in Bozen als Lösung für den Brenner-Transit meh</w:t>
      </w:r>
      <w:r w:rsidR="003E2261">
        <w:t>r Züge des unbegleiteten k</w:t>
      </w:r>
      <w:r w:rsidR="000B107D">
        <w:t>ombi</w:t>
      </w:r>
      <w:r>
        <w:t>nierten Verkehrs, insbesondere gemischte Züge aus Containern und Wechselbrücken sowie Sattelaufliegern vorgeschlagen. Dabei sollen nicht-kranbare Satte</w:t>
      </w:r>
      <w:r w:rsidR="000B107D">
        <w:t>lauflieger mit Hilfe der einfa</w:t>
      </w:r>
      <w:r>
        <w:t>chen Umschlagplatte N</w:t>
      </w:r>
      <w:r w:rsidR="003E2261">
        <w:t>I</w:t>
      </w:r>
      <w:r>
        <w:t>KRASA von der Straße auf die Schiene umgeschlagen werden.</w:t>
      </w:r>
      <w:r w:rsidR="000B107D">
        <w:t xml:space="preserve"> </w:t>
      </w:r>
      <w:r w:rsidR="003E2261">
        <w:t>NI</w:t>
      </w:r>
      <w:r>
        <w:t>KRASA ist Teil des Intermodaltransport-Konzepts Bayern als Angebot an die Transpor</w:t>
      </w:r>
      <w:r w:rsidR="000B107D">
        <w:t>twirt</w:t>
      </w:r>
      <w:r>
        <w:t>schaft zur Verlagerung von Transporten auf die Schiene.</w:t>
      </w:r>
    </w:p>
    <w:p w:rsidR="000E3A3D" w:rsidRDefault="000E3A3D" w:rsidP="000E3A3D">
      <w:pPr>
        <w:pStyle w:val="LTAntwortRessortText"/>
      </w:pPr>
      <w:r>
        <w:t>Bayern arbeitet bereits an einem Konzept Breco.Train zur Umsetzung eines marktfähigen, den Brenner-Korridor que</w:t>
      </w:r>
      <w:r w:rsidR="003E2261">
        <w:t>renden gemischten Intermodalzug</w:t>
      </w:r>
      <w:r>
        <w:t>s. Alle ermittelten Rahmenbedingungen (Ter</w:t>
      </w:r>
      <w:r w:rsidR="003E2261">
        <w:t>minals, Waggons, Trassen, Potenz</w:t>
      </w:r>
      <w:r>
        <w:t>iale) sollen in Angebotskonzepte mit interessierten Eisenbahnverkehrsunternehmen einfließen. Im Herbst 2018 soll für den Intermodalzug mit einer Öffentlic</w:t>
      </w:r>
      <w:r w:rsidR="003E2261">
        <w:t>hkeitsveranstaltung inklusive NI</w:t>
      </w:r>
      <w:r>
        <w:t>KRASA-Demonstration geworben werden.</w:t>
      </w:r>
    </w:p>
    <w:p w:rsidR="000B107D" w:rsidRDefault="000B107D">
      <w:pPr>
        <w:rPr>
          <w:rFonts w:cs="Arial"/>
          <w:b/>
          <w:sz w:val="22"/>
          <w:szCs w:val="22"/>
        </w:rPr>
      </w:pPr>
      <w:r>
        <w:br w:type="page"/>
      </w:r>
    </w:p>
    <w:p w:rsidR="000E3A3D" w:rsidRDefault="000E3A3D" w:rsidP="000E3A3D">
      <w:pPr>
        <w:pStyle w:val="LTUeberschrRessort"/>
      </w:pPr>
      <w:r>
        <w:lastRenderedPageBreak/>
        <w:t>Geschäftsbereich des Staatsministeriums der Justiz</w:t>
      </w:r>
      <w:r>
        <w:fldChar w:fldCharType="begin"/>
      </w:r>
      <w:r>
        <w:instrText xml:space="preserve"> TC </w:instrText>
      </w:r>
      <w:r w:rsidR="00423B2A">
        <w:instrText>„</w:instrText>
      </w:r>
      <w:bookmarkStart w:id="33" w:name="_Toc519153219"/>
      <w:r>
        <w:instrText>Geschäftsbereich des Staatsministeriums der Justiz</w:instrText>
      </w:r>
      <w:bookmarkEnd w:id="33"/>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Prof. Dr. Peter Paul</w:t>
            </w:r>
            <w:r w:rsidRPr="000E3A3D">
              <w:rPr>
                <w:b/>
              </w:rPr>
              <w:br/>
              <w:t>Gantzer</w:t>
            </w:r>
            <w:r w:rsidRPr="000E3A3D">
              <w:rPr>
                <w:b/>
              </w:rPr>
              <w:br/>
            </w:r>
            <w:r w:rsidRPr="000E3A3D">
              <w:t>(SPD)</w:t>
            </w:r>
            <w:r>
              <w:fldChar w:fldCharType="begin"/>
            </w:r>
            <w:r>
              <w:instrText xml:space="preserve"> TC </w:instrText>
            </w:r>
            <w:r w:rsidR="00423B2A">
              <w:instrText>„</w:instrText>
            </w:r>
            <w:bookmarkStart w:id="34" w:name="_Toc519153220"/>
            <w:r>
              <w:instrText>Prof. Dr. Gantzer, Peter Paul (SPD)</w:instrText>
            </w:r>
            <w:r>
              <w:br/>
              <w:instrText>Verschreibung von Arzneimitteln auf Cannabisbasis</w:instrText>
            </w:r>
            <w:bookmarkEnd w:id="34"/>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seit dem Jahr 2017 die Möglichkeit zur Verschreibung von Arzneimitteln auf Cannabisbasis möglich ist und hierzu das Staatsministerium des Innern und für Integration ein Rundschreiben vom 12.04.2018 (IC4-3603-1-5) herausgegeben hat, frage ich die Staatsregierung, ob das Rundschreiben der Generalstaatsanwälte München, Nürnberg und Bamberg vom 19.07.1994 zur Umsetzung des § 31a Betäubungsmittelgesetz (BtMG) noch der jetzigen gesetzlichen Lage entspricht und wann mit einer Überarbeitung zu rechnen ist?</w:t>
            </w:r>
          </w:p>
          <w:p w:rsidR="000E3A3D" w:rsidRDefault="000E3A3D" w:rsidP="000E3A3D">
            <w:pPr>
              <w:pStyle w:val="LTAnfrageText"/>
            </w:pPr>
          </w:p>
        </w:tc>
      </w:tr>
    </w:tbl>
    <w:p w:rsidR="000E3A3D" w:rsidRDefault="000E3A3D" w:rsidP="007E1009">
      <w:pPr>
        <w:pStyle w:val="LTUeberschrAntwortRessort"/>
        <w:spacing w:before="600"/>
      </w:pPr>
      <w:r>
        <w:t>Antwort des Staatsministeriums der Justiz</w:t>
      </w:r>
    </w:p>
    <w:p w:rsidR="000E3A3D" w:rsidRDefault="000E3A3D" w:rsidP="00A45535">
      <w:pPr>
        <w:pStyle w:val="LTAntwortRessortText"/>
        <w:spacing w:before="360"/>
      </w:pPr>
      <w:r>
        <w:t>Mit Inkrafttreten des Gesetzes zur Änderung betäu</w:t>
      </w:r>
      <w:r w:rsidR="00B54FC1">
        <w:t>bungsmittelrechtlicher und ande</w:t>
      </w:r>
      <w:r>
        <w:t xml:space="preserve">rer Vorschriften am 10. März 2017 (BGBl. 2017 I S. 403) und der damit vollzogenen Änderung der Anlage III zu § 1 </w:t>
      </w:r>
      <w:r w:rsidR="00B54FC1">
        <w:t>Abs.</w:t>
      </w:r>
      <w:r>
        <w:t xml:space="preserve"> 1 </w:t>
      </w:r>
      <w:r w:rsidR="00B54FC1">
        <w:t>Betäubungsmittelgesetz</w:t>
      </w:r>
      <w:r>
        <w:t xml:space="preserve"> (BtMG) ist medizinisches Cannabis in Deutschland erstmals verschreibungsfähig. Seit </w:t>
      </w:r>
      <w:r w:rsidR="00B54FC1">
        <w:t>10.03.</w:t>
      </w:r>
      <w:r>
        <w:t xml:space="preserve">2017 können somit Ärzte Cannabis (Marihuana, Pflanzen und Pflanzenteile der zur Gattung Cannabis gehörenden Pflanzen), soweit dieses aus einem Anbau stammt, der zu medizinischen Zwecken unter staatlicher Kontrolle gemäß den </w:t>
      </w:r>
      <w:r w:rsidR="00B54FC1">
        <w:t>Art.</w:t>
      </w:r>
      <w:r>
        <w:t xml:space="preserve"> 23 und 28 </w:t>
      </w:r>
      <w:r w:rsidR="00B54FC1">
        <w:t>Abs.</w:t>
      </w:r>
      <w:r>
        <w:t xml:space="preserve"> 1 des Einheits-Übereinkommens von 1961 über Suchtstoffe erfolgt, sowie in Zubereitungen, die als Fertigar</w:t>
      </w:r>
      <w:r w:rsidR="00B54FC1">
        <w:t>zneimittel zugelassen sind, ver</w:t>
      </w:r>
      <w:r>
        <w:t xml:space="preserve">schrieben werden. Nach § 13 </w:t>
      </w:r>
      <w:r w:rsidR="003E2261">
        <w:t>Abs.</w:t>
      </w:r>
      <w:r>
        <w:t xml:space="preserve"> 2 Satz 1 BtMG dürfen die gemäß § 13 </w:t>
      </w:r>
      <w:r w:rsidR="00B54FC1">
        <w:t>Abs.</w:t>
      </w:r>
      <w:r>
        <w:t xml:space="preserve"> 1 BtMG verschriebenen Betäubungsmittel auss</w:t>
      </w:r>
      <w:r w:rsidR="00B54FC1">
        <w:t>chließlich in Apotheken und aus</w:t>
      </w:r>
      <w:r>
        <w:t>schließlich gegen Vorlage der ärztlichen Betäub</w:t>
      </w:r>
      <w:r w:rsidR="00B54FC1">
        <w:t>ungsmittel-Verschreibung abgege</w:t>
      </w:r>
      <w:r>
        <w:t>ben werden (vgl. auch BT-Dr</w:t>
      </w:r>
      <w:r w:rsidR="00B54FC1">
        <w:t>s.</w:t>
      </w:r>
      <w:r>
        <w:t xml:space="preserve"> 18/8965</w:t>
      </w:r>
      <w:r w:rsidR="00B54FC1">
        <w:t>, Seit</w:t>
      </w:r>
      <w:r w:rsidR="003E2261">
        <w:t>e</w:t>
      </w:r>
      <w:r>
        <w:t xml:space="preserve"> 13). </w:t>
      </w:r>
    </w:p>
    <w:p w:rsidR="000E3A3D" w:rsidRDefault="000E3A3D" w:rsidP="00A45535">
      <w:pPr>
        <w:pStyle w:val="LTAntwortRessortText"/>
        <w:spacing w:before="360"/>
      </w:pPr>
      <w:r>
        <w:t xml:space="preserve">Die ordnungsgemäße, also insbesondere auch ärztlich begründete Verschreibung stellt aufgrund der Regelung in § 4 </w:t>
      </w:r>
      <w:r w:rsidR="00B54FC1">
        <w:t>Abs.</w:t>
      </w:r>
      <w:r>
        <w:t xml:space="preserve"> 1 </w:t>
      </w:r>
      <w:r w:rsidR="00B54FC1">
        <w:t>Nr.</w:t>
      </w:r>
      <w:r w:rsidR="003E2261">
        <w:t xml:space="preserve"> 3 Buchst. a</w:t>
      </w:r>
      <w:r>
        <w:t xml:space="preserve"> BtMG, die eine Ausnahme für den grundsätzlichen Erlaubnisvorbehalt des § 3 BtMG normiert, eine wirksame Einzelerlaubnis dar. </w:t>
      </w:r>
    </w:p>
    <w:p w:rsidR="000E3A3D" w:rsidRDefault="000E3A3D" w:rsidP="00A45535">
      <w:pPr>
        <w:pStyle w:val="LTAntwortRessortText"/>
        <w:spacing w:before="360"/>
      </w:pPr>
      <w:r>
        <w:t xml:space="preserve">Eine Änderung des Rundschreibens der drei Generalstaatsanwälte vom </w:t>
      </w:r>
      <w:r w:rsidR="00B54FC1">
        <w:t>19.07.</w:t>
      </w:r>
      <w:r>
        <w:t xml:space="preserve">1994 ist durch die am 10. März 2017 in Kraft getretene gesetzliche Änderung nicht veranlasst. Das genannte Rundschreiben befasst sich mit der Frage </w:t>
      </w:r>
      <w:r w:rsidR="00B54FC1">
        <w:t>der Bestim</w:t>
      </w:r>
      <w:r>
        <w:t xml:space="preserve">mung der </w:t>
      </w:r>
      <w:r w:rsidR="00423B2A">
        <w:t>„</w:t>
      </w:r>
      <w:r>
        <w:t>geringen Menge</w:t>
      </w:r>
      <w:r w:rsidR="00423B2A">
        <w:t>“</w:t>
      </w:r>
      <w:r>
        <w:t xml:space="preserve"> sowie den weiteren Anwendungsvoraussetzungen des § 31a BtMG. Diese Norm stellt ihrerseits auf Vergehen nach §</w:t>
      </w:r>
      <w:r w:rsidR="00B54FC1">
        <w:t> </w:t>
      </w:r>
      <w:r>
        <w:t xml:space="preserve">29 </w:t>
      </w:r>
      <w:r w:rsidR="00B54FC1">
        <w:t>Abs.</w:t>
      </w:r>
      <w:r>
        <w:t xml:space="preserve"> 1, 2 oder 4 BtMG und damit auf einen unerlaubten Umgang mit Betäubungsmitteln ab. Das Vorliegen der Voraussetzungen des § 31a BtMG haben die Staatsanwaltschaften in jedem Einzelfall festzustellen.</w:t>
      </w:r>
    </w:p>
    <w:p w:rsidR="00A45535" w:rsidRDefault="00B54FC1" w:rsidP="00A45535">
      <w:pPr>
        <w:pStyle w:val="LTAntwortRessortText"/>
        <w:spacing w:before="360"/>
      </w:pPr>
      <w:r>
        <w:t>Das in der Anfrage zum Plenum</w:t>
      </w:r>
      <w:r w:rsidR="000E3A3D">
        <w:t xml:space="preserve"> zitierte Schreiben des Staatsministeriums des Innern und für Integration vom </w:t>
      </w:r>
      <w:r>
        <w:t>12.04.</w:t>
      </w:r>
      <w:r w:rsidR="000E3A3D">
        <w:t>2018 bedingt ebenfalls keine Änderung des Rundschre</w:t>
      </w:r>
      <w:r>
        <w:t>i</w:t>
      </w:r>
      <w:r w:rsidR="000E3A3D">
        <w:t xml:space="preserve">bens der drei Generalstaatsanwälte. Das genannte Schreiben vom </w:t>
      </w:r>
      <w:r>
        <w:t>12.04.</w:t>
      </w:r>
      <w:r w:rsidR="000E3A3D">
        <w:t xml:space="preserve">2018 befasst sich mit der Thematik des Medikamentenprivilegs gemäß § 24a </w:t>
      </w:r>
      <w:r>
        <w:t>Abs.</w:t>
      </w:r>
      <w:r w:rsidR="000E3A3D">
        <w:t xml:space="preserve"> 2 Satz 3 Straßenverkehrsgesetz (StVG) und insbes</w:t>
      </w:r>
      <w:r>
        <w:t>ondere mit der Frage, ob bei ei</w:t>
      </w:r>
      <w:r w:rsidR="000E3A3D">
        <w:t>nem Konsum von ärztlich verschriebenen Canna</w:t>
      </w:r>
      <w:r>
        <w:t>bis Verkehrsstraftaten oder Ver</w:t>
      </w:r>
      <w:r w:rsidR="000E3A3D">
        <w:t xml:space="preserve">kehrsordnungswidrigkeiten verwirklicht bzw. welche Feststellungen seitens der Erstzugriffsbeamten getroffen werden können, um beurteilen zu können, ob der Konsum im Rahmen </w:t>
      </w:r>
      <w:r w:rsidR="00423B2A">
        <w:t>„</w:t>
      </w:r>
      <w:r w:rsidR="000E3A3D">
        <w:t>der bestimmungsgemäßen Einnahme</w:t>
      </w:r>
      <w:r w:rsidR="00423B2A">
        <w:t>“</w:t>
      </w:r>
      <w:r>
        <w:t xml:space="preserve"> eines für einen konkre</w:t>
      </w:r>
      <w:r w:rsidR="000E3A3D">
        <w:t>ten Krankheitsfall verschriebenen Arzneimittels erfolgt ist.</w:t>
      </w:r>
    </w:p>
    <w:p w:rsidR="00A45535" w:rsidRDefault="00A45535" w:rsidP="00A45535">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Franz</w:t>
            </w:r>
            <w:r w:rsidRPr="000E3A3D">
              <w:rPr>
                <w:b/>
              </w:rPr>
              <w:br/>
              <w:t>Schindler</w:t>
            </w:r>
            <w:r w:rsidRPr="000E3A3D">
              <w:rPr>
                <w:b/>
              </w:rPr>
              <w:br/>
            </w:r>
            <w:r w:rsidRPr="000E3A3D">
              <w:t>(SPD)</w:t>
            </w:r>
            <w:r>
              <w:fldChar w:fldCharType="begin"/>
            </w:r>
            <w:r>
              <w:instrText xml:space="preserve"> TC </w:instrText>
            </w:r>
            <w:r w:rsidR="00423B2A">
              <w:instrText>„</w:instrText>
            </w:r>
            <w:bookmarkStart w:id="35" w:name="_Toc519153221"/>
            <w:r>
              <w:instrText>Schindler, Franz (SPD)</w:instrText>
            </w:r>
            <w:r>
              <w:br/>
              <w:instrText>Ermittlungsverfahren der Statsantwaltschaft Regensburg gegen Oberbürgermeister Wolbergs u. a.</w:instrText>
            </w:r>
            <w:bookmarkEnd w:id="3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Bezugnehmend auf die Antwort des Staatsministeriums der Justiz auf meine Anfrage zum Plenum vom 13.11.2017 (Drs. 17/19092), wonach im Rahmen einer richterlich angeordneten Überwachung der Telefonanschlüsse (TKÜ) von Beschuldigten auch Gespräche aufgezeichnet wurden, bei denen als Gesprächspartner ein Verteidiger eines Beschuldigten beteiligt war oder deren Inhalt den Kernbereich der privaten Lebensgestaltung betraf und dass entsprechend den gesetzlichen Vorgaben noch vor Anklageerhebung 281 Telekommunikationsvorgänge (davon 41, die den Kernbereich der privaten Lebensgestaltung betroffen haben und 240 zwischen einem Beschuldigten und einem Verteidiger bzw. Berufsgeheimnisträger) gelöscht wurden und dass nach Vorwürfen von Verteidigern, die Strafverfolgungsbehörden hätten Verteidigergespräche und Gespräche betreffend den Kernbereich der privaten Lebensgestaltung systematisch aufgezeichnet und nicht gelöscht, bei einer nochmaligen Überprüfung 11 Telekommunikationsvorgänge festgestellt worden sind, bei denen Gespräche zwischen einem Beschuldigten und einem Verteidiger aufgezeichnet wurden und ein weiterer Vorgang, der den Kernbereich der privaten Lebensgestaltung betroffen hat und dass deren Löschung daraufhin angeordnet und vollzogen worden sein soll, weswegen die Staatsanwaltschaft den entsprechenden Datenträger mit TKÜ-Dateien am 17.11.2017 von Verteidigern zurückgefordert, überarbeitet und Anfang Januar 2018 erneut an Verteidiger übersandt hat, frage ich die Staatsregierung, wie es zu erklären ist, dass auf den von der Staatsanwaltschaft Regensburg Anfang Januar 2018 an Verteidiger zurückübersandten überarbeiteten Datenträgern immer noch weitere, mindestens 11 Audiodateien mit Aufzeichnungen von Gesprächen zwischen Angehörigen eines Beschuldigten enthalten sind, die eindeutig dem Kernbereich der privaten Lebensgestaltung zuzuordnen sind und dennoch nicht gelöscht worden sind, welche Verfahrensbeteiligte Kopien des überarbeiteten Datenträgers mit gesetzwidrig nicht gelöschten TKÜ-Aufzeichnungen mit Kernbereichsrelevanz erhalten haben (bitte auch Anzahl aller Empfänger der TKÜ-Aufzeichnungen angeben) und ob ausgeschlossen werden kann, dass sich bei den Ermittlungsbehörden weitere Dateien mit Aufzeichnungen von Telekommunikationsvorgängen zwischen Beschuldigten und ihren Verteidigern und/oder, die den Kernbereich der privaten Lebensgestaltung betreffen, befinden?</w:t>
            </w:r>
          </w:p>
          <w:p w:rsidR="000E3A3D" w:rsidRDefault="000E3A3D" w:rsidP="000E3A3D">
            <w:pPr>
              <w:pStyle w:val="LTAnfrageText"/>
            </w:pPr>
          </w:p>
        </w:tc>
      </w:tr>
    </w:tbl>
    <w:p w:rsidR="000E3A3D" w:rsidRDefault="000E3A3D" w:rsidP="000E3A3D">
      <w:pPr>
        <w:pStyle w:val="LTUeberschrAntwortRessort"/>
      </w:pPr>
      <w:r>
        <w:t>Antwort des Staatsministeriums der Justiz</w:t>
      </w:r>
    </w:p>
    <w:p w:rsidR="000E3A3D" w:rsidRDefault="000E3A3D" w:rsidP="000E3A3D">
      <w:pPr>
        <w:pStyle w:val="LTAntwortRessortText"/>
      </w:pPr>
      <w:r>
        <w:t xml:space="preserve">Nach einer Stellungnahme der Staatsanwaltschaft Regensburg vom </w:t>
      </w:r>
      <w:r w:rsidR="008670E9">
        <w:t>10.07.</w:t>
      </w:r>
      <w:r>
        <w:t xml:space="preserve">2018 ordnete diese mit Verfügung vom </w:t>
      </w:r>
      <w:r w:rsidR="008670E9">
        <w:t>29.12.2017 die Übersendung überarbei</w:t>
      </w:r>
      <w:r>
        <w:t>teter Datenträger mit Kopien der TKÜ-Auf</w:t>
      </w:r>
      <w:r w:rsidR="008670E9">
        <w:softHyphen/>
      </w:r>
      <w:r>
        <w:t>zeichnungen an die Verteidiger und das Landgericht Regensburg an. Vorausgegangen w</w:t>
      </w:r>
      <w:r w:rsidR="008670E9">
        <w:t>ar eine Monierung durch die Ver</w:t>
      </w:r>
      <w:r>
        <w:t>teidigung, aufgrund derer eine nochmalige Überprüfung des Datenbestands auf die Existenz von Verteidigergesprächen und auf die</w:t>
      </w:r>
      <w:r w:rsidR="008670E9">
        <w:t xml:space="preserve"> Existenz von Gesprächen betref</w:t>
      </w:r>
      <w:r>
        <w:t>fend den Kernbereich privater Lebensgestaltung durchgeführt und die Löschung dabei festgestellter weiterer Aufzeichnungen angeordnet worden war.</w:t>
      </w:r>
    </w:p>
    <w:p w:rsidR="000E3A3D" w:rsidRDefault="000E3A3D" w:rsidP="000E3A3D">
      <w:pPr>
        <w:pStyle w:val="LTAntwortRessortText"/>
      </w:pPr>
      <w:r>
        <w:lastRenderedPageBreak/>
        <w:t xml:space="preserve">Über die Existenz von weiteren </w:t>
      </w:r>
      <w:r w:rsidR="00423B2A">
        <w:t>„</w:t>
      </w:r>
      <w:r>
        <w:t>mindestens 11</w:t>
      </w:r>
      <w:r w:rsidR="00423B2A">
        <w:t>“</w:t>
      </w:r>
      <w:r>
        <w:t xml:space="preserve"> Audiodateien, die dem Kernbereich privater Lebensführung zuzuordnen und nicht gelöscht worden sein sollen, liegen der Staatsanwaltschaft Regensburg nach ihrer Stellungnahme vom </w:t>
      </w:r>
      <w:r w:rsidR="008670E9">
        <w:t>10.07.</w:t>
      </w:r>
      <w:r>
        <w:t>2018 keine Erkenntnisse vor. Im Rahmen der durchg</w:t>
      </w:r>
      <w:r w:rsidR="008670E9">
        <w:t>eführten Telekommunikationsüber</w:t>
      </w:r>
      <w:r>
        <w:t>wachung wurde die Frage der Kernbereichsrelevanz</w:t>
      </w:r>
      <w:r w:rsidR="008670E9">
        <w:t xml:space="preserve"> in eindeutigen Fällen unmittel</w:t>
      </w:r>
      <w:r>
        <w:t>bar von den polizeilichen Sachbearbeitern, in Zweifel</w:t>
      </w:r>
      <w:r w:rsidR="008670E9">
        <w:t>sfällen nach Vorlage der fragli</w:t>
      </w:r>
      <w:r>
        <w:t>chen Gespräche durch die polizeilichen Sachbearbeiter von der Staatsanwaltschaft entschieden. Danach dem Kernbereich privater Lebensgestaltung zuzuordnende Gespräche wurden gelöscht, die Löschung wurde dokumentiert.</w:t>
      </w:r>
    </w:p>
    <w:p w:rsidR="000E3A3D" w:rsidRDefault="000E3A3D" w:rsidP="000E3A3D">
      <w:pPr>
        <w:pStyle w:val="LTAntwortRessortText"/>
      </w:pPr>
      <w:r>
        <w:t>Seit Übersendung der oben genannten überarbeiteten Datenträger wurde weder von der Verteidigung noch seitens des Landgeric</w:t>
      </w:r>
      <w:r w:rsidR="008670E9">
        <w:t>hts Regensburg die Existenz wei</w:t>
      </w:r>
      <w:r>
        <w:t xml:space="preserve">terer </w:t>
      </w:r>
      <w:r w:rsidR="00423B2A">
        <w:t>„</w:t>
      </w:r>
      <w:r>
        <w:t>mindestens 11</w:t>
      </w:r>
      <w:r w:rsidR="00423B2A">
        <w:t>“</w:t>
      </w:r>
      <w:r>
        <w:t xml:space="preserve"> nicht gelöschter Gespräche mit Kernbereichsbezug moniert. Bereits vor der Übersendung der überarbeiteten Datenträger hatte die Verteidigung eines Angeklagten mit Schriftsatz vom </w:t>
      </w:r>
      <w:r w:rsidR="008670E9">
        <w:t>30.10.</w:t>
      </w:r>
      <w:r>
        <w:t>2017 allgemein angeführt, es seien Gespräche, die dem Kernbereich der per</w:t>
      </w:r>
      <w:r w:rsidR="008670E9">
        <w:t>sönlichen Lebensgestaltung zuzu</w:t>
      </w:r>
      <w:r>
        <w:t>ordnen wären, in den Aufzeichnungen enthalten, ohne jedoch einzelne Gespräche konkret zu bezeichnen. Nach Mitteilung der Staatsa</w:t>
      </w:r>
      <w:r w:rsidR="008670E9">
        <w:t>nwaltschaft Regensburg ist der</w:t>
      </w:r>
      <w:r>
        <w:t>zeit nicht ersichtlich, welche konkreten Audiodateien noch Aufzeichnungen über Gespräche betreffend den Kernbereich privater Lebensgestaltung enthalten sollen und noch nicht gelöscht wurden.</w:t>
      </w:r>
    </w:p>
    <w:p w:rsidR="000E3A3D" w:rsidRDefault="000E3A3D" w:rsidP="000E3A3D">
      <w:pPr>
        <w:pStyle w:val="LTAntwortRessortText"/>
      </w:pPr>
      <w:r>
        <w:t>Die TKÜ-Aufzeichnungen haben nach Mitteilun</w:t>
      </w:r>
      <w:r w:rsidR="008670E9">
        <w:t>g der Staatsanwaltschaft Regens</w:t>
      </w:r>
      <w:r>
        <w:t>burg acht Verteidiger sowie die zuständige Stra</w:t>
      </w:r>
      <w:r w:rsidR="008670E9">
        <w:t>fkammer des Landgerichts Regens</w:t>
      </w:r>
      <w:r>
        <w:t>burg erhalten.</w:t>
      </w:r>
    </w:p>
    <w:p w:rsidR="000E3A3D" w:rsidRDefault="000E3A3D" w:rsidP="000E3A3D">
      <w:pPr>
        <w:pStyle w:val="LTAntwortRessortText"/>
      </w:pPr>
      <w:r>
        <w:t xml:space="preserve">Nach der Stellungnahme der Staatsanwaltschaft Regensburg vom </w:t>
      </w:r>
      <w:r w:rsidR="008670E9">
        <w:t>10.07.</w:t>
      </w:r>
      <w:r>
        <w:t xml:space="preserve">2018 wurden </w:t>
      </w:r>
      <w:r w:rsidR="008670E9">
        <w:t>–</w:t>
      </w:r>
      <w:r>
        <w:t xml:space="preserve"> wie vorstehend dargelegt </w:t>
      </w:r>
      <w:r w:rsidR="008670E9">
        <w:t>–</w:t>
      </w:r>
      <w:r>
        <w:t xml:space="preserve"> alle bekannt</w:t>
      </w:r>
      <w:r w:rsidR="008670E9">
        <w:t>en Gespräche, die nach o. a. Be</w:t>
      </w:r>
      <w:r>
        <w:t>urteilung Kernbereichsrelevanz aufwiesen, aus</w:t>
      </w:r>
      <w:r w:rsidR="008670E9">
        <w:t xml:space="preserve"> dem angefallenen Gesamtdatenbe</w:t>
      </w:r>
      <w:r>
        <w:t>stand, der insgesamt etwa 96.000 Datensätze umfasste, gelöscht. Sollte sich im weiteren Verfahren ergeben, dass noch Gespräche aufgezeichnet sind, die dem Kernbereich privater Lebensgestaltung zuzuordne</w:t>
      </w:r>
      <w:r w:rsidR="008670E9">
        <w:t>n sind, so würden auch diese un</w:t>
      </w:r>
      <w:r>
        <w:t>verzüglich gelöscht werden.</w:t>
      </w:r>
    </w:p>
    <w:p w:rsidR="00DA341E" w:rsidRDefault="00DA341E">
      <w:pPr>
        <w:rPr>
          <w:rFonts w:cs="Arial"/>
          <w:b/>
          <w:sz w:val="22"/>
          <w:szCs w:val="22"/>
        </w:rPr>
      </w:pPr>
      <w:r>
        <w:br w:type="page"/>
      </w:r>
    </w:p>
    <w:p w:rsidR="000E3A3D" w:rsidRDefault="000E3A3D" w:rsidP="000E3A3D">
      <w:pPr>
        <w:pStyle w:val="LTUeberschrRessort"/>
      </w:pPr>
      <w:r>
        <w:lastRenderedPageBreak/>
        <w:t>Geschäftsbereich des Staatsministeriums für Unterricht und Kultus</w:t>
      </w:r>
      <w:r>
        <w:fldChar w:fldCharType="begin"/>
      </w:r>
      <w:r>
        <w:instrText xml:space="preserve"> TC </w:instrText>
      </w:r>
      <w:r w:rsidR="00423B2A">
        <w:instrText>„</w:instrText>
      </w:r>
      <w:bookmarkStart w:id="36" w:name="_Toc519153222"/>
      <w:r>
        <w:instrText>Geschäftsbereich des Staatsministeriums für Unterricht und Kultus</w:instrText>
      </w:r>
      <w:bookmarkEnd w:id="36"/>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Günther</w:t>
            </w:r>
            <w:r w:rsidRPr="000E3A3D">
              <w:rPr>
                <w:b/>
              </w:rPr>
              <w:br/>
              <w:t>Felbinger</w:t>
            </w:r>
            <w:r w:rsidRPr="000E3A3D">
              <w:rPr>
                <w:b/>
              </w:rPr>
              <w:br/>
            </w:r>
            <w:r w:rsidR="00423B2A">
              <w:t>(f</w:t>
            </w:r>
            <w:r w:rsidRPr="000E3A3D">
              <w:t>raktionslos)</w:t>
            </w:r>
            <w:r>
              <w:fldChar w:fldCharType="begin"/>
            </w:r>
            <w:r>
              <w:instrText xml:space="preserve"> TC </w:instrText>
            </w:r>
            <w:r w:rsidR="00423B2A">
              <w:instrText>„</w:instrText>
            </w:r>
            <w:bookmarkStart w:id="37" w:name="_Toc519153223"/>
            <w:r>
              <w:instrText>Felbinger, Günther (Fraktionslos)</w:instrText>
            </w:r>
            <w:r>
              <w:br/>
              <w:instrText>Steuererklärung im Lehrplan</w:instrText>
            </w:r>
            <w:bookmarkEnd w:id="3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sieht der Lehrplan die Vermittlung lebenspraktischer Dinge, wie z. B. die Steuerpflicht und somit Erstellung und Abgabe einer Steuererklärung, für Schülerinnen und Schüler der Mittel-, Realschulen und Gymnasien vor, in welchen Fächern bzw. Jahrgangsstufen des Schulunterrichts werden diese ggf. unterrichtet und wie tiefgreifend wird dies dabei inhaltlich im Unterricht behandelt, um ggf. im späteren Leben eine selbstständige Herangehensweise durch den dann Steuerpflichtigen möglich zu machen?</w:t>
            </w:r>
          </w:p>
          <w:p w:rsidR="000E3A3D" w:rsidRDefault="000E3A3D" w:rsidP="000E3A3D">
            <w:pPr>
              <w:pStyle w:val="LTAnfrageText"/>
            </w:pPr>
          </w:p>
        </w:tc>
      </w:tr>
    </w:tbl>
    <w:p w:rsidR="000E3A3D" w:rsidRDefault="000E3A3D" w:rsidP="000E3A3D">
      <w:pPr>
        <w:pStyle w:val="LTUeberschrAntwortRessort"/>
      </w:pPr>
      <w:r>
        <w:t>Antwort des Staatsministeriums für Unterricht und Kultus</w:t>
      </w:r>
    </w:p>
    <w:p w:rsidR="000E3A3D" w:rsidRPr="00DA341E" w:rsidRDefault="000E3A3D" w:rsidP="000E3A3D">
      <w:pPr>
        <w:pStyle w:val="LTAntwortRessortText"/>
        <w:rPr>
          <w:u w:val="single"/>
        </w:rPr>
      </w:pPr>
      <w:r w:rsidRPr="00DA341E">
        <w:rPr>
          <w:u w:val="single"/>
        </w:rPr>
        <w:t>Mittelschule</w:t>
      </w:r>
      <w:r w:rsidR="00DA341E">
        <w:rPr>
          <w:u w:val="single"/>
        </w:rPr>
        <w:t>:</w:t>
      </w:r>
    </w:p>
    <w:p w:rsidR="000E3A3D" w:rsidRDefault="000E3A3D" w:rsidP="00DA341E">
      <w:pPr>
        <w:pStyle w:val="LTAntwortRessortText"/>
        <w:spacing w:before="120"/>
      </w:pPr>
      <w:r>
        <w:t>Die Mittelschule als weiterführende, allgemeinbildend</w:t>
      </w:r>
      <w:r w:rsidR="00DA341E">
        <w:t>e Schule erschließt ihren Schü</w:t>
      </w:r>
      <w:r>
        <w:t>lerinnen und Schülern wesentliche Inhalte des alltäglichen Lebens. Der Erwerb von Alltagskompetenzen, die zur erfolgreichen Bewältigu</w:t>
      </w:r>
      <w:r w:rsidR="00DA341E">
        <w:t>ng alltäglicher Lebenssituatio</w:t>
      </w:r>
      <w:r>
        <w:t>nen erforderlich sind, bildet einen Schwerpunkt. Durch eine Ausrichtung auf einen konsequenten Alltagsbezug mit konkreten Handlungszusammenhängen trägt die Mittelschule den besonderen Neigungen und B</w:t>
      </w:r>
      <w:r w:rsidR="00DA341E">
        <w:t>egabungen ihrer überwiegend an</w:t>
      </w:r>
      <w:r>
        <w:t>schaulich denkenden Schülerschaft Rechnung.</w:t>
      </w:r>
    </w:p>
    <w:p w:rsidR="000E3A3D" w:rsidRDefault="000E3A3D" w:rsidP="000E3A3D">
      <w:pPr>
        <w:pStyle w:val="LTAntwortRessortText"/>
      </w:pPr>
      <w:r>
        <w:t>Im Fach Wirtschaft und Beruf werden die Jugendlichen auf ihre künftige Rolle als Lohn- oder Gehaltsempfängerinnen und -empfänge</w:t>
      </w:r>
      <w:r w:rsidR="00DA341E">
        <w:t>r und als erwerbstätige Steuer</w:t>
      </w:r>
      <w:r>
        <w:t>zahlerinnen und Steuerzahler vorbereitet. Sie beschäftigen sich in Jahrgangsstufe 8</w:t>
      </w:r>
      <w:r w:rsidR="00DA341E">
        <w:t xml:space="preserve"> </w:t>
      </w:r>
      <w:r>
        <w:t>u. a. mit den gesetzlichen Abgaben, zu denen die Lohnsteuer, Kirchensteuer oder Solidaritätszuschlag gehören (vgl. LehrplanPLUS W</w:t>
      </w:r>
      <w:r w:rsidR="00DA341E">
        <w:t>irtschaft und Beruf R8, Lernbe</w:t>
      </w:r>
      <w:r>
        <w:t>reich 3). Das Ausfüllen einer Steuererklärung ist somit in diesem Zusammenhang verortbar. Die Lehrkraft entscheidet im pädagogischen Ermessen und mit Blick auf die konkrete Situation der Klasse, wie die Thematik umgesetzt wird.</w:t>
      </w:r>
    </w:p>
    <w:p w:rsidR="000E3A3D" w:rsidRPr="00DA341E" w:rsidRDefault="000E3A3D" w:rsidP="000E3A3D">
      <w:pPr>
        <w:pStyle w:val="LTAntwortRessortText"/>
        <w:rPr>
          <w:u w:val="single"/>
        </w:rPr>
      </w:pPr>
      <w:r w:rsidRPr="00DA341E">
        <w:rPr>
          <w:u w:val="single"/>
        </w:rPr>
        <w:t>Realschule</w:t>
      </w:r>
      <w:r w:rsidR="00DA341E">
        <w:rPr>
          <w:u w:val="single"/>
        </w:rPr>
        <w:t>:</w:t>
      </w:r>
    </w:p>
    <w:p w:rsidR="000E3A3D" w:rsidRDefault="000E3A3D" w:rsidP="00DA341E">
      <w:pPr>
        <w:pStyle w:val="LTAntwortRessortText"/>
        <w:spacing w:before="120"/>
      </w:pPr>
      <w:r>
        <w:t>Der Unterricht an der bayerischen Realschule in den Wirtschaftsfächern ist praxis- und lebensnah. Insbesondere bei der Entwicklung des neuen LehrplanPLUS im Fach BwR (Betriebswirtschaftslehre/Rechnungswesen) wurde auf eine starke Ausrichtung auf Kompetenzen und Praxisnähe bzw. Lebenswirklichkeit sehr großer Wert gelegt. Schülerinnen und Schüler sollen Kompetenzen erwerben, die sie für wirtschaftliche Themen und deren Umsetzung in der Praxis nutzen können. Die Steuererklärung und das Ausfüllen einer solchen ist eine Thematik, die auf die Vorbereitung auf das</w:t>
      </w:r>
      <w:r w:rsidR="00DA341E">
        <w:t xml:space="preserve"> </w:t>
      </w:r>
      <w:r w:rsidR="00423B2A">
        <w:t>„</w:t>
      </w:r>
      <w:r>
        <w:t>wirtschaftliche Leben</w:t>
      </w:r>
      <w:r w:rsidR="00423B2A">
        <w:t>“</w:t>
      </w:r>
      <w:r>
        <w:t xml:space="preserve"> abzielt, denn jeder sollte der Finanzbehörde die Tatsachen darlegen können, die als Besteuerungsgrundlagen für eine Festsetzung der Steuer nötig sind.</w:t>
      </w:r>
    </w:p>
    <w:p w:rsidR="000E3A3D" w:rsidRDefault="000E3A3D" w:rsidP="000E3A3D">
      <w:pPr>
        <w:pStyle w:val="LTAntwortRessortText"/>
      </w:pPr>
      <w:r>
        <w:t>Fiskalpolitik wird in den wirtschaftswissenschaftlic</w:t>
      </w:r>
      <w:r w:rsidR="00DA341E">
        <w:t>hen Fächern als auch in Sozial</w:t>
      </w:r>
      <w:r>
        <w:t xml:space="preserve">kunde thematisiert, z. B. in Jahrgangsstufe 10 unter dem Lehrplanpunkt </w:t>
      </w:r>
      <w:r w:rsidR="00423B2A">
        <w:t>„</w:t>
      </w:r>
      <w:r w:rsidR="00DA341E">
        <w:t>Sk 10.5 Ziel</w:t>
      </w:r>
      <w:r>
        <w:t>e und Maßnahmen der Wirtschaftspolitik</w:t>
      </w:r>
      <w:r w:rsidR="00423B2A">
        <w:t>“</w:t>
      </w:r>
      <w:r>
        <w:t xml:space="preserve"> (ca. 11 Std. Richtzeit).</w:t>
      </w:r>
    </w:p>
    <w:p w:rsidR="000E3A3D" w:rsidRDefault="000E3A3D" w:rsidP="000E3A3D">
      <w:pPr>
        <w:pStyle w:val="LTAntwortRessortText"/>
      </w:pPr>
      <w:r>
        <w:t>Das Ausfüllen der Steuererklärung als zusätzlic</w:t>
      </w:r>
      <w:r w:rsidR="00DA341E">
        <w:t>he Kompetenzerwartung aufzuneh</w:t>
      </w:r>
      <w:r>
        <w:t>men, ist nicht notwendig, denn die Steuererklärung ist bereits als Thematik verankert. Die zutreffende Kompetenzerwartung aus dem ne</w:t>
      </w:r>
      <w:r w:rsidR="00DA341E">
        <w:t>uen LehrplanPLUS (Jahrgangsstu</w:t>
      </w:r>
      <w:r>
        <w:t xml:space="preserve">fe 8, BwR/Jahrgangsstufe 9, Wirtschaft und Recht, jeweils WPFG II) lautet: </w:t>
      </w:r>
      <w:r w:rsidR="00423B2A">
        <w:t>„</w:t>
      </w:r>
      <w:r>
        <w:t xml:space="preserve">Die Schülerinnen und Schüler begründen ausgehend von der </w:t>
      </w:r>
      <w:r w:rsidR="00DA341E">
        <w:lastRenderedPageBreak/>
        <w:t>jährlichen Entgeltabrech</w:t>
      </w:r>
      <w:r>
        <w:t>nung einer Ausbildungsvergütung den möglichen f</w:t>
      </w:r>
      <w:r w:rsidR="00DA341E">
        <w:t>inanziellen Nutzen der Einkom</w:t>
      </w:r>
      <w:r>
        <w:t>mensteuererklärung.</w:t>
      </w:r>
    </w:p>
    <w:p w:rsidR="000E3A3D" w:rsidRDefault="000E3A3D" w:rsidP="000E3A3D">
      <w:pPr>
        <w:pStyle w:val="LTAntwortRessortText"/>
      </w:pPr>
      <w:r>
        <w:t xml:space="preserve">Altersgemäß werden die Schülerinnen und Schüler </w:t>
      </w:r>
      <w:r w:rsidR="00DA341E">
        <w:t>für den Zeitraum nach dem Real</w:t>
      </w:r>
      <w:r>
        <w:t>schulabschluss für die anstehenden Aufgaben in Au</w:t>
      </w:r>
      <w:r w:rsidR="00DA341E">
        <w:t>sbildung und Beruf mit dem Ver</w:t>
      </w:r>
      <w:r>
        <w:t>fahren zur Erstellung einer Steuererklärung vertraut gemacht.</w:t>
      </w:r>
    </w:p>
    <w:p w:rsidR="000E3A3D" w:rsidRPr="00DA341E" w:rsidRDefault="000E3A3D" w:rsidP="000E3A3D">
      <w:pPr>
        <w:pStyle w:val="LTAntwortRessortText"/>
        <w:rPr>
          <w:u w:val="single"/>
        </w:rPr>
      </w:pPr>
      <w:r w:rsidRPr="00DA341E">
        <w:rPr>
          <w:u w:val="single"/>
        </w:rPr>
        <w:t>Gymnasium</w:t>
      </w:r>
      <w:r w:rsidR="00DA341E">
        <w:rPr>
          <w:u w:val="single"/>
        </w:rPr>
        <w:t>:</w:t>
      </w:r>
    </w:p>
    <w:p w:rsidR="000E3A3D" w:rsidRDefault="000E3A3D" w:rsidP="00DA341E">
      <w:pPr>
        <w:pStyle w:val="LTAntwortRessortText"/>
        <w:spacing w:before="120"/>
      </w:pPr>
      <w:r>
        <w:t>Das bayerische Gymnasium vermittelt eine vertiefte Allgemeinbildung. Dabei stellt es sich im Rahmen des fächerübergreifenden Bildungs-u</w:t>
      </w:r>
      <w:r w:rsidR="00DA341E">
        <w:t>nd Erziehungsziels der Vermitt</w:t>
      </w:r>
      <w:r>
        <w:t>lung von Alltagskompetenzen und Lebensökonomie auch der Au</w:t>
      </w:r>
      <w:r w:rsidR="00DA341E">
        <w:t>fgabe, die heran</w:t>
      </w:r>
      <w:r>
        <w:t>wachsenden Generationen in die Lage zu versetzen, sich als mündige Personen am</w:t>
      </w:r>
      <w:r w:rsidR="00DA341E">
        <w:t xml:space="preserve"> </w:t>
      </w:r>
      <w:r>
        <w:t>Wirtschaftsleben zu beteiligen und ökonomische All</w:t>
      </w:r>
      <w:r w:rsidR="00DA341E">
        <w:t>tagsprobleme erfolgreich zu lö</w:t>
      </w:r>
      <w:r>
        <w:t>sen. Hierfür leistet das Fach Wirtschaft und Recht im Bereich der ökonomis</w:t>
      </w:r>
      <w:r w:rsidR="00DA341E">
        <w:t>chen Bil</w:t>
      </w:r>
      <w:r>
        <w:t>dung einen wichtigen Beitrag. Mit einem eigenständigen wirtschaftskundlichen Fach, das Pflichtfach in allen gymnasialen Ausbildungsrich</w:t>
      </w:r>
      <w:r w:rsidR="00DA341E">
        <w:t>tungen ist und von wirtschafts</w:t>
      </w:r>
      <w:r>
        <w:t>wissenschaftlich ausgebildeten Lehrkräften unterrichtet wird, nimmt Bayern in Deutschland eine Vorreiterrolle im Bereich der ö</w:t>
      </w:r>
      <w:r w:rsidR="00DA341E">
        <w:t>konomischen Bildung am Gymnasi</w:t>
      </w:r>
      <w:r>
        <w:t>um ein. Im Rahmen des Fachunterrichts gewinnen d</w:t>
      </w:r>
      <w:r w:rsidR="00DA341E">
        <w:t>ie Schülerinnen und Schüler da</w:t>
      </w:r>
      <w:r>
        <w:t xml:space="preserve">bei einen Einblick in wirtschaftliche und rechtliche Zusammenhänge und setzen sich mit verschiedenen ökonomischen Fragestellungen </w:t>
      </w:r>
      <w:r w:rsidR="00DA341E">
        <w:t>– auch mit Fragen der Alltags</w:t>
      </w:r>
      <w:r>
        <w:t xml:space="preserve">ökonomie, wie z. B. grundlegenden Fragestellungen </w:t>
      </w:r>
      <w:r w:rsidR="00DA341E">
        <w:t>der Belastung privater Haushal</w:t>
      </w:r>
      <w:r>
        <w:t xml:space="preserve">te mit Steuern und Abgaben </w:t>
      </w:r>
      <w:r w:rsidR="00DA341E">
        <w:t>–</w:t>
      </w:r>
      <w:r>
        <w:t xml:space="preserve"> auseinander.</w:t>
      </w:r>
    </w:p>
    <w:p w:rsidR="000E3A3D" w:rsidRDefault="000E3A3D" w:rsidP="000E3A3D">
      <w:pPr>
        <w:pStyle w:val="LTAntwortRessortText"/>
      </w:pPr>
      <w:r>
        <w:t>Im Unterricht de</w:t>
      </w:r>
      <w:r w:rsidR="002E6212">
        <w:t>s Fach</w:t>
      </w:r>
      <w:r>
        <w:t>s Wirtschaft und Recht gehen die Schülerinnen und Schüler im derzeit gültigen Lehrplan der Jahrgangsstufe 10 vor dem Hintergrund aktueller Problemstellungen der sozialen Marktwirtschaft, Fragen der Besteuerung und der sozialen Sicherung nach und erlangen so Urteils- und Entscheidungsfähigkeit in wir</w:t>
      </w:r>
      <w:r w:rsidR="00E22CDE">
        <w:t>t</w:t>
      </w:r>
      <w:r>
        <w:t>schaftspolitischen Fragen. Anhand einzelner Aspekte der Einkommensumverteilung setzen sich die Schülerinnen und Schüler mit dem Begriff der sozialen Gerechtigkeit auseinander und erörtern die Belastung eines privaten Haushalts mit Steuern und Beiträgen. Angesichts des Ziels des Fachunterrichts i</w:t>
      </w:r>
      <w:r w:rsidR="00E22CDE">
        <w:t>n Wirtschaft und Recht, Funkti</w:t>
      </w:r>
      <w:r>
        <w:t>on und volkswirtschaftliche Auswirkungen sowie Ger</w:t>
      </w:r>
      <w:r w:rsidR="00E22CDE">
        <w:t>echtigkeitsaspekte der Besteue</w:t>
      </w:r>
      <w:r>
        <w:t>rung unter anderem vor dem Hintergrund eigener Wertvorstellungen und einer ethisch-moralischen Perspektive zu diskutieren, ste</w:t>
      </w:r>
      <w:r w:rsidR="00E22CDE">
        <w:t>ht die Erörterung einzelner De</w:t>
      </w:r>
      <w:r>
        <w:t>tailaspekte, wie z. B. das Ausfüllen einer Steuererklär</w:t>
      </w:r>
      <w:r w:rsidR="00E22CDE">
        <w:t>ung, jedoch nicht primär im Fo</w:t>
      </w:r>
      <w:r>
        <w:t>kus.</w:t>
      </w:r>
    </w:p>
    <w:p w:rsidR="000E3A3D" w:rsidRDefault="000E3A3D" w:rsidP="000E3A3D">
      <w:pPr>
        <w:pStyle w:val="LTAntwortRessortText"/>
      </w:pPr>
      <w:r>
        <w:t>Das Wirtschafts- und Sozialwissenschaftliche G</w:t>
      </w:r>
      <w:r w:rsidR="00E22CDE">
        <w:t>ymnasium mit wirtschaftswissen</w:t>
      </w:r>
      <w:r>
        <w:t>schaftlichem Profil (WSG-W) ermöglicht eine vertiefte Auseinandersetzung mit dem Thema Besteuerung des Einkommens. Die Schülerin</w:t>
      </w:r>
      <w:r w:rsidR="00E22CDE">
        <w:t>nen und Schüler lernen in Jahr</w:t>
      </w:r>
      <w:r>
        <w:t>gangsstufe 10 die Einkommensteuer als Steuerart kennen, die erheblichen Einfluss auf das verfügbare Einkommen der privaten Haushalte hat, und erhalten Einblicke in die Lösungsstruktur einfacher Steuerfälle. Im Vergl</w:t>
      </w:r>
      <w:r w:rsidR="00E22CDE">
        <w:t>eich mit den Einkommensteuerta</w:t>
      </w:r>
      <w:r>
        <w:t>rifen anderer Länder werden die Gegebenheiten in Deutschland analysiert.</w:t>
      </w:r>
    </w:p>
    <w:p w:rsidR="000E3A3D" w:rsidRDefault="000E3A3D" w:rsidP="000E3A3D">
      <w:pPr>
        <w:pStyle w:val="LTAntwortRessortText"/>
      </w:pPr>
      <w:r>
        <w:t>Der Fachlehrplan Wirtschaft und Recht greift neben dem Thema Besteuerung auch weitere lebenspraktische Themen auf, so z. B. E</w:t>
      </w:r>
      <w:r w:rsidR="00E22CDE">
        <w:t>ntscheidungen beim Konsum, Entsc</w:t>
      </w:r>
      <w:r>
        <w:t xml:space="preserve">heidungen beim Umgang mit Geld, die Rechte des </w:t>
      </w:r>
      <w:r w:rsidR="00E22CDE">
        <w:t>Verbrauchers bei Pflichtverletzu</w:t>
      </w:r>
      <w:r>
        <w:t>ngen und die rechtliche Stellung Minderjähriger. Dabei werden die Themen stets unter Beachtung der Lebenswirklichkeit der Schülerinnen und Schüler sowie des schulartspezifischen Bildungsauftrags des Gymnasi</w:t>
      </w:r>
      <w:r w:rsidR="00E22CDE">
        <w:t>ums, der Vermittlung einer ver</w:t>
      </w:r>
      <w:r>
        <w:t>tieften Allgemeinbildung und dem Ziel der allgemeinen Hochschulreife, behandelt.</w:t>
      </w:r>
    </w:p>
    <w:p w:rsidR="00A21049" w:rsidRDefault="00A21049" w:rsidP="000E3A3D">
      <w:pPr>
        <w:pStyle w:val="LTAntwortRessortText"/>
      </w:pPr>
    </w:p>
    <w:p w:rsidR="00A45535" w:rsidRDefault="00A45535"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Thomas</w:t>
            </w:r>
            <w:r w:rsidRPr="000E3A3D">
              <w:rPr>
                <w:b/>
              </w:rPr>
              <w:br/>
              <w:t>Gehring</w:t>
            </w:r>
            <w:r w:rsidRPr="000E3A3D">
              <w:rPr>
                <w:b/>
              </w:rPr>
              <w:br/>
            </w:r>
            <w:r w:rsidRPr="000E3A3D">
              <w:t>(BÜNDNIS 90/DIE GRÜNEN)</w:t>
            </w:r>
            <w:r>
              <w:fldChar w:fldCharType="begin"/>
            </w:r>
            <w:r>
              <w:instrText xml:space="preserve"> TC </w:instrText>
            </w:r>
            <w:r w:rsidR="00423B2A">
              <w:instrText>„</w:instrText>
            </w:r>
            <w:bookmarkStart w:id="38" w:name="_Toc519153224"/>
            <w:r>
              <w:instrText>Gehring, Thomas (BÜNDNIS 90/DIE GRÜNEN)</w:instrText>
            </w:r>
            <w:r>
              <w:br/>
              <w:instrText>Bildung der 5. Klasse an Mittelschulen</w:instrText>
            </w:r>
            <w:bookmarkEnd w:id="38"/>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an wie vielen bayerischen Mittelschulen wird </w:t>
            </w:r>
            <w:r w:rsidR="00557322">
              <w:t>–</w:t>
            </w:r>
            <w:r>
              <w:t xml:space="preserve"> so wie an der Mittelschule Oberstaufen </w:t>
            </w:r>
            <w:r w:rsidR="00557322">
              <w:t>–</w:t>
            </w:r>
            <w:r>
              <w:t xml:space="preserve"> im Schuljahr 2018/2019 keine 5.</w:t>
            </w:r>
            <w:r w:rsidR="00557322">
              <w:t> </w:t>
            </w:r>
            <w:r>
              <w:t>Klasse gebildet und plant die Staatsregierung in Oberstaufen und ggf. an den anderen betroffenen Mittelschulen zusätzliche Personalressourcen einzusetzen oder die Bildung einer Kombiklasse zu ermöglichen, um doch noch ein Angebot für die Schülerinnen und Schüler in der Mittelschule Oberstaufen und ggf. an den anderen Mittelschulen im Schuljahr 2018/2019 zu gewährleisten?</w:t>
            </w:r>
          </w:p>
          <w:p w:rsidR="000E3A3D" w:rsidRDefault="000E3A3D" w:rsidP="000E3A3D">
            <w:pPr>
              <w:pStyle w:val="LTAnfrageText"/>
            </w:pPr>
          </w:p>
        </w:tc>
      </w:tr>
    </w:tbl>
    <w:p w:rsidR="000E3A3D" w:rsidRDefault="000E3A3D" w:rsidP="000E3A3D">
      <w:pPr>
        <w:pStyle w:val="LTUeberschrAntwortRessort"/>
      </w:pPr>
      <w:r>
        <w:t>Antwort des Staatsministeriums für Unterricht und Kultus</w:t>
      </w:r>
    </w:p>
    <w:p w:rsidR="000E3A3D" w:rsidRDefault="000E3A3D" w:rsidP="000E3A3D">
      <w:pPr>
        <w:pStyle w:val="LTAntwortRessortText"/>
      </w:pPr>
      <w:r>
        <w:t>Im Zusammenhang mit der Weiterentwicklung der Hauptschule zur Mittelschule und der Bildung von Mittelschulverbünden wurde, um insbesondere den Fortbestand kleinerer Mittelschulen zu ermöglichen, ein nach der Gesamtschülerzahl der Schulen im Verbund errechnetes Budget von Lehrerstunden eingeführt. Diese</w:t>
      </w:r>
      <w:r w:rsidR="00557322">
        <w:t>s Gesamt</w:t>
      </w:r>
      <w:r>
        <w:t xml:space="preserve">budget wird dem Verbund zugewiesen. Dabei liegt </w:t>
      </w:r>
      <w:r w:rsidR="00557322">
        <w:t>die Entscheidung über die Klas</w:t>
      </w:r>
      <w:r>
        <w:t>senbildung, die Standorte der Klassen und die Klassenst</w:t>
      </w:r>
      <w:r w:rsidR="002E6212">
        <w:t>ärken in den Händen des Verbund</w:t>
      </w:r>
      <w:r>
        <w:t>s, der die Planungen auf der Grundlage der vom Staatsministerium</w:t>
      </w:r>
      <w:r w:rsidR="00557322">
        <w:t xml:space="preserve"> für Unterricht und Kultus (StMUK) über</w:t>
      </w:r>
      <w:r>
        <w:t>mittelten Richtlinien vornimmt. Unterstützt wird der Verbundkoordinator durch den Verbundausschuss, dem für jede beteiligte Schule eine Vertreterin oder ein Vertreter des Sachaufwandsträgers, die Schulleiterin oder der Sc</w:t>
      </w:r>
      <w:r w:rsidR="00557322">
        <w:t>hulleiter, die oder der Eltern</w:t>
      </w:r>
      <w:r>
        <w:t>beiratsvorsitzende und die Schülersprecherinnen und Schülersprecher angehören.</w:t>
      </w:r>
    </w:p>
    <w:p w:rsidR="000E3A3D" w:rsidRDefault="000E3A3D" w:rsidP="000E3A3D">
      <w:pPr>
        <w:pStyle w:val="LTAntwortRessortText"/>
      </w:pPr>
      <w:r>
        <w:t>Die Entscheidung, ob die Spielräume dieses Budgets zugunsten kleinerer Klassen oder für die Errichtung von weiteren Arbeitsgemeinschaften oder Förderunterricht verwendet werden, liegt in der Zuständigkeit des Verbundkoordinators und hängt auch von den jährlich veränderlichen Rahmenbedingungen (z.</w:t>
      </w:r>
      <w:r w:rsidR="00557322">
        <w:t> B. Wohnorte der Schü</w:t>
      </w:r>
      <w:r>
        <w:t>lerinnen und Schüler) ab.</w:t>
      </w:r>
    </w:p>
    <w:p w:rsidR="000E3A3D" w:rsidRDefault="000E3A3D" w:rsidP="000E3A3D">
      <w:pPr>
        <w:pStyle w:val="LTAntwortRessortText"/>
      </w:pPr>
      <w:r>
        <w:t>ie Bildung jahrgangskombinierter Klassen ist gesetzlich an staatlichen Schulen für den Grundschulbereich, nicht aber für den Mittelschulbereich vorgesehen (vgl. Art. 32 Abs. 2 und Art. 32a Abs. 2 Bayerische</w:t>
      </w:r>
      <w:r w:rsidR="00557322">
        <w:t>s Gesetz</w:t>
      </w:r>
      <w:r>
        <w:t xml:space="preserve"> über das Erziehungs- und</w:t>
      </w:r>
      <w:r w:rsidR="00557322">
        <w:t xml:space="preserve"> </w:t>
      </w:r>
      <w:r>
        <w:t xml:space="preserve">Unterrichtswesen </w:t>
      </w:r>
      <w:r w:rsidR="00557322">
        <w:t>–</w:t>
      </w:r>
      <w:r>
        <w:t xml:space="preserve"> BayEUG). Neben den rechtlichen Rahmenbedingungen sind hierfür auch fachlich-pädagogische Gesichtspunkte</w:t>
      </w:r>
      <w:r w:rsidR="00557322">
        <w:t xml:space="preserve"> maßgeblich. Beispielsweise se</w:t>
      </w:r>
      <w:r>
        <w:t>hen die Jahrgangsstufen 5 und 6 an der Mittelschule unterschiedliche Arbeitsweisen und Zielsetzungen vor. Auch eine Kombination höherer Jahrgangsstufen ist an der Mittelschule wie auch an anderen weiterführenden</w:t>
      </w:r>
      <w:r w:rsidR="00557322">
        <w:t xml:space="preserve"> Schulen – insbesondere im Hin</w:t>
      </w:r>
      <w:r>
        <w:t>blick auf eine optimale Vorbereitung der Schül</w:t>
      </w:r>
      <w:r w:rsidR="00557322">
        <w:t>erinnen und Schüler auf den Ab</w:t>
      </w:r>
      <w:r>
        <w:t xml:space="preserve">schluss </w:t>
      </w:r>
      <w:r w:rsidR="00557322">
        <w:t>–</w:t>
      </w:r>
      <w:r>
        <w:t xml:space="preserve"> nicht vorgesehen; dies soll den fachlichen Anspruch und den gesetzlichen Bildungsauftrag der Mittelschule sichern. Jahrgangsstufenübergreifender Unterricht ist daher nur in wenigen Ausnahmefällen und nur für bestimmte Fächer denkbar.</w:t>
      </w:r>
    </w:p>
    <w:p w:rsidR="000E3A3D" w:rsidRDefault="000E3A3D" w:rsidP="000E3A3D">
      <w:pPr>
        <w:pStyle w:val="LTAntwortRessortText"/>
      </w:pPr>
      <w:r>
        <w:t>Über die Einrichtung von jahrgangsstufenübergreifend</w:t>
      </w:r>
      <w:r w:rsidR="00557322">
        <w:t>em Unterricht in den Pflichtfä</w:t>
      </w:r>
      <w:r>
        <w:t>chern Religionslehre, Ethik und Sport entscheidet die Schulleit</w:t>
      </w:r>
      <w:r w:rsidR="00557322">
        <w:t>erin oder der Schullei</w:t>
      </w:r>
      <w:r>
        <w:t xml:space="preserve">ter unter Beachtung der amtlichen Vorgaben für die Klassen- und Gruppenbildung (vgl. § 9 Abs. 2 Satz 1 Mittelschulordnung </w:t>
      </w:r>
      <w:r w:rsidR="00557322">
        <w:t>–</w:t>
      </w:r>
      <w:r>
        <w:t xml:space="preserve"> MSO). Bei Wahlpflichtfächern oder Wahlfächern ist nur in besonderen Fällen ein jahrgangsstufenübergreife</w:t>
      </w:r>
      <w:r w:rsidR="00557322">
        <w:t>nder Unterr</w:t>
      </w:r>
      <w:r>
        <w:t>icht möglich (vgl. § 9 Abs. 3 MSO). Die Einzelheiten müssten vor Ort auch mit der Verbundkoordinatorin bzw. dem Verbundkoordinator und im Verbundausschuss im Gesamtkontext der Klassenbildung erörtert werden.</w:t>
      </w:r>
    </w:p>
    <w:p w:rsidR="000E3A3D" w:rsidRDefault="000E3A3D" w:rsidP="000E3A3D">
      <w:pPr>
        <w:pStyle w:val="LTAntwortRessortText"/>
      </w:pPr>
      <w:r>
        <w:lastRenderedPageBreak/>
        <w:t>Zum gegenwärtigen Zeitpunkt ist die Klassenbildung für das Schuljahr 2018/2019 noch nicht abgeschlossen. Außerdem werden Daten</w:t>
      </w:r>
      <w:r w:rsidR="00557322">
        <w:t xml:space="preserve"> zu den eingerichteten 5. Klas</w:t>
      </w:r>
      <w:r>
        <w:t xml:space="preserve">sen an Mittelschulen im Freistaat Bayern vom </w:t>
      </w:r>
      <w:r w:rsidR="00557322">
        <w:t>StMUK</w:t>
      </w:r>
      <w:r>
        <w:t xml:space="preserve"> nicht erfasst, da die Zuständigkeiten bei den nachgeordneten Behörden bzw. bei den Schulen liegen (z.</w:t>
      </w:r>
      <w:r w:rsidR="00557322">
        <w:t> </w:t>
      </w:r>
      <w:r>
        <w:t>B. Klassenbildung, Zuwe</w:t>
      </w:r>
      <w:r w:rsidR="00557322">
        <w:t>isungen von Lehrkräften im Rah</w:t>
      </w:r>
      <w:r>
        <w:t>men der Klassenbildung an die Schulen bei den Staatlichen Schulämtern, Einteilung von Klassenleitungen bei der Schulleitung). Eine solche Abfra</w:t>
      </w:r>
      <w:r w:rsidR="00557322">
        <w:t>ge ist in der für die Be</w:t>
      </w:r>
      <w:r>
        <w:t>antwortung einer Anfrage zum Plenum nach der Landtagsgeschäftsordnung nicht möglich.</w:t>
      </w:r>
    </w:p>
    <w:p w:rsidR="00A45535" w:rsidRDefault="00A45535"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Martin</w:t>
            </w:r>
            <w:r w:rsidRPr="000E3A3D">
              <w:rPr>
                <w:b/>
              </w:rPr>
              <w:br/>
              <w:t>Güll</w:t>
            </w:r>
            <w:r w:rsidRPr="000E3A3D">
              <w:rPr>
                <w:b/>
              </w:rPr>
              <w:br/>
            </w:r>
            <w:r w:rsidRPr="000E3A3D">
              <w:t>(SPD)</w:t>
            </w:r>
            <w:r>
              <w:fldChar w:fldCharType="begin"/>
            </w:r>
            <w:r>
              <w:instrText xml:space="preserve"> TC </w:instrText>
            </w:r>
            <w:r w:rsidR="00423B2A">
              <w:instrText>„</w:instrText>
            </w:r>
            <w:bookmarkStart w:id="39" w:name="_Toc519153225"/>
            <w:r>
              <w:instrText>Güll, Martin (SPD)</w:instrText>
            </w:r>
            <w:r>
              <w:br/>
              <w:instrText>Stellenbesetzungen im Einzelplan 05</w:instrText>
            </w:r>
            <w:bookmarkEnd w:id="3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war jeweil</w:t>
            </w:r>
            <w:r w:rsidR="00590F77">
              <w:t xml:space="preserve">s in den Jahren 2010 bis </w:t>
            </w:r>
            <w:r>
              <w:t>2018 zum Stichtag 1. Februar die Anz</w:t>
            </w:r>
            <w:r w:rsidR="00590F77">
              <w:t>ahl der Stellen in den Kap. 05</w:t>
            </w:r>
            <w:r w:rsidR="002E6212">
              <w:t> </w:t>
            </w:r>
            <w:r w:rsidR="00590F77">
              <w:t xml:space="preserve">12 – </w:t>
            </w:r>
            <w:r>
              <w:t>05</w:t>
            </w:r>
            <w:r w:rsidR="002E6212">
              <w:t> </w:t>
            </w:r>
            <w:r>
              <w:t>19 bei Tit.</w:t>
            </w:r>
            <w:r w:rsidR="00590F77">
              <w:t> </w:t>
            </w:r>
            <w:r>
              <w:t>42</w:t>
            </w:r>
            <w:r w:rsidR="00590F77">
              <w:t> </w:t>
            </w:r>
            <w:r>
              <w:t xml:space="preserve">201 </w:t>
            </w:r>
            <w:r w:rsidR="00423B2A">
              <w:t>„</w:t>
            </w:r>
            <w:r>
              <w:t>Planmäßige Beamte</w:t>
            </w:r>
            <w:r w:rsidR="00423B2A">
              <w:t>“</w:t>
            </w:r>
            <w:r w:rsidR="00590F77">
              <w:t xml:space="preserve"> sowie Tit. 42 </w:t>
            </w:r>
            <w:r>
              <w:t xml:space="preserve">801 </w:t>
            </w:r>
            <w:r w:rsidR="00423B2A">
              <w:t>„</w:t>
            </w:r>
            <w:r>
              <w:t>Arbeitnehmer</w:t>
            </w:r>
            <w:r w:rsidR="00423B2A">
              <w:t>“</w:t>
            </w:r>
            <w:r>
              <w:t>, wie war die Ist-Besetzung dieser Stellen und wie viele dieser Stellen, die einen kw-Ver</w:t>
            </w:r>
            <w:r w:rsidR="00590F77">
              <w:softHyphen/>
            </w:r>
            <w:r>
              <w:t>merk (kw = künftig wegfallend) hatten, wurden tatsächlich eingezogen?</w:t>
            </w:r>
          </w:p>
          <w:p w:rsidR="000E3A3D" w:rsidRDefault="000E3A3D" w:rsidP="000E3A3D">
            <w:pPr>
              <w:pStyle w:val="LTAnfrageText"/>
            </w:pPr>
          </w:p>
        </w:tc>
      </w:tr>
    </w:tbl>
    <w:p w:rsidR="000E3A3D" w:rsidRDefault="000E3A3D" w:rsidP="000E3A3D">
      <w:pPr>
        <w:pStyle w:val="LTUeberschrAntwortRessort"/>
      </w:pPr>
      <w:r>
        <w:t>Antwort des Staatsministeriums für Unterricht und Kultus</w:t>
      </w:r>
    </w:p>
    <w:p w:rsidR="000E3A3D" w:rsidRDefault="000E3A3D" w:rsidP="000E3A3D">
      <w:pPr>
        <w:pStyle w:val="LTAntwortRessortText"/>
      </w:pPr>
      <w:r>
        <w:t>Zur Anzahl</w:t>
      </w:r>
      <w:r w:rsidR="00590F77">
        <w:t xml:space="preserve"> der Stellen in den Kapiteln 05</w:t>
      </w:r>
      <w:r w:rsidR="002E6212">
        <w:t> </w:t>
      </w:r>
      <w:r w:rsidR="00590F77">
        <w:t>12 – 05</w:t>
      </w:r>
      <w:r w:rsidR="002E6212">
        <w:t> </w:t>
      </w:r>
      <w:r>
        <w:t>19 und deren Ist-Besetzung wird auf die Übersicht in der Anlage</w:t>
      </w:r>
      <w:r w:rsidR="00590F77">
        <w:t>*</w:t>
      </w:r>
      <w:r>
        <w:t xml:space="preserve"> verwiesen.</w:t>
      </w:r>
    </w:p>
    <w:p w:rsidR="000E3A3D" w:rsidRDefault="000E3A3D" w:rsidP="000E3A3D">
      <w:pPr>
        <w:pStyle w:val="LTAntwortRessortText"/>
      </w:pPr>
      <w:r>
        <w:t xml:space="preserve">Als Basis zur Beantwortung dieser Anfrage zum Plenum wird die Erhebung zur Schriftlichen Anfrage </w:t>
      </w:r>
      <w:r w:rsidR="00590F77">
        <w:t>des Abgeordneten</w:t>
      </w:r>
      <w:r>
        <w:t xml:space="preserve"> Stefan Schuster u.a. vom 08.03.2016 zu </w:t>
      </w:r>
      <w:r w:rsidR="00423B2A">
        <w:t>„</w:t>
      </w:r>
      <w:r w:rsidR="00590F77">
        <w:t>Stel</w:t>
      </w:r>
      <w:r>
        <w:t>len und Beschäftigte beim Freistaat Bayern</w:t>
      </w:r>
      <w:r w:rsidR="00423B2A">
        <w:t>“</w:t>
      </w:r>
      <w:r>
        <w:t xml:space="preserve"> </w:t>
      </w:r>
      <w:r w:rsidR="00590F77">
        <w:t xml:space="preserve">(Drs. 17/12807) </w:t>
      </w:r>
      <w:r>
        <w:t>herangezogen (damals für die Jahre 2012 bis 2016). Es wird deshalb auch bei Beantwortung dieser Anfrage</w:t>
      </w:r>
      <w:r w:rsidR="002E6212">
        <w:t xml:space="preserve"> zum Plenum</w:t>
      </w:r>
      <w:r w:rsidR="00590F77">
        <w:t xml:space="preserve"> </w:t>
      </w:r>
      <w:r>
        <w:t>auf den</w:t>
      </w:r>
      <w:r w:rsidR="00590F77">
        <w:t xml:space="preserve"> </w:t>
      </w:r>
      <w:r>
        <w:t>01.01. eines Jahres abgestellt. Bei der Anzahl der St</w:t>
      </w:r>
      <w:r w:rsidR="00590F77">
        <w:t>ellen gibt es keine Veränderun</w:t>
      </w:r>
      <w:r>
        <w:t>gen zwischen dem 01.01. und dem 01.02.</w:t>
      </w:r>
      <w:r w:rsidR="002E6212">
        <w:t xml:space="preserve"> </w:t>
      </w:r>
      <w:r>
        <w:t>eines Jah</w:t>
      </w:r>
      <w:r w:rsidR="00590F77">
        <w:t>res. Die Nachweise zur Stellen</w:t>
      </w:r>
      <w:r>
        <w:t xml:space="preserve">besetzung sind </w:t>
      </w:r>
      <w:r w:rsidR="00590F77">
        <w:t>fünf</w:t>
      </w:r>
      <w:r>
        <w:t xml:space="preserve"> Jahre nach Abschluss des Haus</w:t>
      </w:r>
      <w:r w:rsidR="00590F77">
        <w:t>haltsjahres aufzubewahren; Anga</w:t>
      </w:r>
      <w:r>
        <w:t>ben zur Ist-Besetzung für die Jahre 2010 bis 2012 stehen nur insoweit zur Verfügung als sie in die Beantwortung der damaligen Schriftlichen Anfrage eingeflossen sind.</w:t>
      </w:r>
    </w:p>
    <w:p w:rsidR="000E3A3D" w:rsidRDefault="000E3A3D" w:rsidP="000E3A3D">
      <w:pPr>
        <w:pStyle w:val="LTAntwortRessortText"/>
      </w:pPr>
      <w:r>
        <w:t xml:space="preserve">Planstellen sind </w:t>
      </w:r>
      <w:r w:rsidR="00423B2A">
        <w:t>„</w:t>
      </w:r>
      <w:r>
        <w:t>besetzt</w:t>
      </w:r>
      <w:r w:rsidR="00423B2A">
        <w:t>“</w:t>
      </w:r>
      <w:r>
        <w:t>, wenn zu ihren L</w:t>
      </w:r>
      <w:r w:rsidR="00590F77">
        <w:t xml:space="preserve">asten Beamtinnen bzw. Beamte oder Arbeitnehmerinnen bzw. </w:t>
      </w:r>
      <w:r>
        <w:t>Arbeitnehmer mit unbefristetem Arbeitsv</w:t>
      </w:r>
      <w:r w:rsidR="00590F77">
        <w:t>ertrag beschäftigt werden. Ins</w:t>
      </w:r>
      <w:r>
        <w:t>besondere die (nicht besetzten) Lehrerplanstellen dürfen aber auch zur Verstärkung der Personalmittel für befristete Beschäftigungen herangezogen werden und werden derzeit v.a. zur Beschäftigung von Aushilfskräften s</w:t>
      </w:r>
      <w:r w:rsidR="00590F77">
        <w:t>owie Teilnehmern für die Zweit</w:t>
      </w:r>
      <w:r>
        <w:t xml:space="preserve">qualifizierung für die Lehrämter an Grundschulen, Mittelschulen </w:t>
      </w:r>
      <w:r w:rsidR="00590F77">
        <w:br/>
        <w:t>oder Sonderpädago</w:t>
      </w:r>
      <w:r>
        <w:t>gik verwendet.</w:t>
      </w:r>
    </w:p>
    <w:p w:rsidR="000E3A3D" w:rsidRDefault="000E3A3D" w:rsidP="000E3A3D">
      <w:pPr>
        <w:pStyle w:val="LTAntwortRessortText"/>
      </w:pPr>
      <w:r>
        <w:t>Kw-Vermerke bei Le</w:t>
      </w:r>
      <w:r w:rsidR="002E6212">
        <w:t>hrerplanstellen in den Kap. 05 </w:t>
      </w:r>
      <w:r>
        <w:t>1</w:t>
      </w:r>
      <w:r w:rsidR="002E6212">
        <w:t>2 bis 05 </w:t>
      </w:r>
      <w:r w:rsidR="007276FA">
        <w:t>19, die mit einem kon</w:t>
      </w:r>
      <w:r>
        <w:t xml:space="preserve">kreten Datum versehen waren, wurden zuletzt im </w:t>
      </w:r>
      <w:r w:rsidR="007276FA">
        <w:t>Doppelhaushalt 2011/2012 ausge</w:t>
      </w:r>
      <w:r>
        <w:t>bracht.</w:t>
      </w:r>
    </w:p>
    <w:p w:rsidR="000E3A3D" w:rsidRDefault="000E3A3D" w:rsidP="000E3A3D">
      <w:pPr>
        <w:pStyle w:val="LTAntwortRessortText"/>
      </w:pPr>
      <w:r>
        <w:t xml:space="preserve">Zum 01.08.2011 waren wegen rückläufiger Schülerzahlen mit einem kw-Vermerk </w:t>
      </w:r>
      <w:r w:rsidR="002E6212">
        <w:t>versehen 857 Stellen im Kap. 05 </w:t>
      </w:r>
      <w:r>
        <w:t>12</w:t>
      </w:r>
      <w:r w:rsidR="002E6212">
        <w:t>, 56 Stellen im Kap. 05 </w:t>
      </w:r>
      <w:r>
        <w:t>13 und 30 Stellen im Kap. 05</w:t>
      </w:r>
      <w:r w:rsidR="002E6212">
        <w:t> </w:t>
      </w:r>
      <w:r>
        <w:t>18. Diese kw-Vermerke wurden vollzogen. Zu</w:t>
      </w:r>
      <w:r w:rsidR="007276FA">
        <w:t xml:space="preserve">gleich wurden im Jahr 2011 insgesamt </w:t>
      </w:r>
      <w:r>
        <w:t>933 zusätzliche Stellen zur Deckung der Grundbedarfe in den anderen Schularten ausgebracht.</w:t>
      </w:r>
    </w:p>
    <w:p w:rsidR="000E3A3D" w:rsidRDefault="000E3A3D" w:rsidP="000E3A3D">
      <w:pPr>
        <w:pStyle w:val="LTAntwortRessortText"/>
      </w:pPr>
      <w:r>
        <w:t>Ebenfalls zum 01.08.2011 wurden die im Kap. 05 19 mit ei</w:t>
      </w:r>
      <w:r w:rsidR="007276FA">
        <w:t>nem kw-Vermerk verse</w:t>
      </w:r>
      <w:r>
        <w:t>henen 1.499 Stellen infolge des Wegfalls der 13. Jahrgangstufe eingezogen.</w:t>
      </w:r>
      <w:r w:rsidR="007276FA">
        <w:t xml:space="preserve"> </w:t>
      </w:r>
      <w:r>
        <w:t>Zum 01.08.2012 waren wegen rückläu</w:t>
      </w:r>
      <w:r>
        <w:lastRenderedPageBreak/>
        <w:t>figer Schülerzahlen mit einem kw-Vermerk versehen 1.134 Stellen im Ka</w:t>
      </w:r>
      <w:r w:rsidR="002E6212">
        <w:t>p. 05 12, 72 Stellen im Kap. 05 </w:t>
      </w:r>
      <w:r>
        <w:t>13, 71 Stellen im Kap.</w:t>
      </w:r>
      <w:r w:rsidR="007276FA">
        <w:t xml:space="preserve"> </w:t>
      </w:r>
      <w:r w:rsidR="002E6212">
        <w:t>05 </w:t>
      </w:r>
      <w:r>
        <w:t>15 und 129 Stellen im Kap. 05</w:t>
      </w:r>
      <w:r w:rsidR="002E6212">
        <w:t> </w:t>
      </w:r>
      <w:r>
        <w:t xml:space="preserve">18. Diese insg. </w:t>
      </w:r>
      <w:r w:rsidR="007276FA">
        <w:t>1.406 kw-Ver</w:t>
      </w:r>
      <w:r w:rsidR="002E6212">
        <w:softHyphen/>
      </w:r>
      <w:r w:rsidR="007276FA">
        <w:t>merke wurden im Um</w:t>
      </w:r>
      <w:r>
        <w:t>fang von 324 Stellen vollzogen. Die restlichen 1.082 Stellen wurden im Schulsystem für Verbesserungen belassen. Zudem wurden im Jahr 2012 insg. 324 zusätzliche Stellen zur Deckung der Grundbedarfe in den anderen Schularten ausgebracht.</w:t>
      </w:r>
      <w:r w:rsidR="007276FA">
        <w:t xml:space="preserve"> </w:t>
      </w:r>
      <w:r>
        <w:t>Demgegenüber wurden in den Jahren 2008 bis 20</w:t>
      </w:r>
      <w:r w:rsidR="007276FA">
        <w:t>18 (einschließlich des 2. Nach</w:t>
      </w:r>
      <w:r>
        <w:t>tragshaushalts 2018 rund 15.100 Lehrerstellen für</w:t>
      </w:r>
      <w:r w:rsidR="007276FA">
        <w:t xml:space="preserve"> zusätzliche Ausgaben bereitge</w:t>
      </w:r>
      <w:r>
        <w:t>stellt.</w:t>
      </w:r>
    </w:p>
    <w:p w:rsidR="007276FA" w:rsidRDefault="007276FA" w:rsidP="000E3A3D">
      <w:pPr>
        <w:pStyle w:val="LTAntwortRessortText"/>
        <w:rPr>
          <w:u w:val="single"/>
        </w:rPr>
      </w:pPr>
    </w:p>
    <w:p w:rsidR="000E3A3D" w:rsidRPr="007276FA" w:rsidRDefault="000E3A3D" w:rsidP="000E3A3D">
      <w:pPr>
        <w:pStyle w:val="LTAntwortRessortText"/>
        <w:rPr>
          <w:u w:val="single"/>
        </w:rPr>
      </w:pPr>
      <w:r w:rsidRPr="007276FA">
        <w:rPr>
          <w:u w:val="single"/>
        </w:rPr>
        <w:t>Folgende Gründe für nicht besetzte Stellen zum 01.01. eines Jahres in allen Schularten sind erläuternd anzuführen:</w:t>
      </w:r>
    </w:p>
    <w:p w:rsidR="000E3A3D" w:rsidRDefault="000E3A3D" w:rsidP="007276FA">
      <w:pPr>
        <w:pStyle w:val="LTAntwortRessortText"/>
        <w:numPr>
          <w:ilvl w:val="0"/>
          <w:numId w:val="28"/>
        </w:numPr>
        <w:spacing w:before="120"/>
        <w:ind w:left="709" w:hanging="284"/>
      </w:pPr>
      <w:r>
        <w:t>Haushaltsrechtliche Vorgaben zur Sperrung von Lehrerplanstellen; nach Art. 6d Abs. 5</w:t>
      </w:r>
      <w:r w:rsidR="007276FA">
        <w:t xml:space="preserve"> Haushaltsgesetz (?) (</w:t>
      </w:r>
      <w:r>
        <w:t>HG</w:t>
      </w:r>
      <w:r w:rsidR="007276FA">
        <w:t>)</w:t>
      </w:r>
      <w:r>
        <w:t xml:space="preserve"> ist für jede Lehrkraft in Altersteilzeit 1/12 einer Stelle zu sperren und dürfen im jeweiligen Schuljahr nicht besetzt werden.</w:t>
      </w:r>
    </w:p>
    <w:p w:rsidR="000E3A3D" w:rsidRDefault="000E3A3D" w:rsidP="007276FA">
      <w:pPr>
        <w:pStyle w:val="LTAntwortRessortText"/>
        <w:numPr>
          <w:ilvl w:val="0"/>
          <w:numId w:val="28"/>
        </w:numPr>
        <w:spacing w:before="120"/>
        <w:ind w:left="709" w:hanging="284"/>
      </w:pPr>
      <w:r>
        <w:t xml:space="preserve">Gesperrte Stellen bei </w:t>
      </w:r>
      <w:r w:rsidR="007276FA">
        <w:t>Grundschulen (GS) bzw. Mittelschulen (MS)</w:t>
      </w:r>
      <w:r>
        <w:t xml:space="preserve"> wegen geringerer Zahl Schüler</w:t>
      </w:r>
      <w:r w:rsidR="007276FA">
        <w:t>innen und Schüler mit Fluchthinter</w:t>
      </w:r>
      <w:r>
        <w:t>grund (256 Stellen bei Kap. 05</w:t>
      </w:r>
      <w:r w:rsidR="002E6212">
        <w:t> </w:t>
      </w:r>
      <w:r>
        <w:t>12).</w:t>
      </w:r>
    </w:p>
    <w:p w:rsidR="00A45535" w:rsidRDefault="000E3A3D" w:rsidP="00AA4484">
      <w:pPr>
        <w:pStyle w:val="LTAntwortRessortText"/>
        <w:numPr>
          <w:ilvl w:val="0"/>
          <w:numId w:val="28"/>
        </w:numPr>
        <w:spacing w:before="120"/>
        <w:ind w:left="709" w:hanging="284"/>
      </w:pPr>
      <w:r>
        <w:t>Planstellen für Lehrkräfte und Förderlehrer kön</w:t>
      </w:r>
      <w:r w:rsidR="007276FA">
        <w:t>nen nur zum jeweiligen Einstel</w:t>
      </w:r>
      <w:r>
        <w:t>lungstermin besetzt werden, für alle Schularten zum September eines Jahres, im Bereich der Gymnasien auch zum Schulhalbjahr.</w:t>
      </w:r>
      <w:r w:rsidR="007276FA">
        <w:t xml:space="preserve"> Planstellen, die nach dem Ein</w:t>
      </w:r>
      <w:r>
        <w:t>stellungstermin im September frei werden, insbes. durch Versetzungen in den</w:t>
      </w:r>
      <w:r w:rsidR="007276FA">
        <w:t xml:space="preserve"> </w:t>
      </w:r>
      <w:r>
        <w:t>Ruhestand wegen Dienstunfähigkeit oder Tod</w:t>
      </w:r>
      <w:r w:rsidR="007276FA">
        <w:t>esfällen, aber auch durch Inan</w:t>
      </w:r>
      <w:r>
        <w:t>spruchnahme von Elternzeit sind zum 01.01. eines Jahres nicht besetzt.</w:t>
      </w:r>
    </w:p>
    <w:p w:rsidR="000E3A3D" w:rsidRDefault="00423B2A" w:rsidP="007276FA">
      <w:pPr>
        <w:pStyle w:val="LTAntwortRessortText"/>
        <w:numPr>
          <w:ilvl w:val="0"/>
          <w:numId w:val="28"/>
        </w:numPr>
        <w:spacing w:before="120"/>
        <w:ind w:left="709" w:hanging="284"/>
      </w:pPr>
      <w:r>
        <w:t>„</w:t>
      </w:r>
      <w:r w:rsidR="000E3A3D">
        <w:t>Anderweitige Nutzung</w:t>
      </w:r>
      <w:r>
        <w:t>“</w:t>
      </w:r>
      <w:r w:rsidR="000E3A3D">
        <w:t xml:space="preserve"> von Planstellen entsprechend der Vorgaben im Haushalt:</w:t>
      </w:r>
    </w:p>
    <w:p w:rsidR="000E3A3D" w:rsidRDefault="000E3A3D" w:rsidP="00267971">
      <w:pPr>
        <w:pStyle w:val="LTAntwortRessortText"/>
        <w:numPr>
          <w:ilvl w:val="0"/>
          <w:numId w:val="29"/>
        </w:numPr>
        <w:spacing w:before="60"/>
        <w:ind w:left="1054" w:hanging="203"/>
      </w:pPr>
      <w:r>
        <w:t>Die Besetzung einer Lehrerplanstelle erfolgt nur mit Lehrkräften m</w:t>
      </w:r>
      <w:r w:rsidR="007276FA">
        <w:t>it ent</w:t>
      </w:r>
      <w:r>
        <w:t>sprechender Lehrbefähigung und entsprechendem Notenschnitt. Sofern nicht ausreichend Lehrkräfte mit entspre</w:t>
      </w:r>
      <w:r w:rsidR="007276FA">
        <w:t>chender Lehrbefähigung zur Ver</w:t>
      </w:r>
      <w:r>
        <w:t xml:space="preserve">fügung stehen, werden die Planstellen zur Abdeckung der Ausgaben von befristeten Verträgen genutzt. Im Bereich GS/MS und </w:t>
      </w:r>
      <w:r w:rsidR="007276FA">
        <w:t>Förderschulen (</w:t>
      </w:r>
      <w:r>
        <w:t>FöS</w:t>
      </w:r>
      <w:r w:rsidR="007276FA">
        <w:t>) gilt dies insbe</w:t>
      </w:r>
      <w:r>
        <w:t>sond</w:t>
      </w:r>
      <w:r w:rsidR="007276FA">
        <w:t>ere für Verträge mit Teilnehmerinnen und Teilnehmern</w:t>
      </w:r>
      <w:r>
        <w:t xml:space="preserve"> </w:t>
      </w:r>
      <w:r w:rsidR="007276FA">
        <w:t>an den Maßnahmen zur Zweitquali</w:t>
      </w:r>
      <w:r>
        <w:t>fizierung. Im Bereich der beruflichen Schulen für die Nachqualifikation.</w:t>
      </w:r>
    </w:p>
    <w:p w:rsidR="000E3A3D" w:rsidRDefault="000E3A3D" w:rsidP="00267971">
      <w:pPr>
        <w:pStyle w:val="LTAntwortRessortText"/>
        <w:numPr>
          <w:ilvl w:val="0"/>
          <w:numId w:val="29"/>
        </w:numPr>
        <w:spacing w:before="60"/>
        <w:ind w:left="1054" w:hanging="203"/>
      </w:pPr>
      <w:r>
        <w:t>Deckung der Ausgaben für Mehrarbeit</w:t>
      </w:r>
      <w:r w:rsidR="007276FA">
        <w:t>.</w:t>
      </w:r>
    </w:p>
    <w:p w:rsidR="000E3A3D" w:rsidRDefault="000E3A3D" w:rsidP="00A45535">
      <w:pPr>
        <w:pStyle w:val="LTAntwortRessortText"/>
        <w:spacing w:before="120"/>
        <w:ind w:left="709"/>
      </w:pPr>
      <w:r>
        <w:t>Die für diese Maßnahmen herangezogenen Planstellen sind zwar formal nicht besetzt, werden aber genutzt.</w:t>
      </w:r>
    </w:p>
    <w:p w:rsidR="000E3A3D" w:rsidRDefault="000E3A3D" w:rsidP="00A6619E">
      <w:pPr>
        <w:pStyle w:val="LTAntwortRessortText"/>
        <w:numPr>
          <w:ilvl w:val="0"/>
          <w:numId w:val="28"/>
        </w:numPr>
        <w:spacing w:before="120"/>
        <w:ind w:left="709" w:hanging="284"/>
      </w:pPr>
      <w:r>
        <w:t>Ersatz von Lehrkräften in Elternzeit.</w:t>
      </w:r>
      <w:r w:rsidR="007276FA">
        <w:tab/>
      </w:r>
      <w:r w:rsidR="007276FA">
        <w:br/>
      </w:r>
      <w:r>
        <w:t>Lehrkräfte, die nach dem Einstellungstermin eine Elternzeit in Anspruch nehmen, werde</w:t>
      </w:r>
      <w:r w:rsidR="007276FA">
        <w:t>n auf Leerstellen umgesetzt, so</w:t>
      </w:r>
      <w:r>
        <w:t>dass die Planstellen frei werden und nicht besetzt sind. Auch wenn sie in Teilzeit in Elternzeit (zumeist in geringem Umfang) arbeiten, machen sie ihre Planstelle anteilig frei. D</w:t>
      </w:r>
      <w:r w:rsidR="007276FA">
        <w:t>iese Stellenanteile werden auf</w:t>
      </w:r>
      <w:r>
        <w:t>summiert und erscheinen in d</w:t>
      </w:r>
      <w:r w:rsidR="003202A2">
        <w:t xml:space="preserve">er Erhebung zum 01.01.als freie bzw. </w:t>
      </w:r>
      <w:r>
        <w:t>nicht besetzte Planste</w:t>
      </w:r>
      <w:r w:rsidR="003202A2">
        <w:t>llen. Die freien Stellen(-</w:t>
      </w:r>
      <w:r>
        <w:t>anteile) werden zur Verstärkung der Personalmittel für Aushilfslehrkräfte verwendet.</w:t>
      </w:r>
    </w:p>
    <w:p w:rsidR="000E3A3D" w:rsidRDefault="000E3A3D" w:rsidP="00A45535">
      <w:pPr>
        <w:pStyle w:val="LTAntwortRessortText"/>
        <w:spacing w:before="120"/>
      </w:pPr>
      <w:r>
        <w:t>Neben den schulartübergreifenden Gründen gilt fü</w:t>
      </w:r>
      <w:r w:rsidR="003202A2">
        <w:t>r den Bereich Realschulen daneben noch Folgendes (insbesondere</w:t>
      </w:r>
      <w:r>
        <w:t xml:space="preserve"> zum Unterschied zwischen der Anzahl der freien und besetzbaren Stellen an den staatlichen Realschul</w:t>
      </w:r>
      <w:r w:rsidR="003202A2">
        <w:t>en und den staatlichen Gymnasi</w:t>
      </w:r>
      <w:r>
        <w:t>en):</w:t>
      </w:r>
    </w:p>
    <w:p w:rsidR="000E3A3D" w:rsidRDefault="000E3A3D" w:rsidP="007276FA">
      <w:pPr>
        <w:pStyle w:val="LTAntwortRessortText"/>
        <w:numPr>
          <w:ilvl w:val="0"/>
          <w:numId w:val="28"/>
        </w:numPr>
        <w:spacing w:before="120"/>
        <w:ind w:left="709" w:hanging="284"/>
      </w:pPr>
      <w:r>
        <w:t>Höhere Mehrarbeitsausgaben gegenüber Gym</w:t>
      </w:r>
      <w:r w:rsidR="003202A2">
        <w:t>nasium, so dass eine höhere An</w:t>
      </w:r>
      <w:r>
        <w:t xml:space="preserve">zahl an freien und besetzbaren Stellen zur Deckung notwendig ist; 2016: 6.882,1 Tsd. </w:t>
      </w:r>
      <w:r w:rsidR="00423B2A">
        <w:t>Euro</w:t>
      </w:r>
      <w:r>
        <w:t xml:space="preserve"> 2017: 7.663,9</w:t>
      </w:r>
      <w:r w:rsidR="003202A2">
        <w:t> </w:t>
      </w:r>
      <w:r>
        <w:t xml:space="preserve">Tsd. </w:t>
      </w:r>
      <w:r w:rsidR="00423B2A">
        <w:t>Euro</w:t>
      </w:r>
      <w:r>
        <w:t>; an Realschule fällt weniger Unterricht ersatzlos aus (Deckung durch freie Stellen). Einstellung auf Planstelle (statt mit Aushilfsvertrag) würde an diesem Parameter nichts ändern, die Mehrarbeit würde nach wie vor anfallen.</w:t>
      </w:r>
    </w:p>
    <w:p w:rsidR="000E3A3D" w:rsidRDefault="000E3A3D" w:rsidP="00A6619E">
      <w:pPr>
        <w:pStyle w:val="LTAntwortRessortText"/>
        <w:numPr>
          <w:ilvl w:val="0"/>
          <w:numId w:val="28"/>
        </w:numPr>
        <w:spacing w:before="120"/>
        <w:ind w:left="709" w:hanging="284"/>
      </w:pPr>
      <w:r>
        <w:lastRenderedPageBreak/>
        <w:t xml:space="preserve">Die </w:t>
      </w:r>
      <w:r w:rsidR="00423B2A">
        <w:t>„</w:t>
      </w:r>
      <w:r>
        <w:t>weibliche</w:t>
      </w:r>
      <w:r w:rsidR="00423B2A">
        <w:t>“</w:t>
      </w:r>
      <w:r>
        <w:t xml:space="preserve"> Einstellungsquote bewegt sich seit Jahren zwischen 70 </w:t>
      </w:r>
      <w:r w:rsidR="003202A2">
        <w:t xml:space="preserve">bis </w:t>
      </w:r>
      <w:r>
        <w:t xml:space="preserve">75 </w:t>
      </w:r>
      <w:r w:rsidR="00423B2A">
        <w:t>Prozent</w:t>
      </w:r>
      <w:r>
        <w:t>; Elternzeit über längeren Zeitraum wird fast a</w:t>
      </w:r>
      <w:r w:rsidR="003202A2">
        <w:t>usschließlich von Frauen in An</w:t>
      </w:r>
      <w:r>
        <w:t>spruch genommen; bei den männlichen Lehrkräften i.</w:t>
      </w:r>
      <w:r w:rsidR="003202A2">
        <w:t xml:space="preserve"> </w:t>
      </w:r>
      <w:r>
        <w:t>d.</w:t>
      </w:r>
      <w:r w:rsidR="003202A2">
        <w:t xml:space="preserve"> </w:t>
      </w:r>
      <w:r>
        <w:t xml:space="preserve">R. nur die </w:t>
      </w:r>
      <w:r w:rsidR="003202A2">
        <w:t>zwei</w:t>
      </w:r>
      <w:r>
        <w:t xml:space="preserve"> </w:t>
      </w:r>
      <w:r w:rsidR="00423B2A">
        <w:t>„</w:t>
      </w:r>
      <w:r w:rsidR="003202A2">
        <w:t>Vätermona</w:t>
      </w:r>
      <w:r>
        <w:t>te</w:t>
      </w:r>
      <w:r w:rsidR="00423B2A">
        <w:t>“</w:t>
      </w:r>
      <w:r>
        <w:t xml:space="preserve"> (für vollen Elterngeldbezug)</w:t>
      </w:r>
      <w:r w:rsidR="003202A2">
        <w:t>.</w:t>
      </w:r>
    </w:p>
    <w:p w:rsidR="000E3A3D" w:rsidRDefault="000E3A3D" w:rsidP="00A6619E">
      <w:pPr>
        <w:pStyle w:val="LTAntwortRessortText"/>
        <w:numPr>
          <w:ilvl w:val="0"/>
          <w:numId w:val="28"/>
        </w:numPr>
        <w:spacing w:before="120"/>
        <w:ind w:left="709" w:hanging="284"/>
      </w:pPr>
      <w:r>
        <w:t>Der mit Abstand größte Teil der beurlaubten Leh</w:t>
      </w:r>
      <w:r w:rsidR="003202A2">
        <w:t>rkräfte stellt einen Wiederver</w:t>
      </w:r>
      <w:r>
        <w:t>wendungsantrag an ihrer bisherigen Stammschule. Zu den Stichtagen 01.01.2013 bis 01.01.2018 ist die Anzahl der beurlaubten Lehrkräfte an den staatlichen R</w:t>
      </w:r>
      <w:r w:rsidR="003202A2">
        <w:t>eal</w:t>
      </w:r>
      <w:r>
        <w:t xml:space="preserve">schulen von 877 auf 1.073 angestiegen. Die </w:t>
      </w:r>
      <w:r w:rsidR="003202A2">
        <w:t>Anzahl der Wiederverwendungsan</w:t>
      </w:r>
      <w:r>
        <w:t>träge ist von 2010 auf 2018 von 340 auf 700 ange</w:t>
      </w:r>
      <w:r w:rsidR="003202A2">
        <w:t>stiegen. An den staatlichen Re</w:t>
      </w:r>
      <w:r>
        <w:t>alschulen wird den Lehrkräften auch bei Elternzeit</w:t>
      </w:r>
      <w:r w:rsidR="003202A2">
        <w:t xml:space="preserve"> über ein Jahr hinaus eine Wie</w:t>
      </w:r>
      <w:r>
        <w:t>derverwendung am bisherigen Dienstort in Aussich</w:t>
      </w:r>
      <w:r w:rsidR="003202A2">
        <w:t>t gestellt (soweit die Schüler</w:t>
      </w:r>
      <w:r>
        <w:t xml:space="preserve">zahlentwicklung der Einzelschule dies ermöglicht), bei kürzeren Elternzeiten und insbesondere den Vätermonaten sogar garantiert; nach hiesiger Kenntnis ist dies am Gymnasium so nicht der Fall (bspw. liegt nach hiesiger Kenntnis ein Antrag aus der Hauptversammlung 2017 des </w:t>
      </w:r>
      <w:r w:rsidR="003202A2">
        <w:t>Bayerischen Philologenverband</w:t>
      </w:r>
      <w:r w:rsidR="003202A2" w:rsidRPr="003202A2">
        <w:t xml:space="preserve">s </w:t>
      </w:r>
      <w:r w:rsidR="003202A2">
        <w:t>(</w:t>
      </w:r>
      <w:r>
        <w:t>bpv</w:t>
      </w:r>
      <w:r w:rsidR="003202A2">
        <w:t>)</w:t>
      </w:r>
      <w:r>
        <w:t xml:space="preserve"> vor, der</w:t>
      </w:r>
      <w:r w:rsidR="003202A2">
        <w:t xml:space="preserve"> fordert, dass wenigstens Lehr</w:t>
      </w:r>
      <w:r>
        <w:t>kräften staatlicher Gymnasien, die Elternzeit bi</w:t>
      </w:r>
      <w:r w:rsidR="003202A2">
        <w:t>s zu einem Jahr nehmen, auf An</w:t>
      </w:r>
      <w:r>
        <w:t xml:space="preserve">trag wieder ein Einsatz an ihrer Stammschule ermöglicht werden soll). Aufgrund der </w:t>
      </w:r>
      <w:r w:rsidR="003202A2">
        <w:t>gegenüber</w:t>
      </w:r>
      <w:r>
        <w:t xml:space="preserve"> den staatlichen Gymnasien deutlich geringeren Anzahl an staatlichen Realschulen sowie des Schülerrückgangs könnten die Lehrkräfte </w:t>
      </w:r>
      <w:r w:rsidR="003202A2">
        <w:t>–</w:t>
      </w:r>
      <w:r>
        <w:t xml:space="preserve"> im Falle der Verwendung aller freien und besetzbaren Planstellen für Neueinstellungen </w:t>
      </w:r>
      <w:r w:rsidR="003202A2">
        <w:t>– viel</w:t>
      </w:r>
      <w:r>
        <w:t>fach nicht mehr an ihre Stammschule oder an ei</w:t>
      </w:r>
      <w:r w:rsidR="003202A2">
        <w:t>ne Schule in der Region zurück</w:t>
      </w:r>
      <w:r>
        <w:t>kehren, sondern es müsste bei Rückkehr eine so</w:t>
      </w:r>
      <w:r w:rsidR="003202A2">
        <w:t>zialunverträgliche Dienstortzu</w:t>
      </w:r>
      <w:r>
        <w:t>weisung mit großen Fahrstrecken erfolgen, was</w:t>
      </w:r>
      <w:r w:rsidR="003202A2">
        <w:t xml:space="preserve"> zahlreiche Beschwerden der be</w:t>
      </w:r>
      <w:r>
        <w:t xml:space="preserve">troffenen Lehrkräfte zur Folge hätte. Sollte die Lehrkraft </w:t>
      </w:r>
      <w:r w:rsidR="003202A2">
        <w:t>–</w:t>
      </w:r>
      <w:r>
        <w:t xml:space="preserve"> bspw. aus familiären Gründen </w:t>
      </w:r>
      <w:r w:rsidR="003202A2">
        <w:t>–</w:t>
      </w:r>
      <w:r>
        <w:t xml:space="preserve"> nicht an der zugewiesenen Schule antreten können, käme dies einer</w:t>
      </w:r>
      <w:r w:rsidR="003202A2">
        <w:t xml:space="preserve"> </w:t>
      </w:r>
      <w:r w:rsidR="00423B2A">
        <w:t>„</w:t>
      </w:r>
      <w:r>
        <w:t>Zwangsbeurlaubung</w:t>
      </w:r>
      <w:r w:rsidR="00423B2A">
        <w:t>“</w:t>
      </w:r>
      <w:r>
        <w:t xml:space="preserve"> gleich. Die Wiederverwendung an der Stammschule ist oftmals und besonders in bestimmten Regionen</w:t>
      </w:r>
      <w:r w:rsidR="003202A2">
        <w:t xml:space="preserve"> schon bei den jetzigen Planun</w:t>
      </w:r>
      <w:r>
        <w:t>gen nur noch schwer erfüllbar.</w:t>
      </w:r>
    </w:p>
    <w:p w:rsidR="000E3A3D" w:rsidRDefault="000E3A3D" w:rsidP="00A45535">
      <w:pPr>
        <w:pStyle w:val="LTAntwortRessortText"/>
        <w:numPr>
          <w:ilvl w:val="0"/>
          <w:numId w:val="28"/>
        </w:numPr>
        <w:spacing w:before="120"/>
        <w:ind w:left="709" w:hanging="284"/>
      </w:pPr>
      <w:r>
        <w:t>Zudem ist eine höhere Anzahl an Fachlehrerstel</w:t>
      </w:r>
      <w:r w:rsidR="003202A2">
        <w:t>len (in der Summe der nicht be</w:t>
      </w:r>
      <w:r>
        <w:t>setzten Stellen enthalten) frei und besetzbar; die Stellenbedarfe können über Ref.</w:t>
      </w:r>
      <w:r w:rsidR="003202A2">
        <w:t xml:space="preserve"> </w:t>
      </w:r>
      <w:r>
        <w:t>III.3 (Ausbildung Fachlehrer) nicht gedeckt werd</w:t>
      </w:r>
      <w:r w:rsidR="003202A2">
        <w:t>en wegen des dortigen hohen Ei</w:t>
      </w:r>
      <w:r>
        <w:t>genbedarfs.</w:t>
      </w:r>
    </w:p>
    <w:p w:rsidR="000E3A3D" w:rsidRPr="003202A2" w:rsidRDefault="003202A2" w:rsidP="000E3A3D">
      <w:pPr>
        <w:pStyle w:val="LTAntwortRessortText"/>
        <w:rPr>
          <w:sz w:val="24"/>
          <w:vertAlign w:val="superscript"/>
        </w:rPr>
      </w:pPr>
      <w:r w:rsidRPr="003202A2">
        <w:rPr>
          <w:sz w:val="24"/>
          <w:vertAlign w:val="superscript"/>
        </w:rPr>
        <w:t xml:space="preserve">*) Von einem Abdruck wurde abgesehen. Die Anlage ist als pdf-Dokument </w:t>
      </w:r>
      <w:hyperlink r:id="rId21" w:history="1">
        <w:r w:rsidRPr="00DF2F9A">
          <w:rPr>
            <w:rStyle w:val="Hyperlink"/>
            <w:sz w:val="24"/>
            <w:vertAlign w:val="superscript"/>
          </w:rPr>
          <w:t>hier</w:t>
        </w:r>
      </w:hyperlink>
      <w:r w:rsidRPr="003202A2">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Dr. Leopold</w:t>
            </w:r>
            <w:r w:rsidRPr="000E3A3D">
              <w:rPr>
                <w:b/>
              </w:rPr>
              <w:br/>
              <w:t>Herz</w:t>
            </w:r>
            <w:r w:rsidRPr="000E3A3D">
              <w:rPr>
                <w:b/>
              </w:rPr>
              <w:br/>
            </w:r>
            <w:r w:rsidRPr="000E3A3D">
              <w:t>(FREIE WÄHLER)</w:t>
            </w:r>
            <w:r>
              <w:fldChar w:fldCharType="begin"/>
            </w:r>
            <w:r>
              <w:instrText xml:space="preserve"> TC </w:instrText>
            </w:r>
            <w:r w:rsidR="00423B2A">
              <w:instrText>„</w:instrText>
            </w:r>
            <w:bookmarkStart w:id="40" w:name="_Toc519153226"/>
            <w:r>
              <w:instrText>Dr. Herz, Leopold (FREIE WÄHLER)</w:instrText>
            </w:r>
            <w:r>
              <w:br/>
              <w:instrText>Lehrerversorgung</w:instrText>
            </w:r>
            <w:bookmarkEnd w:id="40"/>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ist die aktuelle Lehrerversorgung (Soll-Ist-Vergleich) an allen Schulen (bitte auflisten nach Pflichtschulen, weiterführenden Schulen und beruflichen Schulen) in den Landkreisen Oberallgäu, Lindau, Ostallgäu und Günzburg und wie verhält es sich beim Unterrichtsausfall im Vergleich zum regulären, geplanten Unterricht im ablaufenden Schuljahr 2017/2018 (bitte Prozent-Angaben im Vergleich) in den vorgenannten Landkreisen?</w:t>
            </w:r>
          </w:p>
          <w:p w:rsidR="000E3A3D" w:rsidRDefault="000E3A3D" w:rsidP="000E3A3D">
            <w:pPr>
              <w:pStyle w:val="LTAnfrageText"/>
            </w:pPr>
          </w:p>
        </w:tc>
      </w:tr>
    </w:tbl>
    <w:p w:rsidR="000E3A3D" w:rsidRDefault="000E3A3D" w:rsidP="000E3A3D">
      <w:pPr>
        <w:pStyle w:val="LTUeberschrAntwortRessort"/>
      </w:pPr>
      <w:r>
        <w:t>Antwort des Staatsministeriums für Unterricht und Kultus</w:t>
      </w:r>
    </w:p>
    <w:p w:rsidR="000E3A3D" w:rsidRDefault="000E3A3D" w:rsidP="000E3A3D">
      <w:pPr>
        <w:pStyle w:val="LTAntwortRessortText"/>
      </w:pPr>
      <w:r>
        <w:t xml:space="preserve">Hinsichtlich der aktuellen Lehrerversorgung kann seitens des Staatsministeriums für Unterricht und Kultus </w:t>
      </w:r>
      <w:r w:rsidR="002957DA">
        <w:t xml:space="preserve">(StMUK) </w:t>
      </w:r>
      <w:r>
        <w:t>für die staatlichen Schulen Folgendes mitgeteilt werden:</w:t>
      </w:r>
    </w:p>
    <w:p w:rsidR="000E3A3D" w:rsidRPr="002957DA" w:rsidRDefault="000E3A3D" w:rsidP="000E3A3D">
      <w:pPr>
        <w:pStyle w:val="LTAntwortRessortText"/>
        <w:rPr>
          <w:u w:val="single"/>
        </w:rPr>
      </w:pPr>
      <w:r w:rsidRPr="002957DA">
        <w:rPr>
          <w:u w:val="single"/>
        </w:rPr>
        <w:t>Grund- und Mittelschulen:</w:t>
      </w:r>
    </w:p>
    <w:p w:rsidR="000E3A3D" w:rsidRDefault="000E3A3D" w:rsidP="002957DA">
      <w:pPr>
        <w:pStyle w:val="LTAntwortRessortText"/>
        <w:spacing w:before="120"/>
      </w:pPr>
      <w:r>
        <w:t xml:space="preserve">Mit der aktuellen Unterrichtsversorgung konnten im gesamten Freistaat Bayern </w:t>
      </w:r>
      <w:r w:rsidR="002957DA">
        <w:t>–</w:t>
      </w:r>
      <w:r>
        <w:t xml:space="preserve"> so auch in den Landkreisen Oberallgäu, Lindau, Ostallgäu und Günzburg </w:t>
      </w:r>
      <w:r w:rsidR="002957DA">
        <w:t>–</w:t>
      </w:r>
      <w:r>
        <w:t xml:space="preserve"> an allen staatlichen Grund- und Mittel</w:t>
      </w:r>
      <w:r>
        <w:lastRenderedPageBreak/>
        <w:t xml:space="preserve">schulen der gesamte Pflichtunterricht ebenso versorgt werden wie Maßnahmen zur Sprachförderung und </w:t>
      </w:r>
      <w:r w:rsidR="002957DA">
        <w:t>zusätzliche Arbeitsgemeinschaf</w:t>
      </w:r>
      <w:r>
        <w:t>ten. Zudem stehen auch im Schuljahr 2017/2018 den staatlichen Grund- un</w:t>
      </w:r>
      <w:r w:rsidR="002957DA">
        <w:t>d Mittel</w:t>
      </w:r>
      <w:r>
        <w:t>schulen, wie in den Jahren zuvor, verschiedene Maßnahmen zur Verfügung, um kurzfristig und langfristig auftretenden Vertretungsfällen begegnen zu können.</w:t>
      </w:r>
    </w:p>
    <w:p w:rsidR="000E3A3D" w:rsidRDefault="000E3A3D" w:rsidP="000E3A3D">
      <w:pPr>
        <w:pStyle w:val="LTAntwortRessortText"/>
      </w:pPr>
      <w:r>
        <w:t xml:space="preserve">Für solche Vertretungsfälle besteht für die staatlichen Grund- und Mittelschulen eine sog. Mobile Reserve. Im Schuljahr </w:t>
      </w:r>
      <w:r w:rsidR="002E6212">
        <w:t>2017/2018</w:t>
      </w:r>
      <w:r w:rsidR="002957DA">
        <w:t xml:space="preserve"> </w:t>
      </w:r>
      <w:r>
        <w:t>s</w:t>
      </w:r>
      <w:r w:rsidR="002957DA">
        <w:t>tanden hierfür bayernweit Ress</w:t>
      </w:r>
      <w:r>
        <w:t>ourcen im Umfang von 2.377 Vollzeitlehrerstellen zur Verfügung. Für die Planung des Einsatzes der Mobilen Reserve sind die Staatlichen Schulämter zuständig, die den Schulen bei kurz- oder langfristigen Personalausfä</w:t>
      </w:r>
      <w:r w:rsidR="002957DA">
        <w:t>llen die betreffenden Lehrkräf</w:t>
      </w:r>
      <w:r>
        <w:t>te zur Unterrichtsvertretung zuweisen. Alle langfristigen Ausfälle von Lehrkräften konnten auf diese Weise kompensiert werden.</w:t>
      </w:r>
    </w:p>
    <w:p w:rsidR="000E3A3D" w:rsidRDefault="000E3A3D" w:rsidP="000E3A3D">
      <w:pPr>
        <w:pStyle w:val="LTAntwortRessortText"/>
      </w:pPr>
      <w:r>
        <w:t>Es ist geplant, die Grundversorgung der staatlichen Grund- und Mittelschüler im Freistaat Bayern auch im Schuljahr 2018/2019 auf d</w:t>
      </w:r>
      <w:r w:rsidR="002957DA">
        <w:t>em Niveau des Vorjahres sicher</w:t>
      </w:r>
      <w:r>
        <w:t>zustellen.</w:t>
      </w:r>
    </w:p>
    <w:p w:rsidR="000E3A3D" w:rsidRPr="002957DA" w:rsidRDefault="000E3A3D" w:rsidP="000E3A3D">
      <w:pPr>
        <w:pStyle w:val="LTAntwortRessortText"/>
        <w:rPr>
          <w:u w:val="single"/>
        </w:rPr>
      </w:pPr>
      <w:r w:rsidRPr="002957DA">
        <w:rPr>
          <w:u w:val="single"/>
        </w:rPr>
        <w:t>Realschulen:</w:t>
      </w:r>
    </w:p>
    <w:p w:rsidR="000E3A3D" w:rsidRDefault="000E3A3D" w:rsidP="002957DA">
      <w:pPr>
        <w:pStyle w:val="LTAntwortRessortText"/>
        <w:spacing w:before="120"/>
      </w:pPr>
      <w:r>
        <w:t xml:space="preserve">Im Bereich der staatlichen Realschulen erfolgt die Personalplanung nach der sog. Budgetierung. Alle staatlichen Realschulen </w:t>
      </w:r>
      <w:r w:rsidR="002957DA">
        <w:t>–</w:t>
      </w:r>
      <w:r>
        <w:t xml:space="preserve"> auch die staatlichen Realschulen in den Landkreisen Oberallgäu, Lindau, Ostallgäu und Günzburg </w:t>
      </w:r>
      <w:r w:rsidR="002957DA">
        <w:t>–</w:t>
      </w:r>
      <w:r>
        <w:t xml:space="preserve"> wurden zum Schuljahr 2017/2018 nach Budget versorgt. </w:t>
      </w:r>
      <w:r w:rsidR="002957DA">
        <w:t>Das heißt,</w:t>
      </w:r>
      <w:r>
        <w:t xml:space="preserve"> jeder staatli</w:t>
      </w:r>
      <w:r w:rsidR="002957DA">
        <w:t>chen Realschule wird auf Grund</w:t>
      </w:r>
      <w:r>
        <w:t>lage ihrer Schülerzahl zu Schuljahresbeginn eine bestimmte A</w:t>
      </w:r>
      <w:r w:rsidR="002957DA">
        <w:t>nzahl an Lehrerwo</w:t>
      </w:r>
      <w:r>
        <w:t>chenstunden zugewiesen. Dieses Grundbudget ist so bemessen, dass die Schule sowohl den Pflichtunterricht abdecken kann als a</w:t>
      </w:r>
      <w:r w:rsidR="002957DA">
        <w:t>uch Lehrerwochenstunden für be</w:t>
      </w:r>
      <w:r>
        <w:t>sonderen Unterricht und individuelle Förderung (z. B. Ergänzungs- und Förderunterricht, Wahlunterricht etc.) zur Verfügung stehen. Darüber hinaus erhalten die Schulen sog. Budgetzu</w:t>
      </w:r>
      <w:r w:rsidR="002957DA">
        <w:t xml:space="preserve">schläge für besondere Maßnahmen bzw. </w:t>
      </w:r>
      <w:r>
        <w:t xml:space="preserve">Projekte (z. B. im Rahmen der Inklusion oder der Sprachförderung) sowie zur Vermeidung von Unterrichtsausfall (sog. Integrierte Lehrerreserve). Die Integrierte Lehrerreserve wurde in den letzten Jahren stufenweise ausgebaut und wird von den Schulleitungen sehr geschätzt. Im Schuljahr 2017/2018 stehen einer durchschnittlich großen staatlichen Realschule 20 Lehrerwochenstunden Integrierte Lehrerreserve zusätzlich zum Grundbudget zur Verfügung. Diese Stunden können ohne weitere Rücksprache mit dem </w:t>
      </w:r>
      <w:r w:rsidR="002957DA">
        <w:t>StMUK</w:t>
      </w:r>
      <w:r>
        <w:t xml:space="preserve"> im Vertretungsfall direkt vor Ort eingesetzt werden. Treten während des Schuljahres längerfristige Personalausfälle auf, so erlauben es außerdem die im Haushalt zur Verfügung stehenden Personalmittel, dass im Bereich der staatlichen Realschulen für Vertretungsfälle </w:t>
      </w:r>
      <w:r w:rsidR="002957DA">
        <w:t>–</w:t>
      </w:r>
      <w:r>
        <w:t xml:space="preserve"> ab sechs Wochen </w:t>
      </w:r>
      <w:r w:rsidR="002957DA">
        <w:t>– bis zur Rückkehr der abwe</w:t>
      </w:r>
      <w:r>
        <w:t>senden Stammlehrkraft Unterrichtsaushilfen im Rahmen von b</w:t>
      </w:r>
      <w:r w:rsidR="002957DA">
        <w:t>efristeten Arbeitsver</w:t>
      </w:r>
      <w:r>
        <w:t>trägen beschäftigt werden.</w:t>
      </w:r>
    </w:p>
    <w:p w:rsidR="000E3A3D" w:rsidRPr="002957DA" w:rsidRDefault="000E3A3D" w:rsidP="000E3A3D">
      <w:pPr>
        <w:pStyle w:val="LTAntwortRessortText"/>
        <w:rPr>
          <w:u w:val="single"/>
        </w:rPr>
      </w:pPr>
      <w:r w:rsidRPr="002957DA">
        <w:rPr>
          <w:u w:val="single"/>
        </w:rPr>
        <w:t>Gymnasien:</w:t>
      </w:r>
    </w:p>
    <w:p w:rsidR="000E3A3D" w:rsidRDefault="000E3A3D" w:rsidP="002957DA">
      <w:pPr>
        <w:pStyle w:val="LTAntwortRessortText"/>
        <w:spacing w:before="120"/>
      </w:pPr>
      <w:r>
        <w:t>Mit den Personal- und Mittelzuweisungen zum September 2017 und Februar 2018 wurden die Wochenstundenbudgets aller staatlichen Gymnasien (insbesondere auch der Gymnasien in den Landkreisen Oberallgäu, Lindau, Ostallgäu und Günzburg) vollumfänglich abgedeckt. Das Budget umfasst sowohl den Pflichtunterricht als auch etwaige Wahlfächer. Darüber hinaus erhalten die staatlichen Gymnasien ggf. weitere Budgetzuschläge für besondere Maßnahmen (z. B. im Ra</w:t>
      </w:r>
      <w:r w:rsidR="002957DA">
        <w:t>hmen der Begabtenförde</w:t>
      </w:r>
      <w:r>
        <w:t>rung, der Inklusion oder für Sammelkurse für mod</w:t>
      </w:r>
      <w:r w:rsidR="002957DA">
        <w:t>erne Fremdsprachen in der Ober</w:t>
      </w:r>
      <w:r>
        <w:t>stufe) und in geringem Umfang Mittel zur eigenen Bewirtschaftung.</w:t>
      </w:r>
    </w:p>
    <w:p w:rsidR="000E3A3D" w:rsidRDefault="000E3A3D" w:rsidP="000E3A3D">
      <w:pPr>
        <w:pStyle w:val="LTAntwortRessortText"/>
      </w:pPr>
      <w:r>
        <w:t>Neben der Abdeckung des regulären Budgets (inkl. Budgetzuschlägen) war mit den Zuweisungen auch im Schuljahr 2017/2018 die Einrich</w:t>
      </w:r>
      <w:r w:rsidR="002957DA">
        <w:t>tung einer Integrierten Lehrer</w:t>
      </w:r>
      <w:r>
        <w:t>reserve im Umfang von ca. einer Lehrerstelle an j</w:t>
      </w:r>
      <w:r w:rsidR="002957DA">
        <w:t>edem staatlichen Gymnasium mög</w:t>
      </w:r>
      <w:r>
        <w:t xml:space="preserve">lich. Dies bedeutet, dass jede Schule bereits zu Beginn des Schuljahres über den regulären Stundenbedarf hinaus Personalzuweisungen in entsprechendem Umfang erhielt; beim Ausfall einer Lehrkraft können diese Personalressourcen direkt vor Ort ohne weitere Rücksprache mit dem </w:t>
      </w:r>
      <w:r w:rsidR="002957DA">
        <w:t>StMUK eingesetzt werden. Die Inte</w:t>
      </w:r>
      <w:r>
        <w:t>grierte Lehrerreserve wurde in den letzten Jahren stufenweise ausgebaut, trägt zur Vermeidung von Unterrichtsausfall bei und wird von den Schulen sehr geschätzt.</w:t>
      </w:r>
    </w:p>
    <w:p w:rsidR="000E3A3D" w:rsidRPr="002957DA" w:rsidRDefault="000E3A3D" w:rsidP="000E3A3D">
      <w:pPr>
        <w:pStyle w:val="LTAntwortRessortText"/>
        <w:rPr>
          <w:u w:val="single"/>
        </w:rPr>
      </w:pPr>
      <w:r w:rsidRPr="002957DA">
        <w:rPr>
          <w:u w:val="single"/>
        </w:rPr>
        <w:lastRenderedPageBreak/>
        <w:t>Förderzentren:</w:t>
      </w:r>
    </w:p>
    <w:p w:rsidR="000E3A3D" w:rsidRDefault="000E3A3D" w:rsidP="002957DA">
      <w:pPr>
        <w:pStyle w:val="LTAntwortRessortText"/>
        <w:spacing w:before="120"/>
      </w:pPr>
      <w:r>
        <w:t>Im Bereich der staatlichen Förderzentren erfolgt die Personalplanung im Rahmen der sog. Klassenbildung. Alle Förderzentren in den Land</w:t>
      </w:r>
      <w:r w:rsidR="002957DA">
        <w:t>kreisen Oberallgäu, Lindau, Os</w:t>
      </w:r>
      <w:r>
        <w:t>tallgäu und Günzburg wurden zum Schuljahr 2017/2018 entsprechend dem Bedarf mit Lehrkräften versorgt.</w:t>
      </w:r>
    </w:p>
    <w:p w:rsidR="000E3A3D" w:rsidRDefault="000E3A3D" w:rsidP="000E3A3D">
      <w:pPr>
        <w:pStyle w:val="LTAntwortRessortText"/>
      </w:pPr>
      <w:r>
        <w:t>Auf Grundlage der Meldungen der Schulen zur erwarteten Anzahl von Klassen und Gruppen werden jeder Schule zu Schuljahresbeginn</w:t>
      </w:r>
      <w:r w:rsidR="002957DA">
        <w:t xml:space="preserve"> eine bestimmte Anzahl an Lehr</w:t>
      </w:r>
      <w:r>
        <w:t>kräften und Lehrerwochenstunden zugewiesen. Diese Personalressourcen sind auf die jeweiligen Förderschwerpunkte differenziert abgestimmt. Die Förderschulen in den genannten Landkreisen wurden so ausgestattet, dass sie den Pflichtunterricht vollständig abdecken können. Zudem stehen Stunde</w:t>
      </w:r>
      <w:r w:rsidR="002957DA">
        <w:t>n für erforderliche Klassentei</w:t>
      </w:r>
      <w:r>
        <w:t>lungen, besonderen Unterricht und individuelle Förderung zur Verfügung.</w:t>
      </w:r>
    </w:p>
    <w:p w:rsidR="000E3A3D" w:rsidRDefault="000E3A3D" w:rsidP="002957DA">
      <w:pPr>
        <w:pStyle w:val="LTAntwortRessortText"/>
      </w:pPr>
      <w:r>
        <w:t>Darüber hinaus erhielten die Schulen zur Vermeidung von Un</w:t>
      </w:r>
      <w:r w:rsidR="002957DA">
        <w:t>terrichtsausfall ergän</w:t>
      </w:r>
      <w:r>
        <w:t>zende Lehrerwochenstunden für das gesamte Jahr als integrierte Mobile Reserve. Diese wird durch die Schulleitung in eigener Verantwortung eingesetzt. Längerfristige Ausfälle können in Absprache mit der zuständigen Regierung im Einzelfall ebenfalls durch befristete Verträge ersetzt werden. Ausscheidende Lehrkräfte werden zum Schulhalbjahr durch Verträge für Unterrichtsaushilfe</w:t>
      </w:r>
      <w:r w:rsidR="002957DA">
        <w:t>n im Rahmen von befristeten Arbeitsverträgen ausgeglichen.</w:t>
      </w:r>
    </w:p>
    <w:p w:rsidR="000E3A3D" w:rsidRPr="002957DA" w:rsidRDefault="000E3A3D" w:rsidP="00A21049">
      <w:pPr>
        <w:pStyle w:val="LTAntwortRessortText"/>
        <w:spacing w:before="360"/>
        <w:rPr>
          <w:u w:val="single"/>
        </w:rPr>
      </w:pPr>
      <w:r w:rsidRPr="002957DA">
        <w:rPr>
          <w:u w:val="single"/>
        </w:rPr>
        <w:t>Berufliche Schulen:</w:t>
      </w:r>
    </w:p>
    <w:p w:rsidR="000E3A3D" w:rsidRDefault="000E3A3D" w:rsidP="002957DA">
      <w:pPr>
        <w:pStyle w:val="LTAntwortRessortText"/>
        <w:spacing w:before="120"/>
      </w:pPr>
      <w:r>
        <w:t xml:space="preserve">Im Bereich der staatlichen beruflichen Schulen (einschließlich </w:t>
      </w:r>
      <w:r w:rsidR="002957DA">
        <w:t>Fachoberschulen – FOS – und Berufsoberschulen – BOS</w:t>
      </w:r>
      <w:r>
        <w:t>) standen zum Schuljahr 2017/2018 insgesamt ausreichend Stellen und Mittel zu Verfügung, jedoch war es in einigen beruflichen Fachrichtungen nicht immer möglich, die offenen</w:t>
      </w:r>
      <w:r w:rsidR="002957DA">
        <w:t xml:space="preserve"> </w:t>
      </w:r>
      <w:r>
        <w:t>Stellen durch qualifizierte Bewerber</w:t>
      </w:r>
      <w:r w:rsidR="002957DA">
        <w:t>innen und Bewerber</w:t>
      </w:r>
      <w:r>
        <w:t xml:space="preserve"> zu besetze</w:t>
      </w:r>
      <w:r w:rsidR="002957DA">
        <w:t>n. Die Sondermaßnahmen mit Gym</w:t>
      </w:r>
      <w:r>
        <w:t>nasial- und Realschullehrkräften für die Flüchtlin</w:t>
      </w:r>
      <w:r w:rsidR="002957DA">
        <w:t>gsbeschulung und die Sondermaß</w:t>
      </w:r>
      <w:r>
        <w:t>nahmen für Quereinsteiger im Bereich der beruflichen Schulen haben im Schuljahr 2017/2018 auch in den Landkreisen Oberallgäu, Lindau, Ostallgäu und Günzburg zu höheren Einstellungen auf Planstelle</w:t>
      </w:r>
      <w:r w:rsidR="002E6212">
        <w:t>n</w:t>
      </w:r>
      <w:r>
        <w:t xml:space="preserve"> beigetragen. I</w:t>
      </w:r>
      <w:r w:rsidR="002957DA">
        <w:t>n der größten beruflichen Fach</w:t>
      </w:r>
      <w:r>
        <w:t>richtung, Wirtschaftspädagogik, konnte der Bedarf in der Regel gut gedeckt werden. Problematisch blieb die Bewerberlage in den beruflichen Fachrichtungen Elektro-, Metall-, Bautechnik und Agrarwissenschaften. Hier konnten insbesondere berufliche Schulen in Randlagen, wie zum Beispiel die Berufs</w:t>
      </w:r>
      <w:r w:rsidR="002957DA">
        <w:t>schule Lindau, die ausgeschrie</w:t>
      </w:r>
      <w:r>
        <w:t xml:space="preserve">benen Planstellen zum Teil nicht besetzen. Deshalb wurden für September </w:t>
      </w:r>
      <w:r w:rsidR="002957DA">
        <w:t>2018 be</w:t>
      </w:r>
      <w:r>
        <w:t>stehende Sondermaßnahmen zum Quereinstieg in den Vorbereitungsdienst für das Lehramt an beruflichen Schulen erweitert (Elektrotechnik und Metalltechnik) sowie neue Sondermaßnahmen initiiert (Bautechnik und Agrarwirtschaft).</w:t>
      </w:r>
    </w:p>
    <w:p w:rsidR="000E3A3D" w:rsidRDefault="000E3A3D" w:rsidP="000E3A3D">
      <w:pPr>
        <w:pStyle w:val="LTAntwortRessortText"/>
      </w:pPr>
      <w:r>
        <w:t>Im Bereich der staatlichen Beruflichen Oberschul</w:t>
      </w:r>
      <w:r w:rsidR="002957DA">
        <w:t>en (FOS und BOS</w:t>
      </w:r>
      <w:r>
        <w:t>) besteht durch den Einsatz von Lehrkr</w:t>
      </w:r>
      <w:r w:rsidR="002957DA">
        <w:t>äften mit gymnasialer Lehramts</w:t>
      </w:r>
      <w:r>
        <w:t>befähigung in den angesprochenen Landkreisen i</w:t>
      </w:r>
      <w:r w:rsidR="002957DA">
        <w:t>nsgesamt eine gute Personalver</w:t>
      </w:r>
      <w:r>
        <w:t>sorgung. Durch die Überführung des Schulversuchs zur neuen Ausbildungsrichtung Gesundheit in den Regelbetrieb besteht momentan e</w:t>
      </w:r>
      <w:r w:rsidR="002957DA">
        <w:t>in erhöhter Bedarf an Lehrkräf</w:t>
      </w:r>
      <w:r>
        <w:t>ten mit der beruflichen Fachrichtung Gesundheitswissenschaften, der punktuell zu einer schwierigen Personalversorgung führen kann.</w:t>
      </w:r>
    </w:p>
    <w:p w:rsidR="000E3A3D" w:rsidRDefault="000E3A3D" w:rsidP="000E3A3D">
      <w:pPr>
        <w:pStyle w:val="LTAntwortRessortText"/>
      </w:pPr>
      <w:r>
        <w:t>Für das Schuljahr 2018/2019 stehen erneut ausreich</w:t>
      </w:r>
      <w:r w:rsidR="002957DA">
        <w:t>end Stellen und Mittel zur Ver</w:t>
      </w:r>
      <w:r>
        <w:t>fügung und es zeichnet sich eine Verbesserung der Personalversorgung ab.</w:t>
      </w:r>
    </w:p>
    <w:p w:rsidR="000E3A3D" w:rsidRDefault="000E3A3D" w:rsidP="000E3A3D">
      <w:pPr>
        <w:pStyle w:val="LTAntwortRessortText"/>
      </w:pPr>
      <w:r>
        <w:t>Die Erhebung zum Unterrichtsausfall im Schuljahr 2017/2018 ist derzeit noch nicht abgeschlossen. Es stehen daher hierzu noch kei</w:t>
      </w:r>
      <w:r w:rsidR="002957DA">
        <w:t>ne belastbaren Daten zur Verfü</w:t>
      </w:r>
      <w:r>
        <w:t>gung.</w:t>
      </w:r>
    </w:p>
    <w:p w:rsidR="00A21049" w:rsidRDefault="00A21049"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w:t>
            </w:r>
            <w:r w:rsidRPr="000E3A3D">
              <w:br/>
            </w:r>
            <w:r w:rsidRPr="000E3A3D">
              <w:rPr>
                <w:b/>
              </w:rPr>
              <w:t>Dr. Simone</w:t>
            </w:r>
            <w:r w:rsidRPr="000E3A3D">
              <w:rPr>
                <w:b/>
              </w:rPr>
              <w:br/>
              <w:t>Strohmayr</w:t>
            </w:r>
            <w:r w:rsidRPr="000E3A3D">
              <w:rPr>
                <w:b/>
              </w:rPr>
              <w:br/>
            </w:r>
            <w:r w:rsidRPr="000E3A3D">
              <w:t>(SPD)</w:t>
            </w:r>
            <w:r>
              <w:fldChar w:fldCharType="begin"/>
            </w:r>
            <w:r>
              <w:instrText xml:space="preserve"> TC </w:instrText>
            </w:r>
            <w:r w:rsidR="00423B2A">
              <w:instrText>„</w:instrText>
            </w:r>
            <w:bookmarkStart w:id="41" w:name="_Toc519153227"/>
            <w:r>
              <w:instrText>Dr. Strohmayr, Simone (SPD)</w:instrText>
            </w:r>
            <w:r>
              <w:br/>
              <w:instrText>Fortbildung zur digitalen Bildung</w:instrText>
            </w:r>
            <w:bookmarkEnd w:id="41"/>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Lehrkräfte haben in den letzten drei Jahren an einer Fortbildung im Zusammenhang mit dem Einsatz digitaler Medien im Unterricht teilgenommen, wie viele davon hatten Anrechnungsstunden als Systembetreuerin bzw. Systembetreuer und wie viele davon nahmen bereits zum wiederholten Male an einer Schulung teil (bitte nach Schularten und Regierungsbezirken getrennt ausweisen)?</w:t>
            </w:r>
          </w:p>
          <w:p w:rsidR="000E3A3D" w:rsidRDefault="000E3A3D" w:rsidP="000E3A3D">
            <w:pPr>
              <w:pStyle w:val="LTAnfrageText"/>
            </w:pPr>
          </w:p>
        </w:tc>
      </w:tr>
    </w:tbl>
    <w:p w:rsidR="000E3A3D" w:rsidRDefault="000E3A3D" w:rsidP="000E3A3D">
      <w:pPr>
        <w:pStyle w:val="LTUeberschrAntwortRessort"/>
      </w:pPr>
      <w:r>
        <w:t>Antwort des Staatsministeriums für Unterricht und Kultus</w:t>
      </w:r>
    </w:p>
    <w:p w:rsidR="000E3A3D" w:rsidRPr="00BE6785" w:rsidRDefault="00BE6785" w:rsidP="000E3A3D">
      <w:pPr>
        <w:pStyle w:val="LTAntwortRessortText"/>
        <w:rPr>
          <w:u w:val="single"/>
        </w:rPr>
      </w:pPr>
      <w:r w:rsidRPr="00BE6785">
        <w:rPr>
          <w:u w:val="single"/>
        </w:rPr>
        <w:t>Zur ersten Teilfrage:</w:t>
      </w:r>
    </w:p>
    <w:p w:rsidR="000E3A3D" w:rsidRDefault="000E3A3D" w:rsidP="000E3A3D">
      <w:pPr>
        <w:pStyle w:val="LTAntwortRessortText"/>
      </w:pPr>
      <w:r>
        <w:t>Eine Abfrage der zentralen Datenbank FIBS (F</w:t>
      </w:r>
      <w:r w:rsidR="00BE6785">
        <w:t>ortbildung in bayerischen Schu</w:t>
      </w:r>
      <w:r>
        <w:t>len) hat ergeben, dass im Bereich der staatlichen Lehrerfortbildung auf zentraler (an der Akademie für Lehrerfortb</w:t>
      </w:r>
      <w:r w:rsidR="002E6212">
        <w:t>ildung und Personalführung (ALP –</w:t>
      </w:r>
      <w:r>
        <w:t xml:space="preserve"> Dillingen), regionaler (im Bereich der Regierungen und Minis</w:t>
      </w:r>
      <w:r w:rsidR="00BE6785">
        <w:t>terialbeauftragten) sowie loka</w:t>
      </w:r>
      <w:r>
        <w:t>ler (im Bereich der Staatlichen Schulämter) Eben</w:t>
      </w:r>
      <w:r w:rsidR="00BE6785">
        <w:t>e in den letzten drei Kalender</w:t>
      </w:r>
      <w:r>
        <w:t>jahren (2015, 2016 und 2017) insgesamt 106</w:t>
      </w:r>
      <w:r w:rsidR="00BE6785">
        <w:t>.516 Teilnehmerplätze für Lehr</w:t>
      </w:r>
      <w:r>
        <w:t>kräft</w:t>
      </w:r>
      <w:r w:rsidR="00BE6785">
        <w:t xml:space="preserve">e </w:t>
      </w:r>
      <w:r>
        <w:t xml:space="preserve">zum Themenfeld </w:t>
      </w:r>
      <w:r w:rsidR="00423B2A">
        <w:t>„</w:t>
      </w:r>
      <w:r>
        <w:t>Digitale Bildung</w:t>
      </w:r>
      <w:r w:rsidR="00423B2A">
        <w:t>“</w:t>
      </w:r>
      <w:r>
        <w:t xml:space="preserve"> angeboten wurden.</w:t>
      </w:r>
    </w:p>
    <w:p w:rsidR="000E3A3D" w:rsidRDefault="000E3A3D" w:rsidP="000E3A3D">
      <w:pPr>
        <w:pStyle w:val="LTAntwortRessortText"/>
      </w:pPr>
      <w:r>
        <w:t>Aufgeschlüsselt auf die einzelnen Jahre ergeben sich folgende Zahlen:</w:t>
      </w:r>
    </w:p>
    <w:p w:rsidR="000E3A3D" w:rsidRDefault="000E3A3D" w:rsidP="00BE6785">
      <w:pPr>
        <w:pStyle w:val="LTAntwortRessortText"/>
        <w:spacing w:before="120"/>
      </w:pPr>
      <w:r>
        <w:t>Jahr 2015</w:t>
      </w:r>
      <w:r>
        <w:tab/>
      </w:r>
      <w:r w:rsidR="00BE6785">
        <w:tab/>
        <w:t xml:space="preserve">  </w:t>
      </w:r>
      <w:r>
        <w:t>28.310 Teilnehmerplätze</w:t>
      </w:r>
    </w:p>
    <w:p w:rsidR="00BE6785" w:rsidRDefault="000E3A3D" w:rsidP="00BE6785">
      <w:pPr>
        <w:pStyle w:val="LTAntwortRessortText"/>
        <w:spacing w:before="120"/>
      </w:pPr>
      <w:r>
        <w:t>Jahr 2016</w:t>
      </w:r>
      <w:r>
        <w:tab/>
      </w:r>
      <w:r w:rsidR="00BE6785">
        <w:tab/>
        <w:t xml:space="preserve">  </w:t>
      </w:r>
      <w:r>
        <w:t xml:space="preserve">40.556 Teilnehmerplätze </w:t>
      </w:r>
    </w:p>
    <w:p w:rsidR="000E3A3D" w:rsidRPr="00BE6785" w:rsidRDefault="000E3A3D" w:rsidP="00BE6785">
      <w:pPr>
        <w:pStyle w:val="LTAntwortRessortText"/>
        <w:spacing w:before="120"/>
        <w:rPr>
          <w:u w:val="single"/>
        </w:rPr>
      </w:pPr>
      <w:r w:rsidRPr="00BE6785">
        <w:rPr>
          <w:u w:val="single"/>
        </w:rPr>
        <w:t>Jahr 2017</w:t>
      </w:r>
      <w:r w:rsidRPr="00BE6785">
        <w:rPr>
          <w:u w:val="single"/>
        </w:rPr>
        <w:tab/>
      </w:r>
      <w:r w:rsidR="00BE6785" w:rsidRPr="00BE6785">
        <w:rPr>
          <w:u w:val="single"/>
        </w:rPr>
        <w:tab/>
      </w:r>
      <w:r w:rsidR="00BE6785">
        <w:rPr>
          <w:u w:val="single"/>
        </w:rPr>
        <w:t xml:space="preserve">  </w:t>
      </w:r>
      <w:r w:rsidRPr="00BE6785">
        <w:rPr>
          <w:u w:val="single"/>
        </w:rPr>
        <w:t>37.650 Teilnehmerplätze</w:t>
      </w:r>
    </w:p>
    <w:p w:rsidR="000E3A3D" w:rsidRPr="00BE6785" w:rsidRDefault="000E3A3D" w:rsidP="00BE6785">
      <w:pPr>
        <w:pStyle w:val="LTAntwortRessortText"/>
        <w:spacing w:before="120"/>
        <w:ind w:left="1758" w:firstLine="369"/>
        <w:rPr>
          <w:b/>
        </w:rPr>
      </w:pPr>
      <w:r w:rsidRPr="00BE6785">
        <w:rPr>
          <w:b/>
        </w:rPr>
        <w:t>106.516 Teilnehmerplätze</w:t>
      </w:r>
    </w:p>
    <w:p w:rsidR="000E3A3D" w:rsidRDefault="000E3A3D" w:rsidP="000E3A3D">
      <w:pPr>
        <w:pStyle w:val="LTAntwortRessortText"/>
      </w:pPr>
      <w:r>
        <w:t xml:space="preserve">In der von der ALP Dillingen gepflegten Fortbildungsdatenbank FIBS kann in der bisher vorliegenden Version aus technischen Gründen nicht exakt zwischen der Zahl der vorgehaltenen Teilnehmerplätze und </w:t>
      </w:r>
      <w:r w:rsidR="00BE6785">
        <w:t>der Zahl an tatsächlichen Teilnehmerinnen und Teilnehmern</w:t>
      </w:r>
      <w:r>
        <w:t xml:space="preserve"> an einem Lehrgang differenziert werden.</w:t>
      </w:r>
    </w:p>
    <w:p w:rsidR="000E3A3D" w:rsidRPr="00BE6785" w:rsidRDefault="00BE6785" w:rsidP="000E3A3D">
      <w:pPr>
        <w:pStyle w:val="LTAntwortRessortText"/>
        <w:rPr>
          <w:u w:val="single"/>
        </w:rPr>
      </w:pPr>
      <w:r w:rsidRPr="00BE6785">
        <w:rPr>
          <w:u w:val="single"/>
        </w:rPr>
        <w:t>Zur zweiten Teilfrage:</w:t>
      </w:r>
    </w:p>
    <w:p w:rsidR="000E3A3D" w:rsidRDefault="000E3A3D" w:rsidP="00BE6785">
      <w:pPr>
        <w:pStyle w:val="LTAntwortRessortText"/>
        <w:spacing w:before="120"/>
      </w:pPr>
      <w:r>
        <w:t>Es ist nicht erfasst, wie viele der angebotenen</w:t>
      </w:r>
      <w:r w:rsidR="00BE6785">
        <w:t xml:space="preserve"> Teilnehmerplätze von Systembe</w:t>
      </w:r>
      <w:r>
        <w:t>treuern in Anspruch genommen wurden.</w:t>
      </w:r>
    </w:p>
    <w:p w:rsidR="000E3A3D" w:rsidRDefault="000E3A3D" w:rsidP="000E3A3D">
      <w:pPr>
        <w:pStyle w:val="LTAntwortRessortText"/>
      </w:pPr>
      <w:r>
        <w:t>Anzahl der Lehrkräfte, die Anrechnungsstunden für Systembetreuung erhalten haben:</w:t>
      </w:r>
    </w:p>
    <w:p w:rsidR="000E3A3D" w:rsidRDefault="000E3A3D" w:rsidP="00BE6785">
      <w:pPr>
        <w:pStyle w:val="LTAntwortRessortText"/>
        <w:numPr>
          <w:ilvl w:val="0"/>
          <w:numId w:val="31"/>
        </w:numPr>
        <w:spacing w:before="120"/>
        <w:ind w:left="851" w:hanging="284"/>
      </w:pPr>
      <w:r>
        <w:t>Im Schuljahr 2014/2015 haben 3.682 sta</w:t>
      </w:r>
      <w:r w:rsidR="00BE6785">
        <w:t>atliche Lehrkräfte Anrechnungs</w:t>
      </w:r>
      <w:r>
        <w:t>stunden für die Systembetreuung erhalten.</w:t>
      </w:r>
    </w:p>
    <w:p w:rsidR="000E3A3D" w:rsidRDefault="000E3A3D" w:rsidP="00BE6785">
      <w:pPr>
        <w:pStyle w:val="LTAntwortRessortText"/>
        <w:numPr>
          <w:ilvl w:val="0"/>
          <w:numId w:val="31"/>
        </w:numPr>
        <w:spacing w:before="120"/>
        <w:ind w:left="851" w:hanging="284"/>
      </w:pPr>
      <w:r>
        <w:t>Im Schuljahr 2015/2016 haben 3.669 sta</w:t>
      </w:r>
      <w:r w:rsidR="00BE6785">
        <w:t>atliche Lehrkräfte Anrechnungs</w:t>
      </w:r>
      <w:r>
        <w:t>stunden für die Systembetreuung erhalten.</w:t>
      </w:r>
    </w:p>
    <w:p w:rsidR="000E3A3D" w:rsidRDefault="000E3A3D" w:rsidP="00BE6785">
      <w:pPr>
        <w:pStyle w:val="LTAntwortRessortText"/>
        <w:numPr>
          <w:ilvl w:val="0"/>
          <w:numId w:val="31"/>
        </w:numPr>
        <w:spacing w:before="120"/>
        <w:ind w:left="851" w:hanging="284"/>
      </w:pPr>
      <w:r>
        <w:t>Im Schuljahr 2016/2017 haben 3.690 sta</w:t>
      </w:r>
      <w:r w:rsidR="00BE6785">
        <w:t>atliche Lehrkräfte Anrechnungs</w:t>
      </w:r>
      <w:r>
        <w:t>stunden für die Systembetreuung erhalten.</w:t>
      </w:r>
    </w:p>
    <w:p w:rsidR="000E3A3D" w:rsidRDefault="000E3A3D" w:rsidP="00BE6785">
      <w:pPr>
        <w:pStyle w:val="LTAntwortRessortText"/>
        <w:numPr>
          <w:ilvl w:val="0"/>
          <w:numId w:val="31"/>
        </w:numPr>
        <w:spacing w:before="120"/>
        <w:ind w:left="851" w:hanging="284"/>
      </w:pPr>
      <w:r>
        <w:t>Im Schuljahr 2017/2018 haben 3.744 sta</w:t>
      </w:r>
      <w:r w:rsidR="00BE6785">
        <w:t>atliche Lehrkräfte Anrechnungs</w:t>
      </w:r>
      <w:r>
        <w:t>stunden für Systembetreuung erhalten.</w:t>
      </w:r>
    </w:p>
    <w:p w:rsidR="000E3A3D" w:rsidRPr="00BE6785" w:rsidRDefault="00BE6785" w:rsidP="000E3A3D">
      <w:pPr>
        <w:pStyle w:val="LTAntwortRessortText"/>
        <w:rPr>
          <w:u w:val="single"/>
        </w:rPr>
      </w:pPr>
      <w:r w:rsidRPr="00BE6785">
        <w:rPr>
          <w:u w:val="single"/>
        </w:rPr>
        <w:lastRenderedPageBreak/>
        <w:t>Zur dritten Teilfrage:</w:t>
      </w:r>
    </w:p>
    <w:p w:rsidR="000E3A3D" w:rsidRDefault="000E3A3D" w:rsidP="00BE6785">
      <w:pPr>
        <w:pStyle w:val="LTAntwortRessortText"/>
        <w:spacing w:before="120"/>
      </w:pPr>
      <w:r>
        <w:t>Es liegen in der zentralen Datenbank FIBS keine Daten darüber vor, wie viele Lehrkräfte zum wiederholten Mal an einer Fortbildung im Zusammenhang mit dem Einsatz digitaler Medien im Unterricht teilgenommen haben.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Jutta</w:t>
            </w:r>
            <w:r w:rsidRPr="000E3A3D">
              <w:rPr>
                <w:b/>
              </w:rPr>
              <w:br/>
              <w:t>Widmann</w:t>
            </w:r>
            <w:r w:rsidRPr="000E3A3D">
              <w:rPr>
                <w:b/>
              </w:rPr>
              <w:br/>
            </w:r>
            <w:r w:rsidRPr="000E3A3D">
              <w:t>(FREIE WÄHLER)</w:t>
            </w:r>
            <w:r>
              <w:fldChar w:fldCharType="begin"/>
            </w:r>
            <w:r>
              <w:instrText xml:space="preserve"> TC </w:instrText>
            </w:r>
            <w:r w:rsidR="00423B2A">
              <w:instrText>„</w:instrText>
            </w:r>
            <w:bookmarkStart w:id="42" w:name="_Toc519153228"/>
            <w:r>
              <w:instrText>Widmann, Jutta (FREIE WÄHLER)</w:instrText>
            </w:r>
            <w:r>
              <w:br/>
              <w:instrText>Notendurchschnitt und Anstellung von Lehrkräften</w:instrText>
            </w:r>
            <w:bookmarkEnd w:id="42"/>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gab es jemals den Umstand, dass Lehrkräfte für Grundschulen mit einem Notendurchschnitt von 3,5 und schlechter eingestellt bzw. verbeamtet wurden, warum ist dies nun nicht mehr der Fall und/oder ist der Staatsregierung zur Deckung des Bedarfs an Lehrkräften an Grundschulen daran gelegen, bevorzugt auf nicht für die jeweilige Schulart ausgebildete Lehrkräfte oder fachfremd ausgebildete Pädagoginnen und Pädagogen zurückzugreifen?</w:t>
            </w:r>
          </w:p>
          <w:p w:rsidR="000E3A3D" w:rsidRDefault="000E3A3D" w:rsidP="000E3A3D">
            <w:pPr>
              <w:pStyle w:val="LTAnfrageText"/>
            </w:pPr>
          </w:p>
        </w:tc>
      </w:tr>
    </w:tbl>
    <w:p w:rsidR="000E3A3D" w:rsidRDefault="000E3A3D" w:rsidP="000E3A3D">
      <w:pPr>
        <w:pStyle w:val="LTUeberschrAntwortRessort"/>
      </w:pPr>
      <w:r>
        <w:t>Antwort des Staatsministeriums für Unterricht und Kultus</w:t>
      </w:r>
    </w:p>
    <w:p w:rsidR="000E3A3D" w:rsidRDefault="000E3A3D" w:rsidP="000E3A3D">
      <w:pPr>
        <w:pStyle w:val="LTAntwortRessortText"/>
      </w:pPr>
      <w:r>
        <w:t>Die Einstellung von Lehrkräften im Bereich aller Schularten erfolgt entsprechend den Vorgaben des Grundgesetzes, der Bayerischen V</w:t>
      </w:r>
      <w:r w:rsidR="00BE6785">
        <w:t>erfassung und der Beamtengeset</w:t>
      </w:r>
      <w:r>
        <w:t xml:space="preserve">ze nach den Prinzipien von Eignung, Befähigung </w:t>
      </w:r>
      <w:r w:rsidR="00BE6785">
        <w:t>und Leistung. Primärer und ent</w:t>
      </w:r>
      <w:r>
        <w:t>scheidender Maßstab ist die Einstellungsnote, die sich</w:t>
      </w:r>
      <w:r w:rsidR="00BE6785">
        <w:t xml:space="preserve"> aus einer Vielzahl von Einzel</w:t>
      </w:r>
      <w:r>
        <w:t>beurteilungen, aus Klausuren, mündlichen Prü</w:t>
      </w:r>
      <w:r w:rsidR="00BE6785">
        <w:t>fungen und Lehrproben zusammen</w:t>
      </w:r>
      <w:r>
        <w:t>setzt. Somit ist dieses Einstellungskriterium allgemein, anwendungsgleich, objektiv, vergleichbar und mithin auch justiziabel.</w:t>
      </w:r>
    </w:p>
    <w:p w:rsidR="000E3A3D" w:rsidRDefault="000E3A3D" w:rsidP="000E3A3D">
      <w:pPr>
        <w:pStyle w:val="LTAntwortRessortText"/>
      </w:pPr>
      <w:r>
        <w:t>Eine Lehrkraft mit einer Note schlechter als 3,5 besitzt aus Sicht des</w:t>
      </w:r>
      <w:r w:rsidR="00BE6785">
        <w:t xml:space="preserve"> Staatsministeri</w:t>
      </w:r>
      <w:r>
        <w:t>ums</w:t>
      </w:r>
      <w:r w:rsidR="00BE6785">
        <w:t xml:space="preserve"> für Unterricht und Kultus </w:t>
      </w:r>
      <w:r>
        <w:t>nicht die fachliche Eignung für den Lehrberuf, wie</w:t>
      </w:r>
      <w:r w:rsidR="00BE6785">
        <w:t xml:space="preserve"> sie im staatlichen Bereich vo</w:t>
      </w:r>
      <w:r>
        <w:t>rausgesetzt wird. Diese Erfahrung wird insbesondere von den Seminarlehrkräften, die entsprechend in der Zweiten Lehramtsprüfung an der Notenvergabe beteiligt sind, bestätigt. Daher hat man sich seit 1976 schulartübergreifend darauf geeinigt, Lehrkräfte mit dieser Note nicht mehr dauerhaft einzustellen.</w:t>
      </w:r>
    </w:p>
    <w:p w:rsidR="000E3A3D" w:rsidRDefault="000E3A3D" w:rsidP="000E3A3D">
      <w:pPr>
        <w:pStyle w:val="LTAntwortRessortText"/>
      </w:pPr>
      <w:r>
        <w:t>Hiervon ist selbst in großen Mangelsituationen bislang nicht abgewichen worden. Dabei handelt es sich um eine Frage der Qualitätssicherung des Unterrichts.</w:t>
      </w:r>
      <w:r w:rsidR="00BE6785">
        <w:t xml:space="preserve"> </w:t>
      </w:r>
      <w:r>
        <w:t>Dieses Eignungskriterium gilt im gesamten Bereich der Staatsverwaltung.</w:t>
      </w:r>
    </w:p>
    <w:p w:rsidR="000E3A3D" w:rsidRDefault="000E3A3D" w:rsidP="00BE6785">
      <w:pPr>
        <w:pStyle w:val="LTAntwortRessortText"/>
      </w:pPr>
      <w:r>
        <w:t>Unabhängig davon werden aufgrund des derzeit bestehenden erhöhten Bedarfs an Lehrkräften für Grundschulen Lehrkräfte mit der Lehramtsbefähigung für Gymnasien</w:t>
      </w:r>
      <w:r w:rsidR="00BE6785">
        <w:t xml:space="preserve"> </w:t>
      </w:r>
      <w:r>
        <w:t>bzw. Realschulen, die bis zur</w:t>
      </w:r>
      <w:r w:rsidR="00BE6785">
        <w:t xml:space="preserve"> Note 3,5 abgeschlossen haben, zu einer Zweitqualifi</w:t>
      </w:r>
      <w:r>
        <w:t>zierung für das Lehr</w:t>
      </w:r>
      <w:r w:rsidR="00BE6785">
        <w:t>amt an Grundschulen zugelassen.</w:t>
      </w:r>
    </w:p>
    <w:p w:rsidR="000E3A3D" w:rsidRDefault="000E3A3D" w:rsidP="000E3A3D">
      <w:pPr>
        <w:pStyle w:val="LTAntwortRessortText"/>
      </w:pPr>
      <w:r>
        <w:t>Diese Maßnahme ist auf der Basis von Art. 22 Abs.</w:t>
      </w:r>
      <w:r w:rsidR="00BE6785">
        <w:t xml:space="preserve"> 2 Satz 2 Bayerisches Lehrerbil</w:t>
      </w:r>
      <w:r>
        <w:t>dungsgesetz (BayLBG) legitimiert und ausgestaltet und stellt in Mangelsituationen eine qualitätvolle Möglichkeit der Personalgewinnung dar.</w:t>
      </w:r>
    </w:p>
    <w:p w:rsidR="00D40B83" w:rsidRDefault="00D40B83">
      <w:pPr>
        <w:rPr>
          <w:rFonts w:cs="Arial"/>
          <w:b/>
          <w:sz w:val="22"/>
          <w:szCs w:val="22"/>
        </w:rPr>
      </w:pPr>
      <w:r>
        <w:br w:type="page"/>
      </w:r>
    </w:p>
    <w:p w:rsidR="000E3A3D" w:rsidRDefault="000E3A3D" w:rsidP="000E3A3D">
      <w:pPr>
        <w:pStyle w:val="LTUeberschrRessort"/>
      </w:pPr>
      <w:r>
        <w:lastRenderedPageBreak/>
        <w:t>Geschäftsbereich des Staatsministeriums für Wissenschaft und Kunst</w:t>
      </w:r>
      <w:r>
        <w:fldChar w:fldCharType="begin"/>
      </w:r>
      <w:r>
        <w:instrText xml:space="preserve"> TC </w:instrText>
      </w:r>
      <w:r w:rsidR="00423B2A">
        <w:instrText>„</w:instrText>
      </w:r>
      <w:bookmarkStart w:id="43" w:name="_Toc519153229"/>
      <w:r>
        <w:instrText>Geschäftsbereich des Staatsministeriums für Wissenschaft und Kunst</w:instrText>
      </w:r>
      <w:bookmarkEnd w:id="43"/>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Eva</w:t>
            </w:r>
            <w:r w:rsidRPr="000E3A3D">
              <w:rPr>
                <w:b/>
              </w:rPr>
              <w:br/>
              <w:t>Gottstein</w:t>
            </w:r>
            <w:r w:rsidRPr="000E3A3D">
              <w:rPr>
                <w:b/>
              </w:rPr>
              <w:br/>
            </w:r>
            <w:r w:rsidRPr="000E3A3D">
              <w:t>(FREIE WÄHLER)</w:t>
            </w:r>
            <w:r>
              <w:fldChar w:fldCharType="begin"/>
            </w:r>
            <w:r>
              <w:instrText xml:space="preserve"> TC </w:instrText>
            </w:r>
            <w:r w:rsidR="00423B2A">
              <w:instrText>„</w:instrText>
            </w:r>
            <w:bookmarkStart w:id="44" w:name="_Toc519153230"/>
            <w:r>
              <w:instrText>Gottstein, Eva (FREIE WÄHLER)</w:instrText>
            </w:r>
            <w:r>
              <w:br/>
              <w:instrText>Verlauf des Dialogprozesses mit dem bisherigen Träger sowie möglichen künftigen Trägern des Jura-Museums Eichstätt</w:instrText>
            </w:r>
            <w:bookmarkEnd w:id="44"/>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zu welchem Ergebnis kamen die seit 2016 bis jetzt geführten Verhandlungen (bitte Zeitpunkt der entsprechenden Verhandlungen sowie alle Teilnehmerinnen und Teilnehmer nennen) der Staatsregierung mit den Verantwortlichen für das Jura-Museum Eichstätt hinsichtlich der künftigen Trägerschaft des sich bislang in der rechtlichen Trägerschaft des Collegium Willibaldinum in Eichstätt befindlichen Jura-Museums Eichstätt?</w:t>
            </w:r>
          </w:p>
          <w:p w:rsidR="000E3A3D" w:rsidRDefault="000E3A3D" w:rsidP="000E3A3D">
            <w:pPr>
              <w:pStyle w:val="LTAnfrageText"/>
            </w:pPr>
          </w:p>
        </w:tc>
      </w:tr>
    </w:tbl>
    <w:p w:rsidR="000E3A3D" w:rsidRDefault="000E3A3D" w:rsidP="00A45535">
      <w:pPr>
        <w:pStyle w:val="LTUeberschrAntwortRessort"/>
        <w:spacing w:before="960"/>
      </w:pPr>
      <w:r>
        <w:t>Antwort des Staatsministeriums für Wissenschaft und Kunst</w:t>
      </w:r>
    </w:p>
    <w:p w:rsidR="000E3A3D" w:rsidRDefault="000E3A3D" w:rsidP="000E3A3D">
      <w:pPr>
        <w:pStyle w:val="LTAntwortRessortText"/>
      </w:pPr>
      <w:r>
        <w:t>Um nach der früheren Willensbekundung und nunm</w:t>
      </w:r>
      <w:r w:rsidR="00D40B83">
        <w:t>ehrigen Kündigung der Vereinba</w:t>
      </w:r>
      <w:r>
        <w:t>rungen über wissenschaftliche und museale Zusam</w:t>
      </w:r>
      <w:r w:rsidR="00D40B83">
        <w:t>menarbeit durch das Priesterseminar Collegium Willi</w:t>
      </w:r>
      <w:r w:rsidR="00267971">
        <w:t>-</w:t>
      </w:r>
      <w:r w:rsidR="00D40B83">
        <w:t>baldi</w:t>
      </w:r>
      <w:r>
        <w:t>num die Trägerschaft für</w:t>
      </w:r>
      <w:r w:rsidR="00D40B83">
        <w:t xml:space="preserve"> das Jura-Museum Eichstätt wie</w:t>
      </w:r>
      <w:r>
        <w:t>der auf eine dauerhaft tragfähige Grundlage stellen</w:t>
      </w:r>
      <w:r w:rsidR="00D40B83">
        <w:t xml:space="preserve"> zu können, steht das Staatsministerium für Wissenschaft und Kunst </w:t>
      </w:r>
      <w:r>
        <w:t>im Dialog mit allen Beteiligten vor Ort in Eichstätt wie auch innerhalb der Staatsregierung. Die Verhandlungen werden (wie in so</w:t>
      </w:r>
      <w:r w:rsidR="00D40B83">
        <w:t>lchen Fällen üblich) nicht aus</w:t>
      </w:r>
      <w:r>
        <w:t>schließlich in formalisierten und terminierten Besprechungen, sondern auch durch informelle Kontakte auf allen Ebenen geführt. Zielsetzung ist die Fortführung des Museums mit einem oder mehreren Trägern. Das Pr</w:t>
      </w:r>
      <w:r w:rsidR="00D40B83">
        <w:t>iesterseminar hat bereits zuge</w:t>
      </w:r>
      <w:r>
        <w:t>sagt, die bischöfliche Sammlung dem Museum auch über den 31.12.2018 hinaus leihweise zur Verfügung zu stellen.</w:t>
      </w:r>
    </w:p>
    <w:p w:rsidR="00A21049" w:rsidRDefault="00A21049" w:rsidP="000E3A3D">
      <w:pPr>
        <w:pStyle w:val="LTAntwortRessortText"/>
      </w:pPr>
    </w:p>
    <w:p w:rsidR="00A45535" w:rsidRDefault="00A45535"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Andreas</w:t>
            </w:r>
            <w:r w:rsidRPr="000E3A3D">
              <w:rPr>
                <w:b/>
              </w:rPr>
              <w:br/>
              <w:t>Lotte</w:t>
            </w:r>
            <w:r w:rsidRPr="000E3A3D">
              <w:rPr>
                <w:b/>
              </w:rPr>
              <w:br/>
            </w:r>
            <w:r w:rsidRPr="000E3A3D">
              <w:t>(SPD)</w:t>
            </w:r>
            <w:r>
              <w:fldChar w:fldCharType="begin"/>
            </w:r>
            <w:r>
              <w:instrText xml:space="preserve"> TC </w:instrText>
            </w:r>
            <w:r w:rsidR="00423B2A">
              <w:instrText>„</w:instrText>
            </w:r>
            <w:bookmarkStart w:id="45" w:name="_Toc519153231"/>
            <w:r>
              <w:instrText>Lotte, Andreas (SPD)</w:instrText>
            </w:r>
            <w:r>
              <w:br/>
              <w:instrText>Referenzstrecke für ein Hyperloop-System</w:instrText>
            </w:r>
            <w:bookmarkEnd w:id="4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Nachdem Ministerpräsident Dr. Markus Söder in seiner Regierungserklärung vom 18.04.2018 ankündigte, den Mut zu futuristischen und visionären Vorhaben zu haben </w:t>
            </w:r>
            <w:r w:rsidR="00D40B83">
              <w:t>–</w:t>
            </w:r>
            <w:r>
              <w:t xml:space="preserve"> hierzu gehört die Errichtung einer europaweit ersten Referenzstrecke für ein Hyperloop-System innerhalb von zehn Jahren </w:t>
            </w:r>
            <w:r w:rsidR="00D40B83">
              <w:t>–</w:t>
            </w:r>
            <w:r>
              <w:t xml:space="preserve"> frage ich die Staatsregierung, welche etatisierten Mittel stehen im Haushalt (Doppelhaushalt 2017/2018, 1. und 2. Nachtragshaushalt 2018) für dieses Projekt mit welchem konkreten Zeitplan und an welchem Ort zur Verfügung?</w:t>
            </w:r>
          </w:p>
          <w:p w:rsidR="000E3A3D" w:rsidRDefault="000E3A3D" w:rsidP="000E3A3D">
            <w:pPr>
              <w:pStyle w:val="LTAnfrageText"/>
            </w:pPr>
          </w:p>
        </w:tc>
      </w:tr>
    </w:tbl>
    <w:p w:rsidR="000E3A3D" w:rsidRDefault="000E3A3D" w:rsidP="000E3A3D">
      <w:pPr>
        <w:pStyle w:val="LTUeberschrAntwortRessort"/>
      </w:pPr>
      <w:r>
        <w:t>Antwort des Staatsministeriums für Wissenschaft und Kunst</w:t>
      </w:r>
    </w:p>
    <w:p w:rsidR="000E3A3D" w:rsidRDefault="000E3A3D" w:rsidP="000E3A3D">
      <w:pPr>
        <w:pStyle w:val="LTAntwortRessortText"/>
      </w:pPr>
      <w:r>
        <w:t>Im Doppelhaushalt 2017/2018 und im 1. und 2. Nachtragshaushalt 2018 stehen für das Projekt Hyperloop keine Mittel zur Verfügung.</w:t>
      </w:r>
    </w:p>
    <w:p w:rsidR="000E3A3D" w:rsidRDefault="000E3A3D" w:rsidP="000E3A3D">
      <w:pPr>
        <w:pStyle w:val="LTAntwortRessortText"/>
      </w:pPr>
      <w:r>
        <w:lastRenderedPageBreak/>
        <w:t>Ergänzend darf Folgendes mitgeteilt werden:</w:t>
      </w:r>
    </w:p>
    <w:p w:rsidR="00A45535" w:rsidRDefault="000E3A3D" w:rsidP="00A21049">
      <w:pPr>
        <w:pStyle w:val="LTAntwortRessortText"/>
        <w:spacing w:before="120"/>
      </w:pPr>
      <w:r>
        <w:t>Der Bau einer Referenzstrecke für das Hyperloop-System ist ein komplexes und langfristiges Vorhaben, das umfangreiche Forschung</w:t>
      </w:r>
      <w:r w:rsidR="00D40B83">
        <w:t>sarbeiten sowie in einem späte</w:t>
      </w:r>
      <w:r>
        <w:t>ren Schritt auch die prozessuale Abstimmung zwi</w:t>
      </w:r>
      <w:r w:rsidR="00D40B83">
        <w:t>schen mehreren betroffenen Res</w:t>
      </w:r>
      <w:r>
        <w:t>sorts und ggf. Partnern aus der Industrie erfordert.</w:t>
      </w:r>
    </w:p>
    <w:p w:rsidR="000E3A3D" w:rsidRDefault="000E3A3D" w:rsidP="000E3A3D">
      <w:pPr>
        <w:pStyle w:val="LTAntwortRessortText"/>
      </w:pPr>
      <w:r>
        <w:t>Im Vordergrund steht derzeit die Einrichtung eine</w:t>
      </w:r>
      <w:r w:rsidR="00D40B83">
        <w:t>r Forschergruppe an der Techni</w:t>
      </w:r>
      <w:r>
        <w:t>schen Universität München (TUM), wo das System, a</w:t>
      </w:r>
      <w:r w:rsidR="00D40B83">
        <w:t>ufbauend auf bisherigen erfolg</w:t>
      </w:r>
      <w:r>
        <w:t>reichen Forschungsaktivitäten der TUM, weiter erforscht und zur Serienreife gebracht werden soll. In diesem Rahmen soll auch eine Machb</w:t>
      </w:r>
      <w:r w:rsidR="00D40B83">
        <w:t>arkeitsstudie für die Realisie</w:t>
      </w:r>
      <w:r>
        <w:t>rung einer Test- oder Referenzstrecke in Auftrag gegeben werden. Ein konkretes Forschungskonzept einschließlich vorbereitender</w:t>
      </w:r>
      <w:r w:rsidR="00D40B83">
        <w:t xml:space="preserve"> Überlegungen für eine Machbar</w:t>
      </w:r>
      <w:r>
        <w:t>keitsstudie wird derzeit an der TUM erarbeitet.</w:t>
      </w:r>
    </w:p>
    <w:p w:rsidR="000E3A3D" w:rsidRDefault="000E3A3D" w:rsidP="000E3A3D">
      <w:pPr>
        <w:pStyle w:val="LTAntwortRessortText"/>
      </w:pPr>
      <w:r>
        <w:t xml:space="preserve">Weitere konkrete Planungsschritte mit Zeitplan und Finanzbedarf können </w:t>
      </w:r>
      <w:r w:rsidR="00D40B83">
        <w:t>– in Ab</w:t>
      </w:r>
      <w:r>
        <w:t xml:space="preserve">stimmung der betroffenen Ressorts </w:t>
      </w:r>
      <w:r w:rsidR="00D40B83">
        <w:t>–</w:t>
      </w:r>
      <w:r>
        <w:t xml:space="preserve"> frühestens</w:t>
      </w:r>
      <w:r w:rsidR="00D40B83">
        <w:t xml:space="preserve"> nach Vorliegen dieser Machbar</w:t>
      </w:r>
      <w:r>
        <w:t>keitsstudie benannt werden. Die Finanzierung ist den</w:t>
      </w:r>
      <w:r w:rsidR="00D40B83">
        <w:t xml:space="preserve"> künftigen Haushalten vorbehal</w:t>
      </w:r>
      <w:r>
        <w:t>ten.</w:t>
      </w:r>
    </w:p>
    <w:p w:rsidR="00D40B83" w:rsidRDefault="00D40B83">
      <w:pPr>
        <w:rPr>
          <w:rFonts w:cs="Arial"/>
          <w:b/>
          <w:sz w:val="22"/>
          <w:szCs w:val="22"/>
        </w:rPr>
      </w:pPr>
      <w:r>
        <w:br w:type="page"/>
      </w:r>
    </w:p>
    <w:p w:rsidR="000E3A3D" w:rsidRDefault="000E3A3D" w:rsidP="000E3A3D">
      <w:pPr>
        <w:pStyle w:val="LTUeberschrRessort"/>
      </w:pPr>
      <w:r>
        <w:lastRenderedPageBreak/>
        <w:t>Geschäftsbereich des Staatsministeriums für Wirtschaft, Energie und Technologie</w:t>
      </w:r>
      <w:r>
        <w:fldChar w:fldCharType="begin"/>
      </w:r>
      <w:r>
        <w:instrText xml:space="preserve"> TC </w:instrText>
      </w:r>
      <w:r w:rsidR="00423B2A">
        <w:instrText>„</w:instrText>
      </w:r>
      <w:bookmarkStart w:id="46" w:name="_Toc519153232"/>
      <w:r>
        <w:instrText>Geschäftsbereich des Staatsministeriums für Wirtschaft, Energie und Technologie</w:instrText>
      </w:r>
      <w:bookmarkEnd w:id="46"/>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Martina</w:t>
            </w:r>
            <w:r w:rsidRPr="000E3A3D">
              <w:rPr>
                <w:b/>
              </w:rPr>
              <w:br/>
              <w:t>Fehlner</w:t>
            </w:r>
            <w:r w:rsidRPr="000E3A3D">
              <w:rPr>
                <w:b/>
              </w:rPr>
              <w:br/>
            </w:r>
            <w:r w:rsidRPr="000E3A3D">
              <w:t>(SPD)</w:t>
            </w:r>
            <w:r>
              <w:fldChar w:fldCharType="begin"/>
            </w:r>
            <w:r>
              <w:instrText xml:space="preserve"> TC </w:instrText>
            </w:r>
            <w:r w:rsidR="00423B2A">
              <w:instrText>„</w:instrText>
            </w:r>
            <w:bookmarkStart w:id="47" w:name="_Toc519153233"/>
            <w:r>
              <w:instrText>Fehlner, Martina (SPD)</w:instrText>
            </w:r>
            <w:r>
              <w:br/>
              <w:instrText>Errichtung von zusätzlichen 1.000 Mobilfunkmasten</w:instrText>
            </w:r>
            <w:bookmarkEnd w:id="4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Ministerpräsident Dr. Markus Söder in seiner Regierungserklärung vom 18.04.2018 die Errichtung von zusätzlich 1.000 Mobilfunkmasten ankündigte, frage ich die Staatsregierung, wie viele Mobilfunkmasten gibt es aktuell in Bayern (BOS/Mobilfunkanbieter) und wo sollen die 1.000 neuen Mobilfunkmasten bis 2020 mit welchen etatisierten Mitteln (Doppelhaushalt 2017/2018, 1. und 2. Nachtragshaushalt 2018) errichtet werden?</w:t>
            </w:r>
          </w:p>
          <w:p w:rsidR="000E3A3D" w:rsidRDefault="000E3A3D" w:rsidP="000E3A3D">
            <w:pPr>
              <w:pStyle w:val="LTAnfrageText"/>
            </w:pPr>
          </w:p>
        </w:tc>
      </w:tr>
    </w:tbl>
    <w:p w:rsidR="000E3A3D" w:rsidRDefault="000E3A3D" w:rsidP="000E3A3D">
      <w:pPr>
        <w:pStyle w:val="LTUeberschrAntwortRessort"/>
      </w:pPr>
      <w:r>
        <w:t>Antwort des Staatsministeriums für Wirtschaft, Energie und Technologie</w:t>
      </w:r>
    </w:p>
    <w:p w:rsidR="000E3A3D" w:rsidRDefault="000E3A3D" w:rsidP="000E3A3D">
      <w:pPr>
        <w:pStyle w:val="LTAntwortRessortText"/>
      </w:pPr>
      <w:r>
        <w:t>In Bayern gibt es rund 14.000 Mobilfunkstandorte der Netzbetreiber und rund 870 Standorte des BOS Behördenfunks. Hinzu kommen die neuen Standorte in Erfüllung der Auflagen der Digitalen Dividende II. Ferner haben die Mobilfunkanbieter angekündigt, auch ohne Förderung zusätzliche Standorte auszustatten. Die Telekom kündigte 1.000 Masten allein für Bayern an. Die Mobilfunk-Anbieter melden die Fortschritte regelmäßig.</w:t>
      </w:r>
    </w:p>
    <w:p w:rsidR="000E3A3D" w:rsidRPr="00A45535" w:rsidRDefault="000E3A3D" w:rsidP="000E3A3D">
      <w:pPr>
        <w:pStyle w:val="LTAntwortRessortText"/>
        <w:rPr>
          <w:spacing w:val="-4"/>
        </w:rPr>
      </w:pPr>
      <w:r w:rsidRPr="00A45535">
        <w:rPr>
          <w:spacing w:val="-4"/>
        </w:rPr>
        <w:t>Im Rahmen des Mobilfunk-Förderprogramms wird die Errichtung von Standorten in Regionen gefördert, in denen bislang keine Versorgung mit Sprachmobilfunk besteht (weiße Flecken) und in denen in den nächsten drei Jahren ein eigenwirtschaftlicher Ausbau nicht geplant ist. Die geförderten Masten werden zur Abdeckung dieser weißen Flecken errichtet. Eine Karte der Sprachmobilfunkversorgung in B</w:t>
      </w:r>
      <w:r w:rsidR="003E483A" w:rsidRPr="00A45535">
        <w:rPr>
          <w:spacing w:val="-4"/>
        </w:rPr>
        <w:t>ayern ist auf der Homepage des Staatsministeriums für Wirtschaft, Energie und Technologie</w:t>
      </w:r>
      <w:r w:rsidRPr="00A45535">
        <w:rPr>
          <w:spacing w:val="-4"/>
        </w:rPr>
        <w:t xml:space="preserve"> zu finden:</w:t>
      </w:r>
      <w:hyperlink r:id="rId22" w:history="1">
        <w:r w:rsidR="003E483A" w:rsidRPr="00A45535">
          <w:rPr>
            <w:rStyle w:val="Hyperlink"/>
            <w:spacing w:val="-4"/>
          </w:rPr>
          <w:t>https://www.stmwi.bayern.de/service/foerderprogramme/mobilfunkfoerderung/</w:t>
        </w:r>
      </w:hyperlink>
      <w:r w:rsidR="003E483A" w:rsidRPr="00A45535">
        <w:rPr>
          <w:spacing w:val="-4"/>
        </w:rPr>
        <w:t xml:space="preserve"> </w:t>
      </w:r>
      <w:r w:rsidRPr="00A45535">
        <w:rPr>
          <w:spacing w:val="-4"/>
        </w:rPr>
        <w:t>.</w:t>
      </w:r>
    </w:p>
    <w:p w:rsidR="000E3A3D" w:rsidRDefault="000E3A3D" w:rsidP="000E3A3D">
      <w:pPr>
        <w:pStyle w:val="LTAntwortRessortText"/>
      </w:pPr>
      <w:r>
        <w:t>Zum Aufbau des Mobilfunk-Förderprogramms sind im Nachtragshaushalt 2018 insgesamt ein Ansatz von 5 Mio. Euro sowie 20 Mio. Euro Verpflichtungsermächtigungen veranschlagt. Die für den weiteren Ausbau notwenigen Fördermittel sind für den Doppelhaushalt 2019/2020 angemeldet. Insgesamt werden für das Programm 160 Mio. Euro benötigt.</w:t>
      </w:r>
    </w:p>
    <w:p w:rsidR="0068122C" w:rsidRDefault="0068122C"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Volkmar</w:t>
            </w:r>
            <w:r w:rsidRPr="000E3A3D">
              <w:rPr>
                <w:b/>
              </w:rPr>
              <w:br/>
              <w:t>Halbleib</w:t>
            </w:r>
            <w:r w:rsidRPr="000E3A3D">
              <w:rPr>
                <w:b/>
              </w:rPr>
              <w:br/>
            </w:r>
            <w:r w:rsidRPr="000E3A3D">
              <w:t>(SPD)</w:t>
            </w:r>
            <w:r>
              <w:fldChar w:fldCharType="begin"/>
            </w:r>
            <w:r>
              <w:instrText xml:space="preserve"> TC </w:instrText>
            </w:r>
            <w:r w:rsidR="00423B2A">
              <w:instrText>„</w:instrText>
            </w:r>
            <w:bookmarkStart w:id="48" w:name="_Toc519153234"/>
            <w:r>
              <w:instrText>Halbleib, Volkmar (SPD)</w:instrText>
            </w:r>
            <w:r>
              <w:br/>
              <w:instrText>Raumfahrtprogramm \</w:instrText>
            </w:r>
            <w:r w:rsidR="00423B2A">
              <w:instrText>“</w:instrText>
            </w:r>
            <w:r>
              <w:instrText>Bavaria One\</w:instrText>
            </w:r>
            <w:bookmarkEnd w:id="48"/>
            <w:r w:rsidR="00423B2A">
              <w:instrText>“</w:instrText>
            </w:r>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Nachdem Ministerpräsident Dr. Markus Söder in seiner Regierungserklärung vom 18.04.2018 ankündigte, den Mut zu futuristischen und visionären Vorhaben zu haben, hierzu gehört im Rahmen der Gründung einer eigenen Fakultät an der Technischen Universität München (TUM) in Ottobrunn das neue bayerische Raumfahrtprogramm </w:t>
            </w:r>
            <w:r w:rsidR="00423B2A">
              <w:t>„</w:t>
            </w:r>
            <w:r>
              <w:t>Bavaria One</w:t>
            </w:r>
            <w:r w:rsidR="00423B2A">
              <w:t>“</w:t>
            </w:r>
            <w:r>
              <w:t>, frage ich die Staatsregierung, welche etatisierten Mittel stehen im Haushalt (Doppelhaushalt 2017/2018, 1. und 2. Nachtragshaushalt 2018) für dieses ne</w:t>
            </w:r>
            <w:r w:rsidR="00A8708C">
              <w:t>ue Raumfahrtprogramm mit welchem</w:t>
            </w:r>
            <w:r>
              <w:t xml:space="preserve"> ko</w:t>
            </w:r>
            <w:r w:rsidR="00A8708C">
              <w:t>nkreten Zeitplan und mit welchen</w:t>
            </w:r>
            <w:r>
              <w:t xml:space="preserve"> Programmkriterien zur Verfügung?</w:t>
            </w:r>
          </w:p>
          <w:p w:rsidR="000E3A3D" w:rsidRDefault="000E3A3D" w:rsidP="000E3A3D">
            <w:pPr>
              <w:pStyle w:val="LTAnfrageText"/>
            </w:pPr>
          </w:p>
        </w:tc>
      </w:tr>
    </w:tbl>
    <w:p w:rsidR="0068122C" w:rsidRDefault="0068122C" w:rsidP="000E3A3D">
      <w:pPr>
        <w:pStyle w:val="LTUeberschrAntwortRessort"/>
      </w:pPr>
    </w:p>
    <w:p w:rsidR="000E3A3D" w:rsidRDefault="000E3A3D" w:rsidP="000E3A3D">
      <w:pPr>
        <w:pStyle w:val="LTUeberschrAntwortRessort"/>
      </w:pPr>
      <w:r>
        <w:lastRenderedPageBreak/>
        <w:t>Antwort des Staatsministeriums für Wirtschaft, Energie und Technologie</w:t>
      </w:r>
    </w:p>
    <w:p w:rsidR="000E3A3D" w:rsidRDefault="000E3A3D" w:rsidP="000E3A3D">
      <w:pPr>
        <w:pStyle w:val="LTAntwortRessortText"/>
      </w:pPr>
      <w:r>
        <w:t>Die inhaltliche Ausgestaltung des Programms wird durch die Staatsregierung konkretisiert. Eine bedarfsgerechte Haushaltsanmeldung für den Doppelhaushalt 2019/2020 wurde vorgenommen.</w:t>
      </w:r>
    </w:p>
    <w:p w:rsidR="000E3A3D" w:rsidRDefault="003E483A" w:rsidP="000E3A3D">
      <w:pPr>
        <w:pStyle w:val="LTAntwortRessortText"/>
      </w:pPr>
      <w:r>
        <w:t>D</w:t>
      </w:r>
      <w:r w:rsidR="000E3A3D">
        <w:t xml:space="preserve">as Maßnahmenpaket des Raumfahrtprogramms </w:t>
      </w:r>
      <w:r>
        <w:t>„</w:t>
      </w:r>
      <w:r w:rsidR="000E3A3D">
        <w:t>Bavaria One</w:t>
      </w:r>
      <w:r>
        <w:t>“</w:t>
      </w:r>
      <w:r w:rsidR="000E3A3D">
        <w:t xml:space="preserve"> baut auf laufenden Infrastruktur- und Forschungsförderungen </w:t>
      </w:r>
      <w:r>
        <w:t>des Staatsministeriums für Wirtschaft, Energie und Technologie</w:t>
      </w:r>
      <w:r w:rsidR="000E3A3D">
        <w:t xml:space="preserve"> </w:t>
      </w:r>
      <w:r>
        <w:t>(</w:t>
      </w:r>
      <w:r w:rsidR="000E3A3D">
        <w:t>StMWi</w:t>
      </w:r>
      <w:r>
        <w:t>)</w:t>
      </w:r>
      <w:r w:rsidR="000E3A3D">
        <w:t xml:space="preserve"> auf. Zu nennen sind Maßnahmen im Bereich der Erdbeobachtung, Satellitenkommunikation und </w:t>
      </w:r>
      <w:r>
        <w:t>-n</w:t>
      </w:r>
      <w:r w:rsidR="000E3A3D">
        <w:t>avigation oder der Satellitentechnik. Diese Maßn</w:t>
      </w:r>
      <w:r>
        <w:t xml:space="preserve">ahmen sind im Haushalt des </w:t>
      </w:r>
      <w:r w:rsidR="007A2BA7">
        <w:br/>
      </w:r>
      <w:r>
        <w:t>StMWi</w:t>
      </w:r>
      <w:r w:rsidR="000E3A3D">
        <w:t xml:space="preserve"> Epl.</w:t>
      </w:r>
      <w:r w:rsidR="00A8708C">
        <w:t> </w:t>
      </w:r>
      <w:r w:rsidR="000E3A3D">
        <w:t>07 veranschlagt.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Dr. Christoph</w:t>
            </w:r>
            <w:r w:rsidRPr="000E3A3D">
              <w:rPr>
                <w:b/>
              </w:rPr>
              <w:br/>
              <w:t>Rabenstein</w:t>
            </w:r>
            <w:r w:rsidRPr="000E3A3D">
              <w:rPr>
                <w:b/>
              </w:rPr>
              <w:br/>
            </w:r>
            <w:r w:rsidRPr="000E3A3D">
              <w:t>(SPD)</w:t>
            </w:r>
            <w:r>
              <w:fldChar w:fldCharType="begin"/>
            </w:r>
            <w:r>
              <w:instrText xml:space="preserve"> TC </w:instrText>
            </w:r>
            <w:r w:rsidR="00423B2A">
              <w:instrText>„</w:instrText>
            </w:r>
            <w:bookmarkStart w:id="49" w:name="_Toc519153235"/>
            <w:r>
              <w:instrText>Dr. Rabenstein, Christoph (SPD)</w:instrText>
            </w:r>
            <w:r>
              <w:br/>
              <w:instrText>Fertigung von Batteriezellen für Elektrofahrzeuge in Bayern</w:instrText>
            </w:r>
            <w:bookmarkEnd w:id="4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was tut sie, um die Fertigung von Batteriezellen für Elektrofahrzeuge in Bayern anzusiedeln, welche konkreten bayerischen Standorte hat sie dem chinesischen Zellenhersteller CATL angeboten, der laut Medienveröffentlichungen einen Werksstandort in Thüringen präferiert und wie wichtig betrachtet die Staatsregierung eine Batteriezellenfertigung in Bayern?</w:t>
            </w:r>
          </w:p>
          <w:p w:rsidR="000E3A3D" w:rsidRDefault="000E3A3D" w:rsidP="000E3A3D">
            <w:pPr>
              <w:pStyle w:val="LTAnfrageText"/>
            </w:pPr>
          </w:p>
        </w:tc>
      </w:tr>
    </w:tbl>
    <w:p w:rsidR="000E3A3D" w:rsidRDefault="000E3A3D" w:rsidP="000E3A3D">
      <w:pPr>
        <w:pStyle w:val="LTUeberschrAntwortRessort"/>
      </w:pPr>
      <w:r>
        <w:t>Antwort des Staatsministeriums für Wirtschaft, Energie und Technologie</w:t>
      </w:r>
    </w:p>
    <w:p w:rsidR="000E3A3D" w:rsidRDefault="000E3A3D" w:rsidP="000E3A3D">
      <w:pPr>
        <w:pStyle w:val="LTAntwortRessortText"/>
      </w:pPr>
      <w:r>
        <w:t>Leistungsfähige Batteriesysteme sind ein zentraler Erfolgsfaktor der Elektromobilität. Um unseren Industriestandort (insbesondere Automobilindustrie) zu sichern, muss die Abhängigkeit von den asiatischen Herstell</w:t>
      </w:r>
      <w:r w:rsidR="00447BAA">
        <w:t xml:space="preserve">ern durchbrochen werden. Die </w:t>
      </w:r>
      <w:r>
        <w:t>Batteri</w:t>
      </w:r>
      <w:r w:rsidR="00447BAA">
        <w:t xml:space="preserve">ezellenfertigung in Deutschland bzw. in Europa (durch ein deutsches bzw. </w:t>
      </w:r>
      <w:r>
        <w:t>europäisches Unternehmen) wird von der Staatsregierung entsprechend als ein wichtiges Ziel eingestuft.</w:t>
      </w:r>
    </w:p>
    <w:p w:rsidR="000E3A3D" w:rsidRDefault="000E3A3D" w:rsidP="000E3A3D">
      <w:pPr>
        <w:pStyle w:val="LTAntwortRessortText"/>
      </w:pPr>
      <w:r>
        <w:t>Die Errichtung einer Batteriezellenproduktion ist letztendlich eine unternehmerische Entscheidung, die von der Staatsregierung durch Gestaltung optimaler Rahmenbedingungen begleitet wird. Die Maßnahmen betreffen dabei unter anderem:</w:t>
      </w:r>
    </w:p>
    <w:p w:rsidR="000E3A3D" w:rsidRDefault="00C74517" w:rsidP="00447BAA">
      <w:pPr>
        <w:pStyle w:val="LTAntwortRessortText"/>
        <w:numPr>
          <w:ilvl w:val="6"/>
          <w:numId w:val="12"/>
        </w:numPr>
        <w:tabs>
          <w:tab w:val="clear" w:pos="2520"/>
          <w:tab w:val="num" w:pos="851"/>
        </w:tabs>
        <w:ind w:left="709" w:hanging="283"/>
      </w:pPr>
      <w:r>
        <w:t>D</w:t>
      </w:r>
      <w:r w:rsidR="00447BAA">
        <w:t>ie Direktansprache von potenz</w:t>
      </w:r>
      <w:r w:rsidR="000E3A3D">
        <w:t xml:space="preserve">iellen Investoren und Global Playern </w:t>
      </w:r>
      <w:r w:rsidR="00447BAA">
        <w:t>–</w:t>
      </w:r>
      <w:r w:rsidR="000E3A3D">
        <w:t xml:space="preserve"> auch aus der Automobilindustrie </w:t>
      </w:r>
      <w:r w:rsidR="00447BAA">
        <w:t>–</w:t>
      </w:r>
      <w:r>
        <w:t xml:space="preserve"> </w:t>
      </w:r>
      <w:r w:rsidR="000E3A3D">
        <w:t>durch das Staatsministerium für Wirtschaft, Energie und Technologie</w:t>
      </w:r>
      <w:r w:rsidR="00447BAA">
        <w:t xml:space="preserve"> (StMWi)</w:t>
      </w:r>
      <w:r w:rsidR="000E3A3D">
        <w:t xml:space="preserve">. Hierbei steht </w:t>
      </w:r>
      <w:r w:rsidR="00447BAA">
        <w:t>auch das Marketing bayerischer Produktionsstandorte im Fokus.</w:t>
      </w:r>
    </w:p>
    <w:p w:rsidR="000E3A3D" w:rsidRDefault="00C74517" w:rsidP="00447BAA">
      <w:pPr>
        <w:pStyle w:val="LTAntwortRessortText"/>
        <w:numPr>
          <w:ilvl w:val="6"/>
          <w:numId w:val="12"/>
        </w:numPr>
        <w:tabs>
          <w:tab w:val="clear" w:pos="2520"/>
          <w:tab w:val="num" w:pos="851"/>
        </w:tabs>
        <w:ind w:left="709" w:hanging="283"/>
      </w:pPr>
      <w:r>
        <w:t>D</w:t>
      </w:r>
      <w:r w:rsidR="000E3A3D">
        <w:t>urch Förderung von wissenschaftlichen Einrichtungen sowie Verbundforschungsvorhaben, in denen Global Player mit wissenschaftlichen Einrichtungen sowie weiteren auch mittelständischen Unternehmen zusammenarbeiten. So können die jeweiligen Kenntnisse und Bedürfnisse der</w:t>
      </w:r>
      <w:r w:rsidR="00447BAA">
        <w:t xml:space="preserve"> </w:t>
      </w:r>
      <w:r w:rsidR="000E3A3D">
        <w:t>Wissenschaft- und Wirtschaftsseite optimal eingebracht und Synergien genutzt werden.</w:t>
      </w:r>
    </w:p>
    <w:p w:rsidR="000E3A3D" w:rsidRDefault="00C74517" w:rsidP="00447BAA">
      <w:pPr>
        <w:pStyle w:val="LTAntwortRessortText"/>
        <w:numPr>
          <w:ilvl w:val="6"/>
          <w:numId w:val="12"/>
        </w:numPr>
        <w:tabs>
          <w:tab w:val="clear" w:pos="2520"/>
          <w:tab w:val="num" w:pos="851"/>
        </w:tabs>
        <w:ind w:left="709" w:hanging="283"/>
      </w:pPr>
      <w:r>
        <w:t>D</w:t>
      </w:r>
      <w:r w:rsidR="000E3A3D">
        <w:t xml:space="preserve">en Einsatz der Staatsregierung bei der Europäischen Kommission und über den Bundesrat, um die beihilferechtlichen Möglichkeiten durch Einstufung der Batteriezellfertigung als Projekt </w:t>
      </w:r>
      <w:r w:rsidR="00447BAA">
        <w:t xml:space="preserve">von gemeinsamen europäischen </w:t>
      </w:r>
      <w:r w:rsidR="000E3A3D">
        <w:t>Interesse (IPCEI) zu verbessern.</w:t>
      </w:r>
    </w:p>
    <w:p w:rsidR="000E3A3D" w:rsidRPr="00447BAA" w:rsidRDefault="000E3A3D" w:rsidP="000E3A3D">
      <w:pPr>
        <w:pStyle w:val="LTAntwortRessortText"/>
        <w:rPr>
          <w:u w:val="single"/>
        </w:rPr>
      </w:pPr>
      <w:r w:rsidRPr="00447BAA">
        <w:rPr>
          <w:u w:val="single"/>
        </w:rPr>
        <w:t>Zu 1:</w:t>
      </w:r>
    </w:p>
    <w:p w:rsidR="000E3A3D" w:rsidRDefault="000E3A3D" w:rsidP="00447BAA">
      <w:pPr>
        <w:pStyle w:val="LTAntwortRessortText"/>
        <w:numPr>
          <w:ilvl w:val="0"/>
          <w:numId w:val="34"/>
        </w:numPr>
        <w:spacing w:before="120"/>
        <w:ind w:left="709" w:hanging="284"/>
      </w:pPr>
      <w:r>
        <w:t xml:space="preserve">Das </w:t>
      </w:r>
      <w:r w:rsidR="00447BAA">
        <w:t>StMWi</w:t>
      </w:r>
      <w:r>
        <w:t xml:space="preserve"> steht kontinuierlich im Austausch mit dem chinesischen Zellenhersteller CATL. Bezüglich der aktuellen Standortwahl wurde von CATL bereits früh im Prozess der Standortwahl mitgeteilt, dass für die aktuellen Planunge</w:t>
      </w:r>
      <w:r w:rsidR="00447BAA">
        <w:t>n kein bayerischer Standort inf</w:t>
      </w:r>
      <w:r>
        <w:t>rage kommt.</w:t>
      </w:r>
    </w:p>
    <w:p w:rsidR="000E3A3D" w:rsidRDefault="000E3A3D" w:rsidP="00447BAA">
      <w:pPr>
        <w:pStyle w:val="LTAntwortRessortText"/>
        <w:numPr>
          <w:ilvl w:val="0"/>
          <w:numId w:val="34"/>
        </w:numPr>
        <w:spacing w:before="120"/>
        <w:ind w:left="709" w:hanging="284"/>
      </w:pPr>
      <w:r>
        <w:lastRenderedPageBreak/>
        <w:t xml:space="preserve">Bezüglich den Bestrebungen zum Aufbau einer Batteriezellenproduktion hat sich auf deutscher Seite 2017 das Konsortium TerraE gebildet. Das Konsortium ist nach eigenen Angaben noch immer auf der Suche nach einem Standort für den Aufbau der Produktion. Das </w:t>
      </w:r>
      <w:r w:rsidR="00447BAA">
        <w:t>StMWi</w:t>
      </w:r>
      <w:r>
        <w:t xml:space="preserve"> steht im Austausch mit dem Konsortium bezüglich möglicher Standorte in Bayern.</w:t>
      </w:r>
    </w:p>
    <w:p w:rsidR="000E3A3D" w:rsidRPr="00447BAA" w:rsidRDefault="000E3A3D" w:rsidP="000E3A3D">
      <w:pPr>
        <w:pStyle w:val="LTAntwortRessortText"/>
        <w:rPr>
          <w:u w:val="single"/>
        </w:rPr>
      </w:pPr>
      <w:r w:rsidRPr="00447BAA">
        <w:rPr>
          <w:u w:val="single"/>
        </w:rPr>
        <w:t>Zu 2:</w:t>
      </w:r>
    </w:p>
    <w:p w:rsidR="000E3A3D" w:rsidRDefault="000E3A3D" w:rsidP="00447BAA">
      <w:pPr>
        <w:pStyle w:val="LTAntwortRessortText"/>
        <w:spacing w:before="120"/>
      </w:pPr>
      <w:r>
        <w:t>An der Universität Bayreuth wird beispielsweise ein FuE-Zentrum</w:t>
      </w:r>
      <w:r w:rsidR="00447BAA">
        <w:t xml:space="preserve"> (FuE = Forschung und Entwicklung)</w:t>
      </w:r>
      <w:r>
        <w:t xml:space="preserve"> für Batterietechnik aufgebaut. Die Universität Bayreuth verfügt über einschlägige fakultätsübergreifende Arbeitsgruppen in den Fächern Chemie, Physik und Ingenieurwissensc</w:t>
      </w:r>
      <w:r w:rsidR="00447BAA">
        <w:t>haften, die sich mit dem Thema Batterietechnik beschäftigen. Der Freistaat</w:t>
      </w:r>
      <w:r>
        <w:t xml:space="preserve"> Bayern möchte eine Bündelung und Weiterentwicklung dieser Aktivitäten anregen und fördern. Die Universität Bayreuth erarbeitet derzeit ein Konzept, wie sich das geplante Forschungszentrum an der Entwicklung innovativer Batterietechnik beteiligen und gleichzeitig wichtige Impulse für die Wirtschaft setzen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Bernhard</w:t>
            </w:r>
            <w:r w:rsidRPr="000E3A3D">
              <w:rPr>
                <w:b/>
              </w:rPr>
              <w:br/>
              <w:t>Roos</w:t>
            </w:r>
            <w:r w:rsidRPr="000E3A3D">
              <w:rPr>
                <w:b/>
              </w:rPr>
              <w:br/>
            </w:r>
            <w:r w:rsidRPr="000E3A3D">
              <w:t>(SPD)</w:t>
            </w:r>
            <w:r>
              <w:fldChar w:fldCharType="begin"/>
            </w:r>
            <w:r>
              <w:instrText xml:space="preserve"> TC </w:instrText>
            </w:r>
            <w:r w:rsidR="00423B2A">
              <w:instrText>„</w:instrText>
            </w:r>
            <w:bookmarkStart w:id="50" w:name="_Toc519153236"/>
            <w:r>
              <w:instrText>Roos, Bernhard (SPD)</w:instrText>
            </w:r>
            <w:r>
              <w:br/>
              <w:instrText>Chinesischer Großinvestor Ningbo Jifeng</w:instrText>
            </w:r>
            <w:bookmarkEnd w:id="50"/>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warum hat sie entgegen ihrer sonstigen grundsätzlich skeptischen Einlassungen gegenüber chinesischen Übernahmen bayerischer Unternehmen keine Einwände gegen die geplante Übernahme des bayerischen Zulieferers Grammer durch den chinesischen Großinvestor Ningbo Jifeng, wie bewertet die Staatsregierung die Beschäftigtenperspektive durch diesen Deal und welche Risiken sind mit dem Einstieg des chinesischen Investors bei Grammer verbunden?</w:t>
            </w:r>
          </w:p>
          <w:p w:rsidR="000E3A3D" w:rsidRDefault="000E3A3D" w:rsidP="000E3A3D">
            <w:pPr>
              <w:pStyle w:val="LTAnfrageText"/>
            </w:pPr>
          </w:p>
        </w:tc>
      </w:tr>
    </w:tbl>
    <w:p w:rsidR="000E3A3D" w:rsidRDefault="000E3A3D" w:rsidP="0068122C">
      <w:pPr>
        <w:pStyle w:val="LTUeberschrAntwortRessort"/>
        <w:spacing w:before="0"/>
      </w:pPr>
      <w:r>
        <w:t>Antwort des Staatsministeriums für Wirtschaft, Energie und Technologie</w:t>
      </w:r>
    </w:p>
    <w:p w:rsidR="000E3A3D" w:rsidRDefault="000E3A3D" w:rsidP="000E3A3D">
      <w:pPr>
        <w:pStyle w:val="LTAntwortRessortText"/>
      </w:pPr>
      <w:r>
        <w:t>Im Hinblick auf das Übernahmeangebot der Jiye A</w:t>
      </w:r>
      <w:r w:rsidR="005B003B">
        <w:t>uto Parts GmbH, einem verbunde</w:t>
      </w:r>
      <w:r>
        <w:t>nen Unternehmen von Ningbo Jifeng, an die Aktionär</w:t>
      </w:r>
      <w:r w:rsidR="005B003B">
        <w:t>e der Grammer AG ist festzuhal</w:t>
      </w:r>
      <w:r>
        <w:t xml:space="preserve">ten, dass sich sowohl Vorstand und Aufsichtsrat </w:t>
      </w:r>
      <w:r w:rsidR="005B003B">
        <w:t>der Grammer AG als auch Beleg</w:t>
      </w:r>
      <w:r>
        <w:t>schaftsvertreter positiv zum Angebot von Ning</w:t>
      </w:r>
      <w:r w:rsidR="00C74517">
        <w:t>b</w:t>
      </w:r>
      <w:r>
        <w:t>o Jifeng und der Investorenvereinbarung mit der Grammer AG geäußert haben. Weiterhin sind bei der Bewertung des Vorgangs auch die letztjährige Auseinandersetzung mit den der Hastor-Gruppe zurechenbaren Anteilseignern der Grammer AG und die durch den Ein</w:t>
      </w:r>
      <w:r w:rsidR="005B003B">
        <w:t>stieg von Ning</w:t>
      </w:r>
      <w:r w:rsidR="00C74517">
        <w:t>b</w:t>
      </w:r>
      <w:r w:rsidR="005B003B">
        <w:t>o Jifeng entstan</w:t>
      </w:r>
      <w:r>
        <w:t>dene Stabilisierung der Aktionärsstruktur mit den entsprechenden Auswirkungen auf Kunden- und Lieferantenbeziehungen zu berücksichtigen.</w:t>
      </w:r>
    </w:p>
    <w:p w:rsidR="000E3A3D" w:rsidRDefault="005B003B" w:rsidP="000E3A3D">
      <w:pPr>
        <w:pStyle w:val="LTAntwortRessortText"/>
      </w:pPr>
      <w:r>
        <w:t>G</w:t>
      </w:r>
      <w:r w:rsidR="000E3A3D">
        <w:t>rundsätzlich setzt sich die Staatsregierung dafür ein, dass im Hinblick auf Inves</w:t>
      </w:r>
      <w:r>
        <w:t>titionen und Beteiligungen ein „level playing field“</w:t>
      </w:r>
      <w:r w:rsidR="000E3A3D">
        <w:t xml:space="preserve"> zwischen Deutschland und China herrschen muss. Auch muss es Deutschland mög</w:t>
      </w:r>
      <w:r>
        <w:t>lich sein, sich vor einem stra</w:t>
      </w:r>
      <w:r w:rsidR="000E3A3D">
        <w:t>tegisch motivierten und gegebenenfalls staatlich gelenkten Aufkauf von Unternehmen mit Schlüsseltechnologien oder im Bereich kritischer I</w:t>
      </w:r>
      <w:r>
        <w:t>nfrastrukturen zu schützen. Da</w:t>
      </w:r>
      <w:r w:rsidR="000E3A3D">
        <w:t>her setzt sich die Staatsregierung für ei</w:t>
      </w:r>
      <w:r>
        <w:t>nen Rahmen zur Schaffung besse</w:t>
      </w:r>
      <w:r w:rsidR="000E3A3D">
        <w:t>rer Prüfungsmöglichkeiten ausländischer Direktinvestitionen in der EU ein und hat im</w:t>
      </w:r>
      <w:r>
        <w:t xml:space="preserve"> </w:t>
      </w:r>
      <w:r w:rsidR="000E3A3D">
        <w:t>Bundesrat für diese Fälle eine Absenkung der Prüf- und</w:t>
      </w:r>
      <w:r>
        <w:t xml:space="preserve"> Eingriffsschwelle in Deutschl</w:t>
      </w:r>
      <w:r w:rsidR="000E3A3D">
        <w:t>and angeregt.</w:t>
      </w:r>
    </w:p>
    <w:p w:rsidR="000E3A3D" w:rsidRDefault="005B003B" w:rsidP="000E3A3D">
      <w:pPr>
        <w:pStyle w:val="LTAntwortRessortText"/>
      </w:pPr>
      <w:r>
        <w:t>D</w:t>
      </w:r>
      <w:r w:rsidR="000E3A3D">
        <w:t>ie Investorenvereinbarung sieht neben Beschäftigungszusagen für sieben Jahre eine starke strategische Allianz der Grammer AG und von Ning</w:t>
      </w:r>
      <w:r w:rsidR="00C74517">
        <w:t>b</w:t>
      </w:r>
      <w:r w:rsidR="000E3A3D">
        <w:t>o Jifeng zum Nutzen beider Unternehmen vor, um so Wachstumsperspektiven zu e</w:t>
      </w:r>
      <w:r>
        <w:t>rschließen, die zu erhöhter Be</w:t>
      </w:r>
      <w:r w:rsidR="000E3A3D">
        <w:t>schäftigung führen können.</w:t>
      </w:r>
    </w:p>
    <w:p w:rsidR="000E3A3D" w:rsidRDefault="000E3A3D" w:rsidP="000E3A3D">
      <w:pPr>
        <w:pStyle w:val="LTAntwortRessortText"/>
      </w:pPr>
      <w:r>
        <w:t>Aus Sicht der Staatsregierung sind Erhalt und Sicherung d</w:t>
      </w:r>
      <w:r w:rsidR="005B003B">
        <w:t>er Beschäfti</w:t>
      </w:r>
      <w:r>
        <w:t>gung und Standorte, die Unabhängigkeit des Managements sowie der Schutz des Know-hows der Grammer AG entscheidende Faktoren,</w:t>
      </w:r>
      <w:r w:rsidR="005B003B">
        <w:t xml:space="preserve"> die in der Investorenvereinba</w:t>
      </w:r>
      <w:r>
        <w:t xml:space="preserve">rung geregelt werden. Daher sieht die Staatsregierung das </w:t>
      </w:r>
      <w:r w:rsidR="005B003B">
        <w:t>Übernahmean</w:t>
      </w:r>
      <w:r>
        <w:t>gebot grundsätzlich positiv, wird den Vorgang aber gleich</w:t>
      </w:r>
      <w:r w:rsidR="005B003B">
        <w:t>zeitig im Hinblick auf die Ein</w:t>
      </w:r>
      <w:r>
        <w:t>haltung der in der Investorenvereinbarung gemachten Zusagen wachsam begleiten.</w:t>
      </w:r>
    </w:p>
    <w:p w:rsidR="00A45535" w:rsidRDefault="00A45535"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Diana</w:t>
            </w:r>
            <w:r w:rsidRPr="000E3A3D">
              <w:rPr>
                <w:b/>
              </w:rPr>
              <w:br/>
              <w:t>Stachowitz</w:t>
            </w:r>
            <w:r w:rsidRPr="000E3A3D">
              <w:rPr>
                <w:b/>
              </w:rPr>
              <w:br/>
            </w:r>
            <w:r w:rsidRPr="000E3A3D">
              <w:t>(SPD)</w:t>
            </w:r>
            <w:r>
              <w:fldChar w:fldCharType="begin"/>
            </w:r>
            <w:r>
              <w:instrText xml:space="preserve"> TC </w:instrText>
            </w:r>
            <w:r w:rsidR="00423B2A">
              <w:instrText>„</w:instrText>
            </w:r>
            <w:bookmarkStart w:id="51" w:name="_Toc519153237"/>
            <w:r>
              <w:instrText>Stachowitz, Diana (SPD)</w:instrText>
            </w:r>
            <w:r>
              <w:br/>
              <w:instrText>\</w:instrText>
            </w:r>
            <w:r w:rsidR="00423B2A">
              <w:instrText>“</w:instrText>
            </w:r>
            <w:r>
              <w:instrText>BayernCloud\</w:instrText>
            </w:r>
            <w:bookmarkEnd w:id="51"/>
            <w:r w:rsidR="00423B2A">
              <w:instrText>“</w:instrText>
            </w:r>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Nachdem Ministerpräsident Dr. Markus Söder in seiner Regierungserklärung vom 18.04.2018 ankündigte, als erstes Bundesland für kleine und mittlere Unternehmen eine </w:t>
            </w:r>
            <w:r w:rsidR="00423B2A">
              <w:t>„</w:t>
            </w:r>
            <w:r>
              <w:t>BayernCloud</w:t>
            </w:r>
            <w:r w:rsidR="00423B2A">
              <w:t>“</w:t>
            </w:r>
            <w:r>
              <w:t xml:space="preserve"> zu entwickeln, frage ich die Staatsregierung, welche Fördermodalitäten werden für die </w:t>
            </w:r>
            <w:r w:rsidR="00423B2A">
              <w:t>„</w:t>
            </w:r>
            <w:r>
              <w:t>BayernCloud</w:t>
            </w:r>
            <w:r w:rsidR="00423B2A">
              <w:t>“</w:t>
            </w:r>
            <w:r>
              <w:t xml:space="preserve"> mit welchem Zeitplan zugrunde gelegt und welche etatisierten Mittel stehen im Haushalt (Doppelhaushalt 2017/2018, 1. und 2. Nachtragshaushalt 2018) zur Verfügung?</w:t>
            </w:r>
          </w:p>
          <w:p w:rsidR="000E3A3D" w:rsidRDefault="000E3A3D" w:rsidP="000E3A3D">
            <w:pPr>
              <w:pStyle w:val="LTAnfrageText"/>
            </w:pPr>
          </w:p>
        </w:tc>
      </w:tr>
    </w:tbl>
    <w:p w:rsidR="000E3A3D" w:rsidRDefault="000E3A3D" w:rsidP="0068122C">
      <w:pPr>
        <w:pStyle w:val="LTUeberschrAntwortRessort"/>
        <w:spacing w:before="0"/>
      </w:pPr>
      <w:r>
        <w:t>Antwort des Staatsministeriums für Wirtschaft, Energie und Technologie</w:t>
      </w:r>
    </w:p>
    <w:p w:rsidR="000E3A3D" w:rsidRDefault="000E3A3D" w:rsidP="00A45535">
      <w:pPr>
        <w:pStyle w:val="LTAntwortRessortText"/>
        <w:spacing w:before="360"/>
      </w:pPr>
      <w:r>
        <w:t xml:space="preserve">Laut der Studie </w:t>
      </w:r>
      <w:r w:rsidR="00423B2A">
        <w:t>„</w:t>
      </w:r>
      <w:r>
        <w:t>IT-Trends 2018</w:t>
      </w:r>
      <w:r w:rsidR="00423B2A">
        <w:t>“</w:t>
      </w:r>
      <w:r w:rsidR="00C74517">
        <w:t xml:space="preserve"> von Capg</w:t>
      </w:r>
      <w:r>
        <w:t>emini versäumen insbesondere kleine Unternehmen und der Mittelstand oft die Ausarbeitun</w:t>
      </w:r>
      <w:r w:rsidR="00A77974">
        <w:t>g einer Cloud-Strategie. Cloud-</w:t>
      </w:r>
      <w:r>
        <w:t>Technologien werden</w:t>
      </w:r>
      <w:r w:rsidR="00C74517">
        <w:t xml:space="preserve"> von der Breite des Mittelstand</w:t>
      </w:r>
      <w:r>
        <w:t>s nur wenig genutzt. Oft haben mittelständische Anwender daneben Bedenken bezüglich IT-Sicherheit und Datensouveränität bei der Nutzung von bestehenden Cloud-Angeboten.</w:t>
      </w:r>
    </w:p>
    <w:p w:rsidR="000E3A3D" w:rsidRDefault="000E3A3D" w:rsidP="00A45535">
      <w:pPr>
        <w:pStyle w:val="LTAntwortRessortText"/>
        <w:spacing w:before="360"/>
      </w:pPr>
      <w:r>
        <w:t xml:space="preserve">Vor diesem Hintergrund fördert das </w:t>
      </w:r>
      <w:r w:rsidR="00A77974">
        <w:t>Staatsministerium</w:t>
      </w:r>
      <w:r w:rsidR="00A77974" w:rsidRPr="00A77974">
        <w:t xml:space="preserve"> für Wirtschaft, Energie und Technologie</w:t>
      </w:r>
      <w:r w:rsidR="00A77974">
        <w:t xml:space="preserve"> (</w:t>
      </w:r>
      <w:r>
        <w:t>StMWi</w:t>
      </w:r>
      <w:r w:rsidR="00A77974">
        <w:t>)</w:t>
      </w:r>
      <w:r>
        <w:t xml:space="preserve"> ein Forschungsprojekt </w:t>
      </w:r>
      <w:r w:rsidR="00A77974">
        <w:t>„</w:t>
      </w:r>
      <w:r>
        <w:t>BayernCloud</w:t>
      </w:r>
      <w:r w:rsidR="00A77974">
        <w:t>“</w:t>
      </w:r>
      <w:r>
        <w:t xml:space="preserve"> bei fortiss, dem bayerischen Landesforschungsinstitut im Informatikbereich, und dem Fraunhofer Institut für Angewandte und Integrierte Sicherheit AISEC. Mit diesem Projekt werden Cloud-Technologien und -Architekturen entwickelt, die flexibel eingesetzt werden können, hohen Sicherheitsanforderungen entsprechen und damit besonders gut für die speziellen Anforderungen mittelständischer Branchen geeignet sind. Die geförderten Tätigkeiten sind dem Bereich der Grundlagenforschung zuzuordnen und werden von den Forschungsinstituten in deren nichtwirtschaftlichem Tätigkeitsbereich durchgeführt. Daher werden diese Tätigkeiten mit einer Förderquote von 100</w:t>
      </w:r>
      <w:r w:rsidR="00C74517">
        <w:t xml:space="preserve"> </w:t>
      </w:r>
      <w:r w:rsidR="00423B2A">
        <w:t>Prozent</w:t>
      </w:r>
      <w:r>
        <w:t xml:space="preserve"> gefördert. Die Förderung von fortiss beläuft sich hierbei auf 2.076.198,32 </w:t>
      </w:r>
      <w:r w:rsidR="00423B2A">
        <w:t>Euro</w:t>
      </w:r>
      <w:r>
        <w:t xml:space="preserve"> und die des Fraunhofer AISEC auf 423.380,00 </w:t>
      </w:r>
      <w:r w:rsidR="00423B2A">
        <w:t>Euro</w:t>
      </w:r>
      <w:r>
        <w:t>. Die erarbeiteten Grundlagentechnologien sollen von fortiss und Fraunhofer AISEC im Rahmen eines</w:t>
      </w:r>
      <w:r w:rsidR="00A77974">
        <w:t xml:space="preserve"> </w:t>
      </w:r>
      <w:r>
        <w:t>Open Source Ansatzes allen Unternehmen frei zur Verfügung gestellt werden, sobald diese einen angemessenen Reifegrad erreicht haben.</w:t>
      </w:r>
    </w:p>
    <w:p w:rsidR="000E3A3D" w:rsidRDefault="000E3A3D" w:rsidP="00A45535">
      <w:pPr>
        <w:pStyle w:val="LTAntwortRessortText"/>
        <w:spacing w:before="360"/>
      </w:pPr>
      <w:r>
        <w:t xml:space="preserve">Die erarbeiteten grundlegenden Cloud-Konzepte sollen dann in einem zweiten Schritt auf die Bedürfnisse verschiedener mittelständischer Anwendungsbranchen angepasst werden. Das erste zugehörige FuE-Projekt </w:t>
      </w:r>
      <w:r w:rsidR="00A77974">
        <w:t xml:space="preserve">(FuE = Forschung und Entwicklung) </w:t>
      </w:r>
      <w:r>
        <w:t xml:space="preserve">ist dabei speziell auf die Tourismusbranche ausgerichtet. Hierbei wird ein Konsortium aus fortiss, der Hochschule für angewandte Wissenschaften Kempten, einem bayerischen Tourismusverband sowie zwei bayerischen Unternehmen mit einer Fördersumme von insgesamt 620.312,00 </w:t>
      </w:r>
      <w:r w:rsidR="00423B2A">
        <w:t>Euro</w:t>
      </w:r>
      <w:r>
        <w:t xml:space="preserve"> unterstützt. Weitere FuE-Projekte für andere Branchen befinden sich aktuell in Anbahnung. Die Förderung erfolgt im Rahmen der Technologieförderung im Programm Informations- und Kommunikationstechnik Bayern, gemäß den hierbei üblichen Modalitäten.</w:t>
      </w:r>
    </w:p>
    <w:p w:rsidR="000E3A3D" w:rsidRDefault="000E3A3D" w:rsidP="00A45535">
      <w:pPr>
        <w:pStyle w:val="LTAntwortRessortText"/>
        <w:spacing w:before="360"/>
      </w:pPr>
      <w:r>
        <w:t>Im Doppelhaushalt 2017/</w:t>
      </w:r>
      <w:r w:rsidR="00A77974">
        <w:t>20</w:t>
      </w:r>
      <w:r>
        <w:t xml:space="preserve">18 stehen Mittel in Höhe von insgesamt 4 Mio. </w:t>
      </w:r>
      <w:r w:rsidR="00423B2A">
        <w:t>Euro</w:t>
      </w:r>
      <w:r>
        <w:t xml:space="preserve"> (Summe aus Ausgabemitteln und Verpflichtungsermächtigungen) für die Förderung der </w:t>
      </w:r>
      <w:r w:rsidR="00A77974">
        <w:t>„</w:t>
      </w:r>
      <w:r>
        <w:t>BayernCloud</w:t>
      </w:r>
      <w:r w:rsidR="00A77974">
        <w:t>“</w:t>
      </w:r>
      <w:r>
        <w:t xml:space="preserve"> zur Verfügung. In den Nachtragshaushalten für 2018 wurden keine zusätzlichen Mittel veranschlagt.</w:t>
      </w:r>
    </w:p>
    <w:p w:rsidR="000E3A3D" w:rsidRDefault="000E3A3D" w:rsidP="00A45535">
      <w:pPr>
        <w:pStyle w:val="LTAntwortRessortText"/>
        <w:spacing w:before="360"/>
      </w:pPr>
      <w:r>
        <w:t xml:space="preserve">Ziel ist, dass die Technologien der </w:t>
      </w:r>
      <w:r w:rsidR="00A77974">
        <w:t>„</w:t>
      </w:r>
      <w:r>
        <w:t>BayernCloud</w:t>
      </w:r>
      <w:r w:rsidR="00A77974">
        <w:t>“</w:t>
      </w:r>
      <w:r>
        <w:t xml:space="preserve"> durch Anwenderkonsortien zu kommerziellen Cloud-Angeboten weiterentwickelt werden.</w:t>
      </w:r>
    </w:p>
    <w:p w:rsidR="00A45535" w:rsidRDefault="00A45535"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Johanna</w:t>
            </w:r>
            <w:r w:rsidRPr="000E3A3D">
              <w:rPr>
                <w:b/>
              </w:rPr>
              <w:br/>
              <w:t>Werner-Muggendorfer</w:t>
            </w:r>
            <w:r w:rsidRPr="000E3A3D">
              <w:rPr>
                <w:b/>
              </w:rPr>
              <w:br/>
            </w:r>
            <w:r w:rsidRPr="000E3A3D">
              <w:t>(SPD)</w:t>
            </w:r>
            <w:r>
              <w:fldChar w:fldCharType="begin"/>
            </w:r>
            <w:r>
              <w:instrText xml:space="preserve"> TC </w:instrText>
            </w:r>
            <w:r w:rsidR="00423B2A">
              <w:instrText>„</w:instrText>
            </w:r>
            <w:bookmarkStart w:id="52" w:name="_Toc519153238"/>
            <w:r>
              <w:instrText>Werner-Muggendorfer, Johanna (SPD)</w:instrText>
            </w:r>
            <w:r>
              <w:br/>
              <w:instrText>Zentrum in Straubing für sauberen \</w:instrText>
            </w:r>
            <w:r w:rsidR="00423B2A">
              <w:instrText>“</w:instrText>
            </w:r>
            <w:r>
              <w:instrText>Bayern-Sprit\</w:instrText>
            </w:r>
            <w:bookmarkEnd w:id="52"/>
            <w:r w:rsidR="00423B2A">
              <w:instrText>“</w:instrText>
            </w:r>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Nachdem Ministerpräsident Dr. Markus Söder in seiner Regierungserklärung vom 18.04.2018 den Aufbau eines Zentrums in Straubing ankündigte, um sauberen </w:t>
            </w:r>
            <w:r w:rsidR="00423B2A">
              <w:t>„</w:t>
            </w:r>
            <w:r>
              <w:t>Bayern-Sprit</w:t>
            </w:r>
            <w:r w:rsidR="00423B2A">
              <w:t>“</w:t>
            </w:r>
            <w:r>
              <w:t xml:space="preserve"> zu entwickeln, frage ich die Staatsregierung, welche etatisierten Mittel stehen im Haushalt (Doppelhaushalt 2017/2018, 1</w:t>
            </w:r>
            <w:r w:rsidR="00455852">
              <w:t>. und 2. Nachtragshaushalt 2018</w:t>
            </w:r>
            <w:r>
              <w:t xml:space="preserve">) für dieses Zentrum mit </w:t>
            </w:r>
            <w:r w:rsidR="00187741">
              <w:t>welchem Zeitplan und mit welchen</w:t>
            </w:r>
            <w:r>
              <w:t xml:space="preserve"> personellen Ausstattungen zur Verfügung?</w:t>
            </w:r>
          </w:p>
          <w:p w:rsidR="000E3A3D" w:rsidRDefault="000E3A3D" w:rsidP="000E3A3D">
            <w:pPr>
              <w:pStyle w:val="LTAnfrageText"/>
            </w:pPr>
          </w:p>
        </w:tc>
      </w:tr>
    </w:tbl>
    <w:p w:rsidR="00A45535" w:rsidRDefault="00A45535" w:rsidP="000E3A3D">
      <w:pPr>
        <w:pStyle w:val="LTUeberschrAntwortRessort"/>
      </w:pPr>
    </w:p>
    <w:p w:rsidR="000E3A3D" w:rsidRDefault="000E3A3D" w:rsidP="000E3A3D">
      <w:pPr>
        <w:pStyle w:val="LTUeberschrAntwortRessort"/>
      </w:pPr>
      <w:r>
        <w:t>Antwort des Staatsministeriums für Wirtschaft, Energie und Technologie</w:t>
      </w:r>
    </w:p>
    <w:p w:rsidR="000E3A3D" w:rsidRDefault="000E3A3D" w:rsidP="000E3A3D">
      <w:pPr>
        <w:pStyle w:val="LTAntwortRessortText"/>
      </w:pPr>
      <w:r>
        <w:t xml:space="preserve">Die benötigten Haushaltsmittel für die Maßnahme </w:t>
      </w:r>
      <w:r w:rsidR="00423B2A">
        <w:t>„</w:t>
      </w:r>
      <w:r>
        <w:t>Bayern-Sprit</w:t>
      </w:r>
      <w:r w:rsidR="00423B2A">
        <w:t>“</w:t>
      </w:r>
      <w:r>
        <w:t xml:space="preserve"> in Höhe von insgesamt 30 Mio. Euro sollen dem Landtag für den Doppelhaushalt 2019/2020 zur Veranschlagung vorgeschlagen werden. Die Mittel für die Jahre 2019 bis 2023 (Barmittel und Verpflichtungsermächtigung) teilen sich auf die zwei Teilaspekte auf; Aufbau Fraunhofer Zentrum für synthetische Kraftstoffe (IGB und UMSICHT-ATZ: 10 Mio. Euro) und Errichtung einer Demonstrationsanlage in Straubing (Zusatzbedarf: 20 Mio. Euro über die bereits im DHH 2017/</w:t>
      </w:r>
      <w:r w:rsidR="00455852">
        <w:t>20</w:t>
      </w:r>
      <w:r>
        <w:t>18 veranschlagten Mittel in Höhe von 20 Mio. Euro hinaus).</w:t>
      </w:r>
    </w:p>
    <w:p w:rsidR="000E3A3D" w:rsidRDefault="000E3A3D" w:rsidP="000E3A3D">
      <w:pPr>
        <w:pStyle w:val="LTAntwortRessortText"/>
      </w:pPr>
      <w:r>
        <w:t>Bei Verfügbarkeit der angemeldeten Haushaltsmittel könnte ab Mitte 2019 unmittelbar eine Bewilligung des Teilaspekts Aufbau Fraunhofer Zentrum erfolgen. Die Demonstrationsanlage in Straubing muss aufgrund der Höhe d</w:t>
      </w:r>
      <w:r w:rsidR="00C74517">
        <w:t>er geplanten Förderung bei der E</w:t>
      </w:r>
      <w:r>
        <w:t>uropäischen Kommission als Einzelfall notifiziert werden. Nach aktuellem Sachstand wird aber ebenfalls mit Planung und Bewilligung ab 2019 gerechnet.</w:t>
      </w:r>
    </w:p>
    <w:p w:rsidR="000E3A3D" w:rsidRDefault="000E3A3D" w:rsidP="000E3A3D">
      <w:pPr>
        <w:pStyle w:val="LTAntwortRessortText"/>
      </w:pPr>
      <w:r>
        <w:t>Die zur Durchführung der Maßnahme benötigten langjährigen Erfahrungen und einschlägigen Kompetenzen sind bei den Fraunhofer-Institutsteilen in Straubing (I</w:t>
      </w:r>
      <w:r w:rsidR="00455852">
        <w:t xml:space="preserve">nstitutsteil BioCAT) und Sulzbach-Rosenberg (Institutsteil </w:t>
      </w:r>
      <w:r w:rsidR="00C74517">
        <w:t>UMSICHT</w:t>
      </w:r>
      <w:r>
        <w:t>)</w:t>
      </w:r>
      <w:r w:rsidR="00455852">
        <w:t xml:space="preserve"> vorhanden. Erfahrungsgemäß gehen Projekte in der geplanten </w:t>
      </w:r>
      <w:r>
        <w:t>Größenordnung allerdings auch mit einem personellen Aufwuchs einher.</w:t>
      </w:r>
    </w:p>
    <w:p w:rsidR="00455852" w:rsidRDefault="00455852">
      <w:pPr>
        <w:rPr>
          <w:rFonts w:cs="Arial"/>
          <w:b/>
          <w:sz w:val="22"/>
          <w:szCs w:val="22"/>
        </w:rPr>
      </w:pPr>
      <w:r>
        <w:br w:type="page"/>
      </w:r>
    </w:p>
    <w:p w:rsidR="000E3A3D" w:rsidRDefault="000E3A3D" w:rsidP="000E3A3D">
      <w:pPr>
        <w:pStyle w:val="LTUeberschrRessort"/>
      </w:pPr>
      <w:r>
        <w:lastRenderedPageBreak/>
        <w:t>Geschäftsbereich des Staatsministeriums der Finanzen, für Landesentwicklung und Heimat</w:t>
      </w:r>
      <w:r>
        <w:fldChar w:fldCharType="begin"/>
      </w:r>
      <w:r>
        <w:instrText xml:space="preserve"> TC </w:instrText>
      </w:r>
      <w:r w:rsidR="00423B2A">
        <w:instrText>„</w:instrText>
      </w:r>
      <w:bookmarkStart w:id="53" w:name="_Toc519153239"/>
      <w:r>
        <w:instrText>Geschäftsbereich des Staatsministeriums der Finanzen, für Landesentwicklung und Heimat</w:instrText>
      </w:r>
      <w:bookmarkEnd w:id="53"/>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Florian</w:t>
            </w:r>
            <w:r w:rsidRPr="000E3A3D">
              <w:rPr>
                <w:b/>
              </w:rPr>
              <w:br/>
            </w:r>
            <w:r w:rsidR="00423B2A">
              <w:rPr>
                <w:b/>
              </w:rPr>
              <w:t xml:space="preserve">von </w:t>
            </w:r>
            <w:r w:rsidRPr="000E3A3D">
              <w:rPr>
                <w:b/>
              </w:rPr>
              <w:t>Brunn</w:t>
            </w:r>
            <w:r w:rsidRPr="000E3A3D">
              <w:rPr>
                <w:b/>
              </w:rPr>
              <w:br/>
            </w:r>
            <w:r w:rsidRPr="000E3A3D">
              <w:t>(SPD)</w:t>
            </w:r>
            <w:r>
              <w:fldChar w:fldCharType="begin"/>
            </w:r>
            <w:r>
              <w:instrText xml:space="preserve"> TC </w:instrText>
            </w:r>
            <w:r w:rsidR="00423B2A">
              <w:instrText>„</w:instrText>
            </w:r>
            <w:bookmarkStart w:id="54" w:name="_Toc519153240"/>
            <w:r>
              <w:instrText>Brunn, Florian (SPD)</w:instrText>
            </w:r>
            <w:r>
              <w:br/>
              <w:instrText>Entschädigung und Nebeneinkünfte der Beauftragten der Staatsregierung</w:instrText>
            </w:r>
            <w:bookmarkEnd w:id="54"/>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welche Leistungen insgesamt (Aufwandsentschädigung, finanzielle Zuwendung, Personal- und Sachmittel etc. - bitte im Einzelnen und getrennt aufführen) sind für die Beauftragten der Staatsregierung im Haushalt aktuell vorgesehen, welche Nebeneinkünfte haben die Beauftragten der Staatsregierung im Einzelnen und sind Nebeneinkünfte in dieser Funktion überhaupt zulässig?</w:t>
            </w:r>
          </w:p>
          <w:p w:rsidR="000E3A3D" w:rsidRDefault="000E3A3D" w:rsidP="000E3A3D">
            <w:pPr>
              <w:pStyle w:val="LTAnfrageText"/>
            </w:pPr>
          </w:p>
        </w:tc>
      </w:tr>
    </w:tbl>
    <w:p w:rsidR="000E3A3D" w:rsidRDefault="000E3A3D" w:rsidP="00367B16">
      <w:pPr>
        <w:pStyle w:val="LTUeberschrAntwortRessort"/>
        <w:spacing w:before="960"/>
      </w:pPr>
      <w:r>
        <w:t>Antwort des Staatsministeriums der Finanzen, für Landesentwicklung und Heimat</w:t>
      </w:r>
    </w:p>
    <w:p w:rsidR="00A6619E" w:rsidRDefault="00A6619E" w:rsidP="00367B16">
      <w:pPr>
        <w:pStyle w:val="LTAntwortRessortText"/>
        <w:spacing w:before="360"/>
      </w:pPr>
      <w:r>
        <w:t xml:space="preserve">Das Staatsministerium </w:t>
      </w:r>
      <w:r w:rsidRPr="00A6619E">
        <w:t xml:space="preserve">der Finanzen, für Landesentwicklung und Heimat </w:t>
      </w:r>
      <w:r>
        <w:t>hat die Beantwortung</w:t>
      </w:r>
      <w:r>
        <w:rPr>
          <w:spacing w:val="-2"/>
        </w:rPr>
        <w:t xml:space="preserve"> </w:t>
      </w:r>
      <w:r>
        <w:t>der Anfrage zum Plenum koordiniert</w:t>
      </w:r>
      <w:r>
        <w:rPr>
          <w:spacing w:val="-2"/>
        </w:rPr>
        <w:t xml:space="preserve"> </w:t>
      </w:r>
      <w:r>
        <w:t>und</w:t>
      </w:r>
      <w:r>
        <w:rPr>
          <w:spacing w:val="-2"/>
        </w:rPr>
        <w:t xml:space="preserve"> </w:t>
      </w:r>
      <w:r>
        <w:t>die</w:t>
      </w:r>
      <w:r>
        <w:rPr>
          <w:spacing w:val="-2"/>
        </w:rPr>
        <w:t xml:space="preserve"> </w:t>
      </w:r>
      <w:r>
        <w:t>Antwort</w:t>
      </w:r>
      <w:r>
        <w:rPr>
          <w:spacing w:val="41"/>
        </w:rPr>
        <w:t xml:space="preserve"> </w:t>
      </w:r>
      <w:r>
        <w:t>in Abstimmung</w:t>
      </w:r>
      <w:r>
        <w:rPr>
          <w:spacing w:val="-2"/>
        </w:rPr>
        <w:t xml:space="preserve"> </w:t>
      </w:r>
      <w:r>
        <w:t>mit</w:t>
      </w:r>
      <w:r>
        <w:rPr>
          <w:spacing w:val="-3"/>
        </w:rPr>
        <w:t xml:space="preserve"> </w:t>
      </w:r>
      <w:r>
        <w:t>den</w:t>
      </w:r>
      <w:r>
        <w:rPr>
          <w:spacing w:val="-2"/>
        </w:rPr>
        <w:t xml:space="preserve"> </w:t>
      </w:r>
      <w:r>
        <w:t>zuständigen</w:t>
      </w:r>
      <w:r>
        <w:rPr>
          <w:spacing w:val="5"/>
        </w:rPr>
        <w:t xml:space="preserve"> </w:t>
      </w:r>
      <w:r>
        <w:t>Ressorts</w:t>
      </w:r>
      <w:r>
        <w:rPr>
          <w:spacing w:val="-2"/>
        </w:rPr>
        <w:t xml:space="preserve"> </w:t>
      </w:r>
      <w:r>
        <w:t>und</w:t>
      </w:r>
      <w:r>
        <w:rPr>
          <w:spacing w:val="-2"/>
        </w:rPr>
        <w:t xml:space="preserve"> </w:t>
      </w:r>
      <w:r>
        <w:t>der Staatskanzlei</w:t>
      </w:r>
      <w:r>
        <w:rPr>
          <w:spacing w:val="2"/>
        </w:rPr>
        <w:t xml:space="preserve"> </w:t>
      </w:r>
      <w:r>
        <w:t>erstellt.</w:t>
      </w:r>
      <w:r>
        <w:rPr>
          <w:spacing w:val="65"/>
        </w:rPr>
        <w:t xml:space="preserve"> </w:t>
      </w:r>
      <w:r>
        <w:t>Zur Ausstattung</w:t>
      </w:r>
      <w:r>
        <w:rPr>
          <w:spacing w:val="-2"/>
        </w:rPr>
        <w:t xml:space="preserve"> </w:t>
      </w:r>
      <w:r>
        <w:t>der Beauftragten</w:t>
      </w:r>
      <w:r>
        <w:rPr>
          <w:spacing w:val="-2"/>
        </w:rPr>
        <w:t xml:space="preserve"> </w:t>
      </w:r>
      <w:r>
        <w:t>der Staatsregierung</w:t>
      </w:r>
      <w:r>
        <w:rPr>
          <w:spacing w:val="4"/>
        </w:rPr>
        <w:t xml:space="preserve"> </w:t>
      </w:r>
      <w:r>
        <w:t>im Jahr</w:t>
      </w:r>
      <w:r>
        <w:rPr>
          <w:spacing w:val="-3"/>
        </w:rPr>
        <w:t xml:space="preserve"> </w:t>
      </w:r>
      <w:r>
        <w:t>2018</w:t>
      </w:r>
      <w:r>
        <w:rPr>
          <w:spacing w:val="-2"/>
        </w:rPr>
        <w:t xml:space="preserve"> </w:t>
      </w:r>
      <w:r>
        <w:t>(Stand: 2. Nachtragshaushalt</w:t>
      </w:r>
      <w:r>
        <w:rPr>
          <w:spacing w:val="-2"/>
        </w:rPr>
        <w:t xml:space="preserve"> </w:t>
      </w:r>
      <w:r>
        <w:t>2018)</w:t>
      </w:r>
      <w:r>
        <w:rPr>
          <w:spacing w:val="2"/>
        </w:rPr>
        <w:t xml:space="preserve"> </w:t>
      </w:r>
      <w:r>
        <w:rPr>
          <w:spacing w:val="-2"/>
        </w:rPr>
        <w:t>wird</w:t>
      </w:r>
      <w:r>
        <w:t xml:space="preserve"> die folgende Aufstellung</w:t>
      </w:r>
      <w:r>
        <w:rPr>
          <w:spacing w:val="-2"/>
        </w:rPr>
        <w:t xml:space="preserve"> </w:t>
      </w:r>
      <w:r>
        <w:t>übermittelt:</w:t>
      </w:r>
    </w:p>
    <w:p w:rsidR="00511445" w:rsidRDefault="00511445" w:rsidP="00A6619E">
      <w:pPr>
        <w:pStyle w:val="LTAntwortRessortText"/>
        <w:rPr>
          <w:u w:color="000000"/>
        </w:rPr>
      </w:pPr>
    </w:p>
    <w:p w:rsidR="00511445" w:rsidRDefault="00511445" w:rsidP="00A6619E">
      <w:pPr>
        <w:pStyle w:val="LTAntwortRessortText"/>
        <w:rPr>
          <w:u w:color="000000"/>
        </w:rPr>
      </w:pPr>
    </w:p>
    <w:p w:rsidR="00367B16" w:rsidRDefault="00367B16" w:rsidP="00A6619E">
      <w:pPr>
        <w:pStyle w:val="LTAntwortRessortText"/>
        <w:rPr>
          <w:u w:color="000000"/>
        </w:rPr>
      </w:pPr>
    </w:p>
    <w:tbl>
      <w:tblPr>
        <w:tblStyle w:val="TableNormal"/>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15"/>
        <w:gridCol w:w="2837"/>
        <w:gridCol w:w="3261"/>
      </w:tblGrid>
      <w:tr w:rsidR="00756D72" w:rsidRPr="008C2431" w:rsidTr="00756D72">
        <w:trPr>
          <w:trHeight w:hRule="exact" w:val="732"/>
        </w:trPr>
        <w:tc>
          <w:tcPr>
            <w:tcW w:w="3117" w:type="dxa"/>
            <w:gridSpan w:val="2"/>
          </w:tcPr>
          <w:p w:rsidR="00756D72" w:rsidRPr="008C2431" w:rsidRDefault="00756D72" w:rsidP="00E2196E">
            <w:pPr>
              <w:rPr>
                <w:rFonts w:cs="Arial"/>
                <w:szCs w:val="22"/>
              </w:rPr>
            </w:pPr>
          </w:p>
        </w:tc>
        <w:tc>
          <w:tcPr>
            <w:tcW w:w="2837" w:type="dxa"/>
          </w:tcPr>
          <w:p w:rsidR="00756D72" w:rsidRPr="008C2431" w:rsidRDefault="00756D72" w:rsidP="00E2196E">
            <w:pPr>
              <w:pStyle w:val="TableParagraph"/>
              <w:spacing w:before="87"/>
              <w:ind w:left="598"/>
              <w:rPr>
                <w:rFonts w:ascii="Arial" w:eastAsia="Arial" w:hAnsi="Arial" w:cs="Arial"/>
              </w:rPr>
            </w:pPr>
            <w:r w:rsidRPr="008C2431">
              <w:rPr>
                <w:rFonts w:ascii="Arial" w:hAnsi="Arial" w:cs="Arial"/>
                <w:b/>
              </w:rPr>
              <w:t>Beteiligungen</w:t>
            </w:r>
          </w:p>
        </w:tc>
        <w:tc>
          <w:tcPr>
            <w:tcW w:w="3261" w:type="dxa"/>
          </w:tcPr>
          <w:p w:rsidR="00756D72" w:rsidRPr="008C2431" w:rsidRDefault="00756D72" w:rsidP="008C2431">
            <w:pPr>
              <w:pStyle w:val="TableParagraph"/>
              <w:spacing w:before="87"/>
              <w:ind w:left="113" w:right="159"/>
              <w:rPr>
                <w:rFonts w:ascii="Arial" w:eastAsia="Arial" w:hAnsi="Arial" w:cs="Arial"/>
              </w:rPr>
            </w:pPr>
            <w:r w:rsidRPr="008C2431">
              <w:rPr>
                <w:rFonts w:ascii="Arial" w:hAnsi="Arial" w:cs="Arial"/>
                <w:b/>
                <w:spacing w:val="-1"/>
              </w:rPr>
              <w:t>Jüdisches</w:t>
            </w:r>
            <w:r w:rsidRPr="008C2431">
              <w:rPr>
                <w:rFonts w:ascii="Arial" w:hAnsi="Arial" w:cs="Arial"/>
                <w:b/>
              </w:rPr>
              <w:t xml:space="preserve"> </w:t>
            </w:r>
            <w:r w:rsidRPr="008C2431">
              <w:rPr>
                <w:rFonts w:ascii="Arial" w:hAnsi="Arial" w:cs="Arial"/>
                <w:b/>
                <w:spacing w:val="-1"/>
              </w:rPr>
              <w:t>Leben</w:t>
            </w:r>
            <w:r w:rsidRPr="008C2431">
              <w:rPr>
                <w:rFonts w:ascii="Arial" w:hAnsi="Arial" w:cs="Arial"/>
                <w:b/>
                <w:spacing w:val="29"/>
              </w:rPr>
              <w:t xml:space="preserve"> </w:t>
            </w:r>
            <w:r w:rsidRPr="008C2431">
              <w:rPr>
                <w:rFonts w:ascii="Arial" w:hAnsi="Arial" w:cs="Arial"/>
                <w:b/>
              </w:rPr>
              <w:t>und</w:t>
            </w:r>
            <w:r w:rsidRPr="008C2431">
              <w:rPr>
                <w:rFonts w:ascii="Arial" w:hAnsi="Arial" w:cs="Arial"/>
                <w:b/>
                <w:spacing w:val="1"/>
              </w:rPr>
              <w:t xml:space="preserve"> </w:t>
            </w:r>
            <w:r w:rsidR="008C2431">
              <w:rPr>
                <w:rFonts w:ascii="Arial" w:hAnsi="Arial" w:cs="Arial"/>
                <w:b/>
                <w:spacing w:val="1"/>
              </w:rPr>
              <w:br/>
            </w:r>
            <w:r w:rsidRPr="008C2431">
              <w:rPr>
                <w:rFonts w:ascii="Arial" w:hAnsi="Arial" w:cs="Arial"/>
                <w:b/>
                <w:spacing w:val="-1"/>
              </w:rPr>
              <w:t>Antisemitismus</w:t>
            </w:r>
          </w:p>
        </w:tc>
      </w:tr>
      <w:tr w:rsidR="00756D72" w:rsidRPr="008C2431" w:rsidTr="008C2431">
        <w:trPr>
          <w:trHeight w:hRule="exact" w:val="3702"/>
        </w:trPr>
        <w:tc>
          <w:tcPr>
            <w:tcW w:w="3117" w:type="dxa"/>
            <w:gridSpan w:val="2"/>
          </w:tcPr>
          <w:p w:rsidR="00756D72" w:rsidRPr="008C2431" w:rsidRDefault="00756D72" w:rsidP="00E2196E">
            <w:pPr>
              <w:pStyle w:val="TableParagraph"/>
              <w:spacing w:before="81"/>
              <w:ind w:left="108"/>
              <w:rPr>
                <w:rFonts w:ascii="Arial" w:eastAsia="Arial" w:hAnsi="Arial" w:cs="Arial"/>
              </w:rPr>
            </w:pPr>
            <w:r w:rsidRPr="008C2431">
              <w:rPr>
                <w:rFonts w:ascii="Arial" w:hAnsi="Arial" w:cs="Arial"/>
                <w:b/>
                <w:spacing w:val="-1"/>
              </w:rPr>
              <w:t>Personal:</w:t>
            </w:r>
          </w:p>
          <w:p w:rsidR="00756D72" w:rsidRPr="008C2431" w:rsidRDefault="00756D72" w:rsidP="00E2196E">
            <w:pPr>
              <w:pStyle w:val="TableParagraph"/>
              <w:spacing w:before="170"/>
              <w:ind w:left="108" w:right="178"/>
              <w:rPr>
                <w:rFonts w:ascii="Arial" w:eastAsia="Arial" w:hAnsi="Arial" w:cs="Arial"/>
              </w:rPr>
            </w:pPr>
            <w:r w:rsidRPr="008C2431">
              <w:rPr>
                <w:rFonts w:ascii="Arial" w:hAnsi="Arial" w:cs="Arial"/>
                <w:b/>
                <w:spacing w:val="-1"/>
              </w:rPr>
              <w:t>Personalausgabemit</w:t>
            </w:r>
            <w:r w:rsidRPr="008C2431">
              <w:rPr>
                <w:rFonts w:ascii="Arial" w:hAnsi="Arial" w:cs="Arial"/>
                <w:b/>
              </w:rPr>
              <w:t>tel*</w:t>
            </w:r>
          </w:p>
          <w:p w:rsidR="00756D72" w:rsidRPr="008C2431" w:rsidRDefault="00756D72" w:rsidP="00E2196E">
            <w:pPr>
              <w:pStyle w:val="TableParagraph"/>
              <w:spacing w:before="170"/>
              <w:ind w:left="108"/>
              <w:rPr>
                <w:rFonts w:ascii="Arial" w:eastAsia="Arial" w:hAnsi="Arial" w:cs="Arial"/>
              </w:rPr>
            </w:pPr>
            <w:r w:rsidRPr="008C2431">
              <w:rPr>
                <w:rFonts w:ascii="Arial" w:hAnsi="Arial" w:cs="Arial"/>
                <w:b/>
                <w:spacing w:val="-1"/>
              </w:rPr>
              <w:t>Sachmittel:</w:t>
            </w:r>
          </w:p>
          <w:p w:rsidR="00B12E48" w:rsidRDefault="00B12E48" w:rsidP="00B12E48">
            <w:pPr>
              <w:pStyle w:val="TableParagraph"/>
              <w:spacing w:before="120" w:line="276" w:lineRule="exact"/>
              <w:ind w:left="397" w:right="284"/>
              <w:rPr>
                <w:rFonts w:ascii="Arial" w:hAnsi="Arial" w:cs="Arial"/>
                <w:spacing w:val="-6"/>
                <w:position w:val="8"/>
              </w:rPr>
            </w:pPr>
            <w:r>
              <w:rPr>
                <w:rFonts w:ascii="Arial" w:hAnsi="Arial" w:cs="Arial"/>
                <w:spacing w:val="-1"/>
              </w:rPr>
              <w:br/>
            </w:r>
            <w:r w:rsidR="00756D72" w:rsidRPr="00B12E48">
              <w:rPr>
                <w:rFonts w:ascii="Arial" w:hAnsi="Arial" w:cs="Arial"/>
                <w:spacing w:val="-6"/>
              </w:rPr>
              <w:t xml:space="preserve">Allg. </w:t>
            </w:r>
            <w:r w:rsidRPr="00B12E48">
              <w:rPr>
                <w:rFonts w:ascii="Arial" w:hAnsi="Arial" w:cs="Arial"/>
                <w:spacing w:val="-6"/>
              </w:rPr>
              <w:t>Verfügungs</w:t>
            </w:r>
            <w:r w:rsidR="00756D72" w:rsidRPr="00B12E48">
              <w:rPr>
                <w:rFonts w:ascii="Arial" w:hAnsi="Arial" w:cs="Arial"/>
                <w:spacing w:val="-6"/>
              </w:rPr>
              <w:t xml:space="preserve">mittel </w:t>
            </w:r>
            <w:r w:rsidR="00756D72" w:rsidRPr="00B12E48">
              <w:rPr>
                <w:rFonts w:ascii="Arial" w:hAnsi="Arial" w:cs="Arial"/>
                <w:spacing w:val="-6"/>
                <w:position w:val="8"/>
              </w:rPr>
              <w:t>**</w:t>
            </w:r>
          </w:p>
          <w:p w:rsidR="00B12E48" w:rsidRDefault="00756D72" w:rsidP="00B12E48">
            <w:pPr>
              <w:pStyle w:val="TableParagraph"/>
              <w:spacing w:before="175" w:line="276" w:lineRule="exact"/>
              <w:ind w:left="397" w:right="284"/>
              <w:rPr>
                <w:rFonts w:ascii="Arial" w:hAnsi="Arial" w:cs="Arial"/>
                <w:spacing w:val="25"/>
              </w:rPr>
            </w:pPr>
            <w:r w:rsidRPr="008C2431">
              <w:rPr>
                <w:rFonts w:ascii="Arial" w:hAnsi="Arial" w:cs="Arial"/>
                <w:u w:val="single"/>
              </w:rPr>
              <w:t>+</w:t>
            </w:r>
            <w:r w:rsidRPr="008C2431">
              <w:rPr>
                <w:rFonts w:ascii="Arial" w:hAnsi="Arial" w:cs="Arial"/>
                <w:u w:val="single"/>
              </w:rPr>
              <w:tab/>
            </w:r>
            <w:r w:rsidRPr="008C2431">
              <w:rPr>
                <w:rFonts w:ascii="Arial" w:hAnsi="Arial" w:cs="Arial"/>
                <w:spacing w:val="-1"/>
                <w:u w:val="single"/>
              </w:rPr>
              <w:t>Entschädigung***</w:t>
            </w:r>
          </w:p>
          <w:p w:rsidR="00756D72" w:rsidRPr="008C2431" w:rsidRDefault="00756D72" w:rsidP="00B12E48">
            <w:pPr>
              <w:pStyle w:val="TableParagraph"/>
              <w:spacing w:before="175" w:line="276" w:lineRule="exact"/>
              <w:ind w:left="397" w:right="284"/>
              <w:rPr>
                <w:rFonts w:ascii="Arial" w:eastAsia="Arial" w:hAnsi="Arial" w:cs="Arial"/>
              </w:rPr>
            </w:pPr>
            <w:r w:rsidRPr="008C2431">
              <w:rPr>
                <w:rFonts w:ascii="Arial" w:hAnsi="Arial" w:cs="Arial"/>
              </w:rPr>
              <w:t xml:space="preserve">Sachmittel </w:t>
            </w:r>
            <w:r w:rsidRPr="008C2431">
              <w:rPr>
                <w:rFonts w:ascii="Arial" w:hAnsi="Arial" w:cs="Arial"/>
                <w:spacing w:val="-1"/>
              </w:rPr>
              <w:t>gesamt</w:t>
            </w:r>
          </w:p>
          <w:p w:rsidR="00756D72" w:rsidRPr="008C2431" w:rsidRDefault="00756D72" w:rsidP="00B12E48">
            <w:pPr>
              <w:pStyle w:val="TableParagraph"/>
              <w:spacing w:before="120" w:line="272" w:lineRule="exact"/>
              <w:ind w:left="108"/>
              <w:rPr>
                <w:rFonts w:ascii="Arial" w:eastAsia="Arial" w:hAnsi="Arial" w:cs="Arial"/>
              </w:rPr>
            </w:pPr>
            <w:r w:rsidRPr="008C2431">
              <w:rPr>
                <w:rFonts w:ascii="Arial" w:hAnsi="Arial" w:cs="Arial"/>
                <w:b/>
              </w:rPr>
              <w:t>Sonstiges</w:t>
            </w:r>
            <w:r w:rsidRPr="008C2431">
              <w:rPr>
                <w:rFonts w:ascii="Arial" w:hAnsi="Arial" w:cs="Arial"/>
              </w:rPr>
              <w:t>:</w:t>
            </w:r>
          </w:p>
        </w:tc>
        <w:tc>
          <w:tcPr>
            <w:tcW w:w="2837" w:type="dxa"/>
          </w:tcPr>
          <w:p w:rsidR="00756D72" w:rsidRPr="008C2431" w:rsidRDefault="00756D72" w:rsidP="00E2196E">
            <w:pPr>
              <w:pStyle w:val="TableParagraph"/>
              <w:spacing w:before="81" w:line="388" w:lineRule="auto"/>
              <w:ind w:left="651" w:right="644" w:firstLine="273"/>
              <w:rPr>
                <w:rFonts w:ascii="Arial" w:eastAsia="Arial" w:hAnsi="Arial" w:cs="Arial"/>
              </w:rPr>
            </w:pPr>
            <w:r w:rsidRPr="008C2431">
              <w:rPr>
                <w:rFonts w:ascii="Arial" w:eastAsia="Arial" w:hAnsi="Arial" w:cs="Arial"/>
              </w:rPr>
              <w:t xml:space="preserve">4 </w:t>
            </w:r>
            <w:r w:rsidRPr="008C2431">
              <w:rPr>
                <w:rFonts w:ascii="Arial" w:eastAsia="Arial" w:hAnsi="Arial" w:cs="Arial"/>
                <w:spacing w:val="-1"/>
              </w:rPr>
              <w:t>Stellen</w:t>
            </w:r>
            <w:r w:rsidRPr="008C2431">
              <w:rPr>
                <w:rFonts w:ascii="Arial" w:eastAsia="Arial" w:hAnsi="Arial" w:cs="Arial"/>
                <w:spacing w:val="25"/>
              </w:rPr>
              <w:t xml:space="preserve"> </w:t>
            </w:r>
            <w:r w:rsidRPr="008C2431">
              <w:rPr>
                <w:rFonts w:ascii="Arial" w:eastAsia="Arial" w:hAnsi="Arial" w:cs="Arial"/>
              </w:rPr>
              <w:t>rd.</w:t>
            </w:r>
            <w:r w:rsidRPr="008C2431">
              <w:rPr>
                <w:rFonts w:ascii="Arial" w:eastAsia="Arial" w:hAnsi="Arial" w:cs="Arial"/>
                <w:spacing w:val="1"/>
              </w:rPr>
              <w:t xml:space="preserve"> </w:t>
            </w:r>
            <w:r w:rsidRPr="008C2431">
              <w:rPr>
                <w:rFonts w:ascii="Arial" w:eastAsia="Arial" w:hAnsi="Arial" w:cs="Arial"/>
                <w:spacing w:val="-1"/>
              </w:rPr>
              <w:t xml:space="preserve">157 </w:t>
            </w:r>
            <w:r w:rsidRPr="008C2431">
              <w:rPr>
                <w:rFonts w:ascii="Arial" w:eastAsia="Arial" w:hAnsi="Arial" w:cs="Arial"/>
              </w:rPr>
              <w:t>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spacing w:before="175"/>
              <w:ind w:left="1069"/>
              <w:rPr>
                <w:rFonts w:ascii="Arial" w:eastAsia="Arial" w:hAnsi="Arial" w:cs="Arial"/>
              </w:rPr>
            </w:pPr>
            <w:r w:rsidRPr="008C2431">
              <w:rPr>
                <w:rFonts w:ascii="Arial" w:eastAsia="Arial" w:hAnsi="Arial" w:cs="Arial"/>
              </w:rPr>
              <w:t>44,0</w:t>
            </w:r>
            <w:r w:rsidRPr="008C2431">
              <w:rPr>
                <w:rFonts w:ascii="Arial" w:eastAsia="Arial" w:hAnsi="Arial" w:cs="Arial"/>
                <w:spacing w:val="-1"/>
              </w:rPr>
              <w:t xml:space="preserve">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168" w:line="396" w:lineRule="auto"/>
              <w:ind w:left="1069" w:right="507" w:hanging="209"/>
              <w:rPr>
                <w:rFonts w:ascii="Arial" w:eastAsia="Arial" w:hAnsi="Arial" w:cs="Arial"/>
              </w:rPr>
            </w:pPr>
            <w:r w:rsidRPr="008C2431">
              <w:rPr>
                <w:rFonts w:ascii="Arial" w:eastAsia="Arial" w:hAnsi="Arial" w:cs="Arial"/>
                <w:u w:val="single"/>
              </w:rPr>
              <w:t>+</w:t>
            </w:r>
            <w:r w:rsidRPr="008C2431">
              <w:rPr>
                <w:rFonts w:ascii="Arial" w:eastAsia="Arial" w:hAnsi="Arial" w:cs="Arial"/>
                <w:spacing w:val="-1"/>
                <w:u w:val="single"/>
              </w:rPr>
              <w:t xml:space="preserve"> </w:t>
            </w:r>
            <w:r w:rsidRPr="008C2431">
              <w:rPr>
                <w:rFonts w:ascii="Arial" w:eastAsia="Arial" w:hAnsi="Arial" w:cs="Arial"/>
                <w:u w:val="single"/>
              </w:rPr>
              <w:t>36,0</w:t>
            </w:r>
            <w:r w:rsidRPr="008C2431">
              <w:rPr>
                <w:rFonts w:ascii="Arial" w:eastAsia="Arial" w:hAnsi="Arial" w:cs="Arial"/>
                <w:spacing w:val="-1"/>
                <w:u w:val="single"/>
              </w:rPr>
              <w:t xml:space="preserve"> Tsd.</w:t>
            </w:r>
            <w:r w:rsidRPr="008C2431">
              <w:rPr>
                <w:rFonts w:ascii="Arial" w:eastAsia="Arial" w:hAnsi="Arial" w:cs="Arial"/>
                <w:u w:val="single"/>
              </w:rPr>
              <w:t xml:space="preserve"> €</w:t>
            </w:r>
            <w:r w:rsidRPr="008C2431">
              <w:rPr>
                <w:rFonts w:ascii="Arial" w:eastAsia="Arial" w:hAnsi="Arial" w:cs="Arial"/>
                <w:spacing w:val="22"/>
              </w:rPr>
              <w:t xml:space="preserve"> </w:t>
            </w:r>
            <w:r w:rsidRPr="008C2431">
              <w:rPr>
                <w:rFonts w:ascii="Arial" w:eastAsia="Arial" w:hAnsi="Arial" w:cs="Arial"/>
              </w:rPr>
              <w:t>80,0</w:t>
            </w:r>
            <w:r w:rsidRPr="008C2431">
              <w:rPr>
                <w:rFonts w:ascii="Arial" w:eastAsia="Arial" w:hAnsi="Arial" w:cs="Arial"/>
                <w:spacing w:val="-1"/>
              </w:rPr>
              <w:t xml:space="preserve">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ind w:left="810" w:right="247" w:hanging="560"/>
              <w:rPr>
                <w:rFonts w:ascii="Arial" w:eastAsia="Arial" w:hAnsi="Arial" w:cs="Arial"/>
              </w:rPr>
            </w:pPr>
            <w:r w:rsidRPr="008C2431">
              <w:rPr>
                <w:rFonts w:ascii="Arial" w:eastAsia="Arial" w:hAnsi="Arial" w:cs="Arial"/>
                <w:spacing w:val="-1"/>
              </w:rPr>
              <w:t>Eigener</w:t>
            </w:r>
            <w:r w:rsidRPr="008C2431">
              <w:rPr>
                <w:rFonts w:ascii="Arial" w:eastAsia="Arial" w:hAnsi="Arial" w:cs="Arial"/>
              </w:rPr>
              <w:t xml:space="preserve"> </w:t>
            </w:r>
            <w:r w:rsidRPr="008C2431">
              <w:rPr>
                <w:rFonts w:ascii="Arial" w:eastAsia="Arial" w:hAnsi="Arial" w:cs="Arial"/>
                <w:spacing w:val="-1"/>
              </w:rPr>
              <w:t>Dienstwagen</w:t>
            </w:r>
            <w:r w:rsidRPr="008C2431">
              <w:rPr>
                <w:rFonts w:ascii="Arial" w:eastAsia="Arial" w:hAnsi="Arial" w:cs="Arial"/>
                <w:spacing w:val="23"/>
              </w:rPr>
              <w:t xml:space="preserve"> </w:t>
            </w:r>
            <w:r w:rsidRPr="008C2431">
              <w:rPr>
                <w:rFonts w:ascii="Arial" w:eastAsia="Arial" w:hAnsi="Arial" w:cs="Arial"/>
              </w:rPr>
              <w:t>(14</w:t>
            </w:r>
            <w:r w:rsidRPr="008C2431">
              <w:rPr>
                <w:rFonts w:ascii="Arial" w:eastAsia="Arial" w:hAnsi="Arial" w:cs="Arial"/>
                <w:spacing w:val="-1"/>
              </w:rPr>
              <w:t xml:space="preserve"> </w:t>
            </w:r>
            <w:r w:rsidRPr="008C2431">
              <w:rPr>
                <w:rFonts w:ascii="Arial" w:eastAsia="Arial" w:hAnsi="Arial" w:cs="Arial"/>
              </w:rPr>
              <w:t>Tsd.</w:t>
            </w:r>
            <w:r w:rsidRPr="008C2431">
              <w:rPr>
                <w:rFonts w:ascii="Arial" w:eastAsia="Arial" w:hAnsi="Arial" w:cs="Arial"/>
                <w:spacing w:val="-2"/>
              </w:rPr>
              <w:t xml:space="preserve"> </w:t>
            </w:r>
            <w:r w:rsidRPr="008C2431">
              <w:rPr>
                <w:rFonts w:ascii="Arial" w:eastAsia="Arial" w:hAnsi="Arial" w:cs="Arial"/>
              </w:rPr>
              <w:t>€)</w:t>
            </w:r>
          </w:p>
        </w:tc>
        <w:tc>
          <w:tcPr>
            <w:tcW w:w="3261" w:type="dxa"/>
          </w:tcPr>
          <w:p w:rsidR="00756D72" w:rsidRPr="008C2431" w:rsidRDefault="00756D72" w:rsidP="00E2196E">
            <w:pPr>
              <w:pStyle w:val="TableParagraph"/>
              <w:spacing w:before="81" w:line="388" w:lineRule="auto"/>
              <w:ind w:left="555" w:right="561" w:firstLine="273"/>
              <w:rPr>
                <w:rFonts w:ascii="Arial" w:eastAsia="Arial" w:hAnsi="Arial" w:cs="Arial"/>
              </w:rPr>
            </w:pPr>
            <w:r w:rsidRPr="008C2431">
              <w:rPr>
                <w:rFonts w:ascii="Arial" w:eastAsia="Arial" w:hAnsi="Arial" w:cs="Arial"/>
              </w:rPr>
              <w:t>4</w:t>
            </w:r>
            <w:r w:rsidRPr="008C2431">
              <w:rPr>
                <w:rFonts w:ascii="Arial" w:eastAsia="Arial" w:hAnsi="Arial" w:cs="Arial"/>
                <w:spacing w:val="1"/>
              </w:rPr>
              <w:t xml:space="preserve"> </w:t>
            </w:r>
            <w:r w:rsidRPr="008C2431">
              <w:rPr>
                <w:rFonts w:ascii="Arial" w:eastAsia="Arial" w:hAnsi="Arial" w:cs="Arial"/>
                <w:spacing w:val="-1"/>
              </w:rPr>
              <w:t>Stellen</w:t>
            </w:r>
            <w:r w:rsidRPr="008C2431">
              <w:rPr>
                <w:rFonts w:ascii="Arial" w:eastAsia="Arial" w:hAnsi="Arial" w:cs="Arial"/>
                <w:spacing w:val="25"/>
              </w:rPr>
              <w:br/>
            </w:r>
            <w:r w:rsidRPr="008C2431">
              <w:rPr>
                <w:rFonts w:ascii="Arial" w:eastAsia="Arial" w:hAnsi="Arial" w:cs="Arial"/>
                <w:spacing w:val="-1"/>
              </w:rPr>
              <w:t xml:space="preserve">rd. 139 </w:t>
            </w:r>
            <w:r w:rsidRPr="008C2431">
              <w:rPr>
                <w:rFonts w:ascii="Arial" w:eastAsia="Arial" w:hAnsi="Arial" w:cs="Arial"/>
              </w:rPr>
              <w:t>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rPr>
                <w:rFonts w:ascii="Arial" w:eastAsia="Arial" w:hAnsi="Arial" w:cs="Arial"/>
              </w:rPr>
            </w:pPr>
          </w:p>
          <w:p w:rsidR="00756D72" w:rsidRPr="008C2431" w:rsidRDefault="00756D72" w:rsidP="00756D72">
            <w:pPr>
              <w:pStyle w:val="TableParagraph"/>
              <w:spacing w:before="175"/>
              <w:ind w:left="1069"/>
              <w:rPr>
                <w:rFonts w:ascii="Arial" w:eastAsia="Arial" w:hAnsi="Arial" w:cs="Arial"/>
              </w:rPr>
            </w:pPr>
            <w:r w:rsidRPr="008C2431">
              <w:rPr>
                <w:rFonts w:ascii="Arial" w:eastAsia="Arial" w:hAnsi="Arial" w:cs="Arial"/>
              </w:rPr>
              <w:t>44,0 Tsd. €</w:t>
            </w:r>
          </w:p>
          <w:p w:rsidR="00756D72" w:rsidRPr="008C2431" w:rsidRDefault="00756D72" w:rsidP="00E2196E">
            <w:pPr>
              <w:pStyle w:val="TableParagraph"/>
              <w:spacing w:before="168"/>
              <w:ind w:right="150"/>
              <w:jc w:val="center"/>
              <w:rPr>
                <w:rFonts w:ascii="Arial" w:eastAsia="Arial" w:hAnsi="Arial" w:cs="Arial"/>
                <w:u w:val="single"/>
              </w:rPr>
            </w:pPr>
            <w:r w:rsidRPr="008C2431">
              <w:rPr>
                <w:rFonts w:ascii="Arial" w:eastAsia="Arial" w:hAnsi="Arial" w:cs="Arial"/>
                <w:spacing w:val="-1"/>
                <w:u w:val="single"/>
              </w:rPr>
              <w:t>+ 36,0 Tsd.</w:t>
            </w:r>
            <w:r w:rsidRPr="008C2431">
              <w:rPr>
                <w:rFonts w:ascii="Arial" w:eastAsia="Arial" w:hAnsi="Arial" w:cs="Arial"/>
                <w:u w:val="single"/>
              </w:rPr>
              <w:t xml:space="preserve"> €</w:t>
            </w:r>
          </w:p>
          <w:p w:rsidR="00756D72" w:rsidRPr="008C2431" w:rsidRDefault="00756D72" w:rsidP="00756D72">
            <w:pPr>
              <w:pStyle w:val="TableParagraph"/>
              <w:spacing w:before="16" w:line="440" w:lineRule="atLeast"/>
              <w:ind w:left="427" w:right="164" w:firstLine="537"/>
              <w:rPr>
                <w:rFonts w:ascii="Arial" w:eastAsia="Arial" w:hAnsi="Arial" w:cs="Arial"/>
                <w:spacing w:val="23"/>
              </w:rPr>
            </w:pPr>
            <w:r w:rsidRPr="008C2431">
              <w:rPr>
                <w:rFonts w:ascii="Arial" w:eastAsia="Arial" w:hAnsi="Arial" w:cs="Arial"/>
              </w:rPr>
              <w:t>80,0 Tsd. €</w:t>
            </w:r>
            <w:r w:rsidRPr="008C2431">
              <w:rPr>
                <w:rFonts w:ascii="Arial" w:eastAsia="Arial" w:hAnsi="Arial" w:cs="Arial"/>
                <w:spacing w:val="23"/>
              </w:rPr>
              <w:t xml:space="preserve"> </w:t>
            </w:r>
          </w:p>
          <w:p w:rsidR="00756D72" w:rsidRPr="008C2431" w:rsidRDefault="00756D72" w:rsidP="00E2196E">
            <w:pPr>
              <w:pStyle w:val="TableParagraph"/>
              <w:spacing w:before="16" w:line="440" w:lineRule="atLeast"/>
              <w:ind w:left="154" w:right="164" w:firstLine="537"/>
              <w:rPr>
                <w:rFonts w:ascii="Arial" w:eastAsia="Arial" w:hAnsi="Arial" w:cs="Arial"/>
              </w:rPr>
            </w:pPr>
            <w:r w:rsidRPr="008C2431">
              <w:rPr>
                <w:rFonts w:ascii="Arial" w:eastAsia="Arial" w:hAnsi="Arial" w:cs="Arial"/>
                <w:spacing w:val="-1"/>
              </w:rPr>
              <w:t>Eigener</w:t>
            </w:r>
            <w:r w:rsidRPr="008C2431">
              <w:rPr>
                <w:rFonts w:ascii="Arial" w:eastAsia="Arial" w:hAnsi="Arial" w:cs="Arial"/>
              </w:rPr>
              <w:t xml:space="preserve"> </w:t>
            </w:r>
            <w:r w:rsidRPr="008C2431">
              <w:rPr>
                <w:rFonts w:ascii="Arial" w:eastAsia="Arial" w:hAnsi="Arial" w:cs="Arial"/>
                <w:spacing w:val="-1"/>
              </w:rPr>
              <w:t>Dienstwagen</w:t>
            </w:r>
          </w:p>
          <w:p w:rsidR="00756D72" w:rsidRPr="008C2431" w:rsidRDefault="00756D72" w:rsidP="00E2196E">
            <w:pPr>
              <w:pStyle w:val="TableParagraph"/>
              <w:ind w:left="714"/>
              <w:rPr>
                <w:rFonts w:ascii="Arial" w:eastAsia="Arial" w:hAnsi="Arial" w:cs="Arial"/>
              </w:rPr>
            </w:pPr>
            <w:r w:rsidRPr="008C2431">
              <w:rPr>
                <w:rFonts w:ascii="Arial" w:eastAsia="Arial" w:hAnsi="Arial" w:cs="Arial"/>
              </w:rPr>
              <w:t>(14</w:t>
            </w:r>
            <w:r w:rsidRPr="008C2431">
              <w:rPr>
                <w:rFonts w:ascii="Arial" w:eastAsia="Arial" w:hAnsi="Arial" w:cs="Arial"/>
                <w:spacing w:val="-1"/>
              </w:rPr>
              <w:t xml:space="preserve"> </w:t>
            </w:r>
            <w:r w:rsidRPr="008C2431">
              <w:rPr>
                <w:rFonts w:ascii="Arial" w:eastAsia="Arial" w:hAnsi="Arial" w:cs="Arial"/>
              </w:rPr>
              <w:t>Tsd.</w:t>
            </w:r>
            <w:r w:rsidRPr="008C2431">
              <w:rPr>
                <w:rFonts w:ascii="Arial" w:eastAsia="Arial" w:hAnsi="Arial" w:cs="Arial"/>
                <w:spacing w:val="-2"/>
              </w:rPr>
              <w:t xml:space="preserve"> </w:t>
            </w:r>
            <w:r w:rsidRPr="008C2431">
              <w:rPr>
                <w:rFonts w:ascii="Arial" w:eastAsia="Arial" w:hAnsi="Arial" w:cs="Arial"/>
              </w:rPr>
              <w:t>€)</w:t>
            </w:r>
          </w:p>
        </w:tc>
      </w:tr>
      <w:tr w:rsidR="00756D72" w:rsidRPr="008C2431" w:rsidTr="00756D72">
        <w:trPr>
          <w:trHeight w:hRule="exact" w:val="742"/>
        </w:trPr>
        <w:tc>
          <w:tcPr>
            <w:tcW w:w="3117" w:type="dxa"/>
            <w:gridSpan w:val="2"/>
          </w:tcPr>
          <w:p w:rsidR="00756D72" w:rsidRPr="008C2431" w:rsidRDefault="00756D72" w:rsidP="00E2196E">
            <w:pPr>
              <w:rPr>
                <w:rFonts w:cs="Arial"/>
                <w:szCs w:val="22"/>
              </w:rPr>
            </w:pPr>
          </w:p>
        </w:tc>
        <w:tc>
          <w:tcPr>
            <w:tcW w:w="2837" w:type="dxa"/>
          </w:tcPr>
          <w:p w:rsidR="00756D72" w:rsidRPr="008C2431" w:rsidRDefault="00756D72" w:rsidP="00E2196E">
            <w:pPr>
              <w:pStyle w:val="TableParagraph"/>
              <w:spacing w:before="81"/>
              <w:ind w:left="510"/>
              <w:rPr>
                <w:rFonts w:ascii="Arial" w:eastAsia="Arial" w:hAnsi="Arial" w:cs="Arial"/>
              </w:rPr>
            </w:pPr>
            <w:r w:rsidRPr="008C2431">
              <w:rPr>
                <w:rFonts w:ascii="Arial" w:hAnsi="Arial" w:cs="Arial"/>
                <w:b/>
                <w:spacing w:val="-1"/>
              </w:rPr>
              <w:t>Bürgeranliegen</w:t>
            </w:r>
          </w:p>
        </w:tc>
        <w:tc>
          <w:tcPr>
            <w:tcW w:w="3261" w:type="dxa"/>
          </w:tcPr>
          <w:p w:rsidR="00756D72" w:rsidRPr="008C2431" w:rsidRDefault="00756D72" w:rsidP="00E2196E">
            <w:pPr>
              <w:pStyle w:val="TableParagraph"/>
              <w:spacing w:before="81"/>
              <w:ind w:left="442" w:right="390" w:hanging="63"/>
              <w:rPr>
                <w:rFonts w:ascii="Arial" w:eastAsia="Arial" w:hAnsi="Arial" w:cs="Arial"/>
              </w:rPr>
            </w:pPr>
            <w:r w:rsidRPr="008C2431">
              <w:rPr>
                <w:rFonts w:ascii="Arial" w:hAnsi="Arial" w:cs="Arial"/>
                <w:b/>
                <w:spacing w:val="-1"/>
              </w:rPr>
              <w:t>Vertriebene</w:t>
            </w:r>
            <w:r w:rsidRPr="008C2431">
              <w:rPr>
                <w:rFonts w:ascii="Arial" w:hAnsi="Arial" w:cs="Arial"/>
                <w:b/>
              </w:rPr>
              <w:t xml:space="preserve"> und</w:t>
            </w:r>
            <w:r w:rsidRPr="008C2431">
              <w:rPr>
                <w:rFonts w:ascii="Arial" w:hAnsi="Arial" w:cs="Arial"/>
                <w:b/>
                <w:spacing w:val="28"/>
              </w:rPr>
              <w:t xml:space="preserve"> </w:t>
            </w:r>
            <w:r w:rsidRPr="008C2431">
              <w:rPr>
                <w:rFonts w:ascii="Arial" w:hAnsi="Arial" w:cs="Arial"/>
                <w:b/>
                <w:spacing w:val="-1"/>
              </w:rPr>
              <w:t>Spätaussiedler</w:t>
            </w:r>
          </w:p>
        </w:tc>
      </w:tr>
      <w:tr w:rsidR="00756D72" w:rsidRPr="008C2431" w:rsidTr="008C2431">
        <w:trPr>
          <w:trHeight w:hRule="exact" w:val="3800"/>
        </w:trPr>
        <w:tc>
          <w:tcPr>
            <w:tcW w:w="3117" w:type="dxa"/>
            <w:gridSpan w:val="2"/>
          </w:tcPr>
          <w:p w:rsidR="00756D72" w:rsidRPr="008C2431" w:rsidRDefault="00756D72" w:rsidP="00E2196E">
            <w:pPr>
              <w:pStyle w:val="TableParagraph"/>
              <w:spacing w:before="81"/>
              <w:ind w:left="108"/>
              <w:rPr>
                <w:rFonts w:ascii="Arial" w:eastAsia="Arial" w:hAnsi="Arial" w:cs="Arial"/>
              </w:rPr>
            </w:pPr>
            <w:r w:rsidRPr="008C2431">
              <w:rPr>
                <w:rFonts w:ascii="Arial" w:hAnsi="Arial" w:cs="Arial"/>
                <w:b/>
                <w:spacing w:val="-1"/>
              </w:rPr>
              <w:lastRenderedPageBreak/>
              <w:t>Personal:</w:t>
            </w:r>
          </w:p>
          <w:p w:rsidR="00756D72" w:rsidRPr="008C2431" w:rsidRDefault="00756D72" w:rsidP="00E2196E">
            <w:pPr>
              <w:pStyle w:val="TableParagraph"/>
              <w:spacing w:before="170"/>
              <w:ind w:left="108" w:right="178"/>
              <w:rPr>
                <w:rFonts w:ascii="Arial" w:hAnsi="Arial" w:cs="Arial"/>
                <w:b/>
                <w:spacing w:val="-1"/>
              </w:rPr>
            </w:pPr>
            <w:r w:rsidRPr="008C2431">
              <w:rPr>
                <w:rFonts w:ascii="Arial" w:hAnsi="Arial" w:cs="Arial"/>
                <w:b/>
                <w:spacing w:val="-1"/>
              </w:rPr>
              <w:t>Personalausgabemittel*</w:t>
            </w:r>
          </w:p>
          <w:p w:rsidR="00756D72" w:rsidRPr="008C2431" w:rsidRDefault="00756D72" w:rsidP="00E2196E">
            <w:pPr>
              <w:pStyle w:val="TableParagraph"/>
              <w:spacing w:before="170"/>
              <w:ind w:left="108" w:right="178"/>
              <w:rPr>
                <w:rFonts w:ascii="Arial" w:hAnsi="Arial" w:cs="Arial"/>
                <w:b/>
                <w:spacing w:val="-1"/>
              </w:rPr>
            </w:pPr>
            <w:r w:rsidRPr="008C2431">
              <w:rPr>
                <w:rFonts w:ascii="Arial" w:hAnsi="Arial" w:cs="Arial"/>
                <w:b/>
                <w:spacing w:val="-1"/>
              </w:rPr>
              <w:t>Sachmittel:</w:t>
            </w:r>
          </w:p>
          <w:p w:rsidR="00756D72" w:rsidRPr="008C2431" w:rsidRDefault="00756D72" w:rsidP="00B12E48">
            <w:pPr>
              <w:pStyle w:val="TableParagraph"/>
              <w:spacing w:before="240" w:line="276" w:lineRule="exact"/>
              <w:ind w:left="397" w:right="227"/>
              <w:rPr>
                <w:rFonts w:ascii="Arial" w:eastAsia="Arial" w:hAnsi="Arial" w:cs="Arial"/>
              </w:rPr>
            </w:pPr>
            <w:r w:rsidRPr="008C2431">
              <w:rPr>
                <w:rFonts w:ascii="Arial" w:hAnsi="Arial" w:cs="Arial"/>
                <w:spacing w:val="-1"/>
              </w:rPr>
              <w:t>Allg.</w:t>
            </w:r>
            <w:r w:rsidRPr="008C2431">
              <w:rPr>
                <w:rFonts w:ascii="Arial" w:hAnsi="Arial" w:cs="Arial"/>
              </w:rPr>
              <w:t xml:space="preserve"> </w:t>
            </w:r>
            <w:r w:rsidR="00B12E48">
              <w:rPr>
                <w:rFonts w:ascii="Arial" w:hAnsi="Arial" w:cs="Arial"/>
                <w:spacing w:val="-1"/>
              </w:rPr>
              <w:t>Verfügungs</w:t>
            </w:r>
            <w:r w:rsidRPr="008C2431">
              <w:rPr>
                <w:rFonts w:ascii="Arial" w:hAnsi="Arial" w:cs="Arial"/>
              </w:rPr>
              <w:t>mittel</w:t>
            </w:r>
            <w:r w:rsidRPr="008C2431">
              <w:rPr>
                <w:rFonts w:ascii="Arial" w:hAnsi="Arial" w:cs="Arial"/>
                <w:spacing w:val="-24"/>
              </w:rPr>
              <w:t xml:space="preserve"> </w:t>
            </w:r>
            <w:r w:rsidRPr="008C2431">
              <w:rPr>
                <w:rFonts w:ascii="Arial" w:hAnsi="Arial" w:cs="Arial"/>
                <w:spacing w:val="-1"/>
                <w:position w:val="8"/>
              </w:rPr>
              <w:t>**</w:t>
            </w:r>
          </w:p>
          <w:p w:rsidR="00756D72" w:rsidRPr="008C2431" w:rsidRDefault="00756D72" w:rsidP="00B12E48">
            <w:pPr>
              <w:pStyle w:val="TableParagraph"/>
              <w:spacing w:before="170"/>
              <w:ind w:left="397" w:right="176"/>
              <w:rPr>
                <w:rFonts w:ascii="Arial" w:hAnsi="Arial" w:cs="Arial"/>
                <w:spacing w:val="-1"/>
                <w:u w:val="single"/>
              </w:rPr>
            </w:pPr>
            <w:r w:rsidRPr="008C2431">
              <w:rPr>
                <w:rFonts w:ascii="Arial" w:hAnsi="Arial" w:cs="Arial"/>
                <w:u w:val="single"/>
              </w:rPr>
              <w:t>+</w:t>
            </w:r>
            <w:r w:rsidR="00B12E48">
              <w:rPr>
                <w:rFonts w:ascii="Arial" w:hAnsi="Arial" w:cs="Arial"/>
                <w:u w:val="single"/>
              </w:rPr>
              <w:t xml:space="preserve"> </w:t>
            </w:r>
            <w:r w:rsidRPr="008C2431">
              <w:rPr>
                <w:rFonts w:ascii="Arial" w:hAnsi="Arial" w:cs="Arial"/>
                <w:spacing w:val="-1"/>
                <w:u w:val="single"/>
              </w:rPr>
              <w:t>Entschädigung***</w:t>
            </w:r>
          </w:p>
          <w:p w:rsidR="00756D72" w:rsidRPr="008C2431" w:rsidRDefault="00756D72" w:rsidP="00B12E48">
            <w:pPr>
              <w:pStyle w:val="TableParagraph"/>
              <w:spacing w:before="81"/>
              <w:ind w:left="397"/>
              <w:rPr>
                <w:rFonts w:ascii="Arial" w:eastAsia="Arial" w:hAnsi="Arial" w:cs="Arial"/>
              </w:rPr>
            </w:pPr>
            <w:r w:rsidRPr="008C2431">
              <w:rPr>
                <w:rFonts w:ascii="Arial" w:hAnsi="Arial" w:cs="Arial"/>
              </w:rPr>
              <w:t xml:space="preserve">Sachmittel </w:t>
            </w:r>
            <w:r w:rsidRPr="008C2431">
              <w:rPr>
                <w:rFonts w:ascii="Arial" w:hAnsi="Arial" w:cs="Arial"/>
                <w:spacing w:val="-1"/>
              </w:rPr>
              <w:t>gesamt</w:t>
            </w:r>
          </w:p>
          <w:p w:rsidR="00756D72" w:rsidRPr="008C2431" w:rsidRDefault="00756D72" w:rsidP="00441A53">
            <w:pPr>
              <w:pStyle w:val="TableParagraph"/>
              <w:spacing w:before="240"/>
              <w:ind w:left="108" w:right="176"/>
              <w:rPr>
                <w:rFonts w:ascii="Arial" w:eastAsia="Arial" w:hAnsi="Arial" w:cs="Arial"/>
              </w:rPr>
            </w:pPr>
            <w:r w:rsidRPr="008C2431">
              <w:rPr>
                <w:rFonts w:ascii="Arial" w:hAnsi="Arial" w:cs="Arial"/>
                <w:b/>
              </w:rPr>
              <w:t>Sonstiges</w:t>
            </w:r>
          </w:p>
        </w:tc>
        <w:tc>
          <w:tcPr>
            <w:tcW w:w="2837" w:type="dxa"/>
          </w:tcPr>
          <w:p w:rsidR="00756D72" w:rsidRPr="008C2431" w:rsidRDefault="00756D72" w:rsidP="00511445">
            <w:pPr>
              <w:pStyle w:val="TableParagraph"/>
              <w:spacing w:before="81" w:line="360" w:lineRule="auto"/>
              <w:ind w:left="651" w:right="644" w:firstLine="273"/>
              <w:rPr>
                <w:rFonts w:ascii="Arial" w:eastAsia="Arial" w:hAnsi="Arial" w:cs="Arial"/>
              </w:rPr>
            </w:pPr>
            <w:r w:rsidRPr="008C2431">
              <w:rPr>
                <w:rFonts w:ascii="Arial" w:eastAsia="Arial" w:hAnsi="Arial" w:cs="Arial"/>
              </w:rPr>
              <w:t>5,5 Stellen rd. 194 Tsd. €</w:t>
            </w: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spacing w:before="175"/>
              <w:ind w:left="1069"/>
              <w:rPr>
                <w:rFonts w:ascii="Arial" w:eastAsia="Arial" w:hAnsi="Arial" w:cs="Arial"/>
              </w:rPr>
            </w:pPr>
            <w:r w:rsidRPr="008C2431">
              <w:rPr>
                <w:rFonts w:ascii="Arial" w:eastAsia="Arial" w:hAnsi="Arial" w:cs="Arial"/>
              </w:rPr>
              <w:t>44,0 Tsd. €</w:t>
            </w:r>
          </w:p>
          <w:p w:rsidR="00756D72" w:rsidRPr="008C2431" w:rsidRDefault="00756D72" w:rsidP="00B12E48">
            <w:pPr>
              <w:pStyle w:val="TableParagraph"/>
              <w:spacing w:before="120"/>
              <w:ind w:left="1072" w:hanging="221"/>
              <w:rPr>
                <w:rFonts w:ascii="Arial" w:eastAsia="Arial" w:hAnsi="Arial" w:cs="Arial"/>
                <w:u w:val="single"/>
              </w:rPr>
            </w:pPr>
            <w:r w:rsidRPr="008C2431">
              <w:rPr>
                <w:rFonts w:ascii="Arial" w:eastAsia="Arial" w:hAnsi="Arial" w:cs="Arial"/>
                <w:u w:val="single"/>
              </w:rPr>
              <w:t>+ 36,0 Tsd. €</w:t>
            </w:r>
          </w:p>
          <w:p w:rsidR="00756D72" w:rsidRPr="008C2431" w:rsidRDefault="00756D72" w:rsidP="00B12E48">
            <w:pPr>
              <w:pStyle w:val="TableParagraph"/>
              <w:spacing w:before="120"/>
              <w:ind w:left="1072" w:hanging="221"/>
              <w:rPr>
                <w:rFonts w:ascii="Arial" w:eastAsia="Arial" w:hAnsi="Arial" w:cs="Arial"/>
              </w:rPr>
            </w:pPr>
            <w:r w:rsidRPr="008C2431">
              <w:rPr>
                <w:rFonts w:ascii="Arial" w:eastAsia="Arial" w:hAnsi="Arial" w:cs="Arial"/>
              </w:rPr>
              <w:t>80,0 Tsd. €</w:t>
            </w:r>
          </w:p>
          <w:p w:rsidR="00756D72" w:rsidRPr="008C2431" w:rsidRDefault="00756D72" w:rsidP="00E2196E">
            <w:pPr>
              <w:pStyle w:val="TableParagraph"/>
              <w:spacing w:before="175"/>
              <w:jc w:val="center"/>
              <w:rPr>
                <w:rFonts w:ascii="Arial" w:eastAsia="Arial" w:hAnsi="Arial" w:cs="Arial"/>
              </w:rPr>
            </w:pPr>
            <w:r w:rsidRPr="008C2431">
              <w:rPr>
                <w:rFonts w:ascii="Arial" w:hAnsi="Arial" w:cs="Arial"/>
                <w:spacing w:val="-1"/>
              </w:rPr>
              <w:t>Eigener</w:t>
            </w:r>
            <w:r w:rsidRPr="008C2431">
              <w:rPr>
                <w:rFonts w:ascii="Arial" w:hAnsi="Arial" w:cs="Arial"/>
              </w:rPr>
              <w:t xml:space="preserve"> </w:t>
            </w:r>
            <w:r w:rsidRPr="008C2431">
              <w:rPr>
                <w:rFonts w:ascii="Arial" w:hAnsi="Arial" w:cs="Arial"/>
                <w:spacing w:val="-1"/>
              </w:rPr>
              <w:t>Dienstwagen</w:t>
            </w:r>
            <w:r w:rsidRPr="008C2431">
              <w:rPr>
                <w:rFonts w:ascii="Arial" w:hAnsi="Arial" w:cs="Arial"/>
                <w:spacing w:val="23"/>
              </w:rPr>
              <w:t xml:space="preserve"> </w:t>
            </w:r>
            <w:r w:rsidRPr="008C2431">
              <w:rPr>
                <w:rFonts w:ascii="Arial" w:hAnsi="Arial" w:cs="Arial"/>
                <w:spacing w:val="-1"/>
              </w:rPr>
              <w:t>geplant;</w:t>
            </w:r>
            <w:r w:rsidRPr="008C2431">
              <w:rPr>
                <w:rFonts w:ascii="Arial" w:hAnsi="Arial" w:cs="Arial"/>
                <w:spacing w:val="-2"/>
              </w:rPr>
              <w:t xml:space="preserve"> </w:t>
            </w:r>
            <w:r w:rsidRPr="008C2431">
              <w:rPr>
                <w:rFonts w:ascii="Arial" w:hAnsi="Arial" w:cs="Arial"/>
                <w:spacing w:val="-1"/>
              </w:rPr>
              <w:t>derzeit</w:t>
            </w:r>
            <w:r w:rsidRPr="008C2431">
              <w:rPr>
                <w:rFonts w:ascii="Arial" w:hAnsi="Arial" w:cs="Arial"/>
              </w:rPr>
              <w:t xml:space="preserve"> </w:t>
            </w:r>
            <w:r w:rsidRPr="008C2431">
              <w:rPr>
                <w:rFonts w:ascii="Arial" w:hAnsi="Arial" w:cs="Arial"/>
                <w:spacing w:val="-1"/>
              </w:rPr>
              <w:t>Zugriff</w:t>
            </w:r>
            <w:r w:rsidRPr="008C2431">
              <w:rPr>
                <w:rFonts w:ascii="Arial" w:hAnsi="Arial" w:cs="Arial"/>
                <w:spacing w:val="27"/>
              </w:rPr>
              <w:t xml:space="preserve"> </w:t>
            </w:r>
            <w:r w:rsidRPr="008C2431">
              <w:rPr>
                <w:rFonts w:ascii="Arial" w:hAnsi="Arial" w:cs="Arial"/>
                <w:spacing w:val="-1"/>
              </w:rPr>
              <w:t>auf</w:t>
            </w:r>
            <w:r w:rsidRPr="008C2431">
              <w:rPr>
                <w:rFonts w:ascii="Arial" w:hAnsi="Arial" w:cs="Arial"/>
                <w:spacing w:val="3"/>
              </w:rPr>
              <w:t xml:space="preserve"> </w:t>
            </w:r>
            <w:r w:rsidRPr="008C2431">
              <w:rPr>
                <w:rFonts w:ascii="Arial" w:hAnsi="Arial" w:cs="Arial"/>
                <w:spacing w:val="-1"/>
              </w:rPr>
              <w:t>Fahrbereitschaft</w:t>
            </w:r>
            <w:r w:rsidRPr="008C2431">
              <w:rPr>
                <w:rFonts w:ascii="Arial" w:hAnsi="Arial" w:cs="Arial"/>
                <w:spacing w:val="2"/>
              </w:rPr>
              <w:t xml:space="preserve"> </w:t>
            </w:r>
            <w:r w:rsidRPr="008C2431">
              <w:rPr>
                <w:rFonts w:ascii="Arial" w:hAnsi="Arial" w:cs="Arial"/>
                <w:spacing w:val="-1"/>
              </w:rPr>
              <w:t>der</w:t>
            </w:r>
            <w:r w:rsidRPr="008C2431">
              <w:rPr>
                <w:rFonts w:ascii="Arial" w:hAnsi="Arial" w:cs="Arial"/>
                <w:spacing w:val="23"/>
              </w:rPr>
              <w:t xml:space="preserve"> </w:t>
            </w:r>
            <w:r w:rsidRPr="008C2431">
              <w:rPr>
                <w:rFonts w:ascii="Arial" w:hAnsi="Arial" w:cs="Arial"/>
              </w:rPr>
              <w:t>StK</w:t>
            </w:r>
          </w:p>
        </w:tc>
        <w:tc>
          <w:tcPr>
            <w:tcW w:w="3261" w:type="dxa"/>
          </w:tcPr>
          <w:p w:rsidR="00756D72" w:rsidRPr="008C2431" w:rsidRDefault="00756D72" w:rsidP="00511445">
            <w:pPr>
              <w:pStyle w:val="TableParagraph"/>
              <w:spacing w:before="81" w:line="276" w:lineRule="auto"/>
              <w:ind w:right="5"/>
              <w:jc w:val="center"/>
              <w:rPr>
                <w:rFonts w:ascii="Arial" w:eastAsia="Arial" w:hAnsi="Arial" w:cs="Arial"/>
              </w:rPr>
            </w:pPr>
            <w:r w:rsidRPr="008C2431">
              <w:rPr>
                <w:rFonts w:ascii="Arial" w:hAnsi="Arial" w:cs="Arial"/>
              </w:rPr>
              <w:t xml:space="preserve">4 </w:t>
            </w:r>
            <w:r w:rsidRPr="008C2431">
              <w:rPr>
                <w:rFonts w:ascii="Arial" w:hAnsi="Arial" w:cs="Arial"/>
                <w:spacing w:val="-1"/>
              </w:rPr>
              <w:t>Stellen</w:t>
            </w:r>
          </w:p>
          <w:p w:rsidR="00756D72" w:rsidRPr="008C2431" w:rsidRDefault="00756D72" w:rsidP="00511445">
            <w:pPr>
              <w:pStyle w:val="TableParagraph"/>
              <w:spacing w:before="81" w:line="276" w:lineRule="auto"/>
              <w:ind w:left="651" w:right="644" w:firstLine="273"/>
              <w:rPr>
                <w:rFonts w:ascii="Arial" w:eastAsia="Arial" w:hAnsi="Arial" w:cs="Arial"/>
              </w:rPr>
            </w:pPr>
            <w:r w:rsidRPr="008C2431">
              <w:rPr>
                <w:rFonts w:ascii="Arial" w:eastAsia="Arial" w:hAnsi="Arial" w:cs="Arial"/>
              </w:rPr>
              <w:t>rd. 139,5 Tsd. €</w:t>
            </w: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spacing w:before="175"/>
              <w:ind w:left="1069"/>
              <w:rPr>
                <w:rFonts w:ascii="Arial" w:eastAsia="Arial" w:hAnsi="Arial" w:cs="Arial"/>
              </w:rPr>
            </w:pPr>
            <w:r w:rsidRPr="008C2431">
              <w:rPr>
                <w:rFonts w:ascii="Arial" w:eastAsia="Arial" w:hAnsi="Arial" w:cs="Arial"/>
              </w:rPr>
              <w:t>44,0 Tsd. €</w:t>
            </w:r>
          </w:p>
          <w:p w:rsidR="00756D72" w:rsidRPr="008C2431" w:rsidRDefault="00756D72" w:rsidP="00B12E48">
            <w:pPr>
              <w:pStyle w:val="TableParagraph"/>
              <w:spacing w:before="120"/>
              <w:ind w:right="6"/>
              <w:jc w:val="center"/>
              <w:rPr>
                <w:rFonts w:ascii="Arial" w:eastAsia="Arial" w:hAnsi="Arial" w:cs="Arial"/>
                <w:u w:val="single"/>
              </w:rPr>
            </w:pPr>
            <w:r w:rsidRPr="008C2431">
              <w:rPr>
                <w:rFonts w:ascii="Arial" w:eastAsia="Arial" w:hAnsi="Arial" w:cs="Arial"/>
                <w:u w:val="single"/>
              </w:rPr>
              <w:t>+ 36,0 Tsd. €</w:t>
            </w:r>
          </w:p>
          <w:p w:rsidR="00756D72" w:rsidRPr="008C2431" w:rsidRDefault="00756D72" w:rsidP="00B12E48">
            <w:pPr>
              <w:pStyle w:val="TableParagraph"/>
              <w:spacing w:before="120"/>
              <w:ind w:right="6"/>
              <w:jc w:val="center"/>
              <w:rPr>
                <w:rFonts w:ascii="Arial" w:eastAsia="Arial" w:hAnsi="Arial" w:cs="Arial"/>
              </w:rPr>
            </w:pPr>
            <w:r w:rsidRPr="008C2431">
              <w:rPr>
                <w:rFonts w:ascii="Arial" w:eastAsia="Arial" w:hAnsi="Arial" w:cs="Arial"/>
              </w:rPr>
              <w:t>80 Tsd. €</w:t>
            </w:r>
          </w:p>
          <w:p w:rsidR="00756D72" w:rsidRPr="008C2431" w:rsidRDefault="00756D72" w:rsidP="00E2196E">
            <w:pPr>
              <w:pStyle w:val="TableParagraph"/>
              <w:spacing w:before="175"/>
              <w:jc w:val="center"/>
              <w:rPr>
                <w:rFonts w:ascii="Arial" w:hAnsi="Arial" w:cs="Arial"/>
                <w:spacing w:val="-1"/>
              </w:rPr>
            </w:pPr>
          </w:p>
          <w:p w:rsidR="00756D72" w:rsidRPr="008C2431" w:rsidRDefault="00756D72" w:rsidP="00B12E48">
            <w:pPr>
              <w:pStyle w:val="TableParagraph"/>
              <w:jc w:val="center"/>
              <w:rPr>
                <w:rFonts w:ascii="Arial" w:eastAsia="Arial" w:hAnsi="Arial" w:cs="Arial"/>
              </w:rPr>
            </w:pPr>
            <w:r w:rsidRPr="008C2431">
              <w:rPr>
                <w:rFonts w:ascii="Arial" w:hAnsi="Arial" w:cs="Arial"/>
                <w:spacing w:val="-1"/>
              </w:rPr>
              <w:t>Eigener Dienstwagen</w:t>
            </w:r>
            <w:r w:rsidRPr="008C2431">
              <w:rPr>
                <w:rFonts w:ascii="Arial" w:hAnsi="Arial" w:cs="Arial"/>
                <w:spacing w:val="-1"/>
              </w:rPr>
              <w:br/>
              <w:t>(14 Tsd. €)</w:t>
            </w:r>
          </w:p>
        </w:tc>
      </w:tr>
      <w:tr w:rsidR="00756D72" w:rsidRPr="008C2431" w:rsidTr="00756D72">
        <w:trPr>
          <w:trHeight w:hRule="exact" w:val="568"/>
        </w:trPr>
        <w:tc>
          <w:tcPr>
            <w:tcW w:w="3117" w:type="dxa"/>
            <w:gridSpan w:val="2"/>
          </w:tcPr>
          <w:p w:rsidR="00756D72" w:rsidRPr="008C2431" w:rsidRDefault="00756D72" w:rsidP="00E2196E">
            <w:pPr>
              <w:pStyle w:val="TableParagraph"/>
              <w:spacing w:before="81"/>
              <w:ind w:left="108"/>
              <w:rPr>
                <w:rFonts w:ascii="Arial" w:hAnsi="Arial" w:cs="Arial"/>
                <w:b/>
                <w:spacing w:val="-1"/>
              </w:rPr>
            </w:pPr>
          </w:p>
        </w:tc>
        <w:tc>
          <w:tcPr>
            <w:tcW w:w="2837" w:type="dxa"/>
          </w:tcPr>
          <w:p w:rsidR="00756D72" w:rsidRPr="008C2431" w:rsidRDefault="00756D72" w:rsidP="00E2196E">
            <w:pPr>
              <w:pStyle w:val="TableParagraph"/>
              <w:spacing w:before="81" w:line="388" w:lineRule="auto"/>
              <w:ind w:left="651" w:right="644" w:firstLine="273"/>
              <w:rPr>
                <w:rFonts w:ascii="Arial" w:eastAsia="Arial" w:hAnsi="Arial" w:cs="Arial"/>
              </w:rPr>
            </w:pPr>
            <w:r w:rsidRPr="008C2431">
              <w:rPr>
                <w:rFonts w:ascii="Arial" w:hAnsi="Arial" w:cs="Arial"/>
                <w:b/>
              </w:rPr>
              <w:t>Integration</w:t>
            </w:r>
          </w:p>
        </w:tc>
        <w:tc>
          <w:tcPr>
            <w:tcW w:w="3261" w:type="dxa"/>
          </w:tcPr>
          <w:p w:rsidR="00756D72" w:rsidRPr="008C2431" w:rsidRDefault="00756D72" w:rsidP="00E2196E">
            <w:pPr>
              <w:pStyle w:val="TableParagraph"/>
              <w:spacing w:before="81"/>
              <w:ind w:right="5"/>
              <w:jc w:val="center"/>
              <w:rPr>
                <w:rFonts w:ascii="Arial" w:hAnsi="Arial" w:cs="Arial"/>
              </w:rPr>
            </w:pPr>
            <w:r w:rsidRPr="008C2431">
              <w:rPr>
                <w:rFonts w:ascii="Arial" w:hAnsi="Arial" w:cs="Arial"/>
                <w:b/>
                <w:spacing w:val="-1"/>
              </w:rPr>
              <w:t>Bürokratieabbau</w:t>
            </w:r>
          </w:p>
        </w:tc>
      </w:tr>
      <w:tr w:rsidR="00756D72" w:rsidRPr="008C2431" w:rsidTr="008C2431">
        <w:trPr>
          <w:trHeight w:hRule="exact" w:val="3846"/>
        </w:trPr>
        <w:tc>
          <w:tcPr>
            <w:tcW w:w="3117" w:type="dxa"/>
            <w:gridSpan w:val="2"/>
          </w:tcPr>
          <w:p w:rsidR="00756D72" w:rsidRPr="008C2431" w:rsidRDefault="00756D72" w:rsidP="00E2196E">
            <w:pPr>
              <w:pStyle w:val="TableParagraph"/>
              <w:spacing w:before="81"/>
              <w:ind w:left="108"/>
              <w:rPr>
                <w:rFonts w:ascii="Arial" w:eastAsia="Arial" w:hAnsi="Arial" w:cs="Arial"/>
              </w:rPr>
            </w:pPr>
            <w:r w:rsidRPr="008C2431">
              <w:rPr>
                <w:rFonts w:ascii="Arial" w:hAnsi="Arial" w:cs="Arial"/>
                <w:b/>
                <w:spacing w:val="-1"/>
              </w:rPr>
              <w:t>Personal:</w:t>
            </w:r>
          </w:p>
          <w:p w:rsidR="00756D72" w:rsidRPr="008C2431" w:rsidRDefault="00756D72" w:rsidP="00E2196E">
            <w:pPr>
              <w:pStyle w:val="TableParagraph"/>
              <w:spacing w:before="170"/>
              <w:ind w:left="108" w:right="178"/>
              <w:rPr>
                <w:rFonts w:ascii="Arial" w:hAnsi="Arial" w:cs="Arial"/>
                <w:b/>
                <w:spacing w:val="-1"/>
              </w:rPr>
            </w:pPr>
            <w:r w:rsidRPr="008C2431">
              <w:rPr>
                <w:rFonts w:ascii="Arial" w:hAnsi="Arial" w:cs="Arial"/>
                <w:b/>
                <w:spacing w:val="-1"/>
              </w:rPr>
              <w:t>Personalausgabemittel*</w:t>
            </w:r>
          </w:p>
          <w:p w:rsidR="00756D72" w:rsidRPr="008C2431" w:rsidRDefault="00756D72" w:rsidP="00E2196E">
            <w:pPr>
              <w:pStyle w:val="TableParagraph"/>
              <w:spacing w:before="170"/>
              <w:ind w:left="108" w:right="178"/>
              <w:rPr>
                <w:rFonts w:ascii="Arial" w:hAnsi="Arial" w:cs="Arial"/>
                <w:b/>
                <w:spacing w:val="-1"/>
              </w:rPr>
            </w:pPr>
            <w:r w:rsidRPr="008C2431">
              <w:rPr>
                <w:rFonts w:ascii="Arial" w:hAnsi="Arial" w:cs="Arial"/>
                <w:b/>
                <w:spacing w:val="-1"/>
              </w:rPr>
              <w:t>Sachmittel:</w:t>
            </w:r>
          </w:p>
          <w:p w:rsidR="00756D72" w:rsidRPr="008C2431" w:rsidRDefault="00756D72" w:rsidP="00441A53">
            <w:pPr>
              <w:pStyle w:val="TableParagraph"/>
              <w:spacing w:before="175" w:line="276" w:lineRule="exact"/>
              <w:ind w:left="482" w:right="227"/>
              <w:rPr>
                <w:rFonts w:ascii="Arial" w:eastAsia="Arial" w:hAnsi="Arial" w:cs="Arial"/>
              </w:rPr>
            </w:pPr>
            <w:r w:rsidRPr="008C2431">
              <w:rPr>
                <w:rFonts w:ascii="Arial" w:hAnsi="Arial" w:cs="Arial"/>
                <w:spacing w:val="-1"/>
              </w:rPr>
              <w:t>Allg.</w:t>
            </w:r>
            <w:r w:rsidRPr="008C2431">
              <w:rPr>
                <w:rFonts w:ascii="Arial" w:hAnsi="Arial" w:cs="Arial"/>
              </w:rPr>
              <w:t xml:space="preserve"> </w:t>
            </w:r>
            <w:r w:rsidR="00F75BBC">
              <w:rPr>
                <w:rFonts w:ascii="Arial" w:hAnsi="Arial" w:cs="Arial"/>
                <w:spacing w:val="-1"/>
              </w:rPr>
              <w:t>Verfügungs</w:t>
            </w:r>
            <w:r w:rsidRPr="008C2431">
              <w:rPr>
                <w:rFonts w:ascii="Arial" w:hAnsi="Arial" w:cs="Arial"/>
              </w:rPr>
              <w:t>mittel</w:t>
            </w:r>
            <w:r w:rsidRPr="008C2431">
              <w:rPr>
                <w:rFonts w:ascii="Arial" w:hAnsi="Arial" w:cs="Arial"/>
                <w:spacing w:val="-24"/>
              </w:rPr>
              <w:t xml:space="preserve"> </w:t>
            </w:r>
            <w:r w:rsidRPr="008C2431">
              <w:rPr>
                <w:rFonts w:ascii="Arial" w:hAnsi="Arial" w:cs="Arial"/>
                <w:spacing w:val="-1"/>
                <w:position w:val="8"/>
              </w:rPr>
              <w:t>**</w:t>
            </w:r>
          </w:p>
          <w:p w:rsidR="00756D72" w:rsidRPr="008C2431" w:rsidRDefault="00756D72" w:rsidP="00B360DF">
            <w:pPr>
              <w:pStyle w:val="TableParagraph"/>
              <w:spacing w:before="170"/>
              <w:ind w:left="397" w:right="176"/>
              <w:rPr>
                <w:rFonts w:ascii="Arial" w:hAnsi="Arial" w:cs="Arial"/>
                <w:spacing w:val="-1"/>
                <w:u w:val="single"/>
              </w:rPr>
            </w:pPr>
            <w:r w:rsidRPr="008C2431">
              <w:rPr>
                <w:rFonts w:ascii="Arial" w:hAnsi="Arial" w:cs="Arial"/>
                <w:u w:val="single"/>
              </w:rPr>
              <w:t>+</w:t>
            </w:r>
            <w:r w:rsidR="00B360DF">
              <w:rPr>
                <w:rFonts w:ascii="Arial" w:hAnsi="Arial" w:cs="Arial"/>
                <w:u w:val="single"/>
              </w:rPr>
              <w:t xml:space="preserve"> </w:t>
            </w:r>
            <w:r w:rsidRPr="008C2431">
              <w:rPr>
                <w:rFonts w:ascii="Arial" w:hAnsi="Arial" w:cs="Arial"/>
                <w:spacing w:val="-1"/>
                <w:u w:val="single"/>
              </w:rPr>
              <w:t>Entschädigung***</w:t>
            </w:r>
          </w:p>
          <w:p w:rsidR="00756D72" w:rsidRPr="008C2431" w:rsidRDefault="00756D72" w:rsidP="00E2196E">
            <w:pPr>
              <w:pStyle w:val="TableParagraph"/>
              <w:spacing w:before="81"/>
              <w:ind w:left="480"/>
              <w:rPr>
                <w:rFonts w:ascii="Arial" w:eastAsia="Arial" w:hAnsi="Arial" w:cs="Arial"/>
              </w:rPr>
            </w:pPr>
            <w:r w:rsidRPr="008C2431">
              <w:rPr>
                <w:rFonts w:ascii="Arial" w:hAnsi="Arial" w:cs="Arial"/>
              </w:rPr>
              <w:t xml:space="preserve">Sachmittel </w:t>
            </w:r>
            <w:r w:rsidRPr="008C2431">
              <w:rPr>
                <w:rFonts w:ascii="Arial" w:hAnsi="Arial" w:cs="Arial"/>
                <w:spacing w:val="-1"/>
              </w:rPr>
              <w:t>gesamt</w:t>
            </w:r>
          </w:p>
          <w:p w:rsidR="00756D72" w:rsidRPr="008C2431" w:rsidRDefault="00756D72" w:rsidP="00441A53">
            <w:pPr>
              <w:pStyle w:val="TableParagraph"/>
              <w:spacing w:before="240"/>
              <w:ind w:left="108"/>
              <w:rPr>
                <w:rFonts w:ascii="Arial" w:hAnsi="Arial" w:cs="Arial"/>
                <w:b/>
                <w:spacing w:val="-1"/>
              </w:rPr>
            </w:pPr>
            <w:r w:rsidRPr="008C2431">
              <w:rPr>
                <w:rFonts w:ascii="Arial" w:hAnsi="Arial" w:cs="Arial"/>
                <w:b/>
              </w:rPr>
              <w:t>Sonstiges</w:t>
            </w:r>
          </w:p>
        </w:tc>
        <w:tc>
          <w:tcPr>
            <w:tcW w:w="2837" w:type="dxa"/>
          </w:tcPr>
          <w:p w:rsidR="00756D72" w:rsidRPr="008C2431" w:rsidRDefault="00756D72" w:rsidP="00E2196E">
            <w:pPr>
              <w:pStyle w:val="TableParagraph"/>
              <w:spacing w:before="81" w:line="388" w:lineRule="auto"/>
              <w:ind w:left="651" w:right="644" w:firstLine="273"/>
              <w:rPr>
                <w:rFonts w:ascii="Arial" w:eastAsia="Arial" w:hAnsi="Arial" w:cs="Arial"/>
              </w:rPr>
            </w:pPr>
            <w:r w:rsidRPr="008C2431">
              <w:rPr>
                <w:rFonts w:ascii="Arial" w:eastAsia="Arial" w:hAnsi="Arial" w:cs="Arial"/>
              </w:rPr>
              <w:t>6,5 Stellen rd. 500 Tsd. €</w:t>
            </w: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spacing w:before="175"/>
              <w:ind w:left="1069"/>
              <w:rPr>
                <w:rFonts w:ascii="Arial" w:eastAsia="Arial" w:hAnsi="Arial" w:cs="Arial"/>
              </w:rPr>
            </w:pPr>
            <w:r w:rsidRPr="008C2431">
              <w:rPr>
                <w:rFonts w:ascii="Arial" w:eastAsia="Arial" w:hAnsi="Arial" w:cs="Arial"/>
              </w:rPr>
              <w:t>84,0 Tsd. €</w:t>
            </w:r>
          </w:p>
          <w:p w:rsidR="00756D72" w:rsidRPr="008C2431" w:rsidRDefault="00756D72" w:rsidP="00E2196E">
            <w:pPr>
              <w:pStyle w:val="TableParagraph"/>
              <w:spacing w:before="175"/>
              <w:ind w:left="1069" w:hanging="219"/>
              <w:rPr>
                <w:rFonts w:ascii="Arial" w:eastAsia="Arial" w:hAnsi="Arial" w:cs="Arial"/>
                <w:u w:val="single"/>
              </w:rPr>
            </w:pPr>
            <w:r w:rsidRPr="008C2431">
              <w:rPr>
                <w:rFonts w:ascii="Arial" w:eastAsia="Arial" w:hAnsi="Arial" w:cs="Arial"/>
                <w:u w:val="single"/>
              </w:rPr>
              <w:t>+ 36,0 Tsd. €</w:t>
            </w:r>
          </w:p>
          <w:p w:rsidR="00756D72" w:rsidRPr="008C2431" w:rsidRDefault="00756D72" w:rsidP="00E2196E">
            <w:pPr>
              <w:pStyle w:val="TableParagraph"/>
              <w:spacing w:before="175"/>
              <w:ind w:left="1069" w:hanging="219"/>
              <w:rPr>
                <w:rFonts w:ascii="Arial" w:eastAsia="Arial" w:hAnsi="Arial" w:cs="Arial"/>
              </w:rPr>
            </w:pPr>
            <w:r w:rsidRPr="008C2431">
              <w:rPr>
                <w:rFonts w:ascii="Arial" w:eastAsia="Arial" w:hAnsi="Arial" w:cs="Arial"/>
              </w:rPr>
              <w:t>120,0 Tsd. €</w:t>
            </w:r>
          </w:p>
          <w:p w:rsidR="00756D72" w:rsidRPr="008C2431" w:rsidRDefault="00756D72" w:rsidP="00E2196E">
            <w:pPr>
              <w:pStyle w:val="TableParagraph"/>
              <w:spacing w:before="175"/>
              <w:jc w:val="center"/>
              <w:rPr>
                <w:rFonts w:ascii="Arial" w:eastAsia="Arial" w:hAnsi="Arial" w:cs="Arial"/>
              </w:rPr>
            </w:pPr>
            <w:r w:rsidRPr="008C2431">
              <w:rPr>
                <w:rFonts w:ascii="Arial" w:hAnsi="Arial" w:cs="Arial"/>
                <w:spacing w:val="-1"/>
              </w:rPr>
              <w:t>Kein persönlicher Fahrer; Zugriff auf Fahrbereit</w:t>
            </w:r>
            <w:r w:rsidRPr="008C2431">
              <w:rPr>
                <w:rFonts w:ascii="Arial" w:hAnsi="Arial" w:cs="Arial"/>
                <w:spacing w:val="-1"/>
              </w:rPr>
              <w:softHyphen/>
              <w:t>schaft des StMI</w:t>
            </w:r>
          </w:p>
        </w:tc>
        <w:tc>
          <w:tcPr>
            <w:tcW w:w="3261" w:type="dxa"/>
          </w:tcPr>
          <w:p w:rsidR="00756D72" w:rsidRPr="008C2431" w:rsidRDefault="00756D72" w:rsidP="00E2196E">
            <w:pPr>
              <w:pStyle w:val="TableParagraph"/>
              <w:spacing w:before="81"/>
              <w:ind w:right="5"/>
              <w:jc w:val="center"/>
              <w:rPr>
                <w:rFonts w:ascii="Arial" w:eastAsia="Arial" w:hAnsi="Arial" w:cs="Arial"/>
              </w:rPr>
            </w:pPr>
            <w:r w:rsidRPr="008C2431">
              <w:rPr>
                <w:rFonts w:ascii="Arial" w:hAnsi="Arial" w:cs="Arial"/>
              </w:rPr>
              <w:t xml:space="preserve">6,5 </w:t>
            </w:r>
            <w:r w:rsidRPr="008C2431">
              <w:rPr>
                <w:rFonts w:ascii="Arial" w:hAnsi="Arial" w:cs="Arial"/>
                <w:spacing w:val="-1"/>
              </w:rPr>
              <w:t>Stellen</w:t>
            </w:r>
          </w:p>
          <w:p w:rsidR="00756D72" w:rsidRPr="008C2431" w:rsidRDefault="00756D72" w:rsidP="00E2196E">
            <w:pPr>
              <w:pStyle w:val="TableParagraph"/>
              <w:spacing w:before="81" w:line="388" w:lineRule="auto"/>
              <w:ind w:left="651" w:right="644" w:firstLine="273"/>
              <w:rPr>
                <w:rFonts w:ascii="Arial" w:eastAsia="Arial" w:hAnsi="Arial" w:cs="Arial"/>
              </w:rPr>
            </w:pPr>
            <w:r w:rsidRPr="008C2431">
              <w:rPr>
                <w:rFonts w:ascii="Arial" w:eastAsia="Arial" w:hAnsi="Arial" w:cs="Arial"/>
              </w:rPr>
              <w:t>rd.</w:t>
            </w:r>
            <w:r w:rsidRPr="008C2431">
              <w:rPr>
                <w:rFonts w:ascii="Arial" w:eastAsia="Arial" w:hAnsi="Arial" w:cs="Arial"/>
                <w:spacing w:val="1"/>
              </w:rPr>
              <w:t xml:space="preserve"> </w:t>
            </w:r>
            <w:r w:rsidRPr="008C2431">
              <w:rPr>
                <w:rFonts w:ascii="Arial" w:eastAsia="Arial" w:hAnsi="Arial" w:cs="Arial"/>
                <w:spacing w:val="-1"/>
              </w:rPr>
              <w:t>489,7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rPr>
                <w:rFonts w:ascii="Arial" w:eastAsia="Arial" w:hAnsi="Arial" w:cs="Arial"/>
              </w:rPr>
            </w:pPr>
          </w:p>
          <w:p w:rsidR="00756D72" w:rsidRPr="008C2431" w:rsidRDefault="00756D72" w:rsidP="00E2196E">
            <w:pPr>
              <w:pStyle w:val="TableParagraph"/>
              <w:spacing w:before="175"/>
              <w:ind w:left="1069"/>
              <w:rPr>
                <w:rFonts w:ascii="Arial" w:eastAsia="Arial" w:hAnsi="Arial" w:cs="Arial"/>
              </w:rPr>
            </w:pPr>
            <w:r w:rsidRPr="008C2431">
              <w:rPr>
                <w:rFonts w:ascii="Arial" w:eastAsia="Arial" w:hAnsi="Arial" w:cs="Arial"/>
              </w:rPr>
              <w:t>84,0 Tsd. €</w:t>
            </w:r>
          </w:p>
          <w:p w:rsidR="00756D72" w:rsidRPr="008C2431" w:rsidRDefault="00756D72" w:rsidP="00E2196E">
            <w:pPr>
              <w:pStyle w:val="TableParagraph"/>
              <w:spacing w:before="170"/>
              <w:ind w:right="8"/>
              <w:jc w:val="center"/>
              <w:rPr>
                <w:rFonts w:ascii="Arial" w:eastAsia="Arial" w:hAnsi="Arial" w:cs="Arial"/>
                <w:u w:val="single"/>
              </w:rPr>
            </w:pPr>
            <w:r w:rsidRPr="008C2431">
              <w:rPr>
                <w:rFonts w:ascii="Arial" w:eastAsia="Arial" w:hAnsi="Arial" w:cs="Arial"/>
                <w:u w:val="single"/>
              </w:rPr>
              <w:t>+ 36,0 Tsd. €</w:t>
            </w:r>
          </w:p>
          <w:p w:rsidR="00756D72" w:rsidRPr="008C2431" w:rsidRDefault="00756D72" w:rsidP="00E2196E">
            <w:pPr>
              <w:pStyle w:val="TableParagraph"/>
              <w:spacing w:before="170"/>
              <w:ind w:right="8"/>
              <w:jc w:val="center"/>
              <w:rPr>
                <w:rFonts w:ascii="Arial" w:eastAsia="Arial" w:hAnsi="Arial" w:cs="Arial"/>
              </w:rPr>
            </w:pPr>
            <w:r w:rsidRPr="008C2431">
              <w:rPr>
                <w:rFonts w:ascii="Arial" w:eastAsia="Arial" w:hAnsi="Arial" w:cs="Arial"/>
              </w:rPr>
              <w:t>120,0 Tsd. €</w:t>
            </w:r>
          </w:p>
          <w:p w:rsidR="00756D72" w:rsidRPr="008C2431" w:rsidRDefault="00756D72" w:rsidP="00E2196E">
            <w:pPr>
              <w:pStyle w:val="TableParagraph"/>
              <w:spacing w:before="81"/>
              <w:ind w:right="5"/>
              <w:jc w:val="center"/>
              <w:rPr>
                <w:rFonts w:ascii="Arial" w:hAnsi="Arial" w:cs="Arial"/>
                <w:spacing w:val="-1"/>
              </w:rPr>
            </w:pPr>
          </w:p>
          <w:p w:rsidR="00756D72" w:rsidRPr="008C2431" w:rsidRDefault="00756D72" w:rsidP="00E2196E">
            <w:pPr>
              <w:pStyle w:val="TableParagraph"/>
              <w:spacing w:before="81"/>
              <w:ind w:right="5"/>
              <w:jc w:val="center"/>
              <w:rPr>
                <w:rFonts w:ascii="Arial" w:hAnsi="Arial" w:cs="Arial"/>
                <w:b/>
                <w:spacing w:val="-1"/>
              </w:rPr>
            </w:pPr>
            <w:r w:rsidRPr="008C2431">
              <w:rPr>
                <w:rFonts w:ascii="Arial" w:hAnsi="Arial" w:cs="Arial"/>
                <w:spacing w:val="-1"/>
              </w:rPr>
              <w:t>Eigener Dienstwagen</w:t>
            </w:r>
            <w:r w:rsidRPr="008C2431">
              <w:rPr>
                <w:rFonts w:ascii="Arial" w:hAnsi="Arial" w:cs="Arial"/>
                <w:spacing w:val="-1"/>
              </w:rPr>
              <w:br/>
              <w:t>(14 Tsd. €)</w:t>
            </w:r>
          </w:p>
        </w:tc>
      </w:tr>
      <w:tr w:rsidR="00756D72" w:rsidRPr="008C2431" w:rsidTr="00756D72">
        <w:trPr>
          <w:trHeight w:hRule="exact" w:val="507"/>
        </w:trPr>
        <w:tc>
          <w:tcPr>
            <w:tcW w:w="3102" w:type="dxa"/>
          </w:tcPr>
          <w:p w:rsidR="00756D72" w:rsidRPr="008C2431" w:rsidRDefault="00756D72" w:rsidP="00E2196E">
            <w:pPr>
              <w:rPr>
                <w:rFonts w:cs="Arial"/>
                <w:szCs w:val="22"/>
              </w:rPr>
            </w:pPr>
          </w:p>
        </w:tc>
        <w:tc>
          <w:tcPr>
            <w:tcW w:w="2852" w:type="dxa"/>
            <w:gridSpan w:val="2"/>
          </w:tcPr>
          <w:p w:rsidR="00756D72" w:rsidRPr="008C2431" w:rsidRDefault="00756D72" w:rsidP="00E2196E">
            <w:pPr>
              <w:pStyle w:val="TableParagraph"/>
              <w:spacing w:before="83"/>
              <w:ind w:left="205"/>
              <w:rPr>
                <w:rFonts w:ascii="Arial" w:eastAsia="Arial" w:hAnsi="Arial" w:cs="Arial"/>
              </w:rPr>
            </w:pPr>
            <w:r w:rsidRPr="008C2431">
              <w:rPr>
                <w:rFonts w:ascii="Arial" w:hAnsi="Arial" w:cs="Arial"/>
                <w:b/>
                <w:spacing w:val="-1"/>
              </w:rPr>
              <w:t>Patienten</w:t>
            </w:r>
            <w:r w:rsidRPr="008C2431">
              <w:rPr>
                <w:rFonts w:ascii="Arial" w:hAnsi="Arial" w:cs="Arial"/>
                <w:b/>
              </w:rPr>
              <w:t xml:space="preserve"> und </w:t>
            </w:r>
            <w:r w:rsidRPr="008C2431">
              <w:rPr>
                <w:rFonts w:ascii="Arial" w:hAnsi="Arial" w:cs="Arial"/>
                <w:b/>
                <w:spacing w:val="-1"/>
              </w:rPr>
              <w:t>Pflege</w:t>
            </w:r>
          </w:p>
        </w:tc>
        <w:tc>
          <w:tcPr>
            <w:tcW w:w="3261" w:type="dxa"/>
          </w:tcPr>
          <w:p w:rsidR="00756D72" w:rsidRPr="008C2431" w:rsidRDefault="00756D72" w:rsidP="00E2196E">
            <w:pPr>
              <w:pStyle w:val="TableParagraph"/>
              <w:spacing w:before="83"/>
              <w:ind w:left="742"/>
              <w:rPr>
                <w:rFonts w:ascii="Arial" w:eastAsia="Arial" w:hAnsi="Arial" w:cs="Arial"/>
              </w:rPr>
            </w:pPr>
            <w:r w:rsidRPr="008C2431">
              <w:rPr>
                <w:rFonts w:ascii="Arial" w:hAnsi="Arial" w:cs="Arial"/>
                <w:b/>
              </w:rPr>
              <w:t>Ehrenamt</w:t>
            </w:r>
          </w:p>
        </w:tc>
      </w:tr>
      <w:tr w:rsidR="00756D72" w:rsidRPr="008C2431" w:rsidTr="00511445">
        <w:trPr>
          <w:trHeight w:val="3840"/>
        </w:trPr>
        <w:tc>
          <w:tcPr>
            <w:tcW w:w="3102" w:type="dxa"/>
          </w:tcPr>
          <w:p w:rsidR="00756D72" w:rsidRPr="008C2431" w:rsidRDefault="00756D72" w:rsidP="00E2196E">
            <w:pPr>
              <w:pStyle w:val="TableParagraph"/>
              <w:spacing w:before="83"/>
              <w:ind w:left="108"/>
              <w:rPr>
                <w:rFonts w:ascii="Arial" w:eastAsia="Arial" w:hAnsi="Arial" w:cs="Arial"/>
              </w:rPr>
            </w:pPr>
            <w:r w:rsidRPr="008C2431">
              <w:rPr>
                <w:rFonts w:ascii="Arial" w:hAnsi="Arial" w:cs="Arial"/>
                <w:b/>
                <w:spacing w:val="-1"/>
              </w:rPr>
              <w:t>Personal:</w:t>
            </w:r>
          </w:p>
          <w:p w:rsidR="00756D72" w:rsidRPr="008C2431" w:rsidRDefault="00F75BBC" w:rsidP="00E2196E">
            <w:pPr>
              <w:pStyle w:val="TableParagraph"/>
              <w:spacing w:before="71"/>
              <w:ind w:left="108" w:right="178"/>
              <w:rPr>
                <w:rFonts w:ascii="Arial" w:eastAsia="Arial" w:hAnsi="Arial" w:cs="Arial"/>
              </w:rPr>
            </w:pPr>
            <w:r>
              <w:rPr>
                <w:rFonts w:ascii="Arial" w:hAnsi="Arial" w:cs="Arial"/>
                <w:b/>
                <w:spacing w:val="-1"/>
              </w:rPr>
              <w:t>Personalausgabemit</w:t>
            </w:r>
            <w:r w:rsidR="00756D72" w:rsidRPr="008C2431">
              <w:rPr>
                <w:rFonts w:ascii="Arial" w:hAnsi="Arial" w:cs="Arial"/>
                <w:b/>
              </w:rPr>
              <w:t>tel*</w:t>
            </w:r>
          </w:p>
          <w:p w:rsidR="00F01C71" w:rsidRDefault="00F01C71" w:rsidP="00E2196E">
            <w:pPr>
              <w:pStyle w:val="TableParagraph"/>
              <w:spacing w:before="72"/>
              <w:ind w:left="108"/>
              <w:rPr>
                <w:rFonts w:ascii="Arial" w:hAnsi="Arial" w:cs="Arial"/>
                <w:b/>
                <w:spacing w:val="-1"/>
              </w:rPr>
            </w:pPr>
          </w:p>
          <w:p w:rsidR="00F01C71" w:rsidRDefault="00F01C71" w:rsidP="00F01C71">
            <w:pPr>
              <w:pStyle w:val="TableParagraph"/>
              <w:ind w:left="108"/>
              <w:rPr>
                <w:rFonts w:ascii="Arial" w:hAnsi="Arial" w:cs="Arial"/>
                <w:b/>
                <w:spacing w:val="-1"/>
              </w:rPr>
            </w:pPr>
          </w:p>
          <w:p w:rsidR="00756D72" w:rsidRPr="008C2431" w:rsidRDefault="00756D72" w:rsidP="00F01C71">
            <w:pPr>
              <w:pStyle w:val="TableParagraph"/>
              <w:ind w:left="108"/>
              <w:rPr>
                <w:rFonts w:ascii="Arial" w:eastAsia="Arial" w:hAnsi="Arial" w:cs="Arial"/>
              </w:rPr>
            </w:pPr>
            <w:r w:rsidRPr="008C2431">
              <w:rPr>
                <w:rFonts w:ascii="Arial" w:hAnsi="Arial" w:cs="Arial"/>
                <w:b/>
                <w:spacing w:val="-1"/>
              </w:rPr>
              <w:t>Sachmittel:</w:t>
            </w:r>
          </w:p>
          <w:p w:rsidR="00756D72" w:rsidRPr="008C2431" w:rsidRDefault="00756D72" w:rsidP="00E2196E">
            <w:pPr>
              <w:pStyle w:val="TableParagraph"/>
              <w:spacing w:before="75"/>
              <w:ind w:left="108"/>
              <w:rPr>
                <w:rFonts w:ascii="Arial" w:eastAsia="Arial" w:hAnsi="Arial" w:cs="Arial"/>
              </w:rPr>
            </w:pPr>
            <w:r w:rsidRPr="008C2431">
              <w:rPr>
                <w:rFonts w:ascii="Arial" w:hAnsi="Arial" w:cs="Arial"/>
                <w:spacing w:val="-1"/>
              </w:rPr>
              <w:t>Allg.</w:t>
            </w:r>
            <w:r w:rsidRPr="008C2431">
              <w:rPr>
                <w:rFonts w:ascii="Arial" w:hAnsi="Arial" w:cs="Arial"/>
              </w:rPr>
              <w:t xml:space="preserve"> </w:t>
            </w:r>
            <w:r w:rsidRPr="008C2431">
              <w:rPr>
                <w:rFonts w:ascii="Arial" w:hAnsi="Arial" w:cs="Arial"/>
                <w:spacing w:val="-1"/>
              </w:rPr>
              <w:t>Verfügungsmittel</w:t>
            </w:r>
            <w:r w:rsidRPr="008C2431">
              <w:rPr>
                <w:rFonts w:ascii="Arial" w:hAnsi="Arial" w:cs="Arial"/>
                <w:spacing w:val="-22"/>
              </w:rPr>
              <w:t xml:space="preserve"> </w:t>
            </w:r>
            <w:r w:rsidRPr="008C2431">
              <w:rPr>
                <w:rFonts w:ascii="Arial" w:hAnsi="Arial" w:cs="Arial"/>
                <w:spacing w:val="-3"/>
                <w:position w:val="8"/>
              </w:rPr>
              <w:t>**</w:t>
            </w:r>
          </w:p>
          <w:p w:rsidR="00756D72" w:rsidRPr="008C2431" w:rsidRDefault="00756D72" w:rsidP="00E2196E">
            <w:pPr>
              <w:pStyle w:val="TableParagraph"/>
              <w:spacing w:before="71"/>
              <w:ind w:left="108"/>
              <w:rPr>
                <w:rFonts w:ascii="Arial" w:eastAsia="Arial" w:hAnsi="Arial" w:cs="Arial"/>
                <w:u w:val="single"/>
              </w:rPr>
            </w:pPr>
            <w:r w:rsidRPr="008C2431">
              <w:rPr>
                <w:rFonts w:ascii="Arial" w:hAnsi="Arial" w:cs="Arial"/>
                <w:spacing w:val="-1"/>
                <w:u w:val="single"/>
              </w:rPr>
              <w:t>Entschädigung***</w:t>
            </w:r>
          </w:p>
          <w:p w:rsidR="00756D72" w:rsidRPr="008C2431" w:rsidRDefault="00756D72" w:rsidP="00E2196E">
            <w:pPr>
              <w:pStyle w:val="TableParagraph"/>
              <w:spacing w:before="81"/>
              <w:ind w:left="108"/>
              <w:rPr>
                <w:rFonts w:ascii="Arial" w:eastAsia="Arial" w:hAnsi="Arial" w:cs="Arial"/>
              </w:rPr>
            </w:pPr>
            <w:r w:rsidRPr="008C2431">
              <w:rPr>
                <w:rFonts w:ascii="Arial" w:hAnsi="Arial" w:cs="Arial"/>
              </w:rPr>
              <w:t xml:space="preserve">Sachmittel </w:t>
            </w:r>
            <w:r w:rsidRPr="008C2431">
              <w:rPr>
                <w:rFonts w:ascii="Arial" w:hAnsi="Arial" w:cs="Arial"/>
                <w:spacing w:val="-1"/>
              </w:rPr>
              <w:t>gesamt</w:t>
            </w:r>
          </w:p>
          <w:p w:rsidR="00756D72" w:rsidRPr="008C2431" w:rsidRDefault="00756D72" w:rsidP="00E2196E">
            <w:pPr>
              <w:pStyle w:val="TableParagraph"/>
              <w:spacing w:before="152"/>
              <w:ind w:left="108"/>
              <w:rPr>
                <w:rFonts w:ascii="Arial" w:eastAsia="Arial" w:hAnsi="Arial" w:cs="Arial"/>
              </w:rPr>
            </w:pPr>
            <w:r w:rsidRPr="008C2431">
              <w:rPr>
                <w:rFonts w:ascii="Arial" w:hAnsi="Arial" w:cs="Arial"/>
                <w:b/>
              </w:rPr>
              <w:t>Sonstiges</w:t>
            </w:r>
            <w:r w:rsidRPr="008C2431">
              <w:rPr>
                <w:rFonts w:ascii="Arial" w:hAnsi="Arial" w:cs="Arial"/>
              </w:rPr>
              <w:t>:</w:t>
            </w:r>
          </w:p>
        </w:tc>
        <w:tc>
          <w:tcPr>
            <w:tcW w:w="2852" w:type="dxa"/>
            <w:gridSpan w:val="2"/>
          </w:tcPr>
          <w:p w:rsidR="00756D72" w:rsidRPr="008C2431" w:rsidRDefault="00756D72" w:rsidP="00E2196E">
            <w:pPr>
              <w:pStyle w:val="TableParagraph"/>
              <w:spacing w:before="83" w:line="275" w:lineRule="exact"/>
              <w:ind w:left="4"/>
              <w:jc w:val="center"/>
              <w:rPr>
                <w:rFonts w:ascii="Arial" w:eastAsia="Arial" w:hAnsi="Arial" w:cs="Arial"/>
              </w:rPr>
            </w:pPr>
            <w:r w:rsidRPr="008C2431">
              <w:rPr>
                <w:rFonts w:ascii="Arial" w:hAnsi="Arial" w:cs="Arial"/>
              </w:rPr>
              <w:t>4,5</w:t>
            </w:r>
            <w:r w:rsidRPr="008C2431">
              <w:rPr>
                <w:rFonts w:ascii="Arial" w:hAnsi="Arial" w:cs="Arial"/>
                <w:spacing w:val="1"/>
              </w:rPr>
              <w:t xml:space="preserve"> </w:t>
            </w:r>
            <w:r w:rsidRPr="008C2431">
              <w:rPr>
                <w:rFonts w:ascii="Arial" w:hAnsi="Arial" w:cs="Arial"/>
                <w:spacing w:val="-1"/>
              </w:rPr>
              <w:t>Stellen</w:t>
            </w:r>
          </w:p>
          <w:p w:rsidR="00756D72" w:rsidRPr="008C2431" w:rsidRDefault="00756D72" w:rsidP="00F01C71">
            <w:pPr>
              <w:pStyle w:val="TableParagraph"/>
              <w:ind w:left="57" w:right="57"/>
              <w:jc w:val="center"/>
              <w:rPr>
                <w:rFonts w:ascii="Arial" w:eastAsia="Arial" w:hAnsi="Arial" w:cs="Arial"/>
              </w:rPr>
            </w:pPr>
            <w:r w:rsidRPr="008C2431">
              <w:rPr>
                <w:rFonts w:ascii="Arial" w:hAnsi="Arial" w:cs="Arial"/>
                <w:spacing w:val="-1"/>
              </w:rPr>
              <w:t>(davon</w:t>
            </w:r>
            <w:r w:rsidRPr="008C2431">
              <w:rPr>
                <w:rFonts w:ascii="Arial" w:hAnsi="Arial" w:cs="Arial"/>
              </w:rPr>
              <w:t xml:space="preserve"> </w:t>
            </w:r>
            <w:r w:rsidRPr="008C2431">
              <w:rPr>
                <w:rFonts w:ascii="Arial" w:hAnsi="Arial" w:cs="Arial"/>
                <w:spacing w:val="-1"/>
              </w:rPr>
              <w:t>0,5</w:t>
            </w:r>
            <w:r w:rsidRPr="008C2431">
              <w:rPr>
                <w:rFonts w:ascii="Arial" w:hAnsi="Arial" w:cs="Arial"/>
              </w:rPr>
              <w:t xml:space="preserve"> </w:t>
            </w:r>
            <w:r w:rsidRPr="008C2431">
              <w:rPr>
                <w:rFonts w:ascii="Arial" w:hAnsi="Arial" w:cs="Arial"/>
                <w:spacing w:val="-1"/>
              </w:rPr>
              <w:t>durch</w:t>
            </w:r>
            <w:r w:rsidRPr="008C2431">
              <w:rPr>
                <w:rFonts w:ascii="Arial" w:hAnsi="Arial" w:cs="Arial"/>
                <w:spacing w:val="-2"/>
              </w:rPr>
              <w:t xml:space="preserve"> </w:t>
            </w:r>
            <w:r w:rsidRPr="008C2431">
              <w:rPr>
                <w:rFonts w:ascii="Arial" w:hAnsi="Arial" w:cs="Arial"/>
                <w:spacing w:val="-1"/>
              </w:rPr>
              <w:t>StMGP umgeschichtet)</w:t>
            </w:r>
          </w:p>
          <w:p w:rsidR="00756D72" w:rsidRPr="008C2431" w:rsidRDefault="00756D72" w:rsidP="00F01C71">
            <w:pPr>
              <w:pStyle w:val="TableParagraph"/>
              <w:spacing w:before="120"/>
              <w:ind w:left="652"/>
              <w:rPr>
                <w:rFonts w:ascii="Arial" w:eastAsia="Arial" w:hAnsi="Arial" w:cs="Arial"/>
              </w:rPr>
            </w:pPr>
            <w:r w:rsidRPr="008C2431">
              <w:rPr>
                <w:rFonts w:ascii="Arial" w:eastAsia="Arial" w:hAnsi="Arial" w:cs="Arial"/>
              </w:rPr>
              <w:t xml:space="preserve">rd. </w:t>
            </w:r>
            <w:r w:rsidRPr="008C2431">
              <w:rPr>
                <w:rFonts w:ascii="Arial" w:eastAsia="Arial" w:hAnsi="Arial" w:cs="Arial"/>
                <w:spacing w:val="-1"/>
              </w:rPr>
              <w:t>340</w:t>
            </w:r>
            <w:r w:rsidRPr="008C2431">
              <w:rPr>
                <w:rFonts w:ascii="Arial" w:eastAsia="Arial" w:hAnsi="Arial" w:cs="Arial"/>
                <w:spacing w:val="-2"/>
              </w:rPr>
              <w:t xml:space="preserve"> </w:t>
            </w:r>
            <w:r w:rsidRPr="008C2431">
              <w:rPr>
                <w:rFonts w:ascii="Arial" w:eastAsia="Arial" w:hAnsi="Arial" w:cs="Arial"/>
              </w:rPr>
              <w:t>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71"/>
              <w:ind w:left="651"/>
              <w:rPr>
                <w:rFonts w:ascii="Arial" w:eastAsia="Arial" w:hAnsi="Arial" w:cs="Arial"/>
              </w:rPr>
            </w:pPr>
          </w:p>
          <w:p w:rsidR="00756D72" w:rsidRPr="008C2431" w:rsidRDefault="00756D72" w:rsidP="00E2196E">
            <w:pPr>
              <w:pStyle w:val="TableParagraph"/>
              <w:spacing w:before="80"/>
              <w:ind w:left="781"/>
              <w:rPr>
                <w:rFonts w:ascii="Arial" w:eastAsia="Arial" w:hAnsi="Arial" w:cs="Arial"/>
              </w:rPr>
            </w:pPr>
            <w:r w:rsidRPr="008C2431">
              <w:rPr>
                <w:rFonts w:ascii="Arial" w:eastAsia="Arial" w:hAnsi="Arial" w:cs="Arial"/>
              </w:rPr>
              <w:t>44,0</w:t>
            </w:r>
            <w:r w:rsidRPr="008C2431">
              <w:rPr>
                <w:rFonts w:ascii="Arial" w:eastAsia="Arial" w:hAnsi="Arial" w:cs="Arial"/>
                <w:spacing w:val="-1"/>
              </w:rPr>
              <w:t xml:space="preserve">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71"/>
              <w:ind w:left="572"/>
              <w:rPr>
                <w:rFonts w:ascii="Arial" w:eastAsia="Arial" w:hAnsi="Arial" w:cs="Arial"/>
                <w:u w:val="single"/>
              </w:rPr>
            </w:pPr>
            <w:r w:rsidRPr="008C2431">
              <w:rPr>
                <w:rFonts w:ascii="Arial" w:eastAsia="Arial" w:hAnsi="Arial" w:cs="Arial"/>
                <w:u w:val="single"/>
              </w:rPr>
              <w:t>+</w:t>
            </w:r>
            <w:r w:rsidRPr="008C2431">
              <w:rPr>
                <w:rFonts w:ascii="Arial" w:eastAsia="Arial" w:hAnsi="Arial" w:cs="Arial"/>
                <w:spacing w:val="-1"/>
                <w:u w:val="single"/>
              </w:rPr>
              <w:t xml:space="preserve"> </w:t>
            </w:r>
            <w:r w:rsidRPr="008C2431">
              <w:rPr>
                <w:rFonts w:ascii="Arial" w:eastAsia="Arial" w:hAnsi="Arial" w:cs="Arial"/>
                <w:u w:val="single"/>
              </w:rPr>
              <w:t>36,0</w:t>
            </w:r>
            <w:r w:rsidRPr="008C2431">
              <w:rPr>
                <w:rFonts w:ascii="Arial" w:eastAsia="Arial" w:hAnsi="Arial" w:cs="Arial"/>
                <w:spacing w:val="-1"/>
                <w:u w:val="single"/>
              </w:rPr>
              <w:t xml:space="preserve"> Tsd.</w:t>
            </w:r>
            <w:r w:rsidRPr="008C2431">
              <w:rPr>
                <w:rFonts w:ascii="Arial" w:eastAsia="Arial" w:hAnsi="Arial" w:cs="Arial"/>
                <w:u w:val="single"/>
              </w:rPr>
              <w:t xml:space="preserve"> €</w:t>
            </w:r>
          </w:p>
          <w:p w:rsidR="00756D72" w:rsidRPr="008C2431" w:rsidRDefault="00756D72" w:rsidP="00E2196E">
            <w:pPr>
              <w:pStyle w:val="TableParagraph"/>
              <w:spacing w:before="87"/>
              <w:ind w:left="781"/>
              <w:rPr>
                <w:rFonts w:ascii="Arial" w:eastAsia="Arial" w:hAnsi="Arial" w:cs="Arial"/>
              </w:rPr>
            </w:pPr>
            <w:r w:rsidRPr="008C2431">
              <w:rPr>
                <w:rFonts w:ascii="Arial" w:eastAsia="Arial" w:hAnsi="Arial" w:cs="Arial"/>
              </w:rPr>
              <w:t>80,0</w:t>
            </w:r>
            <w:r w:rsidRPr="008C2431">
              <w:rPr>
                <w:rFonts w:ascii="Arial" w:eastAsia="Arial" w:hAnsi="Arial" w:cs="Arial"/>
                <w:spacing w:val="-1"/>
              </w:rPr>
              <w:t xml:space="preserve">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152"/>
              <w:ind w:left="104" w:right="127"/>
              <w:rPr>
                <w:rFonts w:ascii="Arial" w:eastAsia="Arial" w:hAnsi="Arial" w:cs="Arial"/>
              </w:rPr>
            </w:pPr>
            <w:r w:rsidRPr="008C2431">
              <w:rPr>
                <w:rFonts w:ascii="Arial" w:hAnsi="Arial" w:cs="Arial"/>
                <w:spacing w:val="-1"/>
              </w:rPr>
              <w:t>Zugriff</w:t>
            </w:r>
            <w:r w:rsidRPr="008C2431">
              <w:rPr>
                <w:rFonts w:ascii="Arial" w:hAnsi="Arial" w:cs="Arial"/>
                <w:spacing w:val="3"/>
              </w:rPr>
              <w:t xml:space="preserve"> </w:t>
            </w:r>
            <w:r w:rsidRPr="008C2431">
              <w:rPr>
                <w:rFonts w:ascii="Arial" w:hAnsi="Arial" w:cs="Arial"/>
                <w:spacing w:val="-1"/>
              </w:rPr>
              <w:t>auf</w:t>
            </w:r>
            <w:r w:rsidRPr="008C2431">
              <w:rPr>
                <w:rFonts w:ascii="Arial" w:hAnsi="Arial" w:cs="Arial"/>
                <w:spacing w:val="2"/>
              </w:rPr>
              <w:t xml:space="preserve"> </w:t>
            </w:r>
            <w:r w:rsidRPr="008C2431">
              <w:rPr>
                <w:rFonts w:ascii="Arial" w:hAnsi="Arial" w:cs="Arial"/>
                <w:spacing w:val="-1"/>
              </w:rPr>
              <w:t>Fahrbereit-</w:t>
            </w:r>
            <w:r w:rsidRPr="008C2431">
              <w:rPr>
                <w:rFonts w:ascii="Arial" w:hAnsi="Arial" w:cs="Arial"/>
                <w:spacing w:val="25"/>
              </w:rPr>
              <w:t xml:space="preserve"> </w:t>
            </w:r>
            <w:r w:rsidRPr="008C2431">
              <w:rPr>
                <w:rFonts w:ascii="Arial" w:hAnsi="Arial" w:cs="Arial"/>
              </w:rPr>
              <w:t>schaft</w:t>
            </w:r>
            <w:r w:rsidRPr="008C2431">
              <w:rPr>
                <w:rFonts w:ascii="Arial" w:hAnsi="Arial" w:cs="Arial"/>
                <w:spacing w:val="-2"/>
              </w:rPr>
              <w:t xml:space="preserve"> </w:t>
            </w:r>
            <w:r w:rsidRPr="008C2431">
              <w:rPr>
                <w:rFonts w:ascii="Arial" w:hAnsi="Arial" w:cs="Arial"/>
              </w:rPr>
              <w:t>des</w:t>
            </w:r>
            <w:r w:rsidRPr="008C2431">
              <w:rPr>
                <w:rFonts w:ascii="Arial" w:hAnsi="Arial" w:cs="Arial"/>
                <w:spacing w:val="-2"/>
              </w:rPr>
              <w:t xml:space="preserve"> </w:t>
            </w:r>
            <w:r w:rsidRPr="008C2431">
              <w:rPr>
                <w:rFonts w:ascii="Arial" w:hAnsi="Arial" w:cs="Arial"/>
              </w:rPr>
              <w:t>StMGP</w:t>
            </w:r>
            <w:r w:rsidRPr="008C2431">
              <w:rPr>
                <w:rFonts w:ascii="Arial" w:hAnsi="Arial" w:cs="Arial"/>
                <w:spacing w:val="-2"/>
              </w:rPr>
              <w:t xml:space="preserve"> </w:t>
            </w:r>
            <w:r w:rsidRPr="008C2431">
              <w:rPr>
                <w:rFonts w:ascii="Arial" w:hAnsi="Arial" w:cs="Arial"/>
                <w:spacing w:val="-1"/>
              </w:rPr>
              <w:t>mög-</w:t>
            </w:r>
            <w:r w:rsidRPr="008C2431">
              <w:rPr>
                <w:rFonts w:ascii="Arial" w:hAnsi="Arial" w:cs="Arial"/>
                <w:spacing w:val="21"/>
              </w:rPr>
              <w:t xml:space="preserve"> </w:t>
            </w:r>
            <w:r w:rsidRPr="008C2431">
              <w:rPr>
                <w:rFonts w:ascii="Arial" w:hAnsi="Arial" w:cs="Arial"/>
                <w:spacing w:val="-1"/>
              </w:rPr>
              <w:t>lich</w:t>
            </w:r>
          </w:p>
        </w:tc>
        <w:tc>
          <w:tcPr>
            <w:tcW w:w="3261" w:type="dxa"/>
          </w:tcPr>
          <w:p w:rsidR="00756D72" w:rsidRPr="008C2431" w:rsidRDefault="00756D72" w:rsidP="00E2196E">
            <w:pPr>
              <w:pStyle w:val="TableParagraph"/>
              <w:spacing w:before="83"/>
              <w:ind w:left="829"/>
              <w:rPr>
                <w:rFonts w:ascii="Arial" w:hAnsi="Arial" w:cs="Arial"/>
                <w:spacing w:val="-1"/>
              </w:rPr>
            </w:pPr>
            <w:r w:rsidRPr="008C2431">
              <w:rPr>
                <w:rFonts w:ascii="Arial" w:hAnsi="Arial" w:cs="Arial"/>
              </w:rPr>
              <w:t xml:space="preserve">4 </w:t>
            </w:r>
            <w:r w:rsidRPr="008C2431">
              <w:rPr>
                <w:rFonts w:ascii="Arial" w:hAnsi="Arial" w:cs="Arial"/>
                <w:spacing w:val="-1"/>
              </w:rPr>
              <w:t>Stellen</w:t>
            </w:r>
          </w:p>
          <w:p w:rsidR="00756D72" w:rsidRPr="008C2431" w:rsidRDefault="00F01C71" w:rsidP="00E2196E">
            <w:pPr>
              <w:pStyle w:val="TableParagraph"/>
              <w:spacing w:before="83"/>
              <w:ind w:left="829"/>
              <w:rPr>
                <w:rFonts w:ascii="Arial" w:eastAsia="Arial" w:hAnsi="Arial" w:cs="Arial"/>
              </w:rPr>
            </w:pPr>
            <w:r>
              <w:rPr>
                <w:rFonts w:ascii="Arial" w:eastAsia="Arial" w:hAnsi="Arial" w:cs="Arial"/>
              </w:rPr>
              <w:br/>
            </w:r>
          </w:p>
          <w:p w:rsidR="00756D72" w:rsidRPr="008C2431" w:rsidRDefault="00756D72" w:rsidP="00E2196E">
            <w:pPr>
              <w:pStyle w:val="TableParagraph"/>
              <w:spacing w:before="71"/>
              <w:ind w:left="454"/>
              <w:rPr>
                <w:rFonts w:ascii="Arial" w:eastAsia="Arial" w:hAnsi="Arial" w:cs="Arial"/>
              </w:rPr>
            </w:pPr>
            <w:r w:rsidRPr="008C2431">
              <w:rPr>
                <w:rFonts w:ascii="Arial" w:eastAsia="Arial" w:hAnsi="Arial" w:cs="Arial"/>
              </w:rPr>
              <w:t>rd.</w:t>
            </w:r>
            <w:r w:rsidRPr="008C2431">
              <w:rPr>
                <w:rFonts w:ascii="Arial" w:eastAsia="Arial" w:hAnsi="Arial" w:cs="Arial"/>
                <w:spacing w:val="1"/>
              </w:rPr>
              <w:t xml:space="preserve"> </w:t>
            </w:r>
            <w:r w:rsidRPr="008C2431">
              <w:rPr>
                <w:rFonts w:ascii="Arial" w:eastAsia="Arial" w:hAnsi="Arial" w:cs="Arial"/>
                <w:spacing w:val="-1"/>
              </w:rPr>
              <w:t>139,5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71"/>
              <w:ind w:left="454"/>
              <w:rPr>
                <w:rFonts w:ascii="Arial" w:eastAsia="Arial" w:hAnsi="Arial" w:cs="Arial"/>
              </w:rPr>
            </w:pPr>
          </w:p>
          <w:p w:rsidR="00756D72" w:rsidRPr="008C2431" w:rsidRDefault="00756D72" w:rsidP="00E2196E">
            <w:pPr>
              <w:pStyle w:val="TableParagraph"/>
              <w:spacing w:before="80"/>
              <w:ind w:left="822"/>
              <w:rPr>
                <w:rFonts w:ascii="Arial" w:eastAsia="Arial" w:hAnsi="Arial" w:cs="Arial"/>
              </w:rPr>
            </w:pPr>
            <w:r w:rsidRPr="008C2431">
              <w:rPr>
                <w:rFonts w:ascii="Arial" w:eastAsia="Arial" w:hAnsi="Arial" w:cs="Arial"/>
              </w:rPr>
              <w:t>44,0</w:t>
            </w:r>
            <w:r w:rsidRPr="008C2431">
              <w:rPr>
                <w:rFonts w:ascii="Arial" w:eastAsia="Arial" w:hAnsi="Arial" w:cs="Arial"/>
                <w:spacing w:val="-1"/>
              </w:rPr>
              <w:t xml:space="preserve">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71"/>
              <w:ind w:left="680"/>
              <w:rPr>
                <w:rFonts w:ascii="Arial" w:eastAsia="Arial" w:hAnsi="Arial" w:cs="Arial"/>
                <w:u w:val="single"/>
              </w:rPr>
            </w:pPr>
            <w:r w:rsidRPr="008C2431">
              <w:rPr>
                <w:rFonts w:ascii="Arial" w:eastAsia="Arial" w:hAnsi="Arial" w:cs="Arial"/>
                <w:spacing w:val="-1"/>
                <w:u w:val="single"/>
              </w:rPr>
              <w:t>+36,0 Tsd.</w:t>
            </w:r>
            <w:r w:rsidRPr="008C2431">
              <w:rPr>
                <w:rFonts w:ascii="Arial" w:eastAsia="Arial" w:hAnsi="Arial" w:cs="Arial"/>
                <w:u w:val="single"/>
              </w:rPr>
              <w:t xml:space="preserve"> €</w:t>
            </w:r>
          </w:p>
          <w:p w:rsidR="00756D72" w:rsidRPr="008C2431" w:rsidRDefault="00756D72" w:rsidP="00E2196E">
            <w:pPr>
              <w:pStyle w:val="TableParagraph"/>
              <w:spacing w:before="81"/>
              <w:ind w:left="819"/>
              <w:rPr>
                <w:rFonts w:ascii="Arial" w:eastAsia="Arial" w:hAnsi="Arial" w:cs="Arial"/>
              </w:rPr>
            </w:pPr>
            <w:r w:rsidRPr="008C2431">
              <w:rPr>
                <w:rFonts w:ascii="Arial" w:eastAsia="Arial" w:hAnsi="Arial" w:cs="Arial"/>
              </w:rPr>
              <w:t>80,0</w:t>
            </w:r>
            <w:r w:rsidRPr="008C2431">
              <w:rPr>
                <w:rFonts w:ascii="Arial" w:eastAsia="Arial" w:hAnsi="Arial" w:cs="Arial"/>
                <w:spacing w:val="-1"/>
              </w:rPr>
              <w:t xml:space="preserve"> Tsd.</w:t>
            </w:r>
            <w:r w:rsidRPr="008C2431">
              <w:rPr>
                <w:rFonts w:ascii="Arial" w:eastAsia="Arial" w:hAnsi="Arial" w:cs="Arial"/>
                <w:spacing w:val="-2"/>
              </w:rPr>
              <w:t xml:space="preserve"> </w:t>
            </w:r>
            <w:r w:rsidRPr="008C2431">
              <w:rPr>
                <w:rFonts w:ascii="Arial" w:eastAsia="Arial" w:hAnsi="Arial" w:cs="Arial"/>
              </w:rPr>
              <w:t>€</w:t>
            </w:r>
          </w:p>
          <w:p w:rsidR="00756D72" w:rsidRPr="008C2431" w:rsidRDefault="00756D72" w:rsidP="00E2196E">
            <w:pPr>
              <w:pStyle w:val="TableParagraph"/>
              <w:spacing w:before="152"/>
              <w:ind w:left="714" w:right="164" w:hanging="560"/>
              <w:rPr>
                <w:rFonts w:ascii="Arial" w:eastAsia="Arial" w:hAnsi="Arial" w:cs="Arial"/>
              </w:rPr>
            </w:pPr>
            <w:r w:rsidRPr="008C2431">
              <w:rPr>
                <w:rFonts w:ascii="Arial" w:eastAsia="Arial" w:hAnsi="Arial" w:cs="Arial"/>
                <w:spacing w:val="-1"/>
              </w:rPr>
              <w:t>Eigener</w:t>
            </w:r>
            <w:r w:rsidRPr="008C2431">
              <w:rPr>
                <w:rFonts w:ascii="Arial" w:eastAsia="Arial" w:hAnsi="Arial" w:cs="Arial"/>
              </w:rPr>
              <w:t xml:space="preserve"> </w:t>
            </w:r>
            <w:r w:rsidRPr="008C2431">
              <w:rPr>
                <w:rFonts w:ascii="Arial" w:eastAsia="Arial" w:hAnsi="Arial" w:cs="Arial"/>
                <w:spacing w:val="-1"/>
              </w:rPr>
              <w:t>Dienstwagen</w:t>
            </w:r>
            <w:r w:rsidRPr="008C2431">
              <w:rPr>
                <w:rFonts w:ascii="Arial" w:eastAsia="Arial" w:hAnsi="Arial" w:cs="Arial"/>
                <w:spacing w:val="23"/>
              </w:rPr>
              <w:t xml:space="preserve"> </w:t>
            </w:r>
            <w:r w:rsidR="00511445" w:rsidRPr="008C2431">
              <w:rPr>
                <w:rFonts w:ascii="Arial" w:eastAsia="Arial" w:hAnsi="Arial" w:cs="Arial"/>
                <w:spacing w:val="23"/>
              </w:rPr>
              <w:br/>
            </w:r>
            <w:r w:rsidRPr="008C2431">
              <w:rPr>
                <w:rFonts w:ascii="Arial" w:eastAsia="Arial" w:hAnsi="Arial" w:cs="Arial"/>
              </w:rPr>
              <w:t>(14</w:t>
            </w:r>
            <w:r w:rsidRPr="008C2431">
              <w:rPr>
                <w:rFonts w:ascii="Arial" w:eastAsia="Arial" w:hAnsi="Arial" w:cs="Arial"/>
                <w:spacing w:val="-1"/>
              </w:rPr>
              <w:t xml:space="preserve"> </w:t>
            </w:r>
            <w:r w:rsidRPr="008C2431">
              <w:rPr>
                <w:rFonts w:ascii="Arial" w:eastAsia="Arial" w:hAnsi="Arial" w:cs="Arial"/>
              </w:rPr>
              <w:t>Tsd.</w:t>
            </w:r>
            <w:r w:rsidRPr="008C2431">
              <w:rPr>
                <w:rFonts w:ascii="Arial" w:eastAsia="Arial" w:hAnsi="Arial" w:cs="Arial"/>
                <w:spacing w:val="-2"/>
              </w:rPr>
              <w:t xml:space="preserve"> </w:t>
            </w:r>
            <w:r w:rsidRPr="008C2431">
              <w:rPr>
                <w:rFonts w:ascii="Arial" w:eastAsia="Arial" w:hAnsi="Arial" w:cs="Arial"/>
              </w:rPr>
              <w:t>€)</w:t>
            </w:r>
          </w:p>
        </w:tc>
      </w:tr>
      <w:tr w:rsidR="00756D72" w:rsidRPr="008C2431" w:rsidTr="00756D72">
        <w:trPr>
          <w:trHeight w:hRule="exact" w:val="703"/>
        </w:trPr>
        <w:tc>
          <w:tcPr>
            <w:tcW w:w="3102" w:type="dxa"/>
          </w:tcPr>
          <w:p w:rsidR="00756D72" w:rsidRPr="008C2431" w:rsidRDefault="00756D72" w:rsidP="00E2196E">
            <w:pPr>
              <w:rPr>
                <w:rFonts w:cs="Arial"/>
                <w:szCs w:val="22"/>
              </w:rPr>
            </w:pPr>
          </w:p>
        </w:tc>
        <w:tc>
          <w:tcPr>
            <w:tcW w:w="2852" w:type="dxa"/>
            <w:gridSpan w:val="2"/>
          </w:tcPr>
          <w:p w:rsidR="00756D72" w:rsidRPr="008C2431" w:rsidRDefault="00756D72" w:rsidP="00E2196E">
            <w:pPr>
              <w:pStyle w:val="TableParagraph"/>
              <w:spacing w:before="52"/>
              <w:ind w:left="111" w:right="107" w:firstLine="72"/>
              <w:rPr>
                <w:rFonts w:ascii="Arial" w:eastAsia="Arial" w:hAnsi="Arial" w:cs="Arial"/>
              </w:rPr>
            </w:pPr>
            <w:r w:rsidRPr="008C2431">
              <w:rPr>
                <w:rFonts w:ascii="Arial" w:hAnsi="Arial" w:cs="Arial"/>
                <w:b/>
                <w:spacing w:val="-1"/>
              </w:rPr>
              <w:t>Menschen</w:t>
            </w:r>
            <w:r w:rsidRPr="008C2431">
              <w:rPr>
                <w:rFonts w:ascii="Arial" w:hAnsi="Arial" w:cs="Arial"/>
                <w:b/>
              </w:rPr>
              <w:t xml:space="preserve"> mit </w:t>
            </w:r>
            <w:r w:rsidRPr="008C2431">
              <w:rPr>
                <w:rFonts w:ascii="Arial" w:hAnsi="Arial" w:cs="Arial"/>
                <w:b/>
                <w:spacing w:val="-1"/>
              </w:rPr>
              <w:t>Behin-</w:t>
            </w:r>
            <w:r w:rsidRPr="008C2431">
              <w:rPr>
                <w:rFonts w:ascii="Arial" w:hAnsi="Arial" w:cs="Arial"/>
                <w:b/>
                <w:spacing w:val="29"/>
              </w:rPr>
              <w:t xml:space="preserve"> </w:t>
            </w:r>
            <w:r w:rsidRPr="008C2431">
              <w:rPr>
                <w:rFonts w:ascii="Arial" w:hAnsi="Arial" w:cs="Arial"/>
                <w:b/>
              </w:rPr>
              <w:t xml:space="preserve">derung </w:t>
            </w:r>
            <w:r w:rsidR="00511445" w:rsidRPr="008C2431">
              <w:rPr>
                <w:rFonts w:ascii="Arial" w:hAnsi="Arial" w:cs="Arial"/>
                <w:b/>
                <w:spacing w:val="-1"/>
              </w:rPr>
              <w:t>(h</w:t>
            </w:r>
            <w:r w:rsidRPr="008C2431">
              <w:rPr>
                <w:rFonts w:ascii="Arial" w:hAnsi="Arial" w:cs="Arial"/>
                <w:b/>
                <w:spacing w:val="-1"/>
              </w:rPr>
              <w:t>auptamtlich)</w:t>
            </w:r>
          </w:p>
        </w:tc>
        <w:tc>
          <w:tcPr>
            <w:tcW w:w="3261" w:type="dxa"/>
          </w:tcPr>
          <w:p w:rsidR="00756D72" w:rsidRPr="008C2431" w:rsidRDefault="00756D72" w:rsidP="00E2196E">
            <w:pPr>
              <w:rPr>
                <w:rFonts w:cs="Arial"/>
                <w:szCs w:val="22"/>
              </w:rPr>
            </w:pPr>
          </w:p>
        </w:tc>
      </w:tr>
      <w:tr w:rsidR="00756D72" w:rsidRPr="008C2431" w:rsidTr="008C2431">
        <w:trPr>
          <w:trHeight w:val="2593"/>
        </w:trPr>
        <w:tc>
          <w:tcPr>
            <w:tcW w:w="3102" w:type="dxa"/>
          </w:tcPr>
          <w:p w:rsidR="00756D72" w:rsidRPr="008C2431" w:rsidRDefault="00756D72" w:rsidP="00E2196E">
            <w:pPr>
              <w:pStyle w:val="TableParagraph"/>
              <w:spacing w:before="81"/>
              <w:ind w:left="108"/>
              <w:rPr>
                <w:rFonts w:ascii="Arial" w:eastAsia="Arial" w:hAnsi="Arial" w:cs="Arial"/>
              </w:rPr>
            </w:pPr>
            <w:r w:rsidRPr="008C2431">
              <w:rPr>
                <w:rFonts w:ascii="Arial" w:hAnsi="Arial" w:cs="Arial"/>
                <w:b/>
                <w:spacing w:val="-1"/>
              </w:rPr>
              <w:t>Personal:</w:t>
            </w:r>
          </w:p>
          <w:p w:rsidR="00756D72" w:rsidRPr="008C2431" w:rsidRDefault="00F75BBC" w:rsidP="00E2196E">
            <w:pPr>
              <w:pStyle w:val="TableParagraph"/>
              <w:spacing w:before="72"/>
              <w:ind w:left="108" w:right="178"/>
              <w:rPr>
                <w:rFonts w:ascii="Arial" w:eastAsia="Arial" w:hAnsi="Arial" w:cs="Arial"/>
              </w:rPr>
            </w:pPr>
            <w:r>
              <w:rPr>
                <w:rFonts w:ascii="Arial" w:hAnsi="Arial" w:cs="Arial"/>
                <w:b/>
                <w:spacing w:val="-1"/>
              </w:rPr>
              <w:t>Personalausgabemit</w:t>
            </w:r>
            <w:r w:rsidR="00756D72" w:rsidRPr="008C2431">
              <w:rPr>
                <w:rFonts w:ascii="Arial" w:hAnsi="Arial" w:cs="Arial"/>
                <w:b/>
              </w:rPr>
              <w:t>tel*</w:t>
            </w:r>
          </w:p>
          <w:p w:rsidR="00511445" w:rsidRPr="008C2431" w:rsidRDefault="00511445" w:rsidP="00E2196E">
            <w:pPr>
              <w:pStyle w:val="TableParagraph"/>
              <w:spacing w:before="72"/>
              <w:ind w:left="108"/>
              <w:rPr>
                <w:rFonts w:ascii="Arial" w:hAnsi="Arial" w:cs="Arial"/>
                <w:b/>
                <w:spacing w:val="-1"/>
              </w:rPr>
            </w:pPr>
          </w:p>
          <w:p w:rsidR="007710F8" w:rsidRDefault="007710F8" w:rsidP="007710F8">
            <w:pPr>
              <w:pStyle w:val="TableParagraph"/>
              <w:ind w:left="108"/>
              <w:rPr>
                <w:rFonts w:ascii="Arial" w:hAnsi="Arial" w:cs="Arial"/>
                <w:b/>
                <w:spacing w:val="-1"/>
              </w:rPr>
            </w:pPr>
          </w:p>
          <w:p w:rsidR="00756D72" w:rsidRPr="008C2431" w:rsidRDefault="00756D72" w:rsidP="007710F8">
            <w:pPr>
              <w:pStyle w:val="TableParagraph"/>
              <w:ind w:left="108"/>
              <w:rPr>
                <w:rFonts w:ascii="Arial" w:eastAsia="Arial" w:hAnsi="Arial" w:cs="Arial"/>
              </w:rPr>
            </w:pPr>
            <w:r w:rsidRPr="008C2431">
              <w:rPr>
                <w:rFonts w:ascii="Arial" w:hAnsi="Arial" w:cs="Arial"/>
                <w:b/>
                <w:spacing w:val="-1"/>
              </w:rPr>
              <w:t>Sachmittel:</w:t>
            </w:r>
          </w:p>
          <w:p w:rsidR="00756D72" w:rsidRPr="008C2431" w:rsidRDefault="00756D72" w:rsidP="007710F8">
            <w:pPr>
              <w:pStyle w:val="TableParagraph"/>
              <w:spacing w:before="120"/>
              <w:ind w:left="108"/>
              <w:rPr>
                <w:rFonts w:ascii="Arial" w:eastAsia="Arial" w:hAnsi="Arial" w:cs="Arial"/>
              </w:rPr>
            </w:pPr>
            <w:r w:rsidRPr="008C2431">
              <w:rPr>
                <w:rFonts w:ascii="Arial" w:hAnsi="Arial" w:cs="Arial"/>
                <w:b/>
                <w:spacing w:val="-1"/>
              </w:rPr>
              <w:t>Sonstiges:</w:t>
            </w:r>
          </w:p>
        </w:tc>
        <w:tc>
          <w:tcPr>
            <w:tcW w:w="2852" w:type="dxa"/>
            <w:gridSpan w:val="2"/>
          </w:tcPr>
          <w:p w:rsidR="00756D72" w:rsidRPr="008C2431" w:rsidRDefault="00756D72" w:rsidP="00E2196E">
            <w:pPr>
              <w:pStyle w:val="TableParagraph"/>
              <w:spacing w:before="81"/>
              <w:ind w:left="925"/>
              <w:rPr>
                <w:rFonts w:ascii="Arial" w:eastAsia="Arial" w:hAnsi="Arial" w:cs="Arial"/>
              </w:rPr>
            </w:pPr>
            <w:r w:rsidRPr="008C2431">
              <w:rPr>
                <w:rFonts w:ascii="Arial" w:hAnsi="Arial" w:cs="Arial"/>
              </w:rPr>
              <w:t>6</w:t>
            </w:r>
            <w:r w:rsidRPr="008C2431">
              <w:rPr>
                <w:rFonts w:ascii="Arial" w:hAnsi="Arial" w:cs="Arial"/>
                <w:spacing w:val="1"/>
              </w:rPr>
              <w:t xml:space="preserve"> </w:t>
            </w:r>
            <w:r w:rsidRPr="008C2431">
              <w:rPr>
                <w:rFonts w:ascii="Arial" w:hAnsi="Arial" w:cs="Arial"/>
                <w:spacing w:val="-1"/>
              </w:rPr>
              <w:t>Stellen</w:t>
            </w:r>
          </w:p>
          <w:p w:rsidR="00756D72" w:rsidRPr="008C2431" w:rsidRDefault="00756D72" w:rsidP="00E2196E">
            <w:pPr>
              <w:pStyle w:val="TableParagraph"/>
              <w:spacing w:before="72"/>
              <w:ind w:left="138" w:right="131" w:hanging="2"/>
              <w:jc w:val="center"/>
              <w:rPr>
                <w:rFonts w:ascii="Arial" w:eastAsia="Arial" w:hAnsi="Arial" w:cs="Arial"/>
              </w:rPr>
            </w:pPr>
            <w:r w:rsidRPr="008C2431">
              <w:rPr>
                <w:rFonts w:ascii="Arial" w:eastAsia="Arial" w:hAnsi="Arial" w:cs="Arial"/>
              </w:rPr>
              <w:t>rd.</w:t>
            </w:r>
            <w:r w:rsidRPr="008C2431">
              <w:rPr>
                <w:rFonts w:ascii="Arial" w:eastAsia="Arial" w:hAnsi="Arial" w:cs="Arial"/>
                <w:spacing w:val="1"/>
              </w:rPr>
              <w:t xml:space="preserve"> </w:t>
            </w:r>
            <w:r w:rsidRPr="008C2431">
              <w:rPr>
                <w:rFonts w:ascii="Arial" w:eastAsia="Arial" w:hAnsi="Arial" w:cs="Arial"/>
                <w:spacing w:val="-1"/>
              </w:rPr>
              <w:t>489,9</w:t>
            </w:r>
            <w:r w:rsidRPr="008C2431">
              <w:rPr>
                <w:rFonts w:ascii="Arial" w:eastAsia="Arial" w:hAnsi="Arial" w:cs="Arial"/>
              </w:rPr>
              <w:t xml:space="preserve"> </w:t>
            </w:r>
            <w:r w:rsidRPr="008C2431">
              <w:rPr>
                <w:rFonts w:ascii="Arial" w:eastAsia="Arial" w:hAnsi="Arial" w:cs="Arial"/>
                <w:spacing w:val="-1"/>
              </w:rPr>
              <w:t>Tsd.</w:t>
            </w:r>
            <w:r w:rsidRPr="008C2431">
              <w:rPr>
                <w:rFonts w:ascii="Arial" w:eastAsia="Arial" w:hAnsi="Arial" w:cs="Arial"/>
                <w:spacing w:val="-2"/>
              </w:rPr>
              <w:t xml:space="preserve"> </w:t>
            </w:r>
            <w:r w:rsidRPr="008C2431">
              <w:rPr>
                <w:rFonts w:ascii="Arial" w:eastAsia="Arial" w:hAnsi="Arial" w:cs="Arial"/>
              </w:rPr>
              <w:t>€</w:t>
            </w:r>
            <w:r w:rsidRPr="008C2431">
              <w:rPr>
                <w:rFonts w:ascii="Arial" w:eastAsia="Arial" w:hAnsi="Arial" w:cs="Arial"/>
                <w:spacing w:val="25"/>
              </w:rPr>
              <w:t xml:space="preserve"> </w:t>
            </w:r>
            <w:r w:rsidR="00511445" w:rsidRPr="008C2431">
              <w:rPr>
                <w:rFonts w:ascii="Arial" w:eastAsia="Arial" w:hAnsi="Arial" w:cs="Arial"/>
                <w:spacing w:val="25"/>
              </w:rPr>
              <w:br/>
            </w:r>
            <w:r w:rsidRPr="008C2431">
              <w:rPr>
                <w:rFonts w:ascii="Arial" w:eastAsia="Arial" w:hAnsi="Arial" w:cs="Arial"/>
                <w:spacing w:val="-1"/>
              </w:rPr>
              <w:t>(Beschäftigte</w:t>
            </w:r>
            <w:r w:rsidRPr="008C2431">
              <w:rPr>
                <w:rFonts w:ascii="Arial" w:eastAsia="Arial" w:hAnsi="Arial" w:cs="Arial"/>
                <w:spacing w:val="1"/>
              </w:rPr>
              <w:t xml:space="preserve"> </w:t>
            </w:r>
            <w:r w:rsidRPr="008C2431">
              <w:rPr>
                <w:rFonts w:ascii="Arial" w:eastAsia="Arial" w:hAnsi="Arial" w:cs="Arial"/>
                <w:spacing w:val="-1"/>
              </w:rPr>
              <w:t>und</w:t>
            </w:r>
            <w:r w:rsidRPr="008C2431">
              <w:rPr>
                <w:rFonts w:ascii="Arial" w:eastAsia="Arial" w:hAnsi="Arial" w:cs="Arial"/>
                <w:spacing w:val="23"/>
              </w:rPr>
              <w:t xml:space="preserve"> </w:t>
            </w:r>
            <w:r w:rsidRPr="008C2431">
              <w:rPr>
                <w:rFonts w:ascii="Arial" w:eastAsia="Arial" w:hAnsi="Arial" w:cs="Arial"/>
                <w:spacing w:val="-1"/>
              </w:rPr>
              <w:t>hauptamtliches Entgelt)</w:t>
            </w:r>
          </w:p>
          <w:p w:rsidR="00756D72" w:rsidRPr="008C2431" w:rsidRDefault="00756D72" w:rsidP="00E2196E">
            <w:pPr>
              <w:pStyle w:val="TableParagraph"/>
              <w:spacing w:before="72"/>
              <w:ind w:left="481"/>
              <w:rPr>
                <w:rFonts w:ascii="Arial" w:eastAsia="Arial" w:hAnsi="Arial" w:cs="Arial"/>
              </w:rPr>
            </w:pPr>
            <w:r w:rsidRPr="008C2431">
              <w:rPr>
                <w:rFonts w:ascii="Arial" w:eastAsia="Arial" w:hAnsi="Arial" w:cs="Arial"/>
                <w:spacing w:val="-1"/>
              </w:rPr>
              <w:t>max.</w:t>
            </w:r>
            <w:r w:rsidRPr="008C2431">
              <w:rPr>
                <w:rFonts w:ascii="Arial" w:eastAsia="Arial" w:hAnsi="Arial" w:cs="Arial"/>
                <w:spacing w:val="1"/>
              </w:rPr>
              <w:t xml:space="preserve"> </w:t>
            </w:r>
            <w:r w:rsidRPr="008C2431">
              <w:rPr>
                <w:rFonts w:ascii="Arial" w:eastAsia="Arial" w:hAnsi="Arial" w:cs="Arial"/>
                <w:spacing w:val="-1"/>
              </w:rPr>
              <w:t>80,0</w:t>
            </w:r>
            <w:r w:rsidRPr="008C2431">
              <w:rPr>
                <w:rFonts w:ascii="Arial" w:eastAsia="Arial" w:hAnsi="Arial" w:cs="Arial"/>
                <w:spacing w:val="-2"/>
              </w:rPr>
              <w:t xml:space="preserve"> </w:t>
            </w:r>
            <w:r w:rsidRPr="008C2431">
              <w:rPr>
                <w:rFonts w:ascii="Arial" w:eastAsia="Arial" w:hAnsi="Arial" w:cs="Arial"/>
                <w:spacing w:val="-1"/>
              </w:rPr>
              <w:t>Tsd.</w:t>
            </w:r>
            <w:r w:rsidRPr="008C2431">
              <w:rPr>
                <w:rFonts w:ascii="Arial" w:eastAsia="Arial" w:hAnsi="Arial" w:cs="Arial"/>
              </w:rPr>
              <w:t xml:space="preserve"> €</w:t>
            </w:r>
          </w:p>
          <w:p w:rsidR="00756D72" w:rsidRPr="008C2431" w:rsidRDefault="00756D72" w:rsidP="00E2196E">
            <w:pPr>
              <w:pStyle w:val="TableParagraph"/>
              <w:spacing w:before="72"/>
              <w:ind w:left="183" w:right="177"/>
              <w:jc w:val="both"/>
              <w:rPr>
                <w:rFonts w:ascii="Arial" w:eastAsia="Arial" w:hAnsi="Arial" w:cs="Arial"/>
              </w:rPr>
            </w:pPr>
            <w:r w:rsidRPr="008C2431">
              <w:rPr>
                <w:rFonts w:ascii="Arial" w:hAnsi="Arial" w:cs="Arial"/>
              </w:rPr>
              <w:t xml:space="preserve">Kein </w:t>
            </w:r>
            <w:r w:rsidRPr="008C2431">
              <w:rPr>
                <w:rFonts w:ascii="Arial" w:hAnsi="Arial" w:cs="Arial"/>
                <w:spacing w:val="-1"/>
              </w:rPr>
              <w:t>persönlicher</w:t>
            </w:r>
            <w:r w:rsidRPr="008C2431">
              <w:rPr>
                <w:rFonts w:ascii="Arial" w:hAnsi="Arial" w:cs="Arial"/>
              </w:rPr>
              <w:t xml:space="preserve"> Fah-</w:t>
            </w:r>
            <w:r w:rsidRPr="008C2431">
              <w:rPr>
                <w:rFonts w:ascii="Arial" w:hAnsi="Arial" w:cs="Arial"/>
                <w:spacing w:val="28"/>
              </w:rPr>
              <w:t xml:space="preserve"> </w:t>
            </w:r>
            <w:r w:rsidRPr="008C2431">
              <w:rPr>
                <w:rFonts w:ascii="Arial" w:hAnsi="Arial" w:cs="Arial"/>
              </w:rPr>
              <w:t xml:space="preserve">rer; </w:t>
            </w:r>
            <w:r w:rsidRPr="008C2431">
              <w:rPr>
                <w:rFonts w:ascii="Arial" w:hAnsi="Arial" w:cs="Arial"/>
                <w:spacing w:val="-1"/>
              </w:rPr>
              <w:t>Zugriff</w:t>
            </w:r>
            <w:r w:rsidRPr="008C2431">
              <w:rPr>
                <w:rFonts w:ascii="Arial" w:hAnsi="Arial" w:cs="Arial"/>
                <w:spacing w:val="3"/>
              </w:rPr>
              <w:t xml:space="preserve"> </w:t>
            </w:r>
            <w:r w:rsidRPr="008C2431">
              <w:rPr>
                <w:rFonts w:ascii="Arial" w:hAnsi="Arial" w:cs="Arial"/>
                <w:spacing w:val="-1"/>
              </w:rPr>
              <w:t>auf</w:t>
            </w:r>
            <w:r w:rsidRPr="008C2431">
              <w:rPr>
                <w:rFonts w:ascii="Arial" w:hAnsi="Arial" w:cs="Arial"/>
                <w:spacing w:val="2"/>
              </w:rPr>
              <w:t xml:space="preserve"> </w:t>
            </w:r>
            <w:r w:rsidRPr="008C2431">
              <w:rPr>
                <w:rFonts w:ascii="Arial" w:hAnsi="Arial" w:cs="Arial"/>
                <w:spacing w:val="-1"/>
              </w:rPr>
              <w:t>Fahrbe-</w:t>
            </w:r>
            <w:r w:rsidRPr="008C2431">
              <w:rPr>
                <w:rFonts w:ascii="Arial" w:hAnsi="Arial" w:cs="Arial"/>
                <w:spacing w:val="29"/>
              </w:rPr>
              <w:t xml:space="preserve"> </w:t>
            </w:r>
            <w:r w:rsidRPr="008C2431">
              <w:rPr>
                <w:rFonts w:ascii="Arial" w:hAnsi="Arial" w:cs="Arial"/>
              </w:rPr>
              <w:t>reitschaft</w:t>
            </w:r>
            <w:r w:rsidRPr="008C2431">
              <w:rPr>
                <w:rFonts w:ascii="Arial" w:hAnsi="Arial" w:cs="Arial"/>
                <w:spacing w:val="-2"/>
              </w:rPr>
              <w:t xml:space="preserve"> </w:t>
            </w:r>
            <w:r w:rsidRPr="008C2431">
              <w:rPr>
                <w:rFonts w:ascii="Arial" w:hAnsi="Arial" w:cs="Arial"/>
              </w:rPr>
              <w:t>des</w:t>
            </w:r>
            <w:r w:rsidRPr="008C2431">
              <w:rPr>
                <w:rFonts w:ascii="Arial" w:hAnsi="Arial" w:cs="Arial"/>
                <w:spacing w:val="-2"/>
              </w:rPr>
              <w:t xml:space="preserve"> </w:t>
            </w:r>
            <w:r w:rsidRPr="008C2431">
              <w:rPr>
                <w:rFonts w:ascii="Arial" w:hAnsi="Arial" w:cs="Arial"/>
              </w:rPr>
              <w:t>StMAS</w:t>
            </w:r>
          </w:p>
        </w:tc>
        <w:tc>
          <w:tcPr>
            <w:tcW w:w="3261" w:type="dxa"/>
          </w:tcPr>
          <w:p w:rsidR="00756D72" w:rsidRPr="008C2431" w:rsidRDefault="00756D72" w:rsidP="00E2196E">
            <w:pPr>
              <w:rPr>
                <w:rFonts w:cs="Arial"/>
                <w:szCs w:val="22"/>
              </w:rPr>
            </w:pPr>
          </w:p>
        </w:tc>
      </w:tr>
    </w:tbl>
    <w:p w:rsidR="00A6619E" w:rsidRDefault="00A6619E" w:rsidP="00A6619E">
      <w:pPr>
        <w:rPr>
          <w:rFonts w:ascii="Times New Roman" w:hAnsi="Times New Roman"/>
          <w:szCs w:val="20"/>
        </w:rPr>
      </w:pPr>
    </w:p>
    <w:p w:rsidR="00A6619E" w:rsidRDefault="00A6619E" w:rsidP="00A6619E">
      <w:pPr>
        <w:spacing w:before="9"/>
        <w:rPr>
          <w:rFonts w:ascii="Times New Roman" w:hAnsi="Times New Roman"/>
          <w:sz w:val="17"/>
          <w:szCs w:val="17"/>
        </w:rPr>
      </w:pPr>
    </w:p>
    <w:p w:rsidR="00A6619E" w:rsidRPr="00E268B4" w:rsidRDefault="00A6619E" w:rsidP="00E268B4">
      <w:pPr>
        <w:pStyle w:val="LTAntwortRessortText"/>
        <w:spacing w:before="120"/>
        <w:rPr>
          <w:sz w:val="18"/>
          <w:szCs w:val="18"/>
          <w:u w:val="single"/>
        </w:rPr>
      </w:pPr>
      <w:r w:rsidRPr="00E268B4">
        <w:rPr>
          <w:sz w:val="18"/>
          <w:szCs w:val="18"/>
          <w:u w:val="single" w:color="000000"/>
        </w:rPr>
        <w:t>Hinweise:</w:t>
      </w:r>
    </w:p>
    <w:p w:rsidR="00A6619E" w:rsidRPr="00E268B4" w:rsidRDefault="00A50AD8" w:rsidP="00A50AD8">
      <w:pPr>
        <w:pStyle w:val="LTAntwortRessortText"/>
        <w:spacing w:before="120"/>
        <w:ind w:left="624" w:hanging="284"/>
        <w:rPr>
          <w:sz w:val="18"/>
          <w:szCs w:val="18"/>
        </w:rPr>
      </w:pPr>
      <w:r>
        <w:rPr>
          <w:sz w:val="18"/>
          <w:szCs w:val="18"/>
        </w:rPr>
        <w:t>*</w:t>
      </w:r>
      <w:r>
        <w:rPr>
          <w:sz w:val="18"/>
          <w:szCs w:val="18"/>
        </w:rPr>
        <w:tab/>
      </w:r>
      <w:r w:rsidR="00A6619E" w:rsidRPr="00E268B4">
        <w:rPr>
          <w:sz w:val="18"/>
          <w:szCs w:val="18"/>
        </w:rPr>
        <w:t>Bei im</w:t>
      </w:r>
      <w:r w:rsidR="00A6619E" w:rsidRPr="00E268B4">
        <w:rPr>
          <w:spacing w:val="-2"/>
          <w:sz w:val="18"/>
          <w:szCs w:val="18"/>
        </w:rPr>
        <w:t xml:space="preserve"> </w:t>
      </w:r>
      <w:r w:rsidR="00A6619E" w:rsidRPr="00E268B4">
        <w:rPr>
          <w:sz w:val="18"/>
          <w:szCs w:val="18"/>
        </w:rPr>
        <w:t>Zuge der Aufstellung</w:t>
      </w:r>
      <w:r w:rsidR="00A6619E" w:rsidRPr="00E268B4">
        <w:rPr>
          <w:spacing w:val="-2"/>
          <w:sz w:val="18"/>
          <w:szCs w:val="18"/>
        </w:rPr>
        <w:t xml:space="preserve"> </w:t>
      </w:r>
      <w:r w:rsidR="00A6619E" w:rsidRPr="00E268B4">
        <w:rPr>
          <w:sz w:val="18"/>
          <w:szCs w:val="18"/>
        </w:rPr>
        <w:t xml:space="preserve">des 2. </w:t>
      </w:r>
      <w:r w:rsidR="00DA75B4">
        <w:rPr>
          <w:sz w:val="18"/>
          <w:szCs w:val="18"/>
        </w:rPr>
        <w:t>Nachtragshaushalt</w:t>
      </w:r>
      <w:r w:rsidR="00A6619E" w:rsidRPr="00E268B4">
        <w:rPr>
          <w:sz w:val="18"/>
          <w:szCs w:val="18"/>
        </w:rPr>
        <w:t>s 2018</w:t>
      </w:r>
      <w:r w:rsidR="00A6619E" w:rsidRPr="00E268B4">
        <w:rPr>
          <w:spacing w:val="-2"/>
          <w:sz w:val="18"/>
          <w:szCs w:val="18"/>
        </w:rPr>
        <w:t xml:space="preserve"> </w:t>
      </w:r>
      <w:r w:rsidR="00E268B4" w:rsidRPr="00E268B4">
        <w:rPr>
          <w:sz w:val="18"/>
          <w:szCs w:val="18"/>
        </w:rPr>
        <w:t>neu auszu</w:t>
      </w:r>
      <w:r w:rsidR="00A6619E" w:rsidRPr="00E268B4">
        <w:rPr>
          <w:sz w:val="18"/>
          <w:szCs w:val="18"/>
        </w:rPr>
        <w:t>bringenden Stellen werden</w:t>
      </w:r>
      <w:r w:rsidR="00A6619E" w:rsidRPr="00E268B4">
        <w:rPr>
          <w:spacing w:val="-2"/>
          <w:sz w:val="18"/>
          <w:szCs w:val="18"/>
        </w:rPr>
        <w:t xml:space="preserve"> </w:t>
      </w:r>
      <w:r w:rsidR="00A6619E" w:rsidRPr="00E268B4">
        <w:rPr>
          <w:sz w:val="18"/>
          <w:szCs w:val="18"/>
        </w:rPr>
        <w:t xml:space="preserve">die </w:t>
      </w:r>
      <w:r w:rsidR="00C73586">
        <w:rPr>
          <w:sz w:val="18"/>
          <w:szCs w:val="18"/>
        </w:rPr>
        <w:br/>
      </w:r>
      <w:r w:rsidR="00A6619E" w:rsidRPr="00E268B4">
        <w:rPr>
          <w:sz w:val="18"/>
          <w:szCs w:val="18"/>
        </w:rPr>
        <w:t>Stellengehälter</w:t>
      </w:r>
      <w:r w:rsidR="00A6619E" w:rsidRPr="00E268B4">
        <w:rPr>
          <w:spacing w:val="-4"/>
          <w:sz w:val="18"/>
          <w:szCs w:val="18"/>
        </w:rPr>
        <w:t xml:space="preserve"> </w:t>
      </w:r>
      <w:r w:rsidR="00A6619E" w:rsidRPr="00E268B4">
        <w:rPr>
          <w:sz w:val="18"/>
          <w:szCs w:val="18"/>
        </w:rPr>
        <w:t>auf Basis von</w:t>
      </w:r>
      <w:r w:rsidR="00A6619E" w:rsidRPr="00E268B4">
        <w:rPr>
          <w:spacing w:val="6"/>
          <w:sz w:val="18"/>
          <w:szCs w:val="18"/>
        </w:rPr>
        <w:t xml:space="preserve"> </w:t>
      </w:r>
      <w:r w:rsidR="00E268B4" w:rsidRPr="00E268B4">
        <w:rPr>
          <w:sz w:val="18"/>
          <w:szCs w:val="18"/>
        </w:rPr>
        <w:t>durchschnittli</w:t>
      </w:r>
      <w:r w:rsidR="00A6619E" w:rsidRPr="00E268B4">
        <w:rPr>
          <w:sz w:val="18"/>
          <w:szCs w:val="18"/>
        </w:rPr>
        <w:t>chen</w:t>
      </w:r>
      <w:r w:rsidR="00A6619E" w:rsidRPr="00E268B4">
        <w:rPr>
          <w:spacing w:val="-2"/>
          <w:sz w:val="18"/>
          <w:szCs w:val="18"/>
        </w:rPr>
        <w:t xml:space="preserve"> </w:t>
      </w:r>
      <w:r w:rsidR="00A6619E" w:rsidRPr="00E268B4">
        <w:rPr>
          <w:sz w:val="18"/>
          <w:szCs w:val="18"/>
        </w:rPr>
        <w:t>Personaljahreskosten</w:t>
      </w:r>
      <w:r w:rsidR="00A6619E" w:rsidRPr="00E268B4">
        <w:rPr>
          <w:spacing w:val="-2"/>
          <w:sz w:val="18"/>
          <w:szCs w:val="18"/>
        </w:rPr>
        <w:t xml:space="preserve"> </w:t>
      </w:r>
      <w:r w:rsidR="00A6619E" w:rsidRPr="00E268B4">
        <w:rPr>
          <w:sz w:val="18"/>
          <w:szCs w:val="18"/>
        </w:rPr>
        <w:t>errechnet.</w:t>
      </w:r>
    </w:p>
    <w:p w:rsidR="00A6619E" w:rsidRPr="00E268B4" w:rsidRDefault="00A50AD8" w:rsidP="00A50AD8">
      <w:pPr>
        <w:pStyle w:val="LTAntwortRessortText"/>
        <w:spacing w:before="120"/>
        <w:ind w:left="624" w:hanging="284"/>
        <w:rPr>
          <w:sz w:val="18"/>
          <w:szCs w:val="18"/>
        </w:rPr>
      </w:pPr>
      <w:r>
        <w:rPr>
          <w:sz w:val="18"/>
          <w:szCs w:val="18"/>
        </w:rPr>
        <w:t>**</w:t>
      </w:r>
      <w:r>
        <w:rPr>
          <w:sz w:val="18"/>
          <w:szCs w:val="18"/>
        </w:rPr>
        <w:tab/>
      </w:r>
      <w:r w:rsidR="00A6619E" w:rsidRPr="00E268B4">
        <w:rPr>
          <w:sz w:val="18"/>
          <w:szCs w:val="18"/>
        </w:rPr>
        <w:t>Die Kosten</w:t>
      </w:r>
      <w:r w:rsidR="00A6619E" w:rsidRPr="00E268B4">
        <w:rPr>
          <w:spacing w:val="-2"/>
          <w:sz w:val="18"/>
          <w:szCs w:val="18"/>
        </w:rPr>
        <w:t xml:space="preserve"> </w:t>
      </w:r>
      <w:r w:rsidR="00A6619E" w:rsidRPr="00E268B4">
        <w:rPr>
          <w:sz w:val="18"/>
          <w:szCs w:val="18"/>
        </w:rPr>
        <w:t>der Bewirtschaftung</w:t>
      </w:r>
      <w:r w:rsidR="00A6619E" w:rsidRPr="00E268B4">
        <w:rPr>
          <w:spacing w:val="-2"/>
          <w:sz w:val="18"/>
          <w:szCs w:val="18"/>
        </w:rPr>
        <w:t xml:space="preserve"> </w:t>
      </w:r>
      <w:r w:rsidR="00A6619E" w:rsidRPr="00E268B4">
        <w:rPr>
          <w:sz w:val="18"/>
          <w:szCs w:val="18"/>
        </w:rPr>
        <w:t>der Räume</w:t>
      </w:r>
      <w:r w:rsidR="00A6619E" w:rsidRPr="00E268B4">
        <w:rPr>
          <w:spacing w:val="-2"/>
          <w:sz w:val="18"/>
          <w:szCs w:val="18"/>
        </w:rPr>
        <w:t xml:space="preserve"> </w:t>
      </w:r>
      <w:r w:rsidR="00A6619E" w:rsidRPr="00E268B4">
        <w:rPr>
          <w:sz w:val="18"/>
          <w:szCs w:val="18"/>
        </w:rPr>
        <w:t>(Strom,</w:t>
      </w:r>
      <w:r w:rsidR="00A6619E" w:rsidRPr="00E268B4">
        <w:rPr>
          <w:spacing w:val="-7"/>
          <w:sz w:val="18"/>
          <w:szCs w:val="18"/>
        </w:rPr>
        <w:t xml:space="preserve"> </w:t>
      </w:r>
      <w:r w:rsidR="00A6619E" w:rsidRPr="00E268B4">
        <w:rPr>
          <w:sz w:val="18"/>
          <w:szCs w:val="18"/>
        </w:rPr>
        <w:t>Wasser etc.),</w:t>
      </w:r>
      <w:r w:rsidR="00A6619E" w:rsidRPr="00E268B4">
        <w:rPr>
          <w:spacing w:val="-2"/>
          <w:sz w:val="18"/>
          <w:szCs w:val="18"/>
        </w:rPr>
        <w:t xml:space="preserve"> </w:t>
      </w:r>
      <w:r w:rsidR="00E268B4" w:rsidRPr="00E268B4">
        <w:rPr>
          <w:sz w:val="18"/>
          <w:szCs w:val="18"/>
        </w:rPr>
        <w:t>Aus</w:t>
      </w:r>
      <w:r w:rsidR="00A6619E" w:rsidRPr="00E268B4">
        <w:rPr>
          <w:rFonts w:eastAsia="Arial" w:cs="Arial"/>
          <w:sz w:val="18"/>
          <w:szCs w:val="18"/>
        </w:rPr>
        <w:t>stattung, Dienstfahrzeuge etc. werden</w:t>
      </w:r>
      <w:r w:rsidR="00A6619E" w:rsidRPr="00E268B4">
        <w:rPr>
          <w:rFonts w:eastAsia="Arial" w:cs="Arial"/>
          <w:spacing w:val="-2"/>
          <w:sz w:val="18"/>
          <w:szCs w:val="18"/>
        </w:rPr>
        <w:t xml:space="preserve"> </w:t>
      </w:r>
      <w:r w:rsidR="00A6619E" w:rsidRPr="00E268B4">
        <w:rPr>
          <w:rFonts w:eastAsia="Arial" w:cs="Arial"/>
          <w:sz w:val="18"/>
          <w:szCs w:val="18"/>
        </w:rPr>
        <w:t>aus</w:t>
      </w:r>
      <w:r w:rsidR="00A6619E" w:rsidRPr="00E268B4">
        <w:rPr>
          <w:rFonts w:eastAsia="Arial" w:cs="Arial"/>
          <w:spacing w:val="-3"/>
          <w:sz w:val="18"/>
          <w:szCs w:val="18"/>
        </w:rPr>
        <w:t xml:space="preserve"> </w:t>
      </w:r>
      <w:r w:rsidR="00E268B4">
        <w:rPr>
          <w:rFonts w:eastAsia="Arial" w:cs="Arial"/>
          <w:sz w:val="18"/>
          <w:szCs w:val="18"/>
        </w:rPr>
        <w:t>den „allgemeinen“ Haushaltsmit</w:t>
      </w:r>
      <w:r w:rsidR="00A6619E" w:rsidRPr="00E268B4">
        <w:rPr>
          <w:sz w:val="18"/>
          <w:szCs w:val="18"/>
        </w:rPr>
        <w:t>teln des jeweiligen Ressorts getragen. Die</w:t>
      </w:r>
      <w:r w:rsidR="00A6619E" w:rsidRPr="00E268B4">
        <w:rPr>
          <w:spacing w:val="-2"/>
          <w:sz w:val="18"/>
          <w:szCs w:val="18"/>
        </w:rPr>
        <w:t xml:space="preserve"> </w:t>
      </w:r>
      <w:r w:rsidR="00A6619E" w:rsidRPr="00E268B4">
        <w:rPr>
          <w:sz w:val="18"/>
          <w:szCs w:val="18"/>
        </w:rPr>
        <w:t>Verfü</w:t>
      </w:r>
      <w:r w:rsidR="00E268B4">
        <w:rPr>
          <w:sz w:val="18"/>
          <w:szCs w:val="18"/>
        </w:rPr>
        <w:t>gungsmittel der Beauftrag</w:t>
      </w:r>
      <w:r w:rsidR="00A6619E" w:rsidRPr="00E268B4">
        <w:rPr>
          <w:sz w:val="18"/>
          <w:szCs w:val="18"/>
        </w:rPr>
        <w:t>ten</w:t>
      </w:r>
      <w:r w:rsidR="00A6619E" w:rsidRPr="00E268B4">
        <w:rPr>
          <w:spacing w:val="-2"/>
          <w:sz w:val="18"/>
          <w:szCs w:val="18"/>
        </w:rPr>
        <w:t xml:space="preserve"> </w:t>
      </w:r>
      <w:r w:rsidR="00A6619E" w:rsidRPr="00E268B4">
        <w:rPr>
          <w:sz w:val="18"/>
          <w:szCs w:val="18"/>
        </w:rPr>
        <w:t>dienen insb. zur Finanzierung</w:t>
      </w:r>
      <w:r w:rsidR="00A6619E" w:rsidRPr="00E268B4">
        <w:rPr>
          <w:spacing w:val="-2"/>
          <w:sz w:val="18"/>
          <w:szCs w:val="18"/>
        </w:rPr>
        <w:t xml:space="preserve"> </w:t>
      </w:r>
      <w:r w:rsidR="00A6619E" w:rsidRPr="00E268B4">
        <w:rPr>
          <w:sz w:val="18"/>
          <w:szCs w:val="18"/>
        </w:rPr>
        <w:t>von Reisekosten, Veranstaltungen etc.</w:t>
      </w:r>
    </w:p>
    <w:p w:rsidR="00A6619E" w:rsidRPr="00E268B4" w:rsidRDefault="00A50AD8" w:rsidP="00A50AD8">
      <w:pPr>
        <w:pStyle w:val="LTAntwortRessortText"/>
        <w:spacing w:before="120"/>
        <w:ind w:left="624" w:hanging="284"/>
        <w:rPr>
          <w:sz w:val="18"/>
          <w:szCs w:val="18"/>
        </w:rPr>
      </w:pPr>
      <w:r>
        <w:rPr>
          <w:sz w:val="18"/>
          <w:szCs w:val="18"/>
        </w:rPr>
        <w:t>***</w:t>
      </w:r>
      <w:r>
        <w:rPr>
          <w:sz w:val="18"/>
          <w:szCs w:val="18"/>
        </w:rPr>
        <w:tab/>
      </w:r>
      <w:r w:rsidR="00A6619E" w:rsidRPr="00E268B4">
        <w:rPr>
          <w:sz w:val="18"/>
          <w:szCs w:val="18"/>
        </w:rPr>
        <w:t>Bei</w:t>
      </w:r>
      <w:r w:rsidR="00A6619E" w:rsidRPr="00E268B4">
        <w:rPr>
          <w:spacing w:val="-3"/>
          <w:sz w:val="18"/>
          <w:szCs w:val="18"/>
        </w:rPr>
        <w:t xml:space="preserve"> </w:t>
      </w:r>
      <w:r w:rsidR="00A6619E" w:rsidRPr="00E268B4">
        <w:rPr>
          <w:sz w:val="18"/>
          <w:szCs w:val="18"/>
        </w:rPr>
        <w:t>dem</w:t>
      </w:r>
      <w:r w:rsidR="00A6619E" w:rsidRPr="00E268B4">
        <w:rPr>
          <w:spacing w:val="1"/>
          <w:sz w:val="18"/>
          <w:szCs w:val="18"/>
        </w:rPr>
        <w:t xml:space="preserve"> </w:t>
      </w:r>
      <w:r w:rsidR="00A6619E" w:rsidRPr="00E268B4">
        <w:rPr>
          <w:sz w:val="18"/>
          <w:szCs w:val="18"/>
        </w:rPr>
        <w:t>Betrag</w:t>
      </w:r>
      <w:r w:rsidR="00A6619E" w:rsidRPr="00E268B4">
        <w:rPr>
          <w:spacing w:val="-2"/>
          <w:sz w:val="18"/>
          <w:szCs w:val="18"/>
        </w:rPr>
        <w:t xml:space="preserve"> </w:t>
      </w:r>
      <w:r w:rsidR="00A6619E" w:rsidRPr="00E268B4">
        <w:rPr>
          <w:sz w:val="18"/>
          <w:szCs w:val="18"/>
        </w:rPr>
        <w:t>handelt</w:t>
      </w:r>
      <w:r w:rsidR="00A6619E" w:rsidRPr="00E268B4">
        <w:rPr>
          <w:spacing w:val="-2"/>
          <w:sz w:val="18"/>
          <w:szCs w:val="18"/>
        </w:rPr>
        <w:t xml:space="preserve"> </w:t>
      </w:r>
      <w:r w:rsidR="00A6619E" w:rsidRPr="00E268B4">
        <w:rPr>
          <w:sz w:val="18"/>
          <w:szCs w:val="18"/>
        </w:rPr>
        <w:t>es sich</w:t>
      </w:r>
      <w:r w:rsidR="00A6619E" w:rsidRPr="00E268B4">
        <w:rPr>
          <w:spacing w:val="-2"/>
          <w:sz w:val="18"/>
          <w:szCs w:val="18"/>
        </w:rPr>
        <w:t xml:space="preserve"> </w:t>
      </w:r>
      <w:r w:rsidR="00A6619E" w:rsidRPr="00E268B4">
        <w:rPr>
          <w:sz w:val="18"/>
          <w:szCs w:val="18"/>
        </w:rPr>
        <w:t>um die</w:t>
      </w:r>
      <w:r w:rsidR="00A6619E" w:rsidRPr="00E268B4">
        <w:rPr>
          <w:spacing w:val="-2"/>
          <w:sz w:val="18"/>
          <w:szCs w:val="18"/>
        </w:rPr>
        <w:t xml:space="preserve"> </w:t>
      </w:r>
      <w:r w:rsidR="00A6619E" w:rsidRPr="00E268B4">
        <w:rPr>
          <w:sz w:val="18"/>
          <w:szCs w:val="18"/>
        </w:rPr>
        <w:t xml:space="preserve">maximal für ein </w:t>
      </w:r>
      <w:r w:rsidR="00A6619E" w:rsidRPr="00E268B4">
        <w:rPr>
          <w:spacing w:val="-2"/>
          <w:sz w:val="18"/>
          <w:szCs w:val="18"/>
        </w:rPr>
        <w:t>ganzes</w:t>
      </w:r>
      <w:r w:rsidR="00E268B4" w:rsidRPr="00E268B4">
        <w:rPr>
          <w:sz w:val="18"/>
          <w:szCs w:val="18"/>
        </w:rPr>
        <w:t xml:space="preserve"> Kalender</w:t>
      </w:r>
      <w:r w:rsidR="00A6619E" w:rsidRPr="00E268B4">
        <w:rPr>
          <w:sz w:val="18"/>
          <w:szCs w:val="18"/>
        </w:rPr>
        <w:t>jahr gewährte Entschädigung. Aufgrund</w:t>
      </w:r>
      <w:r w:rsidR="00A6619E" w:rsidRPr="00E268B4">
        <w:rPr>
          <w:spacing w:val="-2"/>
          <w:sz w:val="18"/>
          <w:szCs w:val="18"/>
        </w:rPr>
        <w:t xml:space="preserve"> </w:t>
      </w:r>
      <w:r w:rsidR="00A6619E" w:rsidRPr="00E268B4">
        <w:rPr>
          <w:sz w:val="18"/>
          <w:szCs w:val="18"/>
        </w:rPr>
        <w:t>der</w:t>
      </w:r>
      <w:r w:rsidR="00A6619E" w:rsidRPr="00E268B4">
        <w:rPr>
          <w:spacing w:val="-3"/>
          <w:sz w:val="18"/>
          <w:szCs w:val="18"/>
        </w:rPr>
        <w:t xml:space="preserve"> </w:t>
      </w:r>
      <w:r w:rsidR="00A6619E" w:rsidRPr="00E268B4">
        <w:rPr>
          <w:sz w:val="18"/>
          <w:szCs w:val="18"/>
        </w:rPr>
        <w:t>Bestellung</w:t>
      </w:r>
      <w:r w:rsidR="00A6619E" w:rsidRPr="00E268B4">
        <w:rPr>
          <w:spacing w:val="-2"/>
          <w:sz w:val="18"/>
          <w:szCs w:val="18"/>
        </w:rPr>
        <w:t xml:space="preserve"> </w:t>
      </w:r>
      <w:r w:rsidR="00A6619E" w:rsidRPr="00E268B4">
        <w:rPr>
          <w:sz w:val="18"/>
          <w:szCs w:val="18"/>
        </w:rPr>
        <w:t>einiger Beauftragter</w:t>
      </w:r>
      <w:r w:rsidR="00A6619E" w:rsidRPr="00E268B4">
        <w:rPr>
          <w:spacing w:val="71"/>
          <w:sz w:val="18"/>
          <w:szCs w:val="18"/>
        </w:rPr>
        <w:t xml:space="preserve"> </w:t>
      </w:r>
      <w:r w:rsidR="00A6619E" w:rsidRPr="00E268B4">
        <w:rPr>
          <w:sz w:val="18"/>
          <w:szCs w:val="18"/>
        </w:rPr>
        <w:t>ab dem 21.03.2018</w:t>
      </w:r>
      <w:r w:rsidR="00A6619E" w:rsidRPr="00E268B4">
        <w:rPr>
          <w:spacing w:val="-2"/>
          <w:sz w:val="18"/>
          <w:szCs w:val="18"/>
        </w:rPr>
        <w:t xml:space="preserve"> </w:t>
      </w:r>
      <w:r w:rsidR="00A6619E" w:rsidRPr="00E268B4">
        <w:rPr>
          <w:sz w:val="18"/>
          <w:szCs w:val="18"/>
        </w:rPr>
        <w:t>fällt</w:t>
      </w:r>
      <w:r w:rsidR="00A6619E" w:rsidRPr="00E268B4">
        <w:rPr>
          <w:spacing w:val="-2"/>
          <w:sz w:val="18"/>
          <w:szCs w:val="18"/>
        </w:rPr>
        <w:t xml:space="preserve"> </w:t>
      </w:r>
      <w:r w:rsidR="00A6619E" w:rsidRPr="00E268B4">
        <w:rPr>
          <w:sz w:val="18"/>
          <w:szCs w:val="18"/>
        </w:rPr>
        <w:t>für diese nur ein</w:t>
      </w:r>
      <w:r w:rsidR="00A6619E" w:rsidRPr="00E268B4">
        <w:rPr>
          <w:spacing w:val="-2"/>
          <w:sz w:val="18"/>
          <w:szCs w:val="18"/>
        </w:rPr>
        <w:t xml:space="preserve"> </w:t>
      </w:r>
      <w:r w:rsidR="00A6619E" w:rsidRPr="00E268B4">
        <w:rPr>
          <w:sz w:val="18"/>
          <w:szCs w:val="18"/>
        </w:rPr>
        <w:t>Anteil pro rata temporis an.</w:t>
      </w:r>
    </w:p>
    <w:p w:rsidR="00FF7979" w:rsidRDefault="00A6619E" w:rsidP="00A6619E">
      <w:pPr>
        <w:pStyle w:val="LTAntwortRessortText"/>
      </w:pPr>
      <w:r>
        <w:t>Für die Beauftragten</w:t>
      </w:r>
      <w:r>
        <w:rPr>
          <w:spacing w:val="-2"/>
        </w:rPr>
        <w:t xml:space="preserve"> </w:t>
      </w:r>
      <w:r>
        <w:t>der Staatsregierung</w:t>
      </w:r>
      <w:r>
        <w:rPr>
          <w:spacing w:val="-2"/>
        </w:rPr>
        <w:t xml:space="preserve"> </w:t>
      </w:r>
      <w:r w:rsidR="00E268B4">
        <w:t>besteht keine Anzeige- bzw. Aus</w:t>
      </w:r>
      <w:r>
        <w:t>kunftspflicht in</w:t>
      </w:r>
      <w:r>
        <w:rPr>
          <w:spacing w:val="-2"/>
        </w:rPr>
        <w:t xml:space="preserve"> </w:t>
      </w:r>
      <w:r>
        <w:t>Bezug</w:t>
      </w:r>
      <w:r>
        <w:rPr>
          <w:spacing w:val="-2"/>
        </w:rPr>
        <w:t xml:space="preserve"> </w:t>
      </w:r>
      <w:r>
        <w:t>auf</w:t>
      </w:r>
      <w:r>
        <w:rPr>
          <w:spacing w:val="2"/>
        </w:rPr>
        <w:t xml:space="preserve"> </w:t>
      </w:r>
      <w:r>
        <w:t>Nebeneinkünfte. Der Staatsregierung</w:t>
      </w:r>
      <w:r>
        <w:rPr>
          <w:spacing w:val="-2"/>
        </w:rPr>
        <w:t xml:space="preserve"> </w:t>
      </w:r>
      <w:r w:rsidR="00E268B4">
        <w:t>liegen des</w:t>
      </w:r>
      <w:r>
        <w:t>halb insoweit auch keine Erkenntnisse vor.</w:t>
      </w:r>
    </w:p>
    <w:p w:rsidR="00FF7979" w:rsidRDefault="00FF7979">
      <w:r>
        <w:br w:type="page"/>
      </w:r>
    </w:p>
    <w:p w:rsidR="00A6619E" w:rsidRDefault="00A6619E" w:rsidP="00A6619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Dr. Sepp</w:t>
            </w:r>
            <w:r w:rsidRPr="000E3A3D">
              <w:rPr>
                <w:b/>
              </w:rPr>
              <w:br/>
              <w:t>Dürr</w:t>
            </w:r>
            <w:r w:rsidRPr="000E3A3D">
              <w:rPr>
                <w:b/>
              </w:rPr>
              <w:br/>
            </w:r>
            <w:r w:rsidRPr="000E3A3D">
              <w:t>(BÜNDNIS 90/DIE GRÜNEN)</w:t>
            </w:r>
            <w:r>
              <w:fldChar w:fldCharType="begin"/>
            </w:r>
            <w:r>
              <w:instrText xml:space="preserve"> TC </w:instrText>
            </w:r>
            <w:r w:rsidR="00423B2A">
              <w:instrText>„</w:instrText>
            </w:r>
            <w:bookmarkStart w:id="55" w:name="_Toc519153241"/>
            <w:r>
              <w:instrText>Dr. Dürr, Sepp (BÜNDNIS 90/DIE GRÜNEN)</w:instrText>
            </w:r>
            <w:r>
              <w:br/>
              <w:instrText>Bio-Essen in Staatsministerien</w:instrText>
            </w:r>
            <w:bookmarkEnd w:id="5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A45535">
            <w:pPr>
              <w:pStyle w:val="LTAnfrageText"/>
            </w:pPr>
            <w:r>
              <w:t>Ich frage die Staatsregierung, in wie vielen Kantinen, Gaststätten usw. die Beschäftigten der obersten staatlichen Regierungsorgane wie Staatsministerien, Staatskanzlei und Landesämter vergünstigt mittagessen können, in welchen davon täglich mindestens ein oder mehrere Essen mit einem Anteil an Rohstoffen überwiegend oder vollständig aus ökologischer Erzeugung angeboten wird und wie hoch der Bio-Anteil an den angebotenen bzw. verkauften Essen ist?</w:t>
            </w:r>
          </w:p>
        </w:tc>
      </w:tr>
    </w:tbl>
    <w:p w:rsidR="000E3A3D" w:rsidRDefault="000E3A3D" w:rsidP="000E3A3D">
      <w:pPr>
        <w:pStyle w:val="LTUeberschrAntwortRessort"/>
      </w:pPr>
      <w:r>
        <w:t>Antwort des Staatsministeriums der Finanzen, für Landesentwicklung und Heimat</w:t>
      </w:r>
    </w:p>
    <w:p w:rsidR="000E3A3D" w:rsidRDefault="000E3A3D" w:rsidP="000E3A3D">
      <w:pPr>
        <w:pStyle w:val="LTAntwortRessortText"/>
      </w:pPr>
      <w:r>
        <w:t>In Zusammenhang mit der Beantwortung der Schriftlichen Anfrage des Abgeordneten Hans-Ulric</w:t>
      </w:r>
      <w:r w:rsidR="0009202A">
        <w:t xml:space="preserve">h Pfaffmann </w:t>
      </w:r>
      <w:r>
        <w:t xml:space="preserve">vom </w:t>
      </w:r>
      <w:r w:rsidR="0009202A">
        <w:t>22.02.</w:t>
      </w:r>
      <w:r>
        <w:t xml:space="preserve">2018 betreffend </w:t>
      </w:r>
      <w:r w:rsidR="00423B2A">
        <w:t>„</w:t>
      </w:r>
      <w:r>
        <w:t>'Fair Trade' in Kantinen staatlicher Einrichtungen, insbesondere der Bayerischen Staatsministerien</w:t>
      </w:r>
      <w:r w:rsidR="00423B2A">
        <w:t>“</w:t>
      </w:r>
      <w:r>
        <w:t xml:space="preserve"> </w:t>
      </w:r>
      <w:r w:rsidR="0009202A">
        <w:t>(Drs. 17/22050) w</w:t>
      </w:r>
      <w:r>
        <w:t xml:space="preserve">urden Daten zur Verwendung von Produkten aus sog. Fairem Handel und ökologischer Produktion in Kantinen </w:t>
      </w:r>
      <w:r w:rsidR="0009202A">
        <w:t>der Staatsm</w:t>
      </w:r>
      <w:r>
        <w:t>inisterien sowie der Staatskanzlei erhoben.</w:t>
      </w:r>
    </w:p>
    <w:p w:rsidR="000E3A3D" w:rsidRDefault="000E3A3D" w:rsidP="000E3A3D">
      <w:pPr>
        <w:pStyle w:val="LTAntwortRessortText"/>
      </w:pPr>
      <w:r>
        <w:t>Sowohl Bio-Produkte wie auch Produkte aus sog. Fairem Handel werden regelmäßi</w:t>
      </w:r>
      <w:r w:rsidR="0009202A">
        <w:t>g von den Kantinenpächtern der Staatsm</w:t>
      </w:r>
      <w:r>
        <w:t>inisterien und der Staatskanzlei eingesetzt, ohne dass jedoch starre Quoten bestehen.</w:t>
      </w:r>
    </w:p>
    <w:p w:rsidR="000E3A3D" w:rsidRDefault="000E3A3D" w:rsidP="000E3A3D">
      <w:pPr>
        <w:pStyle w:val="LTAntwortRessortText"/>
      </w:pPr>
      <w:r>
        <w:t xml:space="preserve">Inwieweit </w:t>
      </w:r>
      <w:r w:rsidR="0009202A">
        <w:t>Kantinen von Staatsm</w:t>
      </w:r>
      <w:r>
        <w:t>inisterien, der Staatskanzlei und Landesämtern vergünstigte Mittagessen anbieten und inwieweit Kantinen von Landesämtern Regelungen zur Verwendung von Bio-Produkten in die Pachtverträge aufgenommen haben, liegt in der Organisationshoheit der einzelnen Ressorts und könnte nur durch eine aufwändige Abfrage und Auswertung der einzelnen Verträge unter Wahrung der datenschutzrechtlichen Belange der Pächter ermittelt werden.</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Annette</w:t>
            </w:r>
            <w:r w:rsidRPr="000E3A3D">
              <w:rPr>
                <w:b/>
              </w:rPr>
              <w:br/>
              <w:t>Karl</w:t>
            </w:r>
            <w:r w:rsidRPr="000E3A3D">
              <w:rPr>
                <w:b/>
              </w:rPr>
              <w:br/>
            </w:r>
            <w:r w:rsidRPr="000E3A3D">
              <w:t>(SPD)</w:t>
            </w:r>
            <w:r>
              <w:fldChar w:fldCharType="begin"/>
            </w:r>
            <w:r>
              <w:instrText xml:space="preserve"> TC </w:instrText>
            </w:r>
            <w:r w:rsidR="00423B2A">
              <w:instrText>„</w:instrText>
            </w:r>
            <w:bookmarkStart w:id="56" w:name="_Toc519153242"/>
            <w:r>
              <w:instrText>Karl, Annette (SPD)</w:instrText>
            </w:r>
            <w:r>
              <w:br/>
              <w:instrText>\</w:instrText>
            </w:r>
            <w:r w:rsidR="00423B2A">
              <w:instrText>“</w:instrText>
            </w:r>
            <w:r>
              <w:instrText>Digitales Rathaus rund um die Uhr und an jedem Ort\</w:instrText>
            </w:r>
            <w:bookmarkEnd w:id="56"/>
            <w:r w:rsidR="00423B2A">
              <w:instrText>“</w:instrText>
            </w:r>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Nachdem Ministerpräsident Dr. Markus Söder in seiner Regierungserklärung vom 18.04.2018 ankündigte, dass in zwei Jahren das </w:t>
            </w:r>
            <w:r w:rsidR="00423B2A">
              <w:t>„</w:t>
            </w:r>
            <w:r>
              <w:t>digitale Rathaus rund um die Uhr und an jedem Ort</w:t>
            </w:r>
            <w:r w:rsidR="00423B2A">
              <w:t>“</w:t>
            </w:r>
            <w:r>
              <w:t xml:space="preserve"> entstehen soll, frage ich die Staatsregierung, nach welchen Fördermodalitäten stehen den Kommunen in welchem konkreten Zeitraum und in welchen Haushaltstiteln (Doppelhaushalt 2017/2018, </w:t>
            </w:r>
            <w:r w:rsidR="00193822">
              <w:br/>
            </w:r>
            <w:r>
              <w:t>1</w:t>
            </w:r>
            <w:r w:rsidR="00193822">
              <w:t>. und 2. Nachtragshaushalt 2018</w:t>
            </w:r>
            <w:r>
              <w:t>) etatisierte Mittel zur Verfügung?</w:t>
            </w:r>
          </w:p>
          <w:p w:rsidR="000E3A3D" w:rsidRDefault="000E3A3D" w:rsidP="000E3A3D">
            <w:pPr>
              <w:pStyle w:val="LTAnfrageText"/>
            </w:pPr>
          </w:p>
        </w:tc>
      </w:tr>
    </w:tbl>
    <w:p w:rsidR="000E3A3D" w:rsidRDefault="000E3A3D" w:rsidP="000E3A3D">
      <w:pPr>
        <w:pStyle w:val="LTUeberschrAntwortRessort"/>
      </w:pPr>
      <w:r>
        <w:t>Antwort des Staatsministeriums der Finanzen, für Landesentwicklung und Heimat</w:t>
      </w:r>
    </w:p>
    <w:p w:rsidR="000E3A3D" w:rsidRDefault="000E3A3D" w:rsidP="000E3A3D">
      <w:pPr>
        <w:pStyle w:val="LTAntwortRessortText"/>
      </w:pPr>
      <w:r>
        <w:t xml:space="preserve">Die Umsetzung und Weiterentwicklung von E-Government erfolgt in Bayern in enger Zusammenarbeit mit den kommunalen Spitzenverbänden über den E-Government-Pakt, welcher erstmalig 2002 geschlossen und insb. 2014 mit der Strategie Montgelas 3.0 erneuert wurde. Teil dieser Strategie war das </w:t>
      </w:r>
      <w:r w:rsidR="0009202A">
        <w:t>„</w:t>
      </w:r>
      <w:r>
        <w:t>BayernPortal</w:t>
      </w:r>
      <w:r w:rsidR="0009202A">
        <w:t>“</w:t>
      </w:r>
      <w:r>
        <w:t>, welches 2015 als bundesweit erste zentrale Informations- und Zugangsplattform für elektronische Verwaltungsleistungen online ging.</w:t>
      </w:r>
    </w:p>
    <w:p w:rsidR="000E3A3D" w:rsidRDefault="000E3A3D" w:rsidP="000E3A3D">
      <w:pPr>
        <w:pStyle w:val="LTAntwortRessortText"/>
      </w:pPr>
      <w:r>
        <w:lastRenderedPageBreak/>
        <w:t xml:space="preserve">Mit Blick auf das bayerische Ziel </w:t>
      </w:r>
      <w:r w:rsidR="00423B2A">
        <w:t>„</w:t>
      </w:r>
      <w:r>
        <w:t>Digitales Rathaus</w:t>
      </w:r>
      <w:r w:rsidR="00423B2A">
        <w:t>“</w:t>
      </w:r>
      <w:r>
        <w:t xml:space="preserve"> in zwei Jahren sowie dem Onlinezugangsgesetz des Bundes soll die Digitalisierung kommunaler Verwaltungsleistungen im Rahmen strategischer Überlegunge</w:t>
      </w:r>
      <w:r w:rsidR="00DA75B4">
        <w:t>n des IT-Be</w:t>
      </w:r>
      <w:r>
        <w:t>auftragten der Staatsregierung durch finanz</w:t>
      </w:r>
      <w:r w:rsidR="00193822">
        <w:t>ielle Anreize beschleunigt wer</w:t>
      </w:r>
      <w:r>
        <w:t>den. Dies soll durch die Förderung von E-Government-Diensten im Sinne der Anschubfinanzierung realisiert werden. Die hi</w:t>
      </w:r>
      <w:r w:rsidR="0009202A">
        <w:t>erfür notwendige Förderrichtli</w:t>
      </w:r>
      <w:r>
        <w:t>nie ist aktuell in Vorbereitung. Im 1. Nachtragshaushalt 2018 wurde dafür bei Kapitel 13 50 die Titelgruppe 76 (</w:t>
      </w:r>
      <w:r w:rsidR="0009202A">
        <w:t>„</w:t>
      </w:r>
      <w:r>
        <w:t>BayernPortal</w:t>
      </w:r>
      <w:r w:rsidR="0009202A">
        <w:t>“</w:t>
      </w:r>
      <w:r>
        <w:t xml:space="preserve"> und </w:t>
      </w:r>
      <w:r w:rsidR="0009202A">
        <w:t>Online-Dienste) erwei</w:t>
      </w:r>
      <w:r>
        <w:t>tert (= Umsetzung digitales Rathaus). Zur haushaltsmäßigen Umsetzung werden die Titel 633 76 und 883 76 aufgenomm</w:t>
      </w:r>
      <w:r w:rsidR="0009202A">
        <w:t>en. Diese Titel sind deckungsfähig zul</w:t>
      </w:r>
      <w:r>
        <w:t>asten der Mittel in Kapitel 13 50 (IT-Beauftragter der S</w:t>
      </w:r>
      <w:r w:rsidR="0009202A">
        <w:t>taatsregie</w:t>
      </w:r>
      <w:r>
        <w:t>rung</w:t>
      </w:r>
      <w:r w:rsidR="00DA75B4">
        <w:t>)</w:t>
      </w:r>
      <w:r>
        <w:t>.</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Margit</w:t>
            </w:r>
            <w:r w:rsidRPr="000E3A3D">
              <w:rPr>
                <w:b/>
              </w:rPr>
              <w:br/>
              <w:t>Wild</w:t>
            </w:r>
            <w:r w:rsidRPr="000E3A3D">
              <w:rPr>
                <w:b/>
              </w:rPr>
              <w:br/>
            </w:r>
            <w:r w:rsidRPr="000E3A3D">
              <w:t>(SPD)</w:t>
            </w:r>
            <w:r>
              <w:fldChar w:fldCharType="begin"/>
            </w:r>
            <w:r>
              <w:instrText xml:space="preserve"> TC </w:instrText>
            </w:r>
            <w:r w:rsidR="00423B2A">
              <w:instrText>„</w:instrText>
            </w:r>
            <w:bookmarkStart w:id="57" w:name="_Toc519153243"/>
            <w:r>
              <w:instrText>Wild, Margit (SPD)</w:instrText>
            </w:r>
            <w:r>
              <w:br/>
              <w:instrText>Lotto-Toto-Vertriebsgemeinschaft</w:instrText>
            </w:r>
            <w:bookmarkEnd w:id="5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lässt sich die Doppelfunktion von MdL Ernst Weidenbusch aus Beauftragter für Staatsbeteiligungen mit seiner Funktion als Syndikus der Lotto-Toto-Vertriebsgemeinschaft (VG) vereinbaren, welche Einnahmen hat er als Syndikus bei der VG bislang im Konkreten erzielt (bitte nach Jahren und in Euro aufschlüsseln) und aus welcher konkreten Zusammenarbeit mit staatlichen Beteiligungen hat MdL Ernst Weidenbusch bislang Einnahmen erzielt (bitte nach Jahren und in Euro aufschlüsseln)?</w:t>
            </w:r>
          </w:p>
          <w:p w:rsidR="000E3A3D" w:rsidRDefault="000E3A3D" w:rsidP="000E3A3D">
            <w:pPr>
              <w:pStyle w:val="LTAnfrageText"/>
            </w:pPr>
          </w:p>
        </w:tc>
      </w:tr>
    </w:tbl>
    <w:p w:rsidR="000E3A3D" w:rsidRDefault="000E3A3D" w:rsidP="00193822">
      <w:pPr>
        <w:pStyle w:val="LTUeberschrAntwortRessort"/>
        <w:spacing w:before="960"/>
      </w:pPr>
      <w:r>
        <w:t>Antwort des Staatsministeriums der Finanzen, für Landesentwicklung und Heimat</w:t>
      </w:r>
    </w:p>
    <w:p w:rsidR="000E3A3D" w:rsidRDefault="000E3A3D" w:rsidP="00193822">
      <w:pPr>
        <w:pStyle w:val="LTAntwortRessortText"/>
        <w:spacing w:before="360"/>
      </w:pPr>
      <w:r>
        <w:t xml:space="preserve">Herr </w:t>
      </w:r>
      <w:r w:rsidR="005A4ED5">
        <w:t>Abgeordneter Ernst</w:t>
      </w:r>
      <w:r>
        <w:t xml:space="preserve"> Weidenbusch hat zu Beginn seiner Tätigkeit als Beauftragter der Staatsregierung für staatliche Beteiligungen erklärt, dass er als Beauftragter für staatliche Beteiligungen im Bereich der Staatlichen Lotterieverwaltung nicht tätig wird. Die Einnahmen von Herrn MdL Weidenbusch als Syndikus </w:t>
      </w:r>
      <w:r w:rsidR="00DA75B4">
        <w:t xml:space="preserve">der </w:t>
      </w:r>
      <w:r w:rsidR="005A4ED5">
        <w:t xml:space="preserve">Lotto-Toto-Vertriebsgemeinschaft </w:t>
      </w:r>
      <w:r>
        <w:t xml:space="preserve">sind dem Staatsministerium der Finanzen, für Landesentwicklung und Heimat </w:t>
      </w:r>
      <w:r w:rsidR="005A4ED5">
        <w:t xml:space="preserve">(StMFLH) </w:t>
      </w:r>
      <w:r>
        <w:t>nicht bekannt.</w:t>
      </w:r>
    </w:p>
    <w:p w:rsidR="000E3A3D" w:rsidRDefault="000E3A3D" w:rsidP="00193822">
      <w:pPr>
        <w:pStyle w:val="LTAntwortRessortText"/>
        <w:spacing w:before="360"/>
      </w:pPr>
      <w:r>
        <w:t xml:space="preserve">Nach Kenntnis des </w:t>
      </w:r>
      <w:r w:rsidR="005A4ED5">
        <w:t>StMFLH</w:t>
      </w:r>
      <w:r>
        <w:t xml:space="preserve"> gab und gibt es keine unmittelbaren Auftragsverhält</w:t>
      </w:r>
      <w:r w:rsidR="005A4ED5">
        <w:t>nisse zwischen Beteiligungs</w:t>
      </w:r>
      <w:r>
        <w:t xml:space="preserve">unternehmen und MdL </w:t>
      </w:r>
      <w:r w:rsidR="005A4ED5">
        <w:t xml:space="preserve">Ernst </w:t>
      </w:r>
      <w:r>
        <w:t xml:space="preserve">Weidenbusch. Darüber hinaus hat MdL </w:t>
      </w:r>
      <w:r w:rsidR="005A4ED5">
        <w:t>Ernst Weidenbusch den Aus</w:t>
      </w:r>
      <w:r>
        <w:t>schuss für Staatshaushalt und Finanzfragen 2016 über seine Tätigkeit zur Beilegung eines Rechtsstreits unter Einbeziehung unter anderem eines staatlic</w:t>
      </w:r>
      <w:r w:rsidR="005A4ED5">
        <w:t>hen Beteiligungs</w:t>
      </w:r>
      <w:r>
        <w:t>unternehmens vorab informiert. Ergänzend ist darau</w:t>
      </w:r>
      <w:r w:rsidR="005A4ED5">
        <w:t>f hinzuweisen, dass MdL Ernst Weiden</w:t>
      </w:r>
      <w:r>
        <w:t>busch im Zusammenhang mit seiner Tätigkeit als Beauf</w:t>
      </w:r>
      <w:r w:rsidR="005A4ED5">
        <w:t>tragter Mitglied des Aufsichts</w:t>
      </w:r>
      <w:r>
        <w:t>rats der Flughafen München GmbH ist; die jährliche Aufsichtsratsvergütung, die er wie jedes Aufsichtsratsmitgli</w:t>
      </w:r>
      <w:r w:rsidR="005A4ED5">
        <w:t>ed erhalten wird, beträgt 2.000 </w:t>
      </w:r>
      <w:r w:rsidR="00423B2A">
        <w:t>Euro</w:t>
      </w:r>
      <w:r>
        <w:t xml:space="preserve"> (netto).</w:t>
      </w:r>
    </w:p>
    <w:p w:rsidR="00953F6A" w:rsidRDefault="00953F6A" w:rsidP="00193822">
      <w:pPr>
        <w:spacing w:before="360"/>
        <w:rPr>
          <w:rFonts w:cs="Arial"/>
          <w:b/>
          <w:sz w:val="22"/>
          <w:szCs w:val="22"/>
        </w:rPr>
      </w:pPr>
      <w:r>
        <w:br w:type="page"/>
      </w:r>
    </w:p>
    <w:p w:rsidR="000E3A3D" w:rsidRDefault="000E3A3D" w:rsidP="000E3A3D">
      <w:pPr>
        <w:pStyle w:val="LTUeberschrRessort"/>
      </w:pPr>
      <w:r>
        <w:lastRenderedPageBreak/>
        <w:t>Geschäftsbereich des Staatsministeriums für Umwelt und Verbraucherschutz</w:t>
      </w:r>
      <w:r>
        <w:fldChar w:fldCharType="begin"/>
      </w:r>
      <w:r>
        <w:instrText xml:space="preserve"> TC </w:instrText>
      </w:r>
      <w:r w:rsidR="00423B2A">
        <w:instrText>„</w:instrText>
      </w:r>
      <w:bookmarkStart w:id="58" w:name="_Toc519153244"/>
      <w:r>
        <w:instrText>Geschäftsbereich des Staatsministeriums für Umwelt und Verbraucherschutz</w:instrText>
      </w:r>
      <w:bookmarkEnd w:id="58"/>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Hubert</w:t>
            </w:r>
            <w:r w:rsidRPr="000E3A3D">
              <w:rPr>
                <w:b/>
              </w:rPr>
              <w:br/>
              <w:t>Aiwanger</w:t>
            </w:r>
            <w:r w:rsidRPr="000E3A3D">
              <w:rPr>
                <w:b/>
              </w:rPr>
              <w:br/>
            </w:r>
            <w:r w:rsidRPr="000E3A3D">
              <w:t>(FREIE WÄHLER)</w:t>
            </w:r>
            <w:r>
              <w:fldChar w:fldCharType="begin"/>
            </w:r>
            <w:r>
              <w:instrText xml:space="preserve"> TC </w:instrText>
            </w:r>
            <w:r w:rsidR="00423B2A">
              <w:instrText>„</w:instrText>
            </w:r>
            <w:bookmarkStart w:id="59" w:name="_Toc519153245"/>
            <w:r>
              <w:instrText>Aiwanger, Hubert (FREIE WÄHLER)</w:instrText>
            </w:r>
            <w:r>
              <w:br/>
              <w:instrText>Weideschlachtungen</w:instrText>
            </w:r>
            <w:bookmarkEnd w:id="5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Fleisch aus der Weideschlachtung von Rindern bei Verbraucherinnen und Verbrauchern große Wertschätzung erfährt und eine Einkommensalternative für Landwirte darstellt, frage ich die Staatsregierung, wie viele Betriebe in Bayern (bitte aufgeschlüsselt nach Regierungsbezirken) derzeit die Weideschlachtung bei Rindern praktizieren, was sie derzeit unternimmt, um dieses Verfahren gezielt zur Nachahmung zu empfehlen und welche zusätzlichen Möglichkeiten seitens der Staatsregierung sie sieht, Weideschlachtung in Bayern noch mehr zu etablieren, unter anderem im Hinblick auf die hofeigene oder ortsnahe Verfügbarkeit von hierfür zugelassenen Zerlegestätten?</w:t>
            </w:r>
          </w:p>
          <w:p w:rsidR="000E3A3D" w:rsidRDefault="000E3A3D" w:rsidP="000E3A3D">
            <w:pPr>
              <w:pStyle w:val="LTAnfrageText"/>
            </w:pPr>
          </w:p>
        </w:tc>
      </w:tr>
    </w:tbl>
    <w:p w:rsidR="000E3A3D" w:rsidRDefault="000E3A3D" w:rsidP="000E3A3D">
      <w:pPr>
        <w:pStyle w:val="LTUeberschrAntwortRessort"/>
      </w:pPr>
      <w:r>
        <w:t>Antwort des Staatsministeriums für Umwelt und Verbraucherschutz</w:t>
      </w:r>
    </w:p>
    <w:p w:rsidR="000E3A3D" w:rsidRDefault="000E3A3D" w:rsidP="000E3A3D">
      <w:pPr>
        <w:pStyle w:val="LTAntwortRessortText"/>
      </w:pPr>
      <w:r>
        <w:t>Für die Schlachtung von Rindern am Herkunftsort bestehen nach Lebensmittelrecht zwei Möglichkeiten:</w:t>
      </w:r>
    </w:p>
    <w:p w:rsidR="000E3A3D" w:rsidRPr="00953F6A" w:rsidRDefault="00953F6A" w:rsidP="000E3A3D">
      <w:pPr>
        <w:pStyle w:val="LTAntwortRessortText"/>
        <w:rPr>
          <w:u w:val="single"/>
        </w:rPr>
      </w:pPr>
      <w:r w:rsidRPr="00953F6A">
        <w:t>1.</w:t>
      </w:r>
      <w:r>
        <w:t xml:space="preserve"> </w:t>
      </w:r>
      <w:r w:rsidR="000E3A3D" w:rsidRPr="00953F6A">
        <w:t xml:space="preserve">Der Einsatz der mobilen Schlachtanlage </w:t>
      </w:r>
      <w:r w:rsidR="00DA75B4">
        <w:t>eines Schlachthof</w:t>
      </w:r>
      <w:r w:rsidR="000E3A3D" w:rsidRPr="00953F6A">
        <w:t>s:</w:t>
      </w:r>
    </w:p>
    <w:p w:rsidR="000E3A3D" w:rsidRDefault="000E3A3D" w:rsidP="00953F6A">
      <w:pPr>
        <w:pStyle w:val="LTAntwortRessortText"/>
        <w:spacing w:before="120"/>
      </w:pPr>
      <w:r>
        <w:t>Die mobile S</w:t>
      </w:r>
      <w:r w:rsidR="00DA75B4">
        <w:t>chlachtanlage eines Schlachthof</w:t>
      </w:r>
      <w:r>
        <w:t>s kommt dabei auf den landwirtschaftlichen Betrieb, das Rind wird im mobilen Teil betäubt und entblutet. Alle weiteren Schritte des Schlachtens einschließlich der Fleischuntersuchung erfolgen im s</w:t>
      </w:r>
      <w:r w:rsidR="00DA75B4">
        <w:t>tationären Teil des Schlachthof</w:t>
      </w:r>
      <w:r>
        <w:t>s.</w:t>
      </w:r>
    </w:p>
    <w:p w:rsidR="000E3A3D" w:rsidRDefault="000E3A3D" w:rsidP="000E3A3D">
      <w:pPr>
        <w:pStyle w:val="LTAntwortRessortText"/>
      </w:pPr>
      <w:r>
        <w:t>Nach den Rückmeldungen der Regierungen und der Kontrollbehörde für Lebensmittelsicherheit und Veterinärwesen sind in Niederbayern, in Mittefranken und in der Oberpfalz jeweils ein und in Oberbayern vier Schlachthöfe mit mobilen Schlachtanlagen zugelassen.</w:t>
      </w:r>
    </w:p>
    <w:p w:rsidR="000E3A3D" w:rsidRDefault="00953F6A" w:rsidP="000E3A3D">
      <w:pPr>
        <w:pStyle w:val="LTAntwortRessortText"/>
      </w:pPr>
      <w:r>
        <w:t xml:space="preserve">2. </w:t>
      </w:r>
      <w:r w:rsidR="000E3A3D">
        <w:t xml:space="preserve">Nach § 12 Abs. 2 Tierische Lebensmittel-Hygieneverordnung </w:t>
      </w:r>
      <w:r w:rsidR="00904A4A">
        <w:t>(</w:t>
      </w:r>
      <w:r w:rsidR="00904A4A">
        <w:rPr>
          <w:rStyle w:val="st"/>
        </w:rPr>
        <w:t>Tier-LMHV)</w:t>
      </w:r>
      <w:r w:rsidR="00904A4A">
        <w:t xml:space="preserve"> </w:t>
      </w:r>
      <w:r w:rsidR="000E3A3D">
        <w:t>dürfen Rinder, die ganzjährig im Freiland gehalten werden, mit Genehmigung der zuständigen Kreisverwaltungsbehörde im Haltungsbetrieb geschlachtet oder zur Gewinnung von Fleisch für den menschlichen Verzehr getötet werden. Auch diese Tiere müssen nach der Tötung in einen zugelassenen Schlachtbetrieb gebracht werden, in dem alle weiteren Schritte des Schlachtens einschließlich der Fleischuntersuchung erfolgen.</w:t>
      </w:r>
    </w:p>
    <w:p w:rsidR="000E3A3D" w:rsidRDefault="000E3A3D" w:rsidP="000E3A3D">
      <w:pPr>
        <w:pStyle w:val="LTAntwortRessortText"/>
      </w:pPr>
      <w:r>
        <w:t xml:space="preserve">Die Regierungen berichteten dem </w:t>
      </w:r>
      <w:r w:rsidR="00904A4A">
        <w:t xml:space="preserve">Staatsministerium für Umwelt und Verbraucherschutz </w:t>
      </w:r>
      <w:r>
        <w:t>auf Abfrage über mindestens 257 Genehmigungen nach</w:t>
      </w:r>
      <w:r w:rsidR="00904A4A">
        <w:t xml:space="preserve"> </w:t>
      </w:r>
      <w:r>
        <w:t xml:space="preserve">§ 12 Abs. 2 </w:t>
      </w:r>
      <w:r w:rsidR="00904A4A">
        <w:rPr>
          <w:rStyle w:val="st"/>
        </w:rPr>
        <w:t>Tier-LMHV</w:t>
      </w:r>
      <w:r>
        <w:t>. In der für die Beantwortung der Anfrage</w:t>
      </w:r>
      <w:r w:rsidR="00904A4A">
        <w:t xml:space="preserve"> </w:t>
      </w:r>
      <w:r>
        <w:t>zum Plenum zur Verfügung stehenden Zeit ist die Ermittlung der vollständigen Zahl der Genehmigungen nicht möglich.</w:t>
      </w:r>
    </w:p>
    <w:p w:rsidR="000E3A3D" w:rsidRDefault="000E3A3D" w:rsidP="000E3A3D">
      <w:pPr>
        <w:pStyle w:val="LTAntwortRessortText"/>
      </w:pPr>
      <w:r>
        <w:t>Das Staatsministerium für Ernährung, Landwirtschaft und Forsten te</w:t>
      </w:r>
      <w:r w:rsidR="00904A4A">
        <w:t>ilt zu den Fördermöglichkeiten F</w:t>
      </w:r>
      <w:r>
        <w:t>olgendes mit:</w:t>
      </w:r>
    </w:p>
    <w:p w:rsidR="000E3A3D" w:rsidRDefault="000E3A3D" w:rsidP="00904A4A">
      <w:pPr>
        <w:pStyle w:val="LTAntwortRessortText"/>
        <w:spacing w:before="120"/>
      </w:pPr>
      <w:r>
        <w:t xml:space="preserve">Die Staatsregierung bietet die Programme </w:t>
      </w:r>
      <w:r w:rsidR="00904A4A" w:rsidRPr="00904A4A">
        <w:t>Vermarktung von regionalen la</w:t>
      </w:r>
      <w:r w:rsidR="00904A4A">
        <w:t xml:space="preserve">ndwirtschaftlichen Erzeugnissen </w:t>
      </w:r>
      <w:r w:rsidR="00904A4A" w:rsidRPr="00904A4A">
        <w:t>(</w:t>
      </w:r>
      <w:r>
        <w:t>VuVregio</w:t>
      </w:r>
      <w:r w:rsidR="00904A4A">
        <w:t xml:space="preserve">) und </w:t>
      </w:r>
      <w:r w:rsidR="00904A4A" w:rsidRPr="00904A4A">
        <w:t>Vermarktung von regionalen ökologischen landwirtschaftlichen Erzeugnisse</w:t>
      </w:r>
      <w:r w:rsidR="00904A4A">
        <w:t>n</w:t>
      </w:r>
      <w:r w:rsidR="00904A4A" w:rsidRPr="00904A4A">
        <w:t xml:space="preserve"> </w:t>
      </w:r>
      <w:r w:rsidR="00904A4A">
        <w:t>(</w:t>
      </w:r>
      <w:r>
        <w:t>VuVöko</w:t>
      </w:r>
      <w:r w:rsidR="00904A4A">
        <w:t>)</w:t>
      </w:r>
      <w:r>
        <w:t xml:space="preserve"> und Marktstrukturverbesserung zur Förderung von Unternehmen der Verarbeitung und Vermarktung, deren Tätigkeit sich nicht gleichzeitig auf die Produktion landwirtschaftlicher Erzeugnisse (Primärproduktion) bezieht, an. Förderfähig sind I</w:t>
      </w:r>
      <w:r w:rsidR="00904A4A">
        <w:t xml:space="preserve">nvestitionen in die Zerlegung, Verarbeitung und Kühlung, bei Kleinst- </w:t>
      </w:r>
      <w:r>
        <w:t>und kleinen Unternehmen auch die Schlachtung. Sind diese Unter</w:t>
      </w:r>
      <w:r>
        <w:lastRenderedPageBreak/>
        <w:t>nehmen mit der Erzeugerseit</w:t>
      </w:r>
      <w:r w:rsidR="00904A4A">
        <w:t xml:space="preserve">e verbunden, muss ein gewisser </w:t>
      </w:r>
      <w:r>
        <w:t>Anteil an Schl</w:t>
      </w:r>
      <w:r w:rsidR="00904A4A">
        <w:t xml:space="preserve">achtvieh von anderen Erzeugern </w:t>
      </w:r>
      <w:r>
        <w:t>aufgenommen werden.</w:t>
      </w:r>
    </w:p>
    <w:p w:rsidR="000E3A3D" w:rsidRDefault="000E3A3D" w:rsidP="000E3A3D">
      <w:pPr>
        <w:pStyle w:val="LTAntwortRessortText"/>
      </w:pPr>
      <w:r>
        <w:t>In der einzelbetrieblichen Investitionsförderung sind Räume zum Zerlegen (Zerwirken), Verarbeiten, Kühlen und Vermarkten von Fleisch im Rahmen der Direktvermarktung sowohl beim Agrarinvestitionsförderprogramm (nur Anhang I Produkte) als auch in der Diversifizierungsförderung (nicht ausschließlich Anhang I Produkte) förderfähig. Investitionen im Schlachtbereich sind jedoch in beiden Teilprogrammen von der Förderung ausgeschlossen.</w:t>
      </w:r>
    </w:p>
    <w:p w:rsidR="000E3A3D" w:rsidRDefault="000E3A3D" w:rsidP="000E3A3D">
      <w:pPr>
        <w:pStyle w:val="LTAntwortRessortText"/>
      </w:pPr>
      <w:r>
        <w:t>Einzelheiten zu den Förderprogrammen finden sich im Förderwegweiser des Staatsministeriums für Ernährung, Landwirtschaft und Forsten.</w:t>
      </w:r>
      <w:r w:rsidR="00904A4A">
        <w:tab/>
      </w:r>
      <w:r>
        <w:t xml:space="preserve"> (</w:t>
      </w:r>
      <w:hyperlink r:id="rId23" w:history="1">
        <w:r w:rsidR="00904A4A" w:rsidRPr="005B42B3">
          <w:rPr>
            <w:rStyle w:val="Hyperlink"/>
          </w:rPr>
          <w:t>http://www.stmelf.bayern.de/agrarpolitik/foerderung/003555/index.php</w:t>
        </w:r>
      </w:hyperlink>
      <w:r w:rsidR="00904A4A">
        <w:t xml:space="preserve"> </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Ulrike</w:t>
            </w:r>
            <w:r w:rsidRPr="000E3A3D">
              <w:rPr>
                <w:b/>
              </w:rPr>
              <w:br/>
              <w:t>Gote</w:t>
            </w:r>
            <w:r w:rsidRPr="000E3A3D">
              <w:rPr>
                <w:b/>
              </w:rPr>
              <w:br/>
            </w:r>
            <w:r w:rsidRPr="000E3A3D">
              <w:t>(BÜNDNIS 90/DIE GRÜNEN)</w:t>
            </w:r>
            <w:r>
              <w:fldChar w:fldCharType="begin"/>
            </w:r>
            <w:r>
              <w:instrText xml:space="preserve"> TC </w:instrText>
            </w:r>
            <w:r w:rsidR="00423B2A">
              <w:instrText>„</w:instrText>
            </w:r>
            <w:bookmarkStart w:id="60" w:name="_Toc519153246"/>
            <w:r>
              <w:instrText>Gote, Ulrike (BÜNDNIS 90/DIE GRÜNEN)</w:instrText>
            </w:r>
            <w:r>
              <w:br/>
              <w:instrText>RZWas 2016 - Juragruppe</w:instrText>
            </w:r>
            <w:bookmarkEnd w:id="60"/>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trifft es zu, dass die Richtlinien für Zuwendungen zu wasserwirtschaftlichen Vorhaben (RZWas) 2016 eine Förderung der Sanierung der Ringleitung der Juragruppe im Gemeindegebiet Pegnitz (Oberfranken) vorsieht, wenn ja, in welcher Höhe soll</w:t>
            </w:r>
            <w:r w:rsidR="00423B2A">
              <w:t xml:space="preserve"> </w:t>
            </w:r>
            <w:r>
              <w:t>gefördert werden, und ist die Förderung an die Bedingung geknüpft, dass der Ortsteil Leups an die Ringleitung angeschlossen wird und die eigene Trinkwasserversorgung über eine Quelle eingestellt wird?</w:t>
            </w:r>
          </w:p>
          <w:p w:rsidR="000E3A3D" w:rsidRDefault="000E3A3D" w:rsidP="000E3A3D">
            <w:pPr>
              <w:pStyle w:val="LTAnfrageText"/>
            </w:pPr>
          </w:p>
        </w:tc>
      </w:tr>
    </w:tbl>
    <w:p w:rsidR="000E3A3D" w:rsidRDefault="000E3A3D" w:rsidP="000E3A3D">
      <w:pPr>
        <w:pStyle w:val="LTUeberschrAntwortRessort"/>
      </w:pPr>
      <w:r>
        <w:t>Antwort des Staatsministeriums für Umwelt und Verbraucherschutz</w:t>
      </w:r>
    </w:p>
    <w:p w:rsidR="000E3A3D" w:rsidRDefault="000E3A3D" w:rsidP="000E3A3D">
      <w:pPr>
        <w:pStyle w:val="LTAntwortRessortText"/>
      </w:pPr>
      <w:r>
        <w:t>Nein.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Nikolaus</w:t>
            </w:r>
            <w:r w:rsidRPr="000E3A3D">
              <w:rPr>
                <w:b/>
              </w:rPr>
              <w:br/>
              <w:t>Kraus</w:t>
            </w:r>
            <w:r w:rsidRPr="000E3A3D">
              <w:rPr>
                <w:b/>
              </w:rPr>
              <w:br/>
            </w:r>
            <w:r w:rsidRPr="000E3A3D">
              <w:t>(FREIE WÄHLER)</w:t>
            </w:r>
            <w:r>
              <w:fldChar w:fldCharType="begin"/>
            </w:r>
            <w:r>
              <w:instrText xml:space="preserve"> TC </w:instrText>
            </w:r>
            <w:r w:rsidR="00423B2A">
              <w:instrText>„</w:instrText>
            </w:r>
            <w:bookmarkStart w:id="61" w:name="_Toc519153247"/>
            <w:r>
              <w:instrText>Kraus, Nikolaus (FREIE WÄHLER)</w:instrText>
            </w:r>
            <w:r>
              <w:br/>
              <w:instrText>Kosten für Wolfssicherung</w:instrText>
            </w:r>
            <w:bookmarkEnd w:id="61"/>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hoch schätzt sie die Kosten für die Wolfssicherung bei den bayerischen Alpen, Almen und Weiden (sowohl bei Zäunen als auch bei Schutztieren), sind diese Gelder bereits vorhanden und wie</w:t>
            </w:r>
            <w:r w:rsidR="00423B2A">
              <w:t xml:space="preserve"> </w:t>
            </w:r>
            <w:r>
              <w:t>erfolgt die Antragstellung bzw. Nachweispflicht?</w:t>
            </w:r>
          </w:p>
          <w:p w:rsidR="000E3A3D" w:rsidRDefault="000E3A3D" w:rsidP="000E3A3D">
            <w:pPr>
              <w:pStyle w:val="LTAnfrageText"/>
            </w:pPr>
          </w:p>
        </w:tc>
      </w:tr>
    </w:tbl>
    <w:p w:rsidR="000E3A3D" w:rsidRDefault="000E3A3D" w:rsidP="000E3A3D">
      <w:pPr>
        <w:pStyle w:val="LTUeberschrAntwortRessort"/>
      </w:pPr>
      <w:r>
        <w:t>Antwort des Staatsministeriums für Umwelt und Verbraucherschutz</w:t>
      </w:r>
    </w:p>
    <w:p w:rsidR="000E3A3D" w:rsidRDefault="000E3A3D" w:rsidP="000E3A3D">
      <w:pPr>
        <w:pStyle w:val="LTAntwortRessortText"/>
      </w:pPr>
      <w:r>
        <w:t>Die Staatsregierung bekennt sich zur Weidetierhaltung in Bayern. Die Weidetierhaltung muss auch bei Wolfsanwesenheit ohne unzumutbare Mehraufwendungen flächendeckend und dauerhaft erhalten bleiben. Experten der Umwelt- und Landwirtschaftsverwaltung werden gemeinsam entscheiden, in welchen Weidegebieten Herdenschutz möglich ist. Die Grundlagen der Bewertung werden derzeit durch die Fachleute erarbeitet. Die Kosten der Prävention im Alpenraum können vor Abschluss dieser Bewertung nicht detailliert beziffert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w:t>
            </w:r>
            <w:r w:rsidRPr="000E3A3D">
              <w:br/>
            </w:r>
            <w:r w:rsidRPr="000E3A3D">
              <w:rPr>
                <w:b/>
              </w:rPr>
              <w:t>Gisela</w:t>
            </w:r>
            <w:r w:rsidRPr="000E3A3D">
              <w:rPr>
                <w:b/>
              </w:rPr>
              <w:br/>
              <w:t>Sengl</w:t>
            </w:r>
            <w:r w:rsidRPr="000E3A3D">
              <w:rPr>
                <w:b/>
              </w:rPr>
              <w:br/>
            </w:r>
            <w:r w:rsidRPr="000E3A3D">
              <w:t>(BÜNDNIS 90/DIE GRÜNEN)</w:t>
            </w:r>
            <w:r>
              <w:fldChar w:fldCharType="begin"/>
            </w:r>
            <w:r>
              <w:instrText xml:space="preserve"> TC </w:instrText>
            </w:r>
            <w:r w:rsidR="00423B2A">
              <w:instrText>„</w:instrText>
            </w:r>
            <w:bookmarkStart w:id="62" w:name="_Toc519153248"/>
            <w:r>
              <w:instrText>Sengl, Gisela (BÜNDNIS 90/DIE GRÜNEN)</w:instrText>
            </w:r>
            <w:r>
              <w:br/>
              <w:instrText>Verbot der betäubungslosen Ferkelkastration zum 01.01.2019</w:instrText>
            </w:r>
            <w:bookmarkEnd w:id="62"/>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welche Anstrengungen wurden in den vergangenen Jahren durch die sie unternommen, um den bayerischen Schweinehaltern und Ferkelerzeugern beste Voraussetzungen zu ermöglichen, das Verbot der betäubungslosen Ferkelkastration in ihren Betrieben umzusetzen und den Anforderungen des Tierschutzgesetzes ab 01.01.2019 zu genügen, plant Bayern in Hinblick auf das Inkrafttreten des Verbots der betäubungslosen Ferkelkastration zum 01.01.2019 eine Länderinitiative zur Änderung des Tierschutzgesetzes, um Ferkelkastration unter Lokalanästhesie durch Landwirte durchführen lassen zu können und aus welchen Gründen würde es der Staatsregierung sinnvoll erscheinen, sich für eine Verschiebung des Ausstiegsdatums aus der betäubungslosen Ferkelkastration einzusetzen?</w:t>
            </w:r>
          </w:p>
          <w:p w:rsidR="000E3A3D" w:rsidRDefault="000E3A3D" w:rsidP="000E3A3D">
            <w:pPr>
              <w:pStyle w:val="LTAnfrageText"/>
            </w:pPr>
          </w:p>
        </w:tc>
      </w:tr>
    </w:tbl>
    <w:p w:rsidR="000E3A3D" w:rsidRDefault="000E3A3D" w:rsidP="00904A4A">
      <w:pPr>
        <w:pStyle w:val="LTUeberschrAntwortRessort"/>
      </w:pPr>
      <w:r>
        <w:t>Antwort des Staatsministeriums für Umwelt und Verbraucherschutz in Abstimmung mit dem Staatsministerium für Ernährung, Landwirtschaft und Forsten</w:t>
      </w:r>
    </w:p>
    <w:p w:rsidR="000E3A3D" w:rsidRDefault="000E3A3D" w:rsidP="000E3A3D">
      <w:pPr>
        <w:pStyle w:val="LTAntwortRessortText"/>
      </w:pPr>
      <w:r>
        <w:t>Es handelt sich um ein wichtiges Thema, gerade für die kleinstrukturierte bäuerliche Landwirtschaft im ländlichen Raum.</w:t>
      </w:r>
    </w:p>
    <w:p w:rsidR="000E3A3D" w:rsidRDefault="000E3A3D" w:rsidP="000E3A3D">
      <w:pPr>
        <w:pStyle w:val="LTAntwortRessortText"/>
      </w:pPr>
      <w:r>
        <w:t xml:space="preserve">Vom </w:t>
      </w:r>
      <w:r w:rsidR="00D70B2B">
        <w:t xml:space="preserve">Staatsministerium für Ernährung, Landwirtschaft und Forsten </w:t>
      </w:r>
      <w:r>
        <w:t>wurden verschiedene Untersuchungen u.</w:t>
      </w:r>
      <w:r w:rsidR="00D70B2B">
        <w:t> </w:t>
      </w:r>
      <w:r>
        <w:t xml:space="preserve">a. zur Ebermast, zur Immunokastration und zur Kastration unter Lokalanästhesie finanziert, um die Nutzbarkeit dieser Methoden in der Praxis zu testen. Darüber hinaus wurde die Inhalationsnarkose mit Isofluran im Lehr-, Versuchs- und Fachzentrum </w:t>
      </w:r>
      <w:r w:rsidR="00DA75B4">
        <w:t xml:space="preserve">für Schweinehaltung </w:t>
      </w:r>
      <w:r>
        <w:t>(LVFZ) in Schwarzenau erprobt und Fütterungsversuche zum Nährstoffbedarf von Ebern und zur Reduzierung der Geruchsabweichungen in Eberfleisch durchgeführt. Das LVFZ Schwarzenau ist außerdem an bundesweiten Forschungsvorhaben zur Reduzierung des Ebergeruchs bei Mutter- und Vaterrassen durch züchterische Maßnahmen beteiligt. In Fortbildungsveranstaltungen für die landwirtschaftlichen Berater und die Landwirte wurden die verschiedenen Alternativen zur betäubungslosen Ferkelkastration einschließlich der Lokalanästhesie (durch den Tierarzt) ausführlich mit ihren jeweiligen Vor- und Nachteilen dargestellt.</w:t>
      </w:r>
    </w:p>
    <w:p w:rsidR="000E3A3D" w:rsidRDefault="000E3A3D" w:rsidP="000E3A3D">
      <w:pPr>
        <w:pStyle w:val="LTAntwortRessortText"/>
      </w:pPr>
      <w:r>
        <w:t>Aktuell werden verschiedene Handlungsoptionen zur Änderung des Bundesrechts geprüft. Wir brauchen einen Interessensausgleich zwischen dem Tierschutz und den Belangen der Landwirte, speziell der Ferkelhalter.</w:t>
      </w:r>
    </w:p>
    <w:p w:rsidR="00D70B2B" w:rsidRDefault="00D70B2B">
      <w:pPr>
        <w:rPr>
          <w:rFonts w:cs="Arial"/>
          <w:b/>
          <w:sz w:val="22"/>
          <w:szCs w:val="22"/>
        </w:rPr>
      </w:pPr>
      <w:r>
        <w:br w:type="page"/>
      </w:r>
    </w:p>
    <w:p w:rsidR="000E3A3D" w:rsidRDefault="000E3A3D" w:rsidP="000E3A3D">
      <w:pPr>
        <w:pStyle w:val="LTUeberschrRessort"/>
      </w:pPr>
      <w:r>
        <w:lastRenderedPageBreak/>
        <w:t>Geschäftsbereich des Staatsministeriums für Ernährung, Landwirtschaft und Forsten</w:t>
      </w:r>
      <w:r>
        <w:fldChar w:fldCharType="begin"/>
      </w:r>
      <w:r>
        <w:instrText xml:space="preserve"> TC </w:instrText>
      </w:r>
      <w:r w:rsidR="00423B2A">
        <w:instrText>„</w:instrText>
      </w:r>
      <w:bookmarkStart w:id="63" w:name="_Toc519153249"/>
      <w:r>
        <w:instrText>Geschäftsbereich des Staatsministeriums für Ernährung, Landwirtschaft und Forsten</w:instrText>
      </w:r>
      <w:bookmarkEnd w:id="63"/>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Klaus</w:t>
            </w:r>
            <w:r w:rsidRPr="000E3A3D">
              <w:rPr>
                <w:b/>
              </w:rPr>
              <w:br/>
              <w:t>Adelt</w:t>
            </w:r>
            <w:r w:rsidRPr="000E3A3D">
              <w:rPr>
                <w:b/>
              </w:rPr>
              <w:br/>
            </w:r>
            <w:r w:rsidRPr="000E3A3D">
              <w:t>(SPD)</w:t>
            </w:r>
            <w:r>
              <w:fldChar w:fldCharType="begin"/>
            </w:r>
            <w:r>
              <w:instrText xml:space="preserve"> TC </w:instrText>
            </w:r>
            <w:r w:rsidR="00423B2A">
              <w:instrText>„</w:instrText>
            </w:r>
            <w:bookmarkStart w:id="64" w:name="_Toc519153250"/>
            <w:r>
              <w:instrText>Adelt, Klaus (SPD)</w:instrText>
            </w:r>
            <w:r>
              <w:br/>
              <w:instrText>Das Beste für Bayern - auch für den Frankenwald?</w:instrText>
            </w:r>
            <w:bookmarkEnd w:id="64"/>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gemäß der Regierungserklärung von Ministerpräsident Dr. Markus Söder in der Rhön ein Biodiversitätszentrum entstehen soll, im Spessart ein Walderlebnis- und Eichenzentrum und an der Donau ein begehbares Donauaquarium, frage ich die Staatsregierung, welche Maßnahmen zur Unterstützung des Fremdenverkehrs seitens der Staatsregierung für den Frankenwald geplant sind, der ebenso wie die Rhön, die Donauauen und der Spessart für einen dritten Nationalpark in Betracht gezogen worden war, sollte dies nicht der Fall sein, wieso sind ähnliche umweltpädagogisch-touristische Projekte nicht für den Frankenwald vorgesehen und wie sieht der konkrete Zeitplan für die Errichtung der seitens der Staatsregierung im Landkreis Kronach geplanten Hochschule für Wald- und Forstwirtschaft nach gegenwärtigem Zeitpunkt aus?</w:t>
            </w:r>
          </w:p>
          <w:p w:rsidR="000E3A3D" w:rsidRDefault="000E3A3D" w:rsidP="000E3A3D">
            <w:pPr>
              <w:pStyle w:val="LTAnfrageText"/>
            </w:pPr>
          </w:p>
        </w:tc>
      </w:tr>
    </w:tbl>
    <w:p w:rsidR="000E3A3D" w:rsidRDefault="000E3A3D" w:rsidP="000E3A3D">
      <w:pPr>
        <w:pStyle w:val="LTUeberschrAntwortRessort"/>
      </w:pPr>
      <w:r>
        <w:t>Antwort des Staatsministeriums für Ernährung, Landwirtschaft und Forsten</w:t>
      </w:r>
    </w:p>
    <w:p w:rsidR="000E3A3D" w:rsidRDefault="000E3A3D" w:rsidP="000E3A3D">
      <w:pPr>
        <w:pStyle w:val="LTAntwortRessortText"/>
      </w:pPr>
      <w:r>
        <w:t>Im Frankenwald erarbeiten aktuell regionale Akteure Konzepte für eine mögliche Aufwertung der Region. Diese Vorschläge müssen geprüft und zu einem gemeinsamen Lösungsansatz zusammengeführt werden. Hier bedarf es intensiver Abstimmungsprozesse zwischen allen Beteiligten. Ziel ist, ein für die Gesamtregion Frankenwald inhaltlich und touristisch passendes Projekt zu erarbeiten. Eine Hochschule für Wald- und Forstwirtschaft ist nicht geplant.</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Horst</w:t>
            </w:r>
            <w:r w:rsidRPr="000E3A3D">
              <w:rPr>
                <w:b/>
              </w:rPr>
              <w:br/>
              <w:t>Arnold</w:t>
            </w:r>
            <w:r w:rsidRPr="000E3A3D">
              <w:rPr>
                <w:b/>
              </w:rPr>
              <w:br/>
            </w:r>
            <w:r w:rsidRPr="000E3A3D">
              <w:t>(SPD)</w:t>
            </w:r>
            <w:r>
              <w:fldChar w:fldCharType="begin"/>
            </w:r>
            <w:r>
              <w:instrText xml:space="preserve"> TC </w:instrText>
            </w:r>
            <w:r w:rsidR="00423B2A">
              <w:instrText>„</w:instrText>
            </w:r>
            <w:bookmarkStart w:id="65" w:name="_Toc519153251"/>
            <w:r>
              <w:instrText>Arnold, Horst (SPD)</w:instrText>
            </w:r>
            <w:r>
              <w:br/>
              <w:instrText>Datengrundlage der Bewertung der Entwicklung landwirtschaftlicher Betriebe in Bayern</w:instrText>
            </w:r>
            <w:bookmarkEnd w:id="6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in der Presseberichterstattung durch das Staatsministerium für Ernährung, Landwirtschaft und Forsten sowie im Agrarbericht mitgeteilt wurde, dass die Zahl der landwirtschaftlichen Betriebe (ab 5</w:t>
            </w:r>
            <w:r w:rsidR="00423B2A">
              <w:t xml:space="preserve"> </w:t>
            </w:r>
            <w:r>
              <w:t xml:space="preserve">Hektar  landwirtschaftlich genutzte Fläche </w:t>
            </w:r>
            <w:r w:rsidR="00457E10">
              <w:t>–</w:t>
            </w:r>
            <w:r w:rsidR="00423B2A">
              <w:t xml:space="preserve"> </w:t>
            </w:r>
            <w:r>
              <w:t>LF) in Deutschland im Jahr 2017 gegenüber dem Jahr 2015 um etwa 3,9</w:t>
            </w:r>
            <w:r w:rsidR="00423B2A">
              <w:t xml:space="preserve"> </w:t>
            </w:r>
            <w:r>
              <w:t>Prozent  zurückgegangen ist und in Bayern die Abnahme durchschnittlich nur 1,1 Prozent beträgt, was zu der Aussage der Staatsministerin für Ernährung, Landwirtschaft und Forsten, Michaela Kaniber, führte, dass die Situation in Bayern sehr stabil sei, frage ich die Staatsregierung, welche Daten lagen diesem Vergleich zugrunde (Betrachtung in Bayern und deutschlandweite Betrachtung der Abnahme im Hinblick auf die Gesamtbetriebe bzw. die Betriebe ab 5 Hektar), wie stellt sich die Situation bei der Abnahme von Betrieben ab 5 Hektar in Bayern und deutschlandweit im Berichtszeitraum des Agrarberichts dar und wie entwickelte sich die Zahl der Betriebe ab 5 Hektar in Bayern (bitte Angabe der Gesamtbetriebe zu Beginn und Ende des Berichtszeitraums sowie prozentuale Abnahme, aufgeschlüsselt nach Regierungsbezirk und Landkreis)?</w:t>
            </w:r>
          </w:p>
          <w:p w:rsidR="000E3A3D" w:rsidRDefault="000E3A3D" w:rsidP="000E3A3D">
            <w:pPr>
              <w:pStyle w:val="LTAnfrageText"/>
            </w:pPr>
          </w:p>
        </w:tc>
      </w:tr>
    </w:tbl>
    <w:p w:rsidR="000E3A3D" w:rsidRDefault="000E3A3D" w:rsidP="000E3A3D">
      <w:pPr>
        <w:pStyle w:val="LTUeberschrAntwortRessort"/>
      </w:pPr>
      <w:r>
        <w:lastRenderedPageBreak/>
        <w:t>Antwort des Staatsministeriums für Ernährung, Landwirtschaft und Forsten</w:t>
      </w:r>
    </w:p>
    <w:p w:rsidR="000E3A3D" w:rsidRDefault="000E3A3D" w:rsidP="00193822">
      <w:pPr>
        <w:pStyle w:val="LTAntwortRessortText"/>
        <w:spacing w:before="360"/>
      </w:pPr>
      <w:r>
        <w:t xml:space="preserve">Den 1,1 </w:t>
      </w:r>
      <w:r w:rsidR="00423B2A">
        <w:t>Prozent</w:t>
      </w:r>
      <w:r>
        <w:t xml:space="preserve"> jährliche Abnahme liegt eine Sonderauswertung des Landesamts für Statistik aus den InVeKoS-Daten </w:t>
      </w:r>
      <w:r w:rsidR="003F3E3B">
        <w:t>(InVeKoS =</w:t>
      </w:r>
      <w:r w:rsidR="003F3E3B" w:rsidRPr="003F3E3B">
        <w:t xml:space="preserve"> </w:t>
      </w:r>
      <w:r w:rsidR="003F3E3B">
        <w:rPr>
          <w:rStyle w:val="st"/>
        </w:rPr>
        <w:t>Integriertes Verwaltungs- und Kontrollsystem)</w:t>
      </w:r>
      <w:r w:rsidR="003F3E3B">
        <w:t xml:space="preserve"> </w:t>
      </w:r>
      <w:r>
        <w:t>zugrunde. Dabei wurde nicht die übliche Erfassungsgrenze von 5 h</w:t>
      </w:r>
      <w:r w:rsidR="00DA75B4">
        <w:t>a LF angewendet (deshalb Sonder</w:t>
      </w:r>
      <w:r>
        <w:t xml:space="preserve">auswertung und die Kennzeichnung in der Tabelle im Agrarbericht mit </w:t>
      </w:r>
      <w:r w:rsidR="00423B2A">
        <w:t>„</w:t>
      </w:r>
      <w:r>
        <w:t>ohne Erfassungsgrenzen</w:t>
      </w:r>
      <w:r w:rsidR="00423B2A">
        <w:t>“</w:t>
      </w:r>
      <w:r>
        <w:t>, d.</w:t>
      </w:r>
      <w:r w:rsidR="00DA75B4">
        <w:t xml:space="preserve"> </w:t>
      </w:r>
      <w:r>
        <w:t>h. ab 1</w:t>
      </w:r>
      <w:r w:rsidR="003F3E3B">
        <w:t> Hektar</w:t>
      </w:r>
      <w:r>
        <w:t xml:space="preserve"> LF, weil InVeKoS Antragsteller ab 1 </w:t>
      </w:r>
      <w:r w:rsidR="003F3E3B">
        <w:t>Hektar</w:t>
      </w:r>
      <w:r>
        <w:t xml:space="preserve"> LF erfasst).</w:t>
      </w:r>
    </w:p>
    <w:p w:rsidR="000E3A3D" w:rsidRDefault="000E3A3D" w:rsidP="00193822">
      <w:pPr>
        <w:pStyle w:val="LTAntwortRessortText"/>
        <w:spacing w:before="360"/>
      </w:pPr>
      <w:r>
        <w:t xml:space="preserve">Bei den 3,9 </w:t>
      </w:r>
      <w:r w:rsidR="00423B2A">
        <w:t>Prozent</w:t>
      </w:r>
      <w:r>
        <w:t xml:space="preserve"> (ab 5 ha LF) handelt es sich um die Abnahme insgesamt im Berichtszeitraum 2015 zu 2017 und nicht um die durchschnittliche jährliche Abnahme. </w:t>
      </w:r>
    </w:p>
    <w:p w:rsidR="004675AD" w:rsidRDefault="003F3E3B" w:rsidP="004675AD">
      <w:pPr>
        <w:pStyle w:val="LTAntwortRessortText"/>
        <w:spacing w:before="360"/>
        <w:rPr>
          <w:rStyle w:val="Hyperlink"/>
        </w:rPr>
      </w:pPr>
      <w:r w:rsidRPr="007B48DD">
        <w:t>Quelle für diese Zahlen ist das Statistische Bundesamt</w:t>
      </w:r>
      <w:r>
        <w:tab/>
      </w:r>
      <w:r w:rsidRPr="007B48DD">
        <w:t xml:space="preserve"> </w:t>
      </w:r>
      <w:r w:rsidR="004675AD">
        <w:t>(</w:t>
      </w:r>
      <w:hyperlink r:id="rId24" w:history="1">
        <w:r w:rsidR="004675AD">
          <w:rPr>
            <w:rStyle w:val="Hyperlink"/>
          </w:rPr>
          <w:t>https://www.destatis.de/DE/ZahlenFakten/Wirtschaftsbereiche/LandForstwirtschaftFischerei/LandwirtschaftlicheBetriebe/Tabellen/BetriebsgroessenstrukturLandwirtschaftlicheBetriebe.html</w:t>
        </w:r>
      </w:hyperlink>
      <w:r w:rsidR="004675AD">
        <w:rPr>
          <w:rStyle w:val="Hyperlink"/>
        </w:rPr>
        <w:t>)</w:t>
      </w:r>
    </w:p>
    <w:p w:rsidR="000E3A3D" w:rsidRDefault="000E3A3D" w:rsidP="00193822">
      <w:pPr>
        <w:pStyle w:val="LTAntwortRessortText"/>
        <w:spacing w:before="360"/>
      </w:pPr>
      <w:r>
        <w:t xml:space="preserve">Ein Vergleich der 1,1 </w:t>
      </w:r>
      <w:r w:rsidR="00423B2A">
        <w:t>Prozent</w:t>
      </w:r>
      <w:r>
        <w:t xml:space="preserve"> mit den 3,9 </w:t>
      </w:r>
      <w:r w:rsidR="00423B2A">
        <w:t>Prozent</w:t>
      </w:r>
      <w:r>
        <w:t xml:space="preserve"> ist somit in zweifacher Hinsicht nicht korrekt (einmal in Bezug auf den Zeitraum und einmal hinsichtlich der Erfassungsgrenzen).</w:t>
      </w:r>
    </w:p>
    <w:p w:rsidR="000E3A3D" w:rsidRDefault="000E3A3D" w:rsidP="00193822">
      <w:pPr>
        <w:pStyle w:val="LTAntwortRessortText"/>
        <w:spacing w:before="360"/>
      </w:pPr>
      <w:r>
        <w:t>Die Entwicklung der Betriebe in Bayern und deutschlandweit stellt sich wie folgt dar (Quelle o.</w:t>
      </w:r>
      <w:r w:rsidR="003F3E3B">
        <w:t xml:space="preserve"> </w:t>
      </w:r>
      <w:r>
        <w:t>g. Link zum Statistischen Bundesamt):</w:t>
      </w:r>
    </w:p>
    <w:p w:rsidR="000E3A3D" w:rsidRDefault="003F3E3B" w:rsidP="003F3E3B">
      <w:pPr>
        <w:pStyle w:val="LTAntwortRessortText"/>
        <w:ind w:firstLine="369"/>
      </w:pPr>
      <w:r w:rsidRPr="003F3E3B">
        <w:rPr>
          <w:rFonts w:ascii="Times New Roman" w:hAnsi="Times New Roman"/>
          <w:noProof/>
          <w:sz w:val="26"/>
          <w:szCs w:val="20"/>
        </w:rPr>
        <w:drawing>
          <wp:anchor distT="0" distB="0" distL="114300" distR="114300" simplePos="0" relativeHeight="251661312" behindDoc="0" locked="0" layoutInCell="1" allowOverlap="1" wp14:anchorId="58CECEE4" wp14:editId="10E3F498">
            <wp:simplePos x="0" y="0"/>
            <wp:positionH relativeFrom="column">
              <wp:posOffset>167951</wp:posOffset>
            </wp:positionH>
            <wp:positionV relativeFrom="paragraph">
              <wp:posOffset>419113</wp:posOffset>
            </wp:positionV>
            <wp:extent cx="4110990" cy="2991485"/>
            <wp:effectExtent l="0" t="0" r="3810" b="0"/>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1099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A3D" w:rsidRDefault="000E3A3D" w:rsidP="00193822">
      <w:pPr>
        <w:pStyle w:val="LTAntwortRessortText"/>
        <w:spacing w:before="360"/>
      </w:pPr>
      <w:r>
        <w:t>Eine Darstellung der Betriebe ab 5 ha auf Ebene der Regierungsbezirke und Landkreise ist nicht möglich, da für die Jahre 2015 und 2017 keine regionalisierten Daten zur Verfügung stehen</w:t>
      </w:r>
      <w:r w:rsidR="003F3E3B">
        <w:t>. Die zugrundeliegenden Erhebun</w:t>
      </w:r>
      <w:r>
        <w:t>gen wurden nämlich nur repräsentativ durchgeführt (siehe Fußnote unter o.</w:t>
      </w:r>
      <w:r w:rsidR="003F3E3B">
        <w:t xml:space="preserve"> </w:t>
      </w:r>
      <w:r>
        <w:t>g. Link).</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Markus</w:t>
            </w:r>
            <w:r w:rsidRPr="000E3A3D">
              <w:rPr>
                <w:b/>
              </w:rPr>
              <w:br/>
              <w:t>Ganserer</w:t>
            </w:r>
            <w:r w:rsidRPr="000E3A3D">
              <w:rPr>
                <w:b/>
              </w:rPr>
              <w:br/>
            </w:r>
            <w:r w:rsidRPr="000E3A3D">
              <w:t>(BÜNDNIS 90/DIE GRÜNEN)</w:t>
            </w:r>
            <w:r>
              <w:fldChar w:fldCharType="begin"/>
            </w:r>
            <w:r>
              <w:instrText xml:space="preserve"> TC </w:instrText>
            </w:r>
            <w:r w:rsidR="00423B2A">
              <w:instrText>„</w:instrText>
            </w:r>
            <w:bookmarkStart w:id="66" w:name="_Toc519153252"/>
            <w:r>
              <w:instrText>Ganserer, Markus (BÜNDNIS 90/DIE GRÜNEN)</w:instrText>
            </w:r>
            <w:r>
              <w:br/>
              <w:instrText>Baumwipfelpfad Steigerwald</w:instrText>
            </w:r>
            <w:bookmarkEnd w:id="66"/>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speziell beim Bau des Baumwipfelpfads Steigerwalds die Vorgabe der Einhaltung der Richtlinien der DIN 68800-1 und DIN 68800-2 für Planung und Ausführung von Holzkonstruktionen überprüft worden ist, ist die Staatsregierung der Auffassung, dass eine wesentliche Abweichung von den technischen Baubestimmungen vorliegt, wenn nach DIN 68800-1 nicht hinreichend dauerhaftes Holz verbaut wird und welche Holzschutzfrage wird derzeit in einem gerichtlichen Verfahren zwischen Firmen, die an der Bauausführung beteiligt waren, geklärt?</w:t>
            </w:r>
          </w:p>
          <w:p w:rsidR="000E3A3D" w:rsidRDefault="000E3A3D" w:rsidP="000E3A3D">
            <w:pPr>
              <w:pStyle w:val="LTAnfrageText"/>
            </w:pPr>
          </w:p>
        </w:tc>
      </w:tr>
    </w:tbl>
    <w:p w:rsidR="000E3A3D" w:rsidRDefault="000E3A3D" w:rsidP="000E3A3D">
      <w:pPr>
        <w:pStyle w:val="LTUeberschrAntwortRessort"/>
      </w:pPr>
      <w:r>
        <w:t>Antwort des Staatsministeriums für Ernährung, Landwirtschaft und Forsten</w:t>
      </w:r>
    </w:p>
    <w:p w:rsidR="000E3A3D" w:rsidRPr="003F3E3B" w:rsidRDefault="000E3A3D" w:rsidP="000E3A3D">
      <w:pPr>
        <w:pStyle w:val="LTAntwortRessortText"/>
        <w:rPr>
          <w:u w:val="single"/>
        </w:rPr>
      </w:pPr>
      <w:r w:rsidRPr="003F3E3B">
        <w:rPr>
          <w:u w:val="single"/>
        </w:rPr>
        <w:t>Zur ersten Teilfrage:</w:t>
      </w:r>
    </w:p>
    <w:p w:rsidR="000E3A3D" w:rsidRDefault="000E3A3D" w:rsidP="003F3E3B">
      <w:pPr>
        <w:pStyle w:val="LTAntwortRessortText"/>
        <w:spacing w:before="120"/>
      </w:pPr>
      <w:r>
        <w:t>Die Einhaltung aller technischen Vorschriften und Normen für Planung und Ausführung inklusive der DIN 68</w:t>
      </w:r>
      <w:r w:rsidR="003F3E3B">
        <w:t>000-1 und 68800-2 lag im Verant</w:t>
      </w:r>
      <w:r>
        <w:t xml:space="preserve">wortungsbereich des von </w:t>
      </w:r>
      <w:r w:rsidR="003F3E3B">
        <w:t>den</w:t>
      </w:r>
      <w:r>
        <w:t xml:space="preserve"> </w:t>
      </w:r>
      <w:r w:rsidR="003F3E3B">
        <w:t>Staatsforsten (BaySF)</w:t>
      </w:r>
      <w:r>
        <w:t xml:space="preserve"> beauftragten Totalübernehmers. Das Gesamtbauwerk wurde sowohl vom Bauherrn BaySF als auch öffentlich-rechtlich von der Bauaufsichtsbehörd</w:t>
      </w:r>
      <w:r w:rsidR="003F3E3B">
        <w:t>e beim Landratsamt Bamberg abge</w:t>
      </w:r>
      <w:r>
        <w:t>nommen.</w:t>
      </w:r>
    </w:p>
    <w:p w:rsidR="000E3A3D" w:rsidRPr="003F3E3B" w:rsidRDefault="000E3A3D" w:rsidP="000E3A3D">
      <w:pPr>
        <w:pStyle w:val="LTAntwortRessortText"/>
        <w:rPr>
          <w:u w:val="single"/>
        </w:rPr>
      </w:pPr>
      <w:r w:rsidRPr="003F3E3B">
        <w:rPr>
          <w:u w:val="single"/>
        </w:rPr>
        <w:t>Zur zweiten Teilfrage:</w:t>
      </w:r>
    </w:p>
    <w:p w:rsidR="000E3A3D" w:rsidRDefault="000E3A3D" w:rsidP="003F3E3B">
      <w:pPr>
        <w:pStyle w:val="LTAntwortRessortText"/>
        <w:spacing w:before="120"/>
      </w:pPr>
      <w:r>
        <w:t xml:space="preserve">Das Staatsministerium für Wohnen, Bau und Verkehr teilt dazu mit, dass grundsätzlich immer ein ausreichender Holzschutz vorliegen sollte. </w:t>
      </w:r>
    </w:p>
    <w:p w:rsidR="000E3A3D" w:rsidRDefault="000E3A3D" w:rsidP="000E3A3D">
      <w:pPr>
        <w:pStyle w:val="LTAntwortRessortText"/>
      </w:pPr>
      <w:r>
        <w:t>Die DIN 68800-1 ist als technische Baubestimmung zuletzt mit MS vom 24.11.2014 eingeführt. Abschnitt 7.1 de</w:t>
      </w:r>
      <w:r w:rsidR="003F3E3B">
        <w:t>r DIN 68800-1 behandelt die Not</w:t>
      </w:r>
      <w:r>
        <w:t>wendigkeit von Maßnahmen zum Schutz des Holzes. Dort wird zwischen tragenden und nicht tragenden Bauteilen</w:t>
      </w:r>
      <w:r w:rsidR="003F3E3B">
        <w:t xml:space="preserve"> unterschieden. Während für tra</w:t>
      </w:r>
      <w:r>
        <w:t>gende Bauteile der Holzschutz zwingend vorgegeben wird (</w:t>
      </w:r>
      <w:r w:rsidR="00423B2A">
        <w:t>„</w:t>
      </w:r>
      <w:r>
        <w:t>muss</w:t>
      </w:r>
      <w:r w:rsidR="00423B2A">
        <w:t>“</w:t>
      </w:r>
      <w:r>
        <w:t>), wird er für nicht tragende Bauteile nur empfohlen (</w:t>
      </w:r>
      <w:r w:rsidR="00423B2A">
        <w:t>„</w:t>
      </w:r>
      <w:r>
        <w:t>sollte</w:t>
      </w:r>
      <w:r w:rsidR="00423B2A">
        <w:t>“</w:t>
      </w:r>
      <w:r>
        <w:t>). Aus diesem Grund ist das Staatsministerium für Wohnen, Bau und Verkehr der Auffassung, dass die Nichtbeachtung der DIN 68800-1 bei tragenden Bauteilen eine wesentliche Abweichung von den technischen Baubestimmungen dar-stellt, während sie bei nicht tragenden Bauteilen als unwesentlich angesehen werden kann.</w:t>
      </w:r>
    </w:p>
    <w:p w:rsidR="000E3A3D" w:rsidRPr="003F3E3B" w:rsidRDefault="000E3A3D" w:rsidP="000E3A3D">
      <w:pPr>
        <w:pStyle w:val="LTAntwortRessortText"/>
        <w:rPr>
          <w:u w:val="single"/>
        </w:rPr>
      </w:pPr>
      <w:r w:rsidRPr="003F3E3B">
        <w:rPr>
          <w:u w:val="single"/>
        </w:rPr>
        <w:t>Zur dritten Teilfrage:</w:t>
      </w:r>
    </w:p>
    <w:p w:rsidR="000E3A3D" w:rsidRDefault="000E3A3D" w:rsidP="003F3E3B">
      <w:pPr>
        <w:pStyle w:val="LTAntwortRessortText"/>
        <w:spacing w:before="120"/>
      </w:pPr>
      <w:r>
        <w:t>Vor dem Landgericht Regensburg findet ein selbständiges Beweisverfahren zwischen an der B</w:t>
      </w:r>
      <w:r w:rsidR="00DA75B4">
        <w:t>auausführung des Baumwipfelpfad</w:t>
      </w:r>
      <w:r>
        <w:t>s beteiligten Firmen statt mit dem Ziel zu klären, ob zur Erreichung der geplanten Nutzungsdauer des Bauwerks ein nachträglicher Holzschutz erforderlich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Ruth</w:t>
            </w:r>
            <w:r w:rsidRPr="000E3A3D">
              <w:rPr>
                <w:b/>
              </w:rPr>
              <w:br/>
              <w:t>Müller</w:t>
            </w:r>
            <w:r w:rsidRPr="000E3A3D">
              <w:rPr>
                <w:b/>
              </w:rPr>
              <w:br/>
            </w:r>
            <w:r w:rsidRPr="000E3A3D">
              <w:t>(SPD)</w:t>
            </w:r>
            <w:r>
              <w:fldChar w:fldCharType="begin"/>
            </w:r>
            <w:r>
              <w:instrText xml:space="preserve"> TC </w:instrText>
            </w:r>
            <w:r w:rsidR="00423B2A">
              <w:instrText>„</w:instrText>
            </w:r>
            <w:bookmarkStart w:id="67" w:name="_Toc519153253"/>
            <w:r>
              <w:instrText>Müller, Ruth (SPD)</w:instrText>
            </w:r>
            <w:r>
              <w:br/>
              <w:instrText>Überbrückungshilfen für Waldbesitzervereinigungen</w:instrText>
            </w:r>
            <w:bookmarkEnd w:id="6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193822">
            <w:pPr>
              <w:pStyle w:val="LTAnfrageText"/>
            </w:pPr>
            <w:r>
              <w:t>Ich frage die Staatsregierung, ob sie Kenntnis hat, wie lange die Waldbesitzervereinigungen in Bayern vom Einschlag und der Lagerung im Wald derzeit warten müssen, um ihr Holz im Sägewerk anliefern zu können, wie lange dauert es, bis sie dann ihr Geld dafür bekommen und plant die Staatsregierung Überbrückungshilfen zu gewähren, wenn die Sägewerke aufgrund der Windbruchmengen das Holz der Waldbesitzervereinigungen nur nach und nach abnehmen können?</w:t>
            </w:r>
          </w:p>
        </w:tc>
      </w:tr>
    </w:tbl>
    <w:p w:rsidR="000E3A3D" w:rsidRDefault="000E3A3D" w:rsidP="000E3A3D">
      <w:pPr>
        <w:pStyle w:val="LTUeberschrAntwortRessort"/>
      </w:pPr>
      <w:r>
        <w:lastRenderedPageBreak/>
        <w:t>Antwort des Staatsministeriums für Ernährung, Landwirtschaft und Forsten</w:t>
      </w:r>
    </w:p>
    <w:p w:rsidR="000E3A3D" w:rsidRDefault="000E3A3D" w:rsidP="000E3A3D">
      <w:pPr>
        <w:pStyle w:val="LTAntwortRessortText"/>
      </w:pPr>
      <w:r>
        <w:t xml:space="preserve">Die Prozesskette Waldbewirtschaftung und Holznutzung ist grundsätzlich davon geprägt, dass es einen i. d. R. mehrere Wochen umfassenden zeitlichen Versatz zwischen Holzeinschlag, Lagerung und Bereitstellung des Holzes, Abtransport ins Sägewerk und Bezahlung des Kaufpreises gibt. </w:t>
      </w:r>
    </w:p>
    <w:p w:rsidR="000E3A3D" w:rsidRDefault="000E3A3D" w:rsidP="003F3E3B">
      <w:pPr>
        <w:pStyle w:val="LTAntwortRessortText"/>
      </w:pPr>
      <w:r>
        <w:t>Aktuell stellt sich die Situation wie folgt dar: Die bayerischen Sägewerke sind aufgrund der deutschlandweit erheblichen Windwurfanfälle gut mit Rundholz versorgt. Eine verzögerte H</w:t>
      </w:r>
      <w:r w:rsidR="003F3E3B">
        <w:t>olzabfuhr und Annahme in den Sä</w:t>
      </w:r>
      <w:r>
        <w:t>gewerken ist die Folge. In der Praxis sind derzeit Abfuhrzeiträume von acht bis zwölf Wochen zu verzeichnen. Bei kleineren Sägewerken oder hochwertigen Sondersortimenten können die Zeiträume kürzer sein. Aufgrund der aktuellen Käferholzanfälle u</w:t>
      </w:r>
      <w:r w:rsidR="003F3E3B">
        <w:t>nd der bevorstehenden urlaubsbe</w:t>
      </w:r>
      <w:r>
        <w:t>dingten Betriebsstillstände bei den Sägewerken ist mit einer Entspannung der Abfuhrsituation über die Sommerm</w:t>
      </w:r>
      <w:r w:rsidR="003F3E3B">
        <w:t>onate nicht zu rechnen. Nach An</w:t>
      </w:r>
      <w:r>
        <w:t>lieferung im Sägewerk, Vermessung und anschließender Erstellung der Gutschrift bis zur Erreichung des individuell in den Zahlungsbedingungen vereinbarten Zahlungsziels vergehen in der Praxis we</w:t>
      </w:r>
      <w:r w:rsidR="003F3E3B">
        <w:t>itere vier bis acht Wochen.</w:t>
      </w:r>
    </w:p>
    <w:p w:rsidR="000E3A3D" w:rsidRDefault="000E3A3D" w:rsidP="000E3A3D">
      <w:pPr>
        <w:pStyle w:val="LTAntwortRessortText"/>
      </w:pPr>
      <w:r>
        <w:t>Die Waldbesitzervereinigungen und Forstbetriebsgemeinschaften als Selbsthilfeeinrichtungen der Waldbesitzer übernehmen in dieser Prozesskette eine bündelnde Rolle. Unabhängig davon, ob sie hierbei im Namen und auf Rechnung des Waldbesitzers tätig werden (sog. Vermittlun</w:t>
      </w:r>
      <w:r w:rsidR="003F3E3B">
        <w:t xml:space="preserve">gsgeschäft) oder ob sie selbst </w:t>
      </w:r>
      <w:r>
        <w:t xml:space="preserve">als Verkäufer des Holzes auftreten (sog. Eigengeschäft), erfolgen die Auszahlungen an die Waldbesitzer i. d. R. erst nach Gutschrift des Holzkaufpreises durch die Sägewerke. Die aktuell verzögerte Abfuhr bedeutet somit für Waldbesitzervereinigungen keine unmittelbaren finanziellen Nachteile. </w:t>
      </w:r>
    </w:p>
    <w:p w:rsidR="000E3A3D" w:rsidRDefault="000E3A3D" w:rsidP="000E3A3D">
      <w:pPr>
        <w:pStyle w:val="LTAntwortRessortText"/>
      </w:pPr>
      <w:r>
        <w:t>Überbrückungshilfen für Waldbesitzervereinigungen sind vor diesem Hintergrund nicht vorgesehen.</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Thomas</w:t>
            </w:r>
            <w:r w:rsidRPr="000E3A3D">
              <w:rPr>
                <w:b/>
              </w:rPr>
              <w:br/>
              <w:t>Mütze</w:t>
            </w:r>
            <w:r w:rsidRPr="000E3A3D">
              <w:rPr>
                <w:b/>
              </w:rPr>
              <w:br/>
            </w:r>
            <w:r w:rsidRPr="000E3A3D">
              <w:t>(BÜNDNIS 90/DIE GRÜNEN)</w:t>
            </w:r>
            <w:r>
              <w:fldChar w:fldCharType="begin"/>
            </w:r>
            <w:r>
              <w:instrText xml:space="preserve"> TC </w:instrText>
            </w:r>
            <w:r w:rsidR="00423B2A">
              <w:instrText>„</w:instrText>
            </w:r>
            <w:bookmarkStart w:id="68" w:name="_Toc519153254"/>
            <w:r>
              <w:instrText>Mütze, Thomas (BÜNDNIS 90/DIE GRÜNEN)</w:instrText>
            </w:r>
            <w:r>
              <w:br/>
              <w:instrText>Schutzstatus von Staatswaldflächen</w:instrText>
            </w:r>
            <w:bookmarkEnd w:id="68"/>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ob sie angesichts der Planungen im Spessart zu einem Eicheninformationszentrum mit Tagungsstätte in Erlenfurt, Landkreis Aschaffenburg und Attraktionen wie einem Aussichtsturm, einem Niedrigseilgarten und weiterer touristischer Maßnahmen am Bischborner Hof (an der B</w:t>
            </w:r>
            <w:r w:rsidR="003F3E3B">
              <w:t> </w:t>
            </w:r>
            <w:r>
              <w:t>26) im Landkreis Main-Spessart des Weiteren plant, zeitnah im Spessart zusätzliche Staatswaldflächen unter Schutz zu stellen (bitte die Flächen mit Bezeichnung, Größe und Gemarkung auflisten), welchen Schutzstatus dies Flächen erhalten werden und wie der deren Vernetzung (Trittsteinkonzept) vonstatten gehen soll?</w:t>
            </w:r>
          </w:p>
          <w:p w:rsidR="000E3A3D" w:rsidRDefault="000E3A3D" w:rsidP="000E3A3D">
            <w:pPr>
              <w:pStyle w:val="LTAnfrageText"/>
            </w:pPr>
          </w:p>
        </w:tc>
      </w:tr>
    </w:tbl>
    <w:p w:rsidR="000E3A3D" w:rsidRDefault="000E3A3D" w:rsidP="000E3A3D">
      <w:pPr>
        <w:pStyle w:val="LTUeberschrAntwortRessort"/>
      </w:pPr>
      <w:r>
        <w:t>Antwort des Staatsministeriums für Ernährung, Landwirtschaft und Forsten</w:t>
      </w:r>
    </w:p>
    <w:p w:rsidR="000E3A3D" w:rsidRDefault="000E3A3D" w:rsidP="000E3A3D">
      <w:pPr>
        <w:pStyle w:val="LTAntwortRessortText"/>
      </w:pPr>
      <w:r>
        <w:t xml:space="preserve">Jahrhundertelange pflegliche Bewirtschaftung hat den Spessart als großes, durch die Buche geprägtes und mit hohen Eichenanteilen durchsetztes Laubwaldgebiet erhalten. Weite Teile des Spessarts stehen unter Schutz, vielfach sogar in mehreren Schutzkategorien. Neben der Zuordnung zum Naturpark Spessart sind insbesondere die großflächigen </w:t>
      </w:r>
      <w:r w:rsidR="003F3E3B">
        <w:rPr>
          <w:rStyle w:val="st"/>
        </w:rPr>
        <w:t>FFH- (= Fauna-Flora-Habitat</w:t>
      </w:r>
      <w:r w:rsidR="00C442E7">
        <w:rPr>
          <w:rStyle w:val="st"/>
        </w:rPr>
        <w:softHyphen/>
      </w:r>
      <w:r w:rsidR="003F3E3B">
        <w:rPr>
          <w:rStyle w:val="st"/>
        </w:rPr>
        <w:t>richtlinie)</w:t>
      </w:r>
      <w:r>
        <w:t xml:space="preserve"> bzw. SPA</w:t>
      </w:r>
      <w:r w:rsidR="003F3E3B">
        <w:t xml:space="preserve"> (= </w:t>
      </w:r>
      <w:r w:rsidR="003F3E3B">
        <w:rPr>
          <w:rStyle w:val="st"/>
        </w:rPr>
        <w:t xml:space="preserve">Special Protection Areas) </w:t>
      </w:r>
      <w:r>
        <w:t xml:space="preserve">-Gebiete zu nennen, auf denen ein strenges Verschlechterungsverbot gilt. Die Staatsforsten </w:t>
      </w:r>
      <w:r w:rsidR="00C442E7">
        <w:t xml:space="preserve">(BaySF) </w:t>
      </w:r>
      <w:r>
        <w:t xml:space="preserve">haben im Hochspessart zudem rund 1.300 Hektar sogenannter </w:t>
      </w:r>
      <w:r w:rsidR="00423B2A">
        <w:t>„</w:t>
      </w:r>
      <w:r>
        <w:t>Klasse-I-Wälder</w:t>
      </w:r>
      <w:r w:rsidR="00423B2A">
        <w:t>“</w:t>
      </w:r>
      <w:r w:rsidR="003F3E3B">
        <w:t xml:space="preserve"> im Rahmen der eigenen Natur</w:t>
      </w:r>
      <w:r>
        <w:t xml:space="preserve">schutzkonzepte ausgewiesen. Teils sind </w:t>
      </w:r>
      <w:r w:rsidR="00DA75B4">
        <w:t>Naturschutzgebiete und Natur</w:t>
      </w:r>
      <w:r>
        <w:t xml:space="preserve">waldreservate enthalten. Die Holznutzung wurde in den </w:t>
      </w:r>
      <w:r>
        <w:lastRenderedPageBreak/>
        <w:t>Klasse-I-Wäldern grundsätzlich eingestellt. Vernetzungseffekte gibt es durch systematische Integration von Totholz-, Biotopbaum- un</w:t>
      </w:r>
      <w:r w:rsidR="003F3E3B">
        <w:t>d Altholzstrukturen in die nach</w:t>
      </w:r>
      <w:r>
        <w:t xml:space="preserve">haltige, naturnahe Waldbewirtschaftung auf nahezu gesamter Fläche. Der Erhalt der Spessartwälder in ihrer besonderen ökologischen Wertigkeit ist somit nicht nur den Waldbesitzern, insbesondere den </w:t>
      </w:r>
      <w:r w:rsidR="003F3E3B">
        <w:t>BaySF</w:t>
      </w:r>
      <w:r>
        <w:t>, ein ernstes Anliegen, sondern er ist darüber hinaus auch mehrfach gesichert. Einer weiteren Unterschutzst</w:t>
      </w:r>
      <w:r w:rsidR="00C442E7">
        <w:t>ellung von Staatswaldflächen be</w:t>
      </w:r>
      <w:r>
        <w:t>darf es daher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Verena</w:t>
            </w:r>
            <w:r w:rsidRPr="000E3A3D">
              <w:rPr>
                <w:b/>
              </w:rPr>
              <w:br/>
              <w:t>Osgyan</w:t>
            </w:r>
            <w:r w:rsidRPr="000E3A3D">
              <w:rPr>
                <w:b/>
              </w:rPr>
              <w:br/>
            </w:r>
            <w:r w:rsidRPr="000E3A3D">
              <w:t>(BÜNDNIS 90/DIE GRÜNEN)</w:t>
            </w:r>
            <w:r>
              <w:fldChar w:fldCharType="begin"/>
            </w:r>
            <w:r>
              <w:instrText xml:space="preserve"> TC </w:instrText>
            </w:r>
            <w:r w:rsidR="00423B2A">
              <w:instrText>„</w:instrText>
            </w:r>
            <w:bookmarkStart w:id="69" w:name="_Toc519153255"/>
            <w:r>
              <w:instrText>Osgyan, Verena (BÜNDNIS 90/DIE GRÜNEN)</w:instrText>
            </w:r>
            <w:r>
              <w:br/>
              <w:instrText>Ehemaliger KZ-Steinbruch \</w:instrText>
            </w:r>
            <w:r w:rsidR="00423B2A">
              <w:instrText>“</w:instrText>
            </w:r>
            <w:r>
              <w:instrText>Wurmstein\</w:instrText>
            </w:r>
            <w:bookmarkEnd w:id="69"/>
            <w:r w:rsidR="00423B2A">
              <w:instrText>“</w:instrText>
            </w:r>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ob ihre Pläne, den ehemaligen KZ-Steinbruch </w:t>
            </w:r>
            <w:r w:rsidR="00423B2A">
              <w:t>„</w:t>
            </w:r>
            <w:r>
              <w:t>Wurmstein</w:t>
            </w:r>
            <w:r w:rsidR="00423B2A">
              <w:t>“</w:t>
            </w:r>
            <w:r>
              <w:t xml:space="preserve"> nach Ablauf des derzeit laufenden Pachtvertrags in die KZ-Gedenkstätte Flossenbürg zu integrieren, noch immer aktuell sind, ob es dennoch Bestrebungen seitens der Staatsregierung</w:t>
            </w:r>
            <w:r w:rsidR="00423B2A">
              <w:t xml:space="preserve"> </w:t>
            </w:r>
            <w:r>
              <w:t>gibt, den Granitabbau</w:t>
            </w:r>
            <w:r w:rsidR="00423B2A">
              <w:t xml:space="preserve"> </w:t>
            </w:r>
            <w:r>
              <w:t>in dem Steinbruch nach Ablauf der Pachtfrist</w:t>
            </w:r>
            <w:r w:rsidR="00423B2A">
              <w:t xml:space="preserve"> </w:t>
            </w:r>
            <w:r>
              <w:t>weiter aufrechtzuerhalten und ob dazu seitens der Staatsregierung bzw. der Staatsforsten schon konkrete (Vor-)Ver</w:t>
            </w:r>
            <w:r w:rsidR="00DA75B4">
              <w:softHyphen/>
            </w:r>
            <w:r>
              <w:t>handlungen zu einer Verlängerung oder Erneuerung des Pachtvertrags mit dem bisherigen Pächter geführt wurden?</w:t>
            </w:r>
          </w:p>
          <w:p w:rsidR="000E3A3D" w:rsidRDefault="000E3A3D" w:rsidP="000E3A3D">
            <w:pPr>
              <w:pStyle w:val="LTAnfrageText"/>
            </w:pPr>
          </w:p>
        </w:tc>
      </w:tr>
    </w:tbl>
    <w:p w:rsidR="000E3A3D" w:rsidRDefault="000E3A3D" w:rsidP="000E3A3D">
      <w:pPr>
        <w:pStyle w:val="LTUeberschrAntwortRessort"/>
      </w:pPr>
      <w:r>
        <w:t>Antwort des Staatsministeriums für Ernährung, Landwirtschaft und Forsten</w:t>
      </w:r>
    </w:p>
    <w:p w:rsidR="000E3A3D" w:rsidRDefault="000E3A3D" w:rsidP="000E3A3D">
      <w:pPr>
        <w:pStyle w:val="LTAntwortRessortText"/>
      </w:pPr>
      <w:r>
        <w:t>Derzeit wird die zukünftige Ausformung und Gestaltung der KZ-Gedenkstätte Flossenbürg in den bete</w:t>
      </w:r>
      <w:r w:rsidR="00C442E7">
        <w:t>iligten Staatsministerien (Staatsministerium für Wissenschaft und Kunst</w:t>
      </w:r>
      <w:r>
        <w:t xml:space="preserve">, </w:t>
      </w:r>
      <w:r w:rsidR="00C442E7">
        <w:t>Staatsministerium für Unterricht und Kultus</w:t>
      </w:r>
      <w:r>
        <w:t xml:space="preserve">, </w:t>
      </w:r>
      <w:r w:rsidR="00C442E7">
        <w:t>Staatsministerium der Finanzen, für Landesentwicklung und Heimat und Staatsministerium für Ernährung, Landwirtschaft und Forsten</w:t>
      </w:r>
      <w:r>
        <w:t>) abgestimmt. In diesem Zusammenhang wird auch die Frage einer möglichen Weiterverpachtung des Steinbruchs betrachtet.</w:t>
      </w:r>
    </w:p>
    <w:p w:rsidR="000E3A3D" w:rsidRDefault="000E3A3D" w:rsidP="000E3A3D">
      <w:pPr>
        <w:pStyle w:val="LTAntwortRessortText"/>
      </w:pPr>
      <w:r>
        <w:t xml:space="preserve">Seitens der Staatsforsten </w:t>
      </w:r>
      <w:r w:rsidR="00C442E7">
        <w:t xml:space="preserve">(BaySF) </w:t>
      </w:r>
      <w:r>
        <w:t>wurden bisher keine Verhandlungen oder Vorverhandlungen zu einer Verlängerung oder Erneuerung des Pachtvertrags geführt.</w:t>
      </w:r>
    </w:p>
    <w:p w:rsidR="00C442E7" w:rsidRDefault="00C442E7">
      <w:pPr>
        <w:rPr>
          <w:rFonts w:cs="Arial"/>
          <w:b/>
          <w:sz w:val="22"/>
          <w:szCs w:val="22"/>
        </w:rPr>
      </w:pPr>
      <w:r>
        <w:br w:type="page"/>
      </w:r>
    </w:p>
    <w:p w:rsidR="000E3A3D" w:rsidRDefault="000E3A3D" w:rsidP="000E3A3D">
      <w:pPr>
        <w:pStyle w:val="LTUeberschrRessort"/>
      </w:pPr>
      <w:r>
        <w:lastRenderedPageBreak/>
        <w:t>Geschäftsbereich des Staatsministeriums für Familie, Arbeit und Soziales</w:t>
      </w:r>
      <w:r>
        <w:fldChar w:fldCharType="begin"/>
      </w:r>
      <w:r>
        <w:instrText xml:space="preserve"> TC </w:instrText>
      </w:r>
      <w:r w:rsidR="00423B2A">
        <w:instrText>„</w:instrText>
      </w:r>
      <w:bookmarkStart w:id="70" w:name="_Toc519153256"/>
      <w:r>
        <w:instrText>Geschäftsbereich des Staatsministeriums für Familie, Arbeit und Soziales</w:instrText>
      </w:r>
      <w:bookmarkEnd w:id="70"/>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Doris</w:t>
            </w:r>
            <w:r w:rsidRPr="000E3A3D">
              <w:rPr>
                <w:b/>
              </w:rPr>
              <w:br/>
              <w:t>Rauscher</w:t>
            </w:r>
            <w:r w:rsidRPr="000E3A3D">
              <w:rPr>
                <w:b/>
              </w:rPr>
              <w:br/>
            </w:r>
            <w:r w:rsidRPr="000E3A3D">
              <w:t>(SPD)</w:t>
            </w:r>
            <w:r>
              <w:fldChar w:fldCharType="begin"/>
            </w:r>
            <w:r>
              <w:instrText xml:space="preserve"> TC </w:instrText>
            </w:r>
            <w:r w:rsidR="00423B2A">
              <w:instrText>„</w:instrText>
            </w:r>
            <w:bookmarkStart w:id="71" w:name="_Toc519153257"/>
            <w:r>
              <w:instrText>Rauscher, Doris (SPD)</w:instrText>
            </w:r>
            <w:r>
              <w:br/>
              <w:instrText>Anstellungsschlüssel in bayerischen Kindertageseinrichtungen</w:instrText>
            </w:r>
            <w:bookmarkEnd w:id="71"/>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der bayerischen Kindertageseinrichtungen verzeichnen aktuell einen Anstellungsschlüssel, der besser als 1:10 bzw.1:9 ist (bitte differenziert nach Kinderkrippe, Kindergarten und Hort), wie viele Einrichtungen verbuchen einen Anstellungsschlüssel, der schlechter als 1:11 ist (bitte differenziert nach Kinderkrippe, Kindergarten und Hort), und wie hoch sind in den verschiedenen Einrichtungsarten die jeweiligen Fehlzeiten der Beschäftigten (bitte differnziert nach Art der Fehlzeit)?</w:t>
            </w:r>
          </w:p>
          <w:p w:rsidR="000E3A3D" w:rsidRDefault="000E3A3D" w:rsidP="000E3A3D">
            <w:pPr>
              <w:pStyle w:val="LTAnfrageText"/>
            </w:pPr>
          </w:p>
        </w:tc>
      </w:tr>
    </w:tbl>
    <w:p w:rsidR="000E3A3D" w:rsidRDefault="000E3A3D" w:rsidP="000E3A3D">
      <w:pPr>
        <w:pStyle w:val="LTUeberschrAntwortRessort"/>
      </w:pPr>
      <w:r>
        <w:t>Antwort des Staatsministeriums für Familie, Arbeit und Soziales</w:t>
      </w:r>
    </w:p>
    <w:p w:rsidR="000E3A3D" w:rsidRDefault="000E3A3D" w:rsidP="000E3A3D">
      <w:pPr>
        <w:pStyle w:val="LTAntwortRessortText"/>
      </w:pPr>
      <w:r>
        <w:t>In der nachfolgenden Tabelle sind auf der Grundlage der Datenlage in KiBiG.web die Einrichtungen getrennt nach Kinderkrippe, Kindergarten und Hort aufgeführt, die im Kalenderjahr 2017 in mindestens einem Kalendermonat einen Anstellungsschlüssel von besser als 1:10 bzw. 1:9 verzeichneten sowie die Zahl der Einrichtungen, die in mindestens einem Kalendermonat einen Anstellungsschlüssel von schlechter als 1:11 hatten.</w:t>
      </w:r>
    </w:p>
    <w:p w:rsidR="000E3A3D" w:rsidRDefault="000E3A3D" w:rsidP="000E3A3D">
      <w:pPr>
        <w:pStyle w:val="LTAntwortRessortText"/>
      </w:pPr>
    </w:p>
    <w:tbl>
      <w:tblPr>
        <w:tblW w:w="7480" w:type="dxa"/>
        <w:tblInd w:w="496" w:type="dxa"/>
        <w:tblCellMar>
          <w:left w:w="70" w:type="dxa"/>
          <w:right w:w="70" w:type="dxa"/>
        </w:tblCellMar>
        <w:tblLook w:val="04A0" w:firstRow="1" w:lastRow="0" w:firstColumn="1" w:lastColumn="0" w:noHBand="0" w:noVBand="1"/>
      </w:tblPr>
      <w:tblGrid>
        <w:gridCol w:w="3320"/>
        <w:gridCol w:w="1520"/>
        <w:gridCol w:w="1240"/>
        <w:gridCol w:w="1400"/>
      </w:tblGrid>
      <w:tr w:rsidR="00300AFF" w:rsidRPr="00300AFF" w:rsidTr="00300AFF">
        <w:trPr>
          <w:trHeight w:val="576"/>
        </w:trPr>
        <w:tc>
          <w:tcPr>
            <w:tcW w:w="3320" w:type="dxa"/>
            <w:tcBorders>
              <w:top w:val="single" w:sz="4" w:space="0" w:color="auto"/>
              <w:left w:val="single" w:sz="4" w:space="0" w:color="auto"/>
              <w:bottom w:val="nil"/>
              <w:right w:val="single" w:sz="4" w:space="0" w:color="auto"/>
            </w:tcBorders>
            <w:shd w:val="clear" w:color="auto" w:fill="auto"/>
            <w:noWrap/>
            <w:vAlign w:val="bottom"/>
            <w:hideMark/>
          </w:tcPr>
          <w:p w:rsidR="00300AFF" w:rsidRPr="00300AFF" w:rsidRDefault="00300AFF" w:rsidP="00300AFF">
            <w:pPr>
              <w:rPr>
                <w:rFonts w:ascii="Calibri" w:hAnsi="Calibri"/>
                <w:color w:val="000000"/>
                <w:sz w:val="22"/>
                <w:szCs w:val="22"/>
              </w:rPr>
            </w:pPr>
            <w:r w:rsidRPr="00300AFF">
              <w:rPr>
                <w:rFonts w:ascii="Calibri" w:hAnsi="Calibri"/>
                <w:color w:val="000000"/>
                <w:sz w:val="22"/>
                <w:szCs w:val="22"/>
              </w:rPr>
              <w:t> </w:t>
            </w:r>
          </w:p>
        </w:tc>
        <w:tc>
          <w:tcPr>
            <w:tcW w:w="4160" w:type="dxa"/>
            <w:gridSpan w:val="3"/>
            <w:tcBorders>
              <w:top w:val="single" w:sz="4" w:space="0" w:color="auto"/>
              <w:left w:val="nil"/>
              <w:bottom w:val="single" w:sz="4" w:space="0" w:color="auto"/>
              <w:right w:val="single" w:sz="4" w:space="0" w:color="auto"/>
            </w:tcBorders>
            <w:shd w:val="clear" w:color="auto" w:fill="auto"/>
            <w:vAlign w:val="bottom"/>
            <w:hideMark/>
          </w:tcPr>
          <w:p w:rsidR="00300AFF" w:rsidRPr="00300AFF" w:rsidRDefault="00300AFF" w:rsidP="00300AFF">
            <w:pPr>
              <w:jc w:val="center"/>
              <w:rPr>
                <w:rFonts w:ascii="Calibri" w:hAnsi="Calibri"/>
                <w:bCs/>
                <w:color w:val="000000"/>
                <w:sz w:val="22"/>
                <w:szCs w:val="22"/>
              </w:rPr>
            </w:pPr>
            <w:r w:rsidRPr="00300AFF">
              <w:rPr>
                <w:rFonts w:ascii="Calibri" w:hAnsi="Calibri"/>
                <w:bCs/>
                <w:color w:val="000000"/>
                <w:sz w:val="22"/>
                <w:szCs w:val="22"/>
              </w:rPr>
              <w:t>Anstellungsschlüssel für mind. 1 Monat</w:t>
            </w:r>
            <w:r w:rsidRPr="00300AFF">
              <w:rPr>
                <w:rFonts w:ascii="Calibri" w:hAnsi="Calibri"/>
                <w:bCs/>
                <w:color w:val="000000"/>
                <w:sz w:val="22"/>
                <w:szCs w:val="22"/>
              </w:rPr>
              <w:br/>
              <w:t>im Bewilligungszeitraum 2017</w:t>
            </w:r>
          </w:p>
        </w:tc>
      </w:tr>
      <w:tr w:rsidR="00300AFF" w:rsidRPr="00300AFF" w:rsidTr="00300AFF">
        <w:trPr>
          <w:trHeight w:val="5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300AFF" w:rsidRPr="00300AFF" w:rsidRDefault="00300AFF" w:rsidP="00300AFF">
            <w:pPr>
              <w:rPr>
                <w:rFonts w:ascii="Calibri" w:hAnsi="Calibri"/>
                <w:b/>
                <w:bCs/>
                <w:color w:val="000000"/>
                <w:sz w:val="22"/>
                <w:szCs w:val="22"/>
              </w:rPr>
            </w:pPr>
            <w:r w:rsidRPr="00300AFF">
              <w:rPr>
                <w:rFonts w:ascii="Calibri" w:hAnsi="Calibri"/>
                <w:b/>
                <w:bCs/>
                <w:color w:val="000000"/>
                <w:sz w:val="22"/>
                <w:szCs w:val="22"/>
              </w:rPr>
              <w:t>Einrichtungsform</w:t>
            </w:r>
          </w:p>
        </w:tc>
        <w:tc>
          <w:tcPr>
            <w:tcW w:w="1520" w:type="dxa"/>
            <w:tcBorders>
              <w:top w:val="nil"/>
              <w:left w:val="nil"/>
              <w:bottom w:val="single" w:sz="4" w:space="0" w:color="auto"/>
              <w:right w:val="single" w:sz="4" w:space="0" w:color="auto"/>
            </w:tcBorders>
            <w:shd w:val="clear" w:color="auto" w:fill="auto"/>
            <w:vAlign w:val="bottom"/>
            <w:hideMark/>
          </w:tcPr>
          <w:p w:rsidR="00300AFF" w:rsidRPr="00300AFF" w:rsidRDefault="00300AFF" w:rsidP="00300AFF">
            <w:pPr>
              <w:jc w:val="center"/>
              <w:rPr>
                <w:rFonts w:ascii="Calibri" w:hAnsi="Calibri"/>
                <w:b/>
                <w:bCs/>
                <w:color w:val="000000"/>
                <w:sz w:val="22"/>
                <w:szCs w:val="22"/>
              </w:rPr>
            </w:pPr>
            <w:r w:rsidRPr="00300AFF">
              <w:rPr>
                <w:rFonts w:ascii="Calibri" w:hAnsi="Calibri"/>
                <w:b/>
                <w:bCs/>
                <w:color w:val="000000"/>
                <w:sz w:val="22"/>
                <w:szCs w:val="22"/>
              </w:rPr>
              <w:t xml:space="preserve">besser als </w:t>
            </w:r>
            <w:r w:rsidRPr="00300AFF">
              <w:rPr>
                <w:rFonts w:ascii="Calibri" w:hAnsi="Calibri"/>
                <w:b/>
                <w:bCs/>
                <w:color w:val="000000"/>
                <w:sz w:val="22"/>
                <w:szCs w:val="22"/>
              </w:rPr>
              <w:br/>
              <w:t>1:10,0</w:t>
            </w:r>
          </w:p>
        </w:tc>
        <w:tc>
          <w:tcPr>
            <w:tcW w:w="1240" w:type="dxa"/>
            <w:tcBorders>
              <w:top w:val="nil"/>
              <w:left w:val="nil"/>
              <w:bottom w:val="single" w:sz="4" w:space="0" w:color="auto"/>
              <w:right w:val="single" w:sz="4" w:space="0" w:color="auto"/>
            </w:tcBorders>
            <w:shd w:val="clear" w:color="auto" w:fill="auto"/>
            <w:vAlign w:val="bottom"/>
            <w:hideMark/>
          </w:tcPr>
          <w:p w:rsidR="00300AFF" w:rsidRPr="00300AFF" w:rsidRDefault="00300AFF" w:rsidP="00300AFF">
            <w:pPr>
              <w:jc w:val="center"/>
              <w:rPr>
                <w:rFonts w:ascii="Calibri" w:hAnsi="Calibri"/>
                <w:b/>
                <w:bCs/>
                <w:color w:val="000000"/>
                <w:sz w:val="22"/>
                <w:szCs w:val="22"/>
              </w:rPr>
            </w:pPr>
            <w:r w:rsidRPr="00300AFF">
              <w:rPr>
                <w:rFonts w:ascii="Calibri" w:hAnsi="Calibri"/>
                <w:b/>
                <w:bCs/>
                <w:color w:val="000000"/>
                <w:sz w:val="22"/>
                <w:szCs w:val="22"/>
              </w:rPr>
              <w:t xml:space="preserve">besser als </w:t>
            </w:r>
            <w:r w:rsidRPr="00300AFF">
              <w:rPr>
                <w:rFonts w:ascii="Calibri" w:hAnsi="Calibri"/>
                <w:b/>
                <w:bCs/>
                <w:color w:val="000000"/>
                <w:sz w:val="22"/>
                <w:szCs w:val="22"/>
              </w:rPr>
              <w:br/>
              <w:t>1:9,0</w:t>
            </w:r>
          </w:p>
        </w:tc>
        <w:tc>
          <w:tcPr>
            <w:tcW w:w="1400" w:type="dxa"/>
            <w:tcBorders>
              <w:top w:val="nil"/>
              <w:left w:val="nil"/>
              <w:bottom w:val="single" w:sz="4" w:space="0" w:color="auto"/>
              <w:right w:val="single" w:sz="4" w:space="0" w:color="auto"/>
            </w:tcBorders>
            <w:shd w:val="clear" w:color="auto" w:fill="auto"/>
            <w:vAlign w:val="bottom"/>
            <w:hideMark/>
          </w:tcPr>
          <w:p w:rsidR="00300AFF" w:rsidRPr="00300AFF" w:rsidRDefault="00300AFF" w:rsidP="00300AFF">
            <w:pPr>
              <w:jc w:val="center"/>
              <w:rPr>
                <w:rFonts w:ascii="Calibri" w:hAnsi="Calibri"/>
                <w:b/>
                <w:bCs/>
                <w:color w:val="000000"/>
                <w:sz w:val="22"/>
                <w:szCs w:val="22"/>
              </w:rPr>
            </w:pPr>
            <w:r w:rsidRPr="00300AFF">
              <w:rPr>
                <w:rFonts w:ascii="Calibri" w:hAnsi="Calibri"/>
                <w:b/>
                <w:bCs/>
                <w:color w:val="000000"/>
                <w:sz w:val="22"/>
                <w:szCs w:val="22"/>
              </w:rPr>
              <w:t xml:space="preserve">schlechter als </w:t>
            </w:r>
            <w:r w:rsidRPr="00300AFF">
              <w:rPr>
                <w:rFonts w:ascii="Calibri" w:hAnsi="Calibri"/>
                <w:b/>
                <w:bCs/>
                <w:color w:val="000000"/>
                <w:sz w:val="22"/>
                <w:szCs w:val="22"/>
              </w:rPr>
              <w:br/>
              <w:t>1:11,0</w:t>
            </w:r>
          </w:p>
        </w:tc>
      </w:tr>
      <w:tr w:rsidR="00300AFF" w:rsidRPr="00300AFF" w:rsidTr="00300AFF">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300AFF" w:rsidRPr="00300AFF" w:rsidRDefault="00300AFF" w:rsidP="00300AFF">
            <w:pPr>
              <w:rPr>
                <w:rFonts w:ascii="Calibri" w:hAnsi="Calibri"/>
                <w:color w:val="000000"/>
                <w:sz w:val="22"/>
                <w:szCs w:val="22"/>
              </w:rPr>
            </w:pPr>
            <w:r w:rsidRPr="00300AFF">
              <w:rPr>
                <w:rFonts w:ascii="Calibri" w:hAnsi="Calibri"/>
                <w:color w:val="000000"/>
                <w:sz w:val="22"/>
                <w:szCs w:val="22"/>
              </w:rPr>
              <w:t>Kinderkrippen</w:t>
            </w:r>
          </w:p>
        </w:tc>
        <w:tc>
          <w:tcPr>
            <w:tcW w:w="152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1.343</w:t>
            </w:r>
          </w:p>
        </w:tc>
        <w:tc>
          <w:tcPr>
            <w:tcW w:w="124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1.130</w:t>
            </w:r>
          </w:p>
        </w:tc>
        <w:tc>
          <w:tcPr>
            <w:tcW w:w="140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60</w:t>
            </w:r>
          </w:p>
        </w:tc>
      </w:tr>
      <w:tr w:rsidR="00300AFF" w:rsidRPr="00300AFF" w:rsidTr="00300AFF">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300AFF" w:rsidRPr="00300AFF" w:rsidRDefault="00300AFF" w:rsidP="00300AFF">
            <w:pPr>
              <w:rPr>
                <w:rFonts w:ascii="Calibri" w:hAnsi="Calibri"/>
                <w:color w:val="000000"/>
                <w:sz w:val="22"/>
                <w:szCs w:val="22"/>
              </w:rPr>
            </w:pPr>
            <w:r w:rsidRPr="00300AFF">
              <w:rPr>
                <w:rFonts w:ascii="Calibri" w:hAnsi="Calibri"/>
                <w:color w:val="000000"/>
                <w:sz w:val="22"/>
                <w:szCs w:val="22"/>
              </w:rPr>
              <w:t>Kindergärten</w:t>
            </w:r>
          </w:p>
        </w:tc>
        <w:tc>
          <w:tcPr>
            <w:tcW w:w="152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3.942</w:t>
            </w:r>
          </w:p>
        </w:tc>
        <w:tc>
          <w:tcPr>
            <w:tcW w:w="124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2.227</w:t>
            </w:r>
          </w:p>
        </w:tc>
        <w:tc>
          <w:tcPr>
            <w:tcW w:w="140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349</w:t>
            </w:r>
          </w:p>
        </w:tc>
      </w:tr>
      <w:tr w:rsidR="00300AFF" w:rsidRPr="00300AFF" w:rsidTr="00300AFF">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300AFF" w:rsidRPr="00300AFF" w:rsidRDefault="00300AFF" w:rsidP="00300AFF">
            <w:pPr>
              <w:rPr>
                <w:rFonts w:ascii="Calibri" w:hAnsi="Calibri"/>
                <w:color w:val="000000"/>
                <w:sz w:val="22"/>
                <w:szCs w:val="22"/>
              </w:rPr>
            </w:pPr>
            <w:r w:rsidRPr="00300AFF">
              <w:rPr>
                <w:rFonts w:ascii="Calibri" w:hAnsi="Calibri"/>
                <w:color w:val="000000"/>
                <w:sz w:val="22"/>
                <w:szCs w:val="22"/>
              </w:rPr>
              <w:t>Horte</w:t>
            </w:r>
          </w:p>
        </w:tc>
        <w:tc>
          <w:tcPr>
            <w:tcW w:w="152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735</w:t>
            </w:r>
          </w:p>
        </w:tc>
        <w:tc>
          <w:tcPr>
            <w:tcW w:w="124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483</w:t>
            </w:r>
          </w:p>
        </w:tc>
        <w:tc>
          <w:tcPr>
            <w:tcW w:w="140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29</w:t>
            </w:r>
          </w:p>
        </w:tc>
      </w:tr>
      <w:tr w:rsidR="00300AFF" w:rsidRPr="00300AFF" w:rsidTr="00300AFF">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300AFF" w:rsidRPr="00300AFF" w:rsidRDefault="00300AFF" w:rsidP="00300AFF">
            <w:pPr>
              <w:rPr>
                <w:rFonts w:ascii="Calibri" w:hAnsi="Calibri"/>
                <w:color w:val="000000"/>
                <w:sz w:val="22"/>
                <w:szCs w:val="22"/>
              </w:rPr>
            </w:pPr>
            <w:r w:rsidRPr="00300AFF">
              <w:rPr>
                <w:rFonts w:ascii="Calibri" w:hAnsi="Calibri"/>
                <w:color w:val="000000"/>
                <w:sz w:val="22"/>
                <w:szCs w:val="22"/>
              </w:rPr>
              <w:t>Häuser für Kinder</w:t>
            </w:r>
          </w:p>
        </w:tc>
        <w:tc>
          <w:tcPr>
            <w:tcW w:w="152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1.739</w:t>
            </w:r>
          </w:p>
        </w:tc>
        <w:tc>
          <w:tcPr>
            <w:tcW w:w="124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1.175</w:t>
            </w:r>
          </w:p>
        </w:tc>
        <w:tc>
          <w:tcPr>
            <w:tcW w:w="1400" w:type="dxa"/>
            <w:tcBorders>
              <w:top w:val="nil"/>
              <w:left w:val="nil"/>
              <w:bottom w:val="single" w:sz="4" w:space="0" w:color="auto"/>
              <w:right w:val="single" w:sz="4" w:space="0" w:color="auto"/>
            </w:tcBorders>
            <w:shd w:val="clear" w:color="auto" w:fill="auto"/>
            <w:noWrap/>
            <w:vAlign w:val="bottom"/>
            <w:hideMark/>
          </w:tcPr>
          <w:p w:rsidR="00300AFF" w:rsidRPr="00300AFF" w:rsidRDefault="00300AFF" w:rsidP="00300AFF">
            <w:pPr>
              <w:jc w:val="center"/>
              <w:rPr>
                <w:rFonts w:ascii="Calibri" w:hAnsi="Calibri"/>
                <w:color w:val="000000"/>
                <w:sz w:val="22"/>
                <w:szCs w:val="22"/>
              </w:rPr>
            </w:pPr>
            <w:r w:rsidRPr="00300AFF">
              <w:rPr>
                <w:rFonts w:ascii="Calibri" w:hAnsi="Calibri"/>
                <w:color w:val="000000"/>
                <w:sz w:val="22"/>
                <w:szCs w:val="22"/>
              </w:rPr>
              <w:t>140</w:t>
            </w:r>
          </w:p>
        </w:tc>
      </w:tr>
    </w:tbl>
    <w:p w:rsidR="000E3A3D" w:rsidRDefault="000E3A3D" w:rsidP="000E3A3D">
      <w:pPr>
        <w:pStyle w:val="LTAntwortRessortText"/>
      </w:pPr>
      <w:r>
        <w:t>Mit der Änderung der Kinderbildungsverordnung (AVBayKiBiG) zum 01.01.2017 wurde die sog. Fehlzeitenregelung abgeschafft, sodass die Staatsregierung über keine statistischen Daten zu Fehlzeiten verfügt.</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Gabi</w:t>
            </w:r>
            <w:r w:rsidRPr="000E3A3D">
              <w:rPr>
                <w:b/>
              </w:rPr>
              <w:br/>
              <w:t>Schmidt</w:t>
            </w:r>
            <w:r w:rsidRPr="000E3A3D">
              <w:rPr>
                <w:b/>
              </w:rPr>
              <w:br/>
            </w:r>
            <w:r w:rsidRPr="000E3A3D">
              <w:t>(FREIE WÄHLER)</w:t>
            </w:r>
            <w:r>
              <w:fldChar w:fldCharType="begin"/>
            </w:r>
            <w:r>
              <w:instrText xml:space="preserve"> TC </w:instrText>
            </w:r>
            <w:r w:rsidR="00423B2A">
              <w:instrText>„</w:instrText>
            </w:r>
            <w:bookmarkStart w:id="72" w:name="_Toc519153258"/>
            <w:r>
              <w:instrText>Schmidt, Gabi (FREIE WÄHLER)</w:instrText>
            </w:r>
            <w:r>
              <w:br/>
              <w:instrText>Bayerisches Familiengeld für Pflegekinder</w:instrText>
            </w:r>
            <w:bookmarkEnd w:id="72"/>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plant sie, das Bayerische Familiengeld auch an Pflegeeltern auszuzahlen, wenn nein, wieso nicht und sieht die Staatsregierung die bisherigen Leistungen der Jugendämter als ausreichend an?</w:t>
            </w:r>
          </w:p>
          <w:p w:rsidR="000E3A3D" w:rsidRDefault="000E3A3D" w:rsidP="000E3A3D">
            <w:pPr>
              <w:pStyle w:val="LTAnfrageText"/>
            </w:pPr>
          </w:p>
        </w:tc>
      </w:tr>
    </w:tbl>
    <w:p w:rsidR="000E3A3D" w:rsidRDefault="000E3A3D" w:rsidP="000E3A3D">
      <w:pPr>
        <w:pStyle w:val="LTUeberschrAntwortRessort"/>
      </w:pPr>
      <w:r>
        <w:lastRenderedPageBreak/>
        <w:t>Antwort des Staatsministeriums für Familie, Arbeit und Soziales</w:t>
      </w:r>
    </w:p>
    <w:p w:rsidR="000E3A3D" w:rsidRDefault="000E3A3D" w:rsidP="000E3A3D">
      <w:pPr>
        <w:pStyle w:val="LTAntwortRessortText"/>
      </w:pPr>
      <w:r>
        <w:t>Das Bayerische Familiengeldgesetz (BayFamGG) verlangt grundsätzlich die Erziehung des eigenen Kindes. Die Einbeziehung von Pflegeverhältnissen ist nicht vorgesehen. Ausnahmen gelten für die Adoptionspflege, die gerade der Begründung eines Eltern-Kind-Verhältnisses dient. Hinzu kommt eine Härtefallklausel zugunsten von Verwandten, wenn Eltern z. B. wegen schwerer Krankheit ein Kind nicht selbst erziehen können. Bei dieser Ausgestaltung orientiert sich das BayFamGG an Berechtigtenbestimmungen in anderen Familienleistungsgesetzen (Bundeselterngeld, bisherige bayerische Landesleistungen).</w:t>
      </w:r>
    </w:p>
    <w:p w:rsidR="000E3A3D" w:rsidRDefault="000E3A3D" w:rsidP="000E3A3D">
      <w:pPr>
        <w:pStyle w:val="LTAntwortRessortText"/>
      </w:pPr>
      <w:r>
        <w:t>Vollzeitpflege im Sinne des Sozialgesetzbuchs (SGB) Achtes Buch (VIII) ist in ihrer konkreten Ausprägung einzelfallabhängig und vielgestaltig.</w:t>
      </w:r>
      <w:r w:rsidR="00010D43">
        <w:t xml:space="preserve"> </w:t>
      </w:r>
      <w:r>
        <w:t>Sie ist als Hilfe zur Erziehung im Grundsatz vom Ziel einer Rückführung in die Herkunftsfamilie geprägt. Pflegeeltern haben insoweit auch nicht regelhaft das umfassende Sorgerecht.</w:t>
      </w:r>
    </w:p>
    <w:p w:rsidR="000E3A3D" w:rsidRDefault="000E3A3D" w:rsidP="000E3A3D">
      <w:pPr>
        <w:pStyle w:val="LTAntwortRessortText"/>
      </w:pPr>
      <w:r>
        <w:t>Pflegeeltern erhalten auf der Grundlage der bundesrechtlichen Bestimmungen Leistungen zum Unterhalt des Kindes nach §§ 33, 39 SGB VIII. Nach § 39 Abs. 1 SGB VIII umfasst dieser Unterhalt die Kosten für den Sachaufwand und für die Pflege und Erziehung des Kindes. Der gesamte regelmäßig wiederkehrende Bedarf soll durch laufende Leistungen (sog. Pflegegeld) gedeckt werden; Beiträge zur Unfall- und anteilig zur Alterssicherung der Pflegeperson werden zudem erstattet. Ergänzend können Leistungen nach individuellem Bedarf des Kindes erfolgen, u.a. beispielsweise der Kindergartenbeitrag.</w:t>
      </w:r>
    </w:p>
    <w:p w:rsidR="000E3A3D" w:rsidRDefault="000E3A3D" w:rsidP="000E3A3D">
      <w:pPr>
        <w:pStyle w:val="LTAntwortRessortText"/>
      </w:pPr>
      <w:r>
        <w:t xml:space="preserve">Die Pauschalbeträge sollen von den nach Landesrecht zuständigen Behörden festgesetzt werden (§ 39 Abs. 5 SGB VIII); in Bayern ist das daher nicht der Freistaat Bayern selbst, sondern das jeweilige Jugendamt (Art. 43 </w:t>
      </w:r>
      <w:r w:rsidR="00010D43">
        <w:rPr>
          <w:rStyle w:val="st"/>
        </w:rPr>
        <w:t xml:space="preserve">Gesetz zur Ausführung der Sozialgesetze – </w:t>
      </w:r>
      <w:r>
        <w:t>AGSG). Alle Jugendämter orientieren sich im Sinne eines Mindeststandards an den hierzu veröffentlichten Empfehlungen des Bayerischen Städtetags und Bayerischen Landkreistags. Nach diesen Empfehlungen liegt der Anteil für Pflege und Erziehung für die Pflegeeltern bereits jetzt bei 300 Euro/monatlich und damit über den Empfehlungen des Deutschen Vereins. Der Anteil kann sich bei</w:t>
      </w:r>
      <w:r w:rsidR="00010D43">
        <w:t xml:space="preserve"> besonderen Belastungen indivi</w:t>
      </w:r>
      <w:r>
        <w:t>duell erhöhen. Mit Blick auf Zwecküberschneidungen zwischen Familiengeld und Pflegegeld stellt sich die Frage der Anrechnung und damit des Mehrwerts für Pflegeeltern.</w:t>
      </w:r>
    </w:p>
    <w:p w:rsidR="000E3A3D" w:rsidRDefault="000E3A3D" w:rsidP="000E3A3D">
      <w:pPr>
        <w:pStyle w:val="LTAntwortRessortText"/>
      </w:pPr>
      <w:r>
        <w:t>Das Pflegegeld beträgt je nach Altersstufe zwischen 802 und 1.040 Euro monatlich. Neben bedarfsgerechten Anpassungen der Ausgestaltung nach diesen Empfehlungen gewährleis</w:t>
      </w:r>
      <w:r w:rsidR="00010D43">
        <w:t>ten zweckdienliche örtliche Ab</w:t>
      </w:r>
      <w:r>
        <w:t>weichungen nach oben (z. B. Zuschläge für höhere Wohnkosten im Großraum München) die Zielerreichung der bundesrechtlichen Vorgaben.</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Claudia</w:t>
            </w:r>
            <w:r w:rsidRPr="000E3A3D">
              <w:rPr>
                <w:b/>
              </w:rPr>
              <w:br/>
              <w:t>Stamm</w:t>
            </w:r>
            <w:r w:rsidRPr="000E3A3D">
              <w:rPr>
                <w:b/>
              </w:rPr>
              <w:br/>
            </w:r>
            <w:r w:rsidR="00423B2A">
              <w:t>(f</w:t>
            </w:r>
            <w:r w:rsidRPr="000E3A3D">
              <w:t>raktionslos)</w:t>
            </w:r>
            <w:r>
              <w:fldChar w:fldCharType="begin"/>
            </w:r>
            <w:r>
              <w:instrText xml:space="preserve"> TC </w:instrText>
            </w:r>
            <w:r w:rsidR="00423B2A">
              <w:instrText>„</w:instrText>
            </w:r>
            <w:bookmarkStart w:id="73" w:name="_Toc519153259"/>
            <w:r>
              <w:instrText>Stamm, Claudia (Fraktionslos)</w:instrText>
            </w:r>
            <w:r>
              <w:br/>
              <w:instrText>Unbesetzte Lehrstellen in Bayern</w:instrText>
            </w:r>
            <w:bookmarkEnd w:id="73"/>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wie viele Lehrstellen sind derzeit in Bayern unbesetzt (Gesamtzahl und aufgegliedert nach Ausbildungsberufen), was unternimmt sie, um offene Lehrstellen zu besetzen und wie steht sie zur Besetzung offener Lehrstellen mit Asylbewerberinnen bzw. -bewerbern und abgelehnten Asylbewerberinnen bzw. -bewerbern (3+2-Regelung im Integrationsgesetz), um den Bedarf der einheimischen Wirtschaft zu decken?</w:t>
            </w:r>
          </w:p>
          <w:p w:rsidR="000E3A3D" w:rsidRDefault="000E3A3D" w:rsidP="000E3A3D">
            <w:pPr>
              <w:pStyle w:val="LTAnfrageText"/>
            </w:pPr>
          </w:p>
        </w:tc>
      </w:tr>
    </w:tbl>
    <w:p w:rsidR="00193822" w:rsidRDefault="00193822" w:rsidP="000E3A3D">
      <w:pPr>
        <w:pStyle w:val="LTUeberschrAntwortRessort"/>
      </w:pPr>
    </w:p>
    <w:p w:rsidR="000E3A3D" w:rsidRDefault="000E3A3D" w:rsidP="000E3A3D">
      <w:pPr>
        <w:pStyle w:val="LTUeberschrAntwortRessort"/>
      </w:pPr>
      <w:r>
        <w:lastRenderedPageBreak/>
        <w:t>Antwort des Staatsministeriums für Familie, Arbeit und Soziales</w:t>
      </w:r>
    </w:p>
    <w:p w:rsidR="000E3A3D" w:rsidRDefault="000E3A3D" w:rsidP="000E3A3D">
      <w:pPr>
        <w:pStyle w:val="LTAntwortRessortText"/>
      </w:pPr>
      <w:r>
        <w:t>Die Chancen auf dem Ausbildungsmarkt für Jugendliche sind derzeit hervorragend. Zum Juni 2018 (aktuellster Stand) gibt es in Bayern rd. 23.000 noch unversorgte Bewerberinnen und Bewerber. Sie können sich auf über 44.000 unbesetzte Berufsausbildungsstellen bewerben. Damit hat im Juni 2018 rechnerisch 1 Bewerber mehr als 1 Stelle zur Auswahl (1:1,4). Eine Darstellung nach Ausbildungsberufen liegt nicht vor. Dazu bedarf es einer Sonderauswertung durch die Regionaldirektion der Bundesagentur für Arbeit, die in der zur Verfügung stehenden Zeit nicht leistbar ist.</w:t>
      </w:r>
    </w:p>
    <w:p w:rsidR="000E3A3D" w:rsidRDefault="000E3A3D" w:rsidP="000E3A3D">
      <w:pPr>
        <w:pStyle w:val="LTAntwortRessortText"/>
      </w:pPr>
      <w:r>
        <w:t xml:space="preserve">Um offene Lehrstellen zu besetzen, fördert die Staatsregierung eine moderne Berufsorientierung durch die altersgerechte und jugendaffine Weiterentwicklung der Berufsorientierungsaktivitäten. Dazu gehören eine moderne Internetplattform mit möglichst flächendeckendem und aktuellem Überblick über alle Aktivitäten zur Berufsorientierung, die Großveranstaltung BERUFSBILDUNG </w:t>
      </w:r>
      <w:r w:rsidR="00010D43">
        <w:t>–</w:t>
      </w:r>
      <w:r>
        <w:t xml:space="preserve"> Berufsbildungsmesse und Bayerischer Berufsbildungskongress sowie die Prämierung besonders gelungener regionaler Veranstaltungen.</w:t>
      </w:r>
    </w:p>
    <w:p w:rsidR="000E3A3D" w:rsidRDefault="000E3A3D" w:rsidP="000E3A3D">
      <w:pPr>
        <w:pStyle w:val="LTAntwortRessortText"/>
      </w:pPr>
      <w:r>
        <w:t xml:space="preserve">Daneben hat die Staatsregierung mit den Wirtschaftsverbänden und der Regionaldirektion Bayern der Bundesagentur für Arbeit die </w:t>
      </w:r>
      <w:r w:rsidR="00423B2A">
        <w:t>„</w:t>
      </w:r>
      <w:r>
        <w:t>Allianz für starke Berufsausbildung in Bayern</w:t>
      </w:r>
      <w:r w:rsidR="00423B2A">
        <w:t>“</w:t>
      </w:r>
      <w:r>
        <w:t xml:space="preserve"> abgeschlossen.</w:t>
      </w:r>
    </w:p>
    <w:p w:rsidR="000E3A3D" w:rsidRDefault="000E3A3D" w:rsidP="000E3A3D">
      <w:pPr>
        <w:pStyle w:val="LTAntwortRessortText"/>
      </w:pPr>
      <w:r>
        <w:t>Das gemeinsame Ziel ist die Stärkung der beruflichen Bildung und damit auch die Sicherung des Fachkräftebedarfs. Beispielhaft zu nennen sind:</w:t>
      </w:r>
    </w:p>
    <w:p w:rsidR="000E3A3D" w:rsidRDefault="00423B2A" w:rsidP="00010D43">
      <w:pPr>
        <w:pStyle w:val="LTAntwortRessortText"/>
        <w:numPr>
          <w:ilvl w:val="0"/>
          <w:numId w:val="36"/>
        </w:numPr>
        <w:spacing w:before="120"/>
        <w:ind w:left="850" w:hanging="425"/>
      </w:pPr>
      <w:r>
        <w:t>„</w:t>
      </w:r>
      <w:r w:rsidR="000E3A3D">
        <w:t>Fit for Work</w:t>
      </w:r>
      <w:r>
        <w:t>“</w:t>
      </w:r>
      <w:r w:rsidR="000E3A3D">
        <w:t>: Hier werden bayerische Unternehmen mit bis zu 4.400 Euro gefördert, wenn sie Jugendliche mit Bildungs- oder Qualifizierungsdefiziten ausbilden.</w:t>
      </w:r>
    </w:p>
    <w:p w:rsidR="000E3A3D" w:rsidRDefault="000E3A3D" w:rsidP="00010D43">
      <w:pPr>
        <w:pStyle w:val="LTAntwortRessortText"/>
        <w:numPr>
          <w:ilvl w:val="0"/>
          <w:numId w:val="36"/>
        </w:numPr>
        <w:spacing w:before="120"/>
        <w:ind w:left="850" w:hanging="425"/>
      </w:pPr>
      <w:r>
        <w:t xml:space="preserve">Ausbildungsakquisiteure: </w:t>
      </w:r>
      <w:r w:rsidR="00DA75B4">
        <w:t>S</w:t>
      </w:r>
      <w:r>
        <w:t>ie informieren leistungsschwächere Jugendliche über das duale Ausbildungssystem und unterstützen zielgerecht am Übergang Schule Beruf.</w:t>
      </w:r>
    </w:p>
    <w:p w:rsidR="000E3A3D" w:rsidRDefault="00423B2A" w:rsidP="00010D43">
      <w:pPr>
        <w:pStyle w:val="LTAntwortRessortText"/>
        <w:numPr>
          <w:ilvl w:val="0"/>
          <w:numId w:val="36"/>
        </w:numPr>
        <w:spacing w:before="120"/>
        <w:ind w:left="850" w:hanging="425"/>
      </w:pPr>
      <w:r>
        <w:t>„</w:t>
      </w:r>
      <w:r w:rsidR="000E3A3D">
        <w:t>Akquisiteure für Studienabbrecher</w:t>
      </w:r>
      <w:r>
        <w:t>“</w:t>
      </w:r>
      <w:r w:rsidR="000E3A3D">
        <w:t>: Sie sollen Studienabbrecher an den 18 bayerischen Hochschulstandorten erreichen und über die Möglichkeiten der beruflichen Bildung informieren.</w:t>
      </w:r>
    </w:p>
    <w:p w:rsidR="000E3A3D" w:rsidRDefault="000E3A3D" w:rsidP="00010D43">
      <w:pPr>
        <w:pStyle w:val="LTAntwortRessortText"/>
        <w:numPr>
          <w:ilvl w:val="0"/>
          <w:numId w:val="36"/>
        </w:numPr>
        <w:spacing w:before="120"/>
        <w:ind w:left="850" w:hanging="425"/>
      </w:pPr>
      <w:r>
        <w:t xml:space="preserve">Gemeinsame Imagekampagne </w:t>
      </w:r>
      <w:r w:rsidR="00423B2A">
        <w:t>„</w:t>
      </w:r>
      <w:r>
        <w:t>Ausbildung macht Elternstolz</w:t>
      </w:r>
      <w:r w:rsidR="00423B2A">
        <w:t>“</w:t>
      </w:r>
      <w:r>
        <w:t>: Hierdurch soll das Ansehen der beruflichen Bildung gestärkt werden.</w:t>
      </w:r>
    </w:p>
    <w:p w:rsidR="000E3A3D" w:rsidRDefault="000E3A3D" w:rsidP="000E3A3D">
      <w:pPr>
        <w:pStyle w:val="LTAntwortRessortText"/>
      </w:pPr>
      <w:r>
        <w:t>Bei der Besetzung von offenen Lehrstellen mit Asylbewerberinnen bzw. -bewerbern und abgelehnten Asylbewerberinnen bzw. Asylbewerbern sind nach geltendem Ausländerrecht die Zuwanderung zu Erwerbstätigkeitszwecken einerseits und die Asylzuwanderung andererseits strikt voneinander zu trennen.</w:t>
      </w:r>
    </w:p>
    <w:p w:rsidR="000E3A3D" w:rsidRDefault="000E3A3D" w:rsidP="000E3A3D">
      <w:pPr>
        <w:pStyle w:val="LTAntwortRessortText"/>
      </w:pPr>
      <w:r>
        <w:t>Die Fachkräftezuwanderung richtet sich am Bedarf der deutschen Volkswirtschaft aus, während für die Asylzuwanderung ausschließlich bestimmte Verfolgungsgründe oder bestehende Gefahren im Herkunftsland maßgeblich sind.</w:t>
      </w:r>
    </w:p>
    <w:p w:rsidR="000E3A3D" w:rsidRDefault="000E3A3D" w:rsidP="000E3A3D">
      <w:pPr>
        <w:pStyle w:val="LTAntwortRessortText"/>
      </w:pPr>
      <w:r>
        <w:t>Zur Deckung des Fachkräftebedarfs ist vorrangig das inländische Arbeitskräftepotenzial einschließlich der in den Jahren 2016 und 2017 rd. 85.500 anerkannten Asylbewerberinnen und -bewerber auszuschöpfen.</w:t>
      </w:r>
    </w:p>
    <w:p w:rsidR="000E3A3D" w:rsidRDefault="000E3A3D" w:rsidP="000E3A3D">
      <w:pPr>
        <w:pStyle w:val="LTAntwortRessortText"/>
      </w:pPr>
      <w:r>
        <w:t>Die sogenannte 3+2-Regelung hat jedoch Ausnahmecharakter, das hat der Bayerische Verwaltungsgerichtshof bestätigt. Das macht der Gesetzgeber deutlich, weil er der Ausreisepflicht Vorrang einräumt.</w:t>
      </w:r>
    </w:p>
    <w:p w:rsidR="00010D43" w:rsidRDefault="00010D43" w:rsidP="000E3A3D">
      <w:pPr>
        <w:pStyle w:val="LTUeberschrRessort"/>
      </w:pPr>
    </w:p>
    <w:p w:rsidR="000E3A3D" w:rsidRDefault="000E3A3D" w:rsidP="000E3A3D">
      <w:pPr>
        <w:pStyle w:val="LTUeberschrRessort"/>
      </w:pPr>
      <w:r>
        <w:lastRenderedPageBreak/>
        <w:t>Geschäftsbereich des Staatsministeriums für Gesundheit und Pflege</w:t>
      </w:r>
      <w:r>
        <w:fldChar w:fldCharType="begin"/>
      </w:r>
      <w:r>
        <w:instrText xml:space="preserve"> TC </w:instrText>
      </w:r>
      <w:r w:rsidR="00423B2A">
        <w:instrText>„</w:instrText>
      </w:r>
      <w:bookmarkStart w:id="74" w:name="_Toc519153260"/>
      <w:r>
        <w:instrText>Geschäftsbereich des Staatsministeriums für Gesundheit und Pflege</w:instrText>
      </w:r>
      <w:bookmarkEnd w:id="74"/>
      <w:r w:rsidR="00423B2A">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Prof. (Univ. Lima) Dr. Peter</w:t>
            </w:r>
            <w:r w:rsidRPr="000E3A3D">
              <w:rPr>
                <w:b/>
              </w:rPr>
              <w:br/>
              <w:t>Bauer</w:t>
            </w:r>
            <w:r w:rsidRPr="000E3A3D">
              <w:rPr>
                <w:b/>
              </w:rPr>
              <w:br/>
            </w:r>
            <w:r w:rsidRPr="000E3A3D">
              <w:t>(FREIE WÄHLER)</w:t>
            </w:r>
            <w:r>
              <w:fldChar w:fldCharType="begin"/>
            </w:r>
            <w:r>
              <w:instrText xml:space="preserve"> TC </w:instrText>
            </w:r>
            <w:r w:rsidR="00423B2A">
              <w:instrText>„</w:instrText>
            </w:r>
            <w:bookmarkStart w:id="75" w:name="_Toc519153261"/>
            <w:r>
              <w:instrText>Prof. (Univ. Lima) Dr. Bauer, Peter (FREIE WÄHLER)</w:instrText>
            </w:r>
            <w:r>
              <w:br/>
              <w:instrText>Entwicklung der Regresse bei behandelnden Ärzten</w:instrText>
            </w:r>
            <w:bookmarkEnd w:id="75"/>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 xml:space="preserve">Ich frage die Staatsregierung, wie sich die Regresse, die von den behandelnden Ärzten eingefordert, über die Kassenärztliche Vereinigung (KVB) und die Kassenzahnärztliche Vereinigung (KZVB) abgewickelt und an die Krankenkassen abgeführt werden, im Rahmen der Wirtschaftlichkeitsprüfungen hinsichtlich der Arznei-, Heil- und Hilfsmittel in den vergangenen fünf Jahren entwickelt haben, wie die Staatsregierung das Zitat des Bundesministers für Gesundheit, Jens Spahn, in der </w:t>
            </w:r>
            <w:r w:rsidR="00423B2A">
              <w:t>„</w:t>
            </w:r>
            <w:r>
              <w:t>Ärzte Zeitung</w:t>
            </w:r>
            <w:r w:rsidR="00423B2A">
              <w:t>“</w:t>
            </w:r>
            <w:r>
              <w:t xml:space="preserve"> vom 08.05.2018 bewertet </w:t>
            </w:r>
            <w:r w:rsidR="00423B2A">
              <w:t>„</w:t>
            </w:r>
            <w:r>
              <w:t>Es soll niemand bestraft werden, wenn er zusätzlich Patienten aufnimmt</w:t>
            </w:r>
            <w:r w:rsidR="00423B2A">
              <w:t>“</w:t>
            </w:r>
            <w:r>
              <w:t xml:space="preserve"> und welche konkreten Konsequenzen sie hieraus zieht?</w:t>
            </w:r>
          </w:p>
          <w:p w:rsidR="000E3A3D" w:rsidRDefault="000E3A3D" w:rsidP="000E3A3D">
            <w:pPr>
              <w:pStyle w:val="LTAnfrageText"/>
            </w:pPr>
          </w:p>
        </w:tc>
      </w:tr>
    </w:tbl>
    <w:p w:rsidR="000E3A3D" w:rsidRDefault="000E3A3D" w:rsidP="000E3A3D">
      <w:pPr>
        <w:pStyle w:val="LTUeberschrAntwortRessort"/>
      </w:pPr>
      <w:r>
        <w:t>Antwort des Staatsministeriums für Gesundheit und Pflege</w:t>
      </w:r>
    </w:p>
    <w:p w:rsidR="000E3A3D" w:rsidRDefault="000E3A3D" w:rsidP="000E3A3D">
      <w:pPr>
        <w:pStyle w:val="LTAntwortRessortText"/>
      </w:pPr>
      <w:r>
        <w:t>Der Staatregierung liegen hierzu keine eigenen Daten vor, weil die Wirtschaftlichkeitsprüfung der Vertrags(zahn)ärzte nach dem Willen des Bundesgesetzgebers Aufgabe der gemeinsamen Selbstverwaltung der Krankenkassen und Ärzte ist. Deshalb wurden die zuständigen Prüfungsstellen Ärzte Bayern bzw. Zahnärzte Bayern angefragt.</w:t>
      </w:r>
    </w:p>
    <w:p w:rsidR="000E3A3D" w:rsidRDefault="000E3A3D" w:rsidP="000E3A3D">
      <w:pPr>
        <w:pStyle w:val="LTAntwortRessortText"/>
      </w:pPr>
      <w:r>
        <w:t>Folgende Ergebnisse wurden daraufhin für die Wirtschaftlichkeitsprüfung der Verordnungen von Heil-, Hilfs- und Arzneimitteln in der vertragszahnärztlichen Versorgung in Bayern mitgeteilt:</w:t>
      </w:r>
    </w:p>
    <w:p w:rsidR="000E3A3D" w:rsidRDefault="000E3A3D" w:rsidP="00010D43">
      <w:pPr>
        <w:pStyle w:val="LTAntwortRessortText"/>
        <w:numPr>
          <w:ilvl w:val="0"/>
          <w:numId w:val="36"/>
        </w:numPr>
        <w:spacing w:before="120"/>
        <w:ind w:left="850" w:hanging="425"/>
      </w:pPr>
      <w:r>
        <w:t>Im Jahr 2013 wurden 342 Verordnungen regressiert, davon waren 267 Zahnärzte betroffen.</w:t>
      </w:r>
    </w:p>
    <w:p w:rsidR="000E3A3D" w:rsidRDefault="000E3A3D" w:rsidP="00010D43">
      <w:pPr>
        <w:pStyle w:val="LTAntwortRessortText"/>
        <w:numPr>
          <w:ilvl w:val="0"/>
          <w:numId w:val="36"/>
        </w:numPr>
        <w:spacing w:before="120"/>
        <w:ind w:left="850" w:hanging="425"/>
      </w:pPr>
      <w:r>
        <w:t>Im Jahr 2014 wurden 711 Verordnungen regressiert, davon waren 483 Zahnärzte betroffen.</w:t>
      </w:r>
    </w:p>
    <w:p w:rsidR="000E3A3D" w:rsidRDefault="000E3A3D" w:rsidP="00010D43">
      <w:pPr>
        <w:pStyle w:val="LTAntwortRessortText"/>
        <w:numPr>
          <w:ilvl w:val="0"/>
          <w:numId w:val="36"/>
        </w:numPr>
        <w:spacing w:before="120"/>
        <w:ind w:left="850" w:hanging="425"/>
      </w:pPr>
      <w:r>
        <w:t>Im Jahr 2015 wurden 594 Verordnungen regressiert, davon waren 442 Zahnärzte betroffen.</w:t>
      </w:r>
    </w:p>
    <w:p w:rsidR="000E3A3D" w:rsidRDefault="000E3A3D" w:rsidP="00010D43">
      <w:pPr>
        <w:pStyle w:val="LTAntwortRessortText"/>
        <w:numPr>
          <w:ilvl w:val="0"/>
          <w:numId w:val="36"/>
        </w:numPr>
        <w:spacing w:before="120"/>
        <w:ind w:left="850" w:hanging="425"/>
      </w:pPr>
      <w:r>
        <w:t>Im Jahr 2016 wurden 643 Verordnungen regressiert, davon waren 419 Zahnärzte betroffen.</w:t>
      </w:r>
    </w:p>
    <w:p w:rsidR="000E3A3D" w:rsidRDefault="000E3A3D" w:rsidP="00010D43">
      <w:pPr>
        <w:pStyle w:val="LTAntwortRessortText"/>
        <w:numPr>
          <w:ilvl w:val="0"/>
          <w:numId w:val="36"/>
        </w:numPr>
        <w:spacing w:before="120"/>
        <w:ind w:left="850" w:hanging="425"/>
      </w:pPr>
      <w:r>
        <w:t>Im Jahr 2017 wurden 861 Verordnungen regressiert, davon waren 471 Zahnärzte betroffen.</w:t>
      </w:r>
    </w:p>
    <w:p w:rsidR="000E3A3D" w:rsidRDefault="000E3A3D" w:rsidP="000E3A3D">
      <w:pPr>
        <w:pStyle w:val="LTAntwortRessortText"/>
      </w:pPr>
      <w:r>
        <w:t>Folgende Ergebnisse wurden für die Wirtschaftlichkeitsprüfung der Verordnungen von Heil- und Arzneimitteln in der vertragsärztlichen Versorgung in Bayern mitgeteilt:</w:t>
      </w:r>
    </w:p>
    <w:p w:rsidR="000E3A3D" w:rsidRDefault="000E3A3D" w:rsidP="00010D43">
      <w:pPr>
        <w:pStyle w:val="LTAntwortRessortText"/>
        <w:numPr>
          <w:ilvl w:val="0"/>
          <w:numId w:val="36"/>
        </w:numPr>
        <w:spacing w:before="120"/>
        <w:ind w:left="850" w:hanging="425"/>
      </w:pPr>
      <w:r>
        <w:t>Im Jahr 2013 wurden 281 Arzneimittel-Verordnungen und 335 Heilmittel-Verordnungen regressiert.</w:t>
      </w:r>
    </w:p>
    <w:p w:rsidR="000E3A3D" w:rsidRDefault="000E3A3D" w:rsidP="00010D43">
      <w:pPr>
        <w:pStyle w:val="LTAntwortRessortText"/>
        <w:numPr>
          <w:ilvl w:val="0"/>
          <w:numId w:val="36"/>
        </w:numPr>
        <w:spacing w:before="120"/>
        <w:ind w:left="850" w:hanging="425"/>
      </w:pPr>
      <w:r>
        <w:t>Im Jahr 2014 wurden 63 Arzneimittel-Verordnungen und 168 Heilmittel-Verordnungen regressiert.</w:t>
      </w:r>
    </w:p>
    <w:p w:rsidR="000E3A3D" w:rsidRDefault="000E3A3D" w:rsidP="00010D43">
      <w:pPr>
        <w:pStyle w:val="LTAntwortRessortText"/>
        <w:numPr>
          <w:ilvl w:val="0"/>
          <w:numId w:val="36"/>
        </w:numPr>
        <w:spacing w:before="120"/>
        <w:ind w:left="850" w:hanging="425"/>
      </w:pPr>
      <w:r>
        <w:t>Im Jahr 2015 wurden 49 Arzneimittel-Verordnungen und keine Heilmittel-Verordnungen regressiert.</w:t>
      </w:r>
    </w:p>
    <w:p w:rsidR="000E3A3D" w:rsidRDefault="000E3A3D" w:rsidP="00010D43">
      <w:pPr>
        <w:pStyle w:val="LTAntwortRessortText"/>
        <w:numPr>
          <w:ilvl w:val="0"/>
          <w:numId w:val="36"/>
        </w:numPr>
        <w:spacing w:before="120"/>
        <w:ind w:left="850" w:hanging="425"/>
      </w:pPr>
      <w:r>
        <w:t>Im Jahr 2016 wurden 22 Arzneimittel-Verordnungen und 131 Heilmittel-Verordnungen regressiert.</w:t>
      </w:r>
    </w:p>
    <w:p w:rsidR="000E3A3D" w:rsidRDefault="000E3A3D" w:rsidP="00010D43">
      <w:pPr>
        <w:pStyle w:val="LTAntwortRessortText"/>
        <w:numPr>
          <w:ilvl w:val="0"/>
          <w:numId w:val="36"/>
        </w:numPr>
        <w:spacing w:before="120"/>
        <w:ind w:left="850" w:hanging="425"/>
      </w:pPr>
      <w:r>
        <w:t>Im Jahr 2017 wurden keine Arzneimittel-Verordnungen und 163 Heilmittel-Verordnungen regressiert.</w:t>
      </w:r>
    </w:p>
    <w:p w:rsidR="000E3A3D" w:rsidRDefault="000E3A3D" w:rsidP="000E3A3D">
      <w:pPr>
        <w:pStyle w:val="LTAntwortRessortText"/>
      </w:pPr>
      <w:r>
        <w:t xml:space="preserve">Das vom Fragesteller angeführte Zitat </w:t>
      </w:r>
      <w:r w:rsidR="00010D43">
        <w:t xml:space="preserve">des Bundesministers für Gesundheit Jens Spahn </w:t>
      </w:r>
      <w:r>
        <w:t>steht nicht in direktem Zusammenhang mit der Wirtschaftlichkeitsprüfung. Es stammt vielmehr aus einem In</w:t>
      </w:r>
      <w:r>
        <w:lastRenderedPageBreak/>
        <w:t xml:space="preserve">terview mit der Ärztezeitung unter dem Titel </w:t>
      </w:r>
      <w:r w:rsidR="00423B2A">
        <w:t>„</w:t>
      </w:r>
      <w:r>
        <w:t>Wartezeiten sind nicht nur gefühlt!</w:t>
      </w:r>
      <w:r w:rsidR="00423B2A">
        <w:t>“</w:t>
      </w:r>
      <w:r>
        <w:t>. Thema war dabei insbesondere die geplante Ausweitung der Mindestsprechstundenzeiten in der vertragsärztlichen Versorgung sowie der Ausbau der Terminservicestellen der Kassenärztlichen Vereinigungen.</w:t>
      </w:r>
    </w:p>
    <w:p w:rsidR="000E3A3D" w:rsidRDefault="000E3A3D" w:rsidP="00010D43">
      <w:pPr>
        <w:pStyle w:val="LTAntwortRessortText"/>
      </w:pPr>
      <w:r>
        <w:t xml:space="preserve">Im Koalitionsvertrag auf Bundesebene ist hierzu vereinbart: </w:t>
      </w:r>
      <w:r w:rsidR="00423B2A">
        <w:t>„</w:t>
      </w:r>
      <w:r w:rsidR="00010D43">
        <w:t>Wir werden in einem Sofortpro</w:t>
      </w:r>
      <w:r>
        <w:t>gramm die Leistungen und den Zugang zur Versorgung für gesetzlich Versicherte verbessern. Dazu werden die Terminservicestellen der Kassenärztlichen Vereinigungen unter einer bundesweit einheitlichen, einprägsamen Telefonnummer von 8 bis 18 Uhr erreichbar sein und auch haus- und kinderärztliche Termine vermitteln. Das Mindestsprechstundenangebot der Vertragsärzte für die Versorgung von g</w:t>
      </w:r>
      <w:r w:rsidR="00010D43">
        <w:t>esetzlich versicherten Patientinnen und Patienten</w:t>
      </w:r>
      <w:r>
        <w:t xml:space="preserve"> wird von 20 auf 25 Stunden erhöht.</w:t>
      </w:r>
      <w:r w:rsidR="00423B2A">
        <w:t>“</w:t>
      </w:r>
    </w:p>
    <w:p w:rsidR="000E3A3D" w:rsidRDefault="000E3A3D" w:rsidP="000E3A3D">
      <w:pPr>
        <w:pStyle w:val="LTAntwortRessortText"/>
      </w:pPr>
      <w:r>
        <w:t xml:space="preserve">Soweit das Bundesministerium für Gesundheit anstrebt </w:t>
      </w:r>
      <w:r w:rsidR="00010D43">
        <w:t>–</w:t>
      </w:r>
      <w:r>
        <w:t xml:space="preserve"> wie das Interview vermuten lässt </w:t>
      </w:r>
      <w:r w:rsidR="00010D43">
        <w:t>–</w:t>
      </w:r>
      <w:r>
        <w:t>, die vereinbarte Ausweitung der Mindestsprechstundenzeiten durch</w:t>
      </w:r>
      <w:r w:rsidR="00010D43">
        <w:t xml:space="preserve"> eine höhere bzw. insoweit unbud</w:t>
      </w:r>
      <w:r>
        <w:t>getierte Vergütung zu kompensieren, begrüßt dies die Staatsregierung ausdrücklich und würde ein solches Vorhaben in anstehenden Gesetzgebungsverfahren unterstützen.</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Susann</w:t>
            </w:r>
            <w:r w:rsidRPr="000E3A3D">
              <w:rPr>
                <w:b/>
              </w:rPr>
              <w:br/>
              <w:t>Biedefeld</w:t>
            </w:r>
            <w:r w:rsidRPr="000E3A3D">
              <w:rPr>
                <w:b/>
              </w:rPr>
              <w:br/>
            </w:r>
            <w:r w:rsidRPr="000E3A3D">
              <w:t>(SPD)</w:t>
            </w:r>
            <w:r>
              <w:fldChar w:fldCharType="begin"/>
            </w:r>
            <w:r>
              <w:instrText xml:space="preserve"> TC </w:instrText>
            </w:r>
            <w:r w:rsidR="00423B2A">
              <w:instrText>„</w:instrText>
            </w:r>
            <w:bookmarkStart w:id="76" w:name="_Toc519153262"/>
            <w:r>
              <w:instrText>Biedefeld, Susann (SPD)</w:instrText>
            </w:r>
            <w:r>
              <w:br/>
              <w:instrText>Sanierungs- und Modernisierungsbedarf an der Bezirksklinik Hochstadt im Landkreis Lichtenfels</w:instrText>
            </w:r>
            <w:bookmarkEnd w:id="76"/>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auf welche Gesamtsumme beziffern sich die Sanierungs- und Modernisierungsmaßnahmen an der Bezirksklinik Hochstadt im Landkreis Lichtenfels (bitte Aufzählung der einzelnen notwendigen Maßnahmen, wie Dach, Patientenzimmer etc. mit den geschätzten Kosten), welchen konkreten Sanierungs- und Modernisierungszeitplan verfolgt der Träger, die Gesundheitseinrichtungen des Bezirks Oberfranken (GeBO), am Standort Hochstadt und liegen der Staatsregierung von der GeBO entsprechende Anträge auf Förderung vor?</w:t>
            </w:r>
          </w:p>
          <w:p w:rsidR="000E3A3D" w:rsidRDefault="000E3A3D" w:rsidP="000E3A3D">
            <w:pPr>
              <w:pStyle w:val="LTAnfrageText"/>
            </w:pPr>
          </w:p>
        </w:tc>
      </w:tr>
    </w:tbl>
    <w:p w:rsidR="000E3A3D" w:rsidRDefault="000E3A3D" w:rsidP="00193822">
      <w:pPr>
        <w:pStyle w:val="LTUeberschrAntwortRessort"/>
        <w:spacing w:before="960"/>
      </w:pPr>
      <w:r>
        <w:t>Antwort des Staatsministeriums für Gesundheit und Pflege</w:t>
      </w:r>
    </w:p>
    <w:p w:rsidR="000E3A3D" w:rsidRDefault="000E3A3D" w:rsidP="000E3A3D">
      <w:pPr>
        <w:pStyle w:val="LTAntwortRessortText"/>
      </w:pPr>
      <w:r>
        <w:t>Die Bezirksklinik Hochstadt ist seit dem 01.04.2016 ausschließlich ein stationäres Behandlungszentrum zur Rehabilitation von Suchtkranken. Als Träger plant der Bezirk Oberfranken, den Gebäudebestand der Bezirksklinik für die Rehabilitationsbehandlungen umfassend zu modernisieren und barrierefrei auszubauen.</w:t>
      </w:r>
    </w:p>
    <w:p w:rsidR="000E3A3D" w:rsidRDefault="000E3A3D" w:rsidP="000E3A3D">
      <w:pPr>
        <w:pStyle w:val="LTAntwortRessortText"/>
      </w:pPr>
      <w:r>
        <w:t xml:space="preserve">Die Finanzierung von Baumaßnahmen an Rehabilitationseinrichtungen aus Mitteln der staatlichen Krankenhausfinanzierung ist nach den Vorgaben des Krankenhausfinanzierungsgesetzes und des Bayerischen Krankenhausgesetzes ausgeschlossen. Diese Kosten muss der Träger vielmehr </w:t>
      </w:r>
      <w:r w:rsidR="00010D43">
        <w:t>–</w:t>
      </w:r>
      <w:r>
        <w:t xml:space="preserve">  wie im Rehabilitationsbereich üblich </w:t>
      </w:r>
      <w:r w:rsidR="00010D43">
        <w:t>–</w:t>
      </w:r>
      <w:r>
        <w:t xml:space="preserve"> aus Behandlungserlösen finanzieren, die entsprechende Investitionsanteile umfassen.</w:t>
      </w:r>
    </w:p>
    <w:p w:rsidR="000E3A3D" w:rsidRDefault="000E3A3D" w:rsidP="000E3A3D">
      <w:pPr>
        <w:pStyle w:val="LTAntwortRessortText"/>
      </w:pPr>
      <w:r>
        <w:t>Die Staatsregierung hat keine Erkenntnisse über den geplanten Sanierungs- und Modernisierungsumfang, dessen Zeitplan und die geschätzten Kosten.</w:t>
      </w:r>
    </w:p>
    <w:p w:rsidR="00193822" w:rsidRDefault="00193822"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lastRenderedPageBreak/>
              <w:t>Abgeordneter</w:t>
            </w:r>
            <w:r w:rsidRPr="000E3A3D">
              <w:br/>
            </w:r>
            <w:r w:rsidRPr="000E3A3D">
              <w:rPr>
                <w:b/>
              </w:rPr>
              <w:t>Günther</w:t>
            </w:r>
            <w:r w:rsidRPr="000E3A3D">
              <w:rPr>
                <w:b/>
              </w:rPr>
              <w:br/>
              <w:t>Knoblauch</w:t>
            </w:r>
            <w:r w:rsidRPr="000E3A3D">
              <w:rPr>
                <w:b/>
              </w:rPr>
              <w:br/>
            </w:r>
            <w:r w:rsidRPr="000E3A3D">
              <w:t>(SPD)</w:t>
            </w:r>
            <w:r>
              <w:fldChar w:fldCharType="begin"/>
            </w:r>
            <w:r>
              <w:instrText xml:space="preserve"> TC </w:instrText>
            </w:r>
            <w:r w:rsidR="00423B2A">
              <w:instrText>„</w:instrText>
            </w:r>
            <w:bookmarkStart w:id="77" w:name="_Toc519153263"/>
            <w:r>
              <w:instrText>Knoblauch, Günther (SPD)</w:instrText>
            </w:r>
            <w:r>
              <w:br/>
              <w:instrText>Nutzung einer bestehenden Tagesbetreuung als Tagespflege</w:instrText>
            </w:r>
            <w:bookmarkEnd w:id="77"/>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Nachdem die bestehende Tagesbetreuung der ökumenischen Nachbarschaftshilfe in der Gemeinde Bad Feilnbach als Tagespflege genutzt werden könnte, wozu ein erneuter Bauantrag nötig wäre, frage ich die Staatsregierung, sieht sie die Möglichkeit von Übergangslösungen, etwa während der Bauantrag läuft, oder Erleichterungen hinsichtlich der Zulassung bei der Nutzung einer bestehenden Tagesbetreuung als Tagespflege, sofern eine Gefährdung der betreuten Menschen ausgeschlossen ist, wenn ja, wie könnte eine solche Übergangslösung oder Erleichterung aussehen und wenn nein, warum nicht?</w:t>
            </w:r>
          </w:p>
          <w:p w:rsidR="000E3A3D" w:rsidRDefault="000E3A3D" w:rsidP="000E3A3D">
            <w:pPr>
              <w:pStyle w:val="LTAnfrageText"/>
            </w:pPr>
          </w:p>
        </w:tc>
      </w:tr>
    </w:tbl>
    <w:p w:rsidR="000E3A3D" w:rsidRDefault="000E3A3D" w:rsidP="000E3A3D">
      <w:pPr>
        <w:pStyle w:val="LTUeberschrAntwortRessort"/>
      </w:pPr>
      <w:r>
        <w:t>Antwort des Staatsministeriums für Gesundheit und Pflege</w:t>
      </w:r>
    </w:p>
    <w:p w:rsidR="000E3A3D" w:rsidRDefault="000E3A3D" w:rsidP="000E3A3D">
      <w:pPr>
        <w:pStyle w:val="LTAntwortRessortText"/>
      </w:pPr>
      <w:r>
        <w:t xml:space="preserve">Das Gesetz zur Regelung der Pflege-, Betreuungs- und </w:t>
      </w:r>
      <w:r w:rsidR="00010D43">
        <w:t xml:space="preserve">Wohnqualität im Alter und bei </w:t>
      </w:r>
      <w:r>
        <w:t xml:space="preserve">Behinderung (Pflege- und Wohnqualitätsgesetz </w:t>
      </w:r>
      <w:r w:rsidR="00010D43">
        <w:t>–</w:t>
      </w:r>
      <w:r>
        <w:t xml:space="preserve"> PfleWoqG) </w:t>
      </w:r>
      <w:r w:rsidR="00010D43">
        <w:t>–</w:t>
      </w:r>
      <w:r>
        <w:t xml:space="preserve"> in Kraft seit 1. August 2008 </w:t>
      </w:r>
      <w:r w:rsidR="00010D43">
        <w:t>–</w:t>
      </w:r>
      <w:r>
        <w:t xml:space="preserve"> enthält keinen Anwendungsbereich für Tagespflegeeinrichtungen. Denn Einrichtungen der Tagespflege gelten nach Art. 2 Abs. 1 Satz 2 PfleWoqG </w:t>
      </w:r>
      <w:r w:rsidR="00744FD2">
        <w:t>–</w:t>
      </w:r>
      <w:r>
        <w:t xml:space="preserve"> entgegen dem vormaligen Anwendungsbereich des § 1 Abs. 5 Heimgesetz </w:t>
      </w:r>
      <w:r w:rsidR="00010D43">
        <w:t>–</w:t>
      </w:r>
      <w:r>
        <w:t xml:space="preserve"> nicht als stationäre Einrichtungen. Dies bedeutet, dass für teilstationäre Tagespflegeeinrichtungen aus ordnungsrechtlicher Sicht keine baulichen Anforderungen definiert sind.</w:t>
      </w:r>
    </w:p>
    <w:p w:rsidR="000E3A3D" w:rsidRDefault="000E3A3D" w:rsidP="000E3A3D">
      <w:pPr>
        <w:pStyle w:val="LTAntwortRessortText"/>
      </w:pPr>
      <w:r>
        <w:t>Inwieweit jedoch die Arbeitsgemeinschaft der Pflegekassenverbände in Bayern Anforderungen an die bauliche Gestaltung im Hinblick auf die Erlangung eines Versorgungsvertrages zum Betrieb einer teilstationären Einrichtung definiert, vollzieht sich außerhalb der Regelungsbefugnisse des PfleWoqG und des Staatsministeriums für Gesundheit und Pflege (StMGP).</w:t>
      </w:r>
    </w:p>
    <w:p w:rsidR="000E3A3D" w:rsidRDefault="000E3A3D" w:rsidP="000E3A3D">
      <w:pPr>
        <w:pStyle w:val="LTAntwortRessortText"/>
      </w:pPr>
      <w:r>
        <w:t xml:space="preserve">Das Staatsministerium für Bau, Wohnen und Verkehr (StMB) teilte dem StMGP im Zusammenhang mit einer die vorliegende Thematik betreffenden Anfrage der Ökumenischen Nachbarschaftshilfe Bad Feilnbach vom </w:t>
      </w:r>
      <w:r w:rsidR="00010D43">
        <w:t>06.04.</w:t>
      </w:r>
      <w:r>
        <w:t>2018 mit, dass die Entscheidung der zuständigen unteren Bauaufsichtsbehörden im Rahmen des Baugenehmigungsverfahrens (Neubau bzw.</w:t>
      </w:r>
      <w:r w:rsidR="00744FD2">
        <w:t xml:space="preserve"> </w:t>
      </w:r>
      <w:r>
        <w:t xml:space="preserve">Nutzungsänderung im Bestand) bzw. innerhalb der Bauaufsicht (Prüfung einer etwaigen Nutzungsuntersagung) grundsätzlich auf die bauordnungsrechtlichen Anforderungen der Bayerischen Bauordnung (BayBO) beschränkt bleibt, die für Tagespflegeeinrichtungen selbst nur stark beschränkte Vorgaben macht </w:t>
      </w:r>
      <w:r w:rsidR="00010D43">
        <w:t>–</w:t>
      </w:r>
      <w:r>
        <w:t xml:space="preserve"> im Einzelfall etwa die Barrierefreiheit für geschützte</w:t>
      </w:r>
      <w:r w:rsidR="00010D43">
        <w:t xml:space="preserve"> </w:t>
      </w:r>
      <w:r>
        <w:t>Personengruppen nach Art. 48 Abs. 3 BayBO. Grundlegende Unterschiede zwischen einer Tagesbetreuung und einer Tagespflege sieht das StMB aus bauordnungsrechtlicher Sicht nicht.</w:t>
      </w:r>
    </w:p>
    <w:p w:rsidR="000E3A3D" w:rsidRDefault="000E3A3D" w:rsidP="0090637D">
      <w:pPr>
        <w:pStyle w:val="LTAntwortRessortText"/>
        <w:spacing w:before="120"/>
      </w:pPr>
      <w:r>
        <w:t xml:space="preserve">Letztlich dürfte eine Wertung über die gewünschte </w:t>
      </w:r>
      <w:r w:rsidR="00423B2A">
        <w:t>„</w:t>
      </w:r>
      <w:r>
        <w:t>Übergangslösung</w:t>
      </w:r>
      <w:r w:rsidR="00423B2A">
        <w:t>“</w:t>
      </w:r>
      <w:r>
        <w:t xml:space="preserve"> der Arbeitsgemeinschaft der Pflegekassenverbände in Bayern im Hinblick auf die Erlangung eines Versorgungsvertrages obliegen.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Abgeordneter</w:t>
            </w:r>
            <w:r w:rsidRPr="000E3A3D">
              <w:br/>
            </w:r>
            <w:r w:rsidRPr="000E3A3D">
              <w:rPr>
                <w:b/>
              </w:rPr>
              <w:t>Ulrich</w:t>
            </w:r>
            <w:r w:rsidRPr="000E3A3D">
              <w:rPr>
                <w:b/>
              </w:rPr>
              <w:br/>
              <w:t>Leiner</w:t>
            </w:r>
            <w:r w:rsidRPr="000E3A3D">
              <w:rPr>
                <w:b/>
              </w:rPr>
              <w:br/>
            </w:r>
            <w:r w:rsidRPr="000E3A3D">
              <w:t>(BÜNDNIS 90/DIE GRÜNEN)</w:t>
            </w:r>
            <w:r>
              <w:fldChar w:fldCharType="begin"/>
            </w:r>
            <w:r>
              <w:instrText xml:space="preserve"> TC </w:instrText>
            </w:r>
            <w:r w:rsidR="00423B2A">
              <w:instrText>„</w:instrText>
            </w:r>
            <w:bookmarkStart w:id="78" w:name="_Toc519153264"/>
            <w:r>
              <w:instrText>Leiner, Ulrich (BÜNDNIS 90/DIE GRÜNEN)</w:instrText>
            </w:r>
            <w:r>
              <w:br/>
              <w:instrText>Notfallambulanzen</w:instrText>
            </w:r>
            <w:bookmarkEnd w:id="78"/>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193822">
            <w:pPr>
              <w:pStyle w:val="LTAnfrageText"/>
            </w:pPr>
            <w:r>
              <w:t>Ich frage die Staatsregierung, wie viele Notfallambulanzen gibt es derzeit in Kliniken in Bayern insgesamt, wie viele Kliniken haben keine Notfallambulanz und wie viele Kliniken haben sowohl eine Notfallambulanz als auch eine Bereitschaftspraxis (bitte aufgeschlüsselt nach Bezirken)?</w:t>
            </w:r>
          </w:p>
        </w:tc>
      </w:tr>
    </w:tbl>
    <w:p w:rsidR="000E3A3D" w:rsidRDefault="000E3A3D" w:rsidP="000E3A3D">
      <w:pPr>
        <w:pStyle w:val="LTUeberschrAntwortRessort"/>
      </w:pPr>
      <w:r>
        <w:lastRenderedPageBreak/>
        <w:t>Antwort des Staatsministeriums für Gesundheit und Pflege</w:t>
      </w:r>
    </w:p>
    <w:p w:rsidR="000E3A3D" w:rsidRDefault="000E3A3D" w:rsidP="000E3A3D">
      <w:pPr>
        <w:pStyle w:val="LTAntwortRessortText"/>
      </w:pPr>
      <w:r>
        <w:t>Die Sicherstellung der ambulanten vertragsärztlichen Versorgung in Bayern ist eigenverantwortliche Aufgabe der Kassenärztlichen Vereinigung Bayerns (KVB). Eigene Datenquellen zur ambulanten ärztlichen Versorgung liegen dem Staatsministerium für Gesundheit und Pflege nicht vor. Daher wurde die KVB zur Beantwortung der Anfrage</w:t>
      </w:r>
      <w:r w:rsidR="008119CE">
        <w:t xml:space="preserve"> zum Plenum</w:t>
      </w:r>
      <w:r>
        <w:t xml:space="preserve"> um Stellungn</w:t>
      </w:r>
      <w:r w:rsidR="008119CE">
        <w:t xml:space="preserve">ahme gebeten. Die KVB hat unten </w:t>
      </w:r>
      <w:r>
        <w:t>stehende Daten mitgeteilt.</w:t>
      </w:r>
    </w:p>
    <w:p w:rsidR="000E3A3D" w:rsidRDefault="000E3A3D" w:rsidP="000E3A3D">
      <w:pPr>
        <w:pStyle w:val="LTAntwortRessortText"/>
      </w:pPr>
      <w:r>
        <w:t>Zur Erläuterung ist darauf hinzuweisen, dass es sich bei den Angaben zur Zahl der Bereitschaftspraxen um den für November 2018 angestrebten Stand der laufenden Bereitschaftsdienstreform handelt. Von den bis November vorgesehenen 108 Bereitschaftspraxen sind derzeit bereits 100 installiert, weitere acht sollen bis November noch eingerichtet werden.</w:t>
      </w:r>
    </w:p>
    <w:p w:rsidR="000E3A3D" w:rsidRDefault="000E3A3D" w:rsidP="000E3A3D">
      <w:pPr>
        <w:pStyle w:val="LTAntwortRessortText"/>
      </w:pPr>
      <w:r>
        <w:t xml:space="preserve">Soweit die KVB Angaben zu </w:t>
      </w:r>
      <w:r w:rsidR="00423B2A">
        <w:t>„</w:t>
      </w:r>
      <w:r>
        <w:t>Notfallambulanzen</w:t>
      </w:r>
      <w:r w:rsidR="00423B2A">
        <w:t>“</w:t>
      </w:r>
      <w:r>
        <w:t xml:space="preserve"> an Kliniken macht, ist klarzustellen, dass es sich bei den dort genannten Zahlen um Abrechnungsdaten handelt. Das bedeutet, dass insgesamt 220 bayerische Kliniken gegenüber der KVB ambulante Notfallbehandlungen abrechnen. Ob diese ambulanten Notfallbehandlungen durch formell-organisatorisch eingerichtete Notfallambulanzen vorgenommen werden oder durch andere Stellen im Klinikum (Notaufnahme, reguläre Stationen u.</w:t>
      </w:r>
      <w:r w:rsidR="00744FD2">
        <w:t xml:space="preserve"> </w:t>
      </w:r>
      <w:r>
        <w:t>ä.) erbracht werden, ist für die KVB i.d.R. nicht nachvollziehbar.</w:t>
      </w:r>
    </w:p>
    <w:p w:rsidR="000E3A3D" w:rsidRDefault="000E3A3D" w:rsidP="000E3A3D">
      <w:pPr>
        <w:pStyle w:val="LTAntwortRessortText"/>
      </w:pPr>
    </w:p>
    <w:tbl>
      <w:tblPr>
        <w:tblStyle w:val="TableNormal"/>
        <w:tblW w:w="10380" w:type="dxa"/>
        <w:tblInd w:w="-278" w:type="dxa"/>
        <w:tblLayout w:type="fixed"/>
        <w:tblLook w:val="01E0" w:firstRow="1" w:lastRow="1" w:firstColumn="1" w:lastColumn="1" w:noHBand="0" w:noVBand="0"/>
      </w:tblPr>
      <w:tblGrid>
        <w:gridCol w:w="1416"/>
        <w:gridCol w:w="1550"/>
        <w:gridCol w:w="1762"/>
        <w:gridCol w:w="2141"/>
        <w:gridCol w:w="2138"/>
        <w:gridCol w:w="1373"/>
      </w:tblGrid>
      <w:tr w:rsidR="008119CE" w:rsidRPr="008119CE" w:rsidTr="008119CE">
        <w:trPr>
          <w:trHeight w:hRule="exact" w:val="1008"/>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1"/>
              <w:rPr>
                <w:rFonts w:ascii="Arial" w:eastAsia="Arial" w:hAnsi="Arial" w:cs="Arial"/>
                <w:sz w:val="18"/>
                <w:szCs w:val="18"/>
              </w:rPr>
            </w:pPr>
          </w:p>
          <w:p w:rsidR="008119CE" w:rsidRPr="008119CE" w:rsidRDefault="008119CE" w:rsidP="00E2196E">
            <w:pPr>
              <w:pStyle w:val="TableParagraph"/>
              <w:ind w:left="411" w:right="120" w:hanging="293"/>
              <w:rPr>
                <w:rFonts w:ascii="Arial" w:eastAsia="Arial" w:hAnsi="Arial" w:cs="Arial"/>
                <w:sz w:val="18"/>
                <w:szCs w:val="18"/>
              </w:rPr>
            </w:pPr>
            <w:r w:rsidRPr="008119CE">
              <w:rPr>
                <w:rFonts w:ascii="Arial"/>
                <w:b/>
                <w:spacing w:val="-1"/>
                <w:sz w:val="18"/>
                <w:szCs w:val="18"/>
              </w:rPr>
              <w:t>Regierungs-</w:t>
            </w:r>
            <w:r w:rsidRPr="008119CE">
              <w:rPr>
                <w:rFonts w:ascii="Times New Roman"/>
                <w:b/>
                <w:spacing w:val="26"/>
                <w:w w:val="99"/>
                <w:sz w:val="18"/>
                <w:szCs w:val="18"/>
              </w:rPr>
              <w:t xml:space="preserve"> </w:t>
            </w:r>
            <w:r w:rsidRPr="008119CE">
              <w:rPr>
                <w:rFonts w:ascii="Arial"/>
                <w:b/>
                <w:spacing w:val="-1"/>
                <w:sz w:val="18"/>
                <w:szCs w:val="18"/>
              </w:rPr>
              <w:t>bezirk</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102" w:right="103" w:firstLine="3"/>
              <w:jc w:val="center"/>
              <w:rPr>
                <w:rFonts w:ascii="Arial" w:eastAsia="Arial" w:hAnsi="Arial" w:cs="Arial"/>
                <w:sz w:val="18"/>
                <w:szCs w:val="18"/>
              </w:rPr>
            </w:pPr>
            <w:r w:rsidRPr="008119CE">
              <w:rPr>
                <w:rFonts w:ascii="Arial"/>
                <w:b/>
                <w:spacing w:val="-1"/>
                <w:sz w:val="18"/>
                <w:szCs w:val="18"/>
              </w:rPr>
              <w:t>Anzahl</w:t>
            </w:r>
            <w:r w:rsidRPr="008119CE">
              <w:rPr>
                <w:rFonts w:ascii="Times New Roman"/>
                <w:b/>
                <w:spacing w:val="24"/>
                <w:w w:val="99"/>
                <w:sz w:val="18"/>
                <w:szCs w:val="18"/>
              </w:rPr>
              <w:t xml:space="preserve"> </w:t>
            </w:r>
            <w:r w:rsidRPr="008119CE">
              <w:rPr>
                <w:rFonts w:ascii="Arial"/>
                <w:b/>
                <w:spacing w:val="-1"/>
                <w:w w:val="95"/>
                <w:sz w:val="18"/>
                <w:szCs w:val="18"/>
              </w:rPr>
              <w:t>Bereitschafts-</w:t>
            </w:r>
            <w:r w:rsidRPr="008119CE">
              <w:rPr>
                <w:rFonts w:ascii="Times New Roman"/>
                <w:b/>
                <w:spacing w:val="29"/>
                <w:w w:val="99"/>
                <w:sz w:val="18"/>
                <w:szCs w:val="18"/>
              </w:rPr>
              <w:t xml:space="preserve"> </w:t>
            </w:r>
            <w:r w:rsidRPr="008119CE">
              <w:rPr>
                <w:rFonts w:ascii="Arial"/>
                <w:b/>
                <w:spacing w:val="-1"/>
                <w:sz w:val="18"/>
                <w:szCs w:val="18"/>
              </w:rPr>
              <w:t>praxen</w:t>
            </w:r>
          </w:p>
          <w:p w:rsidR="008119CE" w:rsidRPr="008119CE" w:rsidRDefault="008119CE" w:rsidP="00E2196E">
            <w:pPr>
              <w:pStyle w:val="TableParagraph"/>
              <w:spacing w:before="42"/>
              <w:ind w:right="1"/>
              <w:jc w:val="center"/>
              <w:rPr>
                <w:rFonts w:ascii="Arial" w:eastAsia="Arial" w:hAnsi="Arial" w:cs="Arial"/>
                <w:sz w:val="18"/>
                <w:szCs w:val="18"/>
              </w:rPr>
            </w:pPr>
            <w:r w:rsidRPr="008119CE">
              <w:rPr>
                <w:rFonts w:ascii="Arial"/>
                <w:spacing w:val="-1"/>
                <w:sz w:val="18"/>
                <w:szCs w:val="18"/>
              </w:rPr>
              <w:t xml:space="preserve">[Ende </w:t>
            </w:r>
            <w:r w:rsidRPr="008119CE">
              <w:rPr>
                <w:rFonts w:ascii="Arial"/>
                <w:spacing w:val="-2"/>
                <w:sz w:val="18"/>
                <w:szCs w:val="18"/>
              </w:rPr>
              <w:t>November]</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ind w:left="102" w:right="103"/>
              <w:jc w:val="center"/>
              <w:rPr>
                <w:rFonts w:ascii="Arial" w:eastAsia="Arial" w:hAnsi="Arial" w:cs="Arial"/>
                <w:sz w:val="18"/>
                <w:szCs w:val="18"/>
              </w:rPr>
            </w:pPr>
            <w:r w:rsidRPr="008119CE">
              <w:rPr>
                <w:rFonts w:ascii="Arial"/>
                <w:b/>
                <w:spacing w:val="-1"/>
                <w:sz w:val="18"/>
                <w:szCs w:val="18"/>
              </w:rPr>
              <w:t>Bereitschafts-</w:t>
            </w:r>
            <w:r w:rsidRPr="008119CE">
              <w:rPr>
                <w:rFonts w:ascii="Times New Roman"/>
                <w:b/>
                <w:spacing w:val="29"/>
                <w:w w:val="99"/>
                <w:sz w:val="18"/>
                <w:szCs w:val="18"/>
              </w:rPr>
              <w:t xml:space="preserve"> </w:t>
            </w:r>
            <w:r w:rsidRPr="008119CE">
              <w:rPr>
                <w:rFonts w:ascii="Arial"/>
                <w:b/>
                <w:spacing w:val="-1"/>
                <w:sz w:val="18"/>
                <w:szCs w:val="18"/>
              </w:rPr>
              <w:t>praxen</w:t>
            </w:r>
            <w:r w:rsidRPr="008119CE">
              <w:rPr>
                <w:rFonts w:ascii="Arial"/>
                <w:b/>
                <w:spacing w:val="-7"/>
                <w:sz w:val="18"/>
                <w:szCs w:val="18"/>
              </w:rPr>
              <w:t xml:space="preserve"> </w:t>
            </w:r>
            <w:r w:rsidRPr="008119CE">
              <w:rPr>
                <w:rFonts w:ascii="Arial"/>
                <w:b/>
                <w:spacing w:val="-1"/>
                <w:sz w:val="18"/>
                <w:szCs w:val="18"/>
              </w:rPr>
              <w:t>an</w:t>
            </w:r>
            <w:r w:rsidRPr="008119CE">
              <w:rPr>
                <w:rFonts w:ascii="Times New Roman"/>
                <w:b/>
                <w:spacing w:val="23"/>
                <w:w w:val="99"/>
                <w:sz w:val="18"/>
                <w:szCs w:val="18"/>
              </w:rPr>
              <w:t xml:space="preserve"> </w:t>
            </w:r>
            <w:r w:rsidRPr="008119CE">
              <w:rPr>
                <w:rFonts w:ascii="Arial"/>
                <w:b/>
                <w:spacing w:val="-1"/>
                <w:sz w:val="18"/>
                <w:szCs w:val="18"/>
              </w:rPr>
              <w:t>Kliniken</w:t>
            </w:r>
            <w:r w:rsidRPr="008119CE">
              <w:rPr>
                <w:rFonts w:ascii="Arial"/>
                <w:b/>
                <w:spacing w:val="-12"/>
                <w:sz w:val="18"/>
                <w:szCs w:val="18"/>
              </w:rPr>
              <w:t xml:space="preserve"> </w:t>
            </w:r>
            <w:r w:rsidRPr="008119CE">
              <w:rPr>
                <w:rFonts w:ascii="Arial"/>
                <w:b/>
                <w:sz w:val="18"/>
                <w:szCs w:val="18"/>
              </w:rPr>
              <w:t>mit</w:t>
            </w:r>
            <w:r w:rsidRPr="008119CE">
              <w:rPr>
                <w:rFonts w:ascii="Times New Roman"/>
                <w:b/>
                <w:spacing w:val="23"/>
                <w:w w:val="99"/>
                <w:sz w:val="18"/>
                <w:szCs w:val="18"/>
              </w:rPr>
              <w:t xml:space="preserve"> </w:t>
            </w:r>
            <w:r w:rsidRPr="008119CE">
              <w:rPr>
                <w:rFonts w:ascii="Arial"/>
                <w:b/>
                <w:spacing w:val="-1"/>
                <w:w w:val="95"/>
                <w:sz w:val="18"/>
                <w:szCs w:val="18"/>
              </w:rPr>
              <w:t>Notfallambulanz</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149"/>
              <w:ind w:left="104" w:right="103"/>
              <w:jc w:val="center"/>
              <w:rPr>
                <w:rFonts w:ascii="Arial" w:eastAsia="Arial" w:hAnsi="Arial" w:cs="Arial"/>
                <w:sz w:val="18"/>
                <w:szCs w:val="18"/>
              </w:rPr>
            </w:pPr>
            <w:r w:rsidRPr="008119CE">
              <w:rPr>
                <w:rFonts w:ascii="Arial"/>
                <w:b/>
                <w:spacing w:val="-1"/>
                <w:w w:val="95"/>
                <w:sz w:val="18"/>
                <w:szCs w:val="18"/>
              </w:rPr>
              <w:t>Bereitschaftspraxen</w:t>
            </w:r>
            <w:r w:rsidRPr="008119CE">
              <w:rPr>
                <w:rFonts w:ascii="Times New Roman"/>
                <w:b/>
                <w:spacing w:val="23"/>
                <w:w w:val="99"/>
                <w:sz w:val="18"/>
                <w:szCs w:val="18"/>
              </w:rPr>
              <w:t xml:space="preserve"> </w:t>
            </w:r>
            <w:r w:rsidRPr="008119CE">
              <w:rPr>
                <w:rFonts w:ascii="Arial"/>
                <w:b/>
                <w:spacing w:val="-1"/>
                <w:sz w:val="18"/>
                <w:szCs w:val="18"/>
              </w:rPr>
              <w:t>an</w:t>
            </w:r>
            <w:r w:rsidRPr="008119CE">
              <w:rPr>
                <w:rFonts w:ascii="Arial"/>
                <w:b/>
                <w:spacing w:val="-9"/>
                <w:sz w:val="18"/>
                <w:szCs w:val="18"/>
              </w:rPr>
              <w:t xml:space="preserve"> </w:t>
            </w:r>
            <w:r w:rsidRPr="008119CE">
              <w:rPr>
                <w:rFonts w:ascii="Arial"/>
                <w:b/>
                <w:spacing w:val="-1"/>
                <w:sz w:val="18"/>
                <w:szCs w:val="18"/>
              </w:rPr>
              <w:t>Kliniken</w:t>
            </w:r>
            <w:r w:rsidRPr="008119CE">
              <w:rPr>
                <w:rFonts w:ascii="Arial"/>
                <w:b/>
                <w:spacing w:val="-8"/>
                <w:sz w:val="18"/>
                <w:szCs w:val="18"/>
              </w:rPr>
              <w:t xml:space="preserve"> </w:t>
            </w:r>
            <w:r w:rsidRPr="008119CE">
              <w:rPr>
                <w:rFonts w:ascii="Arial"/>
                <w:b/>
                <w:sz w:val="18"/>
                <w:szCs w:val="18"/>
              </w:rPr>
              <w:t>ohne</w:t>
            </w:r>
            <w:r w:rsidRPr="008119CE">
              <w:rPr>
                <w:rFonts w:ascii="Times New Roman"/>
                <w:b/>
                <w:spacing w:val="25"/>
                <w:w w:val="99"/>
                <w:sz w:val="18"/>
                <w:szCs w:val="18"/>
              </w:rPr>
              <w:t xml:space="preserve"> </w:t>
            </w:r>
            <w:r w:rsidRPr="008119CE">
              <w:rPr>
                <w:rFonts w:ascii="Arial"/>
                <w:b/>
                <w:spacing w:val="-1"/>
                <w:sz w:val="18"/>
                <w:szCs w:val="18"/>
              </w:rPr>
              <w:t>Notfallambulanz</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149"/>
              <w:ind w:left="102" w:right="103"/>
              <w:jc w:val="center"/>
              <w:rPr>
                <w:rFonts w:ascii="Arial" w:eastAsia="Arial" w:hAnsi="Arial" w:cs="Arial"/>
                <w:sz w:val="18"/>
                <w:szCs w:val="18"/>
              </w:rPr>
            </w:pPr>
            <w:r w:rsidRPr="008119CE">
              <w:rPr>
                <w:rFonts w:ascii="Arial" w:hAnsi="Arial"/>
                <w:b/>
                <w:spacing w:val="-1"/>
                <w:w w:val="95"/>
                <w:sz w:val="18"/>
                <w:szCs w:val="18"/>
              </w:rPr>
              <w:t>Bereitschaftspraxen</w:t>
            </w:r>
            <w:r w:rsidRPr="008119CE">
              <w:rPr>
                <w:rFonts w:ascii="Times New Roman" w:hAnsi="Times New Roman"/>
                <w:b/>
                <w:spacing w:val="23"/>
                <w:w w:val="99"/>
                <w:sz w:val="18"/>
                <w:szCs w:val="18"/>
              </w:rPr>
              <w:t xml:space="preserve"> </w:t>
            </w:r>
            <w:r w:rsidRPr="008119CE">
              <w:rPr>
                <w:rFonts w:ascii="Arial" w:hAnsi="Arial"/>
                <w:b/>
                <w:spacing w:val="-1"/>
                <w:sz w:val="18"/>
                <w:szCs w:val="18"/>
              </w:rPr>
              <w:t>nicht</w:t>
            </w:r>
            <w:r w:rsidRPr="008119CE">
              <w:rPr>
                <w:rFonts w:ascii="Arial" w:hAnsi="Arial"/>
                <w:b/>
                <w:spacing w:val="-7"/>
                <w:sz w:val="18"/>
                <w:szCs w:val="18"/>
              </w:rPr>
              <w:t xml:space="preserve"> </w:t>
            </w:r>
            <w:r w:rsidRPr="008119CE">
              <w:rPr>
                <w:rFonts w:ascii="Arial" w:hAnsi="Arial"/>
                <w:b/>
                <w:spacing w:val="-1"/>
                <w:sz w:val="18"/>
                <w:szCs w:val="18"/>
              </w:rPr>
              <w:t>an</w:t>
            </w:r>
            <w:r w:rsidRPr="008119CE">
              <w:rPr>
                <w:rFonts w:ascii="Times New Roman" w:hAnsi="Times New Roman"/>
                <w:b/>
                <w:spacing w:val="24"/>
                <w:w w:val="99"/>
                <w:sz w:val="18"/>
                <w:szCs w:val="18"/>
              </w:rPr>
              <w:t xml:space="preserve"> </w:t>
            </w:r>
            <w:r w:rsidRPr="008119CE">
              <w:rPr>
                <w:rFonts w:ascii="Arial" w:hAnsi="Arial"/>
                <w:b/>
                <w:spacing w:val="-1"/>
                <w:sz w:val="18"/>
                <w:szCs w:val="18"/>
              </w:rPr>
              <w:t>Krankenhäusern</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1"/>
              <w:rPr>
                <w:rFonts w:ascii="Arial" w:eastAsia="Arial" w:hAnsi="Arial" w:cs="Arial"/>
                <w:sz w:val="18"/>
                <w:szCs w:val="18"/>
              </w:rPr>
            </w:pPr>
          </w:p>
          <w:p w:rsidR="008119CE" w:rsidRPr="008119CE" w:rsidRDefault="008119CE" w:rsidP="00E2196E">
            <w:pPr>
              <w:pStyle w:val="TableParagraph"/>
              <w:ind w:left="102" w:right="103" w:firstLine="232"/>
              <w:rPr>
                <w:rFonts w:ascii="Arial" w:eastAsia="Arial" w:hAnsi="Arial" w:cs="Arial"/>
                <w:sz w:val="18"/>
                <w:szCs w:val="18"/>
              </w:rPr>
            </w:pPr>
            <w:r w:rsidRPr="008119CE">
              <w:rPr>
                <w:rFonts w:ascii="Arial"/>
                <w:b/>
                <w:spacing w:val="-1"/>
                <w:sz w:val="18"/>
                <w:szCs w:val="18"/>
              </w:rPr>
              <w:t>Notfall-</w:t>
            </w:r>
            <w:r w:rsidRPr="008119CE">
              <w:rPr>
                <w:rFonts w:ascii="Times New Roman"/>
                <w:b/>
                <w:spacing w:val="24"/>
                <w:w w:val="99"/>
                <w:sz w:val="18"/>
                <w:szCs w:val="18"/>
              </w:rPr>
              <w:t xml:space="preserve"> </w:t>
            </w:r>
            <w:r w:rsidRPr="008119CE">
              <w:rPr>
                <w:rFonts w:ascii="Arial"/>
                <w:b/>
                <w:spacing w:val="-1"/>
                <w:sz w:val="18"/>
                <w:szCs w:val="18"/>
              </w:rPr>
              <w:t>ambulanzen</w:t>
            </w:r>
          </w:p>
        </w:tc>
      </w:tr>
      <w:tr w:rsidR="008119CE" w:rsidRPr="008119CE" w:rsidTr="008119CE">
        <w:trPr>
          <w:trHeight w:hRule="exact" w:val="322"/>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9"/>
              <w:ind w:left="128"/>
              <w:rPr>
                <w:rFonts w:ascii="Arial" w:eastAsia="Arial" w:hAnsi="Arial" w:cs="Arial"/>
                <w:sz w:val="18"/>
                <w:szCs w:val="18"/>
              </w:rPr>
            </w:pPr>
            <w:r w:rsidRPr="008119CE">
              <w:rPr>
                <w:rFonts w:ascii="Arial"/>
                <w:spacing w:val="-1"/>
                <w:sz w:val="18"/>
                <w:szCs w:val="18"/>
              </w:rPr>
              <w:t>Mittelfranken</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9"/>
              <w:ind w:right="2"/>
              <w:jc w:val="center"/>
              <w:rPr>
                <w:rFonts w:ascii="Arial" w:eastAsia="Arial" w:hAnsi="Arial" w:cs="Arial"/>
                <w:sz w:val="18"/>
                <w:szCs w:val="18"/>
              </w:rPr>
            </w:pPr>
            <w:r w:rsidRPr="008119CE">
              <w:rPr>
                <w:rFonts w:ascii="Arial"/>
                <w:spacing w:val="-1"/>
                <w:sz w:val="18"/>
                <w:szCs w:val="18"/>
              </w:rPr>
              <w:t>13</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9"/>
              <w:ind w:right="2"/>
              <w:jc w:val="center"/>
              <w:rPr>
                <w:rFonts w:ascii="Arial" w:eastAsia="Arial" w:hAnsi="Arial" w:cs="Arial"/>
                <w:sz w:val="18"/>
                <w:szCs w:val="18"/>
              </w:rPr>
            </w:pPr>
            <w:r w:rsidRPr="008119CE">
              <w:rPr>
                <w:rFonts w:ascii="Arial"/>
                <w:spacing w:val="-1"/>
                <w:sz w:val="18"/>
                <w:szCs w:val="18"/>
              </w:rPr>
              <w:t>11</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9"/>
              <w:jc w:val="center"/>
              <w:rPr>
                <w:rFonts w:ascii="Arial" w:eastAsia="Arial" w:hAnsi="Arial" w:cs="Arial"/>
                <w:sz w:val="18"/>
                <w:szCs w:val="18"/>
              </w:rPr>
            </w:pPr>
            <w:r w:rsidRPr="008119CE">
              <w:rPr>
                <w:rFonts w:ascii="Arial"/>
                <w:sz w:val="18"/>
                <w:szCs w:val="18"/>
              </w:rPr>
              <w:t>1</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9"/>
              <w:jc w:val="center"/>
              <w:rPr>
                <w:rFonts w:ascii="Arial" w:eastAsia="Arial" w:hAnsi="Arial" w:cs="Arial"/>
                <w:sz w:val="18"/>
                <w:szCs w:val="18"/>
              </w:rPr>
            </w:pPr>
            <w:r w:rsidRPr="008119CE">
              <w:rPr>
                <w:rFonts w:ascii="Arial"/>
                <w:sz w:val="18"/>
                <w:szCs w:val="18"/>
              </w:rPr>
              <w:t>1</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9"/>
              <w:ind w:right="2"/>
              <w:jc w:val="center"/>
              <w:rPr>
                <w:rFonts w:ascii="Arial" w:eastAsia="Arial" w:hAnsi="Arial" w:cs="Arial"/>
                <w:sz w:val="18"/>
                <w:szCs w:val="18"/>
              </w:rPr>
            </w:pPr>
            <w:r w:rsidRPr="008119CE">
              <w:rPr>
                <w:rFonts w:ascii="Arial"/>
                <w:spacing w:val="-1"/>
                <w:sz w:val="18"/>
                <w:szCs w:val="18"/>
              </w:rPr>
              <w:t>27</w:t>
            </w:r>
          </w:p>
        </w:tc>
      </w:tr>
      <w:tr w:rsidR="008119CE" w:rsidRPr="008119CE" w:rsidTr="008119CE">
        <w:trPr>
          <w:trHeight w:hRule="exact" w:val="319"/>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102"/>
              <w:rPr>
                <w:rFonts w:ascii="Arial" w:eastAsia="Arial" w:hAnsi="Arial" w:cs="Arial"/>
                <w:sz w:val="18"/>
                <w:szCs w:val="18"/>
              </w:rPr>
            </w:pPr>
            <w:r w:rsidRPr="008119CE">
              <w:rPr>
                <w:rFonts w:ascii="Arial"/>
                <w:spacing w:val="-1"/>
                <w:sz w:val="18"/>
                <w:szCs w:val="18"/>
              </w:rPr>
              <w:t>Niederbayern</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13</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13</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1"/>
              <w:jc w:val="center"/>
              <w:rPr>
                <w:rFonts w:ascii="Arial" w:eastAsia="Arial" w:hAnsi="Arial" w:cs="Arial"/>
                <w:sz w:val="18"/>
                <w:szCs w:val="18"/>
              </w:rPr>
            </w:pPr>
            <w:r w:rsidRPr="008119CE">
              <w:rPr>
                <w:rFonts w:ascii="Arial"/>
                <w:sz w:val="18"/>
                <w:szCs w:val="18"/>
              </w:rPr>
              <w:t>0</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28</w:t>
            </w:r>
          </w:p>
        </w:tc>
      </w:tr>
      <w:tr w:rsidR="008119CE" w:rsidRPr="008119CE" w:rsidTr="008119CE">
        <w:trPr>
          <w:trHeight w:hRule="exact" w:val="319"/>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174"/>
              <w:rPr>
                <w:rFonts w:ascii="Arial" w:eastAsia="Arial" w:hAnsi="Arial" w:cs="Arial"/>
                <w:sz w:val="18"/>
                <w:szCs w:val="18"/>
              </w:rPr>
            </w:pPr>
            <w:r w:rsidRPr="008119CE">
              <w:rPr>
                <w:rFonts w:ascii="Arial"/>
                <w:spacing w:val="-1"/>
                <w:sz w:val="18"/>
                <w:szCs w:val="18"/>
              </w:rPr>
              <w:t>Oberbayern</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33</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28</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5</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67</w:t>
            </w:r>
          </w:p>
        </w:tc>
      </w:tr>
      <w:tr w:rsidR="008119CE" w:rsidRPr="008119CE" w:rsidTr="008119CE">
        <w:trPr>
          <w:trHeight w:hRule="exact" w:val="322"/>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145"/>
              <w:rPr>
                <w:rFonts w:ascii="Arial" w:eastAsia="Arial" w:hAnsi="Arial" w:cs="Arial"/>
                <w:sz w:val="18"/>
                <w:szCs w:val="18"/>
              </w:rPr>
            </w:pPr>
            <w:r w:rsidRPr="008119CE">
              <w:rPr>
                <w:rFonts w:ascii="Arial"/>
                <w:sz w:val="18"/>
                <w:szCs w:val="18"/>
              </w:rPr>
              <w:t>Oberfranken</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12</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11</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1</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20</w:t>
            </w:r>
          </w:p>
        </w:tc>
      </w:tr>
      <w:tr w:rsidR="008119CE" w:rsidRPr="008119CE" w:rsidTr="008119CE">
        <w:trPr>
          <w:trHeight w:hRule="exact" w:val="319"/>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267"/>
              <w:rPr>
                <w:rFonts w:ascii="Arial" w:eastAsia="Arial" w:hAnsi="Arial" w:cs="Arial"/>
                <w:sz w:val="18"/>
                <w:szCs w:val="18"/>
              </w:rPr>
            </w:pPr>
            <w:r w:rsidRPr="008119CE">
              <w:rPr>
                <w:rFonts w:ascii="Arial"/>
                <w:spacing w:val="-1"/>
                <w:sz w:val="18"/>
                <w:szCs w:val="18"/>
              </w:rPr>
              <w:t>Oberpfalz</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10</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10</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20</w:t>
            </w:r>
          </w:p>
        </w:tc>
      </w:tr>
      <w:tr w:rsidR="008119CE" w:rsidRPr="008119CE" w:rsidTr="008119CE">
        <w:trPr>
          <w:trHeight w:hRule="exact" w:val="319"/>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234"/>
              <w:rPr>
                <w:rFonts w:ascii="Arial" w:eastAsia="Arial" w:hAnsi="Arial" w:cs="Arial"/>
                <w:sz w:val="18"/>
                <w:szCs w:val="18"/>
              </w:rPr>
            </w:pPr>
            <w:r w:rsidRPr="008119CE">
              <w:rPr>
                <w:rFonts w:ascii="Arial"/>
                <w:spacing w:val="-1"/>
                <w:sz w:val="18"/>
                <w:szCs w:val="18"/>
              </w:rPr>
              <w:t>Schwaben</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17</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17</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36</w:t>
            </w:r>
          </w:p>
        </w:tc>
      </w:tr>
      <w:tr w:rsidR="008119CE" w:rsidRPr="008119CE" w:rsidTr="008119CE">
        <w:trPr>
          <w:trHeight w:hRule="exact" w:val="322"/>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left="123"/>
              <w:rPr>
                <w:rFonts w:ascii="Arial" w:eastAsia="Arial" w:hAnsi="Arial" w:cs="Arial"/>
                <w:sz w:val="18"/>
                <w:szCs w:val="18"/>
              </w:rPr>
            </w:pPr>
            <w:r w:rsidRPr="008119CE">
              <w:rPr>
                <w:rFonts w:ascii="Arial"/>
                <w:spacing w:val="-1"/>
                <w:sz w:val="18"/>
                <w:szCs w:val="18"/>
              </w:rPr>
              <w:t>Unterfranken</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10</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10</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jc w:val="center"/>
              <w:rPr>
                <w:rFonts w:ascii="Arial" w:eastAsia="Arial" w:hAnsi="Arial" w:cs="Arial"/>
                <w:sz w:val="18"/>
                <w:szCs w:val="18"/>
              </w:rPr>
            </w:pPr>
            <w:r w:rsidRPr="008119CE">
              <w:rPr>
                <w:rFonts w:ascii="Arial"/>
                <w:sz w:val="18"/>
                <w:szCs w:val="18"/>
              </w:rPr>
              <w:t>0</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7"/>
              <w:ind w:right="2"/>
              <w:jc w:val="center"/>
              <w:rPr>
                <w:rFonts w:ascii="Arial" w:eastAsia="Arial" w:hAnsi="Arial" w:cs="Arial"/>
                <w:sz w:val="18"/>
                <w:szCs w:val="18"/>
              </w:rPr>
            </w:pPr>
            <w:r w:rsidRPr="008119CE">
              <w:rPr>
                <w:rFonts w:ascii="Arial"/>
                <w:spacing w:val="-1"/>
                <w:sz w:val="18"/>
                <w:szCs w:val="18"/>
              </w:rPr>
              <w:t>22</w:t>
            </w:r>
          </w:p>
        </w:tc>
      </w:tr>
      <w:tr w:rsidR="008119CE" w:rsidRPr="008119CE" w:rsidTr="008119CE">
        <w:trPr>
          <w:trHeight w:hRule="exact" w:val="319"/>
        </w:trPr>
        <w:tc>
          <w:tcPr>
            <w:tcW w:w="1416"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ind w:left="301"/>
              <w:rPr>
                <w:rFonts w:ascii="Arial" w:eastAsia="Arial" w:hAnsi="Arial" w:cs="Arial"/>
                <w:sz w:val="18"/>
                <w:szCs w:val="18"/>
              </w:rPr>
            </w:pPr>
            <w:r w:rsidRPr="008119CE">
              <w:rPr>
                <w:rFonts w:ascii="Arial"/>
                <w:b/>
                <w:spacing w:val="-1"/>
                <w:sz w:val="18"/>
                <w:szCs w:val="18"/>
              </w:rPr>
              <w:t>Gesamt:</w:t>
            </w:r>
          </w:p>
        </w:tc>
        <w:tc>
          <w:tcPr>
            <w:tcW w:w="1550"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ind w:right="2"/>
              <w:jc w:val="center"/>
              <w:rPr>
                <w:rFonts w:ascii="Arial" w:eastAsia="Arial" w:hAnsi="Arial" w:cs="Arial"/>
                <w:sz w:val="18"/>
                <w:szCs w:val="18"/>
              </w:rPr>
            </w:pPr>
            <w:r w:rsidRPr="008119CE">
              <w:rPr>
                <w:rFonts w:ascii="Arial"/>
                <w:b/>
                <w:spacing w:val="-1"/>
                <w:sz w:val="18"/>
                <w:szCs w:val="18"/>
              </w:rPr>
              <w:t>108</w:t>
            </w:r>
          </w:p>
        </w:tc>
        <w:tc>
          <w:tcPr>
            <w:tcW w:w="1762"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ind w:right="2"/>
              <w:jc w:val="center"/>
              <w:rPr>
                <w:rFonts w:ascii="Arial" w:eastAsia="Arial" w:hAnsi="Arial" w:cs="Arial"/>
                <w:sz w:val="18"/>
                <w:szCs w:val="18"/>
              </w:rPr>
            </w:pPr>
            <w:r w:rsidRPr="008119CE">
              <w:rPr>
                <w:rFonts w:ascii="Arial"/>
                <w:b/>
                <w:spacing w:val="-1"/>
                <w:sz w:val="18"/>
                <w:szCs w:val="18"/>
              </w:rPr>
              <w:t>100</w:t>
            </w:r>
          </w:p>
        </w:tc>
        <w:tc>
          <w:tcPr>
            <w:tcW w:w="2141"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jc w:val="center"/>
              <w:rPr>
                <w:rFonts w:ascii="Arial" w:eastAsia="Arial" w:hAnsi="Arial" w:cs="Arial"/>
                <w:sz w:val="18"/>
                <w:szCs w:val="18"/>
              </w:rPr>
            </w:pPr>
            <w:r w:rsidRPr="008119CE">
              <w:rPr>
                <w:rFonts w:ascii="Arial"/>
                <w:b/>
                <w:sz w:val="18"/>
                <w:szCs w:val="18"/>
              </w:rPr>
              <w:t>1</w:t>
            </w:r>
          </w:p>
        </w:tc>
        <w:tc>
          <w:tcPr>
            <w:tcW w:w="2138"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jc w:val="center"/>
              <w:rPr>
                <w:rFonts w:ascii="Arial" w:eastAsia="Arial" w:hAnsi="Arial" w:cs="Arial"/>
                <w:sz w:val="18"/>
                <w:szCs w:val="18"/>
              </w:rPr>
            </w:pPr>
            <w:r w:rsidRPr="008119CE">
              <w:rPr>
                <w:rFonts w:ascii="Arial"/>
                <w:b/>
                <w:sz w:val="18"/>
                <w:szCs w:val="18"/>
              </w:rPr>
              <w:t>7</w:t>
            </w:r>
          </w:p>
        </w:tc>
        <w:tc>
          <w:tcPr>
            <w:tcW w:w="1373" w:type="dxa"/>
            <w:tcBorders>
              <w:top w:val="single" w:sz="5" w:space="0" w:color="000000"/>
              <w:left w:val="single" w:sz="5" w:space="0" w:color="000000"/>
              <w:bottom w:val="single" w:sz="5" w:space="0" w:color="000000"/>
              <w:right w:val="single" w:sz="5" w:space="0" w:color="000000"/>
            </w:tcBorders>
          </w:tcPr>
          <w:p w:rsidR="008119CE" w:rsidRPr="008119CE" w:rsidRDefault="008119CE" w:rsidP="00E2196E">
            <w:pPr>
              <w:pStyle w:val="TableParagraph"/>
              <w:spacing w:before="34"/>
              <w:ind w:right="2"/>
              <w:jc w:val="center"/>
              <w:rPr>
                <w:rFonts w:ascii="Arial" w:eastAsia="Arial" w:hAnsi="Arial" w:cs="Arial"/>
                <w:sz w:val="18"/>
                <w:szCs w:val="18"/>
              </w:rPr>
            </w:pPr>
            <w:r w:rsidRPr="008119CE">
              <w:rPr>
                <w:rFonts w:ascii="Arial"/>
                <w:b/>
                <w:spacing w:val="-1"/>
                <w:sz w:val="18"/>
                <w:szCs w:val="18"/>
              </w:rPr>
              <w:t>220</w:t>
            </w:r>
          </w:p>
        </w:tc>
      </w:tr>
    </w:tbl>
    <w:p w:rsidR="000E3A3D" w:rsidRDefault="000E3A3D" w:rsidP="000E3A3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0E3A3D" w:rsidTr="000E3A3D">
        <w:tc>
          <w:tcPr>
            <w:tcW w:w="2050" w:type="dxa"/>
            <w:shd w:val="clear" w:color="auto" w:fill="auto"/>
          </w:tcPr>
          <w:p w:rsidR="000E3A3D" w:rsidRPr="000E3A3D" w:rsidRDefault="000E3A3D" w:rsidP="000E3A3D">
            <w:pPr>
              <w:pStyle w:val="LTNumAnfrageIni1"/>
            </w:pPr>
            <w:r w:rsidRPr="000E3A3D">
              <w:t>Abgeordnete</w:t>
            </w:r>
            <w:r w:rsidRPr="000E3A3D">
              <w:br/>
            </w:r>
            <w:r w:rsidRPr="000E3A3D">
              <w:rPr>
                <w:b/>
              </w:rPr>
              <w:t>Ruth</w:t>
            </w:r>
            <w:r w:rsidRPr="000E3A3D">
              <w:rPr>
                <w:b/>
              </w:rPr>
              <w:br/>
              <w:t>Waldmann</w:t>
            </w:r>
            <w:r w:rsidRPr="000E3A3D">
              <w:rPr>
                <w:b/>
              </w:rPr>
              <w:br/>
            </w:r>
            <w:r w:rsidRPr="000E3A3D">
              <w:t>(SPD)</w:t>
            </w:r>
            <w:r>
              <w:fldChar w:fldCharType="begin"/>
            </w:r>
            <w:r>
              <w:instrText xml:space="preserve"> TC </w:instrText>
            </w:r>
            <w:r w:rsidR="00423B2A">
              <w:instrText>„</w:instrText>
            </w:r>
            <w:bookmarkStart w:id="79" w:name="_Toc519153265"/>
            <w:r>
              <w:instrText>Waldmann, Ruth (SPD)</w:instrText>
            </w:r>
            <w:r>
              <w:br/>
              <w:instrText>Herausgabe von Adresslisten von Abbruchsärztinnen und -ärzten durch neutrale Schwangerenberatungsstellen</w:instrText>
            </w:r>
            <w:bookmarkEnd w:id="79"/>
            <w:r>
              <w:instrText xml:space="preserve"> </w:instrText>
            </w:r>
            <w:r w:rsidR="00423B2A">
              <w:instrText>„</w:instrText>
            </w:r>
            <w:r>
              <w:instrText xml:space="preserve"> \l 2 </w:instrText>
            </w:r>
            <w:r>
              <w:fldChar w:fldCharType="end"/>
            </w:r>
          </w:p>
        </w:tc>
        <w:tc>
          <w:tcPr>
            <w:tcW w:w="7200" w:type="dxa"/>
            <w:shd w:val="clear" w:color="auto" w:fill="auto"/>
          </w:tcPr>
          <w:p w:rsidR="000E3A3D" w:rsidRDefault="000E3A3D" w:rsidP="000E3A3D">
            <w:pPr>
              <w:pStyle w:val="LTAnfrageText"/>
            </w:pPr>
            <w:r>
              <w:t>Ich frage die Staatsregierung, dürfen bayerische Schwangerenberatungsstellen, die ihre Klientinnen neutral beraten, Listen mit Adressen von Ärztinnen und Ärzten oder Einrichtungen, die straffreie Abtreibungen ausführen, an ihre Klientinnen aushändigen, wenn nein, warum nicht und welche Durchführungsverordnungen bestehen hierzu in Bayern?</w:t>
            </w:r>
          </w:p>
          <w:p w:rsidR="000E3A3D" w:rsidRDefault="000E3A3D" w:rsidP="000E3A3D">
            <w:pPr>
              <w:pStyle w:val="LTAnfrageText"/>
            </w:pPr>
          </w:p>
        </w:tc>
      </w:tr>
    </w:tbl>
    <w:p w:rsidR="00193822" w:rsidRDefault="00193822" w:rsidP="000E3A3D">
      <w:pPr>
        <w:pStyle w:val="LTUeberschrAntwortRessort"/>
      </w:pPr>
    </w:p>
    <w:p w:rsidR="000E3A3D" w:rsidRDefault="000E3A3D" w:rsidP="000E3A3D">
      <w:pPr>
        <w:pStyle w:val="LTUeberschrAntwortRessort"/>
      </w:pPr>
      <w:r>
        <w:lastRenderedPageBreak/>
        <w:t>Antwort des Staatsministeriums für Gesundheit und Pflege</w:t>
      </w:r>
    </w:p>
    <w:p w:rsidR="00357BBF" w:rsidRPr="00357BBF" w:rsidRDefault="00357BBF" w:rsidP="00357BBF">
      <w:pPr>
        <w:pStyle w:val="LTAntwortRessortText"/>
      </w:pPr>
      <w:r w:rsidRPr="00357BBF">
        <w:t xml:space="preserve">Nach Art. 6 Abs. 3 </w:t>
      </w:r>
      <w:r>
        <w:t>Bayerisches</w:t>
      </w:r>
      <w:r w:rsidRPr="00357BBF">
        <w:t xml:space="preserve"> Schwangerenhilfeergänz</w:t>
      </w:r>
      <w:r>
        <w:t>ungsgesetz</w:t>
      </w:r>
      <w:r w:rsidRPr="00357BBF">
        <w:t xml:space="preserve"> </w:t>
      </w:r>
      <w:r>
        <w:t>(</w:t>
      </w:r>
      <w:r>
        <w:rPr>
          <w:rStyle w:val="st"/>
        </w:rPr>
        <w:t xml:space="preserve">BaySchwHEG) </w:t>
      </w:r>
      <w:r w:rsidRPr="00357BBF">
        <w:t>erteilen auf Ersuchen</w:t>
      </w:r>
      <w:r>
        <w:t xml:space="preserve"> </w:t>
      </w:r>
      <w:r w:rsidRPr="00357BBF">
        <w:t>die unteren Behörden für Gesundheit, Veterinärwesen, Ernä</w:t>
      </w:r>
      <w:r>
        <w:t>hrung und Verbraucherschutz (d. </w:t>
      </w:r>
      <w:r w:rsidRPr="00357BBF">
        <w:t>h. in</w:t>
      </w:r>
      <w:r>
        <w:t xml:space="preserve"> </w:t>
      </w:r>
      <w:r w:rsidRPr="00357BBF">
        <w:t>der Regel die dort angesiedelten staatlich anerkannten Beratungsstellen für</w:t>
      </w:r>
      <w:r>
        <w:t xml:space="preserve"> </w:t>
      </w:r>
      <w:r w:rsidRPr="00357BBF">
        <w:t>Schwangerschaftsfragen) sowie auch die gesetzlichen Krankenkassen Frauen, die eine</w:t>
      </w:r>
      <w:r>
        <w:t xml:space="preserve"> </w:t>
      </w:r>
      <w:r w:rsidRPr="00357BBF">
        <w:t xml:space="preserve">Schwangerenkonfliktberatung nach § 219 </w:t>
      </w:r>
      <w:r>
        <w:t>Strafgesetzbuch (</w:t>
      </w:r>
      <w:r w:rsidRPr="00357BBF">
        <w:t>StGB</w:t>
      </w:r>
      <w:r>
        <w:t>)</w:t>
      </w:r>
      <w:r w:rsidRPr="00357BBF">
        <w:t xml:space="preserve"> oder die schriftliche Feststellung eines Arztes über</w:t>
      </w:r>
      <w:r>
        <w:t xml:space="preserve"> </w:t>
      </w:r>
      <w:r w:rsidRPr="00357BBF">
        <w:t>das Vorliege</w:t>
      </w:r>
      <w:r>
        <w:t>n der Voraussetzungen des § 218</w:t>
      </w:r>
      <w:r w:rsidRPr="00357BBF">
        <w:t>a Abs. 2 oder 3 StGB nachweisen, Auskunft über</w:t>
      </w:r>
      <w:r>
        <w:t xml:space="preserve"> </w:t>
      </w:r>
      <w:r w:rsidRPr="00357BBF">
        <w:t>Bezeichnung und Anschrift der im Regierungsbezirk zugelassenen Einrichtungen, soweit die</w:t>
      </w:r>
      <w:r>
        <w:t xml:space="preserve"> </w:t>
      </w:r>
      <w:r w:rsidRPr="00357BBF">
        <w:t>jeweiligen Träger oder Inhaber einer solchen Einrichtung in diese Unterrichtung eingewilligt haben.</w:t>
      </w:r>
      <w:r>
        <w:t xml:space="preserve"> </w:t>
      </w:r>
      <w:r w:rsidR="00744FD2" w:rsidRPr="00744FD2">
        <w:t>Daraus folgt im Umkehrschluss, dass andere Stellen einschließlich der Beratungsstellen, die nicht bei den unteren Behörden für Gesundheit, Veterinärwesen, Ernährung und Verbraucherschutz angesiedelt sind, solche Auskünfte nicht erteilen dürfen.</w:t>
      </w:r>
      <w:r w:rsidR="00744FD2">
        <w:t xml:space="preserve"> </w:t>
      </w:r>
      <w:r w:rsidRPr="00357BBF">
        <w:t>Spezielle Durchführungsbestimmungen, insbesondere in welcher Form die Auskunft zu erteilen ist,</w:t>
      </w:r>
      <w:r>
        <w:t xml:space="preserve"> </w:t>
      </w:r>
      <w:r w:rsidRPr="00357BBF">
        <w:t>gibt es nicht.</w:t>
      </w:r>
    </w:p>
    <w:p w:rsidR="000E3A3D" w:rsidRDefault="000E3A3D" w:rsidP="000E3A3D">
      <w:pPr>
        <w:pStyle w:val="LTUeberschrRessort"/>
      </w:pPr>
    </w:p>
    <w:sectPr w:rsidR="000E3A3D" w:rsidSect="001579D6">
      <w:headerReference w:type="even" r:id="rId26"/>
      <w:headerReference w:type="default" r:id="rId27"/>
      <w:footerReference w:type="default" r:id="rId28"/>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67" w:rsidRDefault="004B6267">
      <w:r>
        <w:separator/>
      </w:r>
    </w:p>
  </w:endnote>
  <w:endnote w:type="continuationSeparator" w:id="0">
    <w:p w:rsidR="004B6267" w:rsidRDefault="004B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Pr="009C32BE" w:rsidRDefault="004B6267"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Default="004B62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Pr="00311533" w:rsidRDefault="004B6267"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67" w:rsidRDefault="004B6267">
      <w:r>
        <w:separator/>
      </w:r>
    </w:p>
  </w:footnote>
  <w:footnote w:type="continuationSeparator" w:id="0">
    <w:p w:rsidR="004B6267" w:rsidRDefault="004B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Default="004B626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9C71F4">
      <w:fldChar w:fldCharType="begin"/>
    </w:r>
    <w:r w:rsidR="009C71F4">
      <w:instrText xml:space="preserve"> DOCVARIABLE  "Wp" \* MERGEFORMAT </w:instrText>
    </w:r>
    <w:r w:rsidR="009C71F4">
      <w:fldChar w:fldCharType="separate"/>
    </w:r>
    <w:r w:rsidR="00D71E7D">
      <w:t>17</w:t>
    </w:r>
    <w:r w:rsidR="009C71F4">
      <w:fldChar w:fldCharType="end"/>
    </w:r>
    <w:r w:rsidRPr="00CA6785">
      <w:t>/</w:t>
    </w:r>
    <w:r>
      <w:rPr>
        <w:b/>
      </w:rPr>
      <w:fldChar w:fldCharType="begin"/>
    </w:r>
    <w:r>
      <w:rPr>
        <w:b/>
      </w:rPr>
      <w:instrText xml:space="preserve"> DOCVARIABLE  "Drsnr" \* MERGEFORMAT </w:instrText>
    </w:r>
    <w:r>
      <w:rPr>
        <w:b/>
      </w:rPr>
      <w:fldChar w:fldCharType="separate"/>
    </w:r>
    <w:r w:rsidR="00D71E7D">
      <w:rPr>
        <w:b/>
      </w:rPr>
      <w:t>23287</w:t>
    </w:r>
    <w:r>
      <w:rPr>
        <w:b/>
      </w:rPr>
      <w:fldChar w:fldCharType="end"/>
    </w:r>
    <w:r>
      <w:tab/>
    </w:r>
    <w:r>
      <w:tab/>
    </w:r>
    <w:r w:rsidRPr="009A2D8C">
      <w:t>Bayerischer Landtag</w:t>
    </w:r>
    <w:r>
      <w:t xml:space="preserve"> -</w:t>
    </w:r>
    <w:r w:rsidR="009C71F4">
      <w:fldChar w:fldCharType="begin"/>
    </w:r>
    <w:r w:rsidR="009C71F4">
      <w:instrText xml:space="preserve"> DOCVARIABLE  "Wp" \* MERGEFORMAT </w:instrText>
    </w:r>
    <w:r w:rsidR="009C71F4">
      <w:fldChar w:fldCharType="separate"/>
    </w:r>
    <w:r w:rsidR="00D71E7D">
      <w:t>17</w:t>
    </w:r>
    <w:r w:rsidR="009C71F4">
      <w:fldChar w:fldCharType="end"/>
    </w:r>
    <w:r>
      <w:t>. Wahlperiode</w:t>
    </w:r>
  </w:p>
  <w:p w:rsidR="004B6267" w:rsidRDefault="004B626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Default="004B6267"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9C71F4">
      <w:fldChar w:fldCharType="begin"/>
    </w:r>
    <w:r w:rsidR="009C71F4">
      <w:instrText xml:space="preserve"> DOCVARIABLE  "Wp" \* MERGEFORMAT </w:instrText>
    </w:r>
    <w:r w:rsidR="009C71F4">
      <w:fldChar w:fldCharType="separate"/>
    </w:r>
    <w:r w:rsidR="00D71E7D">
      <w:t>17</w:t>
    </w:r>
    <w:r w:rsidR="009C71F4">
      <w:fldChar w:fldCharType="end"/>
    </w:r>
    <w:r>
      <w:t>. Wahlperiode</w:t>
    </w:r>
    <w:r>
      <w:tab/>
    </w:r>
    <w:r>
      <w:tab/>
    </w:r>
    <w:r w:rsidRPr="009A2D8C">
      <w:rPr>
        <w:b/>
      </w:rPr>
      <w:t>Drucksache</w:t>
    </w:r>
    <w:r>
      <w:rPr>
        <w:b/>
      </w:rPr>
      <w:t xml:space="preserve"> </w:t>
    </w:r>
    <w:r w:rsidR="009C71F4">
      <w:fldChar w:fldCharType="begin"/>
    </w:r>
    <w:r w:rsidR="009C71F4">
      <w:instrText xml:space="preserve"> DOCVARIABLE  "Wp" \* MERGEFORMAT </w:instrText>
    </w:r>
    <w:r w:rsidR="009C71F4">
      <w:fldChar w:fldCharType="separate"/>
    </w:r>
    <w:r w:rsidR="00D71E7D">
      <w:t>17</w:t>
    </w:r>
    <w:r w:rsidR="009C71F4">
      <w:fldChar w:fldCharType="end"/>
    </w:r>
    <w:r w:rsidRPr="00CA6785">
      <w:t>/</w:t>
    </w:r>
    <w:r>
      <w:rPr>
        <w:b/>
      </w:rPr>
      <w:fldChar w:fldCharType="begin"/>
    </w:r>
    <w:r>
      <w:rPr>
        <w:b/>
      </w:rPr>
      <w:instrText xml:space="preserve"> DOCVARIABLE  "Drsnr" \* MERGEFORMAT </w:instrText>
    </w:r>
    <w:r>
      <w:rPr>
        <w:b/>
      </w:rPr>
      <w:fldChar w:fldCharType="separate"/>
    </w:r>
    <w:r w:rsidR="00D71E7D">
      <w:rPr>
        <w:b/>
      </w:rPr>
      <w:t>23287</w:t>
    </w:r>
    <w:r>
      <w:rPr>
        <w:b/>
      </w:rPr>
      <w:fldChar w:fldCharType="end"/>
    </w:r>
  </w:p>
  <w:p w:rsidR="004B6267" w:rsidRPr="00C127DA" w:rsidRDefault="004B6267"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Default="004B6267"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E6F97" w:rsidRPr="009E6F97">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E6F97">
      <w:rPr>
        <w:sz w:val="22"/>
        <w:szCs w:val="22"/>
      </w:rPr>
      <w:t>12.07.2018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E6F97" w:rsidRPr="009E6F97">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E6F97" w:rsidRPr="009E6F97">
      <w:rPr>
        <w:b/>
        <w:bCs/>
        <w:sz w:val="42"/>
        <w:szCs w:val="42"/>
      </w:rPr>
      <w:t>23287</w:t>
    </w:r>
    <w:r w:rsidRPr="00853926">
      <w:rPr>
        <w:b/>
        <w:sz w:val="42"/>
        <w:szCs w:val="42"/>
      </w:rPr>
      <w:fldChar w:fldCharType="end"/>
    </w:r>
  </w:p>
  <w:p w:rsidR="004B6267" w:rsidRPr="00812558" w:rsidRDefault="004B6267"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Default="004B6267"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71E7D">
      <w:rPr>
        <w:b/>
        <w:szCs w:val="20"/>
      </w:rPr>
      <w:t>23287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71E7D">
      <w:rPr>
        <w:rStyle w:val="Seitenzahl"/>
        <w:noProof/>
        <w:szCs w:val="20"/>
      </w:rPr>
      <w:t>V</w:t>
    </w:r>
    <w:r w:rsidRPr="00DE5B17">
      <w:rPr>
        <w:rStyle w:val="Seitenzahl"/>
        <w:szCs w:val="20"/>
      </w:rPr>
      <w:fldChar w:fldCharType="end"/>
    </w:r>
  </w:p>
  <w:p w:rsidR="004B6267" w:rsidRPr="00861320" w:rsidRDefault="004B626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Pr="00A44F63" w:rsidRDefault="004B6267"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71E7D">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71E7D">
      <w:rPr>
        <w:b/>
        <w:szCs w:val="20"/>
      </w:rPr>
      <w:t>23287</w:t>
    </w:r>
    <w:r w:rsidRPr="00A44F63">
      <w:rPr>
        <w:b/>
        <w:szCs w:val="20"/>
      </w:rPr>
      <w:fldChar w:fldCharType="end"/>
    </w:r>
  </w:p>
  <w:p w:rsidR="004B6267" w:rsidRPr="004B2185" w:rsidRDefault="004B6267"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Pr="00A44F63" w:rsidRDefault="004B626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71E7D">
      <w:rPr>
        <w:rStyle w:val="Seitenzahl"/>
        <w:noProof/>
        <w:szCs w:val="20"/>
      </w:rPr>
      <w:t>71</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71E7D">
      <w:rPr>
        <w:b/>
        <w:szCs w:val="20"/>
      </w:rPr>
      <w:t>23287</w:t>
    </w:r>
    <w:r w:rsidRPr="00A44F63">
      <w:rPr>
        <w:b/>
        <w:szCs w:val="20"/>
      </w:rPr>
      <w:fldChar w:fldCharType="end"/>
    </w:r>
  </w:p>
  <w:p w:rsidR="004B6267" w:rsidRPr="00861320" w:rsidRDefault="004B6267" w:rsidP="006E5B9D">
    <w:pPr>
      <w:pStyle w:val="Kopfzeile"/>
    </w:pPr>
  </w:p>
  <w:p w:rsidR="004B6267" w:rsidRDefault="004B626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67" w:rsidRPr="00DE5B17" w:rsidRDefault="004B6267"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71E7D">
      <w:rPr>
        <w:b/>
        <w:szCs w:val="20"/>
      </w:rPr>
      <w:t>23287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71E7D">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71E7D">
      <w:rPr>
        <w:rStyle w:val="Seitenzahl"/>
        <w:noProof/>
        <w:szCs w:val="20"/>
      </w:rPr>
      <w:t>71</w:t>
    </w:r>
    <w:r w:rsidRPr="00DE5B17">
      <w:rPr>
        <w:rStyle w:val="Seitenzahl"/>
        <w:szCs w:val="20"/>
      </w:rPr>
      <w:fldChar w:fldCharType="end"/>
    </w:r>
  </w:p>
  <w:p w:rsidR="004B6267" w:rsidRPr="00601929" w:rsidRDefault="004B6267" w:rsidP="00601929">
    <w:pPr>
      <w:pStyle w:val="Kopfzeile"/>
      <w:tabs>
        <w:tab w:val="clear" w:pos="4536"/>
        <w:tab w:val="clear" w:pos="9072"/>
        <w:tab w:val="left" w:pos="2700"/>
        <w:tab w:val="left" w:pos="4680"/>
        <w:tab w:val="right" w:pos="9180"/>
      </w:tabs>
      <w:spacing w:line="360" w:lineRule="exact"/>
      <w:ind w:right="4"/>
    </w:pPr>
  </w:p>
  <w:p w:rsidR="004B6267" w:rsidRDefault="004B62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4EB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E69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6F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CCD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C46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02F0D"/>
    <w:multiLevelType w:val="hybridMultilevel"/>
    <w:tmpl w:val="A8FC79A2"/>
    <w:lvl w:ilvl="0" w:tplc="1B1C7CCE">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1" w15:restartNumberingAfterBreak="0">
    <w:nsid w:val="16020BA3"/>
    <w:multiLevelType w:val="hybridMultilevel"/>
    <w:tmpl w:val="56149292"/>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D66040"/>
    <w:multiLevelType w:val="hybridMultilevel"/>
    <w:tmpl w:val="5FDE2F2C"/>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4143C2"/>
    <w:multiLevelType w:val="hybridMultilevel"/>
    <w:tmpl w:val="74240D52"/>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32231A84"/>
    <w:multiLevelType w:val="hybridMultilevel"/>
    <w:tmpl w:val="033ED4A8"/>
    <w:lvl w:ilvl="0" w:tplc="1B1C7CCE">
      <w:start w:val="1"/>
      <w:numFmt w:val="bullet"/>
      <w:lvlText w:val=""/>
      <w:lvlJc w:val="left"/>
      <w:pPr>
        <w:ind w:left="1780" w:hanging="360"/>
      </w:pPr>
      <w:rPr>
        <w:rFonts w:ascii="Symbol" w:hAnsi="Symbol" w:hint="default"/>
      </w:rPr>
    </w:lvl>
    <w:lvl w:ilvl="1" w:tplc="C958CF08">
      <w:start w:val="3"/>
      <w:numFmt w:val="bullet"/>
      <w:lvlText w:val="-"/>
      <w:lvlJc w:val="left"/>
      <w:pPr>
        <w:ind w:left="2512" w:hanging="372"/>
      </w:pPr>
      <w:rPr>
        <w:rFonts w:ascii="Arial" w:eastAsia="Times New Roman" w:hAnsi="Arial" w:cs="Arial"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9" w15:restartNumberingAfterBreak="0">
    <w:nsid w:val="42125B96"/>
    <w:multiLevelType w:val="hybridMultilevel"/>
    <w:tmpl w:val="C6820C5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752BE"/>
    <w:multiLevelType w:val="hybridMultilevel"/>
    <w:tmpl w:val="040CA6E2"/>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D3A7942"/>
    <w:multiLevelType w:val="hybridMultilevel"/>
    <w:tmpl w:val="56988178"/>
    <w:lvl w:ilvl="0" w:tplc="1B1C7CCE">
      <w:start w:val="1"/>
      <w:numFmt w:val="bullet"/>
      <w:lvlText w:val=""/>
      <w:lvlJc w:val="left"/>
      <w:pPr>
        <w:ind w:left="1060" w:hanging="360"/>
      </w:pPr>
      <w:rPr>
        <w:rFonts w:ascii="Symbol" w:hAnsi="Symbol" w:hint="default"/>
      </w:rPr>
    </w:lvl>
    <w:lvl w:ilvl="1" w:tplc="7278D7A2">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4DF276D5"/>
    <w:multiLevelType w:val="hybridMultilevel"/>
    <w:tmpl w:val="3B6638AA"/>
    <w:lvl w:ilvl="0" w:tplc="1B1C7C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0F4B0F"/>
    <w:multiLevelType w:val="hybridMultilevel"/>
    <w:tmpl w:val="A1A249A6"/>
    <w:lvl w:ilvl="0" w:tplc="1B1C7CCE">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5"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A6147A"/>
    <w:multiLevelType w:val="hybridMultilevel"/>
    <w:tmpl w:val="8EE6A9B4"/>
    <w:lvl w:ilvl="0" w:tplc="1B1C7CCE">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60D04B06"/>
    <w:multiLevelType w:val="hybridMultilevel"/>
    <w:tmpl w:val="EB5EF48C"/>
    <w:lvl w:ilvl="0" w:tplc="1B1C7C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30D2C11"/>
    <w:multiLevelType w:val="hybridMultilevel"/>
    <w:tmpl w:val="A58C603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943CD1"/>
    <w:multiLevelType w:val="hybridMultilevel"/>
    <w:tmpl w:val="C5803918"/>
    <w:lvl w:ilvl="0" w:tplc="1B1C7CCE">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3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A4D569B"/>
    <w:multiLevelType w:val="hybridMultilevel"/>
    <w:tmpl w:val="91946F9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9852A02"/>
    <w:multiLevelType w:val="hybridMultilevel"/>
    <w:tmpl w:val="93F221D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abstractNumId w:val="35"/>
  </w:num>
  <w:num w:numId="2">
    <w:abstractNumId w:val="14"/>
  </w:num>
  <w:num w:numId="3">
    <w:abstractNumId w:val="28"/>
  </w:num>
  <w:num w:numId="4">
    <w:abstractNumId w:val="32"/>
  </w:num>
  <w:num w:numId="5">
    <w:abstractNumId w:val="30"/>
  </w:num>
  <w:num w:numId="6">
    <w:abstractNumId w:val="25"/>
  </w:num>
  <w:num w:numId="7">
    <w:abstractNumId w:val="12"/>
  </w:num>
  <w:num w:numId="8">
    <w:abstractNumId w:val="13"/>
  </w:num>
  <w:num w:numId="9">
    <w:abstractNumId w:val="3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2"/>
  </w:num>
  <w:num w:numId="26">
    <w:abstractNumId w:val="29"/>
  </w:num>
  <w:num w:numId="27">
    <w:abstractNumId w:val="17"/>
  </w:num>
  <w:num w:numId="28">
    <w:abstractNumId w:val="18"/>
  </w:num>
  <w:num w:numId="29">
    <w:abstractNumId w:val="34"/>
  </w:num>
  <w:num w:numId="30">
    <w:abstractNumId w:val="11"/>
  </w:num>
  <w:num w:numId="31">
    <w:abstractNumId w:val="24"/>
  </w:num>
  <w:num w:numId="32">
    <w:abstractNumId w:val="36"/>
  </w:num>
  <w:num w:numId="33">
    <w:abstractNumId w:val="26"/>
  </w:num>
  <w:num w:numId="34">
    <w:abstractNumId w:val="31"/>
  </w:num>
  <w:num w:numId="35">
    <w:abstractNumId w:val="15"/>
  </w:num>
  <w:num w:numId="36">
    <w:abstractNumId w:val="10"/>
  </w:num>
  <w:num w:numId="37">
    <w:abstractNumId w:val="21"/>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Qm2MAZnHaH2d/3ziklOX2xLPVYSpcM6BuDWoeW0ejG23+lYHYw57NoCULHqsqCFLhiF6Y7Ym4dbb9vFuO/k+bg==" w:salt="sR3SeDwRGVKLOmY5oNzXOA=="/>
  <w:defaultTabStop w:val="709"/>
  <w:autoHyphenation/>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3287"/>
    <w:docVar w:name="Eingangsdatum" w:val="12.07.2018"/>
    <w:docVar w:name="Wochendatum" w:val="9. Juli 2018"/>
    <w:docVar w:name="Wp" w:val="17"/>
  </w:docVars>
  <w:rsids>
    <w:rsidRoot w:val="000E3A3D"/>
    <w:rsid w:val="00002517"/>
    <w:rsid w:val="00006292"/>
    <w:rsid w:val="00010D43"/>
    <w:rsid w:val="00012325"/>
    <w:rsid w:val="000125A5"/>
    <w:rsid w:val="000371B5"/>
    <w:rsid w:val="00043B70"/>
    <w:rsid w:val="000614E0"/>
    <w:rsid w:val="00061EB3"/>
    <w:rsid w:val="000779F7"/>
    <w:rsid w:val="00083D54"/>
    <w:rsid w:val="0009202A"/>
    <w:rsid w:val="000A7F27"/>
    <w:rsid w:val="000B107D"/>
    <w:rsid w:val="000B764D"/>
    <w:rsid w:val="000C480A"/>
    <w:rsid w:val="000C71A5"/>
    <w:rsid w:val="000C72A9"/>
    <w:rsid w:val="000C7D5A"/>
    <w:rsid w:val="000E3A3D"/>
    <w:rsid w:val="000E73CC"/>
    <w:rsid w:val="000F109F"/>
    <w:rsid w:val="00135D97"/>
    <w:rsid w:val="00136D38"/>
    <w:rsid w:val="00154F5F"/>
    <w:rsid w:val="001576CA"/>
    <w:rsid w:val="001579D6"/>
    <w:rsid w:val="00163927"/>
    <w:rsid w:val="001676F2"/>
    <w:rsid w:val="00171CDA"/>
    <w:rsid w:val="00187741"/>
    <w:rsid w:val="00193822"/>
    <w:rsid w:val="001E3461"/>
    <w:rsid w:val="001F240A"/>
    <w:rsid w:val="00215CAA"/>
    <w:rsid w:val="00226E30"/>
    <w:rsid w:val="00231278"/>
    <w:rsid w:val="0023365B"/>
    <w:rsid w:val="002375B2"/>
    <w:rsid w:val="00246DE7"/>
    <w:rsid w:val="002506E9"/>
    <w:rsid w:val="0026171D"/>
    <w:rsid w:val="00267971"/>
    <w:rsid w:val="0027262C"/>
    <w:rsid w:val="00273599"/>
    <w:rsid w:val="00283D88"/>
    <w:rsid w:val="0028470E"/>
    <w:rsid w:val="00284AA1"/>
    <w:rsid w:val="002957DA"/>
    <w:rsid w:val="002B27E5"/>
    <w:rsid w:val="002D53C0"/>
    <w:rsid w:val="002D5E77"/>
    <w:rsid w:val="002E6212"/>
    <w:rsid w:val="00300AFF"/>
    <w:rsid w:val="00311533"/>
    <w:rsid w:val="0031185F"/>
    <w:rsid w:val="003202A2"/>
    <w:rsid w:val="003220C1"/>
    <w:rsid w:val="00323038"/>
    <w:rsid w:val="003317ED"/>
    <w:rsid w:val="003343E3"/>
    <w:rsid w:val="00354E4E"/>
    <w:rsid w:val="003571B7"/>
    <w:rsid w:val="00357BBF"/>
    <w:rsid w:val="0036081C"/>
    <w:rsid w:val="00361C96"/>
    <w:rsid w:val="00367B16"/>
    <w:rsid w:val="00370FB4"/>
    <w:rsid w:val="00384BCC"/>
    <w:rsid w:val="003865DE"/>
    <w:rsid w:val="00390B65"/>
    <w:rsid w:val="003A0B46"/>
    <w:rsid w:val="003A6DDF"/>
    <w:rsid w:val="003B10EA"/>
    <w:rsid w:val="003B21D3"/>
    <w:rsid w:val="003B4646"/>
    <w:rsid w:val="003B7C6A"/>
    <w:rsid w:val="003B7D59"/>
    <w:rsid w:val="003C4151"/>
    <w:rsid w:val="003E107C"/>
    <w:rsid w:val="003E2261"/>
    <w:rsid w:val="003E2DEE"/>
    <w:rsid w:val="003E36C6"/>
    <w:rsid w:val="003E483A"/>
    <w:rsid w:val="003E7E4B"/>
    <w:rsid w:val="003F02C0"/>
    <w:rsid w:val="003F3E3B"/>
    <w:rsid w:val="003F467B"/>
    <w:rsid w:val="004104B6"/>
    <w:rsid w:val="004148C6"/>
    <w:rsid w:val="00423B2A"/>
    <w:rsid w:val="00426FD2"/>
    <w:rsid w:val="00431F16"/>
    <w:rsid w:val="004322E7"/>
    <w:rsid w:val="00441A53"/>
    <w:rsid w:val="00447BAA"/>
    <w:rsid w:val="00451A02"/>
    <w:rsid w:val="0045402F"/>
    <w:rsid w:val="00455852"/>
    <w:rsid w:val="00457E10"/>
    <w:rsid w:val="00465F83"/>
    <w:rsid w:val="00467470"/>
    <w:rsid w:val="004675AD"/>
    <w:rsid w:val="00476B56"/>
    <w:rsid w:val="0049045A"/>
    <w:rsid w:val="004A0B31"/>
    <w:rsid w:val="004B184E"/>
    <w:rsid w:val="004B5A87"/>
    <w:rsid w:val="004B6267"/>
    <w:rsid w:val="004C1BA3"/>
    <w:rsid w:val="004D2633"/>
    <w:rsid w:val="004D4829"/>
    <w:rsid w:val="004E1031"/>
    <w:rsid w:val="004F2494"/>
    <w:rsid w:val="005037A5"/>
    <w:rsid w:val="00503F3C"/>
    <w:rsid w:val="005040C2"/>
    <w:rsid w:val="00511445"/>
    <w:rsid w:val="00516852"/>
    <w:rsid w:val="0053309B"/>
    <w:rsid w:val="00534633"/>
    <w:rsid w:val="00544156"/>
    <w:rsid w:val="005517B2"/>
    <w:rsid w:val="00557322"/>
    <w:rsid w:val="0057046C"/>
    <w:rsid w:val="0057191B"/>
    <w:rsid w:val="00572482"/>
    <w:rsid w:val="00572546"/>
    <w:rsid w:val="005833DD"/>
    <w:rsid w:val="005834A1"/>
    <w:rsid w:val="00590F77"/>
    <w:rsid w:val="00593818"/>
    <w:rsid w:val="005A0EEC"/>
    <w:rsid w:val="005A4ED5"/>
    <w:rsid w:val="005A79EC"/>
    <w:rsid w:val="005B003B"/>
    <w:rsid w:val="005C4537"/>
    <w:rsid w:val="005C5701"/>
    <w:rsid w:val="005D0F29"/>
    <w:rsid w:val="005D3C42"/>
    <w:rsid w:val="005F371F"/>
    <w:rsid w:val="00601929"/>
    <w:rsid w:val="006076A5"/>
    <w:rsid w:val="00610EFD"/>
    <w:rsid w:val="0062036D"/>
    <w:rsid w:val="00620B1D"/>
    <w:rsid w:val="00644621"/>
    <w:rsid w:val="00651968"/>
    <w:rsid w:val="006519DA"/>
    <w:rsid w:val="00653E6D"/>
    <w:rsid w:val="0068122C"/>
    <w:rsid w:val="006B1709"/>
    <w:rsid w:val="006C4DB6"/>
    <w:rsid w:val="006C5C31"/>
    <w:rsid w:val="006D2E83"/>
    <w:rsid w:val="006E0274"/>
    <w:rsid w:val="006E5B9D"/>
    <w:rsid w:val="006F0AB3"/>
    <w:rsid w:val="007017D3"/>
    <w:rsid w:val="007061D4"/>
    <w:rsid w:val="00714C18"/>
    <w:rsid w:val="00716987"/>
    <w:rsid w:val="00717184"/>
    <w:rsid w:val="007276FA"/>
    <w:rsid w:val="00743395"/>
    <w:rsid w:val="00744FD2"/>
    <w:rsid w:val="0075012C"/>
    <w:rsid w:val="00756D72"/>
    <w:rsid w:val="0075769E"/>
    <w:rsid w:val="00761779"/>
    <w:rsid w:val="0076475B"/>
    <w:rsid w:val="007649D6"/>
    <w:rsid w:val="00764C64"/>
    <w:rsid w:val="00766C9B"/>
    <w:rsid w:val="00767F25"/>
    <w:rsid w:val="007710F8"/>
    <w:rsid w:val="0077709E"/>
    <w:rsid w:val="00781FB1"/>
    <w:rsid w:val="007868AE"/>
    <w:rsid w:val="007A2BA7"/>
    <w:rsid w:val="007A70E2"/>
    <w:rsid w:val="007E1009"/>
    <w:rsid w:val="008056DA"/>
    <w:rsid w:val="008062A0"/>
    <w:rsid w:val="008119CE"/>
    <w:rsid w:val="00816C6F"/>
    <w:rsid w:val="00817660"/>
    <w:rsid w:val="00835202"/>
    <w:rsid w:val="00842383"/>
    <w:rsid w:val="0084274F"/>
    <w:rsid w:val="00844005"/>
    <w:rsid w:val="00846D02"/>
    <w:rsid w:val="00852225"/>
    <w:rsid w:val="008540E3"/>
    <w:rsid w:val="008606C1"/>
    <w:rsid w:val="00863A28"/>
    <w:rsid w:val="008670E9"/>
    <w:rsid w:val="00880170"/>
    <w:rsid w:val="008803A9"/>
    <w:rsid w:val="00881163"/>
    <w:rsid w:val="008930C0"/>
    <w:rsid w:val="00897172"/>
    <w:rsid w:val="008A671A"/>
    <w:rsid w:val="008C2431"/>
    <w:rsid w:val="008C6176"/>
    <w:rsid w:val="008D2301"/>
    <w:rsid w:val="008D501B"/>
    <w:rsid w:val="008D6871"/>
    <w:rsid w:val="008E2258"/>
    <w:rsid w:val="008E3C99"/>
    <w:rsid w:val="008E7B3B"/>
    <w:rsid w:val="008F16DC"/>
    <w:rsid w:val="00904A4A"/>
    <w:rsid w:val="0090637D"/>
    <w:rsid w:val="0091136E"/>
    <w:rsid w:val="00911F24"/>
    <w:rsid w:val="009149D4"/>
    <w:rsid w:val="009229F8"/>
    <w:rsid w:val="009234BF"/>
    <w:rsid w:val="0092602C"/>
    <w:rsid w:val="009310B8"/>
    <w:rsid w:val="00932D27"/>
    <w:rsid w:val="0095379B"/>
    <w:rsid w:val="00953F6A"/>
    <w:rsid w:val="00962732"/>
    <w:rsid w:val="00965926"/>
    <w:rsid w:val="00966E35"/>
    <w:rsid w:val="00967C8B"/>
    <w:rsid w:val="00977682"/>
    <w:rsid w:val="009924CE"/>
    <w:rsid w:val="009937CD"/>
    <w:rsid w:val="00995D8F"/>
    <w:rsid w:val="009A2D8C"/>
    <w:rsid w:val="009A5A06"/>
    <w:rsid w:val="009B3DA8"/>
    <w:rsid w:val="009B4584"/>
    <w:rsid w:val="009B7205"/>
    <w:rsid w:val="009C1AC7"/>
    <w:rsid w:val="009C32BE"/>
    <w:rsid w:val="009C71F4"/>
    <w:rsid w:val="009D0949"/>
    <w:rsid w:val="009D540B"/>
    <w:rsid w:val="009D5962"/>
    <w:rsid w:val="009E41B6"/>
    <w:rsid w:val="009E6DDB"/>
    <w:rsid w:val="009E6F97"/>
    <w:rsid w:val="009F6B94"/>
    <w:rsid w:val="00A17038"/>
    <w:rsid w:val="00A21049"/>
    <w:rsid w:val="00A2276D"/>
    <w:rsid w:val="00A25D7C"/>
    <w:rsid w:val="00A265DC"/>
    <w:rsid w:val="00A3195E"/>
    <w:rsid w:val="00A3336A"/>
    <w:rsid w:val="00A42EAA"/>
    <w:rsid w:val="00A44F63"/>
    <w:rsid w:val="00A45535"/>
    <w:rsid w:val="00A47020"/>
    <w:rsid w:val="00A50AD8"/>
    <w:rsid w:val="00A5482B"/>
    <w:rsid w:val="00A603C5"/>
    <w:rsid w:val="00A65B94"/>
    <w:rsid w:val="00A6619E"/>
    <w:rsid w:val="00A76D72"/>
    <w:rsid w:val="00A77974"/>
    <w:rsid w:val="00A80A09"/>
    <w:rsid w:val="00A84172"/>
    <w:rsid w:val="00A854B5"/>
    <w:rsid w:val="00A8708C"/>
    <w:rsid w:val="00A97B27"/>
    <w:rsid w:val="00AA3478"/>
    <w:rsid w:val="00AA7233"/>
    <w:rsid w:val="00AC4FC6"/>
    <w:rsid w:val="00AE1029"/>
    <w:rsid w:val="00B12E48"/>
    <w:rsid w:val="00B246BA"/>
    <w:rsid w:val="00B360DF"/>
    <w:rsid w:val="00B3698E"/>
    <w:rsid w:val="00B45132"/>
    <w:rsid w:val="00B54FC1"/>
    <w:rsid w:val="00B57DE6"/>
    <w:rsid w:val="00B753A4"/>
    <w:rsid w:val="00B82BE0"/>
    <w:rsid w:val="00B902FE"/>
    <w:rsid w:val="00B91015"/>
    <w:rsid w:val="00B9456C"/>
    <w:rsid w:val="00BA7AAC"/>
    <w:rsid w:val="00BB117A"/>
    <w:rsid w:val="00BB3E7A"/>
    <w:rsid w:val="00BB6019"/>
    <w:rsid w:val="00BC1C8F"/>
    <w:rsid w:val="00BC4D4B"/>
    <w:rsid w:val="00BD7DB0"/>
    <w:rsid w:val="00BE0A75"/>
    <w:rsid w:val="00BE6785"/>
    <w:rsid w:val="00BF382E"/>
    <w:rsid w:val="00C076CB"/>
    <w:rsid w:val="00C127DA"/>
    <w:rsid w:val="00C148F8"/>
    <w:rsid w:val="00C20D25"/>
    <w:rsid w:val="00C442E7"/>
    <w:rsid w:val="00C54C38"/>
    <w:rsid w:val="00C64946"/>
    <w:rsid w:val="00C67283"/>
    <w:rsid w:val="00C73586"/>
    <w:rsid w:val="00C74517"/>
    <w:rsid w:val="00C83A7D"/>
    <w:rsid w:val="00C841E1"/>
    <w:rsid w:val="00C84F6F"/>
    <w:rsid w:val="00CA1DC8"/>
    <w:rsid w:val="00CA46E4"/>
    <w:rsid w:val="00CB1499"/>
    <w:rsid w:val="00CC20C5"/>
    <w:rsid w:val="00CC43A0"/>
    <w:rsid w:val="00CC6B36"/>
    <w:rsid w:val="00CC77D8"/>
    <w:rsid w:val="00CC7D0D"/>
    <w:rsid w:val="00CD1898"/>
    <w:rsid w:val="00CE2154"/>
    <w:rsid w:val="00CE5E4F"/>
    <w:rsid w:val="00CF5AA4"/>
    <w:rsid w:val="00CF77F6"/>
    <w:rsid w:val="00D0623A"/>
    <w:rsid w:val="00D07F06"/>
    <w:rsid w:val="00D33D48"/>
    <w:rsid w:val="00D3404D"/>
    <w:rsid w:val="00D40B83"/>
    <w:rsid w:val="00D45EB8"/>
    <w:rsid w:val="00D6532A"/>
    <w:rsid w:val="00D70B2B"/>
    <w:rsid w:val="00D71E7D"/>
    <w:rsid w:val="00D83DC5"/>
    <w:rsid w:val="00D91C30"/>
    <w:rsid w:val="00DA1063"/>
    <w:rsid w:val="00DA341E"/>
    <w:rsid w:val="00DA74F1"/>
    <w:rsid w:val="00DA75B4"/>
    <w:rsid w:val="00DB29C5"/>
    <w:rsid w:val="00DC6F57"/>
    <w:rsid w:val="00DD48D5"/>
    <w:rsid w:val="00DE060F"/>
    <w:rsid w:val="00DE5B17"/>
    <w:rsid w:val="00DF2F9A"/>
    <w:rsid w:val="00E01E25"/>
    <w:rsid w:val="00E175A9"/>
    <w:rsid w:val="00E2196E"/>
    <w:rsid w:val="00E22CDE"/>
    <w:rsid w:val="00E2431C"/>
    <w:rsid w:val="00E268B4"/>
    <w:rsid w:val="00E3270E"/>
    <w:rsid w:val="00E6572C"/>
    <w:rsid w:val="00EB6C16"/>
    <w:rsid w:val="00EC2C1B"/>
    <w:rsid w:val="00ED4839"/>
    <w:rsid w:val="00ED556D"/>
    <w:rsid w:val="00EE2E8F"/>
    <w:rsid w:val="00EE40C6"/>
    <w:rsid w:val="00EF116E"/>
    <w:rsid w:val="00EF398E"/>
    <w:rsid w:val="00EF67A7"/>
    <w:rsid w:val="00EF7985"/>
    <w:rsid w:val="00F0047B"/>
    <w:rsid w:val="00F01C71"/>
    <w:rsid w:val="00F259E7"/>
    <w:rsid w:val="00F268AD"/>
    <w:rsid w:val="00F36AF3"/>
    <w:rsid w:val="00F75BBC"/>
    <w:rsid w:val="00F769C0"/>
    <w:rsid w:val="00F76B51"/>
    <w:rsid w:val="00FA64C1"/>
    <w:rsid w:val="00FB269D"/>
    <w:rsid w:val="00FB64A8"/>
    <w:rsid w:val="00FE0BE9"/>
    <w:rsid w:val="00FF58EA"/>
    <w:rsid w:val="00FF7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7EB139F-49FF-4F15-A773-BA6EA8EF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Link">
    <w:name w:val="FollowedHyperlink"/>
    <w:basedOn w:val="Absatz-Standardschriftart"/>
    <w:semiHidden/>
    <w:unhideWhenUsed/>
    <w:rsid w:val="005C4537"/>
    <w:rPr>
      <w:color w:val="800080" w:themeColor="followedHyperlink"/>
      <w:u w:val="single"/>
    </w:rPr>
  </w:style>
  <w:style w:type="table" w:customStyle="1" w:styleId="TableNormal">
    <w:name w:val="Table Normal"/>
    <w:uiPriority w:val="2"/>
    <w:semiHidden/>
    <w:unhideWhenUsed/>
    <w:qFormat/>
    <w:rsid w:val="003B7C6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B7C6A"/>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3B7C6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t">
    <w:name w:val="st"/>
    <w:basedOn w:val="Absatz-Standardschriftart"/>
    <w:rsid w:val="00852225"/>
  </w:style>
  <w:style w:type="paragraph" w:styleId="Textkrper">
    <w:name w:val="Body Text"/>
    <w:basedOn w:val="Standard"/>
    <w:link w:val="TextkrperZchn"/>
    <w:uiPriority w:val="1"/>
    <w:qFormat/>
    <w:rsid w:val="00A6619E"/>
    <w:pPr>
      <w:widowControl w:val="0"/>
      <w:ind w:left="116"/>
    </w:pPr>
    <w:rPr>
      <w:rFonts w:eastAsia="Arial" w:cstheme="minorBidi"/>
      <w:sz w:val="24"/>
      <w:lang w:val="en-US" w:eastAsia="en-US"/>
    </w:rPr>
  </w:style>
  <w:style w:type="character" w:customStyle="1" w:styleId="TextkrperZchn">
    <w:name w:val="Textkörper Zchn"/>
    <w:basedOn w:val="Absatz-Standardschriftart"/>
    <w:link w:val="Textkrper"/>
    <w:uiPriority w:val="1"/>
    <w:rsid w:val="00A6619E"/>
    <w:rPr>
      <w:rFonts w:ascii="Arial" w:eastAsia="Arial" w:hAnsi="Arial"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9031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arcadimagazin.de"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bayern.landtag.de/www/ElanTextAblage_WP17/Drucksachen/Basisdrucksachen/0000015000/0000015448_Guell_Anlage.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arcadimagazin.de"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bayern.landtag.de/www/ElanTextAblage_WP17/Drucksachen/Basisdrucksachen/0000015000/0000015448_Hiersemann_Anlage.pdf" TargetMode="External"/><Relationship Id="rId20" Type="http://schemas.openxmlformats.org/officeDocument/2006/relationships/hyperlink" Target="http://www.gesetze-bayern.de/Search/Hitli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estatis.de/DE/ZahlenFakten/Wirtschaftsbereiche/LandForstwirtschaftFischerei/LandwirtschaftlicheBetriebe/Tabellen/BetriebsgroessenstrukturLandwirtschaftlicheBetriebe.html" TargetMode="External"/><Relationship Id="rId5" Type="http://schemas.openxmlformats.org/officeDocument/2006/relationships/webSettings" Target="webSettings.xml"/><Relationship Id="rId15" Type="http://schemas.openxmlformats.org/officeDocument/2006/relationships/hyperlink" Target="http://www.verwaltungsvorschriften-im-internet.de/pdf/BMI-MI3-20091026-SF-A001.pdf" TargetMode="External"/><Relationship Id="rId23" Type="http://schemas.openxmlformats.org/officeDocument/2006/relationships/hyperlink" Target="http://www.stmelf.bayern.de/agrarpolitik/foerderung/003555/index.php" TargetMode="External"/><Relationship Id="rId28"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www.blauenarzisse.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www.stmwi.bayern.de/service/foerderprogramme/mobilfunkfoerderung/"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35B2-26C9-40DA-8239-C215D42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22949</Words>
  <Characters>159025</Characters>
  <Application>Microsoft Office Word</Application>
  <DocSecurity>8</DocSecurity>
  <Lines>3419</Lines>
  <Paragraphs>1265</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17/23287</dc:title>
  <dc:creator>Ströhlein, Gabriele (LTA)</dc:creator>
  <cp:lastModifiedBy>Ströhlein, Gabriele (LTA)</cp:lastModifiedBy>
  <cp:revision>4</cp:revision>
  <cp:lastPrinted>2018-07-17T09:36:00Z</cp:lastPrinted>
  <dcterms:created xsi:type="dcterms:W3CDTF">2018-08-08T10:55:00Z</dcterms:created>
  <dcterms:modified xsi:type="dcterms:W3CDTF">2018-08-08T10:56:00Z</dcterms:modified>
</cp:coreProperties>
</file>