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C244B3">
      <w:pPr>
        <w:spacing w:before="960"/>
        <w:ind w:left="357"/>
        <w:rPr>
          <w:b/>
          <w:bCs/>
          <w:sz w:val="32"/>
          <w:szCs w:val="32"/>
        </w:rPr>
      </w:pPr>
      <w:bookmarkStart w:id="0" w:name="_GoBack"/>
      <w:bookmarkEnd w:id="0"/>
      <w:r w:rsidRPr="001E3461">
        <w:rPr>
          <w:b/>
          <w:bCs/>
          <w:sz w:val="32"/>
          <w:szCs w:val="32"/>
        </w:rPr>
        <w:t>Anfragen zum Plenum</w:t>
      </w:r>
    </w:p>
    <w:p w:rsidR="00717184" w:rsidRPr="00717184" w:rsidRDefault="00C21D50" w:rsidP="00717184">
      <w:pPr>
        <w:spacing w:before="360"/>
        <w:ind w:left="360"/>
        <w:rPr>
          <w:b/>
        </w:rPr>
      </w:pPr>
      <w:r>
        <w:rPr>
          <w:b/>
        </w:rPr>
        <w:t>(Plenarsitzung am</w:t>
      </w:r>
      <w:r w:rsidR="00BA1E9B">
        <w:rPr>
          <w:b/>
        </w:rPr>
        <w:t xml:space="preserve"> 18. April 2018</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244B3">
      <w:pPr>
        <w:spacing w:before="60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CA4048" w:rsidRPr="005833DD">
        <w:tc>
          <w:tcPr>
            <w:tcW w:w="2500" w:type="pct"/>
            <w:tcBorders>
              <w:right w:val="single" w:sz="4" w:space="0" w:color="auto"/>
            </w:tcBorders>
          </w:tcPr>
          <w:p w:rsidR="00CA4048" w:rsidRDefault="00CA4048" w:rsidP="00CA4048">
            <w:pPr>
              <w:pStyle w:val="LTVerzeichnisDerFragendenLinks"/>
            </w:pPr>
            <w:r>
              <w:t>Adelt, Klaus (SPD)</w:t>
            </w:r>
            <w:r>
              <w:tab/>
              <w:t>28</w:t>
            </w:r>
          </w:p>
        </w:tc>
        <w:tc>
          <w:tcPr>
            <w:tcW w:w="2500" w:type="pct"/>
            <w:tcBorders>
              <w:left w:val="single" w:sz="4" w:space="0" w:color="auto"/>
            </w:tcBorders>
          </w:tcPr>
          <w:p w:rsidR="00CA4048" w:rsidRPr="005833DD" w:rsidRDefault="00CA4048" w:rsidP="00CA4048">
            <w:pPr>
              <w:pStyle w:val="LTVerzeichnisDerFragendenRechts"/>
            </w:pPr>
            <w:r>
              <w:t>Müller, Ruth (SPD)</w:t>
            </w:r>
            <w:r>
              <w:tab/>
              <w:t>14</w:t>
            </w:r>
          </w:p>
        </w:tc>
      </w:tr>
      <w:tr w:rsidR="00CA4048" w:rsidRPr="00AC7756">
        <w:tc>
          <w:tcPr>
            <w:tcW w:w="2500" w:type="pct"/>
            <w:tcBorders>
              <w:right w:val="single" w:sz="4" w:space="0" w:color="auto"/>
            </w:tcBorders>
          </w:tcPr>
          <w:p w:rsidR="00CA4048" w:rsidRDefault="00CA4048" w:rsidP="00CA4048">
            <w:pPr>
              <w:pStyle w:val="LTVerzeichnisDerFragendenLinks"/>
            </w:pPr>
            <w:r>
              <w:t>Aiwanger, Hubert (FREIE WÄHLER)</w:t>
            </w:r>
            <w:r>
              <w:tab/>
              <w:t>32</w:t>
            </w:r>
          </w:p>
        </w:tc>
        <w:tc>
          <w:tcPr>
            <w:tcW w:w="2500" w:type="pct"/>
            <w:tcBorders>
              <w:left w:val="single" w:sz="4" w:space="0" w:color="auto"/>
            </w:tcBorders>
          </w:tcPr>
          <w:p w:rsidR="00CA4048" w:rsidRPr="00AC7756" w:rsidRDefault="00CA4048" w:rsidP="00AC7756">
            <w:pPr>
              <w:pStyle w:val="LTVerzeichnisDerFragendenLinks"/>
              <w:rPr>
                <w:spacing w:val="-6"/>
              </w:rPr>
            </w:pPr>
            <w:r w:rsidRPr="00AC7756">
              <w:rPr>
                <w:spacing w:val="-6"/>
              </w:rPr>
              <w:t>Mütze, Thomas (BÜNDNIS 90/DIE GRÜNEN)</w:t>
            </w:r>
            <w:r w:rsidRPr="00AC7756">
              <w:rPr>
                <w:spacing w:val="-6"/>
              </w:rPr>
              <w:tab/>
              <w:t>29</w:t>
            </w:r>
          </w:p>
        </w:tc>
      </w:tr>
      <w:tr w:rsidR="00CA4048" w:rsidRPr="005833DD">
        <w:tc>
          <w:tcPr>
            <w:tcW w:w="2500" w:type="pct"/>
            <w:tcBorders>
              <w:right w:val="single" w:sz="4" w:space="0" w:color="auto"/>
            </w:tcBorders>
          </w:tcPr>
          <w:p w:rsidR="00CA4048" w:rsidRDefault="00CA4048" w:rsidP="00CA4048">
            <w:pPr>
              <w:pStyle w:val="LTVerzeichnisDerFragendenLinks"/>
            </w:pPr>
            <w:r>
              <w:t>Aures, Inge (SPD)</w:t>
            </w:r>
            <w:r>
              <w:tab/>
              <w:t>12</w:t>
            </w:r>
          </w:p>
        </w:tc>
        <w:tc>
          <w:tcPr>
            <w:tcW w:w="2500" w:type="pct"/>
            <w:tcBorders>
              <w:left w:val="single" w:sz="4" w:space="0" w:color="auto"/>
            </w:tcBorders>
          </w:tcPr>
          <w:p w:rsidR="00CA4048" w:rsidRPr="005833DD" w:rsidRDefault="00CA4048" w:rsidP="00AC7756">
            <w:pPr>
              <w:pStyle w:val="LTVerzeichnisDerFragendenRechts"/>
            </w:pPr>
            <w:r>
              <w:t>Muthmann, Alexander (</w:t>
            </w:r>
            <w:r w:rsidR="00AC7756">
              <w:t>f</w:t>
            </w:r>
            <w:r>
              <w:t>raktionslos)</w:t>
            </w:r>
            <w:r>
              <w:tab/>
              <w:t>7</w:t>
            </w:r>
          </w:p>
        </w:tc>
      </w:tr>
      <w:tr w:rsidR="00CA4048" w:rsidRPr="005833DD">
        <w:tc>
          <w:tcPr>
            <w:tcW w:w="2500" w:type="pct"/>
            <w:tcBorders>
              <w:right w:val="single" w:sz="4" w:space="0" w:color="auto"/>
            </w:tcBorders>
          </w:tcPr>
          <w:p w:rsidR="00CA4048" w:rsidRPr="00AC7756" w:rsidRDefault="00CA4048" w:rsidP="00CA4048">
            <w:pPr>
              <w:pStyle w:val="LTVerzeichnisDerFragendenLinks"/>
              <w:rPr>
                <w:spacing w:val="-14"/>
              </w:rPr>
            </w:pPr>
            <w:r w:rsidRPr="00AC7756">
              <w:rPr>
                <w:spacing w:val="-14"/>
              </w:rPr>
              <w:t>Prof. (Univ. Lima) Dr. Bauer, Peter (FREIE WÄHLER)</w:t>
            </w:r>
            <w:r w:rsidRPr="00AC7756">
              <w:rPr>
                <w:spacing w:val="-14"/>
              </w:rPr>
              <w:tab/>
              <w:t>42</w:t>
            </w:r>
          </w:p>
        </w:tc>
        <w:tc>
          <w:tcPr>
            <w:tcW w:w="2500" w:type="pct"/>
            <w:tcBorders>
              <w:left w:val="single" w:sz="4" w:space="0" w:color="auto"/>
            </w:tcBorders>
          </w:tcPr>
          <w:p w:rsidR="00CA4048" w:rsidRPr="005833DD" w:rsidRDefault="00CA4048" w:rsidP="00CA4048">
            <w:pPr>
              <w:pStyle w:val="LTVerzeichnisDerFragendenRechts"/>
            </w:pPr>
            <w:r>
              <w:t>Petersen, Kathi (SPD)</w:t>
            </w:r>
            <w:r>
              <w:tab/>
              <w:t>30</w:t>
            </w:r>
          </w:p>
        </w:tc>
      </w:tr>
      <w:tr w:rsidR="00CA4048" w:rsidRPr="005833DD">
        <w:tc>
          <w:tcPr>
            <w:tcW w:w="2500" w:type="pct"/>
            <w:tcBorders>
              <w:right w:val="single" w:sz="4" w:space="0" w:color="auto"/>
            </w:tcBorders>
          </w:tcPr>
          <w:p w:rsidR="00CA4048" w:rsidRDefault="00CA4048" w:rsidP="00CA4048">
            <w:pPr>
              <w:pStyle w:val="LTVerzeichnisDerFragendenLinks"/>
            </w:pPr>
            <w:r>
              <w:t>Biedefeld, Susann (SPD)</w:t>
            </w:r>
            <w:r>
              <w:tab/>
              <w:t>3</w:t>
            </w:r>
          </w:p>
        </w:tc>
        <w:tc>
          <w:tcPr>
            <w:tcW w:w="2500" w:type="pct"/>
            <w:tcBorders>
              <w:left w:val="single" w:sz="4" w:space="0" w:color="auto"/>
            </w:tcBorders>
          </w:tcPr>
          <w:p w:rsidR="00CA4048" w:rsidRPr="005833DD" w:rsidRDefault="00CA4048" w:rsidP="00CA4048">
            <w:pPr>
              <w:pStyle w:val="LTVerzeichnisDerFragendenRechts"/>
            </w:pPr>
            <w:r>
              <w:t>Pfaffmann, Hans-Ulrich (SPD)</w:t>
            </w:r>
            <w:r>
              <w:tab/>
              <w:t>40</w:t>
            </w:r>
          </w:p>
        </w:tc>
      </w:tr>
      <w:tr w:rsidR="00CA4048" w:rsidRPr="005833DD">
        <w:tc>
          <w:tcPr>
            <w:tcW w:w="2500" w:type="pct"/>
            <w:tcBorders>
              <w:right w:val="single" w:sz="4" w:space="0" w:color="auto"/>
            </w:tcBorders>
          </w:tcPr>
          <w:p w:rsidR="00CA4048" w:rsidRDefault="00AC7756" w:rsidP="00CA4048">
            <w:pPr>
              <w:pStyle w:val="LTVerzeichnisDerFragendenLinks"/>
            </w:pPr>
            <w:r>
              <w:t>von B</w:t>
            </w:r>
            <w:r w:rsidR="00CA4048">
              <w:t>runn, Florian (SPD)</w:t>
            </w:r>
            <w:r w:rsidR="00CA4048">
              <w:tab/>
              <w:t>33</w:t>
            </w:r>
          </w:p>
        </w:tc>
        <w:tc>
          <w:tcPr>
            <w:tcW w:w="2500" w:type="pct"/>
            <w:tcBorders>
              <w:left w:val="single" w:sz="4" w:space="0" w:color="auto"/>
            </w:tcBorders>
          </w:tcPr>
          <w:p w:rsidR="00CA4048" w:rsidRPr="005833DD" w:rsidRDefault="00CA4048" w:rsidP="00CA4048">
            <w:pPr>
              <w:pStyle w:val="LTVerzeichnisDerFragendenRechts"/>
            </w:pPr>
            <w:r>
              <w:t>Rinderspacher, Markus (SPD)</w:t>
            </w:r>
            <w:r>
              <w:tab/>
              <w:t>8</w:t>
            </w:r>
          </w:p>
        </w:tc>
      </w:tr>
      <w:tr w:rsidR="00CA4048" w:rsidRPr="005833DD">
        <w:tc>
          <w:tcPr>
            <w:tcW w:w="2500" w:type="pct"/>
            <w:tcBorders>
              <w:right w:val="single" w:sz="4" w:space="0" w:color="auto"/>
            </w:tcBorders>
          </w:tcPr>
          <w:p w:rsidR="00CA4048" w:rsidRDefault="00CA4048" w:rsidP="00CA4048">
            <w:pPr>
              <w:pStyle w:val="LTVerzeichnisDerFragendenLinks"/>
            </w:pPr>
            <w:r>
              <w:t>Celina, Kerstin (BÜNDNIS 90/DIE GRÜNEN)</w:t>
            </w:r>
            <w:r>
              <w:tab/>
              <w:t>23</w:t>
            </w:r>
          </w:p>
        </w:tc>
        <w:tc>
          <w:tcPr>
            <w:tcW w:w="2500" w:type="pct"/>
            <w:tcBorders>
              <w:left w:val="single" w:sz="4" w:space="0" w:color="auto"/>
            </w:tcBorders>
          </w:tcPr>
          <w:p w:rsidR="00CA4048" w:rsidRPr="005833DD" w:rsidRDefault="00CA4048" w:rsidP="00CA4048">
            <w:pPr>
              <w:pStyle w:val="LTVerzeichnisDerFragendenRechts"/>
            </w:pPr>
            <w:r>
              <w:t>Roos, Bernhard (SPD)</w:t>
            </w:r>
            <w:r>
              <w:tab/>
              <w:t>15</w:t>
            </w:r>
          </w:p>
        </w:tc>
      </w:tr>
      <w:tr w:rsidR="00CA4048" w:rsidRPr="005833DD">
        <w:tc>
          <w:tcPr>
            <w:tcW w:w="2500" w:type="pct"/>
            <w:tcBorders>
              <w:right w:val="single" w:sz="4" w:space="0" w:color="auto"/>
            </w:tcBorders>
          </w:tcPr>
          <w:p w:rsidR="00CA4048" w:rsidRDefault="00CA4048" w:rsidP="00CA4048">
            <w:pPr>
              <w:pStyle w:val="LTVerzeichnisDerFragendenLinks"/>
            </w:pPr>
            <w:r>
              <w:t>Deckwerth, Ilona (SPD)</w:t>
            </w:r>
            <w:r>
              <w:tab/>
              <w:t>38</w:t>
            </w:r>
          </w:p>
        </w:tc>
        <w:tc>
          <w:tcPr>
            <w:tcW w:w="2500" w:type="pct"/>
            <w:tcBorders>
              <w:left w:val="single" w:sz="4" w:space="0" w:color="auto"/>
            </w:tcBorders>
          </w:tcPr>
          <w:p w:rsidR="00CA4048" w:rsidRPr="005833DD" w:rsidRDefault="00CA4048" w:rsidP="00CA4048">
            <w:pPr>
              <w:pStyle w:val="LTVerzeichnisDerFragendenRechts"/>
            </w:pPr>
            <w:r>
              <w:t>Scheuenstuhl, Harry (SPD)</w:t>
            </w:r>
            <w:r>
              <w:tab/>
              <w:t>9</w:t>
            </w:r>
          </w:p>
        </w:tc>
      </w:tr>
      <w:tr w:rsidR="00CA4048" w:rsidRPr="005833DD">
        <w:tc>
          <w:tcPr>
            <w:tcW w:w="2500" w:type="pct"/>
            <w:tcBorders>
              <w:right w:val="single" w:sz="4" w:space="0" w:color="auto"/>
            </w:tcBorders>
          </w:tcPr>
          <w:p w:rsidR="00CA4048" w:rsidRDefault="00CA4048" w:rsidP="00CA4048">
            <w:pPr>
              <w:pStyle w:val="LTVerzeichnisDerFragendenLinks"/>
            </w:pPr>
            <w:r>
              <w:t>Dr. Fahn, Hans Jürgen (FREIE WÄHLER)</w:t>
            </w:r>
            <w:r>
              <w:tab/>
              <w:t>18</w:t>
            </w:r>
          </w:p>
        </w:tc>
        <w:tc>
          <w:tcPr>
            <w:tcW w:w="2500" w:type="pct"/>
            <w:tcBorders>
              <w:left w:val="single" w:sz="4" w:space="0" w:color="auto"/>
            </w:tcBorders>
          </w:tcPr>
          <w:p w:rsidR="00CA4048" w:rsidRPr="005833DD" w:rsidRDefault="00CA4048" w:rsidP="00CA4048">
            <w:pPr>
              <w:pStyle w:val="LTVerzeichnisDerFragendenRechts"/>
            </w:pPr>
            <w:r>
              <w:t>Schmitt-Bussinger, Helga (SPD)</w:t>
            </w:r>
            <w:r>
              <w:tab/>
              <w:t>25</w:t>
            </w:r>
          </w:p>
        </w:tc>
      </w:tr>
      <w:tr w:rsidR="00CA4048" w:rsidRPr="00AC7756">
        <w:tc>
          <w:tcPr>
            <w:tcW w:w="2500" w:type="pct"/>
            <w:tcBorders>
              <w:right w:val="single" w:sz="4" w:space="0" w:color="auto"/>
            </w:tcBorders>
          </w:tcPr>
          <w:p w:rsidR="00CA4048" w:rsidRDefault="00AC7756" w:rsidP="00CA4048">
            <w:pPr>
              <w:pStyle w:val="LTVerzeichnisDerFragendenLinks"/>
            </w:pPr>
            <w:r>
              <w:t>Felbinger, Günther (f</w:t>
            </w:r>
            <w:r w:rsidR="00CA4048">
              <w:t>raktionslos)</w:t>
            </w:r>
            <w:r w:rsidR="00CA4048">
              <w:tab/>
              <w:t>34</w:t>
            </w:r>
          </w:p>
        </w:tc>
        <w:tc>
          <w:tcPr>
            <w:tcW w:w="2500" w:type="pct"/>
            <w:tcBorders>
              <w:left w:val="single" w:sz="4" w:space="0" w:color="auto"/>
            </w:tcBorders>
          </w:tcPr>
          <w:p w:rsidR="00CA4048" w:rsidRPr="00AC7756" w:rsidRDefault="00CA4048" w:rsidP="00AC7756">
            <w:pPr>
              <w:pStyle w:val="LTVerzeichnisDerFragendenLinks"/>
              <w:rPr>
                <w:spacing w:val="-6"/>
              </w:rPr>
            </w:pPr>
            <w:r w:rsidRPr="00AC7756">
              <w:rPr>
                <w:spacing w:val="-6"/>
              </w:rPr>
              <w:t>Schulze, Katharina (BÜNDNIS 90/DIE GRÜNEN)</w:t>
            </w:r>
            <w:r w:rsidRPr="00AC7756">
              <w:rPr>
                <w:spacing w:val="-6"/>
              </w:rPr>
              <w:tab/>
              <w:t>10</w:t>
            </w:r>
          </w:p>
        </w:tc>
      </w:tr>
      <w:tr w:rsidR="00CA4048" w:rsidRPr="005833DD">
        <w:tc>
          <w:tcPr>
            <w:tcW w:w="2500" w:type="pct"/>
            <w:tcBorders>
              <w:right w:val="single" w:sz="4" w:space="0" w:color="auto"/>
            </w:tcBorders>
          </w:tcPr>
          <w:p w:rsidR="00CA4048" w:rsidRPr="00AC7756" w:rsidRDefault="00CA4048" w:rsidP="00CA4048">
            <w:pPr>
              <w:pStyle w:val="LTVerzeichnisDerFragendenLinks"/>
              <w:rPr>
                <w:spacing w:val="-6"/>
              </w:rPr>
            </w:pPr>
            <w:r w:rsidRPr="00AC7756">
              <w:rPr>
                <w:spacing w:val="-6"/>
              </w:rPr>
              <w:t>Ganserer, Markus (BÜNDNIS 90/DIE GRÜNEN)</w:t>
            </w:r>
            <w:r w:rsidRPr="00AC7756">
              <w:rPr>
                <w:spacing w:val="-6"/>
              </w:rPr>
              <w:tab/>
              <w:t>13</w:t>
            </w:r>
          </w:p>
        </w:tc>
        <w:tc>
          <w:tcPr>
            <w:tcW w:w="2500" w:type="pct"/>
            <w:tcBorders>
              <w:left w:val="single" w:sz="4" w:space="0" w:color="auto"/>
            </w:tcBorders>
          </w:tcPr>
          <w:p w:rsidR="00CA4048" w:rsidRPr="005833DD" w:rsidRDefault="00CA4048" w:rsidP="00CA4048">
            <w:pPr>
              <w:pStyle w:val="LTVerzeichnisDerFragendenRechts"/>
            </w:pPr>
            <w:r>
              <w:t>Sengl, Gisela (BÜNDNIS 90/DIE GRÜNEN)</w:t>
            </w:r>
            <w:r>
              <w:tab/>
              <w:t>37</w:t>
            </w:r>
          </w:p>
        </w:tc>
      </w:tr>
      <w:tr w:rsidR="00CA4048" w:rsidRPr="005833DD">
        <w:tc>
          <w:tcPr>
            <w:tcW w:w="2500" w:type="pct"/>
            <w:tcBorders>
              <w:right w:val="single" w:sz="4" w:space="0" w:color="auto"/>
            </w:tcBorders>
          </w:tcPr>
          <w:p w:rsidR="00CA4048" w:rsidRDefault="00CA4048" w:rsidP="00CA4048">
            <w:pPr>
              <w:pStyle w:val="LTVerzeichnisDerFragendenLinks"/>
            </w:pPr>
            <w:r>
              <w:t>Prof. Dr. Gantzer, Peter Paul (SPD)</w:t>
            </w:r>
            <w:r>
              <w:tab/>
              <w:t>4</w:t>
            </w:r>
          </w:p>
        </w:tc>
        <w:tc>
          <w:tcPr>
            <w:tcW w:w="2500" w:type="pct"/>
            <w:tcBorders>
              <w:left w:val="single" w:sz="4" w:space="0" w:color="auto"/>
            </w:tcBorders>
          </w:tcPr>
          <w:p w:rsidR="00CA4048" w:rsidRPr="005833DD" w:rsidRDefault="00CA4048" w:rsidP="00CA4048">
            <w:pPr>
              <w:pStyle w:val="LTVerzeichnisDerFragendenRechts"/>
            </w:pPr>
            <w:r>
              <w:t>Sonnenholzner, Kathrin (SPD)</w:t>
            </w:r>
            <w:r>
              <w:tab/>
              <w:t>43</w:t>
            </w:r>
          </w:p>
        </w:tc>
      </w:tr>
      <w:tr w:rsidR="00CA4048" w:rsidRPr="005833DD">
        <w:tc>
          <w:tcPr>
            <w:tcW w:w="2500" w:type="pct"/>
            <w:tcBorders>
              <w:right w:val="single" w:sz="4" w:space="0" w:color="auto"/>
            </w:tcBorders>
          </w:tcPr>
          <w:p w:rsidR="00CA4048" w:rsidRPr="00AC7756" w:rsidRDefault="00CA4048" w:rsidP="00CA4048">
            <w:pPr>
              <w:pStyle w:val="LTVerzeichnisDerFragendenLinks"/>
              <w:rPr>
                <w:spacing w:val="-6"/>
              </w:rPr>
            </w:pPr>
            <w:r w:rsidRPr="00AC7756">
              <w:rPr>
                <w:spacing w:val="-6"/>
              </w:rPr>
              <w:t>Gehring, Thomas (BÜNDNIS 90/DIE GRÜNEN)</w:t>
            </w:r>
            <w:r w:rsidRPr="00AC7756">
              <w:rPr>
                <w:spacing w:val="-6"/>
              </w:rPr>
              <w:tab/>
              <w:t>19</w:t>
            </w:r>
          </w:p>
        </w:tc>
        <w:tc>
          <w:tcPr>
            <w:tcW w:w="2500" w:type="pct"/>
            <w:tcBorders>
              <w:left w:val="single" w:sz="4" w:space="0" w:color="auto"/>
            </w:tcBorders>
          </w:tcPr>
          <w:p w:rsidR="00CA4048" w:rsidRPr="005833DD" w:rsidRDefault="00AC7756" w:rsidP="00CA4048">
            <w:pPr>
              <w:pStyle w:val="LTVerzeichnisDerFragendenRechts"/>
            </w:pPr>
            <w:r>
              <w:t>Stamm, Claudia (f</w:t>
            </w:r>
            <w:r w:rsidR="00CA4048">
              <w:t>raktionslos)</w:t>
            </w:r>
            <w:r w:rsidR="00CA4048">
              <w:tab/>
              <w:t>22</w:t>
            </w:r>
          </w:p>
        </w:tc>
      </w:tr>
      <w:tr w:rsidR="00CA4048" w:rsidRPr="005833DD">
        <w:tc>
          <w:tcPr>
            <w:tcW w:w="2500" w:type="pct"/>
            <w:tcBorders>
              <w:right w:val="single" w:sz="4" w:space="0" w:color="auto"/>
            </w:tcBorders>
          </w:tcPr>
          <w:p w:rsidR="00CA4048" w:rsidRDefault="00CA4048" w:rsidP="00CA4048">
            <w:pPr>
              <w:pStyle w:val="LTVerzeichnisDerFragendenLinks"/>
            </w:pPr>
            <w:r>
              <w:t>Gote, Ulrike (BÜNDNIS 90/DIE GRÜNEN)</w:t>
            </w:r>
            <w:r>
              <w:tab/>
              <w:t>39</w:t>
            </w:r>
          </w:p>
        </w:tc>
        <w:tc>
          <w:tcPr>
            <w:tcW w:w="2500" w:type="pct"/>
            <w:tcBorders>
              <w:left w:val="single" w:sz="4" w:space="0" w:color="auto"/>
            </w:tcBorders>
          </w:tcPr>
          <w:p w:rsidR="00CA4048" w:rsidRPr="00AC7756" w:rsidRDefault="00CA4048" w:rsidP="00AC7756">
            <w:pPr>
              <w:pStyle w:val="LTVerzeichnisDerFragendenLinks"/>
              <w:rPr>
                <w:spacing w:val="-6"/>
              </w:rPr>
            </w:pPr>
            <w:r w:rsidRPr="00AC7756">
              <w:rPr>
                <w:spacing w:val="-6"/>
              </w:rPr>
              <w:t>Steinberger, Rosi (BÜNDNIS 90/DIE GRÜNEN)</w:t>
            </w:r>
            <w:r w:rsidRPr="00AC7756">
              <w:rPr>
                <w:spacing w:val="-6"/>
              </w:rPr>
              <w:tab/>
              <w:t>16</w:t>
            </w:r>
          </w:p>
        </w:tc>
      </w:tr>
      <w:tr w:rsidR="00CA4048" w:rsidRPr="005833DD">
        <w:tc>
          <w:tcPr>
            <w:tcW w:w="2500" w:type="pct"/>
            <w:tcBorders>
              <w:right w:val="single" w:sz="4" w:space="0" w:color="auto"/>
            </w:tcBorders>
          </w:tcPr>
          <w:p w:rsidR="00CA4048" w:rsidRDefault="00CA4048" w:rsidP="00CA4048">
            <w:pPr>
              <w:pStyle w:val="LTVerzeichnisDerFragendenLinks"/>
            </w:pPr>
            <w:r>
              <w:t>Gottstein, Eva (FREIE WÄHLER)</w:t>
            </w:r>
            <w:r>
              <w:tab/>
              <w:t>5</w:t>
            </w:r>
          </w:p>
        </w:tc>
        <w:tc>
          <w:tcPr>
            <w:tcW w:w="2500" w:type="pct"/>
            <w:tcBorders>
              <w:left w:val="single" w:sz="4" w:space="0" w:color="auto"/>
            </w:tcBorders>
          </w:tcPr>
          <w:p w:rsidR="00CA4048" w:rsidRPr="005833DD" w:rsidRDefault="00CA4048" w:rsidP="00CA4048">
            <w:pPr>
              <w:pStyle w:val="LTVerzeichnisDerFragendenRechts"/>
            </w:pPr>
            <w:r>
              <w:t>Streibl, Florian (FREIE WÄHLER)</w:t>
            </w:r>
            <w:r>
              <w:tab/>
              <w:t>26</w:t>
            </w:r>
          </w:p>
        </w:tc>
      </w:tr>
      <w:tr w:rsidR="00CA4048" w:rsidRPr="005833DD">
        <w:tc>
          <w:tcPr>
            <w:tcW w:w="2500" w:type="pct"/>
            <w:tcBorders>
              <w:right w:val="single" w:sz="4" w:space="0" w:color="auto"/>
            </w:tcBorders>
          </w:tcPr>
          <w:p w:rsidR="00CA4048" w:rsidRPr="00AC7756" w:rsidRDefault="00CA4048" w:rsidP="00CA4048">
            <w:pPr>
              <w:pStyle w:val="LTVerzeichnisDerFragendenLinks"/>
              <w:rPr>
                <w:spacing w:val="-6"/>
              </w:rPr>
            </w:pPr>
            <w:r w:rsidRPr="00AC7756">
              <w:rPr>
                <w:spacing w:val="-6"/>
              </w:rPr>
              <w:t>Hartmann, Ludwig (BÜNDNIS 90/DIE GRÜNEN)</w:t>
            </w:r>
            <w:r w:rsidRPr="00AC7756">
              <w:rPr>
                <w:spacing w:val="-6"/>
              </w:rPr>
              <w:tab/>
              <w:t>1</w:t>
            </w:r>
          </w:p>
        </w:tc>
        <w:tc>
          <w:tcPr>
            <w:tcW w:w="2500" w:type="pct"/>
            <w:tcBorders>
              <w:left w:val="single" w:sz="4" w:space="0" w:color="auto"/>
            </w:tcBorders>
          </w:tcPr>
          <w:p w:rsidR="00CA4048" w:rsidRPr="005833DD" w:rsidRDefault="00CA4048" w:rsidP="00CA4048">
            <w:pPr>
              <w:pStyle w:val="LTVerzeichnisDerFragendenRechts"/>
            </w:pPr>
            <w:r>
              <w:t>Dr. Strohmayr, Simone (SPD)</w:t>
            </w:r>
            <w:r>
              <w:tab/>
              <w:t>11</w:t>
            </w:r>
          </w:p>
        </w:tc>
      </w:tr>
      <w:tr w:rsidR="00CA4048" w:rsidRPr="005833DD">
        <w:tc>
          <w:tcPr>
            <w:tcW w:w="2500" w:type="pct"/>
            <w:tcBorders>
              <w:right w:val="single" w:sz="4" w:space="0" w:color="auto"/>
            </w:tcBorders>
          </w:tcPr>
          <w:p w:rsidR="00CA4048" w:rsidRDefault="00CA4048" w:rsidP="00CA4048">
            <w:pPr>
              <w:pStyle w:val="LTVerzeichnisDerFragendenLinks"/>
            </w:pPr>
            <w:r>
              <w:t>Dr. Herz, Leopold (FREIE WÄHLER)</w:t>
            </w:r>
            <w:r>
              <w:tab/>
              <w:t>35</w:t>
            </w:r>
          </w:p>
        </w:tc>
        <w:tc>
          <w:tcPr>
            <w:tcW w:w="2500" w:type="pct"/>
            <w:tcBorders>
              <w:left w:val="single" w:sz="4" w:space="0" w:color="auto"/>
            </w:tcBorders>
          </w:tcPr>
          <w:p w:rsidR="00CA4048" w:rsidRPr="00AC7756" w:rsidRDefault="00CA4048" w:rsidP="00AC7756">
            <w:pPr>
              <w:pStyle w:val="LTVerzeichnisDerFragendenLinks"/>
              <w:rPr>
                <w:spacing w:val="-6"/>
              </w:rPr>
            </w:pPr>
            <w:r w:rsidRPr="00AC7756">
              <w:rPr>
                <w:spacing w:val="-6"/>
              </w:rPr>
              <w:t>Stümpfig, Martin (BÜNDNIS 90/DIE GRÜNEN)</w:t>
            </w:r>
            <w:r w:rsidRPr="00AC7756">
              <w:rPr>
                <w:spacing w:val="-6"/>
              </w:rPr>
              <w:tab/>
              <w:t>17</w:t>
            </w:r>
          </w:p>
        </w:tc>
      </w:tr>
      <w:tr w:rsidR="00CA4048" w:rsidRPr="005833DD">
        <w:tc>
          <w:tcPr>
            <w:tcW w:w="2500" w:type="pct"/>
            <w:tcBorders>
              <w:right w:val="single" w:sz="4" w:space="0" w:color="auto"/>
            </w:tcBorders>
          </w:tcPr>
          <w:p w:rsidR="00CA4048" w:rsidRDefault="00CA4048" w:rsidP="00CA4048">
            <w:pPr>
              <w:pStyle w:val="LTVerzeichnisDerFragendenLinks"/>
            </w:pPr>
            <w:r w:rsidRPr="00AC7756">
              <w:rPr>
                <w:spacing w:val="-6"/>
              </w:rPr>
              <w:t>Kamm, Christine (BÜNDNIS 90/DIE GRÜNEN)</w:t>
            </w:r>
            <w:r w:rsidRPr="00AC7756">
              <w:rPr>
                <w:spacing w:val="-6"/>
              </w:rPr>
              <w:tab/>
              <w:t>20</w:t>
            </w:r>
          </w:p>
        </w:tc>
        <w:tc>
          <w:tcPr>
            <w:tcW w:w="2500" w:type="pct"/>
            <w:tcBorders>
              <w:left w:val="single" w:sz="4" w:space="0" w:color="auto"/>
            </w:tcBorders>
          </w:tcPr>
          <w:p w:rsidR="00CA4048" w:rsidRPr="005833DD" w:rsidRDefault="00CA4048" w:rsidP="00CA4048">
            <w:pPr>
              <w:pStyle w:val="LTVerzeichnisDerFragendenRechts"/>
            </w:pPr>
            <w:r>
              <w:t>Weikert, Angelika (SPD)</w:t>
            </w:r>
            <w:r>
              <w:tab/>
              <w:t>31</w:t>
            </w:r>
          </w:p>
        </w:tc>
      </w:tr>
      <w:tr w:rsidR="00CA4048" w:rsidRPr="005833DD">
        <w:tc>
          <w:tcPr>
            <w:tcW w:w="2500" w:type="pct"/>
            <w:tcBorders>
              <w:right w:val="single" w:sz="4" w:space="0" w:color="auto"/>
            </w:tcBorders>
          </w:tcPr>
          <w:p w:rsidR="00CA4048" w:rsidRDefault="00CA4048" w:rsidP="00CA4048">
            <w:pPr>
              <w:pStyle w:val="LTVerzeichnisDerFragendenLinks"/>
            </w:pPr>
            <w:r>
              <w:t>Karl, Annette (SPD)</w:t>
            </w:r>
            <w:r>
              <w:tab/>
              <w:t>21</w:t>
            </w:r>
          </w:p>
        </w:tc>
        <w:tc>
          <w:tcPr>
            <w:tcW w:w="2500" w:type="pct"/>
            <w:tcBorders>
              <w:left w:val="single" w:sz="4" w:space="0" w:color="auto"/>
            </w:tcBorders>
          </w:tcPr>
          <w:p w:rsidR="00CA4048" w:rsidRPr="005833DD" w:rsidRDefault="00CA4048" w:rsidP="00CA4048">
            <w:pPr>
              <w:pStyle w:val="LTVerzeichnisDerFragendenRechts"/>
            </w:pPr>
            <w:r>
              <w:t>Werner-Muggendorfer, Johanna (SPD)</w:t>
            </w:r>
            <w:r>
              <w:tab/>
              <w:t>41</w:t>
            </w:r>
          </w:p>
        </w:tc>
      </w:tr>
      <w:tr w:rsidR="00CA4048" w:rsidRPr="005833DD">
        <w:tc>
          <w:tcPr>
            <w:tcW w:w="2500" w:type="pct"/>
            <w:tcBorders>
              <w:right w:val="single" w:sz="4" w:space="0" w:color="auto"/>
            </w:tcBorders>
          </w:tcPr>
          <w:p w:rsidR="00CA4048" w:rsidRDefault="00CA4048" w:rsidP="00CA4048">
            <w:pPr>
              <w:pStyle w:val="LTVerzeichnisDerFragendenLinks"/>
            </w:pPr>
            <w:r>
              <w:t>König, Alexander (CSU)</w:t>
            </w:r>
            <w:r>
              <w:tab/>
              <w:t>6</w:t>
            </w:r>
          </w:p>
        </w:tc>
        <w:tc>
          <w:tcPr>
            <w:tcW w:w="2500" w:type="pct"/>
            <w:tcBorders>
              <w:left w:val="single" w:sz="4" w:space="0" w:color="auto"/>
            </w:tcBorders>
          </w:tcPr>
          <w:p w:rsidR="00CA4048" w:rsidRPr="005833DD" w:rsidRDefault="00CA4048" w:rsidP="00CA4048">
            <w:pPr>
              <w:pStyle w:val="LTVerzeichnisDerFragendenRechts"/>
            </w:pPr>
            <w:r>
              <w:t>Wild, Margit (SPD)</w:t>
            </w:r>
            <w:r>
              <w:tab/>
              <w:t>2</w:t>
            </w:r>
          </w:p>
        </w:tc>
      </w:tr>
      <w:tr w:rsidR="00CA4048" w:rsidRPr="005833DD">
        <w:tc>
          <w:tcPr>
            <w:tcW w:w="2500" w:type="pct"/>
            <w:tcBorders>
              <w:right w:val="single" w:sz="4" w:space="0" w:color="auto"/>
            </w:tcBorders>
          </w:tcPr>
          <w:p w:rsidR="00CA4048" w:rsidRDefault="00CA4048" w:rsidP="00CA4048">
            <w:pPr>
              <w:pStyle w:val="LTVerzeichnisDerFragendenLinks"/>
            </w:pPr>
            <w:r>
              <w:t>Kraus, Nikolaus (FREIE WÄHLER)</w:t>
            </w:r>
            <w:r>
              <w:tab/>
              <w:t>36</w:t>
            </w:r>
          </w:p>
        </w:tc>
        <w:tc>
          <w:tcPr>
            <w:tcW w:w="2500" w:type="pct"/>
            <w:tcBorders>
              <w:left w:val="single" w:sz="4" w:space="0" w:color="auto"/>
            </w:tcBorders>
          </w:tcPr>
          <w:p w:rsidR="00CA4048" w:rsidRPr="005833DD" w:rsidRDefault="00CA4048" w:rsidP="00CA4048">
            <w:pPr>
              <w:pStyle w:val="LTVerzeichnisDerFragendenRechts"/>
            </w:pPr>
            <w:r>
              <w:t>Zacharias, Isabell (SPD)</w:t>
            </w:r>
            <w:r>
              <w:tab/>
              <w:t>27</w:t>
            </w:r>
          </w:p>
        </w:tc>
      </w:tr>
      <w:tr w:rsidR="00A42EAA" w:rsidRPr="005833DD">
        <w:tc>
          <w:tcPr>
            <w:tcW w:w="2500" w:type="pct"/>
            <w:tcBorders>
              <w:right w:val="single" w:sz="4" w:space="0" w:color="auto"/>
            </w:tcBorders>
          </w:tcPr>
          <w:p w:rsidR="00A42EAA" w:rsidRDefault="00CA4048" w:rsidP="00CA4048">
            <w:pPr>
              <w:pStyle w:val="LTVerzeichnisDerFragendenLinks"/>
            </w:pPr>
            <w:r>
              <w:t>Mistol, Jürgen (BÜNDNIS 90/DIE GRÜNEN)</w:t>
            </w:r>
            <w:r>
              <w:tab/>
              <w:t>24</w:t>
            </w:r>
          </w:p>
        </w:tc>
        <w:tc>
          <w:tcPr>
            <w:tcW w:w="2500" w:type="pct"/>
            <w:tcBorders>
              <w:left w:val="single" w:sz="4" w:space="0" w:color="auto"/>
            </w:tcBorders>
          </w:tcPr>
          <w:p w:rsidR="00A42EAA" w:rsidRPr="005833DD" w:rsidRDefault="00A42EAA" w:rsidP="0077709E">
            <w:pPr>
              <w:tabs>
                <w:tab w:val="right" w:pos="4427"/>
              </w:tabs>
              <w:rPr>
                <w:i/>
              </w:rPr>
            </w:pPr>
          </w:p>
        </w:tc>
      </w:tr>
    </w:tbl>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CA4048"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11895421" w:history="1">
        <w:r w:rsidR="00CA4048" w:rsidRPr="000B1496">
          <w:rPr>
            <w:rStyle w:val="Hyperlink"/>
            <w:noProof/>
          </w:rPr>
          <w:t>Geschäftsbereich der Staatskanzlei</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22" w:history="1">
        <w:r w:rsidR="00CA4048" w:rsidRPr="000B1496">
          <w:rPr>
            <w:rStyle w:val="Hyperlink"/>
          </w:rPr>
          <w:t>Hartmann, Ludwig (BÜNDNIS 90/DIE GRÜNEN)</w:t>
        </w:r>
        <w:r w:rsidR="00CA4048" w:rsidRPr="000B1496">
          <w:rPr>
            <w:rStyle w:val="Hyperlink"/>
          </w:rPr>
          <w:br/>
          <w:t>Onlinewerbung bei Facebook durch die Staatsministerien</w:t>
        </w:r>
        <w:r w:rsidR="00CA4048">
          <w:rPr>
            <w:webHidden/>
          </w:rPr>
          <w:tab/>
        </w:r>
        <w:r w:rsidR="00CA4048">
          <w:rPr>
            <w:webHidden/>
          </w:rPr>
          <w:fldChar w:fldCharType="begin"/>
        </w:r>
        <w:r w:rsidR="00CA4048">
          <w:rPr>
            <w:webHidden/>
          </w:rPr>
          <w:instrText xml:space="preserve"> PAGEREF _Toc511895422 \h </w:instrText>
        </w:r>
        <w:r w:rsidR="00CA4048">
          <w:rPr>
            <w:webHidden/>
          </w:rPr>
        </w:r>
        <w:r w:rsidR="00CA4048">
          <w:rPr>
            <w:webHidden/>
          </w:rPr>
          <w:fldChar w:fldCharType="separate"/>
        </w:r>
        <w:r w:rsidR="00EA6096">
          <w:rPr>
            <w:webHidden/>
          </w:rPr>
          <w:t>1</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23" w:history="1">
        <w:r w:rsidR="00CA4048" w:rsidRPr="000B1496">
          <w:rPr>
            <w:rStyle w:val="Hyperlink"/>
          </w:rPr>
          <w:t>Wild, Margit (SPD)</w:t>
        </w:r>
        <w:r w:rsidR="00CA4048" w:rsidRPr="000B1496">
          <w:rPr>
            <w:rStyle w:val="Hyperlink"/>
          </w:rPr>
          <w:br/>
          <w:t>Umbau und Pläne der Staatsregierung</w:t>
        </w:r>
        <w:r w:rsidR="00CA4048">
          <w:rPr>
            <w:webHidden/>
          </w:rPr>
          <w:tab/>
        </w:r>
        <w:r w:rsidR="00CA4048">
          <w:rPr>
            <w:webHidden/>
          </w:rPr>
          <w:fldChar w:fldCharType="begin"/>
        </w:r>
        <w:r w:rsidR="00CA4048">
          <w:rPr>
            <w:webHidden/>
          </w:rPr>
          <w:instrText xml:space="preserve"> PAGEREF _Toc511895423 \h </w:instrText>
        </w:r>
        <w:r w:rsidR="00CA4048">
          <w:rPr>
            <w:webHidden/>
          </w:rPr>
        </w:r>
        <w:r w:rsidR="00CA4048">
          <w:rPr>
            <w:webHidden/>
          </w:rPr>
          <w:fldChar w:fldCharType="separate"/>
        </w:r>
        <w:r w:rsidR="00EA6096">
          <w:rPr>
            <w:webHidden/>
          </w:rPr>
          <w:t>1</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24" w:history="1">
        <w:r w:rsidR="00CA4048" w:rsidRPr="000B1496">
          <w:rPr>
            <w:rStyle w:val="Hyperlink"/>
            <w:noProof/>
          </w:rPr>
          <w:t>Geschäftsbereich des Staatsministeriums des Innern und für Integration</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25" w:history="1">
        <w:r w:rsidR="00CA4048" w:rsidRPr="000B1496">
          <w:rPr>
            <w:rStyle w:val="Hyperlink"/>
          </w:rPr>
          <w:t>Biedefeld, Susann (SPD)</w:t>
        </w:r>
        <w:r w:rsidR="00CA4048" w:rsidRPr="000B1496">
          <w:rPr>
            <w:rStyle w:val="Hyperlink"/>
          </w:rPr>
          <w:br/>
          <w:t>Fehlende Notärzte in Oberfranken</w:t>
        </w:r>
        <w:r w:rsidR="00CA4048">
          <w:rPr>
            <w:webHidden/>
          </w:rPr>
          <w:tab/>
        </w:r>
        <w:r w:rsidR="00CA4048">
          <w:rPr>
            <w:webHidden/>
          </w:rPr>
          <w:fldChar w:fldCharType="begin"/>
        </w:r>
        <w:r w:rsidR="00CA4048">
          <w:rPr>
            <w:webHidden/>
          </w:rPr>
          <w:instrText xml:space="preserve"> PAGEREF _Toc511895425 \h </w:instrText>
        </w:r>
        <w:r w:rsidR="00CA4048">
          <w:rPr>
            <w:webHidden/>
          </w:rPr>
        </w:r>
        <w:r w:rsidR="00CA4048">
          <w:rPr>
            <w:webHidden/>
          </w:rPr>
          <w:fldChar w:fldCharType="separate"/>
        </w:r>
        <w:r w:rsidR="00EA6096">
          <w:rPr>
            <w:webHidden/>
          </w:rPr>
          <w:t>2</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26" w:history="1">
        <w:r w:rsidR="00CA4048" w:rsidRPr="000B1496">
          <w:rPr>
            <w:rStyle w:val="Hyperlink"/>
          </w:rPr>
          <w:t>Prof. Dr. Gantzer, Peter Paul (SPD)</w:t>
        </w:r>
        <w:r w:rsidR="00CA4048" w:rsidRPr="000B1496">
          <w:rPr>
            <w:rStyle w:val="Hyperlink"/>
          </w:rPr>
          <w:br/>
          <w:t>Schmerzensgeld wegen Beleidigungen von Polizistinnen und Polizisten</w:t>
        </w:r>
        <w:r w:rsidR="00CA4048">
          <w:rPr>
            <w:webHidden/>
          </w:rPr>
          <w:tab/>
        </w:r>
        <w:r w:rsidR="00CA4048">
          <w:rPr>
            <w:webHidden/>
          </w:rPr>
          <w:fldChar w:fldCharType="begin"/>
        </w:r>
        <w:r w:rsidR="00CA4048">
          <w:rPr>
            <w:webHidden/>
          </w:rPr>
          <w:instrText xml:space="preserve"> PAGEREF _Toc511895426 \h </w:instrText>
        </w:r>
        <w:r w:rsidR="00CA4048">
          <w:rPr>
            <w:webHidden/>
          </w:rPr>
        </w:r>
        <w:r w:rsidR="00CA4048">
          <w:rPr>
            <w:webHidden/>
          </w:rPr>
          <w:fldChar w:fldCharType="separate"/>
        </w:r>
        <w:r w:rsidR="00EA6096">
          <w:rPr>
            <w:webHidden/>
          </w:rPr>
          <w:t>3</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27" w:history="1">
        <w:r w:rsidR="00CA4048" w:rsidRPr="000B1496">
          <w:rPr>
            <w:rStyle w:val="Hyperlink"/>
          </w:rPr>
          <w:t>Gottstein, Eva (FREIE WÄHLER)</w:t>
        </w:r>
        <w:r w:rsidR="00CA4048" w:rsidRPr="000B1496">
          <w:rPr>
            <w:rStyle w:val="Hyperlink"/>
          </w:rPr>
          <w:br/>
          <w:t xml:space="preserve">Überprüfung ausländischer </w:t>
        </w:r>
        <w:r w:rsidR="005F0435">
          <w:rPr>
            <w:rStyle w:val="Hyperlink"/>
          </w:rPr>
          <w:br/>
        </w:r>
        <w:r w:rsidR="00CA4048" w:rsidRPr="000B1496">
          <w:rPr>
            <w:rStyle w:val="Hyperlink"/>
          </w:rPr>
          <w:t>(Identitäts-)</w:t>
        </w:r>
        <w:r w:rsidR="00087472">
          <w:rPr>
            <w:rStyle w:val="Hyperlink"/>
          </w:rPr>
          <w:t xml:space="preserve"> </w:t>
        </w:r>
        <w:r w:rsidR="00CA4048" w:rsidRPr="000B1496">
          <w:rPr>
            <w:rStyle w:val="Hyperlink"/>
          </w:rPr>
          <w:t>Dokumente</w:t>
        </w:r>
        <w:r w:rsidR="00CA4048">
          <w:rPr>
            <w:webHidden/>
          </w:rPr>
          <w:tab/>
        </w:r>
        <w:r w:rsidR="00CA4048">
          <w:rPr>
            <w:webHidden/>
          </w:rPr>
          <w:fldChar w:fldCharType="begin"/>
        </w:r>
        <w:r w:rsidR="00CA4048">
          <w:rPr>
            <w:webHidden/>
          </w:rPr>
          <w:instrText xml:space="preserve"> PAGEREF _Toc511895427 \h </w:instrText>
        </w:r>
        <w:r w:rsidR="00CA4048">
          <w:rPr>
            <w:webHidden/>
          </w:rPr>
        </w:r>
        <w:r w:rsidR="00CA4048">
          <w:rPr>
            <w:webHidden/>
          </w:rPr>
          <w:fldChar w:fldCharType="separate"/>
        </w:r>
        <w:r w:rsidR="00EA6096">
          <w:rPr>
            <w:webHidden/>
          </w:rPr>
          <w:t>4</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28" w:history="1">
        <w:r w:rsidR="00CA4048" w:rsidRPr="000B1496">
          <w:rPr>
            <w:rStyle w:val="Hyperlink"/>
          </w:rPr>
          <w:t>König, Alexander (CSU)</w:t>
        </w:r>
        <w:r w:rsidR="00CA4048" w:rsidRPr="000B1496">
          <w:rPr>
            <w:rStyle w:val="Hyperlink"/>
          </w:rPr>
          <w:br/>
          <w:t>Rückführung nach Italien</w:t>
        </w:r>
        <w:r w:rsidR="00CA4048">
          <w:rPr>
            <w:webHidden/>
          </w:rPr>
          <w:tab/>
        </w:r>
        <w:r w:rsidR="00CA4048">
          <w:rPr>
            <w:webHidden/>
          </w:rPr>
          <w:fldChar w:fldCharType="begin"/>
        </w:r>
        <w:r w:rsidR="00CA4048">
          <w:rPr>
            <w:webHidden/>
          </w:rPr>
          <w:instrText xml:space="preserve"> PAGEREF _Toc511895428 \h </w:instrText>
        </w:r>
        <w:r w:rsidR="00CA4048">
          <w:rPr>
            <w:webHidden/>
          </w:rPr>
        </w:r>
        <w:r w:rsidR="00CA4048">
          <w:rPr>
            <w:webHidden/>
          </w:rPr>
          <w:fldChar w:fldCharType="separate"/>
        </w:r>
        <w:r w:rsidR="00EA6096">
          <w:rPr>
            <w:webHidden/>
          </w:rPr>
          <w:t>4</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29" w:history="1">
        <w:r w:rsidR="00087472">
          <w:rPr>
            <w:rStyle w:val="Hyperlink"/>
          </w:rPr>
          <w:t>Muthmann, Alexander (f</w:t>
        </w:r>
        <w:r w:rsidR="00CA4048" w:rsidRPr="000B1496">
          <w:rPr>
            <w:rStyle w:val="Hyperlink"/>
          </w:rPr>
          <w:t>raktionslos)</w:t>
        </w:r>
        <w:r w:rsidR="00CA4048" w:rsidRPr="000B1496">
          <w:rPr>
            <w:rStyle w:val="Hyperlink"/>
          </w:rPr>
          <w:br/>
          <w:t>Einsätze auf Grundlage einer drohenden Gefahr</w:t>
        </w:r>
        <w:r w:rsidR="00CA4048">
          <w:rPr>
            <w:webHidden/>
          </w:rPr>
          <w:tab/>
        </w:r>
        <w:r w:rsidR="00CA4048">
          <w:rPr>
            <w:webHidden/>
          </w:rPr>
          <w:fldChar w:fldCharType="begin"/>
        </w:r>
        <w:r w:rsidR="00CA4048">
          <w:rPr>
            <w:webHidden/>
          </w:rPr>
          <w:instrText xml:space="preserve"> PAGEREF _Toc511895429 \h </w:instrText>
        </w:r>
        <w:r w:rsidR="00CA4048">
          <w:rPr>
            <w:webHidden/>
          </w:rPr>
        </w:r>
        <w:r w:rsidR="00CA4048">
          <w:rPr>
            <w:webHidden/>
          </w:rPr>
          <w:fldChar w:fldCharType="separate"/>
        </w:r>
        <w:r w:rsidR="00EA6096">
          <w:rPr>
            <w:webHidden/>
          </w:rPr>
          <w:t>5</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0" w:history="1">
        <w:r w:rsidR="00CA4048" w:rsidRPr="000B1496">
          <w:rPr>
            <w:rStyle w:val="Hyperlink"/>
          </w:rPr>
          <w:t>Rinderspacher, Markus (SPD)</w:t>
        </w:r>
        <w:r w:rsidR="00CA4048" w:rsidRPr="000B1496">
          <w:rPr>
            <w:rStyle w:val="Hyperlink"/>
          </w:rPr>
          <w:br/>
          <w:t>Rechtsbehelfe bzw. Verfahrensdauer für Asylsachen</w:t>
        </w:r>
        <w:r w:rsidR="00CA4048">
          <w:rPr>
            <w:webHidden/>
          </w:rPr>
          <w:tab/>
        </w:r>
        <w:r w:rsidR="00CA4048">
          <w:rPr>
            <w:webHidden/>
          </w:rPr>
          <w:fldChar w:fldCharType="begin"/>
        </w:r>
        <w:r w:rsidR="00CA4048">
          <w:rPr>
            <w:webHidden/>
          </w:rPr>
          <w:instrText xml:space="preserve"> PAGEREF _Toc511895430 \h </w:instrText>
        </w:r>
        <w:r w:rsidR="00CA4048">
          <w:rPr>
            <w:webHidden/>
          </w:rPr>
        </w:r>
        <w:r w:rsidR="00CA4048">
          <w:rPr>
            <w:webHidden/>
          </w:rPr>
          <w:fldChar w:fldCharType="separate"/>
        </w:r>
        <w:r w:rsidR="00EA6096">
          <w:rPr>
            <w:webHidden/>
          </w:rPr>
          <w:t>5</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1" w:history="1">
        <w:r w:rsidR="00CA4048" w:rsidRPr="000B1496">
          <w:rPr>
            <w:rStyle w:val="Hyperlink"/>
          </w:rPr>
          <w:t>Scheuenstuhl, Harry (SPD)</w:t>
        </w:r>
        <w:r w:rsidR="00CA4048" w:rsidRPr="000B1496">
          <w:rPr>
            <w:rStyle w:val="Hyperlink"/>
          </w:rPr>
          <w:br/>
          <w:t>Elektronische Aufenthaltsüberwachung nach Art. 32a Abs. 1 Satz 1 PAG bzw. Art. 34 Abs. 1 PAG i. d. F. des PAG-Neu</w:t>
        </w:r>
        <w:r w:rsidR="00087472">
          <w:rPr>
            <w:rStyle w:val="Hyperlink"/>
          </w:rPr>
          <w:softHyphen/>
        </w:r>
        <w:r w:rsidR="00CA4048" w:rsidRPr="000B1496">
          <w:rPr>
            <w:rStyle w:val="Hyperlink"/>
          </w:rPr>
          <w:t>ordnungsgesetzentwurfs und Aufenthaltsanordnung und Kontakt</w:t>
        </w:r>
        <w:r w:rsidR="00087472">
          <w:rPr>
            <w:rStyle w:val="Hyperlink"/>
          </w:rPr>
          <w:softHyphen/>
        </w:r>
        <w:r w:rsidR="00CA4048" w:rsidRPr="000B1496">
          <w:rPr>
            <w:rStyle w:val="Hyperlink"/>
          </w:rPr>
          <w:t>verbot nach Art. 16 Abs. 2 PAG bzw. Kontaktverbot, Aufenthaltsanordnung nach Art. 16 Abs. 2 PAG i. d. F. des PAG-Neuordnungsgesetzentwurfs</w:t>
        </w:r>
        <w:r w:rsidR="00CA4048">
          <w:rPr>
            <w:webHidden/>
          </w:rPr>
          <w:tab/>
        </w:r>
        <w:r w:rsidR="00CA4048">
          <w:rPr>
            <w:webHidden/>
          </w:rPr>
          <w:fldChar w:fldCharType="begin"/>
        </w:r>
        <w:r w:rsidR="00CA4048">
          <w:rPr>
            <w:webHidden/>
          </w:rPr>
          <w:instrText xml:space="preserve"> PAGEREF _Toc511895431 \h </w:instrText>
        </w:r>
        <w:r w:rsidR="00CA4048">
          <w:rPr>
            <w:webHidden/>
          </w:rPr>
        </w:r>
        <w:r w:rsidR="00CA4048">
          <w:rPr>
            <w:webHidden/>
          </w:rPr>
          <w:fldChar w:fldCharType="separate"/>
        </w:r>
        <w:r w:rsidR="00EA6096">
          <w:rPr>
            <w:webHidden/>
          </w:rPr>
          <w:t>8</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2" w:history="1">
        <w:r w:rsidR="00CA4048" w:rsidRPr="000B1496">
          <w:rPr>
            <w:rStyle w:val="Hyperlink"/>
          </w:rPr>
          <w:t>Schulze, Katharina (BÜNDNIS 90/DIE GRÜNEN)</w:t>
        </w:r>
        <w:r w:rsidR="00CA4048" w:rsidRPr="000B1496">
          <w:rPr>
            <w:rStyle w:val="Hyperlink"/>
          </w:rPr>
          <w:br/>
          <w:t>Gefährderabschiebung und Fußfessel</w:t>
        </w:r>
        <w:r w:rsidR="00CA4048">
          <w:rPr>
            <w:webHidden/>
          </w:rPr>
          <w:tab/>
        </w:r>
        <w:r w:rsidR="00CA4048">
          <w:rPr>
            <w:webHidden/>
          </w:rPr>
          <w:fldChar w:fldCharType="begin"/>
        </w:r>
        <w:r w:rsidR="00CA4048">
          <w:rPr>
            <w:webHidden/>
          </w:rPr>
          <w:instrText xml:space="preserve"> PAGEREF _Toc511895432 \h </w:instrText>
        </w:r>
        <w:r w:rsidR="00CA4048">
          <w:rPr>
            <w:webHidden/>
          </w:rPr>
        </w:r>
        <w:r w:rsidR="00CA4048">
          <w:rPr>
            <w:webHidden/>
          </w:rPr>
          <w:fldChar w:fldCharType="separate"/>
        </w:r>
        <w:r w:rsidR="00EA6096">
          <w:rPr>
            <w:webHidden/>
          </w:rPr>
          <w:t>8</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3" w:history="1">
        <w:r w:rsidR="00CA4048" w:rsidRPr="000B1496">
          <w:rPr>
            <w:rStyle w:val="Hyperlink"/>
          </w:rPr>
          <w:t>Dr. Strohmayr, Simone (SPD)</w:t>
        </w:r>
        <w:r w:rsidR="00CA4048" w:rsidRPr="000B1496">
          <w:rPr>
            <w:rStyle w:val="Hyperlink"/>
          </w:rPr>
          <w:br/>
          <w:t>Drogenkonsum an Schulen in Schwaben</w:t>
        </w:r>
        <w:r w:rsidR="00CA4048">
          <w:rPr>
            <w:webHidden/>
          </w:rPr>
          <w:tab/>
        </w:r>
        <w:r w:rsidR="00CA4048">
          <w:rPr>
            <w:webHidden/>
          </w:rPr>
          <w:fldChar w:fldCharType="begin"/>
        </w:r>
        <w:r w:rsidR="00CA4048">
          <w:rPr>
            <w:webHidden/>
          </w:rPr>
          <w:instrText xml:space="preserve"> PAGEREF _Toc511895433 \h </w:instrText>
        </w:r>
        <w:r w:rsidR="00CA4048">
          <w:rPr>
            <w:webHidden/>
          </w:rPr>
        </w:r>
        <w:r w:rsidR="00CA4048">
          <w:rPr>
            <w:webHidden/>
          </w:rPr>
          <w:fldChar w:fldCharType="separate"/>
        </w:r>
        <w:r w:rsidR="00EA6096">
          <w:rPr>
            <w:webHidden/>
          </w:rPr>
          <w:t>9</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34" w:history="1">
        <w:r w:rsidR="00CA4048" w:rsidRPr="000B1496">
          <w:rPr>
            <w:rStyle w:val="Hyperlink"/>
            <w:noProof/>
          </w:rPr>
          <w:t>Geschäftsbereich des Staatsministeriums für Wohnen, Bau und Verkehr</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5" w:history="1">
        <w:r w:rsidR="00CA4048" w:rsidRPr="000B1496">
          <w:rPr>
            <w:rStyle w:val="Hyperlink"/>
          </w:rPr>
          <w:t>Aures, Inge (SPD)</w:t>
        </w:r>
        <w:r w:rsidR="00CA4048" w:rsidRPr="000B1496">
          <w:rPr>
            <w:rStyle w:val="Hyperlink"/>
          </w:rPr>
          <w:br/>
          <w:t>Aktueller Sachstand Beleuchtung Parkplatz bei Seußen an der B 303</w:t>
        </w:r>
        <w:r w:rsidR="00CA4048">
          <w:rPr>
            <w:webHidden/>
          </w:rPr>
          <w:tab/>
        </w:r>
        <w:r w:rsidR="00CA4048">
          <w:rPr>
            <w:webHidden/>
          </w:rPr>
          <w:fldChar w:fldCharType="begin"/>
        </w:r>
        <w:r w:rsidR="00CA4048">
          <w:rPr>
            <w:webHidden/>
          </w:rPr>
          <w:instrText xml:space="preserve"> PAGEREF _Toc511895435 \h </w:instrText>
        </w:r>
        <w:r w:rsidR="00CA4048">
          <w:rPr>
            <w:webHidden/>
          </w:rPr>
        </w:r>
        <w:r w:rsidR="00CA4048">
          <w:rPr>
            <w:webHidden/>
          </w:rPr>
          <w:fldChar w:fldCharType="separate"/>
        </w:r>
        <w:r w:rsidR="00EA6096">
          <w:rPr>
            <w:webHidden/>
          </w:rPr>
          <w:t>11</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6" w:history="1">
        <w:r w:rsidR="00CA4048" w:rsidRPr="000B1496">
          <w:rPr>
            <w:rStyle w:val="Hyperlink"/>
          </w:rPr>
          <w:t>Ganserer, Markus (BÜNDNIS 90/DIE GRÜNEN)</w:t>
        </w:r>
        <w:r w:rsidR="00CA4048" w:rsidRPr="000B1496">
          <w:rPr>
            <w:rStyle w:val="Hyperlink"/>
          </w:rPr>
          <w:br/>
          <w:t>Neue Universität Nürnberg bzw. Um</w:t>
        </w:r>
        <w:r w:rsidR="00087472">
          <w:rPr>
            <w:rStyle w:val="Hyperlink"/>
          </w:rPr>
          <w:softHyphen/>
        </w:r>
        <w:r w:rsidR="00CA4048" w:rsidRPr="000B1496">
          <w:rPr>
            <w:rStyle w:val="Hyperlink"/>
          </w:rPr>
          <w:t>ladehallen am ehemaligen Nürnberger Südbahnhof</w:t>
        </w:r>
        <w:r w:rsidR="00CA4048">
          <w:rPr>
            <w:webHidden/>
          </w:rPr>
          <w:tab/>
        </w:r>
        <w:r w:rsidR="00CA4048">
          <w:rPr>
            <w:webHidden/>
          </w:rPr>
          <w:fldChar w:fldCharType="begin"/>
        </w:r>
        <w:r w:rsidR="00CA4048">
          <w:rPr>
            <w:webHidden/>
          </w:rPr>
          <w:instrText xml:space="preserve"> PAGEREF _Toc511895436 \h </w:instrText>
        </w:r>
        <w:r w:rsidR="00CA4048">
          <w:rPr>
            <w:webHidden/>
          </w:rPr>
        </w:r>
        <w:r w:rsidR="00CA4048">
          <w:rPr>
            <w:webHidden/>
          </w:rPr>
          <w:fldChar w:fldCharType="separate"/>
        </w:r>
        <w:r w:rsidR="00EA6096">
          <w:rPr>
            <w:webHidden/>
          </w:rPr>
          <w:t>11</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7" w:history="1">
        <w:r w:rsidR="00CA4048" w:rsidRPr="000B1496">
          <w:rPr>
            <w:rStyle w:val="Hyperlink"/>
          </w:rPr>
          <w:t>Müller, Ruth (SPD)</w:t>
        </w:r>
        <w:r w:rsidR="00CA4048" w:rsidRPr="000B1496">
          <w:rPr>
            <w:rStyle w:val="Hyperlink"/>
          </w:rPr>
          <w:br/>
          <w:t>Gutachten landesweiter ÖPNV-Tarif</w:t>
        </w:r>
        <w:r w:rsidR="00CA4048">
          <w:rPr>
            <w:webHidden/>
          </w:rPr>
          <w:tab/>
        </w:r>
        <w:r w:rsidR="00CA4048">
          <w:rPr>
            <w:webHidden/>
          </w:rPr>
          <w:fldChar w:fldCharType="begin"/>
        </w:r>
        <w:r w:rsidR="00CA4048">
          <w:rPr>
            <w:webHidden/>
          </w:rPr>
          <w:instrText xml:space="preserve"> PAGEREF _Toc511895437 \h </w:instrText>
        </w:r>
        <w:r w:rsidR="00CA4048">
          <w:rPr>
            <w:webHidden/>
          </w:rPr>
        </w:r>
        <w:r w:rsidR="00CA4048">
          <w:rPr>
            <w:webHidden/>
          </w:rPr>
          <w:fldChar w:fldCharType="separate"/>
        </w:r>
        <w:r w:rsidR="00EA6096">
          <w:rPr>
            <w:webHidden/>
          </w:rPr>
          <w:t>12</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8" w:history="1">
        <w:r w:rsidR="00CA4048" w:rsidRPr="000B1496">
          <w:rPr>
            <w:rStyle w:val="Hyperlink"/>
          </w:rPr>
          <w:t>Roos, Bernhard (SPD)</w:t>
        </w:r>
        <w:r w:rsidR="00CA4048" w:rsidRPr="000B1496">
          <w:rPr>
            <w:rStyle w:val="Hyperlink"/>
          </w:rPr>
          <w:br/>
          <w:t>Ausbau der B 20</w:t>
        </w:r>
        <w:r w:rsidR="00CA4048">
          <w:rPr>
            <w:webHidden/>
          </w:rPr>
          <w:tab/>
        </w:r>
        <w:r w:rsidR="00CA4048">
          <w:rPr>
            <w:webHidden/>
          </w:rPr>
          <w:fldChar w:fldCharType="begin"/>
        </w:r>
        <w:r w:rsidR="00CA4048">
          <w:rPr>
            <w:webHidden/>
          </w:rPr>
          <w:instrText xml:space="preserve"> PAGEREF _Toc511895438 \h </w:instrText>
        </w:r>
        <w:r w:rsidR="00CA4048">
          <w:rPr>
            <w:webHidden/>
          </w:rPr>
        </w:r>
        <w:r w:rsidR="00CA4048">
          <w:rPr>
            <w:webHidden/>
          </w:rPr>
          <w:fldChar w:fldCharType="separate"/>
        </w:r>
        <w:r w:rsidR="00EA6096">
          <w:rPr>
            <w:webHidden/>
          </w:rPr>
          <w:t>12</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39" w:history="1">
        <w:r w:rsidR="00CA4048" w:rsidRPr="000B1496">
          <w:rPr>
            <w:rStyle w:val="Hyperlink"/>
          </w:rPr>
          <w:t>Steinberger, Rosi (BÜNDNIS 90/DIE GRÜNEN)</w:t>
        </w:r>
        <w:r w:rsidR="00CA4048" w:rsidRPr="000B1496">
          <w:rPr>
            <w:rStyle w:val="Hyperlink"/>
          </w:rPr>
          <w:br/>
          <w:t xml:space="preserve">Provisorischer Anschluss B 15n </w:t>
        </w:r>
        <w:r w:rsidR="00087472">
          <w:rPr>
            <w:rStyle w:val="Hyperlink"/>
          </w:rPr>
          <w:br/>
        </w:r>
        <w:r w:rsidR="00CA4048" w:rsidRPr="000B1496">
          <w:rPr>
            <w:rStyle w:val="Hyperlink"/>
          </w:rPr>
          <w:t>an A</w:t>
        </w:r>
        <w:r w:rsidR="00087472">
          <w:rPr>
            <w:rStyle w:val="Hyperlink"/>
          </w:rPr>
          <w:t> </w:t>
        </w:r>
        <w:r w:rsidR="00CA4048" w:rsidRPr="000B1496">
          <w:rPr>
            <w:rStyle w:val="Hyperlink"/>
          </w:rPr>
          <w:t>92</w:t>
        </w:r>
        <w:r w:rsidR="00CA4048">
          <w:rPr>
            <w:webHidden/>
          </w:rPr>
          <w:tab/>
        </w:r>
        <w:r w:rsidR="00CA4048">
          <w:rPr>
            <w:webHidden/>
          </w:rPr>
          <w:fldChar w:fldCharType="begin"/>
        </w:r>
        <w:r w:rsidR="00CA4048">
          <w:rPr>
            <w:webHidden/>
          </w:rPr>
          <w:instrText xml:space="preserve"> PAGEREF _Toc511895439 \h </w:instrText>
        </w:r>
        <w:r w:rsidR="00CA4048">
          <w:rPr>
            <w:webHidden/>
          </w:rPr>
        </w:r>
        <w:r w:rsidR="00CA4048">
          <w:rPr>
            <w:webHidden/>
          </w:rPr>
          <w:fldChar w:fldCharType="separate"/>
        </w:r>
        <w:r w:rsidR="00EA6096">
          <w:rPr>
            <w:webHidden/>
          </w:rPr>
          <w:t>13</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0" w:history="1">
        <w:r w:rsidR="00CA4048" w:rsidRPr="000B1496">
          <w:rPr>
            <w:rStyle w:val="Hyperlink"/>
          </w:rPr>
          <w:t>Stümpfig, Martin (BÜNDNIS 90/DIE GRÜNEN)</w:t>
        </w:r>
        <w:r w:rsidR="00CA4048" w:rsidRPr="000B1496">
          <w:rPr>
            <w:rStyle w:val="Hyperlink"/>
          </w:rPr>
          <w:br/>
          <w:t>Streckenertüchtigungsinvestitionen</w:t>
        </w:r>
        <w:r w:rsidR="00CA4048">
          <w:rPr>
            <w:webHidden/>
          </w:rPr>
          <w:tab/>
        </w:r>
        <w:r w:rsidR="00CA4048">
          <w:rPr>
            <w:webHidden/>
          </w:rPr>
          <w:fldChar w:fldCharType="begin"/>
        </w:r>
        <w:r w:rsidR="00CA4048">
          <w:rPr>
            <w:webHidden/>
          </w:rPr>
          <w:instrText xml:space="preserve"> PAGEREF _Toc511895440 \h </w:instrText>
        </w:r>
        <w:r w:rsidR="00CA4048">
          <w:rPr>
            <w:webHidden/>
          </w:rPr>
        </w:r>
        <w:r w:rsidR="00CA4048">
          <w:rPr>
            <w:webHidden/>
          </w:rPr>
          <w:fldChar w:fldCharType="separate"/>
        </w:r>
        <w:r w:rsidR="00EA6096">
          <w:rPr>
            <w:webHidden/>
          </w:rPr>
          <w:t>14</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41" w:history="1">
        <w:r w:rsidR="00CA4048" w:rsidRPr="000B1496">
          <w:rPr>
            <w:rStyle w:val="Hyperlink"/>
            <w:noProof/>
          </w:rPr>
          <w:t>Geschäftsbereich des Staatsministeriums für Unterricht und Kultus</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2" w:history="1">
        <w:r w:rsidR="00CA4048" w:rsidRPr="000B1496">
          <w:rPr>
            <w:rStyle w:val="Hyperlink"/>
          </w:rPr>
          <w:t>Dr. Fahn, Hans Jürgen (FREIE WÄHLER)</w:t>
        </w:r>
        <w:r w:rsidR="00CA4048" w:rsidRPr="000B1496">
          <w:rPr>
            <w:rStyle w:val="Hyperlink"/>
          </w:rPr>
          <w:br/>
          <w:t>Bildungszentren in Bayern</w:t>
        </w:r>
        <w:r w:rsidR="00CA4048">
          <w:rPr>
            <w:webHidden/>
          </w:rPr>
          <w:tab/>
        </w:r>
        <w:r w:rsidR="00CA4048">
          <w:rPr>
            <w:webHidden/>
          </w:rPr>
          <w:fldChar w:fldCharType="begin"/>
        </w:r>
        <w:r w:rsidR="00CA4048">
          <w:rPr>
            <w:webHidden/>
          </w:rPr>
          <w:instrText xml:space="preserve"> PAGEREF _Toc511895442 \h </w:instrText>
        </w:r>
        <w:r w:rsidR="00CA4048">
          <w:rPr>
            <w:webHidden/>
          </w:rPr>
        </w:r>
        <w:r w:rsidR="00CA4048">
          <w:rPr>
            <w:webHidden/>
          </w:rPr>
          <w:fldChar w:fldCharType="separate"/>
        </w:r>
        <w:r w:rsidR="00EA6096">
          <w:rPr>
            <w:webHidden/>
          </w:rPr>
          <w:t>15</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3" w:history="1">
        <w:r w:rsidR="00CA4048" w:rsidRPr="000B1496">
          <w:rPr>
            <w:rStyle w:val="Hyperlink"/>
          </w:rPr>
          <w:t>Gehring, Thomas (BÜNDNIS 90/DIE GRÜNEN)</w:t>
        </w:r>
        <w:r w:rsidR="00CA4048" w:rsidRPr="000B1496">
          <w:rPr>
            <w:rStyle w:val="Hyperlink"/>
          </w:rPr>
          <w:br/>
          <w:t>Räumliche Mindestvorgaben für Grundschulen</w:t>
        </w:r>
        <w:r w:rsidR="00CA4048">
          <w:rPr>
            <w:webHidden/>
          </w:rPr>
          <w:tab/>
        </w:r>
        <w:r w:rsidR="00CA4048">
          <w:rPr>
            <w:webHidden/>
          </w:rPr>
          <w:fldChar w:fldCharType="begin"/>
        </w:r>
        <w:r w:rsidR="00CA4048">
          <w:rPr>
            <w:webHidden/>
          </w:rPr>
          <w:instrText xml:space="preserve"> PAGEREF _Toc511895443 \h </w:instrText>
        </w:r>
        <w:r w:rsidR="00CA4048">
          <w:rPr>
            <w:webHidden/>
          </w:rPr>
        </w:r>
        <w:r w:rsidR="00CA4048">
          <w:rPr>
            <w:webHidden/>
          </w:rPr>
          <w:fldChar w:fldCharType="separate"/>
        </w:r>
        <w:r w:rsidR="00EA6096">
          <w:rPr>
            <w:webHidden/>
          </w:rPr>
          <w:t>16</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4" w:history="1">
        <w:r w:rsidR="00CA4048" w:rsidRPr="000B1496">
          <w:rPr>
            <w:rStyle w:val="Hyperlink"/>
          </w:rPr>
          <w:t>Kamm, Christine (BÜNDNIS 90/DIE GRÜNEN)</w:t>
        </w:r>
        <w:r w:rsidR="00CA4048" w:rsidRPr="000B1496">
          <w:rPr>
            <w:rStyle w:val="Hyperlink"/>
          </w:rPr>
          <w:br/>
          <w:t>Beschulung von Kindern und Jugend</w:t>
        </w:r>
        <w:r w:rsidR="00087472">
          <w:rPr>
            <w:rStyle w:val="Hyperlink"/>
          </w:rPr>
          <w:softHyphen/>
        </w:r>
        <w:r w:rsidR="00CA4048" w:rsidRPr="000B1496">
          <w:rPr>
            <w:rStyle w:val="Hyperlink"/>
          </w:rPr>
          <w:t>lichen in den bayerischen Transit</w:t>
        </w:r>
        <w:r w:rsidR="00087472">
          <w:rPr>
            <w:rStyle w:val="Hyperlink"/>
          </w:rPr>
          <w:softHyphen/>
        </w:r>
        <w:r w:rsidR="00CA4048" w:rsidRPr="000B1496">
          <w:rPr>
            <w:rStyle w:val="Hyperlink"/>
          </w:rPr>
          <w:t>zentren und der Aufnahmeeinrichtung Oberfranken</w:t>
        </w:r>
        <w:r w:rsidR="00CA4048">
          <w:rPr>
            <w:webHidden/>
          </w:rPr>
          <w:tab/>
        </w:r>
        <w:r w:rsidR="00CA4048">
          <w:rPr>
            <w:webHidden/>
          </w:rPr>
          <w:fldChar w:fldCharType="begin"/>
        </w:r>
        <w:r w:rsidR="00CA4048">
          <w:rPr>
            <w:webHidden/>
          </w:rPr>
          <w:instrText xml:space="preserve"> PAGEREF _Toc511895444 \h </w:instrText>
        </w:r>
        <w:r w:rsidR="00CA4048">
          <w:rPr>
            <w:webHidden/>
          </w:rPr>
        </w:r>
        <w:r w:rsidR="00CA4048">
          <w:rPr>
            <w:webHidden/>
          </w:rPr>
          <w:fldChar w:fldCharType="separate"/>
        </w:r>
        <w:r w:rsidR="00EA6096">
          <w:rPr>
            <w:webHidden/>
          </w:rPr>
          <w:t>17</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5" w:history="1">
        <w:r w:rsidR="00CA4048" w:rsidRPr="000B1496">
          <w:rPr>
            <w:rStyle w:val="Hyperlink"/>
          </w:rPr>
          <w:t>Karl, Annette</w:t>
        </w:r>
        <w:r w:rsidR="005F0435">
          <w:rPr>
            <w:rStyle w:val="Hyperlink"/>
          </w:rPr>
          <w:t xml:space="preserve"> (SPD)</w:t>
        </w:r>
        <w:r w:rsidR="005F0435">
          <w:rPr>
            <w:rStyle w:val="Hyperlink"/>
          </w:rPr>
          <w:br/>
          <w:t>Besetzung von Schulleitungs</w:t>
        </w:r>
        <w:r w:rsidR="00CA4048" w:rsidRPr="000B1496">
          <w:rPr>
            <w:rStyle w:val="Hyperlink"/>
          </w:rPr>
          <w:t>stellen an den Grundschulen in der Oberpfalz</w:t>
        </w:r>
        <w:r w:rsidR="00CA4048">
          <w:rPr>
            <w:webHidden/>
          </w:rPr>
          <w:tab/>
        </w:r>
        <w:r w:rsidR="00CA4048">
          <w:rPr>
            <w:webHidden/>
          </w:rPr>
          <w:fldChar w:fldCharType="begin"/>
        </w:r>
        <w:r w:rsidR="00CA4048">
          <w:rPr>
            <w:webHidden/>
          </w:rPr>
          <w:instrText xml:space="preserve"> PAGEREF _Toc511895445 \h </w:instrText>
        </w:r>
        <w:r w:rsidR="00CA4048">
          <w:rPr>
            <w:webHidden/>
          </w:rPr>
        </w:r>
        <w:r w:rsidR="00CA4048">
          <w:rPr>
            <w:webHidden/>
          </w:rPr>
          <w:fldChar w:fldCharType="separate"/>
        </w:r>
        <w:r w:rsidR="00EA6096">
          <w:rPr>
            <w:webHidden/>
          </w:rPr>
          <w:t>18</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6" w:history="1">
        <w:r w:rsidR="00087472">
          <w:rPr>
            <w:rStyle w:val="Hyperlink"/>
          </w:rPr>
          <w:t>Stamm, Claudia (f</w:t>
        </w:r>
        <w:r w:rsidR="00CA4048" w:rsidRPr="000B1496">
          <w:rPr>
            <w:rStyle w:val="Hyperlink"/>
          </w:rPr>
          <w:t>raktionslos)</w:t>
        </w:r>
        <w:r w:rsidR="00CA4048" w:rsidRPr="000B1496">
          <w:rPr>
            <w:rStyle w:val="Hyperlink"/>
          </w:rPr>
          <w:br/>
        </w:r>
        <w:r w:rsidR="005F0435">
          <w:rPr>
            <w:rStyle w:val="Hyperlink"/>
          </w:rPr>
          <w:t>Zehnfingers</w:t>
        </w:r>
        <w:r w:rsidR="00CA4048" w:rsidRPr="000B1496">
          <w:rPr>
            <w:rStyle w:val="Hyperlink"/>
          </w:rPr>
          <w:t>ystem</w:t>
        </w:r>
        <w:r w:rsidR="00CA4048">
          <w:rPr>
            <w:webHidden/>
          </w:rPr>
          <w:tab/>
        </w:r>
        <w:r w:rsidR="00CA4048">
          <w:rPr>
            <w:webHidden/>
          </w:rPr>
          <w:fldChar w:fldCharType="begin"/>
        </w:r>
        <w:r w:rsidR="00CA4048">
          <w:rPr>
            <w:webHidden/>
          </w:rPr>
          <w:instrText xml:space="preserve"> PAGEREF _Toc511895446 \h </w:instrText>
        </w:r>
        <w:r w:rsidR="00CA4048">
          <w:rPr>
            <w:webHidden/>
          </w:rPr>
        </w:r>
        <w:r w:rsidR="00CA4048">
          <w:rPr>
            <w:webHidden/>
          </w:rPr>
          <w:fldChar w:fldCharType="separate"/>
        </w:r>
        <w:r w:rsidR="00EA6096">
          <w:rPr>
            <w:webHidden/>
          </w:rPr>
          <w:t>19</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47" w:history="1">
        <w:r w:rsidR="00CA4048" w:rsidRPr="000B1496">
          <w:rPr>
            <w:rStyle w:val="Hyperlink"/>
            <w:noProof/>
          </w:rPr>
          <w:t>Geschäftsbereich des Staatsministeriums für Wissenschaft und Kunst</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8" w:history="1">
        <w:r w:rsidR="00CA4048" w:rsidRPr="000B1496">
          <w:rPr>
            <w:rStyle w:val="Hyperlink"/>
          </w:rPr>
          <w:t>Celina, Kerstin (BÜNDNIS 90/DIE GRÜNEN)</w:t>
        </w:r>
        <w:r w:rsidR="00CA4048" w:rsidRPr="000B1496">
          <w:rPr>
            <w:rStyle w:val="Hyperlink"/>
          </w:rPr>
          <w:br/>
          <w:t>Kosten für den Archivneubau in Kitzingen</w:t>
        </w:r>
        <w:r w:rsidR="00CA4048">
          <w:rPr>
            <w:webHidden/>
          </w:rPr>
          <w:tab/>
        </w:r>
        <w:r w:rsidR="00CA4048">
          <w:rPr>
            <w:webHidden/>
          </w:rPr>
          <w:fldChar w:fldCharType="begin"/>
        </w:r>
        <w:r w:rsidR="00CA4048">
          <w:rPr>
            <w:webHidden/>
          </w:rPr>
          <w:instrText xml:space="preserve"> PAGEREF _Toc511895448 \h </w:instrText>
        </w:r>
        <w:r w:rsidR="00CA4048">
          <w:rPr>
            <w:webHidden/>
          </w:rPr>
        </w:r>
        <w:r w:rsidR="00CA4048">
          <w:rPr>
            <w:webHidden/>
          </w:rPr>
          <w:fldChar w:fldCharType="separate"/>
        </w:r>
        <w:r w:rsidR="00EA6096">
          <w:rPr>
            <w:webHidden/>
          </w:rPr>
          <w:t>23</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49" w:history="1">
        <w:r w:rsidR="00CA4048" w:rsidRPr="000B1496">
          <w:rPr>
            <w:rStyle w:val="Hyperlink"/>
          </w:rPr>
          <w:t>Mistol, Jürgen (BÜNDNIS 90/DIE GRÜNEN)</w:t>
        </w:r>
        <w:r w:rsidR="00CA4048" w:rsidRPr="000B1496">
          <w:rPr>
            <w:rStyle w:val="Hyperlink"/>
          </w:rPr>
          <w:br/>
        </w:r>
        <w:r w:rsidR="005F0435">
          <w:rPr>
            <w:rStyle w:val="Hyperlink"/>
          </w:rPr>
          <w:t xml:space="preserve">Internationales </w:t>
        </w:r>
        <w:r w:rsidR="00CA4048" w:rsidRPr="000B1496">
          <w:rPr>
            <w:rStyle w:val="Hyperlink"/>
          </w:rPr>
          <w:t>Keramik-Museum Weiden</w:t>
        </w:r>
        <w:r w:rsidR="00CA4048">
          <w:rPr>
            <w:webHidden/>
          </w:rPr>
          <w:tab/>
        </w:r>
        <w:r w:rsidR="00CA4048">
          <w:rPr>
            <w:webHidden/>
          </w:rPr>
          <w:fldChar w:fldCharType="begin"/>
        </w:r>
        <w:r w:rsidR="00CA4048">
          <w:rPr>
            <w:webHidden/>
          </w:rPr>
          <w:instrText xml:space="preserve"> PAGEREF _Toc511895449 \h </w:instrText>
        </w:r>
        <w:r w:rsidR="00CA4048">
          <w:rPr>
            <w:webHidden/>
          </w:rPr>
        </w:r>
        <w:r w:rsidR="00CA4048">
          <w:rPr>
            <w:webHidden/>
          </w:rPr>
          <w:fldChar w:fldCharType="separate"/>
        </w:r>
        <w:r w:rsidR="00EA6096">
          <w:rPr>
            <w:webHidden/>
          </w:rPr>
          <w:t>23</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0" w:history="1">
        <w:r w:rsidR="00CA4048" w:rsidRPr="000B1496">
          <w:rPr>
            <w:rStyle w:val="Hyperlink"/>
          </w:rPr>
          <w:t>Schmitt-Bussinger, Helga (SPD)</w:t>
        </w:r>
        <w:r w:rsidR="00CA4048" w:rsidRPr="000B1496">
          <w:rPr>
            <w:rStyle w:val="Hyperlink"/>
          </w:rPr>
          <w:br/>
          <w:t>Sanierung der Universität Erlangen-Nürnberg</w:t>
        </w:r>
        <w:r w:rsidR="00CA4048">
          <w:rPr>
            <w:webHidden/>
          </w:rPr>
          <w:tab/>
        </w:r>
        <w:r w:rsidR="00CA4048">
          <w:rPr>
            <w:webHidden/>
          </w:rPr>
          <w:fldChar w:fldCharType="begin"/>
        </w:r>
        <w:r w:rsidR="00CA4048">
          <w:rPr>
            <w:webHidden/>
          </w:rPr>
          <w:instrText xml:space="preserve"> PAGEREF _Toc511895450 \h </w:instrText>
        </w:r>
        <w:r w:rsidR="00CA4048">
          <w:rPr>
            <w:webHidden/>
          </w:rPr>
        </w:r>
        <w:r w:rsidR="00CA4048">
          <w:rPr>
            <w:webHidden/>
          </w:rPr>
          <w:fldChar w:fldCharType="separate"/>
        </w:r>
        <w:r w:rsidR="00EA6096">
          <w:rPr>
            <w:webHidden/>
          </w:rPr>
          <w:t>24</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1" w:history="1">
        <w:r w:rsidR="00CA4048" w:rsidRPr="000B1496">
          <w:rPr>
            <w:rStyle w:val="Hyperlink"/>
          </w:rPr>
          <w:t>Streibl, Florian (FREIE WÄHLER)</w:t>
        </w:r>
        <w:r w:rsidR="00CA4048" w:rsidRPr="000B1496">
          <w:rPr>
            <w:rStyle w:val="Hyperlink"/>
          </w:rPr>
          <w:br/>
          <w:t>Richard-Strauss-Festival</w:t>
        </w:r>
        <w:r w:rsidR="00CA4048">
          <w:rPr>
            <w:webHidden/>
          </w:rPr>
          <w:tab/>
        </w:r>
        <w:r w:rsidR="00CA4048">
          <w:rPr>
            <w:webHidden/>
          </w:rPr>
          <w:fldChar w:fldCharType="begin"/>
        </w:r>
        <w:r w:rsidR="00CA4048">
          <w:rPr>
            <w:webHidden/>
          </w:rPr>
          <w:instrText xml:space="preserve"> PAGEREF _Toc511895451 \h </w:instrText>
        </w:r>
        <w:r w:rsidR="00CA4048">
          <w:rPr>
            <w:webHidden/>
          </w:rPr>
        </w:r>
        <w:r w:rsidR="00CA4048">
          <w:rPr>
            <w:webHidden/>
          </w:rPr>
          <w:fldChar w:fldCharType="separate"/>
        </w:r>
        <w:r w:rsidR="00EA6096">
          <w:rPr>
            <w:webHidden/>
          </w:rPr>
          <w:t>25</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2" w:history="1">
        <w:r w:rsidR="00CA4048" w:rsidRPr="000B1496">
          <w:rPr>
            <w:rStyle w:val="Hyperlink"/>
          </w:rPr>
          <w:t>Zacharias, Isabell (SPD)</w:t>
        </w:r>
        <w:r w:rsidR="00CA4048" w:rsidRPr="000B1496">
          <w:rPr>
            <w:rStyle w:val="Hyperlink"/>
          </w:rPr>
          <w:br/>
          <w:t>Physiotherapieräume in Wasserburg</w:t>
        </w:r>
        <w:r w:rsidR="00CA4048">
          <w:rPr>
            <w:webHidden/>
          </w:rPr>
          <w:tab/>
        </w:r>
        <w:r w:rsidR="00CA4048">
          <w:rPr>
            <w:webHidden/>
          </w:rPr>
          <w:fldChar w:fldCharType="begin"/>
        </w:r>
        <w:r w:rsidR="00CA4048">
          <w:rPr>
            <w:webHidden/>
          </w:rPr>
          <w:instrText xml:space="preserve"> PAGEREF _Toc511895452 \h </w:instrText>
        </w:r>
        <w:r w:rsidR="00CA4048">
          <w:rPr>
            <w:webHidden/>
          </w:rPr>
        </w:r>
        <w:r w:rsidR="00CA4048">
          <w:rPr>
            <w:webHidden/>
          </w:rPr>
          <w:fldChar w:fldCharType="separate"/>
        </w:r>
        <w:r w:rsidR="00EA6096">
          <w:rPr>
            <w:webHidden/>
          </w:rPr>
          <w:t>26</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53" w:history="1">
        <w:r w:rsidR="00CA4048" w:rsidRPr="000B1496">
          <w:rPr>
            <w:rStyle w:val="Hyperlink"/>
            <w:noProof/>
          </w:rPr>
          <w:t>Geschäftsbereich des Staatsministeriums der Finanzen, für Landesentwicklung und Heimat</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4" w:history="1">
        <w:r w:rsidR="00CA4048" w:rsidRPr="000B1496">
          <w:rPr>
            <w:rStyle w:val="Hyperlink"/>
          </w:rPr>
          <w:t>Adelt, Klaus (SPD)</w:t>
        </w:r>
        <w:r w:rsidR="00CA4048" w:rsidRPr="000B1496">
          <w:rPr>
            <w:rStyle w:val="Hyperlink"/>
          </w:rPr>
          <w:br/>
          <w:t xml:space="preserve">Hochschule Hof </w:t>
        </w:r>
        <w:r w:rsidR="00087472">
          <w:rPr>
            <w:rStyle w:val="Hyperlink"/>
          </w:rPr>
          <w:t>–</w:t>
        </w:r>
        <w:r w:rsidR="00CA4048" w:rsidRPr="000B1496">
          <w:rPr>
            <w:rStyle w:val="Hyperlink"/>
          </w:rPr>
          <w:t xml:space="preserve"> Wohnheimplätze</w:t>
        </w:r>
        <w:r w:rsidR="00CA4048">
          <w:rPr>
            <w:webHidden/>
          </w:rPr>
          <w:tab/>
        </w:r>
        <w:r w:rsidR="00CA4048">
          <w:rPr>
            <w:webHidden/>
          </w:rPr>
          <w:fldChar w:fldCharType="begin"/>
        </w:r>
        <w:r w:rsidR="00CA4048">
          <w:rPr>
            <w:webHidden/>
          </w:rPr>
          <w:instrText xml:space="preserve"> PAGEREF _Toc511895454 \h </w:instrText>
        </w:r>
        <w:r w:rsidR="00CA4048">
          <w:rPr>
            <w:webHidden/>
          </w:rPr>
        </w:r>
        <w:r w:rsidR="00CA4048">
          <w:rPr>
            <w:webHidden/>
          </w:rPr>
          <w:fldChar w:fldCharType="separate"/>
        </w:r>
        <w:r w:rsidR="00EA6096">
          <w:rPr>
            <w:webHidden/>
          </w:rPr>
          <w:t>27</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5" w:history="1">
        <w:r w:rsidR="00CA4048" w:rsidRPr="000B1496">
          <w:rPr>
            <w:rStyle w:val="Hyperlink"/>
          </w:rPr>
          <w:t>Mütze, Thomas (BÜNDNIS 90/DIE GRÜNEN)</w:t>
        </w:r>
        <w:r w:rsidR="00CA4048" w:rsidRPr="000B1496">
          <w:rPr>
            <w:rStyle w:val="Hyperlink"/>
          </w:rPr>
          <w:br/>
          <w:t>Rückzahlungsplan der BayernLB</w:t>
        </w:r>
        <w:r w:rsidR="00CA4048">
          <w:rPr>
            <w:webHidden/>
          </w:rPr>
          <w:tab/>
        </w:r>
        <w:r w:rsidR="00CA4048">
          <w:rPr>
            <w:webHidden/>
          </w:rPr>
          <w:fldChar w:fldCharType="begin"/>
        </w:r>
        <w:r w:rsidR="00CA4048">
          <w:rPr>
            <w:webHidden/>
          </w:rPr>
          <w:instrText xml:space="preserve"> PAGEREF _Toc511895455 \h </w:instrText>
        </w:r>
        <w:r w:rsidR="00CA4048">
          <w:rPr>
            <w:webHidden/>
          </w:rPr>
        </w:r>
        <w:r w:rsidR="00CA4048">
          <w:rPr>
            <w:webHidden/>
          </w:rPr>
          <w:fldChar w:fldCharType="separate"/>
        </w:r>
        <w:r w:rsidR="00EA6096">
          <w:rPr>
            <w:webHidden/>
          </w:rPr>
          <w:t>27</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6" w:history="1">
        <w:r w:rsidR="00CA4048" w:rsidRPr="000B1496">
          <w:rPr>
            <w:rStyle w:val="Hyperlink"/>
          </w:rPr>
          <w:t>Petersen, Kathi (SPD)</w:t>
        </w:r>
        <w:r w:rsidR="00CA4048" w:rsidRPr="000B1496">
          <w:rPr>
            <w:rStyle w:val="Hyperlink"/>
          </w:rPr>
          <w:br/>
          <w:t>Maßnahmen gegen das Schwimmbad</w:t>
        </w:r>
        <w:r w:rsidR="005F0435">
          <w:rPr>
            <w:rStyle w:val="Hyperlink"/>
          </w:rPr>
          <w:softHyphen/>
          <w:t>s</w:t>
        </w:r>
        <w:r w:rsidR="00CA4048" w:rsidRPr="000B1496">
          <w:rPr>
            <w:rStyle w:val="Hyperlink"/>
          </w:rPr>
          <w:t>terben im Regierungsbezirk Unter</w:t>
        </w:r>
        <w:r w:rsidR="00087472">
          <w:rPr>
            <w:rStyle w:val="Hyperlink"/>
          </w:rPr>
          <w:softHyphen/>
        </w:r>
        <w:r w:rsidR="00CA4048" w:rsidRPr="000B1496">
          <w:rPr>
            <w:rStyle w:val="Hyperlink"/>
          </w:rPr>
          <w:t>franken</w:t>
        </w:r>
        <w:r w:rsidR="00CA4048">
          <w:rPr>
            <w:webHidden/>
          </w:rPr>
          <w:tab/>
        </w:r>
        <w:r w:rsidR="00CA4048">
          <w:rPr>
            <w:webHidden/>
          </w:rPr>
          <w:fldChar w:fldCharType="begin"/>
        </w:r>
        <w:r w:rsidR="00CA4048">
          <w:rPr>
            <w:webHidden/>
          </w:rPr>
          <w:instrText xml:space="preserve"> PAGEREF _Toc511895456 \h </w:instrText>
        </w:r>
        <w:r w:rsidR="00CA4048">
          <w:rPr>
            <w:webHidden/>
          </w:rPr>
        </w:r>
        <w:r w:rsidR="00CA4048">
          <w:rPr>
            <w:webHidden/>
          </w:rPr>
          <w:fldChar w:fldCharType="separate"/>
        </w:r>
        <w:r w:rsidR="00EA6096">
          <w:rPr>
            <w:webHidden/>
          </w:rPr>
          <w:t>28</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7" w:history="1">
        <w:r w:rsidR="00CA4048" w:rsidRPr="000B1496">
          <w:rPr>
            <w:rStyle w:val="Hyperlink"/>
          </w:rPr>
          <w:t>Weikert, Angelika (SPD)</w:t>
        </w:r>
        <w:r w:rsidR="00CA4048" w:rsidRPr="000B1496">
          <w:rPr>
            <w:rStyle w:val="Hyperlink"/>
          </w:rPr>
          <w:br/>
          <w:t>Befristete Beschäftigungsverhältnisse in den Staatsministerien</w:t>
        </w:r>
        <w:r w:rsidR="00CA4048">
          <w:rPr>
            <w:webHidden/>
          </w:rPr>
          <w:tab/>
        </w:r>
        <w:r w:rsidR="00CA4048">
          <w:rPr>
            <w:webHidden/>
          </w:rPr>
          <w:fldChar w:fldCharType="begin"/>
        </w:r>
        <w:r w:rsidR="00CA4048">
          <w:rPr>
            <w:webHidden/>
          </w:rPr>
          <w:instrText xml:space="preserve"> PAGEREF _Toc511895457 \h </w:instrText>
        </w:r>
        <w:r w:rsidR="00CA4048">
          <w:rPr>
            <w:webHidden/>
          </w:rPr>
        </w:r>
        <w:r w:rsidR="00CA4048">
          <w:rPr>
            <w:webHidden/>
          </w:rPr>
          <w:fldChar w:fldCharType="separate"/>
        </w:r>
        <w:r w:rsidR="00EA6096">
          <w:rPr>
            <w:webHidden/>
          </w:rPr>
          <w:t>29</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58" w:history="1">
        <w:r w:rsidR="00CA4048" w:rsidRPr="000B1496">
          <w:rPr>
            <w:rStyle w:val="Hyperlink"/>
            <w:noProof/>
          </w:rPr>
          <w:t>Geschäftsbereich des Staatsministeriums für Umwelt und Verbraucherschutz</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59" w:history="1">
        <w:r w:rsidR="00CA4048" w:rsidRPr="000B1496">
          <w:rPr>
            <w:rStyle w:val="Hyperlink"/>
          </w:rPr>
          <w:t>Aiwanger, Hubert (FREIE WÄHLER)</w:t>
        </w:r>
        <w:r w:rsidR="00CA4048" w:rsidRPr="000B1496">
          <w:rPr>
            <w:rStyle w:val="Hyperlink"/>
          </w:rPr>
          <w:br/>
          <w:t>Kommunale Wasserversorgung bzw. Abwasserentsorgung</w:t>
        </w:r>
        <w:r w:rsidR="00CA4048">
          <w:rPr>
            <w:webHidden/>
          </w:rPr>
          <w:tab/>
        </w:r>
        <w:r w:rsidR="00CA4048">
          <w:rPr>
            <w:webHidden/>
          </w:rPr>
          <w:fldChar w:fldCharType="begin"/>
        </w:r>
        <w:r w:rsidR="00CA4048">
          <w:rPr>
            <w:webHidden/>
          </w:rPr>
          <w:instrText xml:space="preserve"> PAGEREF _Toc511895459 \h </w:instrText>
        </w:r>
        <w:r w:rsidR="00CA4048">
          <w:rPr>
            <w:webHidden/>
          </w:rPr>
        </w:r>
        <w:r w:rsidR="00CA4048">
          <w:rPr>
            <w:webHidden/>
          </w:rPr>
          <w:fldChar w:fldCharType="separate"/>
        </w:r>
        <w:r w:rsidR="00EA6096">
          <w:rPr>
            <w:webHidden/>
          </w:rPr>
          <w:t>31</w:t>
        </w:r>
        <w:r w:rsidR="00CA4048">
          <w:rPr>
            <w:webHidden/>
          </w:rPr>
          <w:fldChar w:fldCharType="end"/>
        </w:r>
      </w:hyperlink>
    </w:p>
    <w:p w:rsidR="00CA4048" w:rsidRDefault="00087472" w:rsidP="00087472">
      <w:pPr>
        <w:pStyle w:val="Verzeichnis2"/>
        <w:tabs>
          <w:tab w:val="right" w:leader="dot" w:pos="4383"/>
        </w:tabs>
        <w:spacing w:before="0"/>
        <w:rPr>
          <w:rFonts w:asciiTheme="minorHAnsi" w:eastAsiaTheme="minorEastAsia" w:hAnsiTheme="minorHAnsi" w:cstheme="minorBidi"/>
          <w:sz w:val="22"/>
        </w:rPr>
      </w:pPr>
      <w:r>
        <w:rPr>
          <w:rStyle w:val="Hyperlink"/>
        </w:rPr>
        <w:br w:type="column"/>
      </w:r>
      <w:hyperlink w:anchor="_Toc511895460" w:history="1">
        <w:r>
          <w:rPr>
            <w:rStyle w:val="Hyperlink"/>
          </w:rPr>
          <w:t>von B</w:t>
        </w:r>
        <w:r w:rsidR="00CA4048" w:rsidRPr="000B1496">
          <w:rPr>
            <w:rStyle w:val="Hyperlink"/>
          </w:rPr>
          <w:t>runn, Florian (SPD)</w:t>
        </w:r>
        <w:r w:rsidR="00CA4048" w:rsidRPr="000B1496">
          <w:rPr>
            <w:rStyle w:val="Hyperlink"/>
          </w:rPr>
          <w:br/>
          <w:t>Weitergehende Untersuchungen zu Umweltgiften (PFC) in Nahrungsmitteln und Wasser in Bayern</w:t>
        </w:r>
        <w:r w:rsidR="00CA4048">
          <w:rPr>
            <w:webHidden/>
          </w:rPr>
          <w:tab/>
        </w:r>
        <w:r w:rsidR="00CA4048">
          <w:rPr>
            <w:webHidden/>
          </w:rPr>
          <w:fldChar w:fldCharType="begin"/>
        </w:r>
        <w:r w:rsidR="00CA4048">
          <w:rPr>
            <w:webHidden/>
          </w:rPr>
          <w:instrText xml:space="preserve"> PAGEREF _Toc511895460 \h </w:instrText>
        </w:r>
        <w:r w:rsidR="00CA4048">
          <w:rPr>
            <w:webHidden/>
          </w:rPr>
        </w:r>
        <w:r w:rsidR="00CA4048">
          <w:rPr>
            <w:webHidden/>
          </w:rPr>
          <w:fldChar w:fldCharType="separate"/>
        </w:r>
        <w:r w:rsidR="00EA6096">
          <w:rPr>
            <w:webHidden/>
          </w:rPr>
          <w:t>32</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61" w:history="1">
        <w:r w:rsidR="00087472">
          <w:rPr>
            <w:rStyle w:val="Hyperlink"/>
          </w:rPr>
          <w:t>Felbinger, Günther (f</w:t>
        </w:r>
        <w:r w:rsidR="00CA4048" w:rsidRPr="000B1496">
          <w:rPr>
            <w:rStyle w:val="Hyperlink"/>
          </w:rPr>
          <w:t>raktionslos)</w:t>
        </w:r>
        <w:r w:rsidR="00CA4048" w:rsidRPr="000B1496">
          <w:rPr>
            <w:rStyle w:val="Hyperlink"/>
          </w:rPr>
          <w:br/>
          <w:t>Dritter Nationalpark in Bayern</w:t>
        </w:r>
        <w:r w:rsidR="00CA4048">
          <w:rPr>
            <w:webHidden/>
          </w:rPr>
          <w:tab/>
        </w:r>
        <w:r w:rsidR="00CA4048">
          <w:rPr>
            <w:webHidden/>
          </w:rPr>
          <w:fldChar w:fldCharType="begin"/>
        </w:r>
        <w:r w:rsidR="00CA4048">
          <w:rPr>
            <w:webHidden/>
          </w:rPr>
          <w:instrText xml:space="preserve"> PAGEREF _Toc511895461 \h </w:instrText>
        </w:r>
        <w:r w:rsidR="00CA4048">
          <w:rPr>
            <w:webHidden/>
          </w:rPr>
        </w:r>
        <w:r w:rsidR="00CA4048">
          <w:rPr>
            <w:webHidden/>
          </w:rPr>
          <w:fldChar w:fldCharType="separate"/>
        </w:r>
        <w:r w:rsidR="00EA6096">
          <w:rPr>
            <w:webHidden/>
          </w:rPr>
          <w:t>34</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62" w:history="1">
        <w:r w:rsidR="00CA4048" w:rsidRPr="000B1496">
          <w:rPr>
            <w:rStyle w:val="Hyperlink"/>
          </w:rPr>
          <w:t>Dr. Herz, Leopold (FREIE WÄHLER)</w:t>
        </w:r>
        <w:r w:rsidR="00CA4048" w:rsidRPr="000B1496">
          <w:rPr>
            <w:rStyle w:val="Hyperlink"/>
          </w:rPr>
          <w:br/>
          <w:t>24-Stunden-Vorankündigung von Cross-Compliance</w:t>
        </w:r>
        <w:r w:rsidR="00CA4048">
          <w:rPr>
            <w:webHidden/>
          </w:rPr>
          <w:tab/>
        </w:r>
        <w:r w:rsidR="00CA4048">
          <w:rPr>
            <w:webHidden/>
          </w:rPr>
          <w:fldChar w:fldCharType="begin"/>
        </w:r>
        <w:r w:rsidR="00CA4048">
          <w:rPr>
            <w:webHidden/>
          </w:rPr>
          <w:instrText xml:space="preserve"> PAGEREF _Toc511895462 \h </w:instrText>
        </w:r>
        <w:r w:rsidR="00CA4048">
          <w:rPr>
            <w:webHidden/>
          </w:rPr>
        </w:r>
        <w:r w:rsidR="00CA4048">
          <w:rPr>
            <w:webHidden/>
          </w:rPr>
          <w:fldChar w:fldCharType="separate"/>
        </w:r>
        <w:r w:rsidR="00EA6096">
          <w:rPr>
            <w:webHidden/>
          </w:rPr>
          <w:t>34</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63" w:history="1">
        <w:r w:rsidR="00CA4048" w:rsidRPr="000B1496">
          <w:rPr>
            <w:rStyle w:val="Hyperlink"/>
          </w:rPr>
          <w:t>Kraus, Nikolaus (FREIE WÄHLER)</w:t>
        </w:r>
        <w:r w:rsidR="00CA4048" w:rsidRPr="000B1496">
          <w:rPr>
            <w:rStyle w:val="Hyperlink"/>
          </w:rPr>
          <w:br/>
          <w:t>Auswirkungen der Beweidung in Wasserschutzgebieten</w:t>
        </w:r>
        <w:r w:rsidR="00CA4048">
          <w:rPr>
            <w:webHidden/>
          </w:rPr>
          <w:tab/>
        </w:r>
        <w:r w:rsidR="00CA4048">
          <w:rPr>
            <w:webHidden/>
          </w:rPr>
          <w:fldChar w:fldCharType="begin"/>
        </w:r>
        <w:r w:rsidR="00CA4048">
          <w:rPr>
            <w:webHidden/>
          </w:rPr>
          <w:instrText xml:space="preserve"> PAGEREF _Toc511895463 \h </w:instrText>
        </w:r>
        <w:r w:rsidR="00CA4048">
          <w:rPr>
            <w:webHidden/>
          </w:rPr>
        </w:r>
        <w:r w:rsidR="00CA4048">
          <w:rPr>
            <w:webHidden/>
          </w:rPr>
          <w:fldChar w:fldCharType="separate"/>
        </w:r>
        <w:r w:rsidR="00EA6096">
          <w:rPr>
            <w:webHidden/>
          </w:rPr>
          <w:t>35</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64" w:history="1">
        <w:r w:rsidR="00CA4048" w:rsidRPr="000B1496">
          <w:rPr>
            <w:rStyle w:val="Hyperlink"/>
            <w:noProof/>
          </w:rPr>
          <w:t>Geschäftsbereich des Staatsministeriums für Ernährung, Landwirtschaft und Forsten</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65" w:history="1">
        <w:r w:rsidR="00CA4048" w:rsidRPr="000B1496">
          <w:rPr>
            <w:rStyle w:val="Hyperlink"/>
          </w:rPr>
          <w:t>Sengl, Gisela (BÜNDNIS 90/DIE GRÜNEN)</w:t>
        </w:r>
        <w:r w:rsidR="00CA4048" w:rsidRPr="000B1496">
          <w:rPr>
            <w:rStyle w:val="Hyperlink"/>
          </w:rPr>
          <w:br/>
          <w:t>Dauergrünland, Ackerstatus und die Betroffenheit der Wasserversorger im Hinblick auf die Vereinfachungen der Gemeinsamen Agrapolitik</w:t>
        </w:r>
        <w:r w:rsidR="00CA4048">
          <w:rPr>
            <w:webHidden/>
          </w:rPr>
          <w:tab/>
        </w:r>
        <w:r w:rsidR="00CA4048">
          <w:rPr>
            <w:webHidden/>
          </w:rPr>
          <w:fldChar w:fldCharType="begin"/>
        </w:r>
        <w:r w:rsidR="00CA4048">
          <w:rPr>
            <w:webHidden/>
          </w:rPr>
          <w:instrText xml:space="preserve"> PAGEREF _Toc511895465 \h </w:instrText>
        </w:r>
        <w:r w:rsidR="00CA4048">
          <w:rPr>
            <w:webHidden/>
          </w:rPr>
        </w:r>
        <w:r w:rsidR="00CA4048">
          <w:rPr>
            <w:webHidden/>
          </w:rPr>
          <w:fldChar w:fldCharType="separate"/>
        </w:r>
        <w:r w:rsidR="00EA6096">
          <w:rPr>
            <w:webHidden/>
          </w:rPr>
          <w:t>36</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66" w:history="1">
        <w:r w:rsidR="00CA4048" w:rsidRPr="000B1496">
          <w:rPr>
            <w:rStyle w:val="Hyperlink"/>
            <w:noProof/>
          </w:rPr>
          <w:t>Geschäftsbereich des Staatsministeriums für Familie, Arbeit und Soziales</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67" w:history="1">
        <w:r w:rsidR="00CA4048" w:rsidRPr="000B1496">
          <w:rPr>
            <w:rStyle w:val="Hyperlink"/>
          </w:rPr>
          <w:t>Deckwerth, Ilona (SPD)</w:t>
        </w:r>
        <w:r w:rsidR="00CA4048" w:rsidRPr="000B1496">
          <w:rPr>
            <w:rStyle w:val="Hyperlink"/>
          </w:rPr>
          <w:br/>
          <w:t>Arbeitslosigkeit und Erwerbstätigkeit von Menschen mit Behinderung</w:t>
        </w:r>
        <w:r w:rsidR="00CA4048">
          <w:rPr>
            <w:webHidden/>
          </w:rPr>
          <w:tab/>
        </w:r>
        <w:r w:rsidR="00CA4048">
          <w:rPr>
            <w:webHidden/>
          </w:rPr>
          <w:fldChar w:fldCharType="begin"/>
        </w:r>
        <w:r w:rsidR="00CA4048">
          <w:rPr>
            <w:webHidden/>
          </w:rPr>
          <w:instrText xml:space="preserve"> PAGEREF _Toc511895467 \h </w:instrText>
        </w:r>
        <w:r w:rsidR="00CA4048">
          <w:rPr>
            <w:webHidden/>
          </w:rPr>
        </w:r>
        <w:r w:rsidR="00CA4048">
          <w:rPr>
            <w:webHidden/>
          </w:rPr>
          <w:fldChar w:fldCharType="separate"/>
        </w:r>
        <w:r w:rsidR="00EA6096">
          <w:rPr>
            <w:webHidden/>
          </w:rPr>
          <w:t>38</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68" w:history="1">
        <w:r w:rsidR="00CA4048" w:rsidRPr="000B1496">
          <w:rPr>
            <w:rStyle w:val="Hyperlink"/>
          </w:rPr>
          <w:t>Gote, Ulrike (BÜNDNIS 90/DIE GRÜNEN)</w:t>
        </w:r>
        <w:r w:rsidR="00CA4048" w:rsidRPr="000B1496">
          <w:rPr>
            <w:rStyle w:val="Hyperlink"/>
          </w:rPr>
          <w:br/>
          <w:t>Berichtspflicht für freie Träger</w:t>
        </w:r>
        <w:r w:rsidR="00CA4048">
          <w:rPr>
            <w:webHidden/>
          </w:rPr>
          <w:tab/>
        </w:r>
        <w:r w:rsidR="00CA4048">
          <w:rPr>
            <w:webHidden/>
          </w:rPr>
          <w:fldChar w:fldCharType="begin"/>
        </w:r>
        <w:r w:rsidR="00CA4048">
          <w:rPr>
            <w:webHidden/>
          </w:rPr>
          <w:instrText xml:space="preserve"> PAGEREF _Toc511895468 \h </w:instrText>
        </w:r>
        <w:r w:rsidR="00CA4048">
          <w:rPr>
            <w:webHidden/>
          </w:rPr>
        </w:r>
        <w:r w:rsidR="00CA4048">
          <w:rPr>
            <w:webHidden/>
          </w:rPr>
          <w:fldChar w:fldCharType="separate"/>
        </w:r>
        <w:r w:rsidR="00EA6096">
          <w:rPr>
            <w:webHidden/>
          </w:rPr>
          <w:t>39</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69" w:history="1">
        <w:r w:rsidR="00CA4048" w:rsidRPr="000B1496">
          <w:rPr>
            <w:rStyle w:val="Hyperlink"/>
          </w:rPr>
          <w:t>Pfaffmann, Hans-Ulrich (SPD)</w:t>
        </w:r>
        <w:r w:rsidR="00CA4048" w:rsidRPr="000B1496">
          <w:rPr>
            <w:rStyle w:val="Hyperlink"/>
          </w:rPr>
          <w:br/>
          <w:t>Grenzüberschreitender Arbeitsmarkt zwischen Bayern und Tschechien</w:t>
        </w:r>
        <w:r w:rsidR="00CA4048">
          <w:rPr>
            <w:webHidden/>
          </w:rPr>
          <w:tab/>
        </w:r>
        <w:r w:rsidR="00CA4048">
          <w:rPr>
            <w:webHidden/>
          </w:rPr>
          <w:fldChar w:fldCharType="begin"/>
        </w:r>
        <w:r w:rsidR="00CA4048">
          <w:rPr>
            <w:webHidden/>
          </w:rPr>
          <w:instrText xml:space="preserve"> PAGEREF _Toc511895469 \h </w:instrText>
        </w:r>
        <w:r w:rsidR="00CA4048">
          <w:rPr>
            <w:webHidden/>
          </w:rPr>
        </w:r>
        <w:r w:rsidR="00CA4048">
          <w:rPr>
            <w:webHidden/>
          </w:rPr>
          <w:fldChar w:fldCharType="separate"/>
        </w:r>
        <w:r w:rsidR="00EA6096">
          <w:rPr>
            <w:webHidden/>
          </w:rPr>
          <w:t>40</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70" w:history="1">
        <w:r w:rsidR="00CA4048" w:rsidRPr="000B1496">
          <w:rPr>
            <w:rStyle w:val="Hyperlink"/>
          </w:rPr>
          <w:t>Werner-Muggendorfer, Johanna (SPD)</w:t>
        </w:r>
        <w:r w:rsidR="00CA4048" w:rsidRPr="000B1496">
          <w:rPr>
            <w:rStyle w:val="Hyperlink"/>
          </w:rPr>
          <w:br/>
          <w:t xml:space="preserve">Auszeichnung </w:t>
        </w:r>
        <w:r w:rsidR="00C244B3">
          <w:rPr>
            <w:rStyle w:val="Hyperlink"/>
          </w:rPr>
          <w:t>„</w:t>
        </w:r>
        <w:r w:rsidR="00087472">
          <w:rPr>
            <w:rStyle w:val="Hyperlink"/>
          </w:rPr>
          <w:t>Bayern barrierefrei“</w:t>
        </w:r>
        <w:r w:rsidR="00CA4048">
          <w:rPr>
            <w:webHidden/>
          </w:rPr>
          <w:tab/>
        </w:r>
        <w:r w:rsidR="00CA4048">
          <w:rPr>
            <w:webHidden/>
          </w:rPr>
          <w:fldChar w:fldCharType="begin"/>
        </w:r>
        <w:r w:rsidR="00CA4048">
          <w:rPr>
            <w:webHidden/>
          </w:rPr>
          <w:instrText xml:space="preserve"> PAGEREF _Toc511895470 \h </w:instrText>
        </w:r>
        <w:r w:rsidR="00CA4048">
          <w:rPr>
            <w:webHidden/>
          </w:rPr>
        </w:r>
        <w:r w:rsidR="00CA4048">
          <w:rPr>
            <w:webHidden/>
          </w:rPr>
          <w:fldChar w:fldCharType="separate"/>
        </w:r>
        <w:r w:rsidR="00EA6096">
          <w:rPr>
            <w:webHidden/>
          </w:rPr>
          <w:t>41</w:t>
        </w:r>
        <w:r w:rsidR="00CA4048">
          <w:rPr>
            <w:webHidden/>
          </w:rPr>
          <w:fldChar w:fldCharType="end"/>
        </w:r>
      </w:hyperlink>
    </w:p>
    <w:p w:rsidR="00CA4048" w:rsidRDefault="00857AB1">
      <w:pPr>
        <w:pStyle w:val="Verzeichnis1"/>
        <w:tabs>
          <w:tab w:val="right" w:leader="dot" w:pos="4383"/>
        </w:tabs>
        <w:rPr>
          <w:rFonts w:asciiTheme="minorHAnsi" w:eastAsiaTheme="minorEastAsia" w:hAnsiTheme="minorHAnsi" w:cstheme="minorBidi"/>
          <w:b w:val="0"/>
          <w:noProof/>
        </w:rPr>
      </w:pPr>
      <w:hyperlink w:anchor="_Toc511895471" w:history="1">
        <w:r w:rsidR="00CA4048" w:rsidRPr="000B1496">
          <w:rPr>
            <w:rStyle w:val="Hyperlink"/>
            <w:noProof/>
          </w:rPr>
          <w:t>Geschäftsbereich des Staatsministeriums für Gesundheit und Pflege</w:t>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72" w:history="1">
        <w:r w:rsidR="00CA4048" w:rsidRPr="000B1496">
          <w:rPr>
            <w:rStyle w:val="Hyperlink"/>
          </w:rPr>
          <w:t>Prof. (Univ. Lima) Dr. Bauer, Peter (FREIE WÄHLER)</w:t>
        </w:r>
        <w:r w:rsidR="00CA4048" w:rsidRPr="000B1496">
          <w:rPr>
            <w:rStyle w:val="Hyperlink"/>
          </w:rPr>
          <w:br/>
          <w:t>Überversorgung im stationären Bereich</w:t>
        </w:r>
        <w:r w:rsidR="00CA4048">
          <w:rPr>
            <w:webHidden/>
          </w:rPr>
          <w:tab/>
        </w:r>
        <w:r w:rsidR="00CA4048">
          <w:rPr>
            <w:webHidden/>
          </w:rPr>
          <w:fldChar w:fldCharType="begin"/>
        </w:r>
        <w:r w:rsidR="00CA4048">
          <w:rPr>
            <w:webHidden/>
          </w:rPr>
          <w:instrText xml:space="preserve"> PAGEREF _Toc511895472 \h </w:instrText>
        </w:r>
        <w:r w:rsidR="00CA4048">
          <w:rPr>
            <w:webHidden/>
          </w:rPr>
        </w:r>
        <w:r w:rsidR="00CA4048">
          <w:rPr>
            <w:webHidden/>
          </w:rPr>
          <w:fldChar w:fldCharType="separate"/>
        </w:r>
        <w:r w:rsidR="00EA6096">
          <w:rPr>
            <w:webHidden/>
          </w:rPr>
          <w:t>43</w:t>
        </w:r>
        <w:r w:rsidR="00CA4048">
          <w:rPr>
            <w:webHidden/>
          </w:rPr>
          <w:fldChar w:fldCharType="end"/>
        </w:r>
      </w:hyperlink>
    </w:p>
    <w:p w:rsidR="00CA4048" w:rsidRDefault="00857AB1">
      <w:pPr>
        <w:pStyle w:val="Verzeichnis2"/>
        <w:tabs>
          <w:tab w:val="right" w:leader="dot" w:pos="4383"/>
        </w:tabs>
        <w:rPr>
          <w:rFonts w:asciiTheme="minorHAnsi" w:eastAsiaTheme="minorEastAsia" w:hAnsiTheme="minorHAnsi" w:cstheme="minorBidi"/>
          <w:sz w:val="22"/>
        </w:rPr>
      </w:pPr>
      <w:hyperlink w:anchor="_Toc511895473" w:history="1">
        <w:r w:rsidR="00CA4048" w:rsidRPr="000B1496">
          <w:rPr>
            <w:rStyle w:val="Hyperlink"/>
          </w:rPr>
          <w:t>Sonnenholzner, Kathrin (SPD)</w:t>
        </w:r>
        <w:r w:rsidR="00CA4048" w:rsidRPr="000B1496">
          <w:rPr>
            <w:rStyle w:val="Hyperlink"/>
          </w:rPr>
          <w:br/>
          <w:t>Beschäftigungsverbot für schwangere Ärztinnen in Facharztweiterbildung</w:t>
        </w:r>
        <w:r w:rsidR="00CA4048">
          <w:rPr>
            <w:webHidden/>
          </w:rPr>
          <w:tab/>
        </w:r>
        <w:r w:rsidR="00CA4048">
          <w:rPr>
            <w:webHidden/>
          </w:rPr>
          <w:fldChar w:fldCharType="begin"/>
        </w:r>
        <w:r w:rsidR="00CA4048">
          <w:rPr>
            <w:webHidden/>
          </w:rPr>
          <w:instrText xml:space="preserve"> PAGEREF _Toc511895473 \h </w:instrText>
        </w:r>
        <w:r w:rsidR="00CA4048">
          <w:rPr>
            <w:webHidden/>
          </w:rPr>
        </w:r>
        <w:r w:rsidR="00CA4048">
          <w:rPr>
            <w:webHidden/>
          </w:rPr>
          <w:fldChar w:fldCharType="separate"/>
        </w:r>
        <w:r w:rsidR="00EA6096">
          <w:rPr>
            <w:webHidden/>
          </w:rPr>
          <w:t>43</w:t>
        </w:r>
        <w:r w:rsidR="00CA4048">
          <w:rPr>
            <w:webHidden/>
          </w:rPr>
          <w:fldChar w:fldCharType="end"/>
        </w:r>
      </w:hyperlink>
    </w:p>
    <w:p w:rsidR="008A671A" w:rsidRDefault="00CF77F6" w:rsidP="00994D5A">
      <w:pPr>
        <w:pStyle w:val="Verzeichnis1"/>
        <w:spacing w:before="0"/>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94D5A">
      <w:pPr>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CA4048" w:rsidP="00CA4048">
      <w:pPr>
        <w:pStyle w:val="LTUeberschrRessort"/>
      </w:pPr>
      <w:r>
        <w:lastRenderedPageBreak/>
        <w:t>Geschäftsbereich der Staatskanzlei</w:t>
      </w:r>
      <w:r>
        <w:fldChar w:fldCharType="begin"/>
      </w:r>
      <w:r>
        <w:instrText xml:space="preserve"> TC </w:instrText>
      </w:r>
      <w:r w:rsidR="00C244B3">
        <w:instrText>„</w:instrText>
      </w:r>
      <w:bookmarkStart w:id="3" w:name="_Toc511895421"/>
      <w:r>
        <w:instrText>Geschäftsbereich der Staatskanzlei</w:instrText>
      </w:r>
      <w:bookmarkEnd w:id="3"/>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Ludwig</w:t>
            </w:r>
            <w:r w:rsidRPr="00CA4048">
              <w:rPr>
                <w:b/>
              </w:rPr>
              <w:br/>
              <w:t>Hartmann</w:t>
            </w:r>
            <w:r w:rsidRPr="00CA4048">
              <w:rPr>
                <w:b/>
              </w:rPr>
              <w:br/>
            </w:r>
            <w:r w:rsidRPr="00CA4048">
              <w:t>(BÜNDNIS 90/DIE GRÜNEN)</w:t>
            </w:r>
            <w:r>
              <w:fldChar w:fldCharType="begin"/>
            </w:r>
            <w:r>
              <w:instrText xml:space="preserve"> TC </w:instrText>
            </w:r>
            <w:r w:rsidR="00C244B3">
              <w:instrText>„</w:instrText>
            </w:r>
            <w:bookmarkStart w:id="4" w:name="_Toc511895422"/>
            <w:r>
              <w:instrText>Hartmann, Ludwig (BÜNDNIS 90/DIE GRÜNEN)</w:instrText>
            </w:r>
            <w:r>
              <w:br/>
              <w:instrText>Onlinewerbung bei Facebook durch die Staatsministerien</w:instrText>
            </w:r>
            <w:bookmarkEnd w:id="4"/>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welchen Betrag die Staatsministerien 2016 und 2017 direkt und indirekt für Onlinewerbung bei Facebook ausgegeben haben, wie sich dieser Betrag auf die jeweiligen Staatsministerien verteilt und welche konkreten Projekte damit beworben wurden?</w:t>
            </w:r>
          </w:p>
          <w:p w:rsidR="00CA4048" w:rsidRDefault="00CA4048" w:rsidP="00CA4048">
            <w:pPr>
              <w:pStyle w:val="LTAnfrageText"/>
            </w:pPr>
          </w:p>
        </w:tc>
      </w:tr>
    </w:tbl>
    <w:p w:rsidR="00CA4048" w:rsidRDefault="00CA4048" w:rsidP="00CA4048">
      <w:pPr>
        <w:pStyle w:val="LTUeberschrAntwortRessort"/>
      </w:pPr>
      <w:r>
        <w:t>Antwort der Staatskanzlei</w:t>
      </w:r>
    </w:p>
    <w:p w:rsidR="00CA4048" w:rsidRDefault="00CA4048" w:rsidP="00CA4048">
      <w:pPr>
        <w:pStyle w:val="LTAntwortRessortText"/>
      </w:pPr>
      <w:r>
        <w:t>Die Antwort der Staatskanzlei kann der Anlage</w:t>
      </w:r>
      <w:r w:rsidR="004E1035">
        <w:t>*</w:t>
      </w:r>
      <w:r>
        <w:t xml:space="preserve"> entnommen werden.</w:t>
      </w:r>
    </w:p>
    <w:p w:rsidR="00CA4048" w:rsidRDefault="004E1035" w:rsidP="00CA4048">
      <w:pPr>
        <w:pStyle w:val="LTAntwortRessortText"/>
        <w:rPr>
          <w:sz w:val="24"/>
          <w:vertAlign w:val="superscript"/>
        </w:rPr>
      </w:pPr>
      <w:r w:rsidRPr="004E1035">
        <w:rPr>
          <w:sz w:val="24"/>
          <w:vertAlign w:val="superscript"/>
        </w:rPr>
        <w:t xml:space="preserve">*) Von einem Abdruck wurde abgesehen. Die Anlage ist als pdf-Dokument </w:t>
      </w:r>
      <w:hyperlink r:id="rId15" w:history="1">
        <w:r w:rsidRPr="004F2277">
          <w:rPr>
            <w:rStyle w:val="Hyperlink"/>
            <w:sz w:val="24"/>
            <w:vertAlign w:val="superscript"/>
          </w:rPr>
          <w:t>hier</w:t>
        </w:r>
      </w:hyperlink>
      <w:r w:rsidRPr="004E1035">
        <w:rPr>
          <w:sz w:val="24"/>
          <w:vertAlign w:val="superscript"/>
        </w:rPr>
        <w:t xml:space="preserve"> einsehbar. </w:t>
      </w:r>
    </w:p>
    <w:p w:rsidR="00206975" w:rsidRPr="004E1035" w:rsidRDefault="00206975" w:rsidP="00CA4048">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Margit</w:t>
            </w:r>
            <w:r w:rsidRPr="00CA4048">
              <w:rPr>
                <w:b/>
              </w:rPr>
              <w:br/>
              <w:t>Wild</w:t>
            </w:r>
            <w:r w:rsidRPr="00CA4048">
              <w:rPr>
                <w:b/>
              </w:rPr>
              <w:br/>
            </w:r>
            <w:r w:rsidRPr="00CA4048">
              <w:t>(SPD)</w:t>
            </w:r>
            <w:r>
              <w:fldChar w:fldCharType="begin"/>
            </w:r>
            <w:r>
              <w:instrText xml:space="preserve"> TC </w:instrText>
            </w:r>
            <w:r w:rsidR="00C244B3">
              <w:instrText>„</w:instrText>
            </w:r>
            <w:bookmarkStart w:id="5" w:name="_Toc511895423"/>
            <w:r>
              <w:instrText>Wild, Margit (SPD)</w:instrText>
            </w:r>
            <w:r>
              <w:br/>
              <w:instrText>Umbau und Pläne der Staatsregierung</w:instrText>
            </w:r>
            <w:bookmarkEnd w:id="5"/>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welche jährlichen Mehrausgaben der vom neuen Ministerpräsidenten Dr. Markus Söder angestoßene Personalumbau innerhalb der Staatsregierung verursachen wird (bitte nach Versetzungen, Beförderungen, neu geschaffenen Stellen sowie Ressorts aufschlüsseln) und wie hoch der jährliche Finanzbedarf für die Realisierung der vom neuen Ministerpräsidenten in seinen Verlautbarungen (Zehn-Punkte-Plan usw.) angekündigten Maßnahmen ausfallen wird (bitte nach Ressort und Maßnahme aufschlüsseln)?</w:t>
            </w:r>
          </w:p>
          <w:p w:rsidR="00CA4048" w:rsidRDefault="00CA4048" w:rsidP="00CA4048">
            <w:pPr>
              <w:pStyle w:val="LTAnfrageText"/>
            </w:pPr>
          </w:p>
        </w:tc>
      </w:tr>
    </w:tbl>
    <w:p w:rsidR="00CA4048" w:rsidRDefault="00CA4048" w:rsidP="00CA4048">
      <w:pPr>
        <w:pStyle w:val="LTUeberschrAntwortRessort"/>
      </w:pPr>
      <w:r>
        <w:t>Antwort der Staatskanzlei</w:t>
      </w:r>
    </w:p>
    <w:p w:rsidR="00CA4048" w:rsidRDefault="00FD5C44" w:rsidP="00CA4048">
      <w:pPr>
        <w:pStyle w:val="LTAntwortRessortText"/>
      </w:pPr>
      <w:r w:rsidRPr="00FD5C44">
        <w:t>Dem Landtag als Haushaltsgesetzgeber wird der Regierungsentwurf des 2. Nachtragshaushalts 2018 förmlich zugeleitet. Der Entwurf umfasst die aus Sicht der Staatsregierung für das Haushaltsjahr 2018 erforderlichen Stellen und Mittel.</w:t>
      </w:r>
    </w:p>
    <w:p w:rsidR="00206975" w:rsidRDefault="00206975">
      <w:pPr>
        <w:rPr>
          <w:rFonts w:cs="Arial"/>
          <w:b/>
          <w:sz w:val="22"/>
          <w:szCs w:val="22"/>
        </w:rPr>
      </w:pPr>
      <w:r>
        <w:br w:type="page"/>
      </w:r>
    </w:p>
    <w:p w:rsidR="00CA4048" w:rsidRDefault="00CA4048" w:rsidP="00CA4048">
      <w:pPr>
        <w:pStyle w:val="LTUeberschrRessort"/>
      </w:pPr>
      <w:r>
        <w:lastRenderedPageBreak/>
        <w:t>Geschäftsbereich des Staatsministeriums des Innern und für Integration</w:t>
      </w:r>
      <w:r>
        <w:fldChar w:fldCharType="begin"/>
      </w:r>
      <w:r>
        <w:instrText xml:space="preserve"> TC </w:instrText>
      </w:r>
      <w:r w:rsidR="00C244B3">
        <w:instrText>„</w:instrText>
      </w:r>
      <w:bookmarkStart w:id="6" w:name="_Toc511895424"/>
      <w:r>
        <w:instrText>Geschäftsbereich des Staatsministeriums des Innern und für Integration</w:instrText>
      </w:r>
      <w:bookmarkEnd w:id="6"/>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Susann</w:t>
            </w:r>
            <w:r w:rsidRPr="00CA4048">
              <w:rPr>
                <w:b/>
              </w:rPr>
              <w:br/>
              <w:t>Biedefeld</w:t>
            </w:r>
            <w:r w:rsidRPr="00CA4048">
              <w:rPr>
                <w:b/>
              </w:rPr>
              <w:br/>
            </w:r>
            <w:r w:rsidRPr="00CA4048">
              <w:t>(SPD)</w:t>
            </w:r>
            <w:r>
              <w:fldChar w:fldCharType="begin"/>
            </w:r>
            <w:r>
              <w:instrText xml:space="preserve"> TC </w:instrText>
            </w:r>
            <w:r w:rsidR="00C244B3">
              <w:instrText>„</w:instrText>
            </w:r>
            <w:bookmarkStart w:id="7" w:name="_Toc511895425"/>
            <w:r>
              <w:instrText>Biedefeld, Susann (SPD)</w:instrText>
            </w:r>
            <w:r>
              <w:br/>
              <w:instrText>Fehlende Notärzte in Oberfranken</w:instrText>
            </w:r>
            <w:bookmarkEnd w:id="7"/>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wie viele Notärzte gibt es in Oberfranken (bitte aufgeschlüsselt nach Landkreisen bzw. Rettungszweckverbänden), wie viele Notärzte müssten tatsächlich </w:t>
            </w:r>
            <w:r w:rsidR="00C244B3">
              <w:t>„</w:t>
            </w:r>
            <w:r>
              <w:t>vorgehalten</w:t>
            </w:r>
            <w:r w:rsidR="00C244B3">
              <w:t>“</w:t>
            </w:r>
            <w:r>
              <w:t xml:space="preserve"> werden, um Oberfranken in Notfällen ausreichend rund um die Uhr (inkl. aller Rettungswachen) abzudecken und die Notfallrettung sicherzustellen und wie will die Staatsregierung in Zusammenarbeit mit den zuständigen Organisationen (z. B. Kassenärztliche Vereinigung) konkret dafür sorgen, das Problem im Notarztwesen zu beheben und ausreichend Notärzte zu haben, um die gesetzliche Hilfsfrist einzuhalten?</w:t>
            </w:r>
          </w:p>
          <w:p w:rsidR="00CA4048" w:rsidRDefault="00CA4048" w:rsidP="00CA4048">
            <w:pPr>
              <w:pStyle w:val="LTAnfrageText"/>
            </w:pPr>
          </w:p>
        </w:tc>
      </w:tr>
    </w:tbl>
    <w:p w:rsidR="00CA4048" w:rsidRDefault="00CA4048" w:rsidP="00CA4048">
      <w:pPr>
        <w:pStyle w:val="LTUeberschrAntwortRessort"/>
      </w:pPr>
      <w:r>
        <w:t>Antwort des Staatsministeriums des Innern und für Integration</w:t>
      </w:r>
    </w:p>
    <w:p w:rsidR="00CA4048" w:rsidRDefault="00CA4048" w:rsidP="00CA4048">
      <w:pPr>
        <w:pStyle w:val="LTAntwortRessortText"/>
      </w:pPr>
      <w:r>
        <w:t xml:space="preserve">Nach Art. 14 Abs. 2 </w:t>
      </w:r>
      <w:r w:rsidR="00703C5A">
        <w:t>Bayerisches Rettungsdienstgesetz (BayRDG) liegt der Sicherstel</w:t>
      </w:r>
      <w:r>
        <w:t>lungsauftrag für den Notarztdienst bei der Kassenärztlichen Vereinigung Bayerns (KVB) und den Zweckverbänden für Rettungsdienst und Feuerwehralarmier</w:t>
      </w:r>
      <w:r w:rsidR="00703C5A">
        <w:t>ung. Praktisch wird er weitest</w:t>
      </w:r>
      <w:r>
        <w:t xml:space="preserve">gehend von der KVB wahrgenommen. Das Staatsministerium des Innern und für Integration </w:t>
      </w:r>
      <w:r w:rsidR="00C06F43">
        <w:t xml:space="preserve">(StMI) </w:t>
      </w:r>
      <w:r>
        <w:t>verfügt deswegen nicht über ein Verzeichnis aller Notärzte.</w:t>
      </w:r>
    </w:p>
    <w:p w:rsidR="00CA4048" w:rsidRDefault="00CA4048" w:rsidP="00CA4048">
      <w:pPr>
        <w:pStyle w:val="LTAntwortRessortText"/>
      </w:pPr>
      <w:r>
        <w:t>In Oberfranken gibt es die folgenden Notarztstandorte:</w:t>
      </w:r>
    </w:p>
    <w:p w:rsidR="00CA4048" w:rsidRDefault="00CA4048" w:rsidP="00CA4048">
      <w:pPr>
        <w:pStyle w:val="LTAntwortRessortText"/>
      </w:pPr>
    </w:p>
    <w:tbl>
      <w:tblPr>
        <w:tblStyle w:val="TableNormal"/>
        <w:tblW w:w="0" w:type="auto"/>
        <w:tblInd w:w="290" w:type="dxa"/>
        <w:tblLayout w:type="fixed"/>
        <w:tblLook w:val="01E0" w:firstRow="1" w:lastRow="1" w:firstColumn="1" w:lastColumn="1" w:noHBand="0" w:noVBand="0"/>
      </w:tblPr>
      <w:tblGrid>
        <w:gridCol w:w="2047"/>
        <w:gridCol w:w="2047"/>
        <w:gridCol w:w="2050"/>
        <w:gridCol w:w="2047"/>
      </w:tblGrid>
      <w:tr w:rsidR="00703C5A" w:rsidTr="00703C5A">
        <w:trPr>
          <w:trHeight w:hRule="exact" w:val="355"/>
        </w:trPr>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Bamberg</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5" w:lineRule="exact"/>
              <w:ind w:left="102"/>
              <w:rPr>
                <w:rFonts w:ascii="Times New Roman" w:eastAsia="Times New Roman" w:hAnsi="Times New Roman" w:cs="Times New Roman"/>
                <w:sz w:val="20"/>
                <w:szCs w:val="20"/>
              </w:rPr>
            </w:pPr>
            <w:r>
              <w:rPr>
                <w:rFonts w:ascii="Times New Roman" w:hAnsi="Times New Roman"/>
                <w:spacing w:val="-1"/>
                <w:sz w:val="20"/>
              </w:rPr>
              <w:t>Gräfenberg</w:t>
            </w:r>
          </w:p>
        </w:tc>
        <w:tc>
          <w:tcPr>
            <w:tcW w:w="2050"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5" w:lineRule="exact"/>
              <w:ind w:left="104"/>
              <w:rPr>
                <w:rFonts w:ascii="Times New Roman" w:eastAsia="Times New Roman" w:hAnsi="Times New Roman" w:cs="Times New Roman"/>
                <w:sz w:val="20"/>
                <w:szCs w:val="20"/>
              </w:rPr>
            </w:pPr>
            <w:r>
              <w:rPr>
                <w:rFonts w:ascii="Times New Roman" w:hAnsi="Times New Roman"/>
                <w:spacing w:val="-1"/>
                <w:sz w:val="20"/>
              </w:rPr>
              <w:t>Münchberg</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5" w:lineRule="exact"/>
              <w:ind w:left="102"/>
              <w:rPr>
                <w:rFonts w:ascii="Times New Roman" w:eastAsia="Times New Roman" w:hAnsi="Times New Roman" w:cs="Times New Roman"/>
                <w:sz w:val="20"/>
                <w:szCs w:val="20"/>
              </w:rPr>
            </w:pPr>
            <w:r>
              <w:rPr>
                <w:rFonts w:ascii="Times New Roman" w:hAnsi="Times New Roman"/>
                <w:spacing w:val="-1"/>
                <w:sz w:val="20"/>
              </w:rPr>
              <w:t>Schlüsselfeld</w:t>
            </w:r>
          </w:p>
        </w:tc>
      </w:tr>
      <w:tr w:rsidR="00703C5A" w:rsidTr="00703C5A">
        <w:trPr>
          <w:trHeight w:hRule="exact" w:val="355"/>
        </w:trPr>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Bayreuth</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z w:val="20"/>
              </w:rPr>
              <w:t>Hof</w:t>
            </w:r>
          </w:p>
        </w:tc>
        <w:tc>
          <w:tcPr>
            <w:tcW w:w="2050"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4"/>
              <w:rPr>
                <w:rFonts w:ascii="Times New Roman" w:eastAsia="Times New Roman" w:hAnsi="Times New Roman" w:cs="Times New Roman"/>
                <w:sz w:val="20"/>
                <w:szCs w:val="20"/>
              </w:rPr>
            </w:pPr>
            <w:r>
              <w:rPr>
                <w:rFonts w:ascii="Times New Roman"/>
                <w:spacing w:val="-1"/>
                <w:sz w:val="20"/>
              </w:rPr>
              <w:t>Naila</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Selb</w:t>
            </w:r>
          </w:p>
        </w:tc>
      </w:tr>
      <w:tr w:rsidR="00703C5A" w:rsidTr="00703C5A">
        <w:trPr>
          <w:trHeight w:hRule="exact" w:val="355"/>
        </w:trPr>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Burgkunstadt</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Kronach</w:t>
            </w:r>
          </w:p>
        </w:tc>
        <w:tc>
          <w:tcPr>
            <w:tcW w:w="2050"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4"/>
              <w:rPr>
                <w:rFonts w:ascii="Times New Roman" w:eastAsia="Times New Roman" w:hAnsi="Times New Roman" w:cs="Times New Roman"/>
                <w:sz w:val="20"/>
                <w:szCs w:val="20"/>
              </w:rPr>
            </w:pPr>
            <w:r>
              <w:rPr>
                <w:rFonts w:ascii="Times New Roman"/>
                <w:spacing w:val="-1"/>
                <w:sz w:val="20"/>
              </w:rPr>
              <w:t>Neustadt</w:t>
            </w:r>
            <w:r>
              <w:rPr>
                <w:rFonts w:ascii="Times New Roman"/>
                <w:spacing w:val="-8"/>
                <w:sz w:val="20"/>
              </w:rPr>
              <w:t xml:space="preserve"> </w:t>
            </w:r>
            <w:r>
              <w:rPr>
                <w:rFonts w:ascii="Times New Roman"/>
                <w:sz w:val="20"/>
              </w:rPr>
              <w:t>bei</w:t>
            </w:r>
            <w:r>
              <w:rPr>
                <w:rFonts w:ascii="Times New Roman"/>
                <w:spacing w:val="-8"/>
                <w:sz w:val="20"/>
              </w:rPr>
              <w:t xml:space="preserve"> </w:t>
            </w:r>
            <w:r>
              <w:rPr>
                <w:rFonts w:ascii="Times New Roman"/>
                <w:sz w:val="20"/>
              </w:rPr>
              <w:t>Coburg</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Stadtsteinach</w:t>
            </w:r>
          </w:p>
        </w:tc>
      </w:tr>
      <w:tr w:rsidR="00703C5A" w:rsidTr="00703C5A">
        <w:trPr>
          <w:trHeight w:hRule="exact" w:val="355"/>
        </w:trPr>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Coburg</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Kulmbach</w:t>
            </w:r>
          </w:p>
        </w:tc>
        <w:tc>
          <w:tcPr>
            <w:tcW w:w="2050"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4"/>
              <w:rPr>
                <w:rFonts w:ascii="Times New Roman" w:eastAsia="Times New Roman" w:hAnsi="Times New Roman" w:cs="Times New Roman"/>
                <w:sz w:val="20"/>
                <w:szCs w:val="20"/>
              </w:rPr>
            </w:pPr>
            <w:r>
              <w:rPr>
                <w:rFonts w:ascii="Times New Roman"/>
                <w:spacing w:val="-1"/>
                <w:sz w:val="20"/>
              </w:rPr>
              <w:t>Pegnitz</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Steinbach</w:t>
            </w:r>
            <w:r>
              <w:rPr>
                <w:rFonts w:ascii="Times New Roman"/>
                <w:spacing w:val="-9"/>
                <w:sz w:val="20"/>
              </w:rPr>
              <w:t xml:space="preserve"> </w:t>
            </w:r>
            <w:r>
              <w:rPr>
                <w:rFonts w:ascii="Times New Roman"/>
                <w:spacing w:val="1"/>
                <w:sz w:val="20"/>
              </w:rPr>
              <w:t>am</w:t>
            </w:r>
            <w:r>
              <w:rPr>
                <w:rFonts w:ascii="Times New Roman"/>
                <w:spacing w:val="-11"/>
                <w:sz w:val="20"/>
              </w:rPr>
              <w:t xml:space="preserve"> </w:t>
            </w:r>
            <w:r>
              <w:rPr>
                <w:rFonts w:ascii="Times New Roman"/>
                <w:sz w:val="20"/>
              </w:rPr>
              <w:t>Wald</w:t>
            </w:r>
          </w:p>
        </w:tc>
      </w:tr>
      <w:tr w:rsidR="00703C5A" w:rsidTr="00703C5A">
        <w:trPr>
          <w:trHeight w:hRule="exact" w:val="355"/>
        </w:trPr>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Ebermannstadt</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Lichtenfels</w:t>
            </w:r>
          </w:p>
        </w:tc>
        <w:tc>
          <w:tcPr>
            <w:tcW w:w="2050"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4"/>
              <w:rPr>
                <w:rFonts w:ascii="Times New Roman" w:eastAsia="Times New Roman" w:hAnsi="Times New Roman" w:cs="Times New Roman"/>
                <w:sz w:val="20"/>
                <w:szCs w:val="20"/>
              </w:rPr>
            </w:pPr>
            <w:r>
              <w:rPr>
                <w:rFonts w:ascii="Times New Roman"/>
                <w:spacing w:val="-1"/>
                <w:sz w:val="20"/>
              </w:rPr>
              <w:t>Pressig</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Steinwiesen</w:t>
            </w:r>
          </w:p>
        </w:tc>
      </w:tr>
      <w:tr w:rsidR="00703C5A" w:rsidTr="00703C5A">
        <w:trPr>
          <w:trHeight w:hRule="exact" w:val="355"/>
        </w:trPr>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Forchheim</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Marktredwitz</w:t>
            </w:r>
          </w:p>
        </w:tc>
        <w:tc>
          <w:tcPr>
            <w:tcW w:w="2050"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4"/>
              <w:rPr>
                <w:rFonts w:ascii="Times New Roman" w:eastAsia="Times New Roman" w:hAnsi="Times New Roman" w:cs="Times New Roman"/>
                <w:sz w:val="20"/>
                <w:szCs w:val="20"/>
              </w:rPr>
            </w:pPr>
            <w:r>
              <w:rPr>
                <w:rFonts w:ascii="Times New Roman" w:hAnsi="Times New Roman"/>
                <w:spacing w:val="-1"/>
                <w:sz w:val="20"/>
              </w:rPr>
              <w:t>Scheßlitz</w:t>
            </w:r>
          </w:p>
        </w:tc>
        <w:tc>
          <w:tcPr>
            <w:tcW w:w="2047" w:type="dxa"/>
            <w:tcBorders>
              <w:top w:val="single" w:sz="5" w:space="0" w:color="000000"/>
              <w:left w:val="single" w:sz="5" w:space="0" w:color="000000"/>
              <w:bottom w:val="single" w:sz="5" w:space="0" w:color="000000"/>
              <w:right w:val="single" w:sz="5" w:space="0" w:color="000000"/>
            </w:tcBorders>
          </w:tcPr>
          <w:p w:rsidR="00703C5A" w:rsidRDefault="00703C5A" w:rsidP="00923CC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Wunsiedel</w:t>
            </w:r>
          </w:p>
        </w:tc>
      </w:tr>
    </w:tbl>
    <w:p w:rsidR="00CA4048" w:rsidRDefault="00CA4048" w:rsidP="00CA4048">
      <w:pPr>
        <w:pStyle w:val="LTAntwortRessortText"/>
      </w:pPr>
      <w:r>
        <w:t xml:space="preserve">Grundsätzlich soll jeder Notarztstandort rund um die Uhr besetzt sein. Dazu ist üblicherweise ein 12-Stunden-Schichtmodell vorgesehen. Die Notärzte vor Ort haben aber die Möglichkeit, ihre Schichten individuell aufzuteilen. Vorhandene Notärzte sind zudem nicht verpflichtet, eine bestimmte Zahl an Schichten pro Monat zu übernehmen, sodass durchaus Notärzte regional vorhanden sein können, die aber keine Dienste leisten. Eine konkrete Zahl, wie viele Notärzte erforderlich sind, um einen Standort zu betreiben, kann daher nicht genannt werden. Im ersten Quartal 2018 waren die Standorte zu 98,49 </w:t>
      </w:r>
      <w:r w:rsidR="00C244B3">
        <w:t>Prozent</w:t>
      </w:r>
      <w:r>
        <w:t xml:space="preserve"> der Zeit besetzt, was leicht über dem bayerischen Durchschnitt liegt.</w:t>
      </w:r>
    </w:p>
    <w:p w:rsidR="00CA4048" w:rsidRDefault="00CA4048" w:rsidP="00CA4048">
      <w:pPr>
        <w:pStyle w:val="LTAntwortRessortText"/>
      </w:pPr>
      <w:r>
        <w:t>Was die sogenannte Hilfsfrist anbelangt, so sei darauf hingewi</w:t>
      </w:r>
      <w:r w:rsidR="00746CBD">
        <w:t>esen, dass diese nach § 2 Abs. </w:t>
      </w:r>
      <w:r>
        <w:t>1 Satz 3 Ausführungsverordnung zum Bayeri</w:t>
      </w:r>
      <w:r w:rsidR="00703C5A">
        <w:t>schen Rettungsdienstgesetz (AV</w:t>
      </w:r>
      <w:r>
        <w:t>BayRDG) und Art.</w:t>
      </w:r>
      <w:r w:rsidR="00703C5A">
        <w:t> </w:t>
      </w:r>
      <w:r>
        <w:t xml:space="preserve">2 Abs. 7 Satz 2 BayRDG primär von Rettungswägen eingehalten werden soll, also von der Besetzung der Notarztstandorte unabhängig ist. Der Grad der Fristerreichung der </w:t>
      </w:r>
      <w:r w:rsidR="00C244B3">
        <w:t>„</w:t>
      </w:r>
      <w:r>
        <w:t>Hilfsfrist</w:t>
      </w:r>
      <w:r w:rsidR="00C244B3">
        <w:t>“</w:t>
      </w:r>
      <w:r>
        <w:t xml:space="preserve"> stellt damit keine taugliche Grundlage dar, um</w:t>
      </w:r>
      <w:r w:rsidR="00703C5A">
        <w:t xml:space="preserve"> den Bedarf an Notärzten zu be</w:t>
      </w:r>
      <w:r>
        <w:t>rechnen.</w:t>
      </w:r>
    </w:p>
    <w:p w:rsidR="00CA4048" w:rsidRDefault="00CA4048" w:rsidP="00CA4048">
      <w:pPr>
        <w:pStyle w:val="LTAntwortRessortText"/>
      </w:pPr>
      <w:r>
        <w:t>Der Notarztmangel ist eine Ausprägung des abseits der größeren Städte auch bestehenden Ärz</w:t>
      </w:r>
      <w:r w:rsidR="00C06F43">
        <w:t>tinnen- und Ärzte</w:t>
      </w:r>
      <w:r>
        <w:t xml:space="preserve">mangels und insofern nur im Zuge dieses übergeordneten Problems lösbar. Im </w:t>
      </w:r>
      <w:r>
        <w:lastRenderedPageBreak/>
        <w:t xml:space="preserve">Rahmen der vorhandenen Ressourcen verfolgt das </w:t>
      </w:r>
      <w:r w:rsidR="00C06F43">
        <w:t>StMI</w:t>
      </w:r>
      <w:r>
        <w:t xml:space="preserve"> derzeit die Etablierung der Telemedizin im Rettungsdienst (sog. Telenotarzt) und setzt damit die Empfehlungen der Enquete-Kommission </w:t>
      </w:r>
      <w:r w:rsidR="00C244B3">
        <w:t>„</w:t>
      </w:r>
      <w:r>
        <w:t>Gleichwertige Lebensverhältnisse</w:t>
      </w:r>
      <w:r w:rsidR="00C244B3">
        <w:t>“</w:t>
      </w:r>
      <w:r>
        <w:t xml:space="preserve"> um (vgl. deren Abschlussbericht in Drs. 17/19700, S. 126). Auch durch </w:t>
      </w:r>
      <w:r w:rsidR="00C06F43">
        <w:t>die mit der Einführung der Notfallsanitäterin bzw. des Not</w:t>
      </w:r>
      <w:r>
        <w:t>fallsanitäters im Jahr 2014 gestiegenen Kompetenzen des nicht-</w:t>
      </w:r>
      <w:r w:rsidR="00C06F43">
        <w:t>ärztlichen Rettungsdienstperso</w:t>
      </w:r>
      <w:r>
        <w:t>nals ist eine Entlastung der Ressource Notarzt und damit deren</w:t>
      </w:r>
      <w:r w:rsidR="00C06F43">
        <w:t xml:space="preserve"> Allokation zu Patienten zu er</w:t>
      </w:r>
      <w:r>
        <w:t>warten, deren Gesundheit tatsächlich so bedroht ist, dass eine sofortige ärztliche Versorgung erforderlich ist.</w:t>
      </w:r>
    </w:p>
    <w:p w:rsidR="00206975" w:rsidRDefault="00206975"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Prof. Dr. Peter Paul</w:t>
            </w:r>
            <w:r w:rsidRPr="00CA4048">
              <w:rPr>
                <w:b/>
              </w:rPr>
              <w:br/>
              <w:t>Gantzer</w:t>
            </w:r>
            <w:r w:rsidRPr="00CA4048">
              <w:rPr>
                <w:b/>
              </w:rPr>
              <w:br/>
            </w:r>
            <w:r w:rsidRPr="00CA4048">
              <w:t>(SPD)</w:t>
            </w:r>
            <w:r>
              <w:fldChar w:fldCharType="begin"/>
            </w:r>
            <w:r>
              <w:instrText xml:space="preserve"> TC </w:instrText>
            </w:r>
            <w:r w:rsidR="00C244B3">
              <w:instrText>„</w:instrText>
            </w:r>
            <w:bookmarkStart w:id="8" w:name="_Toc511895426"/>
            <w:r>
              <w:instrText>Prof. Dr. Gantzer, Peter Paul (SPD)</w:instrText>
            </w:r>
            <w:r>
              <w:br/>
              <w:instrText>Schmerzensgeld wegen Beleidigungen von Polizistinnen und Polizisten</w:instrText>
            </w:r>
            <w:bookmarkEnd w:id="8"/>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ist es aus ihrer Sicht zutreffend, dass bei der Geltendmachung von Schmerzensgeld (durch die Gewerkschaft) wegen einfacher Beleidigungen eine Dienstpflichtverletzung</w:t>
            </w:r>
            <w:r w:rsidR="00C244B3">
              <w:t xml:space="preserve"> </w:t>
            </w:r>
            <w:r>
              <w:t xml:space="preserve">des Geschädigten vorliegt, wie wurde bisher mit dieser Form der </w:t>
            </w:r>
            <w:r w:rsidR="00C244B3">
              <w:t>„</w:t>
            </w:r>
            <w:r>
              <w:t>Dienstpflichtverletzung</w:t>
            </w:r>
            <w:r w:rsidR="00C244B3">
              <w:t>“</w:t>
            </w:r>
            <w:r>
              <w:t xml:space="preserve"> </w:t>
            </w:r>
            <w:r w:rsidR="005779E3">
              <w:t>d</w:t>
            </w:r>
            <w:r>
              <w:t>isziplinarrechtlich umgegangen und wie wird sich die Staatsregierung in Zukunft in diesen Fällen verhalten?</w:t>
            </w:r>
          </w:p>
          <w:p w:rsidR="00CA4048" w:rsidRDefault="00CA4048" w:rsidP="00CA4048">
            <w:pPr>
              <w:pStyle w:val="LTAnfrageText"/>
            </w:pPr>
          </w:p>
        </w:tc>
      </w:tr>
    </w:tbl>
    <w:p w:rsidR="00CA4048" w:rsidRDefault="00CA4048" w:rsidP="00CA4048">
      <w:pPr>
        <w:pStyle w:val="LTUeberschrAntwortRessort"/>
      </w:pPr>
      <w:r>
        <w:t>Antwort des Staatsministeriums des Innern und für Integration</w:t>
      </w:r>
    </w:p>
    <w:p w:rsidR="00CA4048" w:rsidRPr="006B76D0" w:rsidRDefault="00CA4048" w:rsidP="00206975">
      <w:pPr>
        <w:pStyle w:val="LTAntwortRessortText"/>
        <w:spacing w:before="360"/>
        <w:rPr>
          <w:spacing w:val="-4"/>
        </w:rPr>
      </w:pPr>
      <w:r w:rsidRPr="006B76D0">
        <w:rPr>
          <w:spacing w:val="-4"/>
        </w:rPr>
        <w:t>Ausweislich der einschlägigen Rechtsprechung besteht bei Be</w:t>
      </w:r>
      <w:r w:rsidR="00971120" w:rsidRPr="006B76D0">
        <w:rPr>
          <w:spacing w:val="-4"/>
        </w:rPr>
        <w:t>leidigungen nur in Ausnahmefäl</w:t>
      </w:r>
      <w:r w:rsidRPr="006B76D0">
        <w:rPr>
          <w:spacing w:val="-4"/>
        </w:rPr>
        <w:t>len ein Anspruch der Beamten auf Schmerzensgeld (u. a. L</w:t>
      </w:r>
      <w:r w:rsidR="00971120" w:rsidRPr="006B76D0">
        <w:rPr>
          <w:spacing w:val="-4"/>
        </w:rPr>
        <w:t>andesgericht Oldenburg, Beschluss</w:t>
      </w:r>
      <w:r w:rsidRPr="006B76D0">
        <w:rPr>
          <w:spacing w:val="-4"/>
        </w:rPr>
        <w:t xml:space="preserve"> v. 04.03.2004, Az. 1 BvR 2098/01; </w:t>
      </w:r>
      <w:r w:rsidR="00971120" w:rsidRPr="006B76D0">
        <w:rPr>
          <w:spacing w:val="-4"/>
        </w:rPr>
        <w:t>Oberlandesgericht Stuttgart, Beschluss</w:t>
      </w:r>
      <w:r w:rsidRPr="006B76D0">
        <w:rPr>
          <w:spacing w:val="-4"/>
        </w:rPr>
        <w:t xml:space="preserve"> v. 22.05.2014, Az. 1 Ss 270/14).</w:t>
      </w:r>
    </w:p>
    <w:p w:rsidR="00CA4048" w:rsidRDefault="00CA4048" w:rsidP="00206975">
      <w:pPr>
        <w:pStyle w:val="LTAntwortRessortText"/>
        <w:spacing w:before="360"/>
      </w:pPr>
      <w:r>
        <w:t>Die Annahme eines außergerichtlichen Schmerzensgeldes stellt gleichwohl grundsätzlich kein Dienstvergehen dar.</w:t>
      </w:r>
    </w:p>
    <w:p w:rsidR="00CA4048" w:rsidRDefault="00CA4048" w:rsidP="00206975">
      <w:pPr>
        <w:pStyle w:val="LTAntwortRessortText"/>
        <w:spacing w:before="360"/>
      </w:pPr>
      <w:r>
        <w:t>Die Dienstausübung, beispielsweise der Verzicht auf die Stellung eines Strafantrags, darf aber nicht von d</w:t>
      </w:r>
      <w:r w:rsidR="00CC3498">
        <w:t>er Zahlung eines Schmerzensgeld</w:t>
      </w:r>
      <w:r>
        <w:t>s durch den Täter abhängig gemacht werden.</w:t>
      </w:r>
    </w:p>
    <w:p w:rsidR="00CA4048" w:rsidRDefault="00CA4048" w:rsidP="00206975">
      <w:pPr>
        <w:pStyle w:val="LTAntwortRessortText"/>
        <w:spacing w:before="360"/>
      </w:pPr>
      <w:r>
        <w:t xml:space="preserve">Ansonsten würde der Eindruck in der Öffentlichkeit entstehen, </w:t>
      </w:r>
      <w:r w:rsidR="003D34BE">
        <w:t xml:space="preserve">die Beamtin bzw. </w:t>
      </w:r>
      <w:r>
        <w:t>der Beamte würde sich durch seine Diensthandlung noch über seine Dienstbezüge hinaus einen weiteren Vorteil versprechen lassen.</w:t>
      </w:r>
    </w:p>
    <w:p w:rsidR="00CA4048" w:rsidRDefault="00CA4048" w:rsidP="00206975">
      <w:pPr>
        <w:pStyle w:val="LTAntwortRessortText"/>
        <w:spacing w:before="360"/>
      </w:pPr>
      <w:r>
        <w:t>Es steht aber</w:t>
      </w:r>
      <w:r w:rsidR="003D34BE">
        <w:t xml:space="preserve"> jeder Polizeibeamtin und</w:t>
      </w:r>
      <w:r>
        <w:t xml:space="preserve"> jedem Polizeibeamten frei, anwaltlich vertreten ein Schmerzensgeld gegenüber dem Täter zivilrechtlich oder im Rahmen des Adhäsionsverfahrens im Strafverfahren geltend zu machen. Die Gerichte werden aber </w:t>
      </w:r>
      <w:r w:rsidR="003D34BE">
        <w:t>–</w:t>
      </w:r>
      <w:r>
        <w:t xml:space="preserve"> wie oben dargelegt </w:t>
      </w:r>
      <w:r w:rsidR="003D34BE">
        <w:t>–</w:t>
      </w:r>
      <w:r>
        <w:t xml:space="preserve"> nur in seltenen Fällen einen Schmerzensgeldanspruch zusprechen. Wird eine entsprechende Anfrage an den Dienstherrn gestellt, ist es aus Gründen der Fürsorgepflicht gegenüber </w:t>
      </w:r>
      <w:r w:rsidR="003D34BE">
        <w:t>der Beamtin und dem</w:t>
      </w:r>
      <w:r>
        <w:t xml:space="preserve"> Beamten geboten, diese auf das (Kosten)Risiko einer gerichtlichen Ge</w:t>
      </w:r>
      <w:r w:rsidR="00CC3498">
        <w:t>ltendmachung des Schmerzensgeld</w:t>
      </w:r>
      <w:r>
        <w:t>s hinzuweisen.</w:t>
      </w:r>
    </w:p>
    <w:p w:rsidR="00CA4048" w:rsidRDefault="00CA4048" w:rsidP="00206975">
      <w:pPr>
        <w:pStyle w:val="LTAntwortRessortText"/>
        <w:spacing w:before="360"/>
      </w:pPr>
      <w:r>
        <w:t>Eine disziplinarrechtliche Ahndung zu dieser Problematik ist hier nicht bekannt. Auch künftig ist regelmäßig nicht mit disziplinarrechtlichen Maßnahmen zu rechnen.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lastRenderedPageBreak/>
              <w:t>Abgeordnete</w:t>
            </w:r>
            <w:r w:rsidRPr="00CA4048">
              <w:br/>
            </w:r>
            <w:r w:rsidRPr="00CA4048">
              <w:rPr>
                <w:b/>
              </w:rPr>
              <w:t>Eva</w:t>
            </w:r>
            <w:r w:rsidRPr="00CA4048">
              <w:rPr>
                <w:b/>
              </w:rPr>
              <w:br/>
              <w:t>Gottstein</w:t>
            </w:r>
            <w:r w:rsidRPr="00CA4048">
              <w:rPr>
                <w:b/>
              </w:rPr>
              <w:br/>
            </w:r>
            <w:r w:rsidRPr="00CA4048">
              <w:t>(FREIE WÄHLER)</w:t>
            </w:r>
            <w:r>
              <w:fldChar w:fldCharType="begin"/>
            </w:r>
            <w:r>
              <w:instrText xml:space="preserve"> TC </w:instrText>
            </w:r>
            <w:r w:rsidR="00C244B3">
              <w:instrText>„</w:instrText>
            </w:r>
            <w:bookmarkStart w:id="9" w:name="_Toc511895427"/>
            <w:r>
              <w:instrText>Gottstein, Eva (FREIE WÄHLER)</w:instrText>
            </w:r>
            <w:r>
              <w:br/>
              <w:instrText>Überprüfung ausländischer (Identitäts-)Dokumente</w:instrText>
            </w:r>
            <w:bookmarkEnd w:id="9"/>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w:t>
            </w:r>
            <w:r w:rsidR="006B76D0">
              <w:t>ie viele sogenannte Dokumentenm</w:t>
            </w:r>
            <w:r>
              <w:t>ulti</w:t>
            </w:r>
            <w:r w:rsidR="004374E4">
              <w:softHyphen/>
            </w:r>
            <w:r>
              <w:t>pli</w:t>
            </w:r>
            <w:r w:rsidR="004374E4">
              <w:softHyphen/>
            </w:r>
            <w:r>
              <w:t>katoren gibt es in Bayern, wie viele Schulungen haben sie in den Jahren 2015 bis 2017 für bayerische Behörden durchgeführt und welche bayerischen Behörden (insbesondere Melde- und Ausländerbehörden, Führerscheinstellen, Zulassungsstellen, Standesämter) und bayerischen Gerichte (bitte einzeln aufführen) haben bisher Zugriff auf das Dokumenten-Informations-System der Bayerischen Polizei (DOKIS) (bitte auch Anzahl nennen)?</w:t>
            </w:r>
          </w:p>
          <w:p w:rsidR="00CA4048" w:rsidRDefault="00CA4048" w:rsidP="00CA4048">
            <w:pPr>
              <w:pStyle w:val="LTAnfrageText"/>
            </w:pPr>
          </w:p>
        </w:tc>
      </w:tr>
    </w:tbl>
    <w:p w:rsidR="00CA4048" w:rsidRDefault="00CA4048" w:rsidP="00CA4048">
      <w:pPr>
        <w:pStyle w:val="LTUeberschrAntwortRessort"/>
      </w:pPr>
      <w:r>
        <w:t>Antwort des Staatsministeriums des Innern und für Integration</w:t>
      </w:r>
    </w:p>
    <w:p w:rsidR="00CA4048" w:rsidRDefault="00CA4048" w:rsidP="00CA4048">
      <w:pPr>
        <w:pStyle w:val="LTAntwortRessortText"/>
      </w:pPr>
      <w:r>
        <w:t>In Bayern gibt es derzeit 91 Dokumentenmultiplikatoren.</w:t>
      </w:r>
    </w:p>
    <w:p w:rsidR="00CA4048" w:rsidRDefault="00CA4048" w:rsidP="00CA4048">
      <w:pPr>
        <w:pStyle w:val="LTAntwortRessortText"/>
      </w:pPr>
      <w:r>
        <w:t xml:space="preserve">Zur Anzahl der in den Jahren 2015 </w:t>
      </w:r>
      <w:r w:rsidR="004374E4">
        <w:t>bis</w:t>
      </w:r>
      <w:r>
        <w:t xml:space="preserve"> 2017 durchgeführten Schulungen werden keine zentralen Aufzeichnungen geführt. Hier wäre eine Erhebung bei allen Polizeiverbänden erforderlich, was im vorgegebenen Zeitrahmen</w:t>
      </w:r>
      <w:r w:rsidR="004374E4">
        <w:t xml:space="preserve"> zur Beantwortung einer Anfrage zum Plenum</w:t>
      </w:r>
      <w:r>
        <w:t xml:space="preserve"> nicht möglich ist.</w:t>
      </w:r>
    </w:p>
    <w:p w:rsidR="00CA4048" w:rsidRDefault="00CA4048" w:rsidP="00CA4048">
      <w:pPr>
        <w:pStyle w:val="LTAntwortRessortText"/>
      </w:pPr>
      <w:r>
        <w:t xml:space="preserve">In Bayern haben grundsätzlich alle Behörden Zugriff auf DOKIS, die das Bayerische </w:t>
      </w:r>
      <w:r w:rsidR="004374E4">
        <w:t>Behör</w:t>
      </w:r>
      <w:r>
        <w:t>dennetz (BYBN) nutzen. Dies sind insbesondere Landratsä</w:t>
      </w:r>
      <w:r w:rsidR="004374E4">
        <w:t>mter, Städte und Gemeinden ein</w:t>
      </w:r>
      <w:r>
        <w:t>schließlich deren Ämter (Ausländerbehörden, Führerscheinst</w:t>
      </w:r>
      <w:r w:rsidR="004374E4">
        <w:t>ellen, Zulassungsbehörden, Mel</w:t>
      </w:r>
      <w:r>
        <w:t>de-</w:t>
      </w:r>
      <w:r w:rsidR="004374E4">
        <w:t>,</w:t>
      </w:r>
      <w:r>
        <w:t xml:space="preserve"> Pass- und Personalausweisbehörden und Standesämter) sowie Staatsanwaltschaften und Gerichte. Wie viele bayerische Behörden das Angebot wahrnehmen und DOKIS momentan tatsächlich nutzen, kann nicht beurteilt werden, da es hierfür</w:t>
      </w:r>
      <w:r w:rsidR="004374E4">
        <w:t xml:space="preserve"> seit März 2018 keine Benutzer</w:t>
      </w:r>
      <w:r>
        <w:t>verwaltung mehr gibt.</w:t>
      </w:r>
    </w:p>
    <w:p w:rsidR="00CA4048" w:rsidRDefault="00CA4048" w:rsidP="00CA4048">
      <w:pPr>
        <w:pStyle w:val="LTAntwortRessortText"/>
      </w:pPr>
      <w:r>
        <w:t>Darüber hinaus können Behörden, die keinen Zugang zum BYBN haben, DOKIS auf DVD beim Landeskriminalamt anfordern, die dann nach Übe</w:t>
      </w:r>
      <w:r w:rsidR="004374E4">
        <w:t>rsendung bei den jeweiligen Be</w:t>
      </w:r>
      <w:r>
        <w:t>hörden lokal verwendet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Alexander</w:t>
            </w:r>
            <w:r w:rsidRPr="00CA4048">
              <w:rPr>
                <w:b/>
              </w:rPr>
              <w:br/>
              <w:t>König</w:t>
            </w:r>
            <w:r w:rsidRPr="00CA4048">
              <w:rPr>
                <w:b/>
              </w:rPr>
              <w:br/>
            </w:r>
            <w:r w:rsidRPr="00CA4048">
              <w:t>(CSU)</w:t>
            </w:r>
            <w:r>
              <w:fldChar w:fldCharType="begin"/>
            </w:r>
            <w:r>
              <w:instrText xml:space="preserve"> TC </w:instrText>
            </w:r>
            <w:r w:rsidR="00C244B3">
              <w:instrText>„</w:instrText>
            </w:r>
            <w:bookmarkStart w:id="10" w:name="_Toc511895428"/>
            <w:r>
              <w:instrText>König, Alexander (CSU)</w:instrText>
            </w:r>
            <w:r>
              <w:br/>
              <w:instrText>Rückführung nach Italien</w:instrText>
            </w:r>
            <w:bookmarkEnd w:id="10"/>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wie wenige abgelehnte Asylbewerberinnen und </w:t>
            </w:r>
            <w:r w:rsidR="0014545A">
              <w:br/>
            </w:r>
            <w:r>
              <w:t>-bewerber konnten im Jahr 2017 in das Erstaufnahmeland Italien zurückgeführt werden, ist es zutreffend, dass die Rückführung nach Italien dadurch maßgeblich erschwert wird, dass Italien sich weigert, die Rückführung dieses Personenkreises auf dem Landweg zu akzeptieren und was wurde bisher unternommen, um die Rückführung nicht nur auf dem aufwändigen Luft-, sondern auch auf dem Landweg vollziehen zu können?</w:t>
            </w:r>
          </w:p>
          <w:p w:rsidR="00CA4048" w:rsidRDefault="00CA4048" w:rsidP="00CA4048">
            <w:pPr>
              <w:pStyle w:val="LTAnfrageText"/>
            </w:pPr>
          </w:p>
        </w:tc>
      </w:tr>
    </w:tbl>
    <w:p w:rsidR="00CA4048" w:rsidRDefault="00CA4048" w:rsidP="00CA4048">
      <w:pPr>
        <w:pStyle w:val="LTUeberschrAntwortRessort"/>
      </w:pPr>
      <w:r>
        <w:t>Antwort des Staatsministeriums des Innern und für Integration</w:t>
      </w:r>
    </w:p>
    <w:p w:rsidR="00CA4048" w:rsidRDefault="00CA4048" w:rsidP="00CA4048">
      <w:pPr>
        <w:pStyle w:val="LTAntwortRessortText"/>
      </w:pPr>
      <w:r>
        <w:t>Nach den statistischen Angaben der Bundespolizei wurden im Jahr 2017 bundesweit insgesamt</w:t>
      </w:r>
      <w:r w:rsidR="00F4512E">
        <w:t xml:space="preserve"> </w:t>
      </w:r>
      <w:r>
        <w:t>2.321 Abschiebungen nach Italien vollzogen. Aus Bayern wurden im vergangenen Jahr 533 Personen nach Italien zurückgeführt. Eine statistische Differenzierung zwischen Personen, die im Rahmen der Dublin-Verordnung nach Italien rücküberstellt wurden, und Personen, denen von italieni</w:t>
      </w:r>
      <w:r>
        <w:lastRenderedPageBreak/>
        <w:t>schen Behörden ein Schutzstatus zuerkannt und die</w:t>
      </w:r>
      <w:r w:rsidR="00F4512E">
        <w:t xml:space="preserve"> deshalb nach Italien zurückge</w:t>
      </w:r>
      <w:r>
        <w:t>führt wurden, liegt der Staatsregierung nicht vor.</w:t>
      </w:r>
    </w:p>
    <w:p w:rsidR="00CA4048" w:rsidRDefault="00F4512E" w:rsidP="00CA4048">
      <w:pPr>
        <w:pStyle w:val="LTAntwortRessortText"/>
      </w:pPr>
      <w:r>
        <w:t>R</w:t>
      </w:r>
      <w:r w:rsidR="00CA4048">
        <w:t>ückführungen nach Italien werden derzeit ausschließlich über den Luftweg durchgeführt. Vorteile gegenüber einer Rückführung auf dem Landweg ergeben sich hierbei insbesondere aus der kürzeren Zeitdauer der Maßnahme und aus der sich nicht stellenden Notwendigkeit des Transits durch weitere Staaten, der zusätzliche tatsächliche und rechtliche Fragen aufwirft, die im Verhandlungsweg zu klären wären. Dazu gehört die Frag</w:t>
      </w:r>
      <w:r>
        <w:t>e der Durchbeförderungsgenehmi</w:t>
      </w:r>
      <w:r w:rsidR="00CA4048">
        <w:t>gungen oder Transitvisa ebenso wie Vereinbarungen über die Si</w:t>
      </w:r>
      <w:r>
        <w:t>cherheitsbegleitung. Die öster</w:t>
      </w:r>
      <w:r w:rsidR="00CA4048">
        <w:t>reichische Regierung hat sich hierzu gesprächsbereit gezeigt.</w:t>
      </w:r>
    </w:p>
    <w:p w:rsidR="00CA4048" w:rsidRDefault="00CA4048" w:rsidP="00CA4048">
      <w:pPr>
        <w:pStyle w:val="LTAntwortRessortText"/>
      </w:pPr>
      <w:r>
        <w:t>Die Zuständigkeit für die Verhandlungen mit Italien und gegebenenfalls mit Transitstaaten im Zusammenhang mit dem Vollzug der EU-Dublin-Verordnung</w:t>
      </w:r>
      <w:r w:rsidR="00F4512E">
        <w:t xml:space="preserve"> liegt beim Bund. Die Staatsre</w:t>
      </w:r>
      <w:r>
        <w:t>gierung hat die Bundesregierung stets aufgefordert, gegenüber Italien eine Steigerung der Zahl der Dublin Überstellungen durchzusetzen. Dabei kommen neben Sammelabschiebungen auf dem Luftweg auch Landabschiebungen als Möglichkeit in Betracht.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Alexander</w:t>
            </w:r>
            <w:r w:rsidRPr="00CA4048">
              <w:rPr>
                <w:b/>
              </w:rPr>
              <w:br/>
              <w:t>Muthmann</w:t>
            </w:r>
            <w:r w:rsidRPr="00CA4048">
              <w:rPr>
                <w:b/>
              </w:rPr>
              <w:br/>
            </w:r>
            <w:r w:rsidR="008B37AA">
              <w:t>(f</w:t>
            </w:r>
            <w:r w:rsidRPr="00CA4048">
              <w:t>raktionslos)</w:t>
            </w:r>
            <w:r>
              <w:fldChar w:fldCharType="begin"/>
            </w:r>
            <w:r>
              <w:instrText xml:space="preserve"> TC </w:instrText>
            </w:r>
            <w:r w:rsidR="00C244B3">
              <w:instrText>„</w:instrText>
            </w:r>
            <w:bookmarkStart w:id="11" w:name="_Toc511895429"/>
            <w:r>
              <w:instrText>Muthmann, Alexander (Fraktionslos)</w:instrText>
            </w:r>
            <w:r>
              <w:br/>
              <w:instrText>Einsätze auf Grundlage einer drohenden Gefahr</w:instrText>
            </w:r>
            <w:bookmarkEnd w:id="11"/>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wie oft seit 01.08.2017 Maßnahmen der Bayerischen Polizei mit einer drohenden Gefahr gem. Art. 11 Abs. 3 Satz 1 Polizeiaufgabengesetz (PAG) begründet wurden, welche jeweiligen bedeutenden Rechtsgüter gem. Art. 11 Abs. 3 Satz 2 PAG betroffen waren und welche konkreten Maßnahmen (bitte unter Angabe der Dauer) jeweils ergriffen wurden?</w:t>
            </w:r>
          </w:p>
          <w:p w:rsidR="00CA4048" w:rsidRDefault="00CA4048" w:rsidP="00CA4048">
            <w:pPr>
              <w:pStyle w:val="LTAnfrageText"/>
            </w:pPr>
          </w:p>
        </w:tc>
      </w:tr>
    </w:tbl>
    <w:p w:rsidR="00CA4048" w:rsidRDefault="00CA4048" w:rsidP="00CA4048">
      <w:pPr>
        <w:pStyle w:val="LTUeberschrAntwortRessort"/>
      </w:pPr>
      <w:r>
        <w:t>Antwort des Staatsministeriums des Innern und für Integration</w:t>
      </w:r>
    </w:p>
    <w:p w:rsidR="00CA4048" w:rsidRDefault="00CA4048" w:rsidP="00CA4048">
      <w:pPr>
        <w:pStyle w:val="LTAntwortRessortText"/>
      </w:pPr>
      <w:r>
        <w:t>Eine automatisierte statistische Auswertung über die Polizeiliche Kriminalstatistik (PKS), die nach bundesweit einheitlichen Kriterien geführt wird, bzw. ü</w:t>
      </w:r>
      <w:r w:rsidR="00AC2CC1">
        <w:t>ber das Vorgangsverwaltungssystem der Bayerischen</w:t>
      </w:r>
      <w:r>
        <w:t xml:space="preserve"> Polizei (IGVP) nach den getroffenen polizeilichen Maßnahmen gem. Art. 11 Abs. 3 </w:t>
      </w:r>
      <w:r w:rsidR="00AC2CC1">
        <w:t>Polizeiaufgabengesetz (</w:t>
      </w:r>
      <w:r>
        <w:t>PAG</w:t>
      </w:r>
      <w:r w:rsidR="00AC2CC1">
        <w:t>)</w:t>
      </w:r>
      <w:r>
        <w:t xml:space="preserve"> ist nicht möglich. Insofern können auch keine validen Aussagen zu den ggf. in den konkreten Fällen entsprechend tangierten Rechtsgütern </w:t>
      </w:r>
      <w:r w:rsidR="00AC2CC1">
        <w:t>und der Art der jeweiligen Maß</w:t>
      </w:r>
      <w:r>
        <w:t>nahmen einschließlich der jeweiligen Maßnahmendauer getroffen werden.</w:t>
      </w:r>
    </w:p>
    <w:p w:rsidR="00206975" w:rsidRDefault="00206975"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Markus</w:t>
            </w:r>
            <w:r w:rsidRPr="00CA4048">
              <w:rPr>
                <w:b/>
              </w:rPr>
              <w:br/>
              <w:t>Rinderspacher</w:t>
            </w:r>
            <w:r w:rsidRPr="00CA4048">
              <w:rPr>
                <w:b/>
              </w:rPr>
              <w:br/>
            </w:r>
            <w:r w:rsidRPr="00CA4048">
              <w:t>(SPD)</w:t>
            </w:r>
            <w:r>
              <w:fldChar w:fldCharType="begin"/>
            </w:r>
            <w:r>
              <w:instrText xml:space="preserve"> TC </w:instrText>
            </w:r>
            <w:r w:rsidR="00C244B3">
              <w:instrText>„</w:instrText>
            </w:r>
            <w:bookmarkStart w:id="12" w:name="_Toc511895430"/>
            <w:r>
              <w:instrText>Rinderspacher, Markus (SPD)</w:instrText>
            </w:r>
            <w:r>
              <w:br/>
              <w:instrText>Rechtsbehelfe bzw. Verfahrensdauer für Asylsachen</w:instrText>
            </w:r>
            <w:bookmarkEnd w:id="12"/>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206975">
            <w:pPr>
              <w:pStyle w:val="LTAnfrageText"/>
            </w:pPr>
            <w:r>
              <w:t>Ich frage die Staatsregierung, wie viele Rechtsbehelfe (Hauptsache- und Eilverfahren) gegen ablehnende Bescheide des Bundesamts für Migration und Flüchtlinge (BAMF) auf Zuerkennung von Asylberechtigung, Flüchtlingsschutz, subsidiären Schutz und Abschiebungsverbote waren zum 31.03.2018 an den sechs bayerischen Verwaltungsgerichten anhängig, wie lange war im Jahr 2017 und im 1. Quartal 2018 die Verfahrensdauer für Asylsachen (Hauptsacheverfahren und Verfahren des einstweiligen Rechtsschutzes) gegen ablehnende Entscheidungen des BAMF an den sechs bayerischen Verwaltungsgerichten, wie hoch waren im Jahr 2017 und im 1. Quartal 2018 die Anzahl der Berufungsverfahren in Asylsachen beim Bayerischen Verwaltungsgerichtshof?</w:t>
            </w:r>
          </w:p>
        </w:tc>
      </w:tr>
    </w:tbl>
    <w:p w:rsidR="00CA4048" w:rsidRDefault="00CA4048" w:rsidP="00CA4048">
      <w:pPr>
        <w:pStyle w:val="LTUeberschrAntwortRessort"/>
      </w:pPr>
      <w:r>
        <w:lastRenderedPageBreak/>
        <w:t>Antwort des Staatsministeriums des Innern und für Integration</w:t>
      </w:r>
    </w:p>
    <w:p w:rsidR="00CA4048" w:rsidRDefault="00CA4048" w:rsidP="00CA4048">
      <w:pPr>
        <w:pStyle w:val="LTAntwortRessortText"/>
      </w:pPr>
      <w:r>
        <w:t>Auf der Basis interner Erhebungen ergibt sich hinsichtlich de</w:t>
      </w:r>
      <w:r w:rsidR="00D14AC7">
        <w:t>r Zahl der anhängigen Rechtsbe</w:t>
      </w:r>
      <w:r>
        <w:t xml:space="preserve">helfe in Asylsachen (Hauptsacheverfahren und Verfahren des vorläufigen Rechtsschutzes) an den sechs bayerischen Verwaltungsgerichten zum </w:t>
      </w:r>
      <w:r w:rsidR="00D14AC7">
        <w:t>31.03.</w:t>
      </w:r>
      <w:r>
        <w:t>2018 Folgendes:</w:t>
      </w:r>
    </w:p>
    <w:p w:rsidR="00CA4048" w:rsidRDefault="00CA4048" w:rsidP="00CA4048">
      <w:pPr>
        <w:pStyle w:val="LTAntwortRessortText"/>
      </w:pPr>
    </w:p>
    <w:tbl>
      <w:tblPr>
        <w:tblStyle w:val="TableNormal"/>
        <w:tblW w:w="0" w:type="auto"/>
        <w:tblInd w:w="432" w:type="dxa"/>
        <w:tblLayout w:type="fixed"/>
        <w:tblLook w:val="01E0" w:firstRow="1" w:lastRow="1" w:firstColumn="1" w:lastColumn="1" w:noHBand="0" w:noVBand="0"/>
      </w:tblPr>
      <w:tblGrid>
        <w:gridCol w:w="1171"/>
        <w:gridCol w:w="1169"/>
        <w:gridCol w:w="1171"/>
        <w:gridCol w:w="1169"/>
        <w:gridCol w:w="1171"/>
        <w:gridCol w:w="1169"/>
        <w:gridCol w:w="1171"/>
      </w:tblGrid>
      <w:tr w:rsidR="00D14AC7" w:rsidRPr="00D14AC7" w:rsidTr="00D14AC7">
        <w:trPr>
          <w:trHeight w:hRule="exact" w:val="631"/>
        </w:trPr>
        <w:tc>
          <w:tcPr>
            <w:tcW w:w="1171"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before="1"/>
              <w:ind w:right="2"/>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2"/>
              <w:ind w:right="1"/>
              <w:jc w:val="center"/>
              <w:rPr>
                <w:rFonts w:ascii="Times New Roman" w:eastAsia="Times New Roman" w:hAnsi="Times New Roman" w:cs="Times New Roman"/>
                <w:sz w:val="20"/>
                <w:szCs w:val="20"/>
              </w:rPr>
            </w:pPr>
            <w:r w:rsidRPr="00D14AC7">
              <w:rPr>
                <w:rFonts w:ascii="Times New Roman"/>
                <w:b/>
                <w:spacing w:val="-1"/>
                <w:sz w:val="20"/>
                <w:szCs w:val="20"/>
              </w:rPr>
              <w:t>Ansbach</w:t>
            </w:r>
          </w:p>
        </w:tc>
        <w:tc>
          <w:tcPr>
            <w:tcW w:w="1169"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before="1"/>
              <w:ind w:right="1"/>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2"/>
              <w:ind w:right="1"/>
              <w:jc w:val="center"/>
              <w:rPr>
                <w:rFonts w:ascii="Times New Roman" w:eastAsia="Times New Roman" w:hAnsi="Times New Roman" w:cs="Times New Roman"/>
                <w:sz w:val="20"/>
                <w:szCs w:val="20"/>
              </w:rPr>
            </w:pPr>
            <w:r w:rsidRPr="00D14AC7">
              <w:rPr>
                <w:rFonts w:ascii="Times New Roman"/>
                <w:b/>
                <w:spacing w:val="-1"/>
                <w:sz w:val="20"/>
                <w:szCs w:val="20"/>
              </w:rPr>
              <w:t>Augsburg</w:t>
            </w:r>
          </w:p>
        </w:tc>
        <w:tc>
          <w:tcPr>
            <w:tcW w:w="1171"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before="1"/>
              <w:ind w:right="2"/>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2"/>
              <w:ind w:right="3"/>
              <w:jc w:val="center"/>
              <w:rPr>
                <w:rFonts w:ascii="Times New Roman" w:eastAsia="Times New Roman" w:hAnsi="Times New Roman" w:cs="Times New Roman"/>
                <w:sz w:val="20"/>
                <w:szCs w:val="20"/>
              </w:rPr>
            </w:pPr>
            <w:r w:rsidRPr="00D14AC7">
              <w:rPr>
                <w:rFonts w:ascii="Times New Roman"/>
                <w:b/>
                <w:spacing w:val="-1"/>
                <w:sz w:val="20"/>
                <w:szCs w:val="20"/>
              </w:rPr>
              <w:t>Bayreuth</w:t>
            </w:r>
          </w:p>
        </w:tc>
        <w:tc>
          <w:tcPr>
            <w:tcW w:w="1169"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before="1"/>
              <w:ind w:right="1"/>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2"/>
              <w:ind w:right="1"/>
              <w:jc w:val="center"/>
              <w:rPr>
                <w:rFonts w:ascii="Times New Roman" w:eastAsia="Times New Roman" w:hAnsi="Times New Roman" w:cs="Times New Roman"/>
                <w:sz w:val="20"/>
                <w:szCs w:val="20"/>
              </w:rPr>
            </w:pPr>
            <w:r w:rsidRPr="00D14AC7">
              <w:rPr>
                <w:rFonts w:ascii="Times New Roman" w:hAnsi="Times New Roman"/>
                <w:b/>
                <w:spacing w:val="-1"/>
                <w:sz w:val="20"/>
                <w:szCs w:val="20"/>
              </w:rPr>
              <w:t>München</w:t>
            </w:r>
          </w:p>
        </w:tc>
        <w:tc>
          <w:tcPr>
            <w:tcW w:w="1171"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before="1"/>
              <w:ind w:right="2"/>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2"/>
              <w:ind w:right="1"/>
              <w:jc w:val="center"/>
              <w:rPr>
                <w:rFonts w:ascii="Times New Roman" w:eastAsia="Times New Roman" w:hAnsi="Times New Roman" w:cs="Times New Roman"/>
                <w:sz w:val="20"/>
                <w:szCs w:val="20"/>
              </w:rPr>
            </w:pPr>
            <w:r w:rsidRPr="00D14AC7">
              <w:rPr>
                <w:rFonts w:ascii="Times New Roman"/>
                <w:b/>
                <w:spacing w:val="-1"/>
                <w:sz w:val="20"/>
                <w:szCs w:val="20"/>
              </w:rPr>
              <w:t>Regensburg</w:t>
            </w:r>
          </w:p>
        </w:tc>
        <w:tc>
          <w:tcPr>
            <w:tcW w:w="1169"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before="1"/>
              <w:ind w:right="1"/>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2"/>
              <w:ind w:right="4"/>
              <w:jc w:val="center"/>
              <w:rPr>
                <w:rFonts w:ascii="Times New Roman" w:eastAsia="Times New Roman" w:hAnsi="Times New Roman" w:cs="Times New Roman"/>
                <w:sz w:val="20"/>
                <w:szCs w:val="20"/>
              </w:rPr>
            </w:pPr>
            <w:r w:rsidRPr="00D14AC7">
              <w:rPr>
                <w:rFonts w:ascii="Times New Roman" w:hAnsi="Times New Roman"/>
                <w:b/>
                <w:spacing w:val="-1"/>
                <w:sz w:val="20"/>
                <w:szCs w:val="20"/>
              </w:rPr>
              <w:t>Würzburg</w:t>
            </w:r>
          </w:p>
        </w:tc>
        <w:tc>
          <w:tcPr>
            <w:tcW w:w="1171"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before="1"/>
              <w:ind w:left="284"/>
              <w:rPr>
                <w:rFonts w:ascii="Times New Roman" w:eastAsia="Times New Roman" w:hAnsi="Times New Roman" w:cs="Times New Roman"/>
                <w:sz w:val="20"/>
                <w:szCs w:val="20"/>
              </w:rPr>
            </w:pPr>
            <w:r w:rsidRPr="00D14AC7">
              <w:rPr>
                <w:rFonts w:ascii="Times New Roman"/>
                <w:b/>
                <w:spacing w:val="-1"/>
                <w:sz w:val="20"/>
                <w:szCs w:val="20"/>
              </w:rPr>
              <w:t>Gesamt</w:t>
            </w:r>
          </w:p>
        </w:tc>
      </w:tr>
      <w:tr w:rsidR="00D14AC7" w:rsidRPr="00D14AC7" w:rsidTr="00D14AC7">
        <w:trPr>
          <w:trHeight w:hRule="exact" w:val="425"/>
        </w:trPr>
        <w:tc>
          <w:tcPr>
            <w:tcW w:w="1171"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6.454</w:t>
            </w:r>
          </w:p>
        </w:tc>
        <w:tc>
          <w:tcPr>
            <w:tcW w:w="1169"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3.799</w:t>
            </w:r>
          </w:p>
        </w:tc>
        <w:tc>
          <w:tcPr>
            <w:tcW w:w="1171"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2.688</w:t>
            </w:r>
          </w:p>
        </w:tc>
        <w:tc>
          <w:tcPr>
            <w:tcW w:w="1169"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19.481</w:t>
            </w:r>
          </w:p>
        </w:tc>
        <w:tc>
          <w:tcPr>
            <w:tcW w:w="1171"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5.218</w:t>
            </w:r>
          </w:p>
        </w:tc>
        <w:tc>
          <w:tcPr>
            <w:tcW w:w="1169"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2.610</w:t>
            </w:r>
          </w:p>
        </w:tc>
        <w:tc>
          <w:tcPr>
            <w:tcW w:w="1171"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40.250</w:t>
            </w:r>
          </w:p>
        </w:tc>
      </w:tr>
    </w:tbl>
    <w:p w:rsidR="00CA4048" w:rsidRPr="00D14AC7" w:rsidRDefault="00D14AC7" w:rsidP="00D14AC7">
      <w:pPr>
        <w:pStyle w:val="LTAntwortRessortText"/>
        <w:spacing w:before="120"/>
        <w:rPr>
          <w:sz w:val="24"/>
          <w:vertAlign w:val="superscript"/>
        </w:rPr>
      </w:pPr>
      <w:r>
        <w:rPr>
          <w:sz w:val="24"/>
          <w:vertAlign w:val="superscript"/>
        </w:rPr>
        <w:t>(</w:t>
      </w:r>
      <w:r w:rsidRPr="00D14AC7">
        <w:rPr>
          <w:sz w:val="24"/>
          <w:vertAlign w:val="superscript"/>
        </w:rPr>
        <w:t xml:space="preserve">* </w:t>
      </w:r>
      <w:r>
        <w:rPr>
          <w:sz w:val="24"/>
          <w:vertAlign w:val="superscript"/>
        </w:rPr>
        <w:t>VG =</w:t>
      </w:r>
      <w:r w:rsidRPr="00D14AC7">
        <w:rPr>
          <w:sz w:val="24"/>
          <w:vertAlign w:val="superscript"/>
        </w:rPr>
        <w:t>Verwaltungsgericht</w:t>
      </w:r>
      <w:r>
        <w:rPr>
          <w:sz w:val="24"/>
          <w:vertAlign w:val="superscript"/>
        </w:rPr>
        <w:t>)</w:t>
      </w:r>
    </w:p>
    <w:p w:rsidR="00CA4048" w:rsidRDefault="00CA4048" w:rsidP="00CA4048">
      <w:pPr>
        <w:pStyle w:val="LTAntwortRessortText"/>
      </w:pPr>
      <w:r>
        <w:t>Statistische Angaben, die eine Aufschlüsselung nach anhängigen Rechtsbehelfen bezogen auf die Schutzform Asylberechtigung, Flüchtlingsschutz, subs</w:t>
      </w:r>
      <w:r w:rsidR="00D14AC7">
        <w:t>idiären Schutz und Abschiebungs</w:t>
      </w:r>
      <w:r>
        <w:t>verbote ermöglichen, stehen nicht zur Verfügung.</w:t>
      </w:r>
    </w:p>
    <w:p w:rsidR="00CA4048" w:rsidRDefault="00CA4048" w:rsidP="00CA4048">
      <w:pPr>
        <w:pStyle w:val="LTAntwortRessortText"/>
      </w:pPr>
      <w:r>
        <w:t>Für die Verfahrensdauer ergibt sich auf der Basis der Erhebungen des Landesamts für Statistik Folgendes:</w:t>
      </w:r>
    </w:p>
    <w:p w:rsidR="00CA4048" w:rsidRDefault="00CA4048" w:rsidP="00D14AC7">
      <w:pPr>
        <w:pStyle w:val="LTAntwortRessortText"/>
        <w:spacing w:before="360"/>
      </w:pPr>
      <w:r>
        <w:t>Durchschnittliche Dauer (Jahr 2017) je erledigtem Hauptsacheverfahren in Monaten:</w:t>
      </w:r>
    </w:p>
    <w:p w:rsidR="00CA4048" w:rsidRDefault="00CA4048" w:rsidP="00D14AC7">
      <w:pPr>
        <w:pStyle w:val="LTAntwortRessortText"/>
        <w:spacing w:before="120"/>
      </w:pPr>
    </w:p>
    <w:tbl>
      <w:tblPr>
        <w:tblStyle w:val="TableNormal"/>
        <w:tblW w:w="0" w:type="auto"/>
        <w:tblInd w:w="432" w:type="dxa"/>
        <w:tblLayout w:type="fixed"/>
        <w:tblLook w:val="01E0" w:firstRow="1" w:lastRow="1" w:firstColumn="1" w:lastColumn="1" w:noHBand="0" w:noVBand="0"/>
      </w:tblPr>
      <w:tblGrid>
        <w:gridCol w:w="1054"/>
        <w:gridCol w:w="1322"/>
        <w:gridCol w:w="1135"/>
        <w:gridCol w:w="1133"/>
        <w:gridCol w:w="1277"/>
        <w:gridCol w:w="1274"/>
        <w:gridCol w:w="1135"/>
      </w:tblGrid>
      <w:tr w:rsidR="00D14AC7" w:rsidRPr="00D14AC7" w:rsidTr="00D14AC7">
        <w:trPr>
          <w:trHeight w:hRule="exact" w:val="631"/>
        </w:trPr>
        <w:tc>
          <w:tcPr>
            <w:tcW w:w="1054"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line="206" w:lineRule="exact"/>
              <w:ind w:right="1"/>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5"/>
              <w:jc w:val="center"/>
              <w:rPr>
                <w:rFonts w:ascii="Times New Roman" w:eastAsia="Times New Roman" w:hAnsi="Times New Roman" w:cs="Times New Roman"/>
                <w:sz w:val="20"/>
                <w:szCs w:val="20"/>
              </w:rPr>
            </w:pPr>
            <w:r w:rsidRPr="00D14AC7">
              <w:rPr>
                <w:rFonts w:ascii="Times New Roman"/>
                <w:b/>
                <w:spacing w:val="-1"/>
                <w:sz w:val="20"/>
                <w:szCs w:val="20"/>
              </w:rPr>
              <w:t>Ansbach</w:t>
            </w:r>
          </w:p>
        </w:tc>
        <w:tc>
          <w:tcPr>
            <w:tcW w:w="1322"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line="206" w:lineRule="exact"/>
              <w:ind w:right="1"/>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5"/>
              <w:ind w:right="1"/>
              <w:jc w:val="center"/>
              <w:rPr>
                <w:rFonts w:ascii="Times New Roman" w:eastAsia="Times New Roman" w:hAnsi="Times New Roman" w:cs="Times New Roman"/>
                <w:sz w:val="20"/>
                <w:szCs w:val="20"/>
              </w:rPr>
            </w:pPr>
            <w:r w:rsidRPr="00D14AC7">
              <w:rPr>
                <w:rFonts w:ascii="Times New Roman"/>
                <w:b/>
                <w:spacing w:val="-1"/>
                <w:sz w:val="20"/>
                <w:szCs w:val="20"/>
              </w:rPr>
              <w:t>Augsburg</w:t>
            </w:r>
          </w:p>
        </w:tc>
        <w:tc>
          <w:tcPr>
            <w:tcW w:w="1135"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line="206" w:lineRule="exact"/>
              <w:ind w:right="4"/>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5"/>
              <w:ind w:right="1"/>
              <w:jc w:val="center"/>
              <w:rPr>
                <w:rFonts w:ascii="Times New Roman" w:eastAsia="Times New Roman" w:hAnsi="Times New Roman" w:cs="Times New Roman"/>
                <w:sz w:val="20"/>
                <w:szCs w:val="20"/>
              </w:rPr>
            </w:pPr>
            <w:r w:rsidRPr="00D14AC7">
              <w:rPr>
                <w:rFonts w:ascii="Times New Roman"/>
                <w:b/>
                <w:spacing w:val="-1"/>
                <w:sz w:val="20"/>
                <w:szCs w:val="20"/>
              </w:rPr>
              <w:t>Bayreuth</w:t>
            </w:r>
          </w:p>
        </w:tc>
        <w:tc>
          <w:tcPr>
            <w:tcW w:w="1133"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line="206" w:lineRule="exact"/>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5"/>
              <w:jc w:val="center"/>
              <w:rPr>
                <w:rFonts w:ascii="Times New Roman" w:eastAsia="Times New Roman" w:hAnsi="Times New Roman" w:cs="Times New Roman"/>
                <w:sz w:val="20"/>
                <w:szCs w:val="20"/>
              </w:rPr>
            </w:pPr>
            <w:r w:rsidRPr="00D14AC7">
              <w:rPr>
                <w:rFonts w:ascii="Times New Roman" w:hAnsi="Times New Roman"/>
                <w:b/>
                <w:spacing w:val="-1"/>
                <w:sz w:val="20"/>
                <w:szCs w:val="20"/>
              </w:rPr>
              <w:t>München</w:t>
            </w:r>
          </w:p>
        </w:tc>
        <w:tc>
          <w:tcPr>
            <w:tcW w:w="1277"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line="206" w:lineRule="exact"/>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5"/>
              <w:ind w:right="1"/>
              <w:jc w:val="center"/>
              <w:rPr>
                <w:rFonts w:ascii="Times New Roman" w:eastAsia="Times New Roman" w:hAnsi="Times New Roman" w:cs="Times New Roman"/>
                <w:sz w:val="20"/>
                <w:szCs w:val="20"/>
              </w:rPr>
            </w:pPr>
            <w:r w:rsidRPr="00D14AC7">
              <w:rPr>
                <w:rFonts w:ascii="Times New Roman"/>
                <w:b/>
                <w:spacing w:val="-1"/>
                <w:sz w:val="20"/>
                <w:szCs w:val="20"/>
              </w:rPr>
              <w:t>Regensburg</w:t>
            </w:r>
          </w:p>
        </w:tc>
        <w:tc>
          <w:tcPr>
            <w:tcW w:w="1274"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line="206" w:lineRule="exact"/>
              <w:ind w:right="1"/>
              <w:jc w:val="center"/>
              <w:rPr>
                <w:rFonts w:ascii="Times New Roman" w:eastAsia="Times New Roman" w:hAnsi="Times New Roman" w:cs="Times New Roman"/>
                <w:sz w:val="20"/>
                <w:szCs w:val="20"/>
              </w:rPr>
            </w:pPr>
            <w:r w:rsidRPr="00D14AC7">
              <w:rPr>
                <w:rFonts w:ascii="Times New Roman"/>
                <w:b/>
                <w:spacing w:val="-1"/>
                <w:sz w:val="20"/>
                <w:szCs w:val="20"/>
              </w:rPr>
              <w:t>VG</w:t>
            </w:r>
          </w:p>
          <w:p w:rsidR="00D14AC7" w:rsidRPr="00D14AC7" w:rsidRDefault="00D14AC7" w:rsidP="00923CC2">
            <w:pPr>
              <w:pStyle w:val="TableParagraph"/>
              <w:spacing w:before="105"/>
              <w:ind w:right="1"/>
              <w:jc w:val="center"/>
              <w:rPr>
                <w:rFonts w:ascii="Times New Roman" w:eastAsia="Times New Roman" w:hAnsi="Times New Roman" w:cs="Times New Roman"/>
                <w:sz w:val="20"/>
                <w:szCs w:val="20"/>
              </w:rPr>
            </w:pPr>
            <w:r w:rsidRPr="00D14AC7">
              <w:rPr>
                <w:rFonts w:ascii="Times New Roman" w:hAnsi="Times New Roman"/>
                <w:b/>
                <w:spacing w:val="-1"/>
                <w:sz w:val="20"/>
                <w:szCs w:val="20"/>
              </w:rPr>
              <w:t>Würzburg</w:t>
            </w:r>
          </w:p>
        </w:tc>
        <w:tc>
          <w:tcPr>
            <w:tcW w:w="1135" w:type="dxa"/>
            <w:tcBorders>
              <w:top w:val="single" w:sz="5" w:space="0" w:color="000000"/>
              <w:left w:val="single" w:sz="5" w:space="0" w:color="000000"/>
              <w:bottom w:val="single" w:sz="5" w:space="0" w:color="000000"/>
              <w:right w:val="single" w:sz="5" w:space="0" w:color="000000"/>
            </w:tcBorders>
          </w:tcPr>
          <w:p w:rsidR="00D14AC7" w:rsidRPr="00D14AC7" w:rsidRDefault="00D14AC7" w:rsidP="00923CC2">
            <w:pPr>
              <w:pStyle w:val="TableParagraph"/>
              <w:spacing w:line="206" w:lineRule="exact"/>
              <w:ind w:left="267"/>
              <w:rPr>
                <w:rFonts w:ascii="Times New Roman" w:eastAsia="Times New Roman" w:hAnsi="Times New Roman" w:cs="Times New Roman"/>
                <w:sz w:val="20"/>
                <w:szCs w:val="20"/>
              </w:rPr>
            </w:pPr>
            <w:r w:rsidRPr="00D14AC7">
              <w:rPr>
                <w:rFonts w:ascii="Times New Roman"/>
                <w:b/>
                <w:spacing w:val="-1"/>
                <w:sz w:val="20"/>
                <w:szCs w:val="20"/>
              </w:rPr>
              <w:t>Gesamt</w:t>
            </w:r>
          </w:p>
        </w:tc>
      </w:tr>
      <w:tr w:rsidR="00D14AC7" w:rsidRPr="00D14AC7" w:rsidTr="00D14AC7">
        <w:trPr>
          <w:trHeight w:hRule="exact" w:val="425"/>
        </w:trPr>
        <w:tc>
          <w:tcPr>
            <w:tcW w:w="1054"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6,8</w:t>
            </w:r>
          </w:p>
        </w:tc>
        <w:tc>
          <w:tcPr>
            <w:tcW w:w="1322"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5,4</w:t>
            </w:r>
          </w:p>
        </w:tc>
        <w:tc>
          <w:tcPr>
            <w:tcW w:w="1135"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4,6</w:t>
            </w:r>
          </w:p>
        </w:tc>
        <w:tc>
          <w:tcPr>
            <w:tcW w:w="1133"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6,8</w:t>
            </w:r>
          </w:p>
        </w:tc>
        <w:tc>
          <w:tcPr>
            <w:tcW w:w="1277"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5,3</w:t>
            </w:r>
          </w:p>
        </w:tc>
        <w:tc>
          <w:tcPr>
            <w:tcW w:w="1274"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2"/>
              <w:jc w:val="center"/>
              <w:rPr>
                <w:rFonts w:ascii="Times New Roman" w:eastAsia="Times New Roman" w:hAnsi="Times New Roman" w:cs="Times New Roman"/>
                <w:sz w:val="20"/>
                <w:szCs w:val="20"/>
              </w:rPr>
            </w:pPr>
            <w:r w:rsidRPr="00D14AC7">
              <w:rPr>
                <w:rFonts w:ascii="Times New Roman"/>
                <w:sz w:val="20"/>
                <w:szCs w:val="20"/>
              </w:rPr>
              <w:t>6,0</w:t>
            </w:r>
          </w:p>
        </w:tc>
        <w:tc>
          <w:tcPr>
            <w:tcW w:w="1135" w:type="dxa"/>
            <w:tcBorders>
              <w:top w:val="single" w:sz="5" w:space="0" w:color="000000"/>
              <w:left w:val="single" w:sz="5" w:space="0" w:color="000000"/>
              <w:bottom w:val="single" w:sz="5" w:space="0" w:color="000000"/>
              <w:right w:val="single" w:sz="5" w:space="0" w:color="000000"/>
            </w:tcBorders>
            <w:vAlign w:val="center"/>
          </w:tcPr>
          <w:p w:rsidR="00D14AC7" w:rsidRPr="00D14AC7" w:rsidRDefault="00D14AC7" w:rsidP="00D14AC7">
            <w:pPr>
              <w:pStyle w:val="TableParagraph"/>
              <w:spacing w:line="269" w:lineRule="exact"/>
              <w:ind w:left="104"/>
              <w:jc w:val="center"/>
              <w:rPr>
                <w:rFonts w:ascii="Times New Roman" w:eastAsia="Times New Roman" w:hAnsi="Times New Roman" w:cs="Times New Roman"/>
                <w:sz w:val="20"/>
                <w:szCs w:val="20"/>
              </w:rPr>
            </w:pPr>
            <w:r w:rsidRPr="00D14AC7">
              <w:rPr>
                <w:rFonts w:ascii="Times New Roman"/>
                <w:sz w:val="20"/>
                <w:szCs w:val="20"/>
              </w:rPr>
              <w:t>5,9</w:t>
            </w:r>
          </w:p>
        </w:tc>
      </w:tr>
    </w:tbl>
    <w:p w:rsidR="00CA4048" w:rsidRDefault="00CA4048" w:rsidP="00D14AC7">
      <w:pPr>
        <w:pStyle w:val="LTAntwortRessortText"/>
        <w:spacing w:before="360"/>
      </w:pPr>
      <w:r>
        <w:t>Durchschnittliche Dauer (Jahr 2017) je erledigtem Verfahren im vorläufigen Rechtsschutz in Monaten:</w:t>
      </w:r>
    </w:p>
    <w:p w:rsidR="00CA4048" w:rsidRDefault="00CA4048" w:rsidP="00D14AC7">
      <w:pPr>
        <w:pStyle w:val="LTAntwortRessortText"/>
        <w:spacing w:before="120"/>
      </w:pPr>
    </w:p>
    <w:tbl>
      <w:tblPr>
        <w:tblStyle w:val="TableNormal"/>
        <w:tblW w:w="0" w:type="auto"/>
        <w:tblInd w:w="432" w:type="dxa"/>
        <w:tblLayout w:type="fixed"/>
        <w:tblLook w:val="01E0" w:firstRow="1" w:lastRow="1" w:firstColumn="1" w:lastColumn="1" w:noHBand="0" w:noVBand="0"/>
      </w:tblPr>
      <w:tblGrid>
        <w:gridCol w:w="1054"/>
        <w:gridCol w:w="1176"/>
        <w:gridCol w:w="996"/>
        <w:gridCol w:w="1418"/>
        <w:gridCol w:w="1277"/>
        <w:gridCol w:w="1274"/>
        <w:gridCol w:w="1135"/>
      </w:tblGrid>
      <w:tr w:rsidR="00D14AC7" w:rsidTr="00D14AC7">
        <w:trPr>
          <w:trHeight w:hRule="exact" w:val="631"/>
        </w:trPr>
        <w:tc>
          <w:tcPr>
            <w:tcW w:w="1054"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6" w:lineRule="exact"/>
              <w:ind w:right="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jc w:val="center"/>
              <w:rPr>
                <w:rFonts w:ascii="Times New Roman" w:eastAsia="Times New Roman" w:hAnsi="Times New Roman" w:cs="Times New Roman"/>
                <w:sz w:val="18"/>
                <w:szCs w:val="18"/>
              </w:rPr>
            </w:pPr>
            <w:r>
              <w:rPr>
                <w:rFonts w:ascii="Times New Roman"/>
                <w:b/>
                <w:spacing w:val="-1"/>
                <w:sz w:val="18"/>
              </w:rPr>
              <w:t>Ansbach</w:t>
            </w:r>
          </w:p>
        </w:tc>
        <w:tc>
          <w:tcPr>
            <w:tcW w:w="117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6" w:lineRule="exact"/>
              <w:ind w:right="2"/>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right="4"/>
              <w:jc w:val="center"/>
              <w:rPr>
                <w:rFonts w:ascii="Times New Roman" w:eastAsia="Times New Roman" w:hAnsi="Times New Roman" w:cs="Times New Roman"/>
                <w:sz w:val="18"/>
                <w:szCs w:val="18"/>
              </w:rPr>
            </w:pPr>
            <w:r>
              <w:rPr>
                <w:rFonts w:ascii="Times New Roman"/>
                <w:b/>
                <w:spacing w:val="-1"/>
                <w:sz w:val="18"/>
              </w:rPr>
              <w:t>Augsburg</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6" w:lineRule="exact"/>
              <w:ind w:right="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right="1"/>
              <w:jc w:val="center"/>
              <w:rPr>
                <w:rFonts w:ascii="Times New Roman" w:eastAsia="Times New Roman" w:hAnsi="Times New Roman" w:cs="Times New Roman"/>
                <w:sz w:val="18"/>
                <w:szCs w:val="18"/>
              </w:rPr>
            </w:pPr>
            <w:r>
              <w:rPr>
                <w:rFonts w:ascii="Times New Roman"/>
                <w:b/>
                <w:spacing w:val="-1"/>
                <w:sz w:val="18"/>
              </w:rPr>
              <w:t>Bayreuth</w:t>
            </w:r>
          </w:p>
        </w:tc>
        <w:tc>
          <w:tcPr>
            <w:tcW w:w="141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6" w:lineRule="exact"/>
              <w:ind w:left="3"/>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left="1"/>
              <w:jc w:val="center"/>
              <w:rPr>
                <w:rFonts w:ascii="Times New Roman" w:eastAsia="Times New Roman" w:hAnsi="Times New Roman" w:cs="Times New Roman"/>
                <w:sz w:val="18"/>
                <w:szCs w:val="18"/>
              </w:rPr>
            </w:pPr>
            <w:r>
              <w:rPr>
                <w:rFonts w:ascii="Times New Roman" w:hAnsi="Times New Roman"/>
                <w:b/>
                <w:spacing w:val="-1"/>
                <w:sz w:val="18"/>
              </w:rPr>
              <w:t>München</w:t>
            </w:r>
          </w:p>
        </w:tc>
        <w:tc>
          <w:tcPr>
            <w:tcW w:w="12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6" w:lineRule="exact"/>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right="1"/>
              <w:jc w:val="center"/>
              <w:rPr>
                <w:rFonts w:ascii="Times New Roman" w:eastAsia="Times New Roman" w:hAnsi="Times New Roman" w:cs="Times New Roman"/>
                <w:sz w:val="18"/>
                <w:szCs w:val="18"/>
              </w:rPr>
            </w:pPr>
            <w:r>
              <w:rPr>
                <w:rFonts w:ascii="Times New Roman"/>
                <w:b/>
                <w:spacing w:val="-1"/>
                <w:sz w:val="18"/>
              </w:rPr>
              <w:t>Regensburg</w:t>
            </w:r>
          </w:p>
        </w:tc>
        <w:tc>
          <w:tcPr>
            <w:tcW w:w="1274"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6" w:lineRule="exact"/>
              <w:ind w:right="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right="1"/>
              <w:jc w:val="center"/>
              <w:rPr>
                <w:rFonts w:ascii="Times New Roman" w:eastAsia="Times New Roman" w:hAnsi="Times New Roman" w:cs="Times New Roman"/>
                <w:sz w:val="18"/>
                <w:szCs w:val="18"/>
              </w:rPr>
            </w:pPr>
            <w:r>
              <w:rPr>
                <w:rFonts w:ascii="Times New Roman" w:hAnsi="Times New Roman"/>
                <w:b/>
                <w:spacing w:val="-1"/>
                <w:sz w:val="18"/>
              </w:rPr>
              <w:t>Würzburg</w:t>
            </w:r>
          </w:p>
        </w:tc>
        <w:tc>
          <w:tcPr>
            <w:tcW w:w="113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6" w:lineRule="exact"/>
              <w:ind w:left="267"/>
              <w:rPr>
                <w:rFonts w:ascii="Times New Roman" w:eastAsia="Times New Roman" w:hAnsi="Times New Roman" w:cs="Times New Roman"/>
                <w:sz w:val="18"/>
                <w:szCs w:val="18"/>
              </w:rPr>
            </w:pPr>
            <w:r>
              <w:rPr>
                <w:rFonts w:ascii="Times New Roman"/>
                <w:b/>
                <w:spacing w:val="-1"/>
                <w:sz w:val="18"/>
              </w:rPr>
              <w:t>Gesamt</w:t>
            </w:r>
          </w:p>
        </w:tc>
      </w:tr>
      <w:tr w:rsidR="00D14AC7" w:rsidTr="00D14AC7">
        <w:trPr>
          <w:trHeight w:hRule="exact" w:val="422"/>
        </w:trPr>
        <w:tc>
          <w:tcPr>
            <w:tcW w:w="1054" w:type="dxa"/>
            <w:tcBorders>
              <w:top w:val="single" w:sz="5" w:space="0" w:color="000000"/>
              <w:left w:val="single" w:sz="5" w:space="0" w:color="000000"/>
              <w:bottom w:val="single" w:sz="5" w:space="0" w:color="000000"/>
              <w:right w:val="single" w:sz="5" w:space="0" w:color="000000"/>
            </w:tcBorders>
            <w:vAlign w:val="center"/>
          </w:tcPr>
          <w:p w:rsidR="00D14AC7" w:rsidRDefault="00D14AC7" w:rsidP="00D14AC7">
            <w:pPr>
              <w:pStyle w:val="TableParagraph"/>
              <w:spacing w:line="269" w:lineRule="exact"/>
              <w:ind w:left="102"/>
              <w:jc w:val="center"/>
              <w:rPr>
                <w:rFonts w:ascii="Times New Roman" w:eastAsia="Times New Roman" w:hAnsi="Times New Roman" w:cs="Times New Roman"/>
                <w:sz w:val="24"/>
                <w:szCs w:val="24"/>
              </w:rPr>
            </w:pPr>
            <w:r>
              <w:rPr>
                <w:rFonts w:ascii="Times New Roman"/>
                <w:sz w:val="24"/>
              </w:rPr>
              <w:t>1,4</w:t>
            </w:r>
          </w:p>
        </w:tc>
        <w:tc>
          <w:tcPr>
            <w:tcW w:w="1176" w:type="dxa"/>
            <w:tcBorders>
              <w:top w:val="single" w:sz="5" w:space="0" w:color="000000"/>
              <w:left w:val="single" w:sz="5" w:space="0" w:color="000000"/>
              <w:bottom w:val="single" w:sz="5" w:space="0" w:color="000000"/>
              <w:right w:val="single" w:sz="5" w:space="0" w:color="000000"/>
            </w:tcBorders>
            <w:vAlign w:val="center"/>
          </w:tcPr>
          <w:p w:rsidR="00D14AC7" w:rsidRDefault="00D14AC7" w:rsidP="00D14AC7">
            <w:pPr>
              <w:pStyle w:val="TableParagraph"/>
              <w:spacing w:line="269" w:lineRule="exact"/>
              <w:ind w:left="102"/>
              <w:jc w:val="center"/>
              <w:rPr>
                <w:rFonts w:ascii="Times New Roman" w:eastAsia="Times New Roman" w:hAnsi="Times New Roman" w:cs="Times New Roman"/>
                <w:sz w:val="24"/>
                <w:szCs w:val="24"/>
              </w:rPr>
            </w:pPr>
            <w:r>
              <w:rPr>
                <w:rFonts w:ascii="Times New Roman"/>
                <w:sz w:val="24"/>
              </w:rPr>
              <w:t>0,8</w:t>
            </w:r>
          </w:p>
        </w:tc>
        <w:tc>
          <w:tcPr>
            <w:tcW w:w="996" w:type="dxa"/>
            <w:tcBorders>
              <w:top w:val="single" w:sz="5" w:space="0" w:color="000000"/>
              <w:left w:val="single" w:sz="5" w:space="0" w:color="000000"/>
              <w:bottom w:val="single" w:sz="5" w:space="0" w:color="000000"/>
              <w:right w:val="single" w:sz="5" w:space="0" w:color="000000"/>
            </w:tcBorders>
            <w:vAlign w:val="center"/>
          </w:tcPr>
          <w:p w:rsidR="00D14AC7" w:rsidRDefault="00D14AC7" w:rsidP="00D14AC7">
            <w:pPr>
              <w:pStyle w:val="TableParagraph"/>
              <w:spacing w:line="269" w:lineRule="exact"/>
              <w:ind w:left="102"/>
              <w:jc w:val="center"/>
              <w:rPr>
                <w:rFonts w:ascii="Times New Roman" w:eastAsia="Times New Roman" w:hAnsi="Times New Roman" w:cs="Times New Roman"/>
                <w:sz w:val="24"/>
                <w:szCs w:val="24"/>
              </w:rPr>
            </w:pPr>
            <w:r>
              <w:rPr>
                <w:rFonts w:ascii="Times New Roman"/>
                <w:sz w:val="24"/>
              </w:rPr>
              <w:t>0,5</w:t>
            </w:r>
          </w:p>
        </w:tc>
        <w:tc>
          <w:tcPr>
            <w:tcW w:w="1418" w:type="dxa"/>
            <w:tcBorders>
              <w:top w:val="single" w:sz="5" w:space="0" w:color="000000"/>
              <w:left w:val="single" w:sz="5" w:space="0" w:color="000000"/>
              <w:bottom w:val="single" w:sz="5" w:space="0" w:color="000000"/>
              <w:right w:val="single" w:sz="5" w:space="0" w:color="000000"/>
            </w:tcBorders>
            <w:vAlign w:val="center"/>
          </w:tcPr>
          <w:p w:rsidR="00D14AC7" w:rsidRDefault="00D14AC7" w:rsidP="00D14AC7">
            <w:pPr>
              <w:pStyle w:val="TableParagraph"/>
              <w:spacing w:line="269" w:lineRule="exact"/>
              <w:ind w:left="104"/>
              <w:jc w:val="center"/>
              <w:rPr>
                <w:rFonts w:ascii="Times New Roman" w:eastAsia="Times New Roman" w:hAnsi="Times New Roman" w:cs="Times New Roman"/>
                <w:sz w:val="24"/>
                <w:szCs w:val="24"/>
              </w:rPr>
            </w:pPr>
            <w:r>
              <w:rPr>
                <w:rFonts w:ascii="Times New Roman"/>
                <w:sz w:val="24"/>
              </w:rPr>
              <w:t>2,5</w:t>
            </w:r>
          </w:p>
        </w:tc>
        <w:tc>
          <w:tcPr>
            <w:tcW w:w="1277" w:type="dxa"/>
            <w:tcBorders>
              <w:top w:val="single" w:sz="5" w:space="0" w:color="000000"/>
              <w:left w:val="single" w:sz="5" w:space="0" w:color="000000"/>
              <w:bottom w:val="single" w:sz="5" w:space="0" w:color="000000"/>
              <w:right w:val="single" w:sz="5" w:space="0" w:color="000000"/>
            </w:tcBorders>
            <w:vAlign w:val="center"/>
          </w:tcPr>
          <w:p w:rsidR="00D14AC7" w:rsidRDefault="00D14AC7" w:rsidP="00D14AC7">
            <w:pPr>
              <w:pStyle w:val="TableParagraph"/>
              <w:spacing w:line="269" w:lineRule="exact"/>
              <w:ind w:left="102"/>
              <w:jc w:val="center"/>
              <w:rPr>
                <w:rFonts w:ascii="Times New Roman" w:eastAsia="Times New Roman" w:hAnsi="Times New Roman" w:cs="Times New Roman"/>
                <w:sz w:val="24"/>
                <w:szCs w:val="24"/>
              </w:rPr>
            </w:pPr>
            <w:r>
              <w:rPr>
                <w:rFonts w:ascii="Times New Roman"/>
                <w:sz w:val="24"/>
              </w:rPr>
              <w:t>0,8</w:t>
            </w:r>
          </w:p>
        </w:tc>
        <w:tc>
          <w:tcPr>
            <w:tcW w:w="1274" w:type="dxa"/>
            <w:tcBorders>
              <w:top w:val="single" w:sz="5" w:space="0" w:color="000000"/>
              <w:left w:val="single" w:sz="5" w:space="0" w:color="000000"/>
              <w:bottom w:val="single" w:sz="5" w:space="0" w:color="000000"/>
              <w:right w:val="single" w:sz="5" w:space="0" w:color="000000"/>
            </w:tcBorders>
            <w:vAlign w:val="center"/>
          </w:tcPr>
          <w:p w:rsidR="00D14AC7" w:rsidRDefault="00D14AC7" w:rsidP="00D14AC7">
            <w:pPr>
              <w:pStyle w:val="TableParagraph"/>
              <w:spacing w:line="269" w:lineRule="exact"/>
              <w:ind w:left="102"/>
              <w:jc w:val="center"/>
              <w:rPr>
                <w:rFonts w:ascii="Times New Roman" w:eastAsia="Times New Roman" w:hAnsi="Times New Roman" w:cs="Times New Roman"/>
                <w:sz w:val="24"/>
                <w:szCs w:val="24"/>
              </w:rPr>
            </w:pPr>
            <w:r>
              <w:rPr>
                <w:rFonts w:ascii="Times New Roman"/>
                <w:sz w:val="24"/>
              </w:rPr>
              <w:t>0,5</w:t>
            </w:r>
          </w:p>
        </w:tc>
        <w:tc>
          <w:tcPr>
            <w:tcW w:w="1135" w:type="dxa"/>
            <w:tcBorders>
              <w:top w:val="single" w:sz="5" w:space="0" w:color="000000"/>
              <w:left w:val="single" w:sz="5" w:space="0" w:color="000000"/>
              <w:bottom w:val="single" w:sz="5" w:space="0" w:color="000000"/>
              <w:right w:val="single" w:sz="5" w:space="0" w:color="000000"/>
            </w:tcBorders>
            <w:vAlign w:val="center"/>
          </w:tcPr>
          <w:p w:rsidR="00D14AC7" w:rsidRDefault="00D14AC7" w:rsidP="00D14AC7">
            <w:pPr>
              <w:pStyle w:val="TableParagraph"/>
              <w:spacing w:line="269" w:lineRule="exact"/>
              <w:ind w:left="104"/>
              <w:jc w:val="center"/>
              <w:rPr>
                <w:rFonts w:ascii="Times New Roman" w:eastAsia="Times New Roman" w:hAnsi="Times New Roman" w:cs="Times New Roman"/>
                <w:sz w:val="24"/>
                <w:szCs w:val="24"/>
              </w:rPr>
            </w:pPr>
            <w:r>
              <w:rPr>
                <w:rFonts w:ascii="Times New Roman"/>
                <w:sz w:val="24"/>
              </w:rPr>
              <w:t>1,5</w:t>
            </w:r>
          </w:p>
        </w:tc>
      </w:tr>
    </w:tbl>
    <w:p w:rsidR="00CA4048" w:rsidRDefault="00CA4048" w:rsidP="00CA4048">
      <w:pPr>
        <w:pStyle w:val="LTAntwortRessortText"/>
      </w:pPr>
      <w:r>
        <w:t>Zusätzlich liegen interne Erhebungen zur monatlichen Entwick</w:t>
      </w:r>
      <w:r w:rsidR="00D14AC7">
        <w:t>lung der Verfahrensdauern erle</w:t>
      </w:r>
      <w:r>
        <w:t xml:space="preserve">digter Asylverfahren vor, die nachstehender Tabelle entnommen werden </w:t>
      </w:r>
      <w:r w:rsidR="00D14AC7">
        <w:t>können</w:t>
      </w:r>
      <w:r>
        <w:t>:</w:t>
      </w:r>
    </w:p>
    <w:p w:rsidR="00CA4048" w:rsidRPr="00D14AC7" w:rsidRDefault="00CA4048" w:rsidP="00CA4048">
      <w:pPr>
        <w:pStyle w:val="LTAntwortRessortText"/>
        <w:rPr>
          <w:u w:val="single"/>
        </w:rPr>
      </w:pPr>
      <w:r w:rsidRPr="00D14AC7">
        <w:rPr>
          <w:u w:val="single"/>
        </w:rPr>
        <w:t>2017:</w:t>
      </w:r>
    </w:p>
    <w:p w:rsidR="00CA4048" w:rsidRDefault="00CA4048" w:rsidP="00D14AC7">
      <w:pPr>
        <w:pStyle w:val="LTAntwortRessortText"/>
        <w:spacing w:before="120"/>
      </w:pPr>
    </w:p>
    <w:tbl>
      <w:tblPr>
        <w:tblStyle w:val="TableNormal"/>
        <w:tblW w:w="8931" w:type="dxa"/>
        <w:tblInd w:w="290" w:type="dxa"/>
        <w:tblLayout w:type="fixed"/>
        <w:tblLook w:val="01E0" w:firstRow="1" w:lastRow="1" w:firstColumn="1" w:lastColumn="1" w:noHBand="0" w:noVBand="0"/>
      </w:tblPr>
      <w:tblGrid>
        <w:gridCol w:w="1097"/>
        <w:gridCol w:w="468"/>
        <w:gridCol w:w="977"/>
        <w:gridCol w:w="1066"/>
        <w:gridCol w:w="996"/>
        <w:gridCol w:w="1008"/>
        <w:gridCol w:w="1265"/>
        <w:gridCol w:w="1056"/>
        <w:gridCol w:w="998"/>
      </w:tblGrid>
      <w:tr w:rsidR="00D14AC7" w:rsidTr="00D14AC7">
        <w:trPr>
          <w:trHeight w:hRule="exact" w:val="631"/>
        </w:trPr>
        <w:tc>
          <w:tcPr>
            <w:tcW w:w="1097" w:type="dxa"/>
            <w:tcBorders>
              <w:top w:val="single" w:sz="5" w:space="0" w:color="000000"/>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before="1"/>
              <w:ind w:right="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jc w:val="center"/>
              <w:rPr>
                <w:rFonts w:ascii="Times New Roman" w:eastAsia="Times New Roman" w:hAnsi="Times New Roman" w:cs="Times New Roman"/>
                <w:sz w:val="18"/>
                <w:szCs w:val="18"/>
              </w:rPr>
            </w:pPr>
            <w:r>
              <w:rPr>
                <w:rFonts w:ascii="Times New Roman"/>
                <w:b/>
                <w:spacing w:val="-1"/>
                <w:sz w:val="18"/>
              </w:rPr>
              <w:t>Ansbach</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before="1"/>
              <w:ind w:right="2"/>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right="4"/>
              <w:jc w:val="center"/>
              <w:rPr>
                <w:rFonts w:ascii="Times New Roman" w:eastAsia="Times New Roman" w:hAnsi="Times New Roman" w:cs="Times New Roman"/>
                <w:sz w:val="18"/>
                <w:szCs w:val="18"/>
              </w:rPr>
            </w:pPr>
            <w:r>
              <w:rPr>
                <w:rFonts w:ascii="Times New Roman"/>
                <w:b/>
                <w:spacing w:val="-1"/>
                <w:sz w:val="18"/>
              </w:rPr>
              <w:t>Augsburg</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before="1"/>
              <w:ind w:right="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right="1"/>
              <w:jc w:val="center"/>
              <w:rPr>
                <w:rFonts w:ascii="Times New Roman" w:eastAsia="Times New Roman" w:hAnsi="Times New Roman" w:cs="Times New Roman"/>
                <w:sz w:val="18"/>
                <w:szCs w:val="18"/>
              </w:rPr>
            </w:pPr>
            <w:r>
              <w:rPr>
                <w:rFonts w:ascii="Times New Roman"/>
                <w:b/>
                <w:spacing w:val="-1"/>
                <w:sz w:val="18"/>
              </w:rPr>
              <w:t>Bayreuth</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before="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jc w:val="center"/>
              <w:rPr>
                <w:rFonts w:ascii="Times New Roman" w:eastAsia="Times New Roman" w:hAnsi="Times New Roman" w:cs="Times New Roman"/>
                <w:sz w:val="18"/>
                <w:szCs w:val="18"/>
              </w:rPr>
            </w:pPr>
            <w:r>
              <w:rPr>
                <w:rFonts w:ascii="Times New Roman" w:hAnsi="Times New Roman"/>
                <w:b/>
                <w:spacing w:val="-1"/>
                <w:sz w:val="18"/>
              </w:rPr>
              <w:t>München</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before="1"/>
              <w:ind w:right="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right="1"/>
              <w:jc w:val="center"/>
              <w:rPr>
                <w:rFonts w:ascii="Times New Roman" w:eastAsia="Times New Roman" w:hAnsi="Times New Roman" w:cs="Times New Roman"/>
                <w:sz w:val="18"/>
                <w:szCs w:val="18"/>
              </w:rPr>
            </w:pPr>
            <w:r>
              <w:rPr>
                <w:rFonts w:ascii="Times New Roman"/>
                <w:b/>
                <w:spacing w:val="-1"/>
                <w:sz w:val="18"/>
              </w:rPr>
              <w:t>Regensburg</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before="1"/>
              <w:jc w:val="center"/>
              <w:rPr>
                <w:rFonts w:ascii="Times New Roman" w:eastAsia="Times New Roman" w:hAnsi="Times New Roman" w:cs="Times New Roman"/>
                <w:sz w:val="18"/>
                <w:szCs w:val="18"/>
              </w:rPr>
            </w:pPr>
            <w:r>
              <w:rPr>
                <w:rFonts w:ascii="Times New Roman"/>
                <w:b/>
                <w:spacing w:val="-1"/>
                <w:sz w:val="18"/>
              </w:rPr>
              <w:t>VG</w:t>
            </w:r>
          </w:p>
          <w:p w:rsidR="00D14AC7" w:rsidRDefault="00D14AC7" w:rsidP="00923CC2">
            <w:pPr>
              <w:pStyle w:val="TableParagraph"/>
              <w:spacing w:before="102"/>
              <w:ind w:left="1"/>
              <w:jc w:val="center"/>
              <w:rPr>
                <w:rFonts w:ascii="Times New Roman" w:eastAsia="Times New Roman" w:hAnsi="Times New Roman" w:cs="Times New Roman"/>
                <w:sz w:val="18"/>
                <w:szCs w:val="18"/>
              </w:rPr>
            </w:pPr>
            <w:r>
              <w:rPr>
                <w:rFonts w:ascii="Times New Roman" w:hAnsi="Times New Roman"/>
                <w:b/>
                <w:spacing w:val="-1"/>
                <w:sz w:val="18"/>
              </w:rPr>
              <w:t>Würzburg</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before="1"/>
              <w:ind w:left="104"/>
              <w:rPr>
                <w:rFonts w:ascii="Times New Roman" w:eastAsia="Times New Roman" w:hAnsi="Times New Roman" w:cs="Times New Roman"/>
                <w:sz w:val="18"/>
                <w:szCs w:val="18"/>
              </w:rPr>
            </w:pPr>
            <w:r>
              <w:rPr>
                <w:rFonts w:ascii="Times New Roman"/>
                <w:b/>
                <w:spacing w:val="-1"/>
                <w:sz w:val="18"/>
              </w:rPr>
              <w:t>Gesamt</w:t>
            </w:r>
          </w:p>
        </w:tc>
      </w:tr>
      <w:tr w:rsidR="00D14AC7" w:rsidTr="00D14AC7">
        <w:trPr>
          <w:trHeight w:hRule="exact" w:val="322"/>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pacing w:val="-1"/>
                <w:sz w:val="18"/>
              </w:rPr>
              <w:t>Januar</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7,0</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2,9</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4,1</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7,2</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4,4</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4,7</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4,9</w:t>
            </w:r>
          </w:p>
        </w:tc>
      </w:tr>
      <w:tr w:rsidR="00D14AC7" w:rsidTr="00D14AC7">
        <w:trPr>
          <w:trHeight w:hRule="exact" w:val="319"/>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0,8</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1,1</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0,6</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1,2</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0,6</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1,0</w:t>
            </w:r>
          </w:p>
        </w:tc>
      </w:tr>
      <w:tr w:rsidR="00D14AC7" w:rsidTr="00D14AC7">
        <w:trPr>
          <w:trHeight w:hRule="exact" w:val="322"/>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z w:val="18"/>
              </w:rPr>
              <w:t>Februar</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3,3</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3,7</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5,7</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6,1</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3,8</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4,7</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4,6</w:t>
            </w:r>
          </w:p>
        </w:tc>
      </w:tr>
      <w:tr w:rsidR="00D14AC7" w:rsidTr="00D14AC7">
        <w:trPr>
          <w:trHeight w:hRule="exact" w:val="319"/>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0,9</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0,9</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0,3</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1,4</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0,9</w:t>
            </w:r>
          </w:p>
        </w:tc>
      </w:tr>
      <w:tr w:rsidR="00D14AC7" w:rsidTr="00D14AC7">
        <w:trPr>
          <w:trHeight w:hRule="exact" w:val="322"/>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4" w:lineRule="exact"/>
              <w:ind w:left="102"/>
              <w:rPr>
                <w:rFonts w:ascii="Times New Roman" w:eastAsia="Times New Roman" w:hAnsi="Times New Roman" w:cs="Times New Roman"/>
                <w:sz w:val="18"/>
                <w:szCs w:val="18"/>
              </w:rPr>
            </w:pPr>
            <w:r>
              <w:rPr>
                <w:rFonts w:ascii="Times New Roman" w:hAnsi="Times New Roman"/>
                <w:spacing w:val="-1"/>
                <w:sz w:val="18"/>
              </w:rPr>
              <w:t>März</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left="637"/>
              <w:rPr>
                <w:rFonts w:ascii="Times New Roman" w:eastAsia="Times New Roman" w:hAnsi="Times New Roman" w:cs="Times New Roman"/>
                <w:sz w:val="18"/>
                <w:szCs w:val="18"/>
              </w:rPr>
            </w:pPr>
            <w:r>
              <w:rPr>
                <w:rFonts w:ascii="Times New Roman"/>
                <w:sz w:val="18"/>
              </w:rPr>
              <w:t>4,4</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3,6</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4,2</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5,8</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3,6</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6,0</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4,7</w:t>
            </w:r>
          </w:p>
        </w:tc>
      </w:tr>
      <w:tr w:rsidR="00D14AC7" w:rsidTr="00D14AC7">
        <w:trPr>
          <w:trHeight w:hRule="exact" w:val="319"/>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0,9</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0,8</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0,4</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2,0</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0,6</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0,6</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1,1</w:t>
            </w:r>
          </w:p>
        </w:tc>
      </w:tr>
      <w:tr w:rsidR="00D14AC7" w:rsidTr="00D14AC7">
        <w:trPr>
          <w:trHeight w:hRule="exact" w:val="322"/>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4" w:lineRule="exact"/>
              <w:ind w:left="102"/>
              <w:rPr>
                <w:rFonts w:ascii="Times New Roman" w:eastAsia="Times New Roman" w:hAnsi="Times New Roman" w:cs="Times New Roman"/>
                <w:sz w:val="18"/>
                <w:szCs w:val="18"/>
              </w:rPr>
            </w:pPr>
            <w:r>
              <w:rPr>
                <w:rFonts w:ascii="Times New Roman"/>
                <w:spacing w:val="-1"/>
                <w:sz w:val="18"/>
              </w:rPr>
              <w:lastRenderedPageBreak/>
              <w:t>April</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left="637"/>
              <w:rPr>
                <w:rFonts w:ascii="Times New Roman" w:eastAsia="Times New Roman" w:hAnsi="Times New Roman" w:cs="Times New Roman"/>
                <w:sz w:val="18"/>
                <w:szCs w:val="18"/>
              </w:rPr>
            </w:pPr>
            <w:r>
              <w:rPr>
                <w:rFonts w:ascii="Times New Roman"/>
                <w:sz w:val="18"/>
              </w:rPr>
              <w:t>4,6</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3,1</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3,9</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5,5</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3,9</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5,0</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4,4</w:t>
            </w:r>
          </w:p>
        </w:tc>
      </w:tr>
      <w:tr w:rsidR="00D14AC7" w:rsidTr="00D14AC7">
        <w:trPr>
          <w:trHeight w:hRule="exact" w:val="319"/>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0,8</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0,9</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0,4</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1,6</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0,7</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0,5</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0,9</w:t>
            </w:r>
          </w:p>
        </w:tc>
      </w:tr>
      <w:tr w:rsidR="00D14AC7" w:rsidTr="00D14AC7">
        <w:trPr>
          <w:trHeight w:hRule="exact" w:val="322"/>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4" w:lineRule="exact"/>
              <w:ind w:left="102"/>
              <w:rPr>
                <w:rFonts w:ascii="Times New Roman" w:eastAsia="Times New Roman" w:hAnsi="Times New Roman" w:cs="Times New Roman"/>
                <w:sz w:val="18"/>
                <w:szCs w:val="18"/>
              </w:rPr>
            </w:pPr>
            <w:r>
              <w:rPr>
                <w:rFonts w:ascii="Times New Roman"/>
                <w:spacing w:val="-1"/>
                <w:sz w:val="18"/>
              </w:rPr>
              <w:t>Mai</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left="637"/>
              <w:rPr>
                <w:rFonts w:ascii="Times New Roman" w:eastAsia="Times New Roman" w:hAnsi="Times New Roman" w:cs="Times New Roman"/>
                <w:sz w:val="18"/>
                <w:szCs w:val="18"/>
              </w:rPr>
            </w:pPr>
            <w:r>
              <w:rPr>
                <w:rFonts w:ascii="Times New Roman"/>
                <w:sz w:val="18"/>
              </w:rPr>
              <w:t>6,0</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4,5</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3,5</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9"/>
              <w:jc w:val="right"/>
              <w:rPr>
                <w:rFonts w:ascii="Times New Roman" w:eastAsia="Times New Roman" w:hAnsi="Times New Roman" w:cs="Times New Roman"/>
                <w:sz w:val="18"/>
                <w:szCs w:val="18"/>
              </w:rPr>
            </w:pPr>
            <w:r>
              <w:rPr>
                <w:rFonts w:ascii="Times New Roman"/>
                <w:w w:val="95"/>
                <w:sz w:val="18"/>
              </w:rPr>
              <w:t>5,8</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3,9</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5,4</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4" w:lineRule="exact"/>
              <w:ind w:right="96"/>
              <w:jc w:val="right"/>
              <w:rPr>
                <w:rFonts w:ascii="Times New Roman" w:eastAsia="Times New Roman" w:hAnsi="Times New Roman" w:cs="Times New Roman"/>
                <w:sz w:val="18"/>
                <w:szCs w:val="18"/>
              </w:rPr>
            </w:pPr>
            <w:r>
              <w:rPr>
                <w:rFonts w:ascii="Times New Roman"/>
                <w:w w:val="95"/>
                <w:sz w:val="18"/>
              </w:rPr>
              <w:t>5,0</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0,8</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0,9</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0,6</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1,6</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0,7</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0,6</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1,0</w:t>
            </w:r>
          </w:p>
        </w:tc>
      </w:tr>
      <w:tr w:rsidR="00D14AC7" w:rsidTr="00D14AC7">
        <w:trPr>
          <w:trHeight w:hRule="exact" w:val="319"/>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z w:val="18"/>
              </w:rPr>
              <w:t>Juni</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5,7</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4,8</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3,7</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6,0</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4,1</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5,9</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5,2</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1,6</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0,8</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2,3</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0,9</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1,4</w:t>
            </w:r>
          </w:p>
        </w:tc>
      </w:tr>
      <w:tr w:rsidR="00D14AC7" w:rsidTr="00D14AC7">
        <w:trPr>
          <w:trHeight w:hRule="exact" w:val="324"/>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z w:val="18"/>
              </w:rPr>
              <w:t>Juli</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6,4</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5,6</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3,7</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6,2</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4,6</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6,0</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5,6</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1,4</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0,8</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0,8</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2,9</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0,8</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0,5</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1,8</w:t>
            </w:r>
          </w:p>
        </w:tc>
      </w:tr>
      <w:tr w:rsidR="00D14AC7" w:rsidTr="00D14AC7">
        <w:trPr>
          <w:trHeight w:hRule="exact" w:val="319"/>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pacing w:val="-1"/>
                <w:sz w:val="18"/>
              </w:rPr>
              <w:t>August</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6,9</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6,4</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4,6</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5,8</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5,5</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6,7</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6,0</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2,0</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0,6</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0,4</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2,9</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1,1</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0,3</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2,1</w:t>
            </w:r>
          </w:p>
        </w:tc>
      </w:tr>
      <w:tr w:rsidR="00D14AC7" w:rsidTr="00D14AC7">
        <w:trPr>
          <w:trHeight w:hRule="exact" w:val="319"/>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pacing w:val="-1"/>
                <w:sz w:val="18"/>
              </w:rPr>
              <w:t>September</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7,0</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6,9</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4,3</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7,0</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5,8</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5,8</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6,3</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2,4</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0,4</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3,1</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1,1</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0,5</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2,2</w:t>
            </w:r>
          </w:p>
        </w:tc>
      </w:tr>
      <w:tr w:rsidR="00D14AC7" w:rsidTr="00D14AC7">
        <w:trPr>
          <w:trHeight w:hRule="exact" w:val="319"/>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pacing w:val="-1"/>
                <w:sz w:val="18"/>
              </w:rPr>
              <w:t>Oktober</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8,5</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6,6</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6,0</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7,8</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6,2</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5,9</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6,9</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2,4</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0,6</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3,1</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1,0</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1,9</w:t>
            </w:r>
          </w:p>
        </w:tc>
      </w:tr>
      <w:tr w:rsidR="00D14AC7" w:rsidTr="00D14AC7">
        <w:trPr>
          <w:trHeight w:hRule="exact" w:val="319"/>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pacing w:val="-1"/>
                <w:sz w:val="18"/>
              </w:rPr>
              <w:t>November</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9,0</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7,1</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6,0</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8,1</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7,1</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7,2</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7,5</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1,5</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0,4</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0,7</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3,5</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0,8</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2,2</w:t>
            </w:r>
          </w:p>
        </w:tc>
      </w:tr>
      <w:tr w:rsidR="00D14AC7" w:rsidTr="00D14AC7">
        <w:trPr>
          <w:trHeight w:hRule="exact" w:val="319"/>
        </w:trPr>
        <w:tc>
          <w:tcPr>
            <w:tcW w:w="1097" w:type="dxa"/>
            <w:vMerge w:val="restart"/>
            <w:tcBorders>
              <w:top w:val="single" w:sz="5" w:space="0" w:color="000000"/>
              <w:left w:val="single" w:sz="5" w:space="0" w:color="000000"/>
              <w:right w:val="single" w:sz="5" w:space="0" w:color="000000"/>
            </w:tcBorders>
          </w:tcPr>
          <w:p w:rsidR="00D14AC7" w:rsidRDefault="00D14AC7" w:rsidP="00923CC2">
            <w:pPr>
              <w:pStyle w:val="TableParagraph"/>
              <w:spacing w:line="201" w:lineRule="exact"/>
              <w:ind w:left="102"/>
              <w:rPr>
                <w:rFonts w:ascii="Times New Roman" w:eastAsia="Times New Roman" w:hAnsi="Times New Roman" w:cs="Times New Roman"/>
                <w:sz w:val="18"/>
                <w:szCs w:val="18"/>
              </w:rPr>
            </w:pPr>
            <w:r>
              <w:rPr>
                <w:rFonts w:ascii="Times New Roman"/>
                <w:spacing w:val="-1"/>
                <w:sz w:val="18"/>
              </w:rPr>
              <w:t>Dezember</w:t>
            </w:r>
          </w:p>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9,5</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7,3</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5,6</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8,9</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7,3</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7,4</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7,9</w:t>
            </w:r>
          </w:p>
        </w:tc>
      </w:tr>
      <w:tr w:rsidR="00D14AC7" w:rsidTr="00D14AC7">
        <w:trPr>
          <w:trHeight w:hRule="exact" w:val="322"/>
        </w:trPr>
        <w:tc>
          <w:tcPr>
            <w:tcW w:w="1097" w:type="dxa"/>
            <w:vMerge/>
            <w:tcBorders>
              <w:left w:val="single" w:sz="5" w:space="0" w:color="000000"/>
              <w:bottom w:val="single" w:sz="5" w:space="0" w:color="000000"/>
              <w:right w:val="single" w:sz="5" w:space="0" w:color="000000"/>
            </w:tcBorders>
          </w:tcPr>
          <w:p w:rsidR="00D14AC7" w:rsidRDefault="00D14AC7" w:rsidP="00923CC2"/>
        </w:tc>
        <w:tc>
          <w:tcPr>
            <w:tcW w:w="46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2,7</w:t>
            </w:r>
          </w:p>
        </w:tc>
        <w:tc>
          <w:tcPr>
            <w:tcW w:w="106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0,8</w:t>
            </w:r>
          </w:p>
        </w:tc>
        <w:tc>
          <w:tcPr>
            <w:tcW w:w="99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0,4</w:t>
            </w:r>
          </w:p>
        </w:tc>
        <w:tc>
          <w:tcPr>
            <w:tcW w:w="100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2,9</w:t>
            </w:r>
          </w:p>
        </w:tc>
        <w:tc>
          <w:tcPr>
            <w:tcW w:w="1265"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0,9</w:t>
            </w:r>
          </w:p>
        </w:tc>
        <w:tc>
          <w:tcPr>
            <w:tcW w:w="1056"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0,3</w:t>
            </w:r>
          </w:p>
        </w:tc>
        <w:tc>
          <w:tcPr>
            <w:tcW w:w="998" w:type="dxa"/>
            <w:tcBorders>
              <w:top w:val="single" w:sz="5" w:space="0" w:color="000000"/>
              <w:left w:val="single" w:sz="5" w:space="0" w:color="000000"/>
              <w:bottom w:val="single" w:sz="5" w:space="0" w:color="000000"/>
              <w:right w:val="single" w:sz="5" w:space="0" w:color="000000"/>
            </w:tcBorders>
          </w:tcPr>
          <w:p w:rsidR="00D14AC7" w:rsidRDefault="00D14AC7"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1,8</w:t>
            </w:r>
          </w:p>
        </w:tc>
      </w:tr>
    </w:tbl>
    <w:p w:rsidR="00D14AC7" w:rsidRPr="003F764D" w:rsidRDefault="00D14AC7" w:rsidP="003F764D">
      <w:pPr>
        <w:pStyle w:val="LTAntwortRessortText"/>
        <w:spacing w:before="120"/>
        <w:rPr>
          <w:sz w:val="24"/>
          <w:u w:val="single"/>
          <w:vertAlign w:val="superscript"/>
        </w:rPr>
      </w:pPr>
      <w:r w:rsidRPr="003F764D">
        <w:rPr>
          <w:spacing w:val="-1"/>
          <w:sz w:val="24"/>
          <w:vertAlign w:val="superscript"/>
        </w:rPr>
        <w:t>(</w:t>
      </w:r>
      <w:r w:rsidR="003F764D" w:rsidRPr="003F764D">
        <w:rPr>
          <w:spacing w:val="-11"/>
          <w:sz w:val="24"/>
          <w:vertAlign w:val="superscript"/>
        </w:rPr>
        <w:t>*</w:t>
      </w:r>
      <w:r w:rsidRPr="003F764D">
        <w:rPr>
          <w:spacing w:val="-1"/>
          <w:sz w:val="24"/>
          <w:vertAlign w:val="superscript"/>
        </w:rPr>
        <w:t>HS</w:t>
      </w:r>
      <w:r w:rsidRPr="003F764D">
        <w:rPr>
          <w:spacing w:val="-11"/>
          <w:sz w:val="24"/>
          <w:vertAlign w:val="superscript"/>
        </w:rPr>
        <w:t xml:space="preserve"> </w:t>
      </w:r>
      <w:r w:rsidRPr="003F764D">
        <w:rPr>
          <w:sz w:val="24"/>
          <w:vertAlign w:val="superscript"/>
        </w:rPr>
        <w:t>=</w:t>
      </w:r>
      <w:r w:rsidRPr="003F764D">
        <w:rPr>
          <w:spacing w:val="-12"/>
          <w:sz w:val="24"/>
          <w:vertAlign w:val="superscript"/>
        </w:rPr>
        <w:t xml:space="preserve"> </w:t>
      </w:r>
      <w:r w:rsidRPr="003F764D">
        <w:rPr>
          <w:spacing w:val="-1"/>
          <w:sz w:val="24"/>
          <w:vertAlign w:val="superscript"/>
        </w:rPr>
        <w:t>Hauptsacheverfahren</w:t>
      </w:r>
      <w:r w:rsidR="003F764D" w:rsidRPr="003F764D">
        <w:rPr>
          <w:spacing w:val="-1"/>
          <w:sz w:val="24"/>
          <w:vertAlign w:val="superscript"/>
        </w:rPr>
        <w:t>, *VR</w:t>
      </w:r>
      <w:r w:rsidR="003F764D" w:rsidRPr="003F764D">
        <w:rPr>
          <w:spacing w:val="-6"/>
          <w:sz w:val="24"/>
          <w:vertAlign w:val="superscript"/>
        </w:rPr>
        <w:t xml:space="preserve"> </w:t>
      </w:r>
      <w:r w:rsidR="003F764D" w:rsidRPr="003F764D">
        <w:rPr>
          <w:sz w:val="24"/>
          <w:vertAlign w:val="superscript"/>
        </w:rPr>
        <w:t>=</w:t>
      </w:r>
      <w:r w:rsidR="003F764D" w:rsidRPr="003F764D">
        <w:rPr>
          <w:spacing w:val="-7"/>
          <w:sz w:val="24"/>
          <w:vertAlign w:val="superscript"/>
        </w:rPr>
        <w:t xml:space="preserve"> </w:t>
      </w:r>
      <w:r w:rsidR="003F764D" w:rsidRPr="003F764D">
        <w:rPr>
          <w:sz w:val="24"/>
          <w:vertAlign w:val="superscript"/>
        </w:rPr>
        <w:t>vorläu</w:t>
      </w:r>
      <w:r w:rsidR="003F764D" w:rsidRPr="003F764D">
        <w:rPr>
          <w:spacing w:val="-1"/>
          <w:sz w:val="24"/>
          <w:vertAlign w:val="superscript"/>
        </w:rPr>
        <w:t>figer</w:t>
      </w:r>
      <w:r w:rsidR="003F764D" w:rsidRPr="003F764D">
        <w:rPr>
          <w:spacing w:val="-12"/>
          <w:sz w:val="24"/>
          <w:vertAlign w:val="superscript"/>
        </w:rPr>
        <w:t xml:space="preserve"> </w:t>
      </w:r>
      <w:r w:rsidR="003F764D" w:rsidRPr="003F764D">
        <w:rPr>
          <w:spacing w:val="-1"/>
          <w:sz w:val="24"/>
          <w:vertAlign w:val="superscript"/>
        </w:rPr>
        <w:t>Rechtsschutz;</w:t>
      </w:r>
      <w:r w:rsidRPr="003F764D">
        <w:rPr>
          <w:spacing w:val="-1"/>
          <w:sz w:val="24"/>
          <w:vertAlign w:val="superscript"/>
        </w:rPr>
        <w:t>)</w:t>
      </w:r>
    </w:p>
    <w:p w:rsidR="00CA4048" w:rsidRPr="00D14AC7" w:rsidRDefault="00CA4048" w:rsidP="00D14AC7">
      <w:pPr>
        <w:pStyle w:val="LTAntwortRessortText"/>
        <w:spacing w:before="360"/>
        <w:rPr>
          <w:u w:val="single"/>
        </w:rPr>
      </w:pPr>
      <w:r w:rsidRPr="00D14AC7">
        <w:rPr>
          <w:u w:val="single"/>
        </w:rPr>
        <w:t>1. Quartal 2018:</w:t>
      </w:r>
    </w:p>
    <w:p w:rsidR="003F764D" w:rsidRDefault="003F764D" w:rsidP="003F764D">
      <w:pPr>
        <w:pStyle w:val="LTAntwortRessortText"/>
        <w:spacing w:before="120"/>
      </w:pPr>
    </w:p>
    <w:tbl>
      <w:tblPr>
        <w:tblStyle w:val="TableNormal"/>
        <w:tblW w:w="0" w:type="auto"/>
        <w:tblInd w:w="290" w:type="dxa"/>
        <w:tblLayout w:type="fixed"/>
        <w:tblLook w:val="01E0" w:firstRow="1" w:lastRow="1" w:firstColumn="1" w:lastColumn="1" w:noHBand="0" w:noVBand="0"/>
      </w:tblPr>
      <w:tblGrid>
        <w:gridCol w:w="1097"/>
        <w:gridCol w:w="468"/>
        <w:gridCol w:w="977"/>
        <w:gridCol w:w="1066"/>
        <w:gridCol w:w="996"/>
        <w:gridCol w:w="1008"/>
        <w:gridCol w:w="1265"/>
        <w:gridCol w:w="1056"/>
      </w:tblGrid>
      <w:tr w:rsidR="003F764D" w:rsidTr="003F764D">
        <w:trPr>
          <w:trHeight w:hRule="exact" w:val="631"/>
        </w:trPr>
        <w:tc>
          <w:tcPr>
            <w:tcW w:w="1097" w:type="dxa"/>
            <w:tcBorders>
              <w:top w:val="single" w:sz="5" w:space="0" w:color="000000"/>
              <w:left w:val="single" w:sz="5" w:space="0" w:color="000000"/>
              <w:bottom w:val="single" w:sz="5" w:space="0" w:color="000000"/>
              <w:right w:val="single" w:sz="5" w:space="0" w:color="000000"/>
            </w:tcBorders>
          </w:tcPr>
          <w:p w:rsidR="003F764D" w:rsidRDefault="003F764D" w:rsidP="00923CC2"/>
        </w:tc>
        <w:tc>
          <w:tcPr>
            <w:tcW w:w="468" w:type="dxa"/>
            <w:tcBorders>
              <w:top w:val="single" w:sz="5" w:space="0" w:color="000000"/>
              <w:left w:val="single" w:sz="5" w:space="0" w:color="000000"/>
              <w:bottom w:val="single" w:sz="5" w:space="0" w:color="000000"/>
              <w:right w:val="single" w:sz="5" w:space="0" w:color="000000"/>
            </w:tcBorders>
          </w:tcPr>
          <w:p w:rsidR="003F764D" w:rsidRDefault="003F764D" w:rsidP="00923CC2"/>
        </w:tc>
        <w:tc>
          <w:tcPr>
            <w:tcW w:w="977"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6" w:lineRule="exact"/>
              <w:ind w:right="1"/>
              <w:jc w:val="center"/>
              <w:rPr>
                <w:rFonts w:ascii="Times New Roman" w:eastAsia="Times New Roman" w:hAnsi="Times New Roman" w:cs="Times New Roman"/>
                <w:sz w:val="18"/>
                <w:szCs w:val="18"/>
              </w:rPr>
            </w:pPr>
            <w:r>
              <w:rPr>
                <w:rFonts w:ascii="Times New Roman"/>
                <w:b/>
                <w:spacing w:val="-1"/>
                <w:sz w:val="18"/>
              </w:rPr>
              <w:t>VG</w:t>
            </w:r>
          </w:p>
          <w:p w:rsidR="003F764D" w:rsidRDefault="003F764D" w:rsidP="00923CC2">
            <w:pPr>
              <w:pStyle w:val="TableParagraph"/>
              <w:spacing w:before="105"/>
              <w:jc w:val="center"/>
              <w:rPr>
                <w:rFonts w:ascii="Times New Roman" w:eastAsia="Times New Roman" w:hAnsi="Times New Roman" w:cs="Times New Roman"/>
                <w:sz w:val="18"/>
                <w:szCs w:val="18"/>
              </w:rPr>
            </w:pPr>
            <w:r>
              <w:rPr>
                <w:rFonts w:ascii="Times New Roman"/>
                <w:b/>
                <w:spacing w:val="-1"/>
                <w:sz w:val="18"/>
              </w:rPr>
              <w:t>Ansbach</w:t>
            </w:r>
          </w:p>
        </w:tc>
        <w:tc>
          <w:tcPr>
            <w:tcW w:w="106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6" w:lineRule="exact"/>
              <w:ind w:right="2"/>
              <w:jc w:val="center"/>
              <w:rPr>
                <w:rFonts w:ascii="Times New Roman" w:eastAsia="Times New Roman" w:hAnsi="Times New Roman" w:cs="Times New Roman"/>
                <w:sz w:val="18"/>
                <w:szCs w:val="18"/>
              </w:rPr>
            </w:pPr>
            <w:r>
              <w:rPr>
                <w:rFonts w:ascii="Times New Roman"/>
                <w:b/>
                <w:spacing w:val="-1"/>
                <w:sz w:val="18"/>
              </w:rPr>
              <w:t>VG</w:t>
            </w:r>
          </w:p>
          <w:p w:rsidR="003F764D" w:rsidRDefault="003F764D" w:rsidP="00923CC2">
            <w:pPr>
              <w:pStyle w:val="TableParagraph"/>
              <w:spacing w:before="105"/>
              <w:ind w:right="4"/>
              <w:jc w:val="center"/>
              <w:rPr>
                <w:rFonts w:ascii="Times New Roman" w:eastAsia="Times New Roman" w:hAnsi="Times New Roman" w:cs="Times New Roman"/>
                <w:sz w:val="18"/>
                <w:szCs w:val="18"/>
              </w:rPr>
            </w:pPr>
            <w:r>
              <w:rPr>
                <w:rFonts w:ascii="Times New Roman"/>
                <w:b/>
                <w:spacing w:val="-1"/>
                <w:sz w:val="18"/>
              </w:rPr>
              <w:t>Augsburg</w:t>
            </w:r>
          </w:p>
        </w:tc>
        <w:tc>
          <w:tcPr>
            <w:tcW w:w="99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6" w:lineRule="exact"/>
              <w:ind w:right="1"/>
              <w:jc w:val="center"/>
              <w:rPr>
                <w:rFonts w:ascii="Times New Roman" w:eastAsia="Times New Roman" w:hAnsi="Times New Roman" w:cs="Times New Roman"/>
                <w:sz w:val="18"/>
                <w:szCs w:val="18"/>
              </w:rPr>
            </w:pPr>
            <w:r>
              <w:rPr>
                <w:rFonts w:ascii="Times New Roman"/>
                <w:b/>
                <w:spacing w:val="-1"/>
                <w:sz w:val="18"/>
              </w:rPr>
              <w:t>VG</w:t>
            </w:r>
          </w:p>
          <w:p w:rsidR="003F764D" w:rsidRDefault="003F764D" w:rsidP="00923CC2">
            <w:pPr>
              <w:pStyle w:val="TableParagraph"/>
              <w:spacing w:before="105"/>
              <w:ind w:right="1"/>
              <w:jc w:val="center"/>
              <w:rPr>
                <w:rFonts w:ascii="Times New Roman" w:eastAsia="Times New Roman" w:hAnsi="Times New Roman" w:cs="Times New Roman"/>
                <w:sz w:val="18"/>
                <w:szCs w:val="18"/>
              </w:rPr>
            </w:pPr>
            <w:r>
              <w:rPr>
                <w:rFonts w:ascii="Times New Roman"/>
                <w:b/>
                <w:spacing w:val="-1"/>
                <w:sz w:val="18"/>
              </w:rPr>
              <w:t>Bayreuth</w:t>
            </w:r>
          </w:p>
        </w:tc>
        <w:tc>
          <w:tcPr>
            <w:tcW w:w="100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6" w:lineRule="exact"/>
              <w:jc w:val="center"/>
              <w:rPr>
                <w:rFonts w:ascii="Times New Roman" w:eastAsia="Times New Roman" w:hAnsi="Times New Roman" w:cs="Times New Roman"/>
                <w:sz w:val="18"/>
                <w:szCs w:val="18"/>
              </w:rPr>
            </w:pPr>
            <w:r>
              <w:rPr>
                <w:rFonts w:ascii="Times New Roman"/>
                <w:b/>
                <w:spacing w:val="-1"/>
                <w:sz w:val="18"/>
              </w:rPr>
              <w:t>VG</w:t>
            </w:r>
          </w:p>
          <w:p w:rsidR="003F764D" w:rsidRDefault="003F764D" w:rsidP="00923CC2">
            <w:pPr>
              <w:pStyle w:val="TableParagraph"/>
              <w:spacing w:before="105"/>
              <w:jc w:val="center"/>
              <w:rPr>
                <w:rFonts w:ascii="Times New Roman" w:eastAsia="Times New Roman" w:hAnsi="Times New Roman" w:cs="Times New Roman"/>
                <w:sz w:val="18"/>
                <w:szCs w:val="18"/>
              </w:rPr>
            </w:pPr>
            <w:r>
              <w:rPr>
                <w:rFonts w:ascii="Times New Roman" w:hAnsi="Times New Roman"/>
                <w:b/>
                <w:spacing w:val="-1"/>
                <w:sz w:val="18"/>
              </w:rPr>
              <w:t>München</w:t>
            </w:r>
          </w:p>
        </w:tc>
        <w:tc>
          <w:tcPr>
            <w:tcW w:w="1265"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6" w:lineRule="exact"/>
              <w:ind w:right="1"/>
              <w:jc w:val="center"/>
              <w:rPr>
                <w:rFonts w:ascii="Times New Roman" w:eastAsia="Times New Roman" w:hAnsi="Times New Roman" w:cs="Times New Roman"/>
                <w:sz w:val="18"/>
                <w:szCs w:val="18"/>
              </w:rPr>
            </w:pPr>
            <w:r>
              <w:rPr>
                <w:rFonts w:ascii="Times New Roman"/>
                <w:b/>
                <w:spacing w:val="-1"/>
                <w:sz w:val="18"/>
              </w:rPr>
              <w:t>VG</w:t>
            </w:r>
          </w:p>
          <w:p w:rsidR="003F764D" w:rsidRDefault="003F764D" w:rsidP="00923CC2">
            <w:pPr>
              <w:pStyle w:val="TableParagraph"/>
              <w:spacing w:before="105"/>
              <w:ind w:right="1"/>
              <w:jc w:val="center"/>
              <w:rPr>
                <w:rFonts w:ascii="Times New Roman" w:eastAsia="Times New Roman" w:hAnsi="Times New Roman" w:cs="Times New Roman"/>
                <w:sz w:val="18"/>
                <w:szCs w:val="18"/>
              </w:rPr>
            </w:pPr>
            <w:r>
              <w:rPr>
                <w:rFonts w:ascii="Times New Roman"/>
                <w:b/>
                <w:spacing w:val="-1"/>
                <w:sz w:val="18"/>
              </w:rPr>
              <w:t>Regensburg</w:t>
            </w:r>
          </w:p>
        </w:tc>
        <w:tc>
          <w:tcPr>
            <w:tcW w:w="105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6" w:lineRule="exact"/>
              <w:jc w:val="center"/>
              <w:rPr>
                <w:rFonts w:ascii="Times New Roman" w:eastAsia="Times New Roman" w:hAnsi="Times New Roman" w:cs="Times New Roman"/>
                <w:sz w:val="18"/>
                <w:szCs w:val="18"/>
              </w:rPr>
            </w:pPr>
            <w:r>
              <w:rPr>
                <w:rFonts w:ascii="Times New Roman"/>
                <w:b/>
                <w:spacing w:val="-1"/>
                <w:sz w:val="18"/>
              </w:rPr>
              <w:t>VG</w:t>
            </w:r>
          </w:p>
          <w:p w:rsidR="003F764D" w:rsidRDefault="003F764D" w:rsidP="00923CC2">
            <w:pPr>
              <w:pStyle w:val="TableParagraph"/>
              <w:spacing w:before="105"/>
              <w:ind w:left="1"/>
              <w:jc w:val="center"/>
              <w:rPr>
                <w:rFonts w:ascii="Times New Roman" w:eastAsia="Times New Roman" w:hAnsi="Times New Roman" w:cs="Times New Roman"/>
                <w:sz w:val="18"/>
                <w:szCs w:val="18"/>
              </w:rPr>
            </w:pPr>
            <w:r>
              <w:rPr>
                <w:rFonts w:ascii="Times New Roman" w:hAnsi="Times New Roman"/>
                <w:b/>
                <w:spacing w:val="-1"/>
                <w:sz w:val="18"/>
              </w:rPr>
              <w:t>Würzburg</w:t>
            </w:r>
          </w:p>
        </w:tc>
      </w:tr>
      <w:tr w:rsidR="003F764D" w:rsidTr="003F764D">
        <w:trPr>
          <w:trHeight w:hRule="exact" w:val="322"/>
        </w:trPr>
        <w:tc>
          <w:tcPr>
            <w:tcW w:w="1097" w:type="dxa"/>
            <w:vMerge w:val="restart"/>
            <w:tcBorders>
              <w:top w:val="single" w:sz="5" w:space="0" w:color="000000"/>
              <w:left w:val="single" w:sz="5" w:space="0" w:color="000000"/>
              <w:right w:val="single" w:sz="5" w:space="0" w:color="000000"/>
            </w:tcBorders>
          </w:tcPr>
          <w:p w:rsidR="003F764D" w:rsidRDefault="003F764D" w:rsidP="00923CC2">
            <w:pPr>
              <w:pStyle w:val="TableParagraph"/>
              <w:spacing w:line="201" w:lineRule="exact"/>
              <w:ind w:left="102"/>
              <w:rPr>
                <w:rFonts w:ascii="Times New Roman" w:eastAsia="Times New Roman" w:hAnsi="Times New Roman" w:cs="Times New Roman"/>
                <w:sz w:val="18"/>
                <w:szCs w:val="18"/>
              </w:rPr>
            </w:pPr>
            <w:r>
              <w:rPr>
                <w:rFonts w:ascii="Times New Roman"/>
                <w:spacing w:val="-1"/>
                <w:sz w:val="18"/>
              </w:rPr>
              <w:t>Januar</w:t>
            </w:r>
          </w:p>
        </w:tc>
        <w:tc>
          <w:tcPr>
            <w:tcW w:w="46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9,0</w:t>
            </w:r>
          </w:p>
        </w:tc>
        <w:tc>
          <w:tcPr>
            <w:tcW w:w="106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8,3</w:t>
            </w:r>
          </w:p>
        </w:tc>
        <w:tc>
          <w:tcPr>
            <w:tcW w:w="99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6,5</w:t>
            </w:r>
          </w:p>
        </w:tc>
        <w:tc>
          <w:tcPr>
            <w:tcW w:w="100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8,6</w:t>
            </w:r>
          </w:p>
        </w:tc>
        <w:tc>
          <w:tcPr>
            <w:tcW w:w="1265"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7,6</w:t>
            </w:r>
          </w:p>
        </w:tc>
        <w:tc>
          <w:tcPr>
            <w:tcW w:w="105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8,4</w:t>
            </w:r>
          </w:p>
        </w:tc>
      </w:tr>
      <w:tr w:rsidR="003F764D" w:rsidTr="003F764D">
        <w:trPr>
          <w:trHeight w:hRule="exact" w:val="319"/>
        </w:trPr>
        <w:tc>
          <w:tcPr>
            <w:tcW w:w="1097" w:type="dxa"/>
            <w:vMerge/>
            <w:tcBorders>
              <w:left w:val="single" w:sz="5" w:space="0" w:color="000000"/>
              <w:bottom w:val="single" w:sz="5" w:space="0" w:color="000000"/>
              <w:right w:val="single" w:sz="5" w:space="0" w:color="000000"/>
            </w:tcBorders>
          </w:tcPr>
          <w:p w:rsidR="003F764D" w:rsidRDefault="003F764D" w:rsidP="00923CC2"/>
        </w:tc>
        <w:tc>
          <w:tcPr>
            <w:tcW w:w="46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3,5</w:t>
            </w:r>
          </w:p>
        </w:tc>
        <w:tc>
          <w:tcPr>
            <w:tcW w:w="106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99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100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4,4</w:t>
            </w:r>
          </w:p>
        </w:tc>
        <w:tc>
          <w:tcPr>
            <w:tcW w:w="1265"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1,0</w:t>
            </w:r>
          </w:p>
        </w:tc>
        <w:tc>
          <w:tcPr>
            <w:tcW w:w="105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r>
      <w:tr w:rsidR="003F764D" w:rsidTr="003F764D">
        <w:trPr>
          <w:trHeight w:hRule="exact" w:val="322"/>
        </w:trPr>
        <w:tc>
          <w:tcPr>
            <w:tcW w:w="1097" w:type="dxa"/>
            <w:vMerge w:val="restart"/>
            <w:tcBorders>
              <w:top w:val="single" w:sz="5" w:space="0" w:color="000000"/>
              <w:left w:val="single" w:sz="5" w:space="0" w:color="000000"/>
              <w:right w:val="single" w:sz="5" w:space="0" w:color="000000"/>
            </w:tcBorders>
          </w:tcPr>
          <w:p w:rsidR="003F764D" w:rsidRDefault="003F764D" w:rsidP="00923CC2">
            <w:pPr>
              <w:pStyle w:val="TableParagraph"/>
              <w:spacing w:line="201" w:lineRule="exact"/>
              <w:ind w:left="102"/>
              <w:rPr>
                <w:rFonts w:ascii="Times New Roman" w:eastAsia="Times New Roman" w:hAnsi="Times New Roman" w:cs="Times New Roman"/>
                <w:sz w:val="18"/>
                <w:szCs w:val="18"/>
              </w:rPr>
            </w:pPr>
            <w:r>
              <w:rPr>
                <w:rFonts w:ascii="Times New Roman"/>
                <w:sz w:val="18"/>
              </w:rPr>
              <w:t>Februar</w:t>
            </w:r>
          </w:p>
        </w:tc>
        <w:tc>
          <w:tcPr>
            <w:tcW w:w="46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548"/>
              <w:rPr>
                <w:rFonts w:ascii="Times New Roman" w:eastAsia="Times New Roman" w:hAnsi="Times New Roman" w:cs="Times New Roman"/>
                <w:sz w:val="18"/>
                <w:szCs w:val="18"/>
              </w:rPr>
            </w:pPr>
            <w:r>
              <w:rPr>
                <w:rFonts w:ascii="Times New Roman"/>
                <w:sz w:val="18"/>
              </w:rPr>
              <w:t>10,7</w:t>
            </w:r>
          </w:p>
        </w:tc>
        <w:tc>
          <w:tcPr>
            <w:tcW w:w="106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8,5</w:t>
            </w:r>
          </w:p>
        </w:tc>
        <w:tc>
          <w:tcPr>
            <w:tcW w:w="99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6,6</w:t>
            </w:r>
          </w:p>
        </w:tc>
        <w:tc>
          <w:tcPr>
            <w:tcW w:w="100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9,5</w:t>
            </w:r>
          </w:p>
        </w:tc>
        <w:tc>
          <w:tcPr>
            <w:tcW w:w="1265"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7,8</w:t>
            </w:r>
          </w:p>
        </w:tc>
        <w:tc>
          <w:tcPr>
            <w:tcW w:w="105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9,3</w:t>
            </w:r>
          </w:p>
        </w:tc>
      </w:tr>
      <w:tr w:rsidR="003F764D" w:rsidTr="003F764D">
        <w:trPr>
          <w:trHeight w:hRule="exact" w:val="319"/>
        </w:trPr>
        <w:tc>
          <w:tcPr>
            <w:tcW w:w="1097" w:type="dxa"/>
            <w:vMerge/>
            <w:tcBorders>
              <w:left w:val="single" w:sz="5" w:space="0" w:color="000000"/>
              <w:bottom w:val="single" w:sz="5" w:space="0" w:color="000000"/>
              <w:right w:val="single" w:sz="5" w:space="0" w:color="000000"/>
            </w:tcBorders>
          </w:tcPr>
          <w:p w:rsidR="003F764D" w:rsidRDefault="003F764D" w:rsidP="00923CC2"/>
        </w:tc>
        <w:tc>
          <w:tcPr>
            <w:tcW w:w="46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1,9</w:t>
            </w:r>
          </w:p>
        </w:tc>
        <w:tc>
          <w:tcPr>
            <w:tcW w:w="106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99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0,4</w:t>
            </w:r>
          </w:p>
        </w:tc>
        <w:tc>
          <w:tcPr>
            <w:tcW w:w="100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4,2</w:t>
            </w:r>
          </w:p>
        </w:tc>
        <w:tc>
          <w:tcPr>
            <w:tcW w:w="1265"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1,1</w:t>
            </w:r>
          </w:p>
        </w:tc>
        <w:tc>
          <w:tcPr>
            <w:tcW w:w="105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r>
      <w:tr w:rsidR="003F764D" w:rsidTr="003F764D">
        <w:trPr>
          <w:trHeight w:hRule="exact" w:val="322"/>
        </w:trPr>
        <w:tc>
          <w:tcPr>
            <w:tcW w:w="1097" w:type="dxa"/>
            <w:vMerge w:val="restart"/>
            <w:tcBorders>
              <w:top w:val="single" w:sz="5" w:space="0" w:color="000000"/>
              <w:left w:val="single" w:sz="5" w:space="0" w:color="000000"/>
              <w:right w:val="single" w:sz="5" w:space="0" w:color="000000"/>
            </w:tcBorders>
          </w:tcPr>
          <w:p w:rsidR="003F764D" w:rsidRDefault="003F764D" w:rsidP="00923CC2">
            <w:pPr>
              <w:pStyle w:val="TableParagraph"/>
              <w:spacing w:line="201" w:lineRule="exact"/>
              <w:ind w:left="102"/>
              <w:rPr>
                <w:rFonts w:ascii="Times New Roman" w:eastAsia="Times New Roman" w:hAnsi="Times New Roman" w:cs="Times New Roman"/>
                <w:sz w:val="18"/>
                <w:szCs w:val="18"/>
              </w:rPr>
            </w:pPr>
            <w:r>
              <w:rPr>
                <w:rFonts w:ascii="Times New Roman" w:hAnsi="Times New Roman"/>
                <w:spacing w:val="-1"/>
                <w:sz w:val="18"/>
              </w:rPr>
              <w:t>März</w:t>
            </w:r>
          </w:p>
        </w:tc>
        <w:tc>
          <w:tcPr>
            <w:tcW w:w="46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1"/>
                <w:sz w:val="18"/>
              </w:rPr>
              <w:t>HS</w:t>
            </w:r>
          </w:p>
        </w:tc>
        <w:tc>
          <w:tcPr>
            <w:tcW w:w="977"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548"/>
              <w:rPr>
                <w:rFonts w:ascii="Times New Roman" w:eastAsia="Times New Roman" w:hAnsi="Times New Roman" w:cs="Times New Roman"/>
                <w:sz w:val="18"/>
                <w:szCs w:val="18"/>
              </w:rPr>
            </w:pPr>
            <w:r>
              <w:rPr>
                <w:rFonts w:ascii="Times New Roman"/>
                <w:sz w:val="18"/>
              </w:rPr>
              <w:t>11,6</w:t>
            </w:r>
          </w:p>
        </w:tc>
        <w:tc>
          <w:tcPr>
            <w:tcW w:w="106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8,3</w:t>
            </w:r>
          </w:p>
        </w:tc>
        <w:tc>
          <w:tcPr>
            <w:tcW w:w="99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7,2</w:t>
            </w:r>
          </w:p>
        </w:tc>
        <w:tc>
          <w:tcPr>
            <w:tcW w:w="100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579"/>
              <w:rPr>
                <w:rFonts w:ascii="Times New Roman" w:eastAsia="Times New Roman" w:hAnsi="Times New Roman" w:cs="Times New Roman"/>
                <w:sz w:val="18"/>
                <w:szCs w:val="18"/>
              </w:rPr>
            </w:pPr>
            <w:r>
              <w:rPr>
                <w:rFonts w:ascii="Times New Roman"/>
                <w:sz w:val="18"/>
              </w:rPr>
              <w:t>10,1</w:t>
            </w:r>
          </w:p>
        </w:tc>
        <w:tc>
          <w:tcPr>
            <w:tcW w:w="1265"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8,4</w:t>
            </w:r>
          </w:p>
        </w:tc>
        <w:tc>
          <w:tcPr>
            <w:tcW w:w="105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9,3</w:t>
            </w:r>
          </w:p>
        </w:tc>
      </w:tr>
      <w:tr w:rsidR="003F764D" w:rsidTr="003F764D">
        <w:trPr>
          <w:trHeight w:hRule="exact" w:val="319"/>
        </w:trPr>
        <w:tc>
          <w:tcPr>
            <w:tcW w:w="1097" w:type="dxa"/>
            <w:vMerge/>
            <w:tcBorders>
              <w:left w:val="single" w:sz="5" w:space="0" w:color="000000"/>
              <w:bottom w:val="single" w:sz="5" w:space="0" w:color="000000"/>
              <w:right w:val="single" w:sz="5" w:space="0" w:color="000000"/>
            </w:tcBorders>
          </w:tcPr>
          <w:p w:rsidR="003F764D" w:rsidRDefault="003F764D" w:rsidP="00923CC2"/>
        </w:tc>
        <w:tc>
          <w:tcPr>
            <w:tcW w:w="46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104"/>
              <w:rPr>
                <w:rFonts w:ascii="Times New Roman" w:eastAsia="Times New Roman" w:hAnsi="Times New Roman" w:cs="Times New Roman"/>
                <w:sz w:val="18"/>
                <w:szCs w:val="18"/>
              </w:rPr>
            </w:pPr>
            <w:r>
              <w:rPr>
                <w:rFonts w:ascii="Times New Roman"/>
                <w:spacing w:val="2"/>
                <w:sz w:val="18"/>
              </w:rPr>
              <w:t>V</w:t>
            </w:r>
            <w:r>
              <w:rPr>
                <w:rFonts w:ascii="Times New Roman"/>
                <w:sz w:val="18"/>
              </w:rPr>
              <w:t>R</w:t>
            </w:r>
          </w:p>
        </w:tc>
        <w:tc>
          <w:tcPr>
            <w:tcW w:w="977"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left="637"/>
              <w:rPr>
                <w:rFonts w:ascii="Times New Roman" w:eastAsia="Times New Roman" w:hAnsi="Times New Roman" w:cs="Times New Roman"/>
                <w:sz w:val="18"/>
                <w:szCs w:val="18"/>
              </w:rPr>
            </w:pPr>
            <w:r>
              <w:rPr>
                <w:rFonts w:ascii="Times New Roman"/>
                <w:sz w:val="18"/>
              </w:rPr>
              <w:t>3,0</w:t>
            </w:r>
          </w:p>
        </w:tc>
        <w:tc>
          <w:tcPr>
            <w:tcW w:w="106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99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0,5</w:t>
            </w:r>
          </w:p>
        </w:tc>
        <w:tc>
          <w:tcPr>
            <w:tcW w:w="1008"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9"/>
              <w:jc w:val="right"/>
              <w:rPr>
                <w:rFonts w:ascii="Times New Roman" w:eastAsia="Times New Roman" w:hAnsi="Times New Roman" w:cs="Times New Roman"/>
                <w:sz w:val="18"/>
                <w:szCs w:val="18"/>
              </w:rPr>
            </w:pPr>
            <w:r>
              <w:rPr>
                <w:rFonts w:ascii="Times New Roman"/>
                <w:w w:val="95"/>
                <w:sz w:val="18"/>
              </w:rPr>
              <w:t>4,4</w:t>
            </w:r>
          </w:p>
        </w:tc>
        <w:tc>
          <w:tcPr>
            <w:tcW w:w="1265"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0,5</w:t>
            </w:r>
          </w:p>
        </w:tc>
        <w:tc>
          <w:tcPr>
            <w:tcW w:w="1056" w:type="dxa"/>
            <w:tcBorders>
              <w:top w:val="single" w:sz="5" w:space="0" w:color="000000"/>
              <w:left w:val="single" w:sz="5" w:space="0" w:color="000000"/>
              <w:bottom w:val="single" w:sz="5" w:space="0" w:color="000000"/>
              <w:right w:val="single" w:sz="5" w:space="0" w:color="000000"/>
            </w:tcBorders>
          </w:tcPr>
          <w:p w:rsidR="003F764D" w:rsidRDefault="003F764D" w:rsidP="00923CC2">
            <w:pPr>
              <w:pStyle w:val="TableParagraph"/>
              <w:spacing w:line="201" w:lineRule="exact"/>
              <w:ind w:right="96"/>
              <w:jc w:val="right"/>
              <w:rPr>
                <w:rFonts w:ascii="Times New Roman" w:eastAsia="Times New Roman" w:hAnsi="Times New Roman" w:cs="Times New Roman"/>
                <w:sz w:val="18"/>
                <w:szCs w:val="18"/>
              </w:rPr>
            </w:pPr>
            <w:r>
              <w:rPr>
                <w:rFonts w:ascii="Times New Roman"/>
                <w:w w:val="95"/>
                <w:sz w:val="18"/>
              </w:rPr>
              <w:t>0,4</w:t>
            </w:r>
          </w:p>
        </w:tc>
      </w:tr>
    </w:tbl>
    <w:p w:rsidR="00CA4048" w:rsidRDefault="00CA4048" w:rsidP="00CA4048">
      <w:pPr>
        <w:pStyle w:val="LTAntwortRessortText"/>
      </w:pPr>
      <w:r>
        <w:t>Die Anzahl der Eingänge von Zulassungs- und Berufungsverfa</w:t>
      </w:r>
      <w:r w:rsidR="003F764D">
        <w:t>hren in Asylsachen (einschließ</w:t>
      </w:r>
      <w:r>
        <w:t>lich Dublin-Verfahren) beim Bayerischen Verwaltungsgerichtshof lässt sich für das Jahr 2017 und das 1.</w:t>
      </w:r>
      <w:r w:rsidR="003F764D">
        <w:t> </w:t>
      </w:r>
      <w:r>
        <w:t>Quartal 2018 nach Erhebungen des Bayerischen Verwaltungsgerichtshofs wie folgt aufgliedern:</w:t>
      </w:r>
    </w:p>
    <w:p w:rsidR="003F764D" w:rsidRDefault="003F764D" w:rsidP="00CA4048">
      <w:pPr>
        <w:pStyle w:val="LTAntwortRessortText"/>
      </w:pPr>
    </w:p>
    <w:tbl>
      <w:tblPr>
        <w:tblStyle w:val="TableNormal"/>
        <w:tblW w:w="0" w:type="auto"/>
        <w:tblInd w:w="432" w:type="dxa"/>
        <w:tblLayout w:type="fixed"/>
        <w:tblLook w:val="01E0" w:firstRow="1" w:lastRow="1" w:firstColumn="1" w:lastColumn="1" w:noHBand="0" w:noVBand="0"/>
      </w:tblPr>
      <w:tblGrid>
        <w:gridCol w:w="2731"/>
        <w:gridCol w:w="2729"/>
        <w:gridCol w:w="2731"/>
      </w:tblGrid>
      <w:tr w:rsidR="003F764D" w:rsidRPr="003F764D" w:rsidTr="003F764D">
        <w:trPr>
          <w:trHeight w:hRule="exact" w:val="425"/>
        </w:trPr>
        <w:tc>
          <w:tcPr>
            <w:tcW w:w="2731" w:type="dxa"/>
            <w:tcBorders>
              <w:top w:val="single" w:sz="5" w:space="0" w:color="000000"/>
              <w:left w:val="single" w:sz="5" w:space="0" w:color="000000"/>
              <w:bottom w:val="single" w:sz="5" w:space="0" w:color="000000"/>
              <w:right w:val="single" w:sz="5" w:space="0" w:color="000000"/>
            </w:tcBorders>
          </w:tcPr>
          <w:p w:rsidR="003F764D" w:rsidRPr="003F764D" w:rsidRDefault="003F764D" w:rsidP="00923CC2">
            <w:pPr>
              <w:rPr>
                <w:sz w:val="20"/>
                <w:szCs w:val="20"/>
              </w:rPr>
            </w:pPr>
          </w:p>
        </w:tc>
        <w:tc>
          <w:tcPr>
            <w:tcW w:w="2729" w:type="dxa"/>
            <w:tcBorders>
              <w:top w:val="single" w:sz="5" w:space="0" w:color="000000"/>
              <w:left w:val="single" w:sz="5" w:space="0" w:color="000000"/>
              <w:bottom w:val="single" w:sz="5" w:space="0" w:color="000000"/>
              <w:right w:val="single" w:sz="5" w:space="0" w:color="000000"/>
            </w:tcBorders>
          </w:tcPr>
          <w:p w:rsidR="003F764D" w:rsidRPr="003F764D" w:rsidRDefault="003F764D" w:rsidP="00923CC2">
            <w:pPr>
              <w:pStyle w:val="TableParagraph"/>
              <w:spacing w:before="1"/>
              <w:ind w:right="1"/>
              <w:jc w:val="center"/>
              <w:rPr>
                <w:rFonts w:ascii="Times New Roman" w:eastAsia="Times New Roman" w:hAnsi="Times New Roman" w:cs="Times New Roman"/>
                <w:sz w:val="20"/>
                <w:szCs w:val="20"/>
              </w:rPr>
            </w:pPr>
            <w:r w:rsidRPr="003F764D">
              <w:rPr>
                <w:rFonts w:ascii="Times New Roman"/>
                <w:b/>
                <w:sz w:val="20"/>
                <w:szCs w:val="20"/>
              </w:rPr>
              <w:t>2017</w:t>
            </w:r>
          </w:p>
        </w:tc>
        <w:tc>
          <w:tcPr>
            <w:tcW w:w="2731" w:type="dxa"/>
            <w:tcBorders>
              <w:top w:val="single" w:sz="5" w:space="0" w:color="000000"/>
              <w:left w:val="single" w:sz="5" w:space="0" w:color="000000"/>
              <w:bottom w:val="single" w:sz="5" w:space="0" w:color="000000"/>
              <w:right w:val="single" w:sz="5" w:space="0" w:color="000000"/>
            </w:tcBorders>
          </w:tcPr>
          <w:p w:rsidR="003F764D" w:rsidRPr="003F764D" w:rsidRDefault="003F764D" w:rsidP="00923CC2">
            <w:pPr>
              <w:pStyle w:val="TableParagraph"/>
              <w:spacing w:before="1"/>
              <w:ind w:left="762"/>
              <w:rPr>
                <w:rFonts w:ascii="Times New Roman" w:eastAsia="Times New Roman" w:hAnsi="Times New Roman" w:cs="Times New Roman"/>
                <w:sz w:val="20"/>
                <w:szCs w:val="20"/>
              </w:rPr>
            </w:pPr>
            <w:r w:rsidRPr="003F764D">
              <w:rPr>
                <w:rFonts w:ascii="Times New Roman"/>
                <w:b/>
                <w:sz w:val="20"/>
                <w:szCs w:val="20"/>
              </w:rPr>
              <w:t>1.</w:t>
            </w:r>
            <w:r w:rsidRPr="003F764D">
              <w:rPr>
                <w:rFonts w:ascii="Times New Roman"/>
                <w:b/>
                <w:spacing w:val="-8"/>
                <w:sz w:val="20"/>
                <w:szCs w:val="20"/>
              </w:rPr>
              <w:t xml:space="preserve"> </w:t>
            </w:r>
            <w:r w:rsidRPr="003F764D">
              <w:rPr>
                <w:rFonts w:ascii="Times New Roman"/>
                <w:b/>
                <w:spacing w:val="-1"/>
                <w:sz w:val="20"/>
                <w:szCs w:val="20"/>
              </w:rPr>
              <w:t>Quartal</w:t>
            </w:r>
            <w:r w:rsidRPr="003F764D">
              <w:rPr>
                <w:rFonts w:ascii="Times New Roman"/>
                <w:b/>
                <w:spacing w:val="-5"/>
                <w:sz w:val="20"/>
                <w:szCs w:val="20"/>
              </w:rPr>
              <w:t xml:space="preserve"> </w:t>
            </w:r>
            <w:r w:rsidRPr="003F764D">
              <w:rPr>
                <w:rFonts w:ascii="Times New Roman"/>
                <w:b/>
                <w:sz w:val="20"/>
                <w:szCs w:val="20"/>
              </w:rPr>
              <w:t>2018</w:t>
            </w:r>
          </w:p>
        </w:tc>
      </w:tr>
      <w:tr w:rsidR="003F764D" w:rsidRPr="003F764D" w:rsidTr="003F764D">
        <w:trPr>
          <w:trHeight w:hRule="exact" w:val="532"/>
        </w:trPr>
        <w:tc>
          <w:tcPr>
            <w:tcW w:w="2731" w:type="dxa"/>
            <w:tcBorders>
              <w:top w:val="single" w:sz="5" w:space="0" w:color="000000"/>
              <w:left w:val="single" w:sz="5" w:space="0" w:color="000000"/>
              <w:bottom w:val="single" w:sz="5" w:space="0" w:color="000000"/>
              <w:right w:val="single" w:sz="5" w:space="0" w:color="000000"/>
            </w:tcBorders>
            <w:vAlign w:val="center"/>
          </w:tcPr>
          <w:p w:rsidR="003F764D" w:rsidRPr="003F764D" w:rsidRDefault="003F764D" w:rsidP="003F764D">
            <w:pPr>
              <w:pStyle w:val="TableParagraph"/>
              <w:ind w:left="102" w:right="550"/>
              <w:rPr>
                <w:rFonts w:ascii="Times New Roman" w:eastAsia="Times New Roman" w:hAnsi="Times New Roman" w:cs="Times New Roman"/>
                <w:sz w:val="20"/>
                <w:szCs w:val="20"/>
              </w:rPr>
            </w:pPr>
            <w:r w:rsidRPr="003F764D">
              <w:rPr>
                <w:rFonts w:ascii="Times New Roman" w:hAnsi="Times New Roman"/>
                <w:b/>
                <w:spacing w:val="-1"/>
                <w:sz w:val="20"/>
                <w:szCs w:val="20"/>
              </w:rPr>
              <w:t>Anträge</w:t>
            </w:r>
            <w:r w:rsidRPr="003F764D">
              <w:rPr>
                <w:rFonts w:ascii="Times New Roman" w:hAnsi="Times New Roman"/>
                <w:b/>
                <w:spacing w:val="-8"/>
                <w:sz w:val="20"/>
                <w:szCs w:val="20"/>
              </w:rPr>
              <w:t xml:space="preserve"> </w:t>
            </w:r>
            <w:r w:rsidRPr="003F764D">
              <w:rPr>
                <w:rFonts w:ascii="Times New Roman" w:hAnsi="Times New Roman"/>
                <w:b/>
                <w:spacing w:val="-2"/>
                <w:sz w:val="20"/>
                <w:szCs w:val="20"/>
              </w:rPr>
              <w:t>auf</w:t>
            </w:r>
            <w:r w:rsidRPr="003F764D">
              <w:rPr>
                <w:rFonts w:ascii="Times New Roman" w:hAnsi="Times New Roman"/>
                <w:b/>
                <w:spacing w:val="-3"/>
                <w:sz w:val="20"/>
                <w:szCs w:val="20"/>
              </w:rPr>
              <w:t xml:space="preserve"> </w:t>
            </w:r>
            <w:r w:rsidRPr="003F764D">
              <w:rPr>
                <w:rFonts w:ascii="Times New Roman" w:hAnsi="Times New Roman"/>
                <w:b/>
                <w:spacing w:val="-1"/>
                <w:sz w:val="20"/>
                <w:szCs w:val="20"/>
              </w:rPr>
              <w:t>Zulassung</w:t>
            </w:r>
            <w:r w:rsidRPr="003F764D">
              <w:rPr>
                <w:rFonts w:ascii="Times New Roman" w:hAnsi="Times New Roman"/>
                <w:b/>
                <w:spacing w:val="-6"/>
                <w:sz w:val="20"/>
                <w:szCs w:val="20"/>
              </w:rPr>
              <w:t xml:space="preserve"> </w:t>
            </w:r>
            <w:r w:rsidRPr="003F764D">
              <w:rPr>
                <w:rFonts w:ascii="Times New Roman" w:hAnsi="Times New Roman"/>
                <w:b/>
                <w:spacing w:val="-1"/>
                <w:sz w:val="20"/>
                <w:szCs w:val="20"/>
              </w:rPr>
              <w:t>der</w:t>
            </w:r>
            <w:r w:rsidRPr="003F764D">
              <w:rPr>
                <w:rFonts w:ascii="Times New Roman" w:hAnsi="Times New Roman"/>
                <w:b/>
                <w:spacing w:val="25"/>
                <w:w w:val="99"/>
                <w:sz w:val="20"/>
                <w:szCs w:val="20"/>
              </w:rPr>
              <w:t xml:space="preserve"> </w:t>
            </w:r>
            <w:r w:rsidRPr="003F764D">
              <w:rPr>
                <w:rFonts w:ascii="Times New Roman" w:hAnsi="Times New Roman"/>
                <w:b/>
                <w:spacing w:val="-1"/>
                <w:sz w:val="20"/>
                <w:szCs w:val="20"/>
              </w:rPr>
              <w:t>Berufung</w:t>
            </w:r>
          </w:p>
        </w:tc>
        <w:tc>
          <w:tcPr>
            <w:tcW w:w="2729" w:type="dxa"/>
            <w:tcBorders>
              <w:top w:val="single" w:sz="5" w:space="0" w:color="000000"/>
              <w:left w:val="single" w:sz="5" w:space="0" w:color="000000"/>
              <w:bottom w:val="single" w:sz="5" w:space="0" w:color="000000"/>
              <w:right w:val="single" w:sz="5" w:space="0" w:color="000000"/>
            </w:tcBorders>
            <w:vAlign w:val="center"/>
          </w:tcPr>
          <w:p w:rsidR="003F764D" w:rsidRPr="003F764D" w:rsidRDefault="003F764D" w:rsidP="003F764D">
            <w:pPr>
              <w:pStyle w:val="TableParagraph"/>
              <w:spacing w:line="269" w:lineRule="exact"/>
              <w:ind w:left="102"/>
              <w:jc w:val="center"/>
              <w:rPr>
                <w:rFonts w:ascii="Times New Roman" w:eastAsia="Times New Roman" w:hAnsi="Times New Roman" w:cs="Times New Roman"/>
                <w:sz w:val="20"/>
                <w:szCs w:val="20"/>
              </w:rPr>
            </w:pPr>
            <w:r w:rsidRPr="003F764D">
              <w:rPr>
                <w:rFonts w:ascii="Times New Roman"/>
                <w:sz w:val="20"/>
                <w:szCs w:val="20"/>
              </w:rPr>
              <w:t>1.933</w:t>
            </w:r>
          </w:p>
        </w:tc>
        <w:tc>
          <w:tcPr>
            <w:tcW w:w="2731" w:type="dxa"/>
            <w:tcBorders>
              <w:top w:val="single" w:sz="5" w:space="0" w:color="000000"/>
              <w:left w:val="single" w:sz="5" w:space="0" w:color="000000"/>
              <w:bottom w:val="single" w:sz="5" w:space="0" w:color="000000"/>
              <w:right w:val="single" w:sz="5" w:space="0" w:color="000000"/>
            </w:tcBorders>
            <w:vAlign w:val="center"/>
          </w:tcPr>
          <w:p w:rsidR="003F764D" w:rsidRPr="003F764D" w:rsidRDefault="003F764D" w:rsidP="003F764D">
            <w:pPr>
              <w:pStyle w:val="TableParagraph"/>
              <w:spacing w:line="269" w:lineRule="exact"/>
              <w:ind w:left="102"/>
              <w:jc w:val="center"/>
              <w:rPr>
                <w:rFonts w:ascii="Times New Roman" w:eastAsia="Times New Roman" w:hAnsi="Times New Roman" w:cs="Times New Roman"/>
                <w:sz w:val="20"/>
                <w:szCs w:val="20"/>
              </w:rPr>
            </w:pPr>
            <w:r w:rsidRPr="003F764D">
              <w:rPr>
                <w:rFonts w:ascii="Times New Roman"/>
                <w:sz w:val="20"/>
                <w:szCs w:val="20"/>
              </w:rPr>
              <w:t>713</w:t>
            </w:r>
          </w:p>
        </w:tc>
      </w:tr>
      <w:tr w:rsidR="003F764D" w:rsidRPr="003F764D" w:rsidTr="003F764D">
        <w:trPr>
          <w:trHeight w:hRule="exact" w:val="425"/>
        </w:trPr>
        <w:tc>
          <w:tcPr>
            <w:tcW w:w="2731" w:type="dxa"/>
            <w:tcBorders>
              <w:top w:val="single" w:sz="5" w:space="0" w:color="000000"/>
              <w:left w:val="single" w:sz="5" w:space="0" w:color="000000"/>
              <w:bottom w:val="single" w:sz="5" w:space="0" w:color="000000"/>
              <w:right w:val="single" w:sz="5" w:space="0" w:color="000000"/>
            </w:tcBorders>
            <w:vAlign w:val="center"/>
          </w:tcPr>
          <w:p w:rsidR="003F764D" w:rsidRPr="003F764D" w:rsidRDefault="003F764D" w:rsidP="003F764D">
            <w:pPr>
              <w:pStyle w:val="TableParagraph"/>
              <w:spacing w:line="206" w:lineRule="exact"/>
              <w:ind w:left="102"/>
              <w:rPr>
                <w:rFonts w:ascii="Times New Roman" w:eastAsia="Times New Roman" w:hAnsi="Times New Roman" w:cs="Times New Roman"/>
                <w:sz w:val="20"/>
                <w:szCs w:val="20"/>
              </w:rPr>
            </w:pPr>
            <w:r w:rsidRPr="003F764D">
              <w:rPr>
                <w:rFonts w:ascii="Times New Roman"/>
                <w:b/>
                <w:spacing w:val="-1"/>
                <w:sz w:val="20"/>
                <w:szCs w:val="20"/>
              </w:rPr>
              <w:t>Berufungen</w:t>
            </w:r>
          </w:p>
        </w:tc>
        <w:tc>
          <w:tcPr>
            <w:tcW w:w="2729" w:type="dxa"/>
            <w:tcBorders>
              <w:top w:val="single" w:sz="5" w:space="0" w:color="000000"/>
              <w:left w:val="single" w:sz="5" w:space="0" w:color="000000"/>
              <w:bottom w:val="single" w:sz="5" w:space="0" w:color="000000"/>
              <w:right w:val="single" w:sz="5" w:space="0" w:color="000000"/>
            </w:tcBorders>
            <w:vAlign w:val="center"/>
          </w:tcPr>
          <w:p w:rsidR="003F764D" w:rsidRPr="003F764D" w:rsidRDefault="003F764D" w:rsidP="003F764D">
            <w:pPr>
              <w:pStyle w:val="TableParagraph"/>
              <w:spacing w:line="269" w:lineRule="exact"/>
              <w:ind w:left="102"/>
              <w:jc w:val="center"/>
              <w:rPr>
                <w:rFonts w:ascii="Times New Roman" w:eastAsia="Times New Roman" w:hAnsi="Times New Roman" w:cs="Times New Roman"/>
                <w:sz w:val="20"/>
                <w:szCs w:val="20"/>
              </w:rPr>
            </w:pPr>
            <w:r w:rsidRPr="003F764D">
              <w:rPr>
                <w:rFonts w:ascii="Times New Roman"/>
                <w:sz w:val="20"/>
                <w:szCs w:val="20"/>
              </w:rPr>
              <w:t>75</w:t>
            </w:r>
          </w:p>
        </w:tc>
        <w:tc>
          <w:tcPr>
            <w:tcW w:w="2731" w:type="dxa"/>
            <w:tcBorders>
              <w:top w:val="single" w:sz="5" w:space="0" w:color="000000"/>
              <w:left w:val="single" w:sz="5" w:space="0" w:color="000000"/>
              <w:bottom w:val="single" w:sz="5" w:space="0" w:color="000000"/>
              <w:right w:val="single" w:sz="5" w:space="0" w:color="000000"/>
            </w:tcBorders>
            <w:vAlign w:val="center"/>
          </w:tcPr>
          <w:p w:rsidR="003F764D" w:rsidRPr="003F764D" w:rsidRDefault="003F764D" w:rsidP="003F764D">
            <w:pPr>
              <w:pStyle w:val="TableParagraph"/>
              <w:spacing w:line="269" w:lineRule="exact"/>
              <w:ind w:left="102"/>
              <w:jc w:val="center"/>
              <w:rPr>
                <w:rFonts w:ascii="Times New Roman" w:eastAsia="Times New Roman" w:hAnsi="Times New Roman" w:cs="Times New Roman"/>
                <w:sz w:val="20"/>
                <w:szCs w:val="20"/>
              </w:rPr>
            </w:pPr>
            <w:r w:rsidRPr="003F764D">
              <w:rPr>
                <w:rFonts w:ascii="Times New Roman"/>
                <w:sz w:val="20"/>
                <w:szCs w:val="20"/>
              </w:rPr>
              <w:t>27</w:t>
            </w:r>
          </w:p>
        </w:tc>
      </w:tr>
    </w:tbl>
    <w:p w:rsidR="00CA4048" w:rsidRDefault="00CA4048" w:rsidP="00CA4048">
      <w:pPr>
        <w:pStyle w:val="LTAntwortRessortText"/>
      </w:pPr>
      <w:r>
        <w:lastRenderedPageBreak/>
        <w:t>Ergänzend wird darauf hingewiesen, dass zur schnelleren Bewä</w:t>
      </w:r>
      <w:r w:rsidR="004F7A9B">
        <w:t>ltigung der streitigen Asylver</w:t>
      </w:r>
      <w:r>
        <w:t>fahren vor den Verwaltungsgerichten in großem Umfang zusätzliche Stellen für Richter</w:t>
      </w:r>
      <w:r w:rsidR="004F7A9B">
        <w:t>innen bzw. Richter</w:t>
      </w:r>
      <w:r>
        <w:t xml:space="preserve"> und nichtrichterliches Personal geschaffen worden sind, nämlich seit 2016 insgesamt 203 Stellen (116 Richterstellen und 87 Stellen für nichtrichterliches Personal inkl. IT-Kräfte, davon zuletzt im Nachtragshaushalt 2018 </w:t>
      </w:r>
      <w:r w:rsidR="004F7A9B">
        <w:t xml:space="preserve"> </w:t>
      </w:r>
      <w:r>
        <w:t>50 Richterstellen und 32 Stellen für nichtrichterliches Personal).</w:t>
      </w:r>
    </w:p>
    <w:p w:rsidR="00CA4048" w:rsidRDefault="00CA4048" w:rsidP="00CA4048">
      <w:pPr>
        <w:pStyle w:val="LTAntwortRessortText"/>
      </w:pPr>
      <w:r>
        <w:t xml:space="preserve">Die Staatsregierung hat am </w:t>
      </w:r>
      <w:r w:rsidR="004F7A9B">
        <w:t>23.03.</w:t>
      </w:r>
      <w:r>
        <w:t xml:space="preserve">2018 beschlossen, dass zu </w:t>
      </w:r>
      <w:r w:rsidR="004F7A9B">
        <w:t>diesen Stellen weitere 50 Rich</w:t>
      </w:r>
      <w:r w:rsidR="00206975">
        <w:t>terstellen hinzu</w:t>
      </w:r>
      <w:r>
        <w:t>kommen sollen. Diese 50 Stellen sollen durch die gleiche Anzahl von neuen Stellen für nichtrichterliches Personal ergänzt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Harry</w:t>
            </w:r>
            <w:r w:rsidRPr="00CA4048">
              <w:rPr>
                <w:b/>
              </w:rPr>
              <w:br/>
              <w:t>Scheuenstuhl</w:t>
            </w:r>
            <w:r w:rsidRPr="00CA4048">
              <w:rPr>
                <w:b/>
              </w:rPr>
              <w:br/>
            </w:r>
            <w:r w:rsidRPr="00CA4048">
              <w:t>(SPD)</w:t>
            </w:r>
            <w:r>
              <w:fldChar w:fldCharType="begin"/>
            </w:r>
            <w:r>
              <w:instrText xml:space="preserve"> TC </w:instrText>
            </w:r>
            <w:r w:rsidR="00C244B3">
              <w:instrText>„</w:instrText>
            </w:r>
            <w:bookmarkStart w:id="13" w:name="_Toc511895431"/>
            <w:r>
              <w:instrText>Scheuenstuhl, Harry (SPD)</w:instrText>
            </w:r>
            <w:r>
              <w:br/>
              <w:instrText>Elektronische Aufenthaltsüberwachung nach Art. 32a Abs. 1 Satz 1 PAG bzw. Art. 34 Abs. 1 PAG i. d. F. des PAG-Neuordnungsgesetzentwurfs und Aufenthaltsanordnung und Kontaktverbot nach Art. 16 Abs. 2 PAG bzw. Kontaktverbot, Aufenthaltsanordnung nach Art. 16 Abs. 2 PAG i. d. F. des PAG-Neuordnungsgesetzentwurfs</w:instrText>
            </w:r>
            <w:bookmarkEnd w:id="13"/>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gegen wie viele Personen wurde bis zum heutigen Tag eine Maßnahme nach Art. 32a Abs. 1 Satz 1 Polizeiaufgabengesetz (PAG) i. d. F. des Gesetzes vom 24. Juli 2017 und wie lange angeordnet und gegen wie viele Personen wurden bis zum heutigen Tag Maßnahmen nach Art. 16 Abs. 2 PAG i .d. F. des Gesetzes vom 24. Juli 2017 (bitte Aufschlüsselung nach Maßnahme nach Art. 16 Abs. 2 Satz 1 Nr. 1 und Maßnahmen nach Art. 16 Abs. 2 Satz 1 Nr. 2 Buchst. a und b und Dauer der Anordnung)?</w:t>
            </w:r>
          </w:p>
          <w:p w:rsidR="00CA4048" w:rsidRDefault="00CA4048" w:rsidP="00CA4048">
            <w:pPr>
              <w:pStyle w:val="LTAnfrageText"/>
            </w:pPr>
          </w:p>
        </w:tc>
      </w:tr>
    </w:tbl>
    <w:p w:rsidR="00CA4048" w:rsidRDefault="00CA4048" w:rsidP="00CA4048">
      <w:pPr>
        <w:pStyle w:val="LTUeberschrAntwortRessort"/>
      </w:pPr>
      <w:r>
        <w:t>Antwort des Staatsministeriums des Innern und für Integration</w:t>
      </w:r>
    </w:p>
    <w:p w:rsidR="00CA4048" w:rsidRDefault="00891E24" w:rsidP="00CA4048">
      <w:pPr>
        <w:pStyle w:val="LTAntwortRessortText"/>
      </w:pPr>
      <w:r>
        <w:t>Die Präsidien der Bayerischen</w:t>
      </w:r>
      <w:r w:rsidR="00CA4048">
        <w:t xml:space="preserve"> Polizei haben dem Staatsministerium des Innern und für Integration insgesamt drei Personen gemeldet, die auf </w:t>
      </w:r>
      <w:r>
        <w:t>der Rechtsgrundlage des Art. 32</w:t>
      </w:r>
      <w:r w:rsidR="00CA4048">
        <w:t xml:space="preserve">a </w:t>
      </w:r>
      <w:r>
        <w:t>Polizei</w:t>
      </w:r>
      <w:r w:rsidR="00CC3498">
        <w:t>aufgabengesetz</w:t>
      </w:r>
      <w:r>
        <w:t xml:space="preserve"> (</w:t>
      </w:r>
      <w:r w:rsidR="00CA4048">
        <w:t>PAG</w:t>
      </w:r>
      <w:r>
        <w:t>)</w:t>
      </w:r>
      <w:r w:rsidR="00CA4048">
        <w:t xml:space="preserve"> vom 01.08.2017 bis zum 16.04.2018 mit einer richterlich angeordne</w:t>
      </w:r>
      <w:r>
        <w:t>ten präventivpolizeilichen Maß</w:t>
      </w:r>
      <w:r w:rsidR="00CA4048">
        <w:t>nahme zur Elektronischen Aufenthaltsüberwachung belegt wurden. Die jeweilige Zeitdauer belief sich auf zwei bzw. drei Monate. In einem der drei Fäll</w:t>
      </w:r>
      <w:r>
        <w:t>e wurde die derzeit noch andau</w:t>
      </w:r>
      <w:r w:rsidR="00CA4048">
        <w:t>ernde Maßnahme mit richterlichem Beschluss nach Ablauf vo</w:t>
      </w:r>
      <w:r>
        <w:t>n drei Monaten um zunächst wei</w:t>
      </w:r>
      <w:r w:rsidR="00CA4048">
        <w:t>tere drei Monate verlängert.</w:t>
      </w:r>
    </w:p>
    <w:p w:rsidR="00CA4048" w:rsidRDefault="00CA4048" w:rsidP="00CA4048">
      <w:pPr>
        <w:pStyle w:val="LTAntwortRessortText"/>
      </w:pPr>
      <w:r>
        <w:t>Eine automatisierte statistische Auswertung über die Polizeiliche Kriminalstatistik (PKS), die nach bundesweit einheitlichen Kriterien geführt wird, bzw. über das Vorgangsver</w:t>
      </w:r>
      <w:r w:rsidR="00891E24">
        <w:t>waltungssystem der Bayerischen</w:t>
      </w:r>
      <w:r>
        <w:t xml:space="preserve"> Polizei (IGVP) nach den getroffenen polizeilichen M</w:t>
      </w:r>
      <w:r w:rsidR="008B37AA">
        <w:t xml:space="preserve">aßnahmen gem. Art. 16 Abs. 2 </w:t>
      </w:r>
      <w:r>
        <w:t>PAG (Kontaktverbot, Aufenthaltsverbot, Aufenthaltsgebot) ist nach M</w:t>
      </w:r>
      <w:r w:rsidR="000D67EF">
        <w:t>itteilung des Landeskriminalamt</w:t>
      </w:r>
      <w:r>
        <w:t>s nicht möglich, weshalb hierzu keine Aussagen getroffen werden können.</w:t>
      </w:r>
    </w:p>
    <w:p w:rsidR="006513D2" w:rsidRDefault="006513D2"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Katharina</w:t>
            </w:r>
            <w:r w:rsidRPr="00CA4048">
              <w:rPr>
                <w:b/>
              </w:rPr>
              <w:br/>
              <w:t>Schulze</w:t>
            </w:r>
            <w:r w:rsidRPr="00CA4048">
              <w:rPr>
                <w:b/>
              </w:rPr>
              <w:br/>
            </w:r>
            <w:r w:rsidRPr="00CA4048">
              <w:t>(BÜNDNIS 90/DIE GRÜNEN)</w:t>
            </w:r>
            <w:r>
              <w:fldChar w:fldCharType="begin"/>
            </w:r>
            <w:r>
              <w:instrText xml:space="preserve"> TC </w:instrText>
            </w:r>
            <w:r w:rsidR="00C244B3">
              <w:instrText>„</w:instrText>
            </w:r>
            <w:bookmarkStart w:id="14" w:name="_Toc511895432"/>
            <w:r>
              <w:instrText>Schulze, Katharina (BÜNDNIS 90/DIE GRÜNEN)</w:instrText>
            </w:r>
            <w:r>
              <w:br/>
              <w:instrText>Gefährderabschiebung und Fußfessel</w:instrText>
            </w:r>
            <w:bookmarkEnd w:id="14"/>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wie viele Personen in Bayern derzeit unter den Anwendungsbereich des § 58a Aufenthaltsgesetz (AufenthG) fallen (sog. Gefährderabschiebung), weshalb in Bayern seit dem Grundsatzurteil des Bundesverwaltungsgerichts (BVerwG) im Frühjahr 2017 zu § 58a AufenthG von dieser Regelung kein Gebrauch gemacht wurde und wie viele Gefährder in Bayern derzeit eine elektronische Fußfessel auf Grundlage des 2017 eingeführten Art. 32a Polizeiaufgabengesetz (PAG) tragen?</w:t>
            </w:r>
          </w:p>
          <w:p w:rsidR="00CA4048" w:rsidRDefault="00CA4048" w:rsidP="00CA4048">
            <w:pPr>
              <w:pStyle w:val="LTAnfrageText"/>
            </w:pPr>
          </w:p>
        </w:tc>
      </w:tr>
    </w:tbl>
    <w:p w:rsidR="00CA4048" w:rsidRDefault="00CA4048" w:rsidP="00CA4048">
      <w:pPr>
        <w:pStyle w:val="LTUeberschrAntwortRessort"/>
      </w:pPr>
      <w:r>
        <w:lastRenderedPageBreak/>
        <w:t>Antwort des Staatsministeriums des Innern und für Integration</w:t>
      </w:r>
    </w:p>
    <w:p w:rsidR="00CA4048" w:rsidRDefault="00CA4048" w:rsidP="00356CB4">
      <w:pPr>
        <w:pStyle w:val="LTAntwortRessortText"/>
        <w:spacing w:before="360"/>
      </w:pPr>
      <w:r>
        <w:t>Im Rahmen der seit 2004 bestehenden und vom Staatsministeriu</w:t>
      </w:r>
      <w:r w:rsidR="00652EDF">
        <w:t>m des Innern und für Integrati</w:t>
      </w:r>
      <w:r>
        <w:t>on koordinierten Arbeitsgruppe Beschleunigte Identifizier</w:t>
      </w:r>
      <w:r w:rsidR="00652EDF">
        <w:t>ung und Rückführung von Gefähr</w:t>
      </w:r>
      <w:r>
        <w:t>dern des islamistischen Terrorismus/Extremismus (AG BIRGiT</w:t>
      </w:r>
      <w:r w:rsidR="00652EDF">
        <w:t>) werden fortlaufend ausländer</w:t>
      </w:r>
      <w:r>
        <w:t>rechtliche Maßnahmen gegen ausländische Gefährder geprüf</w:t>
      </w:r>
      <w:r w:rsidR="00652EDF">
        <w:t>t. Bei Vorliegen der Vorausset</w:t>
      </w:r>
      <w:r>
        <w:t xml:space="preserve">zungen für eine Abschiebungsanordnung nach § 58a </w:t>
      </w:r>
      <w:r w:rsidR="00652EDF">
        <w:t>Aufenthaltsgesetz (</w:t>
      </w:r>
      <w:r>
        <w:t>AufenthG</w:t>
      </w:r>
      <w:r w:rsidR="00652EDF">
        <w:t>)</w:t>
      </w:r>
      <w:r>
        <w:t xml:space="preserve"> würde unverzüglich von diesem Instrument Gebrauch gemacht. Dies war bislang nicht der Fall </w:t>
      </w:r>
      <w:r w:rsidR="00652EDF">
        <w:t xml:space="preserve">und ist es auch derzeit nicht, </w:t>
      </w:r>
      <w:r>
        <w:t>weil bei</w:t>
      </w:r>
      <w:r w:rsidR="00652EDF">
        <w:t xml:space="preserve"> den wenigen Ausländerinnen und Ausländern</w:t>
      </w:r>
      <w:r>
        <w:t xml:space="preserve">, bei denen die Anwendung dieser Vorschrift grundsätzlich in Betracht käme, entweder Untersuchungshaft angeordnet wurde wegen Ermittlungsverfahren </w:t>
      </w:r>
      <w:r w:rsidR="008B37AA">
        <w:t>nach §§ 129a, 129b oder §§ 89a bis</w:t>
      </w:r>
      <w:r>
        <w:t xml:space="preserve"> 89c </w:t>
      </w:r>
      <w:r w:rsidR="00652EDF">
        <w:t>Strafgesetzbuch (</w:t>
      </w:r>
      <w:r>
        <w:t>StGB</w:t>
      </w:r>
      <w:r w:rsidR="00652EDF">
        <w:t>)</w:t>
      </w:r>
      <w:r>
        <w:t xml:space="preserve"> oder aber ein Abschiebungsverbot nach § 60 Abs. 5 </w:t>
      </w:r>
      <w:r w:rsidR="00652EDF">
        <w:t>AufenthG festgestellt wurde, so</w:t>
      </w:r>
      <w:r>
        <w:t>dass eine Aufenthaltsbeendigung aktuell nicht in Betracht kommt. Die Ausländerbehörden machen stattdessen einzelf</w:t>
      </w:r>
      <w:r w:rsidR="00652EDF">
        <w:t>allbezogen von Überwachungsmaß</w:t>
      </w:r>
      <w:r>
        <w:t>nahmen nach § 56 AufenthG Gebrauch und nehmen Ausweisungen nach §§</w:t>
      </w:r>
      <w:r w:rsidR="000B3ECE">
        <w:t> </w:t>
      </w:r>
      <w:r>
        <w:t>53, 54 AufenthG vor, die durch Abschiebung vollzogen werden, sobald diese möglich ist. Bei Gefährdern, die sich in Untersuchungs- oder Strafhaft befinden, ist dafür die Zustimmung der Staatsanwaltschaft erforderlich.</w:t>
      </w:r>
    </w:p>
    <w:p w:rsidR="00CA4048" w:rsidRDefault="00CA4048" w:rsidP="00356CB4">
      <w:pPr>
        <w:pStyle w:val="LTAntwortRessortText"/>
        <w:spacing w:before="360"/>
      </w:pPr>
      <w:r>
        <w:t>Unter Koordinat</w:t>
      </w:r>
      <w:r w:rsidR="008B37AA">
        <w:t>ion der AG BIRGi</w:t>
      </w:r>
      <w:r>
        <w:t>T erfolgten seit Beginn 2017</w:t>
      </w:r>
      <w:r w:rsidR="00CF5AC4">
        <w:t xml:space="preserve"> bis heute elf Aufenthaltsbeen</w:t>
      </w:r>
      <w:r>
        <w:t>digungen, darunter neun Abschiebungen, von Personen aus dem islamistisch-extremistischen Personenumfeld; darunter fünf polizeiliche eingestufte Gefährder, zwei relevante Personen</w:t>
      </w:r>
      <w:r w:rsidR="00CF5AC4">
        <w:t xml:space="preserve"> </w:t>
      </w:r>
      <w:r>
        <w:t>sowie vier sonstige ausländerrechtliche Gefährder. Sechs dieser Personen konnten direkt aus der Straf- oder Abschiebungshaft in ihr Herkunftsland abgeschoben werden.</w:t>
      </w:r>
    </w:p>
    <w:p w:rsidR="00CA4048" w:rsidRDefault="00CA4048" w:rsidP="00356CB4">
      <w:pPr>
        <w:pStyle w:val="LTAntwortRessortText"/>
        <w:spacing w:before="360"/>
      </w:pPr>
      <w:r>
        <w:t>Keine der von der Bayerischen Polizei als Gefährder im Bereich</w:t>
      </w:r>
      <w:r w:rsidR="00CF5AC4">
        <w:t xml:space="preserve"> der politisch motivierten Kri</w:t>
      </w:r>
      <w:r>
        <w:t xml:space="preserve">minalität eingestuften Personen unterliegt mit Stand vom </w:t>
      </w:r>
      <w:r w:rsidR="00CF5AC4">
        <w:t>16.04.</w:t>
      </w:r>
      <w:r>
        <w:t>2016 einer elektronischen Aufenthaltsüberwachung auf Rechtsgrundlage des Art. 32a Polizeiaufgabengesetz</w:t>
      </w:r>
      <w:r w:rsidR="008B37AA">
        <w:t xml:space="preserve"> (</w:t>
      </w:r>
      <w:r w:rsidR="00CF5AC4">
        <w:t>PAG)</w:t>
      </w:r>
      <w:r>
        <w:t>.</w:t>
      </w:r>
    </w:p>
    <w:p w:rsidR="000B3ECE" w:rsidRDefault="000B3ECE" w:rsidP="00356CB4">
      <w:pPr>
        <w:pStyle w:val="LTAntwortRessortText"/>
        <w:spacing w:before="360"/>
      </w:pPr>
    </w:p>
    <w:p w:rsidR="00356CB4" w:rsidRDefault="00356CB4" w:rsidP="00356CB4">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Dr. Simone</w:t>
            </w:r>
            <w:r w:rsidRPr="00CA4048">
              <w:rPr>
                <w:b/>
              </w:rPr>
              <w:br/>
              <w:t>Strohmayr</w:t>
            </w:r>
            <w:r w:rsidRPr="00CA4048">
              <w:rPr>
                <w:b/>
              </w:rPr>
              <w:br/>
            </w:r>
            <w:r w:rsidRPr="00CA4048">
              <w:t>(SPD)</w:t>
            </w:r>
            <w:r>
              <w:fldChar w:fldCharType="begin"/>
            </w:r>
            <w:r>
              <w:instrText xml:space="preserve"> TC </w:instrText>
            </w:r>
            <w:r w:rsidR="00C244B3">
              <w:instrText>„</w:instrText>
            </w:r>
            <w:bookmarkStart w:id="15" w:name="_Toc511895433"/>
            <w:r>
              <w:instrText>Dr. Strohmayr, Simone (SPD)</w:instrText>
            </w:r>
            <w:r>
              <w:br/>
              <w:instrText>Drogenkonsum an Schulen in Schwaben</w:instrText>
            </w:r>
            <w:bookmarkEnd w:id="15"/>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wie haben sich die Verstöße gegen das Betäubungsmittelgesetz an den Schulen im Regierungsbezirk Schwaben von 2011 bis 2016 entwickelt (bitte aufgeschlüsselt nach den dort ansässigen Landkreisen und kreisfreien Städten sowie nach Schularten und Jahren)?</w:t>
            </w:r>
          </w:p>
          <w:p w:rsidR="00CA4048" w:rsidRDefault="00CA4048" w:rsidP="00CA4048">
            <w:pPr>
              <w:pStyle w:val="LTAnfrageText"/>
            </w:pPr>
          </w:p>
        </w:tc>
      </w:tr>
    </w:tbl>
    <w:p w:rsidR="00CA4048" w:rsidRDefault="00CA4048" w:rsidP="000B3ECE">
      <w:pPr>
        <w:pStyle w:val="LTUeberschrAntwortRessort"/>
        <w:spacing w:before="720"/>
      </w:pPr>
      <w:r>
        <w:t>Antwort des Staatsministeriums des Innern und für Integration</w:t>
      </w:r>
    </w:p>
    <w:p w:rsidR="00CA4048" w:rsidRDefault="00CA4048" w:rsidP="00CA4048">
      <w:pPr>
        <w:pStyle w:val="LTAntwortRessortText"/>
      </w:pPr>
      <w:r>
        <w:t>Die angefragte zeitliche und regionale Entwicklung der Ver</w:t>
      </w:r>
      <w:r w:rsidR="00923CC2">
        <w:t>stöße gegen das das Betäubungs</w:t>
      </w:r>
      <w:r>
        <w:t>mittelgesetz</w:t>
      </w:r>
      <w:r w:rsidR="008B37AA">
        <w:t xml:space="preserve"> (BtMG)</w:t>
      </w:r>
      <w:r>
        <w:t xml:space="preserve"> an den Schulen im Regierungsbezirk Schwaben in den Jahren von 2011 bis 2016 kann nachfolgender Tabelle entnommen werden:</w:t>
      </w:r>
    </w:p>
    <w:p w:rsidR="00CA4048" w:rsidRDefault="00CA4048" w:rsidP="00CA4048">
      <w:pPr>
        <w:pStyle w:val="LTAntwortRessortText"/>
      </w:pPr>
    </w:p>
    <w:tbl>
      <w:tblPr>
        <w:tblStyle w:val="TableNormal"/>
        <w:tblW w:w="8646" w:type="dxa"/>
        <w:tblInd w:w="436" w:type="dxa"/>
        <w:tblLayout w:type="fixed"/>
        <w:tblLook w:val="01E0" w:firstRow="1" w:lastRow="1" w:firstColumn="1" w:lastColumn="1" w:noHBand="0" w:noVBand="0"/>
      </w:tblPr>
      <w:tblGrid>
        <w:gridCol w:w="2976"/>
        <w:gridCol w:w="993"/>
        <w:gridCol w:w="992"/>
        <w:gridCol w:w="992"/>
        <w:gridCol w:w="851"/>
        <w:gridCol w:w="850"/>
        <w:gridCol w:w="992"/>
      </w:tblGrid>
      <w:tr w:rsidR="00923CC2" w:rsidRPr="00923CC2" w:rsidTr="00923CC2">
        <w:trPr>
          <w:trHeight w:hRule="exact" w:val="847"/>
        </w:trPr>
        <w:tc>
          <w:tcPr>
            <w:tcW w:w="2976" w:type="dxa"/>
            <w:vMerge w:val="restart"/>
            <w:tcBorders>
              <w:top w:val="single" w:sz="8" w:space="0" w:color="000000"/>
              <w:left w:val="single" w:sz="8" w:space="0" w:color="000000"/>
              <w:right w:val="single" w:sz="8" w:space="0" w:color="000000"/>
            </w:tcBorders>
            <w:shd w:val="clear" w:color="auto" w:fill="2D73B5"/>
          </w:tcPr>
          <w:p w:rsidR="00923CC2" w:rsidRPr="00923CC2" w:rsidRDefault="00923CC2" w:rsidP="00923CC2">
            <w:pPr>
              <w:pStyle w:val="TableParagraph"/>
              <w:spacing w:before="7"/>
              <w:rPr>
                <w:rFonts w:ascii="Times New Roman" w:eastAsia="Times New Roman" w:hAnsi="Times New Roman" w:cs="Times New Roman"/>
                <w:sz w:val="20"/>
                <w:szCs w:val="20"/>
              </w:rPr>
            </w:pPr>
          </w:p>
          <w:p w:rsidR="00923CC2" w:rsidRPr="00923CC2" w:rsidRDefault="00923CC2" w:rsidP="00923CC2">
            <w:pPr>
              <w:pStyle w:val="TableParagraph"/>
              <w:ind w:left="97"/>
              <w:rPr>
                <w:rFonts w:ascii="Times New Roman" w:eastAsia="Times New Roman" w:hAnsi="Times New Roman" w:cs="Times New Roman"/>
                <w:sz w:val="20"/>
                <w:szCs w:val="20"/>
              </w:rPr>
            </w:pPr>
            <w:r w:rsidRPr="00923CC2">
              <w:rPr>
                <w:rFonts w:ascii="Times New Roman"/>
                <w:b/>
                <w:color w:val="FFFFFF"/>
                <w:spacing w:val="-1"/>
                <w:sz w:val="20"/>
                <w:szCs w:val="20"/>
              </w:rPr>
              <w:t>Bereich</w:t>
            </w:r>
          </w:p>
        </w:tc>
        <w:tc>
          <w:tcPr>
            <w:tcW w:w="5670" w:type="dxa"/>
            <w:gridSpan w:val="6"/>
            <w:tcBorders>
              <w:top w:val="single" w:sz="8" w:space="0" w:color="000000"/>
              <w:left w:val="single" w:sz="8" w:space="0" w:color="000000"/>
              <w:bottom w:val="single" w:sz="8" w:space="0" w:color="000000"/>
              <w:right w:val="single" w:sz="8" w:space="0" w:color="000000"/>
            </w:tcBorders>
            <w:shd w:val="clear" w:color="auto" w:fill="2D73B5"/>
          </w:tcPr>
          <w:p w:rsidR="00923CC2" w:rsidRPr="00923CC2" w:rsidRDefault="00923CC2" w:rsidP="00923CC2">
            <w:pPr>
              <w:pStyle w:val="TableParagraph"/>
              <w:spacing w:before="7"/>
              <w:rPr>
                <w:rFonts w:ascii="Times New Roman" w:eastAsia="Times New Roman" w:hAnsi="Times New Roman" w:cs="Times New Roman"/>
                <w:sz w:val="20"/>
                <w:szCs w:val="20"/>
              </w:rPr>
            </w:pPr>
          </w:p>
          <w:p w:rsidR="00923CC2" w:rsidRPr="00923CC2" w:rsidRDefault="00923CC2" w:rsidP="00923CC2">
            <w:pPr>
              <w:pStyle w:val="TableParagraph"/>
              <w:ind w:left="99"/>
              <w:rPr>
                <w:rFonts w:ascii="Times New Roman" w:eastAsia="Times New Roman" w:hAnsi="Times New Roman" w:cs="Times New Roman"/>
                <w:sz w:val="20"/>
                <w:szCs w:val="20"/>
              </w:rPr>
            </w:pPr>
            <w:r w:rsidRPr="00923CC2">
              <w:rPr>
                <w:rFonts w:ascii="Times New Roman"/>
                <w:b/>
                <w:color w:val="FFFFFF"/>
                <w:sz w:val="20"/>
                <w:szCs w:val="20"/>
              </w:rPr>
              <w:t>Anzahl</w:t>
            </w:r>
            <w:r w:rsidRPr="00923CC2">
              <w:rPr>
                <w:rFonts w:ascii="Times New Roman"/>
                <w:b/>
                <w:color w:val="FFFFFF"/>
                <w:spacing w:val="-7"/>
                <w:sz w:val="20"/>
                <w:szCs w:val="20"/>
              </w:rPr>
              <w:t xml:space="preserve"> </w:t>
            </w:r>
            <w:r w:rsidRPr="00923CC2">
              <w:rPr>
                <w:rFonts w:ascii="Times New Roman"/>
                <w:b/>
                <w:color w:val="FFFFFF"/>
                <w:sz w:val="20"/>
                <w:szCs w:val="20"/>
              </w:rPr>
              <w:t>der</w:t>
            </w:r>
            <w:r w:rsidRPr="00923CC2">
              <w:rPr>
                <w:rFonts w:ascii="Times New Roman"/>
                <w:b/>
                <w:color w:val="FFFFFF"/>
                <w:spacing w:val="-8"/>
                <w:sz w:val="20"/>
                <w:szCs w:val="20"/>
              </w:rPr>
              <w:t xml:space="preserve"> </w:t>
            </w:r>
            <w:r w:rsidRPr="00923CC2">
              <w:rPr>
                <w:rFonts w:ascii="Times New Roman"/>
                <w:b/>
                <w:color w:val="FFFFFF"/>
                <w:spacing w:val="-1"/>
                <w:sz w:val="20"/>
                <w:szCs w:val="20"/>
              </w:rPr>
              <w:t>Delikte</w:t>
            </w:r>
            <w:r w:rsidRPr="00923CC2">
              <w:rPr>
                <w:rFonts w:ascii="Times New Roman"/>
                <w:b/>
                <w:color w:val="FFFFFF"/>
                <w:spacing w:val="-8"/>
                <w:sz w:val="20"/>
                <w:szCs w:val="20"/>
              </w:rPr>
              <w:t xml:space="preserve"> </w:t>
            </w:r>
            <w:r w:rsidRPr="00923CC2">
              <w:rPr>
                <w:rFonts w:ascii="Times New Roman"/>
                <w:b/>
                <w:color w:val="FFFFFF"/>
                <w:sz w:val="20"/>
                <w:szCs w:val="20"/>
              </w:rPr>
              <w:t>gegen</w:t>
            </w:r>
            <w:r w:rsidRPr="00923CC2">
              <w:rPr>
                <w:rFonts w:ascii="Times New Roman"/>
                <w:b/>
                <w:color w:val="FFFFFF"/>
                <w:spacing w:val="-6"/>
                <w:sz w:val="20"/>
                <w:szCs w:val="20"/>
              </w:rPr>
              <w:t xml:space="preserve"> </w:t>
            </w:r>
            <w:r w:rsidRPr="00923CC2">
              <w:rPr>
                <w:rFonts w:ascii="Times New Roman"/>
                <w:b/>
                <w:color w:val="FFFFFF"/>
                <w:sz w:val="20"/>
                <w:szCs w:val="20"/>
              </w:rPr>
              <w:t>das</w:t>
            </w:r>
            <w:r w:rsidRPr="00923CC2">
              <w:rPr>
                <w:rFonts w:ascii="Times New Roman"/>
                <w:b/>
                <w:color w:val="FFFFFF"/>
                <w:spacing w:val="-6"/>
                <w:sz w:val="20"/>
                <w:szCs w:val="20"/>
              </w:rPr>
              <w:t xml:space="preserve"> </w:t>
            </w:r>
            <w:r w:rsidRPr="00923CC2">
              <w:rPr>
                <w:rFonts w:ascii="Times New Roman"/>
                <w:b/>
                <w:color w:val="FFFFFF"/>
                <w:spacing w:val="-1"/>
                <w:sz w:val="20"/>
                <w:szCs w:val="20"/>
              </w:rPr>
              <w:t>BtMG</w:t>
            </w:r>
          </w:p>
        </w:tc>
      </w:tr>
      <w:tr w:rsidR="00923CC2" w:rsidRPr="00923CC2" w:rsidTr="00F5556E">
        <w:trPr>
          <w:trHeight w:hRule="exact" w:val="295"/>
        </w:trPr>
        <w:tc>
          <w:tcPr>
            <w:tcW w:w="2976" w:type="dxa"/>
            <w:vMerge/>
            <w:tcBorders>
              <w:left w:val="single" w:sz="8" w:space="0" w:color="000000"/>
              <w:bottom w:val="single" w:sz="8" w:space="0" w:color="000000"/>
              <w:right w:val="single" w:sz="8" w:space="0" w:color="000000"/>
            </w:tcBorders>
            <w:shd w:val="clear" w:color="auto" w:fill="2D73B5"/>
          </w:tcPr>
          <w:p w:rsidR="00923CC2" w:rsidRPr="00923CC2" w:rsidRDefault="00923CC2" w:rsidP="00923CC2">
            <w:pPr>
              <w:rPr>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2D73B5"/>
            <w:vAlign w:val="center"/>
          </w:tcPr>
          <w:p w:rsidR="00923CC2" w:rsidRPr="00923CC2" w:rsidRDefault="00923CC2" w:rsidP="00F5556E">
            <w:pPr>
              <w:pStyle w:val="TableParagraph"/>
              <w:spacing w:line="272" w:lineRule="exact"/>
              <w:ind w:left="99"/>
              <w:jc w:val="center"/>
              <w:rPr>
                <w:rFonts w:ascii="Times New Roman" w:eastAsia="Times New Roman" w:hAnsi="Times New Roman" w:cs="Times New Roman"/>
                <w:sz w:val="20"/>
                <w:szCs w:val="20"/>
              </w:rPr>
            </w:pPr>
            <w:r w:rsidRPr="00923CC2">
              <w:rPr>
                <w:rFonts w:ascii="Times New Roman"/>
                <w:b/>
                <w:color w:val="FFFFFF"/>
                <w:sz w:val="20"/>
                <w:szCs w:val="20"/>
              </w:rPr>
              <w:t>2011</w:t>
            </w:r>
          </w:p>
        </w:tc>
        <w:tc>
          <w:tcPr>
            <w:tcW w:w="992" w:type="dxa"/>
            <w:tcBorders>
              <w:top w:val="single" w:sz="8" w:space="0" w:color="000000"/>
              <w:left w:val="single" w:sz="8" w:space="0" w:color="000000"/>
              <w:bottom w:val="single" w:sz="8" w:space="0" w:color="000000"/>
              <w:right w:val="single" w:sz="8" w:space="0" w:color="000000"/>
            </w:tcBorders>
            <w:shd w:val="clear" w:color="auto" w:fill="2D73B5"/>
            <w:vAlign w:val="center"/>
          </w:tcPr>
          <w:p w:rsidR="00923CC2" w:rsidRPr="00923CC2" w:rsidRDefault="00923CC2" w:rsidP="00F5556E">
            <w:pPr>
              <w:pStyle w:val="TableParagraph"/>
              <w:spacing w:line="272" w:lineRule="exact"/>
              <w:ind w:left="97"/>
              <w:jc w:val="center"/>
              <w:rPr>
                <w:rFonts w:ascii="Times New Roman" w:eastAsia="Times New Roman" w:hAnsi="Times New Roman" w:cs="Times New Roman"/>
                <w:sz w:val="20"/>
                <w:szCs w:val="20"/>
              </w:rPr>
            </w:pPr>
            <w:r w:rsidRPr="00923CC2">
              <w:rPr>
                <w:rFonts w:ascii="Times New Roman"/>
                <w:b/>
                <w:color w:val="FFFFFF"/>
                <w:sz w:val="20"/>
                <w:szCs w:val="20"/>
              </w:rPr>
              <w:t>2012</w:t>
            </w:r>
          </w:p>
        </w:tc>
        <w:tc>
          <w:tcPr>
            <w:tcW w:w="992" w:type="dxa"/>
            <w:tcBorders>
              <w:top w:val="single" w:sz="8" w:space="0" w:color="000000"/>
              <w:left w:val="single" w:sz="8" w:space="0" w:color="000000"/>
              <w:bottom w:val="single" w:sz="8" w:space="0" w:color="000000"/>
              <w:right w:val="single" w:sz="8" w:space="0" w:color="000000"/>
            </w:tcBorders>
            <w:shd w:val="clear" w:color="auto" w:fill="2D73B5"/>
            <w:vAlign w:val="center"/>
          </w:tcPr>
          <w:p w:rsidR="00923CC2" w:rsidRPr="00923CC2" w:rsidRDefault="00923CC2" w:rsidP="00F5556E">
            <w:pPr>
              <w:pStyle w:val="TableParagraph"/>
              <w:spacing w:line="272" w:lineRule="exact"/>
              <w:ind w:left="97"/>
              <w:jc w:val="center"/>
              <w:rPr>
                <w:rFonts w:ascii="Times New Roman" w:eastAsia="Times New Roman" w:hAnsi="Times New Roman" w:cs="Times New Roman"/>
                <w:sz w:val="20"/>
                <w:szCs w:val="20"/>
              </w:rPr>
            </w:pPr>
            <w:r w:rsidRPr="00923CC2">
              <w:rPr>
                <w:rFonts w:ascii="Times New Roman"/>
                <w:b/>
                <w:color w:val="FFFFFF"/>
                <w:sz w:val="20"/>
                <w:szCs w:val="20"/>
              </w:rPr>
              <w:t>2013</w:t>
            </w:r>
          </w:p>
        </w:tc>
        <w:tc>
          <w:tcPr>
            <w:tcW w:w="851" w:type="dxa"/>
            <w:tcBorders>
              <w:top w:val="single" w:sz="8" w:space="0" w:color="000000"/>
              <w:left w:val="single" w:sz="8" w:space="0" w:color="000000"/>
              <w:bottom w:val="single" w:sz="8" w:space="0" w:color="000000"/>
              <w:right w:val="single" w:sz="8" w:space="0" w:color="000000"/>
            </w:tcBorders>
            <w:shd w:val="clear" w:color="auto" w:fill="2D73B5"/>
            <w:vAlign w:val="center"/>
          </w:tcPr>
          <w:p w:rsidR="00923CC2" w:rsidRPr="00923CC2" w:rsidRDefault="00923CC2" w:rsidP="00F5556E">
            <w:pPr>
              <w:pStyle w:val="TableParagraph"/>
              <w:spacing w:line="272" w:lineRule="exact"/>
              <w:ind w:left="99"/>
              <w:jc w:val="center"/>
              <w:rPr>
                <w:rFonts w:ascii="Times New Roman" w:eastAsia="Times New Roman" w:hAnsi="Times New Roman" w:cs="Times New Roman"/>
                <w:sz w:val="20"/>
                <w:szCs w:val="20"/>
              </w:rPr>
            </w:pPr>
            <w:r w:rsidRPr="00923CC2">
              <w:rPr>
                <w:rFonts w:ascii="Times New Roman"/>
                <w:b/>
                <w:color w:val="FFFFFF"/>
                <w:sz w:val="20"/>
                <w:szCs w:val="20"/>
              </w:rPr>
              <w:t>2014</w:t>
            </w:r>
          </w:p>
        </w:tc>
        <w:tc>
          <w:tcPr>
            <w:tcW w:w="850" w:type="dxa"/>
            <w:tcBorders>
              <w:top w:val="single" w:sz="8" w:space="0" w:color="000000"/>
              <w:left w:val="single" w:sz="8" w:space="0" w:color="000000"/>
              <w:bottom w:val="single" w:sz="8" w:space="0" w:color="000000"/>
              <w:right w:val="single" w:sz="8" w:space="0" w:color="000000"/>
            </w:tcBorders>
            <w:shd w:val="clear" w:color="auto" w:fill="2D73B5"/>
            <w:vAlign w:val="center"/>
          </w:tcPr>
          <w:p w:rsidR="00923CC2" w:rsidRPr="00923CC2" w:rsidRDefault="00923CC2" w:rsidP="00F5556E">
            <w:pPr>
              <w:pStyle w:val="TableParagraph"/>
              <w:spacing w:line="272" w:lineRule="exact"/>
              <w:ind w:left="97"/>
              <w:jc w:val="center"/>
              <w:rPr>
                <w:rFonts w:ascii="Times New Roman" w:eastAsia="Times New Roman" w:hAnsi="Times New Roman" w:cs="Times New Roman"/>
                <w:sz w:val="20"/>
                <w:szCs w:val="20"/>
              </w:rPr>
            </w:pPr>
            <w:r w:rsidRPr="00923CC2">
              <w:rPr>
                <w:rFonts w:ascii="Times New Roman"/>
                <w:b/>
                <w:color w:val="FFFFFF"/>
                <w:sz w:val="20"/>
                <w:szCs w:val="20"/>
              </w:rPr>
              <w:t>2015</w:t>
            </w:r>
          </w:p>
        </w:tc>
        <w:tc>
          <w:tcPr>
            <w:tcW w:w="992" w:type="dxa"/>
            <w:tcBorders>
              <w:top w:val="single" w:sz="8" w:space="0" w:color="000000"/>
              <w:left w:val="single" w:sz="8" w:space="0" w:color="000000"/>
              <w:bottom w:val="single" w:sz="8" w:space="0" w:color="000000"/>
              <w:right w:val="single" w:sz="8" w:space="0" w:color="000000"/>
            </w:tcBorders>
            <w:shd w:val="clear" w:color="auto" w:fill="2D73B5"/>
            <w:vAlign w:val="center"/>
          </w:tcPr>
          <w:p w:rsidR="00923CC2" w:rsidRPr="00923CC2" w:rsidRDefault="00923CC2" w:rsidP="00F5556E">
            <w:pPr>
              <w:pStyle w:val="TableParagraph"/>
              <w:spacing w:line="272" w:lineRule="exact"/>
              <w:ind w:left="97"/>
              <w:jc w:val="center"/>
              <w:rPr>
                <w:rFonts w:ascii="Times New Roman" w:eastAsia="Times New Roman" w:hAnsi="Times New Roman" w:cs="Times New Roman"/>
                <w:sz w:val="20"/>
                <w:szCs w:val="20"/>
              </w:rPr>
            </w:pPr>
            <w:r w:rsidRPr="00923CC2">
              <w:rPr>
                <w:rFonts w:ascii="Times New Roman"/>
                <w:b/>
                <w:color w:val="FFFFFF"/>
                <w:sz w:val="20"/>
                <w:szCs w:val="20"/>
              </w:rPr>
              <w:t>2016</w:t>
            </w:r>
          </w:p>
        </w:tc>
      </w:tr>
      <w:tr w:rsidR="00923CC2" w:rsidRPr="00923CC2" w:rsidTr="00F5556E">
        <w:trPr>
          <w:trHeight w:hRule="exact" w:val="296"/>
        </w:trPr>
        <w:tc>
          <w:tcPr>
            <w:tcW w:w="2976" w:type="dxa"/>
            <w:tcBorders>
              <w:top w:val="single" w:sz="8"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Augsburg</w:t>
            </w:r>
          </w:p>
        </w:tc>
        <w:tc>
          <w:tcPr>
            <w:tcW w:w="993"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ind w:left="222"/>
              <w:jc w:val="center"/>
              <w:rPr>
                <w:rFonts w:ascii="Times New Roman" w:eastAsia="Times New Roman" w:hAnsi="Times New Roman" w:cs="Times New Roman"/>
                <w:sz w:val="20"/>
                <w:szCs w:val="20"/>
              </w:rPr>
            </w:pPr>
            <w:r w:rsidRPr="00923CC2">
              <w:rPr>
                <w:rFonts w:ascii="Times New Roman"/>
                <w:sz w:val="20"/>
                <w:szCs w:val="20"/>
              </w:rPr>
              <w:t>13</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7</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r>
      <w:tr w:rsidR="00923CC2" w:rsidRPr="00923CC2" w:rsidTr="00F5556E">
        <w:trPr>
          <w:trHeight w:hRule="exact" w:val="297"/>
        </w:trPr>
        <w:tc>
          <w:tcPr>
            <w:tcW w:w="2976" w:type="dxa"/>
            <w:tcBorders>
              <w:top w:val="single" w:sz="8" w:space="0" w:color="000000"/>
              <w:left w:val="single" w:sz="8" w:space="0" w:color="000000"/>
              <w:bottom w:val="single" w:sz="8" w:space="0" w:color="000000"/>
              <w:right w:val="single" w:sz="8" w:space="0" w:color="000000"/>
            </w:tcBorders>
            <w:shd w:val="clear" w:color="auto" w:fill="9CC2E5"/>
          </w:tcPr>
          <w:p w:rsidR="00923CC2" w:rsidRPr="00923CC2" w:rsidRDefault="00923CC2" w:rsidP="00923CC2">
            <w:pPr>
              <w:pStyle w:val="TableParagraph"/>
              <w:spacing w:line="269" w:lineRule="exact"/>
              <w:ind w:left="97"/>
              <w:rPr>
                <w:rFonts w:ascii="Times New Roman" w:eastAsia="Times New Roman" w:hAnsi="Times New Roman" w:cs="Times New Roman"/>
                <w:sz w:val="20"/>
                <w:szCs w:val="20"/>
              </w:rPr>
            </w:pPr>
            <w:r w:rsidRPr="00923CC2">
              <w:rPr>
                <w:rFonts w:ascii="Times New Roman"/>
                <w:spacing w:val="-1"/>
                <w:sz w:val="20"/>
                <w:szCs w:val="20"/>
              </w:rPr>
              <w:t>Kaufbeuren</w:t>
            </w:r>
          </w:p>
        </w:tc>
        <w:tc>
          <w:tcPr>
            <w:tcW w:w="993"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0</w:t>
            </w:r>
          </w:p>
        </w:tc>
      </w:tr>
      <w:tr w:rsidR="00923CC2" w:rsidRPr="00923CC2" w:rsidTr="00F5556E">
        <w:trPr>
          <w:trHeight w:hRule="exact" w:val="295"/>
        </w:trPr>
        <w:tc>
          <w:tcPr>
            <w:tcW w:w="2976" w:type="dxa"/>
            <w:tcBorders>
              <w:top w:val="single" w:sz="8"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Kempten</w:t>
            </w:r>
          </w:p>
        </w:tc>
        <w:tc>
          <w:tcPr>
            <w:tcW w:w="993"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851"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r>
      <w:tr w:rsidR="00923CC2" w:rsidRPr="00923CC2" w:rsidTr="00F5556E">
        <w:trPr>
          <w:trHeight w:hRule="exact" w:val="295"/>
        </w:trPr>
        <w:tc>
          <w:tcPr>
            <w:tcW w:w="2976" w:type="dxa"/>
            <w:tcBorders>
              <w:top w:val="single" w:sz="8" w:space="0" w:color="000000"/>
              <w:left w:val="single" w:sz="8" w:space="0" w:color="000000"/>
              <w:bottom w:val="single" w:sz="8" w:space="0" w:color="000000"/>
              <w:right w:val="single" w:sz="8" w:space="0" w:color="000000"/>
            </w:tcBorders>
            <w:shd w:val="clear" w:color="auto" w:fill="9CC2E5"/>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Memmingen</w:t>
            </w:r>
          </w:p>
        </w:tc>
        <w:tc>
          <w:tcPr>
            <w:tcW w:w="993"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851"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3</w:t>
            </w:r>
          </w:p>
        </w:tc>
      </w:tr>
      <w:tr w:rsidR="00923CC2" w:rsidRPr="00923CC2" w:rsidTr="00F5556E">
        <w:trPr>
          <w:trHeight w:hRule="exact" w:val="298"/>
        </w:trPr>
        <w:tc>
          <w:tcPr>
            <w:tcW w:w="2976" w:type="dxa"/>
            <w:tcBorders>
              <w:top w:val="single" w:sz="8"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line="269" w:lineRule="exact"/>
              <w:ind w:left="97"/>
              <w:rPr>
                <w:rFonts w:ascii="Times New Roman" w:eastAsia="Times New Roman" w:hAnsi="Times New Roman" w:cs="Times New Roman"/>
                <w:sz w:val="20"/>
                <w:szCs w:val="20"/>
              </w:rPr>
            </w:pPr>
            <w:r w:rsidRPr="00923CC2">
              <w:rPr>
                <w:rFonts w:ascii="Times New Roman"/>
                <w:spacing w:val="-1"/>
                <w:sz w:val="20"/>
                <w:szCs w:val="20"/>
              </w:rPr>
              <w:t>Lkr.</w:t>
            </w:r>
            <w:r w:rsidRPr="00923CC2">
              <w:rPr>
                <w:rFonts w:ascii="Times New Roman"/>
                <w:spacing w:val="-21"/>
                <w:sz w:val="20"/>
                <w:szCs w:val="20"/>
              </w:rPr>
              <w:t xml:space="preserve"> </w:t>
            </w:r>
            <w:r w:rsidRPr="00923CC2">
              <w:rPr>
                <w:rFonts w:ascii="Times New Roman"/>
                <w:spacing w:val="-1"/>
                <w:sz w:val="20"/>
                <w:szCs w:val="20"/>
              </w:rPr>
              <w:t>Aichach-Friedberg</w:t>
            </w:r>
          </w:p>
        </w:tc>
        <w:tc>
          <w:tcPr>
            <w:tcW w:w="993"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6</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6</w:t>
            </w:r>
          </w:p>
        </w:tc>
      </w:tr>
      <w:tr w:rsidR="00923CC2" w:rsidRPr="00923CC2" w:rsidTr="00F5556E">
        <w:trPr>
          <w:trHeight w:hRule="exact" w:val="295"/>
        </w:trPr>
        <w:tc>
          <w:tcPr>
            <w:tcW w:w="2976" w:type="dxa"/>
            <w:tcBorders>
              <w:top w:val="single" w:sz="8" w:space="0" w:color="000000"/>
              <w:left w:val="single" w:sz="8" w:space="0" w:color="000000"/>
              <w:bottom w:val="single" w:sz="8" w:space="0" w:color="000000"/>
              <w:right w:val="single" w:sz="8" w:space="0" w:color="000000"/>
            </w:tcBorders>
            <w:shd w:val="clear" w:color="auto" w:fill="9CC2E5"/>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Lkr.</w:t>
            </w:r>
            <w:r w:rsidRPr="00923CC2">
              <w:rPr>
                <w:rFonts w:ascii="Times New Roman"/>
                <w:spacing w:val="-12"/>
                <w:sz w:val="20"/>
                <w:szCs w:val="20"/>
              </w:rPr>
              <w:t xml:space="preserve"> </w:t>
            </w:r>
            <w:r w:rsidRPr="00923CC2">
              <w:rPr>
                <w:rFonts w:ascii="Times New Roman"/>
                <w:spacing w:val="-1"/>
                <w:sz w:val="20"/>
                <w:szCs w:val="20"/>
              </w:rPr>
              <w:t>Augsburg</w:t>
            </w:r>
          </w:p>
        </w:tc>
        <w:tc>
          <w:tcPr>
            <w:tcW w:w="993"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7</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9</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9</w:t>
            </w:r>
          </w:p>
        </w:tc>
        <w:tc>
          <w:tcPr>
            <w:tcW w:w="851"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14</w:t>
            </w:r>
          </w:p>
        </w:tc>
      </w:tr>
      <w:tr w:rsidR="00923CC2" w:rsidRPr="00923CC2" w:rsidTr="00F5556E">
        <w:trPr>
          <w:trHeight w:hRule="exact" w:val="296"/>
        </w:trPr>
        <w:tc>
          <w:tcPr>
            <w:tcW w:w="2976" w:type="dxa"/>
            <w:tcBorders>
              <w:top w:val="single" w:sz="8"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Lkr.</w:t>
            </w:r>
            <w:r w:rsidRPr="00923CC2">
              <w:rPr>
                <w:rFonts w:ascii="Times New Roman"/>
                <w:spacing w:val="-5"/>
                <w:sz w:val="20"/>
                <w:szCs w:val="20"/>
              </w:rPr>
              <w:t xml:space="preserve"> </w:t>
            </w:r>
            <w:r w:rsidRPr="00923CC2">
              <w:rPr>
                <w:rFonts w:ascii="Times New Roman"/>
                <w:spacing w:val="-1"/>
                <w:sz w:val="20"/>
                <w:szCs w:val="20"/>
              </w:rPr>
              <w:t>Dillingen</w:t>
            </w:r>
            <w:r w:rsidRPr="00923CC2">
              <w:rPr>
                <w:rFonts w:ascii="Times New Roman"/>
                <w:spacing w:val="-4"/>
                <w:sz w:val="20"/>
                <w:szCs w:val="20"/>
              </w:rPr>
              <w:t xml:space="preserve"> </w:t>
            </w:r>
            <w:r w:rsidRPr="00923CC2">
              <w:rPr>
                <w:rFonts w:ascii="Times New Roman"/>
                <w:spacing w:val="-1"/>
                <w:sz w:val="20"/>
                <w:szCs w:val="20"/>
              </w:rPr>
              <w:t>an</w:t>
            </w:r>
            <w:r w:rsidRPr="00923CC2">
              <w:rPr>
                <w:rFonts w:ascii="Times New Roman"/>
                <w:spacing w:val="-6"/>
                <w:sz w:val="20"/>
                <w:szCs w:val="20"/>
              </w:rPr>
              <w:t xml:space="preserve"> </w:t>
            </w:r>
            <w:r w:rsidRPr="00923CC2">
              <w:rPr>
                <w:rFonts w:ascii="Times New Roman"/>
                <w:spacing w:val="-1"/>
                <w:sz w:val="20"/>
                <w:szCs w:val="20"/>
              </w:rPr>
              <w:t>der</w:t>
            </w:r>
            <w:r w:rsidRPr="00923CC2">
              <w:rPr>
                <w:rFonts w:ascii="Times New Roman"/>
                <w:spacing w:val="-7"/>
                <w:sz w:val="20"/>
                <w:szCs w:val="20"/>
              </w:rPr>
              <w:t xml:space="preserve"> </w:t>
            </w:r>
            <w:r w:rsidRPr="00923CC2">
              <w:rPr>
                <w:rFonts w:ascii="Times New Roman"/>
                <w:sz w:val="20"/>
                <w:szCs w:val="20"/>
              </w:rPr>
              <w:t>Donau</w:t>
            </w:r>
          </w:p>
        </w:tc>
        <w:tc>
          <w:tcPr>
            <w:tcW w:w="993"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3</w:t>
            </w:r>
          </w:p>
        </w:tc>
      </w:tr>
      <w:tr w:rsidR="00923CC2" w:rsidRPr="00923CC2" w:rsidTr="00F5556E">
        <w:trPr>
          <w:trHeight w:hRule="exact" w:val="297"/>
        </w:trPr>
        <w:tc>
          <w:tcPr>
            <w:tcW w:w="2976" w:type="dxa"/>
            <w:tcBorders>
              <w:top w:val="single" w:sz="8" w:space="0" w:color="000000"/>
              <w:left w:val="single" w:sz="8" w:space="0" w:color="000000"/>
              <w:bottom w:val="single" w:sz="8" w:space="0" w:color="000000"/>
              <w:right w:val="single" w:sz="8" w:space="0" w:color="000000"/>
            </w:tcBorders>
            <w:shd w:val="clear" w:color="auto" w:fill="9CC2E5"/>
          </w:tcPr>
          <w:p w:rsidR="00923CC2" w:rsidRPr="00923CC2" w:rsidRDefault="00923CC2" w:rsidP="00923CC2">
            <w:pPr>
              <w:pStyle w:val="TableParagraph"/>
              <w:spacing w:line="269" w:lineRule="exact"/>
              <w:ind w:left="97"/>
              <w:rPr>
                <w:rFonts w:ascii="Times New Roman" w:eastAsia="Times New Roman" w:hAnsi="Times New Roman" w:cs="Times New Roman"/>
                <w:sz w:val="20"/>
                <w:szCs w:val="20"/>
              </w:rPr>
            </w:pPr>
            <w:r w:rsidRPr="00923CC2">
              <w:rPr>
                <w:rFonts w:ascii="Times New Roman" w:hAnsi="Times New Roman"/>
                <w:spacing w:val="-1"/>
                <w:sz w:val="20"/>
                <w:szCs w:val="20"/>
              </w:rPr>
              <w:t>Lkr.</w:t>
            </w:r>
            <w:r w:rsidRPr="00923CC2">
              <w:rPr>
                <w:rFonts w:ascii="Times New Roman" w:hAnsi="Times New Roman"/>
                <w:spacing w:val="-12"/>
                <w:sz w:val="20"/>
                <w:szCs w:val="20"/>
              </w:rPr>
              <w:t xml:space="preserve"> </w:t>
            </w:r>
            <w:r w:rsidRPr="00923CC2">
              <w:rPr>
                <w:rFonts w:ascii="Times New Roman" w:hAnsi="Times New Roman"/>
                <w:spacing w:val="-1"/>
                <w:sz w:val="20"/>
                <w:szCs w:val="20"/>
              </w:rPr>
              <w:t>Günzburg</w:t>
            </w:r>
          </w:p>
        </w:tc>
        <w:tc>
          <w:tcPr>
            <w:tcW w:w="993"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8</w:t>
            </w:r>
          </w:p>
        </w:tc>
        <w:tc>
          <w:tcPr>
            <w:tcW w:w="851"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9" w:lineRule="exact"/>
              <w:ind w:left="222"/>
              <w:jc w:val="center"/>
              <w:rPr>
                <w:rFonts w:ascii="Times New Roman" w:eastAsia="Times New Roman" w:hAnsi="Times New Roman" w:cs="Times New Roman"/>
                <w:sz w:val="20"/>
                <w:szCs w:val="20"/>
              </w:rPr>
            </w:pPr>
            <w:r w:rsidRPr="00923CC2">
              <w:rPr>
                <w:rFonts w:ascii="Times New Roman"/>
                <w:sz w:val="20"/>
                <w:szCs w:val="20"/>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F5556E" w:rsidRDefault="00923CC2" w:rsidP="00F5556E">
            <w:pPr>
              <w:pStyle w:val="TableParagraph"/>
              <w:spacing w:line="267" w:lineRule="exact"/>
              <w:jc w:val="center"/>
              <w:rPr>
                <w:rFonts w:ascii="Times New Roman"/>
                <w:sz w:val="20"/>
                <w:szCs w:val="20"/>
              </w:rPr>
            </w:pPr>
            <w:r w:rsidRPr="00923CC2">
              <w:rPr>
                <w:rFonts w:ascii="Times New Roman"/>
                <w:sz w:val="20"/>
                <w:szCs w:val="20"/>
              </w:rPr>
              <w:t>14</w:t>
            </w:r>
          </w:p>
        </w:tc>
      </w:tr>
      <w:tr w:rsidR="00923CC2" w:rsidRPr="00923CC2" w:rsidTr="00F5556E">
        <w:trPr>
          <w:trHeight w:hRule="exact" w:val="295"/>
        </w:trPr>
        <w:tc>
          <w:tcPr>
            <w:tcW w:w="2976" w:type="dxa"/>
            <w:tcBorders>
              <w:top w:val="single" w:sz="8"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Lkr.</w:t>
            </w:r>
            <w:r w:rsidRPr="00923CC2">
              <w:rPr>
                <w:rFonts w:ascii="Times New Roman"/>
                <w:spacing w:val="-12"/>
                <w:sz w:val="20"/>
                <w:szCs w:val="20"/>
              </w:rPr>
              <w:t xml:space="preserve"> </w:t>
            </w:r>
            <w:r w:rsidRPr="00923CC2">
              <w:rPr>
                <w:rFonts w:ascii="Times New Roman"/>
                <w:spacing w:val="-1"/>
                <w:sz w:val="20"/>
                <w:szCs w:val="20"/>
              </w:rPr>
              <w:t>Neu-Ulm</w:t>
            </w:r>
          </w:p>
        </w:tc>
        <w:tc>
          <w:tcPr>
            <w:tcW w:w="993"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6</w:t>
            </w:r>
          </w:p>
        </w:tc>
        <w:tc>
          <w:tcPr>
            <w:tcW w:w="851"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5</w:t>
            </w:r>
          </w:p>
        </w:tc>
      </w:tr>
      <w:tr w:rsidR="00923CC2" w:rsidRPr="00923CC2" w:rsidTr="00F5556E">
        <w:trPr>
          <w:trHeight w:hRule="exact" w:val="295"/>
        </w:trPr>
        <w:tc>
          <w:tcPr>
            <w:tcW w:w="2976" w:type="dxa"/>
            <w:tcBorders>
              <w:top w:val="single" w:sz="8" w:space="0" w:color="000000"/>
              <w:left w:val="single" w:sz="8" w:space="0" w:color="000000"/>
              <w:bottom w:val="single" w:sz="8" w:space="0" w:color="000000"/>
              <w:right w:val="single" w:sz="8" w:space="0" w:color="000000"/>
            </w:tcBorders>
            <w:shd w:val="clear" w:color="auto" w:fill="9CC2E5"/>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Lkr.</w:t>
            </w:r>
            <w:r w:rsidRPr="00923CC2">
              <w:rPr>
                <w:rFonts w:ascii="Times New Roman"/>
                <w:spacing w:val="-9"/>
                <w:sz w:val="20"/>
                <w:szCs w:val="20"/>
              </w:rPr>
              <w:t xml:space="preserve"> </w:t>
            </w:r>
            <w:r w:rsidRPr="00923CC2">
              <w:rPr>
                <w:rFonts w:ascii="Times New Roman"/>
                <w:spacing w:val="-1"/>
                <w:sz w:val="20"/>
                <w:szCs w:val="20"/>
              </w:rPr>
              <w:t>Lindau</w:t>
            </w:r>
          </w:p>
        </w:tc>
        <w:tc>
          <w:tcPr>
            <w:tcW w:w="993"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3</w:t>
            </w:r>
          </w:p>
        </w:tc>
        <w:tc>
          <w:tcPr>
            <w:tcW w:w="851"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r>
      <w:tr w:rsidR="00923CC2" w:rsidRPr="00923CC2" w:rsidTr="00F5556E">
        <w:trPr>
          <w:trHeight w:hRule="exact" w:val="298"/>
        </w:trPr>
        <w:tc>
          <w:tcPr>
            <w:tcW w:w="2976" w:type="dxa"/>
            <w:tcBorders>
              <w:top w:val="single" w:sz="8"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line="269" w:lineRule="exact"/>
              <w:ind w:left="97"/>
              <w:rPr>
                <w:rFonts w:ascii="Times New Roman" w:eastAsia="Times New Roman" w:hAnsi="Times New Roman" w:cs="Times New Roman"/>
                <w:sz w:val="20"/>
                <w:szCs w:val="20"/>
              </w:rPr>
            </w:pPr>
            <w:r w:rsidRPr="00923CC2">
              <w:rPr>
                <w:rFonts w:ascii="Times New Roman" w:hAnsi="Times New Roman"/>
                <w:spacing w:val="-1"/>
                <w:sz w:val="20"/>
                <w:szCs w:val="20"/>
              </w:rPr>
              <w:t>Lkr.</w:t>
            </w:r>
            <w:r w:rsidRPr="00923CC2">
              <w:rPr>
                <w:rFonts w:ascii="Times New Roman" w:hAnsi="Times New Roman"/>
                <w:spacing w:val="-12"/>
                <w:sz w:val="20"/>
                <w:szCs w:val="20"/>
              </w:rPr>
              <w:t xml:space="preserve"> </w:t>
            </w:r>
            <w:r w:rsidRPr="00923CC2">
              <w:rPr>
                <w:rFonts w:ascii="Times New Roman" w:hAnsi="Times New Roman"/>
                <w:spacing w:val="-1"/>
                <w:sz w:val="20"/>
                <w:szCs w:val="20"/>
              </w:rPr>
              <w:t>Ostallgäu</w:t>
            </w:r>
          </w:p>
        </w:tc>
        <w:tc>
          <w:tcPr>
            <w:tcW w:w="993"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6</w:t>
            </w:r>
          </w:p>
        </w:tc>
        <w:tc>
          <w:tcPr>
            <w:tcW w:w="851"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ind w:left="222"/>
              <w:jc w:val="center"/>
              <w:rPr>
                <w:rFonts w:ascii="Times New Roman" w:eastAsia="Times New Roman" w:hAnsi="Times New Roman" w:cs="Times New Roman"/>
                <w:sz w:val="20"/>
                <w:szCs w:val="20"/>
              </w:rPr>
            </w:pPr>
            <w:r w:rsidRPr="00923CC2">
              <w:rPr>
                <w:rFonts w:ascii="Times New Roman"/>
                <w:sz w:val="20"/>
                <w:szCs w:val="20"/>
              </w:rPr>
              <w:t>10</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9" w:lineRule="exact"/>
              <w:jc w:val="center"/>
              <w:rPr>
                <w:rFonts w:ascii="Times New Roman" w:eastAsia="Times New Roman" w:hAnsi="Times New Roman" w:cs="Times New Roman"/>
                <w:sz w:val="20"/>
                <w:szCs w:val="20"/>
              </w:rPr>
            </w:pPr>
            <w:r w:rsidRPr="00923CC2">
              <w:rPr>
                <w:rFonts w:ascii="Times New Roman"/>
                <w:sz w:val="20"/>
                <w:szCs w:val="20"/>
              </w:rPr>
              <w:t>2</w:t>
            </w:r>
          </w:p>
        </w:tc>
      </w:tr>
      <w:tr w:rsidR="00923CC2" w:rsidRPr="00923CC2" w:rsidTr="00F5556E">
        <w:trPr>
          <w:trHeight w:hRule="exact" w:val="295"/>
        </w:trPr>
        <w:tc>
          <w:tcPr>
            <w:tcW w:w="2976" w:type="dxa"/>
            <w:tcBorders>
              <w:top w:val="single" w:sz="8" w:space="0" w:color="000000"/>
              <w:left w:val="single" w:sz="8" w:space="0" w:color="000000"/>
              <w:bottom w:val="single" w:sz="8" w:space="0" w:color="000000"/>
              <w:right w:val="single" w:sz="8" w:space="0" w:color="000000"/>
            </w:tcBorders>
            <w:shd w:val="clear" w:color="auto" w:fill="9CC2E5"/>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hAnsi="Times New Roman"/>
                <w:spacing w:val="-1"/>
                <w:sz w:val="20"/>
                <w:szCs w:val="20"/>
              </w:rPr>
              <w:t>Lkr.</w:t>
            </w:r>
            <w:r w:rsidRPr="00923CC2">
              <w:rPr>
                <w:rFonts w:ascii="Times New Roman" w:hAnsi="Times New Roman"/>
                <w:spacing w:val="-14"/>
                <w:sz w:val="20"/>
                <w:szCs w:val="20"/>
              </w:rPr>
              <w:t xml:space="preserve"> </w:t>
            </w:r>
            <w:r w:rsidRPr="00923CC2">
              <w:rPr>
                <w:rFonts w:ascii="Times New Roman" w:hAnsi="Times New Roman"/>
                <w:spacing w:val="-1"/>
                <w:sz w:val="20"/>
                <w:szCs w:val="20"/>
              </w:rPr>
              <w:t>Unterallgäu</w:t>
            </w:r>
          </w:p>
        </w:tc>
        <w:tc>
          <w:tcPr>
            <w:tcW w:w="993"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4</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r>
      <w:tr w:rsidR="00923CC2" w:rsidRPr="00923CC2" w:rsidTr="00F5556E">
        <w:trPr>
          <w:trHeight w:hRule="exact" w:val="296"/>
        </w:trPr>
        <w:tc>
          <w:tcPr>
            <w:tcW w:w="2976" w:type="dxa"/>
            <w:tcBorders>
              <w:top w:val="single" w:sz="8"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line="267" w:lineRule="exact"/>
              <w:ind w:left="97"/>
              <w:rPr>
                <w:rFonts w:ascii="Times New Roman" w:eastAsia="Times New Roman" w:hAnsi="Times New Roman" w:cs="Times New Roman"/>
                <w:sz w:val="20"/>
                <w:szCs w:val="20"/>
              </w:rPr>
            </w:pPr>
            <w:r w:rsidRPr="00923CC2">
              <w:rPr>
                <w:rFonts w:ascii="Times New Roman"/>
                <w:spacing w:val="-1"/>
                <w:sz w:val="20"/>
                <w:szCs w:val="20"/>
              </w:rPr>
              <w:t>Lkr.</w:t>
            </w:r>
            <w:r w:rsidRPr="00923CC2">
              <w:rPr>
                <w:rFonts w:ascii="Times New Roman"/>
                <w:spacing w:val="-14"/>
                <w:sz w:val="20"/>
                <w:szCs w:val="20"/>
              </w:rPr>
              <w:t xml:space="preserve"> </w:t>
            </w:r>
            <w:r w:rsidRPr="00923CC2">
              <w:rPr>
                <w:rFonts w:ascii="Times New Roman"/>
                <w:spacing w:val="-1"/>
                <w:sz w:val="20"/>
                <w:szCs w:val="20"/>
              </w:rPr>
              <w:t>Donau-Ries</w:t>
            </w:r>
          </w:p>
        </w:tc>
        <w:tc>
          <w:tcPr>
            <w:tcW w:w="993"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3</w:t>
            </w:r>
          </w:p>
        </w:tc>
        <w:tc>
          <w:tcPr>
            <w:tcW w:w="850"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w:t>
            </w:r>
          </w:p>
        </w:tc>
      </w:tr>
      <w:tr w:rsidR="00923CC2" w:rsidRPr="00923CC2" w:rsidTr="00F5556E">
        <w:trPr>
          <w:trHeight w:hRule="exact" w:val="287"/>
        </w:trPr>
        <w:tc>
          <w:tcPr>
            <w:tcW w:w="2976" w:type="dxa"/>
            <w:tcBorders>
              <w:top w:val="single" w:sz="8" w:space="0" w:color="000000"/>
              <w:left w:val="single" w:sz="8" w:space="0" w:color="000000"/>
              <w:bottom w:val="single" w:sz="13" w:space="0" w:color="000000"/>
              <w:right w:val="single" w:sz="8" w:space="0" w:color="000000"/>
            </w:tcBorders>
            <w:shd w:val="clear" w:color="auto" w:fill="9CC2E5"/>
          </w:tcPr>
          <w:p w:rsidR="00923CC2" w:rsidRPr="00923CC2" w:rsidRDefault="00923CC2" w:rsidP="00923CC2">
            <w:pPr>
              <w:pStyle w:val="TableParagraph"/>
              <w:spacing w:line="261" w:lineRule="exact"/>
              <w:ind w:left="97"/>
              <w:rPr>
                <w:rFonts w:ascii="Times New Roman" w:eastAsia="Times New Roman" w:hAnsi="Times New Roman" w:cs="Times New Roman"/>
                <w:sz w:val="20"/>
                <w:szCs w:val="20"/>
              </w:rPr>
            </w:pPr>
            <w:r w:rsidRPr="00923CC2">
              <w:rPr>
                <w:rFonts w:ascii="Times New Roman" w:hAnsi="Times New Roman"/>
                <w:spacing w:val="-1"/>
                <w:sz w:val="20"/>
                <w:szCs w:val="20"/>
              </w:rPr>
              <w:t>Lkr.</w:t>
            </w:r>
            <w:r w:rsidRPr="00923CC2">
              <w:rPr>
                <w:rFonts w:ascii="Times New Roman" w:hAnsi="Times New Roman"/>
                <w:spacing w:val="-13"/>
                <w:sz w:val="20"/>
                <w:szCs w:val="20"/>
              </w:rPr>
              <w:t xml:space="preserve"> </w:t>
            </w:r>
            <w:r w:rsidRPr="00923CC2">
              <w:rPr>
                <w:rFonts w:ascii="Times New Roman" w:hAnsi="Times New Roman"/>
                <w:spacing w:val="-1"/>
                <w:sz w:val="20"/>
                <w:szCs w:val="20"/>
              </w:rPr>
              <w:t>Oberallgäu</w:t>
            </w:r>
          </w:p>
        </w:tc>
        <w:tc>
          <w:tcPr>
            <w:tcW w:w="993" w:type="dxa"/>
            <w:tcBorders>
              <w:top w:val="single" w:sz="8" w:space="0" w:color="000000"/>
              <w:left w:val="single" w:sz="8" w:space="0" w:color="000000"/>
              <w:bottom w:val="single" w:sz="13" w:space="0" w:color="000000"/>
              <w:right w:val="single" w:sz="8" w:space="0" w:color="000000"/>
            </w:tcBorders>
            <w:shd w:val="clear" w:color="auto" w:fill="9CC2E5"/>
            <w:vAlign w:val="center"/>
          </w:tcPr>
          <w:p w:rsidR="00923CC2" w:rsidRPr="00923CC2" w:rsidRDefault="00923CC2" w:rsidP="00F5556E">
            <w:pPr>
              <w:pStyle w:val="TableParagraph"/>
              <w:spacing w:line="260" w:lineRule="exact"/>
              <w:jc w:val="center"/>
              <w:rPr>
                <w:rFonts w:ascii="Times New Roman" w:eastAsia="Times New Roman" w:hAnsi="Times New Roman" w:cs="Times New Roman"/>
                <w:sz w:val="20"/>
                <w:szCs w:val="20"/>
              </w:rPr>
            </w:pPr>
            <w:r w:rsidRPr="00923CC2">
              <w:rPr>
                <w:rFonts w:ascii="Times New Roman"/>
                <w:sz w:val="20"/>
                <w:szCs w:val="20"/>
              </w:rPr>
              <w:t>1</w:t>
            </w:r>
          </w:p>
        </w:tc>
        <w:tc>
          <w:tcPr>
            <w:tcW w:w="992" w:type="dxa"/>
            <w:tcBorders>
              <w:top w:val="single" w:sz="8" w:space="0" w:color="000000"/>
              <w:left w:val="single" w:sz="8" w:space="0" w:color="000000"/>
              <w:bottom w:val="single" w:sz="13" w:space="0" w:color="000000"/>
              <w:right w:val="single" w:sz="8" w:space="0" w:color="000000"/>
            </w:tcBorders>
            <w:shd w:val="clear" w:color="auto" w:fill="9CC2E5"/>
            <w:vAlign w:val="center"/>
          </w:tcPr>
          <w:p w:rsidR="00923CC2" w:rsidRPr="00923CC2" w:rsidRDefault="00923CC2" w:rsidP="00F5556E">
            <w:pPr>
              <w:pStyle w:val="TableParagraph"/>
              <w:spacing w:line="260"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992" w:type="dxa"/>
            <w:tcBorders>
              <w:top w:val="single" w:sz="8" w:space="0" w:color="000000"/>
              <w:left w:val="single" w:sz="8" w:space="0" w:color="000000"/>
              <w:bottom w:val="single" w:sz="13" w:space="0" w:color="000000"/>
              <w:right w:val="single" w:sz="8" w:space="0" w:color="000000"/>
            </w:tcBorders>
            <w:shd w:val="clear" w:color="auto" w:fill="9CC2E5"/>
            <w:vAlign w:val="center"/>
          </w:tcPr>
          <w:p w:rsidR="00923CC2" w:rsidRPr="00923CC2" w:rsidRDefault="00923CC2" w:rsidP="00F5556E">
            <w:pPr>
              <w:pStyle w:val="TableParagraph"/>
              <w:spacing w:line="260" w:lineRule="exact"/>
              <w:jc w:val="center"/>
              <w:rPr>
                <w:rFonts w:ascii="Times New Roman" w:eastAsia="Times New Roman" w:hAnsi="Times New Roman" w:cs="Times New Roman"/>
                <w:sz w:val="20"/>
                <w:szCs w:val="20"/>
              </w:rPr>
            </w:pPr>
            <w:r w:rsidRPr="00923CC2">
              <w:rPr>
                <w:rFonts w:ascii="Times New Roman"/>
                <w:sz w:val="20"/>
                <w:szCs w:val="20"/>
              </w:rPr>
              <w:t>2</w:t>
            </w:r>
          </w:p>
        </w:tc>
        <w:tc>
          <w:tcPr>
            <w:tcW w:w="851" w:type="dxa"/>
            <w:tcBorders>
              <w:top w:val="single" w:sz="8" w:space="0" w:color="000000"/>
              <w:left w:val="single" w:sz="8" w:space="0" w:color="000000"/>
              <w:bottom w:val="single" w:sz="13" w:space="0" w:color="000000"/>
              <w:right w:val="single" w:sz="8" w:space="0" w:color="000000"/>
            </w:tcBorders>
            <w:shd w:val="clear" w:color="auto" w:fill="9CC2E5"/>
            <w:vAlign w:val="center"/>
          </w:tcPr>
          <w:p w:rsidR="00923CC2" w:rsidRPr="00923CC2" w:rsidRDefault="00923CC2" w:rsidP="00F5556E">
            <w:pPr>
              <w:pStyle w:val="TableParagraph"/>
              <w:spacing w:line="267" w:lineRule="exact"/>
              <w:jc w:val="center"/>
              <w:rPr>
                <w:rFonts w:ascii="Times New Roman" w:eastAsia="Times New Roman" w:hAnsi="Times New Roman" w:cs="Times New Roman"/>
                <w:sz w:val="20"/>
                <w:szCs w:val="20"/>
              </w:rPr>
            </w:pPr>
            <w:r w:rsidRPr="00923CC2">
              <w:rPr>
                <w:rFonts w:ascii="Times New Roman"/>
                <w:sz w:val="20"/>
                <w:szCs w:val="20"/>
              </w:rPr>
              <w:t>12</w:t>
            </w:r>
          </w:p>
        </w:tc>
        <w:tc>
          <w:tcPr>
            <w:tcW w:w="850" w:type="dxa"/>
            <w:tcBorders>
              <w:top w:val="single" w:sz="8" w:space="0" w:color="000000"/>
              <w:left w:val="single" w:sz="8" w:space="0" w:color="000000"/>
              <w:bottom w:val="single" w:sz="12" w:space="0" w:color="000000"/>
              <w:right w:val="single" w:sz="8" w:space="0" w:color="000000"/>
            </w:tcBorders>
            <w:shd w:val="clear" w:color="auto" w:fill="9CC2E5"/>
            <w:vAlign w:val="center"/>
          </w:tcPr>
          <w:p w:rsidR="00923CC2" w:rsidRPr="00923CC2" w:rsidRDefault="00923CC2" w:rsidP="00F5556E">
            <w:pPr>
              <w:pStyle w:val="TableParagraph"/>
              <w:spacing w:line="261" w:lineRule="exact"/>
              <w:jc w:val="center"/>
              <w:rPr>
                <w:rFonts w:ascii="Times New Roman" w:eastAsia="Times New Roman" w:hAnsi="Times New Roman" w:cs="Times New Roman"/>
                <w:sz w:val="20"/>
                <w:szCs w:val="20"/>
              </w:rPr>
            </w:pPr>
            <w:r w:rsidRPr="00923CC2">
              <w:rPr>
                <w:rFonts w:ascii="Times New Roman"/>
                <w:sz w:val="20"/>
                <w:szCs w:val="20"/>
              </w:rPr>
              <w:t>5</w:t>
            </w:r>
          </w:p>
        </w:tc>
        <w:tc>
          <w:tcPr>
            <w:tcW w:w="992" w:type="dxa"/>
            <w:tcBorders>
              <w:top w:val="single" w:sz="8" w:space="0" w:color="000000"/>
              <w:left w:val="single" w:sz="8" w:space="0" w:color="000000"/>
              <w:bottom w:val="single" w:sz="12" w:space="0" w:color="000000"/>
              <w:right w:val="single" w:sz="8" w:space="0" w:color="000000"/>
            </w:tcBorders>
            <w:shd w:val="clear" w:color="auto" w:fill="9CC2E5"/>
            <w:vAlign w:val="center"/>
          </w:tcPr>
          <w:p w:rsidR="00923CC2" w:rsidRPr="00923CC2" w:rsidRDefault="00923CC2" w:rsidP="00F5556E">
            <w:pPr>
              <w:pStyle w:val="TableParagraph"/>
              <w:spacing w:line="261" w:lineRule="exact"/>
              <w:jc w:val="center"/>
              <w:rPr>
                <w:rFonts w:ascii="Times New Roman" w:eastAsia="Times New Roman" w:hAnsi="Times New Roman" w:cs="Times New Roman"/>
                <w:sz w:val="20"/>
                <w:szCs w:val="20"/>
              </w:rPr>
            </w:pPr>
            <w:r w:rsidRPr="00923CC2">
              <w:rPr>
                <w:rFonts w:ascii="Times New Roman"/>
                <w:sz w:val="20"/>
                <w:szCs w:val="20"/>
              </w:rPr>
              <w:t>3</w:t>
            </w:r>
          </w:p>
        </w:tc>
      </w:tr>
      <w:tr w:rsidR="00923CC2" w:rsidRPr="00923CC2" w:rsidTr="00F5556E">
        <w:trPr>
          <w:trHeight w:hRule="exact" w:val="317"/>
        </w:trPr>
        <w:tc>
          <w:tcPr>
            <w:tcW w:w="2976" w:type="dxa"/>
            <w:tcBorders>
              <w:top w:val="single" w:sz="13" w:space="0" w:color="000000"/>
              <w:left w:val="single" w:sz="8" w:space="0" w:color="000000"/>
              <w:bottom w:val="single" w:sz="8" w:space="0" w:color="000000"/>
              <w:right w:val="single" w:sz="8" w:space="0" w:color="000000"/>
            </w:tcBorders>
          </w:tcPr>
          <w:p w:rsidR="00923CC2" w:rsidRPr="00923CC2" w:rsidRDefault="00923CC2" w:rsidP="00923CC2">
            <w:pPr>
              <w:pStyle w:val="TableParagraph"/>
              <w:spacing w:before="9"/>
              <w:ind w:left="97"/>
              <w:rPr>
                <w:rFonts w:ascii="Times New Roman" w:eastAsia="Times New Roman" w:hAnsi="Times New Roman" w:cs="Times New Roman"/>
                <w:sz w:val="20"/>
                <w:szCs w:val="20"/>
              </w:rPr>
            </w:pPr>
            <w:r w:rsidRPr="00923CC2">
              <w:rPr>
                <w:rFonts w:ascii="Times New Roman"/>
                <w:b/>
                <w:sz w:val="20"/>
                <w:szCs w:val="20"/>
              </w:rPr>
              <w:t>Schwaben</w:t>
            </w:r>
            <w:r w:rsidRPr="00923CC2">
              <w:rPr>
                <w:rFonts w:ascii="Times New Roman"/>
                <w:b/>
                <w:spacing w:val="-17"/>
                <w:sz w:val="20"/>
                <w:szCs w:val="20"/>
              </w:rPr>
              <w:t xml:space="preserve"> </w:t>
            </w:r>
            <w:r w:rsidRPr="00923CC2">
              <w:rPr>
                <w:rFonts w:ascii="Times New Roman"/>
                <w:b/>
                <w:spacing w:val="-1"/>
                <w:sz w:val="20"/>
                <w:szCs w:val="20"/>
              </w:rPr>
              <w:t>gesamt</w:t>
            </w:r>
          </w:p>
        </w:tc>
        <w:tc>
          <w:tcPr>
            <w:tcW w:w="993" w:type="dxa"/>
            <w:tcBorders>
              <w:top w:val="single" w:sz="13" w:space="0" w:color="000000"/>
              <w:left w:val="single" w:sz="8" w:space="0" w:color="000000"/>
              <w:bottom w:val="single" w:sz="8" w:space="0" w:color="000000"/>
              <w:right w:val="single" w:sz="8" w:space="0" w:color="000000"/>
            </w:tcBorders>
            <w:vAlign w:val="center"/>
          </w:tcPr>
          <w:p w:rsidR="00923CC2" w:rsidRPr="00F5556E" w:rsidRDefault="00923CC2" w:rsidP="00F5556E">
            <w:pPr>
              <w:pStyle w:val="TableParagraph"/>
              <w:spacing w:line="267" w:lineRule="exact"/>
              <w:jc w:val="center"/>
              <w:rPr>
                <w:rFonts w:ascii="Times New Roman"/>
                <w:sz w:val="20"/>
                <w:szCs w:val="20"/>
              </w:rPr>
            </w:pPr>
            <w:r w:rsidRPr="00F5556E">
              <w:rPr>
                <w:rFonts w:ascii="Times New Roman"/>
                <w:sz w:val="20"/>
                <w:szCs w:val="20"/>
              </w:rPr>
              <w:t>33</w:t>
            </w:r>
          </w:p>
        </w:tc>
        <w:tc>
          <w:tcPr>
            <w:tcW w:w="992" w:type="dxa"/>
            <w:tcBorders>
              <w:top w:val="single" w:sz="13" w:space="0" w:color="000000"/>
              <w:left w:val="single" w:sz="8" w:space="0" w:color="000000"/>
              <w:bottom w:val="single" w:sz="8" w:space="0" w:color="000000"/>
              <w:right w:val="single" w:sz="8" w:space="0" w:color="000000"/>
            </w:tcBorders>
            <w:vAlign w:val="center"/>
          </w:tcPr>
          <w:p w:rsidR="00923CC2" w:rsidRPr="00F5556E" w:rsidRDefault="00923CC2" w:rsidP="00F5556E">
            <w:pPr>
              <w:pStyle w:val="TableParagraph"/>
              <w:spacing w:line="267" w:lineRule="exact"/>
              <w:jc w:val="center"/>
              <w:rPr>
                <w:rFonts w:ascii="Times New Roman"/>
                <w:sz w:val="20"/>
                <w:szCs w:val="20"/>
              </w:rPr>
            </w:pPr>
            <w:r w:rsidRPr="00F5556E">
              <w:rPr>
                <w:rFonts w:ascii="Times New Roman"/>
                <w:sz w:val="20"/>
                <w:szCs w:val="20"/>
              </w:rPr>
              <w:t>44</w:t>
            </w:r>
          </w:p>
        </w:tc>
        <w:tc>
          <w:tcPr>
            <w:tcW w:w="992" w:type="dxa"/>
            <w:tcBorders>
              <w:top w:val="single" w:sz="13" w:space="0" w:color="000000"/>
              <w:left w:val="single" w:sz="8" w:space="0" w:color="000000"/>
              <w:bottom w:val="single" w:sz="8" w:space="0" w:color="000000"/>
              <w:right w:val="single" w:sz="8" w:space="0" w:color="000000"/>
            </w:tcBorders>
            <w:vAlign w:val="center"/>
          </w:tcPr>
          <w:p w:rsidR="00923CC2" w:rsidRPr="00F5556E" w:rsidRDefault="00923CC2" w:rsidP="00F5556E">
            <w:pPr>
              <w:pStyle w:val="TableParagraph"/>
              <w:spacing w:line="267" w:lineRule="exact"/>
              <w:jc w:val="center"/>
              <w:rPr>
                <w:rFonts w:ascii="Times New Roman"/>
                <w:sz w:val="20"/>
                <w:szCs w:val="20"/>
              </w:rPr>
            </w:pPr>
            <w:r w:rsidRPr="00F5556E">
              <w:rPr>
                <w:rFonts w:ascii="Times New Roman"/>
                <w:sz w:val="20"/>
                <w:szCs w:val="20"/>
              </w:rPr>
              <w:t>46</w:t>
            </w:r>
          </w:p>
        </w:tc>
        <w:tc>
          <w:tcPr>
            <w:tcW w:w="851" w:type="dxa"/>
            <w:tcBorders>
              <w:top w:val="single" w:sz="13" w:space="0" w:color="000000"/>
              <w:left w:val="single" w:sz="8" w:space="0" w:color="000000"/>
              <w:bottom w:val="single" w:sz="8" w:space="0" w:color="000000"/>
              <w:right w:val="single" w:sz="8" w:space="0" w:color="000000"/>
            </w:tcBorders>
            <w:vAlign w:val="center"/>
          </w:tcPr>
          <w:p w:rsidR="00923CC2" w:rsidRPr="00F5556E" w:rsidRDefault="00923CC2" w:rsidP="00F5556E">
            <w:pPr>
              <w:pStyle w:val="TableParagraph"/>
              <w:spacing w:line="267" w:lineRule="exact"/>
              <w:jc w:val="center"/>
              <w:rPr>
                <w:rFonts w:ascii="Times New Roman"/>
                <w:sz w:val="20"/>
                <w:szCs w:val="20"/>
              </w:rPr>
            </w:pPr>
            <w:r w:rsidRPr="00F5556E">
              <w:rPr>
                <w:rFonts w:ascii="Times New Roman"/>
                <w:sz w:val="20"/>
                <w:szCs w:val="20"/>
              </w:rPr>
              <w:t>61</w:t>
            </w:r>
          </w:p>
        </w:tc>
        <w:tc>
          <w:tcPr>
            <w:tcW w:w="850" w:type="dxa"/>
            <w:tcBorders>
              <w:top w:val="single" w:sz="12" w:space="0" w:color="000000"/>
              <w:left w:val="single" w:sz="8" w:space="0" w:color="000000"/>
              <w:bottom w:val="single" w:sz="8" w:space="0" w:color="000000"/>
              <w:right w:val="single" w:sz="8" w:space="0" w:color="000000"/>
            </w:tcBorders>
            <w:vAlign w:val="center"/>
          </w:tcPr>
          <w:p w:rsidR="00923CC2" w:rsidRPr="00F5556E" w:rsidRDefault="00923CC2" w:rsidP="00F5556E">
            <w:pPr>
              <w:pStyle w:val="TableParagraph"/>
              <w:spacing w:line="267" w:lineRule="exact"/>
              <w:jc w:val="center"/>
              <w:rPr>
                <w:rFonts w:ascii="Times New Roman"/>
                <w:sz w:val="20"/>
                <w:szCs w:val="20"/>
              </w:rPr>
            </w:pPr>
            <w:r w:rsidRPr="00F5556E">
              <w:rPr>
                <w:rFonts w:ascii="Times New Roman"/>
                <w:sz w:val="20"/>
                <w:szCs w:val="20"/>
              </w:rPr>
              <w:t>59</w:t>
            </w:r>
          </w:p>
        </w:tc>
        <w:tc>
          <w:tcPr>
            <w:tcW w:w="992" w:type="dxa"/>
            <w:tcBorders>
              <w:top w:val="single" w:sz="12" w:space="0" w:color="000000"/>
              <w:left w:val="single" w:sz="8" w:space="0" w:color="000000"/>
              <w:bottom w:val="single" w:sz="8" w:space="0" w:color="000000"/>
              <w:right w:val="single" w:sz="8" w:space="0" w:color="000000"/>
            </w:tcBorders>
            <w:vAlign w:val="center"/>
          </w:tcPr>
          <w:p w:rsidR="00923CC2" w:rsidRPr="00F5556E" w:rsidRDefault="00923CC2" w:rsidP="00F5556E">
            <w:pPr>
              <w:pStyle w:val="TableParagraph"/>
              <w:spacing w:line="267" w:lineRule="exact"/>
              <w:jc w:val="center"/>
              <w:rPr>
                <w:rFonts w:ascii="Times New Roman"/>
                <w:sz w:val="20"/>
                <w:szCs w:val="20"/>
              </w:rPr>
            </w:pPr>
            <w:r w:rsidRPr="00F5556E">
              <w:rPr>
                <w:rFonts w:ascii="Times New Roman"/>
                <w:sz w:val="20"/>
                <w:szCs w:val="20"/>
              </w:rPr>
              <w:t>59</w:t>
            </w:r>
          </w:p>
        </w:tc>
      </w:tr>
    </w:tbl>
    <w:p w:rsidR="00CA4048" w:rsidRDefault="00CA4048" w:rsidP="00CA4048">
      <w:pPr>
        <w:pStyle w:val="LTAntwortRessortText"/>
      </w:pPr>
      <w:r>
        <w:t xml:space="preserve">Bezüglich der Auswertemöglichkeiten nach dem Parameter </w:t>
      </w:r>
      <w:r w:rsidR="00C244B3">
        <w:t>„</w:t>
      </w:r>
      <w:r>
        <w:t>Schulart</w:t>
      </w:r>
      <w:r w:rsidR="00C244B3">
        <w:t>“</w:t>
      </w:r>
      <w:r w:rsidR="00F5556E">
        <w:t xml:space="preserve"> wird auf die Beantwor</w:t>
      </w:r>
      <w:r>
        <w:t xml:space="preserve">tung der Frage 1 der Schriftlichen Anfrage der Abgeordneten </w:t>
      </w:r>
      <w:r w:rsidR="00F5556E">
        <w:t>Kathrin Sonnenholzer, Ruth Mül</w:t>
      </w:r>
      <w:r>
        <w:t>ler, Ka</w:t>
      </w:r>
      <w:r w:rsidR="00F5556E">
        <w:t>thi Petersen, Ruth Waldmann betreffend „</w:t>
      </w:r>
      <w:r w:rsidR="00F5556E" w:rsidRPr="00F5556E">
        <w:t>Drogenprävention an Bayerns Schulen</w:t>
      </w:r>
      <w:r w:rsidR="00F5556E">
        <w:t xml:space="preserve">“ </w:t>
      </w:r>
      <w:r>
        <w:t>vom 22.02.2017 (</w:t>
      </w:r>
      <w:r w:rsidR="00F5556E">
        <w:t xml:space="preserve">Drs. </w:t>
      </w:r>
      <w:r>
        <w:t>17/16490 vom 26.06.2017) verwiesen.</w:t>
      </w:r>
    </w:p>
    <w:p w:rsidR="00356CB4" w:rsidRDefault="00356CB4">
      <w:pPr>
        <w:rPr>
          <w:rFonts w:cs="Arial"/>
          <w:b/>
          <w:sz w:val="22"/>
          <w:szCs w:val="22"/>
        </w:rPr>
      </w:pPr>
      <w:r>
        <w:br w:type="page"/>
      </w:r>
    </w:p>
    <w:p w:rsidR="00CA4048" w:rsidRDefault="00CA4048" w:rsidP="00CA4048">
      <w:pPr>
        <w:pStyle w:val="LTUeberschrRessort"/>
      </w:pPr>
      <w:r>
        <w:lastRenderedPageBreak/>
        <w:t>Geschäftsbereich des Staatsministeriums für Wohnen, Bau und Verkehr</w:t>
      </w:r>
      <w:r>
        <w:fldChar w:fldCharType="begin"/>
      </w:r>
      <w:r>
        <w:instrText xml:space="preserve"> TC </w:instrText>
      </w:r>
      <w:r w:rsidR="00C244B3">
        <w:instrText>„</w:instrText>
      </w:r>
      <w:bookmarkStart w:id="16" w:name="_Toc511895434"/>
      <w:r>
        <w:instrText>Geschäftsbereich des Staatsministeriums für Wohnen, Bau und Verkehr</w:instrText>
      </w:r>
      <w:bookmarkEnd w:id="16"/>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Inge</w:t>
            </w:r>
            <w:r w:rsidRPr="00CA4048">
              <w:rPr>
                <w:b/>
              </w:rPr>
              <w:br/>
              <w:t>Aures</w:t>
            </w:r>
            <w:r w:rsidRPr="00CA4048">
              <w:rPr>
                <w:b/>
              </w:rPr>
              <w:br/>
            </w:r>
            <w:r w:rsidRPr="00CA4048">
              <w:t>(SPD)</w:t>
            </w:r>
            <w:r>
              <w:fldChar w:fldCharType="begin"/>
            </w:r>
            <w:r>
              <w:instrText xml:space="preserve"> TC </w:instrText>
            </w:r>
            <w:r w:rsidR="00C244B3">
              <w:instrText>„</w:instrText>
            </w:r>
            <w:bookmarkStart w:id="17" w:name="_Toc511895435"/>
            <w:r>
              <w:instrText>Aures, Inge (SPD)</w:instrText>
            </w:r>
            <w:r>
              <w:br/>
              <w:instrText>Aktueller Sachstand Beleuchtung Parkplatz bei Seußen an der B 303</w:instrText>
            </w:r>
            <w:bookmarkEnd w:id="17"/>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gibt es aktuelle Entwicklungen bezüglich einer dauerhaften Beleuchtung des Parkplatzes bei Seußen an der B 303 zwischen der Autobahnanschlussstelle Marktredwitz und der Landesgrenze bei Schirn</w:t>
            </w:r>
            <w:r w:rsidR="00F5556E">
              <w:softHyphen/>
            </w:r>
            <w:r>
              <w:t>ding, auch mit Blick auf die Installation einer digitalen Beschilderung, nachdem Anfang März 2018 ein Abstimmungstermin zwischen dem Staatlichen Bauamt Bayreuth und dem Polizeipräsidium Oberfranken stattfinden sollte?</w:t>
            </w:r>
          </w:p>
          <w:p w:rsidR="00CA4048" w:rsidRDefault="00CA4048" w:rsidP="00CA4048">
            <w:pPr>
              <w:pStyle w:val="LTAnfrageText"/>
            </w:pPr>
          </w:p>
        </w:tc>
      </w:tr>
    </w:tbl>
    <w:p w:rsidR="00CA4048" w:rsidRDefault="00CA4048" w:rsidP="00CA4048">
      <w:pPr>
        <w:pStyle w:val="LTUeberschrAntwortRessort"/>
      </w:pPr>
      <w:r>
        <w:t>Antwort des Staatsministeriums für Wohnen, Bau und Verkehr</w:t>
      </w:r>
    </w:p>
    <w:p w:rsidR="00CA4048" w:rsidRDefault="00CA4048" w:rsidP="00CA4048">
      <w:pPr>
        <w:pStyle w:val="LTAntwortRessortText"/>
      </w:pPr>
      <w:r>
        <w:t xml:space="preserve">Der Ortstermin mit Vertretern des Polizeipräsidiums Oberfranken und des Staatlichen Bauamts Bayreuth hat am </w:t>
      </w:r>
      <w:r w:rsidR="00F5556E">
        <w:t>02.03.</w:t>
      </w:r>
      <w:r>
        <w:t>2018 stattgefunden. Bei diesem Termin hat die Polizei ihren Bedarf für die Nutzung des Parkplatzes zur Durchführung von Kontrollen näher konkretisiert.</w:t>
      </w:r>
    </w:p>
    <w:p w:rsidR="00CA4048" w:rsidRDefault="00CA4048" w:rsidP="00CA4048">
      <w:pPr>
        <w:pStyle w:val="LTAntwortRessortText"/>
      </w:pPr>
      <w:r>
        <w:t>Demnach soll die Beleuchtung des Parkplatzes Seußen in gleicher Qualität wie beim Parkplatz Brand ausgeführt werden. Beide Parkplätze werden mit sogenannten Matrix-Verkehrszeichen beschildert, die die herkömmliche Bedarfsbeschilderung (K</w:t>
      </w:r>
      <w:r w:rsidR="00F5556E">
        <w:t>lappschilder) ersetzen. Die Be</w:t>
      </w:r>
      <w:r>
        <w:t>leuchtung soll mittels Transpondern bedient werden, die auch gleichzeitig zur Steuerung der Beleuchtung an den bereits umgerüsteten Parkplätzen Brand und Seehaus verwendet werden können.</w:t>
      </w:r>
    </w:p>
    <w:p w:rsidR="00CA4048" w:rsidRDefault="00CA4048" w:rsidP="00CA4048">
      <w:pPr>
        <w:pStyle w:val="LTAntwortRessortText"/>
      </w:pPr>
      <w:r>
        <w:t>Nach Erstellung der Kostenschätzung für die gepl</w:t>
      </w:r>
      <w:r w:rsidR="000D67EF">
        <w:t>ante Ertüchtigung des Parkplatze</w:t>
      </w:r>
      <w:r>
        <w:t>s muss noch über die Kostenzuordnung für die einzelnen Leistungen entschieden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Markus</w:t>
            </w:r>
            <w:r w:rsidRPr="00CA4048">
              <w:rPr>
                <w:b/>
              </w:rPr>
              <w:br/>
              <w:t>Ganserer</w:t>
            </w:r>
            <w:r w:rsidRPr="00CA4048">
              <w:rPr>
                <w:b/>
              </w:rPr>
              <w:br/>
            </w:r>
            <w:r w:rsidRPr="00CA4048">
              <w:t>(BÜNDNIS 90/DIE GRÜNEN)</w:t>
            </w:r>
            <w:r>
              <w:fldChar w:fldCharType="begin"/>
            </w:r>
            <w:r>
              <w:instrText xml:space="preserve"> TC </w:instrText>
            </w:r>
            <w:r w:rsidR="00C244B3">
              <w:instrText>„</w:instrText>
            </w:r>
            <w:bookmarkStart w:id="18" w:name="_Toc511895436"/>
            <w:r>
              <w:instrText>Ganserer, Markus (BÜNDNIS 90/DIE GRÜNEN)</w:instrText>
            </w:r>
            <w:r>
              <w:br/>
              <w:instrText>Neue Universität Nürnberg bzw. Umladehallen am ehemaligen Nürnberger Südbahnhof</w:instrText>
            </w:r>
            <w:bookmarkEnd w:id="18"/>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bis wann sollen die Kaufverhandlungen mit der Aurelis Real Estate zum Kauf der Grundstücke an der Brunecker Straße (mit den Umladehallen am ehemaligen Nürnberger Südbahnhof) abgeschlossen sein, welche Möglichkeiten sieht die Staatsregierung, diese Hallen durch die Einbeziehung in die weiteren Planungen zur Errichtung der neuen Universität zum Beispiel durch auszuschreibende planerische Wettbewerbe als gestalterisches Element zu integrieren und somit zu erhalten, und wenn nein, warum nicht?</w:t>
            </w:r>
          </w:p>
          <w:p w:rsidR="00CA4048" w:rsidRDefault="00CA4048" w:rsidP="00CA4048">
            <w:pPr>
              <w:pStyle w:val="LTAnfrageText"/>
            </w:pPr>
          </w:p>
        </w:tc>
      </w:tr>
    </w:tbl>
    <w:p w:rsidR="00CA4048" w:rsidRDefault="00CA4048" w:rsidP="00862A81">
      <w:pPr>
        <w:pStyle w:val="LTUeberschrAntwortRessort"/>
      </w:pPr>
      <w:r>
        <w:t xml:space="preserve">Antwort des Staatsministeriums für Wohnen, Bau und Verkehr in Abstimmung mit dem Staatsministerium für Wissenschaft und Kunst </w:t>
      </w:r>
    </w:p>
    <w:p w:rsidR="00CA4048" w:rsidRDefault="00CA4048" w:rsidP="00CA4048">
      <w:pPr>
        <w:pStyle w:val="LTAntwortRessortText"/>
      </w:pPr>
      <w:r>
        <w:t>Die Immobilien Freistaat Bayern steht in Erwerbsverhandlu</w:t>
      </w:r>
      <w:r w:rsidR="00862A81">
        <w:t>ngen mit dem Eigentümer des Ge</w:t>
      </w:r>
      <w:r>
        <w:t>ländes des ehemaligen Nürnberger Südbahnhofs an der Brune</w:t>
      </w:r>
      <w:r w:rsidR="00862A81">
        <w:t>cker Straße über den Ankauf ei</w:t>
      </w:r>
      <w:r>
        <w:t xml:space="preserve">ner Teilfläche dieses Areals. Zwischen den Beteiligten besteht Einvernehmen, dass Besitz, Nutzen und Lasten am Grundstück erst nach Beräumung der baulichen Anlagen, einschließlich der Umladehallen, durch den Verkäufer auf den Freistaat Bayern übergehen. Ziel ist es, die Erwerbsverhandlungen </w:t>
      </w:r>
      <w:r>
        <w:lastRenderedPageBreak/>
        <w:t xml:space="preserve">vor Ende der Legislaturperiode abzuschließen. Zur Realisierung des Projekts </w:t>
      </w:r>
      <w:r w:rsidR="00C244B3">
        <w:t>„</w:t>
      </w:r>
      <w:r>
        <w:t>Neue Universität Nürnberg</w:t>
      </w:r>
      <w:r w:rsidR="00C244B3">
        <w:t>“</w:t>
      </w:r>
      <w:r>
        <w:t xml:space="preserve"> wurde eine Strukturkommission eingesetzt</w:t>
      </w:r>
      <w:r w:rsidR="00862A81">
        <w:t>, um die in</w:t>
      </w:r>
      <w:r>
        <w:t>haltlich-thematische Ausrichtung der Universität unter Berücksi</w:t>
      </w:r>
      <w:r w:rsidR="00862A81">
        <w:t>chtigung struktureller und inf</w:t>
      </w:r>
      <w:r>
        <w:t>rastruktureller Aspekte zu entwickeln. Dieses Konzept ist in</w:t>
      </w:r>
      <w:r w:rsidR="00862A81">
        <w:t xml:space="preserve"> einem nächsten Schritt dem Vo</w:t>
      </w:r>
      <w:r w:rsidR="000D67EF">
        <w:t>tum des Wissenschaftsrat</w:t>
      </w:r>
      <w:r>
        <w:t>s zu unterziehen. Anschließend werden die weiteren Entscheidungen und Planungen (ggf. im Wettbewerbsverfahren) über räumlich</w:t>
      </w:r>
      <w:r w:rsidR="00862A81">
        <w:t>e Zuschnitte und deren Anforde</w:t>
      </w:r>
      <w:r>
        <w:t>rungen an den Standort getroffen. Bei allen Planungen ist die Z</w:t>
      </w:r>
      <w:r w:rsidR="00862A81">
        <w:t>ielsetzung, eine an den Bedürf</w:t>
      </w:r>
      <w:r>
        <w:t>nissen von Forschung und Lehre orientierte moderne Univers</w:t>
      </w:r>
      <w:r w:rsidR="00862A81">
        <w:t>ität auch mit modellhaftem Cha</w:t>
      </w:r>
      <w:r>
        <w:t>rakter zu entwickeln, vorrangig zu berücksichtigen.</w:t>
      </w:r>
    </w:p>
    <w:p w:rsidR="00356CB4" w:rsidRDefault="00356CB4"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Ruth</w:t>
            </w:r>
            <w:r w:rsidRPr="00CA4048">
              <w:rPr>
                <w:b/>
              </w:rPr>
              <w:br/>
              <w:t>Müller</w:t>
            </w:r>
            <w:r w:rsidRPr="00CA4048">
              <w:rPr>
                <w:b/>
              </w:rPr>
              <w:br/>
            </w:r>
            <w:r w:rsidRPr="00CA4048">
              <w:t>(SPD)</w:t>
            </w:r>
            <w:r>
              <w:fldChar w:fldCharType="begin"/>
            </w:r>
            <w:r>
              <w:instrText xml:space="preserve"> TC </w:instrText>
            </w:r>
            <w:r w:rsidR="00C244B3">
              <w:instrText>„</w:instrText>
            </w:r>
            <w:bookmarkStart w:id="19" w:name="_Toc511895437"/>
            <w:r>
              <w:instrText>Müller, Ruth (SPD)</w:instrText>
            </w:r>
            <w:r>
              <w:br/>
              <w:instrText>Gutachten landesweiter ÖPNV-Tarif</w:instrText>
            </w:r>
            <w:bookmarkEnd w:id="19"/>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ist ihr geplantes Gutachten, in dem die Optionen für einen landesweiten ÖPNV-Tarif unter Einbeziehung der bereits vorhandenen Erkenntnisse aus den Untersuchungen für einen Dachtarif in der Europäischen Metropolregion München (EMM-Dachtarif) geprüft werden sollen, bereits in Auftrag gegeben und falls ja, bis wann ist mit den Ergebnissen zu rechnen?</w:t>
            </w:r>
          </w:p>
          <w:p w:rsidR="00CA4048" w:rsidRDefault="00CA4048" w:rsidP="00CA4048">
            <w:pPr>
              <w:pStyle w:val="LTAnfrageText"/>
            </w:pPr>
          </w:p>
        </w:tc>
      </w:tr>
    </w:tbl>
    <w:p w:rsidR="00CA4048" w:rsidRDefault="00CA4048" w:rsidP="00CA4048">
      <w:pPr>
        <w:pStyle w:val="LTUeberschrAntwortRessort"/>
      </w:pPr>
      <w:r>
        <w:t>Antwort des Staatsministeriums für Wohnen, Bau und Verkehr</w:t>
      </w:r>
    </w:p>
    <w:p w:rsidR="00CA4048" w:rsidRDefault="00CA4048" w:rsidP="001E5F3E">
      <w:pPr>
        <w:pStyle w:val="LTAntwortRessortText"/>
      </w:pPr>
      <w:r>
        <w:t xml:space="preserve">Eine entsprechende Machbarkeitsstudie mit dem Arbeitstitel </w:t>
      </w:r>
      <w:r w:rsidR="00C244B3">
        <w:t>„</w:t>
      </w:r>
      <w:r>
        <w:t>Durchgängiger Vertrieb und bayernweiter Tarif in Bayern</w:t>
      </w:r>
      <w:r w:rsidR="00C244B3">
        <w:t>“</w:t>
      </w:r>
      <w:r>
        <w:t xml:space="preserve"> befindet sich in Vorbereitung.</w:t>
      </w:r>
      <w:r w:rsidR="001E5F3E">
        <w:t xml:space="preserve"> Derzeit wird eine Leistungsbe</w:t>
      </w:r>
      <w:r>
        <w:t>schreibung als Grun</w:t>
      </w:r>
      <w:r w:rsidR="001E5F3E">
        <w:t>dlage für die Vergabe erstellt.</w:t>
      </w:r>
    </w:p>
    <w:p w:rsidR="00CA4048" w:rsidRDefault="00CA4048" w:rsidP="00CA4048">
      <w:pPr>
        <w:pStyle w:val="LTAntwortRessortText"/>
      </w:pPr>
      <w:r>
        <w:t>Ziel</w:t>
      </w:r>
      <w:r w:rsidR="008B37AA">
        <w:t xml:space="preserve"> des Staatsministeriums für Wohnen, Bau und Verkehr</w:t>
      </w:r>
      <w:r>
        <w:t xml:space="preserve"> ist es, die Leistungsbeschreibung im Mai </w:t>
      </w:r>
      <w:r w:rsidR="001E5F3E">
        <w:t>2018 fertigzu</w:t>
      </w:r>
      <w:r>
        <w:t>stellen und anschließend das Vergabeverfahren zu beginnen.</w:t>
      </w:r>
    </w:p>
    <w:p w:rsidR="00356CB4" w:rsidRDefault="00356CB4"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Bernhard</w:t>
            </w:r>
            <w:r w:rsidRPr="00CA4048">
              <w:rPr>
                <w:b/>
              </w:rPr>
              <w:br/>
              <w:t>Roos</w:t>
            </w:r>
            <w:r w:rsidRPr="00CA4048">
              <w:rPr>
                <w:b/>
              </w:rPr>
              <w:br/>
            </w:r>
            <w:r w:rsidRPr="00CA4048">
              <w:t>(SPD)</w:t>
            </w:r>
            <w:r>
              <w:fldChar w:fldCharType="begin"/>
            </w:r>
            <w:r>
              <w:instrText xml:space="preserve"> TC </w:instrText>
            </w:r>
            <w:r w:rsidR="00C244B3">
              <w:instrText>„</w:instrText>
            </w:r>
            <w:bookmarkStart w:id="20" w:name="_Toc511895438"/>
            <w:r>
              <w:instrText>Roos, Bernhard (SPD)</w:instrText>
            </w:r>
            <w:r>
              <w:br/>
              <w:instrText>Ausbau der B 20</w:instrText>
            </w:r>
            <w:bookmarkEnd w:id="20"/>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wie ist der aktuelle Planungsstand für den Ausbau der B 20 zwischen Haunersdorf und dem Markt Simbach, wann ist mit der Fertigstellung des Ausbaus der Teilstrecke zu rechnen und welche konkreten Gründe haben dazu geführt, dass sich die Planungen für den Ausbau dieser Teilstrecke schon über mehrere Jahre hinziehen?</w:t>
            </w:r>
          </w:p>
          <w:p w:rsidR="00CA4048" w:rsidRDefault="00CA4048" w:rsidP="00CA4048">
            <w:pPr>
              <w:pStyle w:val="LTAnfrageText"/>
            </w:pPr>
          </w:p>
        </w:tc>
      </w:tr>
    </w:tbl>
    <w:p w:rsidR="00CA4048" w:rsidRDefault="00CA4048" w:rsidP="00CA4048">
      <w:pPr>
        <w:pStyle w:val="LTUeberschrAntwortRessort"/>
      </w:pPr>
      <w:r>
        <w:t>Antwort des Staatsministeriums für Wohnen, Bau und Verkehr</w:t>
      </w:r>
    </w:p>
    <w:p w:rsidR="00CA4048" w:rsidRDefault="00CA4048" w:rsidP="00CA4048">
      <w:pPr>
        <w:pStyle w:val="LTAntwortRessortText"/>
      </w:pPr>
      <w:r>
        <w:t>Zwischen Haunersdorf und dem Markt Simbach ist vorgesehen, angrenzend an</w:t>
      </w:r>
      <w:r w:rsidR="008B37AA">
        <w:t xml:space="preserve"> den</w:t>
      </w:r>
      <w:r>
        <w:t xml:space="preserve"> </w:t>
      </w:r>
      <w:r w:rsidR="00A306E8">
        <w:t>im Jahr 2017</w:t>
      </w:r>
      <w:r>
        <w:t xml:space="preserve"> fertiggestellten dreistreifigen Ausbau bei Mettenhausen noc</w:t>
      </w:r>
      <w:r w:rsidR="00A306E8">
        <w:t>h zwei weitere Abschnitte der B </w:t>
      </w:r>
      <w:r>
        <w:t>20 drei</w:t>
      </w:r>
      <w:r w:rsidR="00A306E8">
        <w:softHyphen/>
      </w:r>
      <w:r>
        <w:t>streifig auszubauen. Die Bearbeitung erfolgt in zwei eigenständigen Planungsverfahren:</w:t>
      </w:r>
    </w:p>
    <w:p w:rsidR="00CA4048" w:rsidRDefault="00CA4048" w:rsidP="00356CB4">
      <w:pPr>
        <w:pStyle w:val="LTAntwortRessortText"/>
        <w:spacing w:before="360"/>
      </w:pPr>
      <w:r>
        <w:lastRenderedPageBreak/>
        <w:t>Für den dreistreifigen Ausbau bei Haunersdorf läuft derzeit das Planfeststellungsverfahren, in welchem vor allem Einwendungen zum landwirtschaftlichen Begleitwegenetz Umplanungen erfordert haben. Hinzu kommt, dass zwischenzeitlich eine Umw</w:t>
      </w:r>
      <w:r w:rsidR="00A306E8">
        <w:t>eltverträglichkeitsprüfung not</w:t>
      </w:r>
      <w:r>
        <w:t>wendig wurde. Die dafür erforderlichen Unterlagen wurden mittlerweile durch das Staatliche Bauamt Landshut beauftragt und vorgelegt. Dies führt nun da</w:t>
      </w:r>
      <w:r w:rsidR="00A306E8">
        <w:t>zu, dass die Planung erneut öf</w:t>
      </w:r>
      <w:r>
        <w:t>fentlich ausgelegt werden muss, was den bisher angestr</w:t>
      </w:r>
      <w:r w:rsidR="00A306E8">
        <w:t>ebten Baubeginn verzögern wird.</w:t>
      </w:r>
    </w:p>
    <w:p w:rsidR="00CA4048" w:rsidRDefault="00CA4048" w:rsidP="00356CB4">
      <w:pPr>
        <w:pStyle w:val="LTAntwortRessortText"/>
        <w:spacing w:before="360"/>
      </w:pPr>
      <w:r>
        <w:t>Der dreistreifige Ausbau bei Simbach ist der südlichste und letzte dreistreifige Abschnitt der B 20 im Amtsbereich des Staatlichen Bauamts Landshut. Hier</w:t>
      </w:r>
      <w:r w:rsidR="00A306E8">
        <w:t>für werden derzeit die Unterla</w:t>
      </w:r>
      <w:r>
        <w:t>gen für das Planfeststellungsverfahren erarbeitet. Hierbei sind fachli</w:t>
      </w:r>
      <w:r w:rsidR="00A306E8">
        <w:t>che Belange</w:t>
      </w:r>
      <w:r w:rsidR="008B37AA">
        <w:t>,</w:t>
      </w:r>
      <w:r w:rsidR="00A306E8">
        <w:t xml:space="preserve"> wie bei</w:t>
      </w:r>
      <w:r>
        <w:t>spielsweise Lärm-Betroffenheiten und der Bau einer zusätzlichen Anschlussstellenrampe in einem Überschwem</w:t>
      </w:r>
      <w:r w:rsidR="00A306E8">
        <w:t>mungsgebiet</w:t>
      </w:r>
      <w:r w:rsidR="008B37AA">
        <w:t>,</w:t>
      </w:r>
      <w:r w:rsidR="00A306E8">
        <w:t xml:space="preserve"> zu berücksichtigen.</w:t>
      </w:r>
    </w:p>
    <w:p w:rsidR="00CA4048" w:rsidRPr="002212E9" w:rsidRDefault="00CA4048" w:rsidP="00356CB4">
      <w:pPr>
        <w:pStyle w:val="LTAntwortRessortText"/>
        <w:spacing w:before="360"/>
        <w:rPr>
          <w:spacing w:val="-2"/>
        </w:rPr>
      </w:pPr>
      <w:r w:rsidRPr="002212E9">
        <w:rPr>
          <w:spacing w:val="-2"/>
        </w:rPr>
        <w:t>Der Bau jedes Einzelprojekts kann erst nach der jeweiligen Bes</w:t>
      </w:r>
      <w:r w:rsidR="002212E9">
        <w:rPr>
          <w:spacing w:val="-2"/>
        </w:rPr>
        <w:t>tandskraft seines Planfeststel</w:t>
      </w:r>
      <w:r w:rsidRPr="002212E9">
        <w:rPr>
          <w:spacing w:val="-2"/>
        </w:rPr>
        <w:t>lungs</w:t>
      </w:r>
      <w:r w:rsidR="002212E9" w:rsidRPr="002212E9">
        <w:rPr>
          <w:spacing w:val="-2"/>
        </w:rPr>
        <w:softHyphen/>
      </w:r>
      <w:r w:rsidR="002212E9" w:rsidRPr="002212E9">
        <w:rPr>
          <w:spacing w:val="-2"/>
        </w:rPr>
        <w:softHyphen/>
      </w:r>
      <w:r w:rsidRPr="002212E9">
        <w:rPr>
          <w:spacing w:val="-2"/>
        </w:rPr>
        <w:t>beschlusses begonnen werden. Deshalb kann derzeit noch keine belastbare Aussage über die Baubeginne der beiden Abschnitte getroffen werden.</w:t>
      </w:r>
    </w:p>
    <w:p w:rsidR="00356CB4" w:rsidRDefault="00356CB4"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Rosi</w:t>
            </w:r>
            <w:r w:rsidRPr="00CA4048">
              <w:rPr>
                <w:b/>
              </w:rPr>
              <w:br/>
              <w:t>Steinberger</w:t>
            </w:r>
            <w:r w:rsidRPr="00CA4048">
              <w:rPr>
                <w:b/>
              </w:rPr>
              <w:br/>
            </w:r>
            <w:r w:rsidRPr="00CA4048">
              <w:t>(BÜNDNIS 90/DIE GRÜNEN)</w:t>
            </w:r>
            <w:r>
              <w:fldChar w:fldCharType="begin"/>
            </w:r>
            <w:r>
              <w:instrText xml:space="preserve"> TC </w:instrText>
            </w:r>
            <w:r w:rsidR="00C244B3">
              <w:instrText>„</w:instrText>
            </w:r>
            <w:bookmarkStart w:id="21" w:name="_Toc511895439"/>
            <w:r>
              <w:instrText>Steinberger, Rosi (BÜNDNIS 90/DIE GRÜNEN)</w:instrText>
            </w:r>
            <w:r>
              <w:br/>
              <w:instrText>Provisorischer Anschluss B 15n an A 92</w:instrText>
            </w:r>
            <w:bookmarkEnd w:id="21"/>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welche Kosten entstehen durch den Bau der provisorischen Anschlussstelle der B 15neu an die A 92 bei Essenbach, wie lange soll das Provisorium genutzt werden, wie hoch ist der dafür benötigte Flächenverbrauch?</w:t>
            </w:r>
            <w:r w:rsidR="00C244B3">
              <w:t xml:space="preserve">  </w:t>
            </w:r>
          </w:p>
          <w:p w:rsidR="00CA4048" w:rsidRDefault="00CA4048" w:rsidP="00CA4048">
            <w:pPr>
              <w:pStyle w:val="LTAnfrageText"/>
            </w:pPr>
          </w:p>
        </w:tc>
      </w:tr>
    </w:tbl>
    <w:p w:rsidR="00CA4048" w:rsidRDefault="00CA4048" w:rsidP="00356CB4">
      <w:pPr>
        <w:pStyle w:val="LTUeberschrAntwortRessort"/>
        <w:spacing w:before="960"/>
      </w:pPr>
      <w:r>
        <w:t>Antwort des Staatsministeriums für Wohnen, Bau und Verkehr</w:t>
      </w:r>
    </w:p>
    <w:p w:rsidR="00CA4048" w:rsidRDefault="00CA4048" w:rsidP="00356CB4">
      <w:pPr>
        <w:pStyle w:val="LTAntwortRessortText"/>
        <w:spacing w:before="360"/>
      </w:pPr>
      <w:r>
        <w:t>Die provisorische Anschlussstelle wird unter Heranziehung der bereits auf der A 92 erstellten Parallelfahrbahnen und der bestehenden Überführung der Kreisstraße LA 7 erstellt. Aufgrund der noch laufenden Planungen können derzeit noch keine belastbaren Aussagen zu den Kosten getroffen werden. In Bezug auf die Gesamtmaßnahme fallen für das Provisorium jedoch nur untergeordnete Kosten an.</w:t>
      </w:r>
    </w:p>
    <w:p w:rsidR="00CA4048" w:rsidRDefault="00CA4048" w:rsidP="00356CB4">
      <w:pPr>
        <w:pStyle w:val="LTAntwortRessortText"/>
        <w:spacing w:before="360"/>
      </w:pPr>
      <w:r>
        <w:t xml:space="preserve">Das Provisorium muss bis zur Fertigstellung der Grundwasserwanne und der Herstellung des plangemäßen Anschlusses der B 15neu an die A 92 genutzt werden. Die </w:t>
      </w:r>
      <w:r w:rsidR="00D705B5">
        <w:t>Staatsbauve</w:t>
      </w:r>
      <w:r>
        <w:t>rwaltung arbeitet mit Nachdruck daran, eine Lösung für die bestehenden bauvertraglichen Schwierigkeiten zu finden und damit die zeitliche Notwendigkeit des Provisoriums so kurz wie möglich zu halten.</w:t>
      </w:r>
    </w:p>
    <w:p w:rsidR="00CA4048" w:rsidRDefault="00CA4048" w:rsidP="00356CB4">
      <w:pPr>
        <w:pStyle w:val="LTAntwortRessortText"/>
        <w:spacing w:before="360"/>
      </w:pPr>
      <w:r>
        <w:t>Für das Provisorium werden über die bisher planfestgestellten Flächen hinaus vorübergehend ca. 1,1 ha in Anspruch genommen. Nach Fertigstellung der Grundwasserwanne erfolgt der Rückbau der provisorischen Anbindung mit Rekultivierung bzw. Renaturierung der hierdurch beanspruchten Flächen.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lastRenderedPageBreak/>
              <w:t>Abgeordneter</w:t>
            </w:r>
            <w:r w:rsidRPr="00CA4048">
              <w:br/>
            </w:r>
            <w:r w:rsidRPr="00CA4048">
              <w:rPr>
                <w:b/>
              </w:rPr>
              <w:t>Martin</w:t>
            </w:r>
            <w:r w:rsidRPr="00CA4048">
              <w:rPr>
                <w:b/>
              </w:rPr>
              <w:br/>
              <w:t>Stümpfig</w:t>
            </w:r>
            <w:r w:rsidRPr="00CA4048">
              <w:rPr>
                <w:b/>
              </w:rPr>
              <w:br/>
            </w:r>
            <w:r w:rsidRPr="00CA4048">
              <w:t>(BÜNDNIS 90/DIE GRÜNEN)</w:t>
            </w:r>
            <w:r>
              <w:fldChar w:fldCharType="begin"/>
            </w:r>
            <w:r>
              <w:instrText xml:space="preserve"> TC </w:instrText>
            </w:r>
            <w:r w:rsidR="00C244B3">
              <w:instrText>„</w:instrText>
            </w:r>
            <w:bookmarkStart w:id="22" w:name="_Toc511895440"/>
            <w:r>
              <w:instrText>Stümpfig, Martin (BÜNDNIS 90/DIE GRÜNEN)</w:instrText>
            </w:r>
            <w:r>
              <w:br/>
              <w:instrText>Streckenertüchtigungsinvestitionen</w:instrText>
            </w:r>
            <w:bookmarkEnd w:id="22"/>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Vor dem Hintergrund, dass die Verordnung (EG) Nr. 1370/2007 des Europäischen Parlaments und des Rates vom 23. Oktober 2007 über öffentliche Personenverkehrsdienste auf Schiene und Straße und zur Aufhebung der Verordnungen (EWG) Nr. 1191/69 und (EWG) Nr. 1107/70 des Rates öffentliche Dienstleistungsaufträge für Personenverkehrsdienste mit der Eisenbahn bis 15</w:t>
            </w:r>
            <w:r w:rsidR="00CF4049">
              <w:t> </w:t>
            </w:r>
            <w:r>
              <w:t xml:space="preserve">Jahre zulässt und Laufzeitverlängerungen erlaubt, frage ich die Staatsregierung, inwieweit Laufzeitverlängerungen über 15 bzw. 22,5 Jahre hinaus wegen der Abschreibung von Kapital in Verbindung mit außergewöhnlichen Investitionen in die Infrastruktur zulässig sind, wenn der Dienstleistungsauftrag an ein Unternehmen vergeben wird, das Eisenbahninfrastruktur nur nutzt und nicht selbst betreibt, welche Laufzeit des Verkehrsvertrags die Staatsregierung für die zu reaktivierende Strecke Dombühl </w:t>
            </w:r>
            <w:r w:rsidR="004B6EB7">
              <w:t>–</w:t>
            </w:r>
            <w:r>
              <w:t xml:space="preserve"> Dinkelsbühl anstrebt und ob diese Laufzeit ausreicht, um die notwendigen Streckenertüchtigungsinvestitionen innerhalb der Laufzeit zu refinanzieren?</w:t>
            </w:r>
          </w:p>
          <w:p w:rsidR="00CA4048" w:rsidRDefault="00CA4048" w:rsidP="00CA4048">
            <w:pPr>
              <w:pStyle w:val="LTAnfrageText"/>
            </w:pPr>
          </w:p>
        </w:tc>
      </w:tr>
    </w:tbl>
    <w:p w:rsidR="00CA4048" w:rsidRDefault="00CA4048" w:rsidP="00CA4048">
      <w:pPr>
        <w:pStyle w:val="LTUeberschrAntwortRessort"/>
      </w:pPr>
      <w:r>
        <w:t>Antwort des Staatsministeriums für Wohnen, Bau und Verkehr</w:t>
      </w:r>
    </w:p>
    <w:p w:rsidR="00CA4048" w:rsidRDefault="00CA4048" w:rsidP="004B6EB7">
      <w:pPr>
        <w:pStyle w:val="LTAntwortRessortText"/>
      </w:pPr>
      <w:r>
        <w:t>Die genannte Vorschrift setzt für eine Verlängerung von Laufzei</w:t>
      </w:r>
      <w:r w:rsidR="004B6EB7">
        <w:t>ten für öffentliche Dienstleis</w:t>
      </w:r>
      <w:r>
        <w:t>tungsaufträge für Personenverkehrsdienste mit der Eisenbahn über 15 Jahre hinaus voraus, dass bei dem beauftragten Unternehmen selbst entsprechende außergewöhnliche Investitionen in Infrastruktur, Rollmaterial oder Fahrzeuge anfallen. Die bloße Nutzung der Infrastruktur kann eine Laufzeitve</w:t>
      </w:r>
      <w:r w:rsidR="004B6EB7">
        <w:t>rlängerung nicht rechtfertigen.</w:t>
      </w:r>
    </w:p>
    <w:p w:rsidR="00CA4048" w:rsidRDefault="000D67EF" w:rsidP="00CA4048">
      <w:pPr>
        <w:pStyle w:val="LTAntwortRessortText"/>
      </w:pPr>
      <w:r>
        <w:t>Aufgrund des besonderen Umstand</w:t>
      </w:r>
      <w:r w:rsidR="00CA4048">
        <w:t xml:space="preserve">s, dass die Vergabe der Verkehrsleistung auf der zu reaktivierenden Strecke Dombühl </w:t>
      </w:r>
      <w:r w:rsidR="004B6EB7">
        <w:t>–</w:t>
      </w:r>
      <w:r w:rsidR="00CA4048">
        <w:t xml:space="preserve"> Dinkelsbühl unabhängig vo</w:t>
      </w:r>
      <w:r w:rsidR="004B6EB7">
        <w:t>n bestehenden Verkehrsdurchfüh</w:t>
      </w:r>
      <w:r w:rsidR="00CA4048">
        <w:t>rungsverträgen in anderen Netzen erfolgen soll, wäre die St</w:t>
      </w:r>
      <w:r w:rsidR="004B6EB7">
        <w:t>aatsregierung ausnahmsweise be</w:t>
      </w:r>
      <w:r w:rsidR="00CA4048">
        <w:t xml:space="preserve">reit, entgegen der sonst üblichen Praxis </w:t>
      </w:r>
      <w:r w:rsidR="008B37AA">
        <w:t>von</w:t>
      </w:r>
      <w:r w:rsidR="00CA4048">
        <w:t xml:space="preserve"> 12 Jahren Vertrag</w:t>
      </w:r>
      <w:r w:rsidR="004B6EB7">
        <w:t>slaufzeit bei Verkehrsdurchfüh</w:t>
      </w:r>
      <w:r w:rsidR="00CA4048">
        <w:t>rungsverträgen eine 15-jährige Laufzeit zu vereinbaren.</w:t>
      </w:r>
    </w:p>
    <w:p w:rsidR="00CA4048" w:rsidRDefault="00CA4048" w:rsidP="00CA4048">
      <w:pPr>
        <w:pStyle w:val="LTAntwortRessortText"/>
      </w:pPr>
      <w:r>
        <w:t>Ein Konzept des Schieneninfrastrukturbetreibers, das eine Refi</w:t>
      </w:r>
      <w:r w:rsidR="004B6EB7">
        <w:t>nanzierung der Investitionskos</w:t>
      </w:r>
      <w:r>
        <w:t>ten für Infrastruktur unter diesen Rahmenbedingungen nachvollziehbar darstellt, liegt der Staatsregierung bisher nicht vor.</w:t>
      </w:r>
    </w:p>
    <w:p w:rsidR="002F699C" w:rsidRDefault="002F699C">
      <w:pPr>
        <w:rPr>
          <w:rFonts w:cs="Arial"/>
          <w:b/>
          <w:sz w:val="22"/>
          <w:szCs w:val="22"/>
        </w:rPr>
      </w:pPr>
      <w:r>
        <w:br w:type="page"/>
      </w:r>
    </w:p>
    <w:p w:rsidR="00CA4048" w:rsidRDefault="00CA4048" w:rsidP="00CA4048">
      <w:pPr>
        <w:pStyle w:val="LTUeberschrRessort"/>
      </w:pPr>
      <w:r>
        <w:lastRenderedPageBreak/>
        <w:t>Geschäftsbereich des Staatsministeriums für Unterricht und Kultus</w:t>
      </w:r>
      <w:r>
        <w:fldChar w:fldCharType="begin"/>
      </w:r>
      <w:r>
        <w:instrText xml:space="preserve"> TC </w:instrText>
      </w:r>
      <w:r w:rsidR="00C244B3">
        <w:instrText>„</w:instrText>
      </w:r>
      <w:bookmarkStart w:id="23" w:name="_Toc511895441"/>
      <w:r>
        <w:instrText>Geschäftsbereich des Staatsministeriums für Unterricht und Kultus</w:instrText>
      </w:r>
      <w:bookmarkEnd w:id="23"/>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Dr. Hans Jürgen</w:t>
            </w:r>
            <w:r w:rsidRPr="00CA4048">
              <w:rPr>
                <w:b/>
              </w:rPr>
              <w:br/>
              <w:t>Fahn</w:t>
            </w:r>
            <w:r w:rsidRPr="00CA4048">
              <w:rPr>
                <w:b/>
              </w:rPr>
              <w:br/>
            </w:r>
            <w:r w:rsidRPr="00CA4048">
              <w:t>(FREIE WÄHLER)</w:t>
            </w:r>
            <w:r>
              <w:fldChar w:fldCharType="begin"/>
            </w:r>
            <w:r>
              <w:instrText xml:space="preserve"> TC </w:instrText>
            </w:r>
            <w:r w:rsidR="00C244B3">
              <w:instrText>„</w:instrText>
            </w:r>
            <w:bookmarkStart w:id="24" w:name="_Toc511895442"/>
            <w:r>
              <w:instrText>Dr. Fahn, Hans Jürgen (FREIE WÄHLER)</w:instrText>
            </w:r>
            <w:r>
              <w:br/>
              <w:instrText>Bildungszentren in Bayern</w:instrText>
            </w:r>
            <w:bookmarkEnd w:id="24"/>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welche Bildungscampus bzw. -zentren (bzw. Bildungs- und Generationenzentren), beispielsweise in der Art wie der Bildungs</w:t>
            </w:r>
            <w:r w:rsidR="00E27646">
              <w:softHyphen/>
            </w:r>
            <w:r>
              <w:t xml:space="preserve">campus Westpark in München, der von dem früheren Staatssekretär für Bildung und Kultus, Wissenschaft und Kunst und jetzigen Staatsminister für Digitales, Medien und Europa in der Staatskanzlei, Georg Eisenreich, in der Vergangenheit als Zukunftsprojekt mit Vorbildcharakter bezeichnet wurde, gibt es in Bayern, welche spezifischen staatlichen Förderungen gibt es zur Entwicklung und zum Aufbau von Bildungscampus (bzw. Bildungs- und Generationenzentren), auch für solche, die nicht ausschließlich über Bildungseinrichtungen verfügen sollen, deren Finanzierung über das Schulfinanzierungsgesetz abgedeckt werden kann </w:t>
            </w:r>
            <w:r w:rsidR="00E27646">
              <w:t>–</w:t>
            </w:r>
            <w:r>
              <w:t xml:space="preserve"> beispielsweise Bibliotheken, Sportanlagen und öffentliche Begegnungsräume </w:t>
            </w:r>
            <w:r w:rsidR="00E27646">
              <w:t>–</w:t>
            </w:r>
            <w:r>
              <w:t xml:space="preserve"> und plant die Staatsregierung, den Ausbau von Bildungscampus bzw. -zentren (bzw. Bildungs- und Generationenzentren) in Bayern, die formale, non-formale und informelle Bildungsangebote über die ganzen Lebensweg von der Kinderkrippe über Kindergärten und Schulen bis hin zur Erwachsenenbildung an einem Ort vereinen könnten und aus denen sich Synergieeffekte, beispielsweise durch die Vernetzung von Bildungsangeboten oder aber auch Betreuungsmöglichkeiten, künftig durch staatliche Mittel und Maßnahmen zu forcieren?</w:t>
            </w:r>
          </w:p>
          <w:p w:rsidR="00CA4048" w:rsidRDefault="00CA4048" w:rsidP="00CA4048">
            <w:pPr>
              <w:pStyle w:val="LTAnfrageText"/>
            </w:pPr>
          </w:p>
        </w:tc>
      </w:tr>
    </w:tbl>
    <w:p w:rsidR="00CA4048" w:rsidRDefault="00CA4048" w:rsidP="00CA4048">
      <w:pPr>
        <w:pStyle w:val="LTUeberschrAntwortRessort"/>
      </w:pPr>
      <w:r>
        <w:t>Antwort des Staatsministeriums für Unterricht und Kultus</w:t>
      </w:r>
    </w:p>
    <w:p w:rsidR="00CA4048" w:rsidRDefault="00CA4048" w:rsidP="00356CB4">
      <w:pPr>
        <w:pStyle w:val="LTAntwortRessortText"/>
        <w:spacing w:before="360"/>
      </w:pPr>
      <w:r>
        <w:t>Bildungszentren können im Einzelfall ein sinnvoller Weg sein, um unterschiedliche Raumbedarfe im Bereich der schulischen und außerschulischen Bildung zu bündeln sowie um Unterstützungsinstitutionen zu ergänze</w:t>
      </w:r>
      <w:r w:rsidR="00E27646">
        <w:t>n. Auf diese Weise können Syner</w:t>
      </w:r>
      <w:r>
        <w:t>gieeffekte erzielt werden, indem z. B. Schülerinnen und Schüler im schulischen Ganztagsangebot am Nachmittag die entsprech</w:t>
      </w:r>
      <w:r w:rsidR="00E27646">
        <w:t>enden Einrichtungen nutzen (Bei</w:t>
      </w:r>
      <w:r>
        <w:t>spiel: Musikschule im Schulgebäude). Überdies eröffnen Bildungscampusmodelle die Chance für Mehrfachnutzungen und können damit in ho</w:t>
      </w:r>
      <w:r w:rsidR="00E27646">
        <w:t>chverdichteten Ballungsräu</w:t>
      </w:r>
      <w:r>
        <w:t>men eine Möglichkeit sein, hinreichend Räume für unterschiedliche Bildungszwecke bereitzustellen. Eine Realisierung dürfte im Regelfall nur bei großflächigen Neub</w:t>
      </w:r>
      <w:r w:rsidR="00E27646">
        <w:t>au- und Sanierungsmaßnahmen infrage kommen, so</w:t>
      </w:r>
      <w:r>
        <w:t>dass ein Bildungscampus keine generelle Lösung und auch kein allgemein verbind</w:t>
      </w:r>
      <w:r w:rsidR="00E27646">
        <w:t>liches Zukunftsmodell für Schul</w:t>
      </w:r>
      <w:r>
        <w:t>standor</w:t>
      </w:r>
      <w:r w:rsidR="00E27646">
        <w:t>te in Ballungsräumen darstellt.</w:t>
      </w:r>
    </w:p>
    <w:p w:rsidR="00CA4048" w:rsidRDefault="00CA4048" w:rsidP="00356CB4">
      <w:pPr>
        <w:pStyle w:val="LTAntwortRessortText"/>
        <w:spacing w:before="360"/>
      </w:pPr>
      <w:r>
        <w:t xml:space="preserve">Die Staatsregierung hat keinen systematischen Überblick über Bauwerke, die als </w:t>
      </w:r>
      <w:r w:rsidR="00C244B3">
        <w:t>„</w:t>
      </w:r>
      <w:r>
        <w:t>Bildungscampus</w:t>
      </w:r>
      <w:r w:rsidR="00C244B3">
        <w:t>“</w:t>
      </w:r>
      <w:r>
        <w:t xml:space="preserve"> bezeichnet werden können. Bildungscampus oder -zentren sind nur eine Möglichkeit, zeitgemäße Räumlichkeiten für schulische und außerschulische Bildungsinstitutionen bereitzustellen. Die Unterbringung in zwar nahe gelegenen, aber getrennten Bauten kann ebenso sinnvoll sein und bietet überdies den Vorteil, dass die identitätsstiftende Wirkung eines </w:t>
      </w:r>
      <w:r w:rsidR="00C244B3">
        <w:t>„</w:t>
      </w:r>
      <w:r>
        <w:t>eigenen</w:t>
      </w:r>
      <w:r w:rsidR="00C244B3">
        <w:t>“</w:t>
      </w:r>
      <w:r w:rsidR="00E27646">
        <w:t xml:space="preserve"> Gebäudes erhalten bleibt. Kon</w:t>
      </w:r>
      <w:r>
        <w:t>zepte dazu können vor Ort entwickelt werden. Die Erfa</w:t>
      </w:r>
      <w:r w:rsidR="00E27646">
        <w:t>hrung mit Mehrfachnutzungen (z. </w:t>
      </w:r>
      <w:r>
        <w:t>B. Kultur</w:t>
      </w:r>
      <w:r w:rsidR="00E27646">
        <w:softHyphen/>
      </w:r>
      <w:r>
        <w:t>zentren, Mehrgenerationenhäuser) zeigt vielfach, dass die Bündelung unter einem Dach neben den genannten Vorteilen auch Nachteile mit sich bringen ka</w:t>
      </w:r>
      <w:r w:rsidR="00E27646">
        <w:t>nn, so z. B. das Empfinden aufs</w:t>
      </w:r>
      <w:r>
        <w:t xml:space="preserve">eiten der Bildungsträger, in einem anonymen Konglomerat unterschiedlicher Nutzungen unterzugehen. </w:t>
      </w:r>
    </w:p>
    <w:p w:rsidR="00CA4048" w:rsidRDefault="00E27646" w:rsidP="00356CB4">
      <w:pPr>
        <w:pStyle w:val="LTAntwortRessortText"/>
        <w:spacing w:before="360"/>
      </w:pPr>
      <w:r>
        <w:t>I</w:t>
      </w:r>
      <w:r w:rsidR="00CA4048">
        <w:t>n der Gesamtbetrachtung gibt es daher keine Notwen</w:t>
      </w:r>
      <w:r w:rsidR="0014545A">
        <w:t>digkeit, die Errichtung von Bil</w:t>
      </w:r>
      <w:r w:rsidR="00CA4048">
        <w:t>dungs</w:t>
      </w:r>
      <w:r>
        <w:softHyphen/>
      </w:r>
      <w:r w:rsidR="00CA4048">
        <w:t>cam</w:t>
      </w:r>
      <w:r>
        <w:softHyphen/>
      </w:r>
      <w:r w:rsidR="00CA4048">
        <w:t>pus</w:t>
      </w:r>
      <w:r>
        <w:softHyphen/>
      </w:r>
      <w:r w:rsidR="00CA4048">
        <w:t xml:space="preserve">modellen durch ein entsprechendes Förderprogramm zu forcieren und damit diese Form des </w:t>
      </w:r>
      <w:r w:rsidR="00CA4048">
        <w:lastRenderedPageBreak/>
        <w:t>Schulbaus gegenüber anderen Ansätzen zu privilegieren. Ein gesondertes Förderinstrument dafür würde einseit</w:t>
      </w:r>
      <w:r>
        <w:t>ig nur den städtischen Ballungs</w:t>
      </w:r>
      <w:r w:rsidR="00CA4048">
        <w:t xml:space="preserve">räumen helfen. Vielmehr muss stets im Einzelfall, ausgehend von einer Analyse der örtlichen Bildungslandschaft, der sozialen Infrastruktur sowie der städtebaulichen Ziele, entschieden werden, ob und ggf. welche Raumbedarfe an einem Ort gebündelt werden sollen. </w:t>
      </w:r>
    </w:p>
    <w:p w:rsidR="00CA4048" w:rsidRDefault="00CA4048" w:rsidP="00356CB4">
      <w:pPr>
        <w:pStyle w:val="LTAntwortRessortText"/>
        <w:spacing w:before="360"/>
      </w:pPr>
      <w:r>
        <w:t>Der Bau von öffentlichen Schulen sowie Fragen der</w:t>
      </w:r>
      <w:r w:rsidR="00E27646">
        <w:t xml:space="preserve"> städtebaulichen Entwicklung ob</w:t>
      </w:r>
      <w:r>
        <w:t>liegen den jeweiligen Kommunen. Bei der Realisierung kommen dem Grunde nach diverse bestehende Förderprogramme, wie z. B. Städtebauförderung bzw. etablierte staatliche U</w:t>
      </w:r>
      <w:r w:rsidR="00E27646">
        <w:t>nterstützungsleistungen, wie z. </w:t>
      </w:r>
      <w:r>
        <w:t>B</w:t>
      </w:r>
      <w:r w:rsidR="00E27646">
        <w:t>. Zuweisungen zu kommunalen Bau</w:t>
      </w:r>
      <w:r>
        <w:t>maßnahmen nach dem Finanzausgleichsgesetz, in</w:t>
      </w:r>
      <w:r w:rsidR="00E27646">
        <w:t xml:space="preserve"> Betracht. Welche Förderung kon</w:t>
      </w:r>
      <w:r>
        <w:t xml:space="preserve">kret möglich ist, hängt aber stets vom Einzelfall, den geplanten Maßnahmen sowie den Zielsetzungen der kommunalen Akteure ab. Gerade in den großen Städten und Ballungsräumen, die </w:t>
      </w:r>
      <w:r w:rsidR="009E1D9E">
        <w:t>die Anfrage zum Plenum</w:t>
      </w:r>
      <w:r>
        <w:t xml:space="preserve"> in den Blick ni</w:t>
      </w:r>
      <w:r w:rsidR="00E27646">
        <w:t>mmt, sind den kommunalen Verwal</w:t>
      </w:r>
      <w:r>
        <w:t>tungen aufgrund der Vielzahl anfallender (Ba</w:t>
      </w:r>
      <w:r w:rsidR="00E27646">
        <w:t>u-)Maßnahmen denkbare Fördermög</w:t>
      </w:r>
      <w:r>
        <w:t>lichkeiten sowie Ansprechpartner und Beratungsmögli</w:t>
      </w:r>
      <w:r w:rsidR="00E27646">
        <w:t>chkeiten, z. B. bei der jeweili</w:t>
      </w:r>
      <w:r>
        <w:t>gen Regierung, i.</w:t>
      </w:r>
      <w:r w:rsidR="00E27646">
        <w:t> </w:t>
      </w:r>
      <w:r>
        <w:t>d.</w:t>
      </w:r>
      <w:r w:rsidR="00E27646">
        <w:t> </w:t>
      </w:r>
      <w:r>
        <w:t>R. bekannt, so dass auch unter d</w:t>
      </w:r>
      <w:r w:rsidR="00E27646">
        <w:t>iesem Gesichtspunkt für die Ein</w:t>
      </w:r>
      <w:r>
        <w:t>richtung etwaiger neuer Förderprogramme keine Veranlassung gesehen wird.</w:t>
      </w:r>
    </w:p>
    <w:p w:rsidR="00356CB4" w:rsidRDefault="00356CB4" w:rsidP="00356CB4">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Thomas</w:t>
            </w:r>
            <w:r w:rsidRPr="00CA4048">
              <w:rPr>
                <w:b/>
              </w:rPr>
              <w:br/>
              <w:t>Gehring</w:t>
            </w:r>
            <w:r w:rsidRPr="00CA4048">
              <w:rPr>
                <w:b/>
              </w:rPr>
              <w:br/>
            </w:r>
            <w:r w:rsidRPr="00CA4048">
              <w:t>(BÜNDNIS 90/DIE GRÜNEN)</w:t>
            </w:r>
            <w:r>
              <w:fldChar w:fldCharType="begin"/>
            </w:r>
            <w:r>
              <w:instrText xml:space="preserve"> TC </w:instrText>
            </w:r>
            <w:r w:rsidR="00C244B3">
              <w:instrText>„</w:instrText>
            </w:r>
            <w:bookmarkStart w:id="25" w:name="_Toc511895443"/>
            <w:r>
              <w:instrText>Gehring, Thomas (BÜNDNIS 90/DIE GRÜNEN)</w:instrText>
            </w:r>
            <w:r>
              <w:br/>
              <w:instrText>Räumliche Mindestvorgaben für Grundschulen</w:instrText>
            </w:r>
            <w:bookmarkEnd w:id="25"/>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welche Räumlichkeiten (Art und Mindestgröße) sind an einer Grundschule mindestens und zwingend vorzuhalten, um den </w:t>
            </w:r>
            <w:r w:rsidR="00E27646">
              <w:t>–</w:t>
            </w:r>
            <w:r>
              <w:t xml:space="preserve"> laut Gesetz (Art. 4 Bayerisches Gesetz über das Erziehungs- und Unterrichtswesen </w:t>
            </w:r>
            <w:r w:rsidR="00E27646">
              <w:t>–</w:t>
            </w:r>
            <w:r>
              <w:t xml:space="preserve"> BayEUG und §§ 2, 3, 4 der Schulbauverordnung in Verbindung mit Anlage 1) sogenannten </w:t>
            </w:r>
            <w:r w:rsidR="00E27646">
              <w:t>–</w:t>
            </w:r>
            <w:r>
              <w:t xml:space="preserve"> einwandfreien Schulbetrieb zu gewährleisten, auf welcher rechtlichen Grundlage fußen solche zwingenden Mindestzahlen und gibt es diesbezüglich ab 2018 neue Vorgaben, bzw. wird es diese geben?</w:t>
            </w:r>
          </w:p>
          <w:p w:rsidR="00CA4048" w:rsidRDefault="00CA4048" w:rsidP="00CA4048">
            <w:pPr>
              <w:pStyle w:val="LTAnfrageText"/>
            </w:pPr>
          </w:p>
        </w:tc>
      </w:tr>
    </w:tbl>
    <w:p w:rsidR="00CA4048" w:rsidRDefault="00CA4048" w:rsidP="00CA4048">
      <w:pPr>
        <w:pStyle w:val="LTUeberschrAntwortRessort"/>
      </w:pPr>
      <w:r>
        <w:t>Antwort des Staatsministeriums für Unterricht und Kultus</w:t>
      </w:r>
    </w:p>
    <w:p w:rsidR="00CA4048" w:rsidRDefault="00CA4048" w:rsidP="00CA4048">
      <w:pPr>
        <w:pStyle w:val="LTAntwortRessortText"/>
      </w:pPr>
      <w:r>
        <w:t xml:space="preserve">Aus Anlage 1 zur Schulbauverordnung </w:t>
      </w:r>
      <w:r w:rsidR="00E27646">
        <w:t xml:space="preserve">(SchulbauV) </w:t>
      </w:r>
      <w:r>
        <w:t xml:space="preserve">geht hervor, welche Räumlichkeiten für Grundschulen zweckmäßig erscheinen, für deren Bau und Unterhalt nach dem Bayerischen Schulfinanzierungsgesetz </w:t>
      </w:r>
      <w:r w:rsidR="00E27646">
        <w:t xml:space="preserve">(BaySchFG) </w:t>
      </w:r>
      <w:r>
        <w:t xml:space="preserve">die Kommunen verantwortlich sind. In § 2 SchulbauV finden sich Angaben zur Größe der Räumlichkeiten, insbesondere der Klassenzimmer. </w:t>
      </w:r>
    </w:p>
    <w:p w:rsidR="00CA4048" w:rsidRDefault="00E27646" w:rsidP="00CA4048">
      <w:pPr>
        <w:pStyle w:val="LTAntwortRessortText"/>
      </w:pPr>
      <w:r>
        <w:t xml:space="preserve">Der </w:t>
      </w:r>
      <w:r w:rsidR="00CA4048">
        <w:t xml:space="preserve">Freistaat </w:t>
      </w:r>
      <w:r>
        <w:t xml:space="preserve">Bayern </w:t>
      </w:r>
      <w:r w:rsidR="00CA4048">
        <w:t xml:space="preserve">und </w:t>
      </w:r>
      <w:r>
        <w:t xml:space="preserve">die </w:t>
      </w:r>
      <w:r w:rsidR="00CA4048">
        <w:t>kommunale</w:t>
      </w:r>
      <w:r>
        <w:t>n</w:t>
      </w:r>
      <w:r w:rsidR="00CA4048">
        <w:t xml:space="preserve"> Spitzenverbände haben in einer gemeinsamen Arbeitsgruppe in den Jahren 2015 bis 2017 Vollzugshinweise zur Schulbauverordnung erarbeitet, die es ermöglichen, im Hinblick auf neue Entwicklungen im Schulwesen (Ganztag, Inklusion, moderne Unterrichtsformen usw.) zusätzliche Flächen als bedarfsnotwendig anzuerkennen. Auf die Festlegung starrer Mindeststandards wurde hierbei bewusst verzichtet. Vielmehr sehen die Vollzugshinweise Flächenbandbreiten vor, die es ermöglichen, die unterschiedlichen Gegebenheiten an der jeweiligen Schule bei der Festlegung der bedarfsnotwendigen Flächen zu berücksichtigen. So können beispielsweise unterschiedliche pädagogische Schwerpunkte, Ganztagskonzepte, inklusive Konzepte, Schulentwicklungsprogramme, Schulprofile, das sozialräumliche Umfeld, die Lage der Schule in großstädtischen oder ländlichen Räumen und zahlreiche weitere Faktoren zusätzlichen Raumbedarf begründen.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lastRenderedPageBreak/>
              <w:t>Abgeordnete</w:t>
            </w:r>
            <w:r w:rsidRPr="00CA4048">
              <w:br/>
            </w:r>
            <w:r w:rsidRPr="00CA4048">
              <w:rPr>
                <w:b/>
              </w:rPr>
              <w:t>Christine</w:t>
            </w:r>
            <w:r w:rsidRPr="00CA4048">
              <w:rPr>
                <w:b/>
              </w:rPr>
              <w:br/>
              <w:t>Kamm</w:t>
            </w:r>
            <w:r w:rsidRPr="00CA4048">
              <w:rPr>
                <w:b/>
              </w:rPr>
              <w:br/>
            </w:r>
            <w:r w:rsidRPr="00CA4048">
              <w:t>(BÜNDNIS 90/DIE GRÜNEN)</w:t>
            </w:r>
            <w:r>
              <w:fldChar w:fldCharType="begin"/>
            </w:r>
            <w:r>
              <w:instrText xml:space="preserve"> TC </w:instrText>
            </w:r>
            <w:r w:rsidR="00C244B3">
              <w:instrText>„</w:instrText>
            </w:r>
            <w:bookmarkStart w:id="26" w:name="_Toc511895444"/>
            <w:r>
              <w:instrText>Kamm, Christine (BÜNDNIS 90/DIE GRÜNEN)</w:instrText>
            </w:r>
            <w:r>
              <w:br/>
              <w:instrText>Beschulung von Kindern und Jugendlichen in den bayerischen Transitzentren und der Aufnahmeeinrichtung Oberfranken</w:instrText>
            </w:r>
            <w:bookmarkEnd w:id="26"/>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wie genau werden Kinder und Jugendliche in den bayerischen Transitzentren und der Aufnahmeeinrichtung Oberfranken (AEO) beschult (bitte nach Lehrpläne und Stundenpläne, Zahl der pädagogische und nichtpädagogische Personals in den einzelnen Einrichtungen aufgliedern), hat die Staatregierung nach der stattgegebenen Klage </w:t>
            </w:r>
            <w:r w:rsidR="009E1D9E">
              <w:t>vor dem</w:t>
            </w:r>
            <w:r>
              <w:t xml:space="preserve"> Verw</w:t>
            </w:r>
            <w:r w:rsidR="009E1D9E">
              <w:t>altungsgericht</w:t>
            </w:r>
            <w:r>
              <w:t xml:space="preserve"> </w:t>
            </w:r>
            <w:r w:rsidR="009E1D9E">
              <w:t xml:space="preserve">(VG) </w:t>
            </w:r>
            <w:r>
              <w:t>München vom 08.01.2018 ein Konzept entworfen und an die zuständ</w:t>
            </w:r>
            <w:r w:rsidR="009E1D9E">
              <w:t>igen Behörden herausgegeben, wo</w:t>
            </w:r>
            <w:r>
              <w:t>nach die Beschulung von Kindern und Jugendlichen, die in den Transitzentren und in der AEO leben, auch außerhalb der Transitzentren und der AEO stattfinden kann und wie viele Kinder und Jugendliche (begleitet und unbegleitet) leben in den Transitzentren und der AEO (bitte folgende Staffelung vornehmen: bis 3 Jahre, 3 bis 6 Jahre, 6 bis 10 Jahre, 10 bis 16 Jahre und 16 bis 21 Jahre)?</w:t>
            </w:r>
          </w:p>
          <w:p w:rsidR="00CA4048" w:rsidRDefault="00CA4048" w:rsidP="00CA4048">
            <w:pPr>
              <w:pStyle w:val="LTAnfrageText"/>
            </w:pPr>
          </w:p>
        </w:tc>
      </w:tr>
    </w:tbl>
    <w:p w:rsidR="00CA4048" w:rsidRDefault="00CA4048" w:rsidP="00CA4048">
      <w:pPr>
        <w:pStyle w:val="LTUeberschrAntwortRessort"/>
      </w:pPr>
      <w:r>
        <w:t>Antwort des Staatsministeriums für Unterricht und Kultus</w:t>
      </w:r>
    </w:p>
    <w:p w:rsidR="00CA4048" w:rsidRDefault="00CA4048" w:rsidP="00CA4048">
      <w:pPr>
        <w:pStyle w:val="LTAntwortRessortText"/>
      </w:pPr>
      <w:r>
        <w:t xml:space="preserve">In den Transitzentren bzw. der Aufnahmeeinrichtung </w:t>
      </w:r>
      <w:r w:rsidR="00B02816">
        <w:t>(AEO) Oberfranken</w:t>
      </w:r>
      <w:r>
        <w:t xml:space="preserve"> sind derzeit für die vollzeitschulpflichtigen Kinder und Jugendli</w:t>
      </w:r>
      <w:r w:rsidR="00B02816">
        <w:t>chen Übergangsklassen eingerich</w:t>
      </w:r>
      <w:r>
        <w:t>tet. Für die Berufsschulpflichtigen sind Sprachintensivklassen eingerichtet. Sowohl die Übergangs- als auch die Sprachintensivklassen sind ausgelagerte Klassen von nahegelegenen staatlichen Grund-, Mittel- oder beruflichen Schulen.</w:t>
      </w:r>
    </w:p>
    <w:p w:rsidR="00CA4048" w:rsidRDefault="00CA4048" w:rsidP="00CA4048">
      <w:pPr>
        <w:pStyle w:val="LTAntwortRessortText"/>
      </w:pPr>
      <w:r>
        <w:t>Grundlage für die Übergangsklassen im Bereich der Grund- und Mittelschulen sind die Stundentafeln für die Übergangsklassen gemäß Schulordnungen für die Grund- bzw. Mittelschulen sowie der Lehrplan Deutsch als Z</w:t>
      </w:r>
      <w:r w:rsidR="00B02816">
        <w:t>weitsprache. Die weiteren Inhal</w:t>
      </w:r>
      <w:r>
        <w:t>te orientieren sich am Lehrplan der jeweilig</w:t>
      </w:r>
      <w:r w:rsidR="00B02816">
        <w:t xml:space="preserve">en Jahrgangs- bzw. Altersstufen. </w:t>
      </w:r>
      <w:r>
        <w:t>Grundlage für die Sprachintensivklassen ist der Lehrplan für die Berufsintegrations- und Sprachintensivklassen. Stundenpläne einzelner Klassen können aufgrund der Kurzfristigkeit der Anfrage nicht beigelegt werden.</w:t>
      </w:r>
    </w:p>
    <w:p w:rsidR="00CA4048" w:rsidRDefault="00CA4048" w:rsidP="00B02816">
      <w:pPr>
        <w:pStyle w:val="LTAntwortRessortText"/>
      </w:pPr>
      <w:r>
        <w:t>Die Anzahl der in der jeweiligen Einrichtung eingesetz</w:t>
      </w:r>
      <w:r w:rsidR="00B02816">
        <w:t>ten Lehrkräfte (staatliche Lehr</w:t>
      </w:r>
      <w:r>
        <w:t>kräfte der jeweiligen Grund-, Mittel- oder beruflichen Schule) sowie des Personals der externen Kooperationspartner bei den Sprachin</w:t>
      </w:r>
      <w:r w:rsidR="00B02816">
        <w:t>tensivklassen können der folgen</w:t>
      </w:r>
      <w:r>
        <w:t>den Tabelle entn</w:t>
      </w:r>
      <w:r w:rsidR="00B02816">
        <w:t>ommen werden (Stand März 2018):</w:t>
      </w:r>
    </w:p>
    <w:p w:rsidR="00B02816" w:rsidRDefault="00B02816" w:rsidP="00B02816">
      <w:pPr>
        <w:pStyle w:val="LTAntwortRessortText"/>
      </w:pPr>
    </w:p>
    <w:tbl>
      <w:tblPr>
        <w:tblW w:w="0" w:type="auto"/>
        <w:tblInd w:w="534" w:type="dxa"/>
        <w:tblCellMar>
          <w:left w:w="0" w:type="dxa"/>
          <w:right w:w="0" w:type="dxa"/>
        </w:tblCellMar>
        <w:tblLook w:val="04A0" w:firstRow="1" w:lastRow="0" w:firstColumn="1" w:lastColumn="0" w:noHBand="0" w:noVBand="1"/>
      </w:tblPr>
      <w:tblGrid>
        <w:gridCol w:w="1871"/>
        <w:gridCol w:w="1266"/>
        <w:gridCol w:w="1500"/>
        <w:gridCol w:w="1543"/>
        <w:gridCol w:w="1378"/>
      </w:tblGrid>
      <w:tr w:rsidR="00B02816" w:rsidRPr="00B02816" w:rsidTr="00B02816">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816" w:rsidRPr="00B02816" w:rsidRDefault="00B02816" w:rsidP="0033341B">
            <w:pPr>
              <w:spacing w:line="360" w:lineRule="auto"/>
              <w:rPr>
                <w:rFonts w:eastAsia="Calibri"/>
                <w:sz w:val="18"/>
                <w:szCs w:val="18"/>
                <w:lang w:eastAsia="en-US"/>
              </w:rPr>
            </w:pP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rPr>
                <w:rFonts w:eastAsia="Calibri"/>
                <w:b/>
                <w:sz w:val="18"/>
                <w:szCs w:val="18"/>
                <w:lang w:eastAsia="en-US"/>
              </w:rPr>
            </w:pPr>
            <w:r w:rsidRPr="00B02816">
              <w:rPr>
                <w:b/>
                <w:sz w:val="18"/>
                <w:szCs w:val="18"/>
              </w:rPr>
              <w:t>Bamberg</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rPr>
                <w:rFonts w:eastAsia="Calibri"/>
                <w:b/>
                <w:sz w:val="18"/>
                <w:szCs w:val="18"/>
                <w:lang w:eastAsia="en-US"/>
              </w:rPr>
            </w:pPr>
            <w:r w:rsidRPr="00B02816">
              <w:rPr>
                <w:b/>
                <w:sz w:val="18"/>
                <w:szCs w:val="18"/>
              </w:rPr>
              <w:t>Deggendorf</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rPr>
                <w:rFonts w:eastAsia="Calibri"/>
                <w:b/>
                <w:sz w:val="18"/>
                <w:szCs w:val="18"/>
                <w:lang w:eastAsia="en-US"/>
              </w:rPr>
            </w:pPr>
            <w:r w:rsidRPr="00B02816">
              <w:rPr>
                <w:b/>
                <w:sz w:val="18"/>
                <w:szCs w:val="18"/>
              </w:rPr>
              <w:t>Regensburg</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276" w:lineRule="auto"/>
              <w:rPr>
                <w:rFonts w:eastAsia="Calibri"/>
                <w:b/>
                <w:sz w:val="18"/>
                <w:szCs w:val="18"/>
                <w:lang w:eastAsia="en-US"/>
              </w:rPr>
            </w:pPr>
            <w:r w:rsidRPr="00B02816">
              <w:rPr>
                <w:b/>
                <w:sz w:val="18"/>
                <w:szCs w:val="18"/>
              </w:rPr>
              <w:t>Manching/ Ingolstadt</w:t>
            </w:r>
          </w:p>
        </w:tc>
      </w:tr>
      <w:tr w:rsidR="00B02816" w:rsidRPr="00B02816" w:rsidTr="00B02816">
        <w:trPr>
          <w:trHeight w:val="766"/>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rPr>
                <w:rFonts w:eastAsia="Calibri"/>
                <w:sz w:val="18"/>
                <w:szCs w:val="18"/>
                <w:lang w:eastAsia="en-US"/>
              </w:rPr>
            </w:pPr>
            <w:r w:rsidRPr="00B02816">
              <w:rPr>
                <w:sz w:val="18"/>
                <w:szCs w:val="18"/>
              </w:rPr>
              <w:t>Anzahl der eingesetzten</w:t>
            </w:r>
            <w:r>
              <w:rPr>
                <w:sz w:val="18"/>
                <w:szCs w:val="18"/>
              </w:rPr>
              <w:t xml:space="preserve"> </w:t>
            </w:r>
            <w:r w:rsidRPr="00B02816">
              <w:rPr>
                <w:sz w:val="18"/>
                <w:szCs w:val="18"/>
              </w:rPr>
              <w:t>staatlichen Lehrkräfte</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4</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5</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4</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9</w:t>
            </w:r>
          </w:p>
        </w:tc>
      </w:tr>
      <w:tr w:rsidR="00B02816" w:rsidRPr="00B02816" w:rsidTr="00B02816">
        <w:trPr>
          <w:trHeight w:val="975"/>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rPr>
                <w:rFonts w:eastAsia="Calibri"/>
                <w:sz w:val="18"/>
                <w:szCs w:val="18"/>
                <w:lang w:eastAsia="en-US"/>
              </w:rPr>
            </w:pPr>
            <w:r w:rsidRPr="00B02816">
              <w:rPr>
                <w:sz w:val="18"/>
                <w:szCs w:val="18"/>
              </w:rPr>
              <w:t>Anzahl des Personals des externen Kooperations-partners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4</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5</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2</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B02816" w:rsidRDefault="00B02816" w:rsidP="00B02816">
            <w:pPr>
              <w:spacing w:line="360" w:lineRule="auto"/>
              <w:jc w:val="center"/>
              <w:rPr>
                <w:rFonts w:eastAsia="Calibri"/>
                <w:sz w:val="18"/>
                <w:szCs w:val="18"/>
                <w:lang w:eastAsia="en-US"/>
              </w:rPr>
            </w:pPr>
            <w:r w:rsidRPr="00B02816">
              <w:rPr>
                <w:sz w:val="18"/>
                <w:szCs w:val="18"/>
              </w:rPr>
              <w:t>2</w:t>
            </w:r>
          </w:p>
        </w:tc>
      </w:tr>
    </w:tbl>
    <w:p w:rsidR="00CA4048" w:rsidRDefault="00CA4048" w:rsidP="00CA4048">
      <w:pPr>
        <w:pStyle w:val="LTAntwortRessortText"/>
      </w:pPr>
      <w:r>
        <w:t>Im Transitzentrum Ingolstadt/Manching ist zudem für die Übergangsklassen eine sog. Drittkraft zur weiteren Unterstützung angestellt.</w:t>
      </w:r>
      <w:r w:rsidR="00B02816">
        <w:t xml:space="preserve"> </w:t>
      </w:r>
      <w:r>
        <w:t>Verwaltungstätigkeiten werden durch die Verwaltungsangestellten der jeweiligen Sprengelschule übernommen.</w:t>
      </w:r>
    </w:p>
    <w:p w:rsidR="00CA4048" w:rsidRDefault="00CA4048" w:rsidP="00CA4048">
      <w:pPr>
        <w:pStyle w:val="LTAntwortRessortText"/>
      </w:pPr>
      <w:r>
        <w:lastRenderedPageBreak/>
        <w:t xml:space="preserve">Das </w:t>
      </w:r>
      <w:r w:rsidR="00B02816">
        <w:t xml:space="preserve">Staatsministerium für Unterricht und Kultus </w:t>
      </w:r>
      <w:r>
        <w:t>wertet die VG-Entscheidungen aus, anal</w:t>
      </w:r>
      <w:r w:rsidR="00B02816">
        <w:t>ysiert unter Beteiligung der je</w:t>
      </w:r>
      <w:r>
        <w:t>weiligen Regierungen die Sachlage vor Ort und prüft verschiedene Optionen. Konkret geht es dabei auch um die Frage, ob und wie viele andere Schülerinnen und Schüler die nötigen Deutschkenntnisse erworben haben, da</w:t>
      </w:r>
      <w:r w:rsidR="00B02816">
        <w:t>mit sie in einer deutschsprachi</w:t>
      </w:r>
      <w:r>
        <w:t>gen Klasse der Grund- oder Mittelschule mit Erfolg beschult werden können. Hierbei handelt es sich um fachliche Beurteilungen im Einzelfall vor Ort. Für das aktuelle Schuljahr besuchen weitere zwei Schulpflich</w:t>
      </w:r>
      <w:r w:rsidR="00B02816">
        <w:t>tige aus dem Transitzentrum Man</w:t>
      </w:r>
      <w:r>
        <w:t>ching/Ingolstadt deutschsprachige Regelklassen an</w:t>
      </w:r>
      <w:r w:rsidR="00B02816">
        <w:t xml:space="preserve"> einer Sprengelschule. Die übri</w:t>
      </w:r>
      <w:r>
        <w:t>gen Schülerinnen und Schüler, die sich in den Transitzentren bzw. der AEO</w:t>
      </w:r>
      <w:r w:rsidR="00B02816">
        <w:t xml:space="preserve"> Oberfranken befin</w:t>
      </w:r>
      <w:r>
        <w:t>den, verfügen derzeit nicht über die notwendigen D</w:t>
      </w:r>
      <w:r w:rsidR="00B02816">
        <w:t>eutschkenntnisse. Die in den ge</w:t>
      </w:r>
      <w:r>
        <w:t>nannten Einrichtungen gebildeten Übergangs- und Sprachintensivklassen sind daher derzeit der richtige Lernort für sie.</w:t>
      </w:r>
    </w:p>
    <w:p w:rsidR="00CA4048" w:rsidRDefault="00CA4048" w:rsidP="00CA4048">
      <w:pPr>
        <w:pStyle w:val="LTAntwortRessortText"/>
      </w:pPr>
      <w:r>
        <w:t>Da die Dynamik in den Aufnahmeeinrichtungen und</w:t>
      </w:r>
      <w:r w:rsidR="00B02816">
        <w:t xml:space="preserve"> insbesondere in den Transitzen</w:t>
      </w:r>
      <w:r>
        <w:t>tren bzw. der AEO hoch ist, wird diese Lage fortlauf</w:t>
      </w:r>
      <w:r w:rsidR="00B02816">
        <w:t>end durch die Schulaufsicht beo</w:t>
      </w:r>
      <w:r>
        <w:t>bachtet.</w:t>
      </w:r>
    </w:p>
    <w:p w:rsidR="00CA4048" w:rsidRDefault="00CA4048" w:rsidP="00CA4048">
      <w:pPr>
        <w:pStyle w:val="LTAntwortRessortText"/>
      </w:pPr>
      <w:r>
        <w:t>Der folgenden Tabelle kann die Zahl der Personen d</w:t>
      </w:r>
      <w:r w:rsidR="00B02816">
        <w:t>er jeweiligen Alterskohorte ent</w:t>
      </w:r>
      <w:r>
        <w:t>nommen werden, die in den Transitzentren bzw. der AEO wohnen:</w:t>
      </w:r>
    </w:p>
    <w:p w:rsidR="00CA4048" w:rsidRDefault="00CA4048" w:rsidP="00CA4048">
      <w:pPr>
        <w:pStyle w:val="LTAntwortRessortText"/>
      </w:pPr>
    </w:p>
    <w:tbl>
      <w:tblPr>
        <w:tblW w:w="9400" w:type="dxa"/>
        <w:tblInd w:w="392" w:type="dxa"/>
        <w:tblCellMar>
          <w:left w:w="0" w:type="dxa"/>
          <w:right w:w="0" w:type="dxa"/>
        </w:tblCellMar>
        <w:tblLook w:val="04A0" w:firstRow="1" w:lastRow="0" w:firstColumn="1" w:lastColumn="0" w:noHBand="0" w:noVBand="1"/>
      </w:tblPr>
      <w:tblGrid>
        <w:gridCol w:w="2235"/>
        <w:gridCol w:w="1179"/>
        <w:gridCol w:w="1178"/>
        <w:gridCol w:w="1178"/>
        <w:gridCol w:w="1178"/>
        <w:gridCol w:w="1178"/>
        <w:gridCol w:w="1274"/>
      </w:tblGrid>
      <w:tr w:rsidR="00B02816" w:rsidTr="00B02816">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816" w:rsidRPr="00FA43A4" w:rsidRDefault="00B02816" w:rsidP="0033341B">
            <w:pPr>
              <w:spacing w:after="210" w:line="276" w:lineRule="auto"/>
              <w:rPr>
                <w:rFonts w:eastAsia="Calibri"/>
                <w:sz w:val="22"/>
                <w:szCs w:val="22"/>
                <w:lang w:eastAsia="en-US"/>
              </w:rPr>
            </w:pP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816" w:rsidRPr="00FA43A4" w:rsidRDefault="00B02816" w:rsidP="0033341B">
            <w:pPr>
              <w:spacing w:after="210" w:line="276" w:lineRule="auto"/>
              <w:rPr>
                <w:rFonts w:eastAsia="Calibri"/>
                <w:sz w:val="22"/>
                <w:szCs w:val="22"/>
                <w:lang w:eastAsia="en-US"/>
              </w:rPr>
            </w:pPr>
            <w:r>
              <w:t xml:space="preserve">Bis 3 </w:t>
            </w:r>
            <w:r w:rsidR="00EC1D38">
              <w:br/>
            </w:r>
            <w:r>
              <w:t>Jahre</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816" w:rsidRPr="00FA43A4" w:rsidRDefault="00B02816" w:rsidP="0033341B">
            <w:pPr>
              <w:spacing w:after="210" w:line="276" w:lineRule="auto"/>
              <w:rPr>
                <w:rFonts w:eastAsia="Calibri"/>
                <w:sz w:val="22"/>
                <w:szCs w:val="22"/>
                <w:lang w:eastAsia="en-US"/>
              </w:rPr>
            </w:pPr>
            <w:r>
              <w:t>4 bis 6 Jahre</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816" w:rsidRPr="00FA43A4" w:rsidRDefault="00B02816" w:rsidP="0033341B">
            <w:pPr>
              <w:spacing w:after="210" w:line="276" w:lineRule="auto"/>
              <w:rPr>
                <w:rFonts w:eastAsia="Calibri"/>
                <w:sz w:val="22"/>
                <w:szCs w:val="22"/>
                <w:lang w:eastAsia="en-US"/>
              </w:rPr>
            </w:pPr>
            <w:r>
              <w:t xml:space="preserve">7 bis 10 Jahre </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816" w:rsidRPr="00FA43A4" w:rsidRDefault="00B02816" w:rsidP="0033341B">
            <w:pPr>
              <w:spacing w:after="210" w:line="276" w:lineRule="auto"/>
              <w:rPr>
                <w:rFonts w:eastAsia="Calibri"/>
                <w:sz w:val="22"/>
                <w:szCs w:val="22"/>
                <w:lang w:eastAsia="en-US"/>
              </w:rPr>
            </w:pPr>
            <w:r>
              <w:t>11 bis 15 Jahre</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816" w:rsidRPr="00FA43A4" w:rsidRDefault="00B02816" w:rsidP="0033341B">
            <w:pPr>
              <w:spacing w:after="210" w:line="276" w:lineRule="auto"/>
              <w:rPr>
                <w:rFonts w:eastAsia="Calibri"/>
                <w:sz w:val="22"/>
                <w:szCs w:val="22"/>
                <w:lang w:eastAsia="en-US"/>
              </w:rPr>
            </w:pPr>
            <w:r>
              <w:t xml:space="preserve">16 bis 21 Jahre </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816" w:rsidRPr="00FA43A4" w:rsidRDefault="00B02816" w:rsidP="0033341B">
            <w:pPr>
              <w:spacing w:after="210" w:line="276" w:lineRule="auto"/>
              <w:rPr>
                <w:rFonts w:eastAsia="Calibri"/>
                <w:b/>
                <w:bCs/>
                <w:sz w:val="22"/>
                <w:szCs w:val="22"/>
                <w:lang w:eastAsia="en-US"/>
              </w:rPr>
            </w:pPr>
            <w:r>
              <w:rPr>
                <w:b/>
                <w:bCs/>
              </w:rPr>
              <w:t>Insgesamt</w:t>
            </w:r>
          </w:p>
        </w:tc>
      </w:tr>
      <w:tr w:rsidR="00B02816" w:rsidTr="00B0281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rPr>
                <w:rFonts w:eastAsia="Calibri"/>
                <w:sz w:val="22"/>
                <w:szCs w:val="22"/>
                <w:lang w:eastAsia="en-US"/>
              </w:rPr>
            </w:pPr>
            <w:r>
              <w:t>Manching/Ingolstadt</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151</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50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36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40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186</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b/>
                <w:bCs/>
                <w:sz w:val="22"/>
                <w:szCs w:val="22"/>
                <w:lang w:eastAsia="en-US"/>
              </w:rPr>
            </w:pPr>
            <w:r w:rsidRPr="00C40CF2">
              <w:rPr>
                <w:b/>
                <w:bCs/>
              </w:rPr>
              <w:t>463</w:t>
            </w:r>
          </w:p>
        </w:tc>
      </w:tr>
      <w:tr w:rsidR="00B02816" w:rsidTr="00B0281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rPr>
                <w:rFonts w:eastAsia="Calibri"/>
                <w:sz w:val="22"/>
                <w:szCs w:val="22"/>
                <w:lang w:eastAsia="en-US"/>
              </w:rPr>
            </w:pPr>
            <w:r>
              <w:t>Deggendorf</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31</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42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40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28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155</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b/>
                <w:bCs/>
                <w:sz w:val="22"/>
                <w:szCs w:val="22"/>
                <w:lang w:eastAsia="en-US"/>
              </w:rPr>
            </w:pPr>
            <w:r w:rsidRPr="00C40CF2">
              <w:rPr>
                <w:b/>
                <w:bCs/>
              </w:rPr>
              <w:t>296</w:t>
            </w:r>
          </w:p>
        </w:tc>
      </w:tr>
      <w:tr w:rsidR="00B02816" w:rsidTr="00B0281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rPr>
                <w:rFonts w:eastAsia="Calibri"/>
                <w:sz w:val="22"/>
                <w:szCs w:val="22"/>
                <w:lang w:eastAsia="en-US"/>
              </w:rPr>
            </w:pPr>
            <w:r>
              <w:t>Regensburg</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63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49</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69</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59</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105</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b/>
                <w:bCs/>
                <w:sz w:val="22"/>
                <w:szCs w:val="22"/>
                <w:lang w:eastAsia="en-US"/>
              </w:rPr>
            </w:pPr>
            <w:r w:rsidRPr="00C40CF2">
              <w:rPr>
                <w:b/>
                <w:bCs/>
              </w:rPr>
              <w:t>345</w:t>
            </w:r>
          </w:p>
        </w:tc>
      </w:tr>
      <w:tr w:rsidR="00B02816" w:rsidTr="00B0281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rPr>
                <w:rFonts w:eastAsia="Calibri"/>
                <w:sz w:val="22"/>
                <w:szCs w:val="22"/>
                <w:lang w:eastAsia="en-US"/>
              </w:rPr>
            </w:pPr>
            <w:r>
              <w:t>Bamberg</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119</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78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72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69</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sz w:val="22"/>
                <w:szCs w:val="22"/>
                <w:lang w:eastAsia="en-US"/>
              </w:rPr>
            </w:pPr>
            <w:r w:rsidRPr="00C40CF2">
              <w:t>203</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816" w:rsidRPr="00FA43A4" w:rsidRDefault="00B02816" w:rsidP="0033341B">
            <w:pPr>
              <w:spacing w:after="210" w:line="276" w:lineRule="auto"/>
              <w:jc w:val="center"/>
              <w:rPr>
                <w:rFonts w:eastAsia="Calibri"/>
                <w:b/>
                <w:bCs/>
                <w:sz w:val="22"/>
                <w:szCs w:val="22"/>
                <w:lang w:eastAsia="en-US"/>
              </w:rPr>
            </w:pPr>
            <w:r w:rsidRPr="00C40CF2">
              <w:rPr>
                <w:b/>
                <w:bCs/>
              </w:rPr>
              <w:t>541</w:t>
            </w:r>
          </w:p>
        </w:tc>
      </w:tr>
    </w:tbl>
    <w:p w:rsidR="00CA4048" w:rsidRDefault="00CA4048"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Annette</w:t>
            </w:r>
            <w:r w:rsidRPr="00CA4048">
              <w:rPr>
                <w:b/>
              </w:rPr>
              <w:br/>
              <w:t>Karl</w:t>
            </w:r>
            <w:r w:rsidRPr="00CA4048">
              <w:rPr>
                <w:b/>
              </w:rPr>
              <w:br/>
            </w:r>
            <w:r w:rsidRPr="00CA4048">
              <w:t>(SPD)</w:t>
            </w:r>
            <w:r>
              <w:fldChar w:fldCharType="begin"/>
            </w:r>
            <w:r>
              <w:instrText xml:space="preserve"> TC </w:instrText>
            </w:r>
            <w:r w:rsidR="00C244B3">
              <w:instrText>„</w:instrText>
            </w:r>
            <w:bookmarkStart w:id="27" w:name="_Toc511895445"/>
            <w:r>
              <w:instrText>Karl, Annette (SPD)</w:instrText>
            </w:r>
            <w:r>
              <w:br/>
              <w:instrText>Besetzung von Schulleiterstellen an den Grundschulen in der Oberpfalz</w:instrText>
            </w:r>
            <w:bookmarkEnd w:id="27"/>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bei welchen Grundschulen in der Oberpfalz ist jetzt schon bekannt, dass die amtierende Schulleiterin bzw. der amtierende Schulleiter die Schule wegen Ruhestand oder Versetzung zum Schuljahresende verlä</w:t>
            </w:r>
            <w:r w:rsidR="0014545A">
              <w:t>sst und die Stelle nicht wieder</w:t>
            </w:r>
            <w:r>
              <w:t>besetzt wird und aus welchen Gründen erfolgt dann eine solche Nichtwiederbesetzung?</w:t>
            </w:r>
          </w:p>
          <w:p w:rsidR="00CA4048" w:rsidRDefault="00CA4048" w:rsidP="00CA4048">
            <w:pPr>
              <w:pStyle w:val="LTAnfrageText"/>
            </w:pPr>
          </w:p>
        </w:tc>
      </w:tr>
    </w:tbl>
    <w:p w:rsidR="00CA4048" w:rsidRDefault="00CA4048" w:rsidP="00CA4048">
      <w:pPr>
        <w:pStyle w:val="LTUeberschrAntwortRessort"/>
      </w:pPr>
      <w:r>
        <w:t>Antwort des Staatsministeriums für Unterricht und Kultus</w:t>
      </w:r>
    </w:p>
    <w:p w:rsidR="00CA4048" w:rsidRPr="00101EE9" w:rsidRDefault="00CA4048" w:rsidP="00CA4048">
      <w:pPr>
        <w:pStyle w:val="LTAntwortRessortText"/>
        <w:rPr>
          <w:u w:val="single"/>
        </w:rPr>
      </w:pPr>
      <w:r w:rsidRPr="00101EE9">
        <w:rPr>
          <w:u w:val="single"/>
        </w:rPr>
        <w:t>Besetzung von Rektorenstellen</w:t>
      </w:r>
      <w:r w:rsidR="00101EE9">
        <w:rPr>
          <w:u w:val="single"/>
        </w:rPr>
        <w:t>:</w:t>
      </w:r>
    </w:p>
    <w:p w:rsidR="00CA4048" w:rsidRDefault="00CA4048" w:rsidP="00101EE9">
      <w:pPr>
        <w:pStyle w:val="LTAntwortRessortText"/>
        <w:spacing w:before="120"/>
      </w:pPr>
      <w:r>
        <w:t xml:space="preserve">Die Besetzung von Rektorenstellen an Grund- und Mittelschulen fällt in den Zuständigkeitsbereich der Regierungen. Die Besetzung von Schulleitungsstellen an staatlichen Grund-, Mittel- und Förderschulen erfolgt aus organisatorischen Gründen grundsätzlich zum 1. August eines Jahres. Diese Stellenausschreibungen werden im Schulanzeiger der Regierungen veröffentlicht. Die Auswahlentscheidungen werden nach Möglichkeit bis </w:t>
      </w:r>
      <w:r w:rsidR="00101EE9">
        <w:t>01.08.</w:t>
      </w:r>
      <w:r>
        <w:t>2018 so abgeschlossen, dass eine nahtlose Übergabe stattfinden kann.</w:t>
      </w:r>
    </w:p>
    <w:p w:rsidR="00CA4048" w:rsidRPr="00101EE9" w:rsidRDefault="00CA4048" w:rsidP="00101EE9">
      <w:pPr>
        <w:pStyle w:val="LTAntwortRessortText"/>
        <w:spacing w:before="360"/>
        <w:rPr>
          <w:u w:val="single"/>
        </w:rPr>
      </w:pPr>
      <w:r w:rsidRPr="00101EE9">
        <w:rPr>
          <w:u w:val="single"/>
        </w:rPr>
        <w:lastRenderedPageBreak/>
        <w:t>Gründe für keine Nachbesetzung einer Schulleitungsstelle</w:t>
      </w:r>
      <w:r w:rsidR="00101EE9">
        <w:rPr>
          <w:u w:val="single"/>
        </w:rPr>
        <w:t>:</w:t>
      </w:r>
    </w:p>
    <w:p w:rsidR="00CA4048" w:rsidRDefault="00CA4048" w:rsidP="0033341B">
      <w:pPr>
        <w:pStyle w:val="LTAntwortRessortText"/>
        <w:numPr>
          <w:ilvl w:val="0"/>
          <w:numId w:val="24"/>
        </w:numPr>
        <w:spacing w:before="120"/>
        <w:ind w:left="1054" w:hanging="357"/>
      </w:pPr>
      <w:r>
        <w:t xml:space="preserve">Gemäß Art. 57 Abs. 1 Satz 2 </w:t>
      </w:r>
      <w:r w:rsidR="00101EE9">
        <w:t>Bayerisches</w:t>
      </w:r>
      <w:r w:rsidR="000D67EF">
        <w:t xml:space="preserve"> Gesetz</w:t>
      </w:r>
      <w:r>
        <w:t xml:space="preserve"> über das Erziehungs- und Unterrichtswesen (BayEUG) kann bei Grund- und Mittelschulen eine Person auch mit der Leitung mehrerer Schulen betraut werden. Im Vollzug dieser Regelung prüft die Regierung im Falle des Ausscheidens einer Schulleiterin bzw. eines Schulleiters, ob die Stelle erneut zur Besetzung ausgeschrieben oder die Schule durch den Leiter einer benachbarten Grundschule oder Mittelschule mitgeleitet werden soll. Maßgeblich ist dabei vor allem, ob die Größe der Schule und die voraussichtliche Entwicklung in den nächsten Jahren die Bestellung einer eigenen Schulleitung rechtfertigen. Die Wiederbesetzung ist damit abhängig von der konkreten Situation vor Ort, das heißt insbesondere von der Entwicklung der Schülerzahlen, der Klassenzahlen und gegebenenfalls auch von schulorganisatorischen Planungen im Einzugsgebiet bzw. in Verbindung mit benachbarten Schulen. Dies erfordert in jedem Einzelfall eine</w:t>
      </w:r>
      <w:r w:rsidR="00101EE9">
        <w:t xml:space="preserve"> </w:t>
      </w:r>
      <w:r>
        <w:t>differenzierte Prüfung der Perspektiven der Schule wie der Auswirkungen von Alternativentscheidungen.</w:t>
      </w:r>
    </w:p>
    <w:p w:rsidR="00CA4048" w:rsidRDefault="00CA4048" w:rsidP="00101EE9">
      <w:pPr>
        <w:pStyle w:val="LTAntwortRessortText"/>
        <w:numPr>
          <w:ilvl w:val="0"/>
          <w:numId w:val="24"/>
        </w:numPr>
        <w:spacing w:before="120"/>
        <w:ind w:left="1054" w:hanging="357"/>
      </w:pPr>
      <w:r>
        <w:t xml:space="preserve">Bei hohem Schülerrückgang kann eine Grund- und Mittelschule den Status </w:t>
      </w:r>
      <w:r w:rsidR="00C244B3">
        <w:t>„</w:t>
      </w:r>
      <w:r>
        <w:t>inaktiv</w:t>
      </w:r>
      <w:r w:rsidR="00C244B3">
        <w:t>“</w:t>
      </w:r>
      <w:r>
        <w:t xml:space="preserve"> erhalten. Das bedeutet, dass die Schule zum gegenwärtigen Zeitpunkt keine Schüler</w:t>
      </w:r>
      <w:r w:rsidR="00101EE9">
        <w:t>innen und Schüler</w:t>
      </w:r>
      <w:r>
        <w:t xml:space="preserve"> hat. Eine inaktive Schule kann nach Eintreten der Voraussetzungen wieder reaktiviert werden. Während des inaktiven Status würde die Schulleitung zunächst nicht neu besetzt.</w:t>
      </w:r>
    </w:p>
    <w:p w:rsidR="00F85602" w:rsidRDefault="00F85602" w:rsidP="00F85602">
      <w:pPr>
        <w:pStyle w:val="LTAntwortRessortText"/>
        <w:spacing w:before="120"/>
        <w:ind w:left="697"/>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576BE7">
            <w:pPr>
              <w:pStyle w:val="LTNumAnfrageIni1"/>
            </w:pPr>
            <w:r w:rsidRPr="00CA4048">
              <w:t>Abgeordnete</w:t>
            </w:r>
            <w:r w:rsidRPr="00CA4048">
              <w:br/>
            </w:r>
            <w:r w:rsidRPr="00CA4048">
              <w:rPr>
                <w:b/>
              </w:rPr>
              <w:t>Claudia</w:t>
            </w:r>
            <w:r w:rsidRPr="00CA4048">
              <w:rPr>
                <w:b/>
              </w:rPr>
              <w:br/>
              <w:t>Stamm</w:t>
            </w:r>
            <w:r w:rsidRPr="00CA4048">
              <w:rPr>
                <w:b/>
              </w:rPr>
              <w:br/>
            </w:r>
            <w:r w:rsidRPr="00CA4048">
              <w:t>(</w:t>
            </w:r>
            <w:r w:rsidR="00576BE7">
              <w:t>f</w:t>
            </w:r>
            <w:r w:rsidRPr="00CA4048">
              <w:t>raktionslos)</w:t>
            </w:r>
            <w:r>
              <w:fldChar w:fldCharType="begin"/>
            </w:r>
            <w:r>
              <w:instrText xml:space="preserve"> TC </w:instrText>
            </w:r>
            <w:r w:rsidR="00C244B3">
              <w:instrText>„</w:instrText>
            </w:r>
            <w:bookmarkStart w:id="28" w:name="_Toc511895446"/>
            <w:r>
              <w:instrText>Stamm, Claudia (Fraktionslos)</w:instrText>
            </w:r>
            <w:r>
              <w:br/>
              <w:instrText>10-Finger-System</w:instrText>
            </w:r>
            <w:bookmarkEnd w:id="28"/>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an welchen Schultypen das </w:t>
            </w:r>
            <w:r w:rsidR="00576BE7">
              <w:t>Zehnfingers</w:t>
            </w:r>
            <w:r>
              <w:t xml:space="preserve">ystem im Rahmen des Unterrichts gelehrt wird, an welchen Schulen es derzeit möglich ist, es zu erlernen (bitte auflisten, ob kostenfrei oder gegen Gebühr) und wie die Staatsregierung zur Forderung nach Aufnahme des </w:t>
            </w:r>
            <w:r w:rsidR="00576BE7">
              <w:t xml:space="preserve">Zehnfingersystems </w:t>
            </w:r>
            <w:r>
              <w:t>in den Lehrplan steht?</w:t>
            </w:r>
            <w:r w:rsidR="00C244B3">
              <w:t xml:space="preserve"> </w:t>
            </w:r>
          </w:p>
          <w:p w:rsidR="00CA4048" w:rsidRDefault="00CA4048" w:rsidP="00CA4048">
            <w:pPr>
              <w:pStyle w:val="LTAnfrageText"/>
            </w:pPr>
          </w:p>
        </w:tc>
      </w:tr>
    </w:tbl>
    <w:p w:rsidR="00CA4048" w:rsidRDefault="00CA4048" w:rsidP="00F85602">
      <w:pPr>
        <w:pStyle w:val="LTUeberschrAntwortRessort"/>
        <w:spacing w:before="960"/>
      </w:pPr>
      <w:r>
        <w:t>Antwort des Staatsministeriums für Unterricht und Kultus</w:t>
      </w:r>
    </w:p>
    <w:p w:rsidR="00CA4048" w:rsidRPr="00323C4A" w:rsidRDefault="00CA4048" w:rsidP="00CA4048">
      <w:pPr>
        <w:pStyle w:val="LTAntwortRessortText"/>
        <w:rPr>
          <w:u w:val="single"/>
        </w:rPr>
      </w:pPr>
      <w:r w:rsidRPr="00323C4A">
        <w:rPr>
          <w:u w:val="single"/>
        </w:rPr>
        <w:t>Vorbemerkung:</w:t>
      </w:r>
    </w:p>
    <w:p w:rsidR="00CA4048" w:rsidRDefault="00CA4048" w:rsidP="00323C4A">
      <w:pPr>
        <w:pStyle w:val="LTAntwortRessortText"/>
        <w:spacing w:before="120"/>
      </w:pPr>
      <w:r>
        <w:t>Erkenntnisse, an welchen Schulen das 10-Finger-T</w:t>
      </w:r>
      <w:r w:rsidR="00323C4A">
        <w:t>astschreiben kostenfrei oder ge</w:t>
      </w:r>
      <w:r>
        <w:t>gen Gebühr durchgeführt wird, liegen dem Staatsministerium</w:t>
      </w:r>
      <w:r w:rsidR="00323C4A">
        <w:t xml:space="preserve"> für Unterricht und Kultus (StMUK) </w:t>
      </w:r>
      <w:r>
        <w:t>nicht vor.</w:t>
      </w:r>
    </w:p>
    <w:p w:rsidR="00CA4048" w:rsidRPr="00323C4A" w:rsidRDefault="00CA4048" w:rsidP="00323C4A">
      <w:pPr>
        <w:pStyle w:val="LTAntwortRessortText"/>
        <w:spacing w:before="360"/>
        <w:rPr>
          <w:u w:val="single"/>
        </w:rPr>
      </w:pPr>
      <w:r w:rsidRPr="00323C4A">
        <w:rPr>
          <w:u w:val="single"/>
        </w:rPr>
        <w:t>Mittelschule:</w:t>
      </w:r>
    </w:p>
    <w:p w:rsidR="00CA4048" w:rsidRDefault="00CA4048" w:rsidP="00323C4A">
      <w:pPr>
        <w:pStyle w:val="LTAntwortRessortText"/>
        <w:spacing w:before="120"/>
      </w:pPr>
      <w:r>
        <w:t>Im Bereich der Mittelschulen (LehrplanPLUS) wird das 10-Finger-Tastschreiben in den Jahrgangsstufen 5 und/oder 6 fachunabhängig als Lehrgang unterrichtet und grundlegend erlernt. Anschließend wird das 10-Finger-Tastschreiben als Lernbereich im berufsorientierenden Fach Wirtschaft und Komm</w:t>
      </w:r>
      <w:r w:rsidR="00323C4A">
        <w:t xml:space="preserve">unikation (in Jahrgangsstufe 7 </w:t>
      </w:r>
      <w:r>
        <w:t>Pflichtfach und in d</w:t>
      </w:r>
      <w:r w:rsidR="0014545A">
        <w:t>en Jahrgangsstufen 8 bis 10 Wah</w:t>
      </w:r>
      <w:r w:rsidR="00BC7BFD">
        <w:t>l</w:t>
      </w:r>
      <w:r w:rsidR="0014545A">
        <w:softHyphen/>
      </w:r>
      <w:r>
        <w:t xml:space="preserve">pflichtfach) weitergeführt. </w:t>
      </w:r>
    </w:p>
    <w:p w:rsidR="00CA4048" w:rsidRDefault="00CA4048" w:rsidP="00CA4048">
      <w:pPr>
        <w:pStyle w:val="LTAntwortRessortText"/>
      </w:pPr>
      <w:r>
        <w:t xml:space="preserve">Bei der unterrichtlichen Umsetzung gilt es, das 10-Finger-Tastschreiben alters- und fachgemäß zu erlernen. Ziel ist die sichere Bedienung der Tastatur mittels korrekter Griffwege unter Beachtung </w:t>
      </w:r>
      <w:r>
        <w:lastRenderedPageBreak/>
        <w:t>einschlägiger Regeln sowie das Verhindern ein</w:t>
      </w:r>
      <w:r w:rsidR="00323C4A">
        <w:t>er Einge</w:t>
      </w:r>
      <w:r>
        <w:t xml:space="preserve">wöhnung falscher und umständlicher Bedienungsweisen. Eine große Bedeutung kommt der Schulung der Schreibsicherheit zu. </w:t>
      </w:r>
    </w:p>
    <w:p w:rsidR="00CA4048" w:rsidRDefault="00CA4048" w:rsidP="00CA4048">
      <w:pPr>
        <w:pStyle w:val="LTAntwortRessortText"/>
      </w:pPr>
      <w:r>
        <w:t>Nachdem das 10-Finger-Tastschreiben in den Jah</w:t>
      </w:r>
      <w:r w:rsidR="00323C4A">
        <w:t>rgangsstufen 5 und/oder 6 grund</w:t>
      </w:r>
      <w:r>
        <w:t>legend erlernt wurde, wird es im berufsorientierenden Wahlpflichtfach Wirtschaft und Kommunikation als eigener Lernbereich weitergeführt. Das Tastschreiben bildet die erforderliche Basis für die Bearbeitung aller weiter</w:t>
      </w:r>
      <w:r w:rsidR="00323C4A">
        <w:t>en Lernbereiche des berufsorien</w:t>
      </w:r>
      <w:r>
        <w:t xml:space="preserve">tierenden Wahlpflichtfachs Wirtschaft und Kommunikation. </w:t>
      </w:r>
    </w:p>
    <w:p w:rsidR="00CA4048" w:rsidRDefault="00CA4048" w:rsidP="00CA4048">
      <w:pPr>
        <w:pStyle w:val="LTAntwortRessortText"/>
      </w:pPr>
      <w:r>
        <w:t>Entsprechendes gilt für den auslaufenden, in den Jahrgangsstufen 6 bis 10 gültigen Lehrplan.</w:t>
      </w:r>
    </w:p>
    <w:p w:rsidR="00CA4048" w:rsidRDefault="00CA4048" w:rsidP="00CA4048">
      <w:pPr>
        <w:pStyle w:val="LTAntwortRessortText"/>
      </w:pPr>
      <w:r>
        <w:t xml:space="preserve">Alle Schülerinnen und Schüler der Mittelschule erlernen im Rahmen des regulären Unterrichts </w:t>
      </w:r>
      <w:r w:rsidR="00323C4A">
        <w:t>–</w:t>
      </w:r>
      <w:r>
        <w:t xml:space="preserve"> und damit kostenfrei </w:t>
      </w:r>
      <w:r w:rsidR="00323C4A">
        <w:t xml:space="preserve">– </w:t>
      </w:r>
      <w:r>
        <w:t>das 10-Finger-Tastschreiben.</w:t>
      </w:r>
    </w:p>
    <w:p w:rsidR="00CA4048" w:rsidRPr="00323C4A" w:rsidRDefault="00CA4048" w:rsidP="00323C4A">
      <w:pPr>
        <w:pStyle w:val="LTAntwortRessortText"/>
        <w:spacing w:before="360"/>
        <w:rPr>
          <w:u w:val="single"/>
        </w:rPr>
      </w:pPr>
      <w:r w:rsidRPr="00323C4A">
        <w:rPr>
          <w:u w:val="single"/>
        </w:rPr>
        <w:t>Realschule:</w:t>
      </w:r>
    </w:p>
    <w:p w:rsidR="00CA4048" w:rsidRDefault="00CA4048" w:rsidP="00323C4A">
      <w:pPr>
        <w:pStyle w:val="LTAntwortRessortText"/>
        <w:spacing w:before="120"/>
      </w:pPr>
      <w:r>
        <w:t>Die bayerische Realschule vermittelt mit dem Fach Informationstechnologie eine Grundbildung im Umgang mit Computersystemen sowohl für den persönlichen als auch für den berufsvorbereitenden Bereich. Die Schülerinnen und Schüler eignen sich ein zeitbeständiges Basiswissen über Funktions</w:t>
      </w:r>
      <w:r w:rsidR="00323C4A">
        <w:t>weisen und Strukturen der elekt</w:t>
      </w:r>
      <w:r>
        <w:t>ronischen Datenverarbeitung an, das sie über die schulische Ausbildung hinaus selbstständig und produktunabhängig einsetzen können.</w:t>
      </w:r>
    </w:p>
    <w:p w:rsidR="00CA4048" w:rsidRDefault="00CA4048" w:rsidP="00CA4048">
      <w:pPr>
        <w:pStyle w:val="LTAntwortRessortText"/>
      </w:pPr>
      <w:r>
        <w:t>Seit Beginn des Schuljahrs 2017/2018 ist für die Realschu</w:t>
      </w:r>
      <w:r w:rsidR="00323C4A">
        <w:t>len der LehrplanPLUS gül</w:t>
      </w:r>
      <w:r>
        <w:t>tig. Im Bereich Informationstechnologie ist dieser modularisiert aufgebaut</w:t>
      </w:r>
      <w:r w:rsidR="00F85602">
        <w:rPr>
          <w:rStyle w:val="Funotenzeichen"/>
        </w:rPr>
        <w:footnoteReference w:id="1"/>
      </w:r>
      <w:r>
        <w:t xml:space="preserve">. </w:t>
      </w:r>
    </w:p>
    <w:p w:rsidR="00CA4048" w:rsidRDefault="00CA4048" w:rsidP="00CA4048">
      <w:pPr>
        <w:pStyle w:val="LTAntwortRessortText"/>
      </w:pPr>
      <w:r>
        <w:t xml:space="preserve">Dabei thematisiert der für jede Schülerin und jeden </w:t>
      </w:r>
      <w:r w:rsidR="00323C4A">
        <w:t>Schüler der Realschule (in sämt</w:t>
      </w:r>
      <w:r>
        <w:t xml:space="preserve">lichen Wahlpflichtfächergruppen) verbindliche Anfangsunterricht im Lernbereich 1 unter </w:t>
      </w:r>
      <w:r w:rsidR="00C244B3">
        <w:t>„</w:t>
      </w:r>
      <w:r>
        <w:t>IT 1.1 Texterfassung</w:t>
      </w:r>
      <w:r w:rsidR="00C244B3">
        <w:t>“</w:t>
      </w:r>
      <w:r>
        <w:t xml:space="preserve"> (mit ca. 14 Stunden) das </w:t>
      </w:r>
      <w:r w:rsidR="00323C4A">
        <w:t>10-F</w:t>
      </w:r>
      <w:r>
        <w:t>inger</w:t>
      </w:r>
      <w:r w:rsidR="00323C4A">
        <w:t>-S</w:t>
      </w:r>
      <w:r>
        <w:t>ystem:</w:t>
      </w:r>
    </w:p>
    <w:p w:rsidR="00CA4048" w:rsidRDefault="00CA4048" w:rsidP="00323C4A">
      <w:pPr>
        <w:pStyle w:val="LTAntwortRessortText"/>
        <w:spacing w:before="120"/>
      </w:pPr>
      <w:r>
        <w:t>Die Schülerinnen und Schüler nutzen das Zehnfingersystem, um einfache Texte über die Computertastatur einzugeben und beachten dabei die richtige Körperhaltung und Arbeitsplatzgestaltung.</w:t>
      </w:r>
    </w:p>
    <w:p w:rsidR="00CA4048" w:rsidRDefault="00CA4048" w:rsidP="00CA4048">
      <w:pPr>
        <w:pStyle w:val="LTAntwortRessortText"/>
      </w:pPr>
      <w:r>
        <w:t>Dabei stehen folgende Kompetenzerwartungen im Vordergrund:</w:t>
      </w:r>
    </w:p>
    <w:p w:rsidR="00CA4048" w:rsidRDefault="00323C4A" w:rsidP="00CA4048">
      <w:pPr>
        <w:pStyle w:val="LTAntwortRessortText"/>
      </w:pPr>
      <w:r>
        <w:t xml:space="preserve">Die Schülerinnen und Schüler </w:t>
      </w:r>
    </w:p>
    <w:p w:rsidR="00CA4048" w:rsidRDefault="00CA4048" w:rsidP="00323C4A">
      <w:pPr>
        <w:pStyle w:val="LTAntwortRessortText"/>
        <w:numPr>
          <w:ilvl w:val="1"/>
          <w:numId w:val="27"/>
        </w:numPr>
        <w:spacing w:before="120"/>
        <w:ind w:left="992" w:hanging="425"/>
      </w:pPr>
      <w:r>
        <w:t xml:space="preserve">erfassen einfache Texte griffsicher mit dem </w:t>
      </w:r>
      <w:r w:rsidR="00576BE7">
        <w:t>Zehnfingersystem</w:t>
      </w:r>
      <w:r w:rsidR="00323C4A">
        <w:t>;</w:t>
      </w:r>
    </w:p>
    <w:p w:rsidR="00CA4048" w:rsidRDefault="00CA4048" w:rsidP="00323C4A">
      <w:pPr>
        <w:pStyle w:val="LTAntwortRessortText"/>
        <w:numPr>
          <w:ilvl w:val="1"/>
          <w:numId w:val="27"/>
        </w:numPr>
        <w:spacing w:before="120"/>
        <w:ind w:left="992" w:hanging="425"/>
      </w:pPr>
      <w:r>
        <w:t>erkennen, analysieren und verbessern Fehler bei der Texteingabe und setzen gezielt Möglic</w:t>
      </w:r>
      <w:r w:rsidR="00323C4A">
        <w:t>hkeiten zu deren Vermeidung ein;</w:t>
      </w:r>
    </w:p>
    <w:p w:rsidR="00CA4048" w:rsidRDefault="00CA4048" w:rsidP="00323C4A">
      <w:pPr>
        <w:pStyle w:val="LTAntwortRessortText"/>
        <w:numPr>
          <w:ilvl w:val="1"/>
          <w:numId w:val="27"/>
        </w:numPr>
        <w:spacing w:before="120"/>
        <w:ind w:left="992" w:hanging="425"/>
      </w:pPr>
      <w:r>
        <w:t>wenden die Grundfunktionen eines Textverarbeitungsprogramms an und führen einfache Form</w:t>
      </w:r>
      <w:r w:rsidR="00323C4A">
        <w:t>atierungen an Fließtexten durch;</w:t>
      </w:r>
    </w:p>
    <w:p w:rsidR="00CA4048" w:rsidRDefault="00CA4048" w:rsidP="00323C4A">
      <w:pPr>
        <w:pStyle w:val="LTAntwortRessortText"/>
        <w:numPr>
          <w:ilvl w:val="1"/>
          <w:numId w:val="27"/>
        </w:numPr>
        <w:spacing w:before="120"/>
        <w:ind w:left="992" w:hanging="425"/>
      </w:pPr>
      <w:r>
        <w:t xml:space="preserve">beachten bei der Arbeit am Computer wichtige ergonomische Aspekte, um ihre Leistungsfähigkeit zu erhalten und gesundheitlichen Schäden vorzubeugen. </w:t>
      </w:r>
    </w:p>
    <w:p w:rsidR="00F85602" w:rsidRDefault="00F85602">
      <w:r>
        <w:br w:type="page"/>
      </w:r>
    </w:p>
    <w:p w:rsidR="00CA4048" w:rsidRDefault="00CA4048" w:rsidP="00CA4048">
      <w:pPr>
        <w:pStyle w:val="LTAntwortRessortText"/>
      </w:pPr>
      <w:r>
        <w:lastRenderedPageBreak/>
        <w:t>Diese prozeduralen Kompetenzen fußen auf dem Inhaltsbereich des Wissens um:</w:t>
      </w:r>
    </w:p>
    <w:p w:rsidR="00CA4048" w:rsidRDefault="00CA4048" w:rsidP="00323C4A">
      <w:pPr>
        <w:pStyle w:val="LTAntwortRessortText"/>
        <w:numPr>
          <w:ilvl w:val="1"/>
          <w:numId w:val="27"/>
        </w:numPr>
        <w:spacing w:before="120"/>
        <w:ind w:left="992" w:hanging="425"/>
      </w:pPr>
      <w:r>
        <w:t>Tastaturbereiche</w:t>
      </w:r>
      <w:r w:rsidR="00AB386D">
        <w:t>;</w:t>
      </w:r>
    </w:p>
    <w:p w:rsidR="00CA4048" w:rsidRDefault="00CA4048" w:rsidP="00323C4A">
      <w:pPr>
        <w:pStyle w:val="LTAntwortRessortText"/>
        <w:numPr>
          <w:ilvl w:val="1"/>
          <w:numId w:val="27"/>
        </w:numPr>
        <w:spacing w:before="120"/>
        <w:ind w:left="992" w:hanging="425"/>
      </w:pPr>
      <w:r>
        <w:t>Griffe und Griffwege zu den Buchstabentastenreihen</w:t>
      </w:r>
      <w:r w:rsidR="00AB386D">
        <w:t>;</w:t>
      </w:r>
    </w:p>
    <w:p w:rsidR="00CA4048" w:rsidRDefault="00CA4048" w:rsidP="00323C4A">
      <w:pPr>
        <w:pStyle w:val="LTAntwortRessortText"/>
        <w:numPr>
          <w:ilvl w:val="1"/>
          <w:numId w:val="27"/>
        </w:numPr>
        <w:spacing w:before="120"/>
        <w:ind w:left="992" w:hanging="425"/>
      </w:pPr>
      <w:r>
        <w:t>Ursachen von Tastfehlern</w:t>
      </w:r>
      <w:r w:rsidR="00AB386D">
        <w:t>;</w:t>
      </w:r>
    </w:p>
    <w:p w:rsidR="00CA4048" w:rsidRDefault="00CA4048" w:rsidP="00323C4A">
      <w:pPr>
        <w:pStyle w:val="LTAntwortRessortText"/>
        <w:numPr>
          <w:ilvl w:val="1"/>
          <w:numId w:val="27"/>
        </w:numPr>
        <w:spacing w:before="120"/>
        <w:ind w:left="992" w:hanging="425"/>
      </w:pPr>
      <w:r>
        <w:t>Korrektur- und Rechtschreibhilfen</w:t>
      </w:r>
      <w:r w:rsidR="00AB386D">
        <w:t>;</w:t>
      </w:r>
    </w:p>
    <w:p w:rsidR="00CA4048" w:rsidRDefault="00CA4048" w:rsidP="00323C4A">
      <w:pPr>
        <w:pStyle w:val="LTAntwortRessortText"/>
        <w:numPr>
          <w:ilvl w:val="1"/>
          <w:numId w:val="27"/>
        </w:numPr>
        <w:spacing w:before="120"/>
        <w:ind w:left="992" w:hanging="425"/>
      </w:pPr>
      <w:r>
        <w:t>Grundfunktionen eines Textverarbeitungsprogramms, z. B. öffnen, speichern, drucken</w:t>
      </w:r>
      <w:r w:rsidR="00AB386D">
        <w:t>;</w:t>
      </w:r>
    </w:p>
    <w:p w:rsidR="00CA4048" w:rsidRDefault="00CA4048" w:rsidP="00323C4A">
      <w:pPr>
        <w:pStyle w:val="LTAntwortRessortText"/>
        <w:numPr>
          <w:ilvl w:val="1"/>
          <w:numId w:val="27"/>
        </w:numPr>
        <w:spacing w:before="120"/>
        <w:ind w:left="992" w:hanging="425"/>
      </w:pPr>
      <w:r>
        <w:t>Formatierungsmöglichkeiten, z. B. Schriftart, Schriftgrad, Schriftfarbe</w:t>
      </w:r>
      <w:r w:rsidR="00AB386D">
        <w:t>;</w:t>
      </w:r>
    </w:p>
    <w:p w:rsidR="00CA4048" w:rsidRDefault="00CA4048" w:rsidP="00323C4A">
      <w:pPr>
        <w:pStyle w:val="LTAntwortRessortText"/>
        <w:numPr>
          <w:ilvl w:val="1"/>
          <w:numId w:val="27"/>
        </w:numPr>
        <w:spacing w:before="120"/>
        <w:ind w:left="992" w:hanging="425"/>
      </w:pPr>
      <w:r>
        <w:t>ergonomische Aspekte: Haltung, gymnastische Übungen, Arbeitsplatzgestaltung</w:t>
      </w:r>
      <w:r w:rsidR="00323C4A">
        <w:t>.</w:t>
      </w:r>
      <w:r>
        <w:t xml:space="preserve"> </w:t>
      </w:r>
    </w:p>
    <w:p w:rsidR="00CA4048" w:rsidRDefault="00CA4048" w:rsidP="00CA4048">
      <w:pPr>
        <w:pStyle w:val="LTAntwortRessortText"/>
      </w:pPr>
      <w:r>
        <w:t xml:space="preserve">Das </w:t>
      </w:r>
      <w:r w:rsidR="00323C4A">
        <w:t>10-F</w:t>
      </w:r>
      <w:r>
        <w:t>inger</w:t>
      </w:r>
      <w:r w:rsidR="00323C4A">
        <w:t>-S</w:t>
      </w:r>
      <w:r>
        <w:t>chreiben wird, da als Basiskompetenz der Digitalen Bildung im LehrplanPLUS ausgewiesen, sowohl an den staatlichen, privaten, als auch kommunalen Realschulen in Bayern gelehrt, zählt als elementare Fertigkeit des Informationstechnologieunterrichts zu einer Schlüsselkompetenz der digitalen Bildung und wird als Gegenstand des Regelunterrichts kostenfrei gelehrt. Im Bereich der Realschule ist das Zehnfingerschreiben damit im derzeit gültigen LehrplanPLUS verankert.</w:t>
      </w:r>
    </w:p>
    <w:p w:rsidR="00CA4048" w:rsidRPr="00323C4A" w:rsidRDefault="00CA4048" w:rsidP="00323C4A">
      <w:pPr>
        <w:pStyle w:val="LTAntwortRessortText"/>
        <w:spacing w:before="360"/>
        <w:rPr>
          <w:u w:val="single"/>
        </w:rPr>
      </w:pPr>
      <w:r w:rsidRPr="00323C4A">
        <w:rPr>
          <w:u w:val="single"/>
        </w:rPr>
        <w:t>Gymnasium:</w:t>
      </w:r>
    </w:p>
    <w:p w:rsidR="00CA4048" w:rsidRDefault="00CA4048" w:rsidP="00323C4A">
      <w:pPr>
        <w:pStyle w:val="LTAntwortRessortText"/>
        <w:spacing w:before="120"/>
      </w:pPr>
      <w:r>
        <w:t>An vielen Gymnasien in Bayern wird das 10-Finger-Tastschreiben seit Jahren im Rahmen eines Wahlunterrichts kostenfrei angeboten. In der Regel entsteht ein solches Angebot aus einer Bedürfnislage,</w:t>
      </w:r>
      <w:r w:rsidR="00323C4A">
        <w:t xml:space="preserve"> die im Schulforum artikuliert </w:t>
      </w:r>
      <w:r>
        <w:t>und dann durch die Schulleitung umgesetzt wird. Im Einvernehmen mit dem Schulforum fallen dabei in seltenen Fällen für die Eltern der teilnehmenden Schülerinnen und Schüler auch Kosten an, wenn der Kurs z.</w:t>
      </w:r>
      <w:r w:rsidR="00323C4A">
        <w:t> </w:t>
      </w:r>
      <w:r>
        <w:t>B. in Zusammenarbeit mit einer örtlichen Volkshochschule angeboten wird. Es gibt allerdings auch Gymnasien, die einen solchen Kurs nicht anbieten, da v.</w:t>
      </w:r>
      <w:r w:rsidR="00323C4A">
        <w:t> a. vons</w:t>
      </w:r>
      <w:r>
        <w:t>eiten der Eltern kein entsprechender Bedarf am Gymnasium gesehen wird.</w:t>
      </w:r>
    </w:p>
    <w:p w:rsidR="00CA4048" w:rsidRDefault="00CA4048" w:rsidP="00CA4048">
      <w:pPr>
        <w:pStyle w:val="LTAntwortRessortText"/>
      </w:pPr>
      <w:r>
        <w:t xml:space="preserve">Darüber hinausgehend prüft das </w:t>
      </w:r>
      <w:r w:rsidR="00323C4A">
        <w:t>StMUK</w:t>
      </w:r>
      <w:r>
        <w:t xml:space="preserve"> derzeit, ob bzw. durch welche Maßnahmen das Ziel einer Einführung in die Kompetenz des 10-Finger-Tastschreibens für alle Schülerinnen und Schüler des Gymnasiums verfolgt werden soll.</w:t>
      </w:r>
    </w:p>
    <w:p w:rsidR="00CA4048" w:rsidRDefault="00CA4048" w:rsidP="00CA4048">
      <w:pPr>
        <w:pStyle w:val="LTAntwortRessortText"/>
      </w:pPr>
      <w:r>
        <w:t>Ein Lehrplanbezug wäre mit Blick auf Punkt 1.3, Satz 4, der Ebene 1 des LehrplanPLUS für die Gymnasien bereits gegeben. Dort heißt es:</w:t>
      </w:r>
    </w:p>
    <w:p w:rsidR="00CA4048" w:rsidRDefault="00AB386D" w:rsidP="00323C4A">
      <w:pPr>
        <w:pStyle w:val="LTAntwortRessortText"/>
        <w:spacing w:before="120"/>
      </w:pPr>
      <w:r>
        <w:t>„</w:t>
      </w:r>
      <w:r w:rsidR="00CA4048">
        <w:t xml:space="preserve">Von großer Bedeutung ist, dass die Schulen im Hinblick auf methodische Fertigkeiten, die in verschiedenen Fächern zum Einsatz kommen, Konzepte für den Erwerb und die arbeitsteilige Vertiefung dieser Fertigkeiten entwerfen und umsetzen. Zu nennen sind insbesondere die Arbeitsfelder </w:t>
      </w:r>
      <w:r>
        <w:rPr>
          <w:rFonts w:cs="Arial"/>
        </w:rPr>
        <w:t>’</w:t>
      </w:r>
      <w:r w:rsidR="00CA4048">
        <w:t>Recherche, Analyse und Aufbereitung von Informationen</w:t>
      </w:r>
      <w:r>
        <w:rPr>
          <w:rFonts w:cs="Arial"/>
        </w:rPr>
        <w:t>‘</w:t>
      </w:r>
      <w:r w:rsidR="00CA4048">
        <w:t xml:space="preserve">, </w:t>
      </w:r>
      <w:r w:rsidR="00C244B3">
        <w:t>„</w:t>
      </w:r>
      <w:r w:rsidR="00CA4048">
        <w:t>Einsatz moderner Medien und Informationstechnologien</w:t>
      </w:r>
      <w:r w:rsidR="00C244B3">
        <w:t>“</w:t>
      </w:r>
      <w:r w:rsidR="00CA4048">
        <w:t xml:space="preserve"> sowie </w:t>
      </w:r>
      <w:r>
        <w:rPr>
          <w:rFonts w:cs="Arial"/>
        </w:rPr>
        <w:t>’</w:t>
      </w:r>
      <w:r w:rsidR="00CA4048">
        <w:t>Präsentation und Dokumentation</w:t>
      </w:r>
      <w:r>
        <w:rPr>
          <w:rFonts w:cs="Arial"/>
        </w:rPr>
        <w:t>‘</w:t>
      </w:r>
      <w:r w:rsidR="00C244B3">
        <w:t>“</w:t>
      </w:r>
      <w:r>
        <w:t>.</w:t>
      </w:r>
    </w:p>
    <w:p w:rsidR="00CA4048" w:rsidRPr="00323C4A" w:rsidRDefault="00CA4048" w:rsidP="00323C4A">
      <w:pPr>
        <w:pStyle w:val="LTAntwortRessortText"/>
        <w:spacing w:before="360"/>
        <w:rPr>
          <w:u w:val="single"/>
        </w:rPr>
      </w:pPr>
      <w:r w:rsidRPr="00323C4A">
        <w:rPr>
          <w:u w:val="single"/>
        </w:rPr>
        <w:t>Wirtschaftsschule:</w:t>
      </w:r>
    </w:p>
    <w:p w:rsidR="00CA4048" w:rsidRDefault="00CA4048" w:rsidP="00323C4A">
      <w:pPr>
        <w:pStyle w:val="LTAntwortRessortText"/>
        <w:spacing w:before="120"/>
      </w:pPr>
      <w:r>
        <w:t>Für die Wirtschaftsschule sieht der LehrplanPLUS durch entsprechend formulierte Kompetenzerwartungen implizit den Erwerb von Fertigkeiten im Tastschreiben vor, wenn für den Bereich Informationsverarbeitung die selbstständige und zielorientierte Anwendung von Techniken zur Verbesserung der Schreibsicherheit und Schreibfertigkeit genannt wird.</w:t>
      </w:r>
    </w:p>
    <w:p w:rsidR="00CA4048" w:rsidRDefault="00CA4048" w:rsidP="00CA4048">
      <w:pPr>
        <w:pStyle w:val="LTAntwortRessortText"/>
      </w:pPr>
      <w:r>
        <w:t>Als Beispiel: Im Lehrplan für das Fach Informationsverarbeitung der Wirtschaftsschule bringen folgende Kompetenzerwartungen zum Ausdruck, dass die Schülerinnen und Schüler Fertigkeiten im Tastschreiben erwerben sollen:</w:t>
      </w:r>
    </w:p>
    <w:p w:rsidR="008D02E5" w:rsidRDefault="008D02E5" w:rsidP="00CA4048">
      <w:pPr>
        <w:pStyle w:val="LTAntwortRessortText"/>
      </w:pPr>
    </w:p>
    <w:p w:rsidR="00CA4048" w:rsidRDefault="00CA4048" w:rsidP="00CA4048">
      <w:pPr>
        <w:pStyle w:val="LTAntwortRessortText"/>
      </w:pPr>
      <w:r>
        <w:lastRenderedPageBreak/>
        <w:t>Schülerinnen und Schüler</w:t>
      </w:r>
    </w:p>
    <w:p w:rsidR="00CA4048" w:rsidRDefault="00CA4048" w:rsidP="00323C4A">
      <w:pPr>
        <w:pStyle w:val="LTAntwortRessortText"/>
        <w:numPr>
          <w:ilvl w:val="1"/>
          <w:numId w:val="27"/>
        </w:numPr>
        <w:spacing w:before="120"/>
        <w:ind w:left="992" w:hanging="425"/>
      </w:pPr>
      <w:r>
        <w:t>nutzen Geräte der Informationstechnik rationell und sicher bei der Erstellung von Dokumenten. Sie steigern ihre Leistungen durch gezieltes</w:t>
      </w:r>
      <w:r w:rsidR="00323C4A">
        <w:t xml:space="preserve"> und eigenverantwortliches Üben</w:t>
      </w:r>
      <w:r w:rsidR="00E331E1">
        <w:t>.</w:t>
      </w:r>
      <w:r>
        <w:t xml:space="preserve"> </w:t>
      </w:r>
    </w:p>
    <w:p w:rsidR="00CA4048" w:rsidRDefault="00CA4048" w:rsidP="00323C4A">
      <w:pPr>
        <w:pStyle w:val="LTAntwortRessortText"/>
        <w:numPr>
          <w:ilvl w:val="1"/>
          <w:numId w:val="27"/>
        </w:numPr>
        <w:spacing w:before="120"/>
        <w:ind w:left="992" w:hanging="425"/>
      </w:pPr>
      <w:r>
        <w:t>hinterfragen bei der Arbeit mit dem Computer die eigene Einstellung zur Arbeit und reflektieren ihre Stärken und Verbesserungsbereiche, um Maßnahmen zur Optimierung ihrer Arbeitsweise treffen zu können. Die Schülerinnen und Schüler steigern durch Erfolgserlebnisse ihre Selbstmotivation, z. B. durch sichtbare Fortschritte bei der Schreibgeschwindigkeit und Schreibsicherheit.</w:t>
      </w:r>
    </w:p>
    <w:p w:rsidR="005C275B" w:rsidRDefault="005C275B"/>
    <w:p w:rsidR="005C275B" w:rsidRDefault="005C275B"/>
    <w:p w:rsidR="005C275B" w:rsidRDefault="005C275B"/>
    <w:p w:rsidR="008D02E5" w:rsidRDefault="008D02E5">
      <w:pPr>
        <w:rPr>
          <w:rFonts w:cs="Arial"/>
          <w:b/>
          <w:sz w:val="22"/>
          <w:szCs w:val="22"/>
        </w:rPr>
      </w:pPr>
      <w:r>
        <w:br w:type="page"/>
      </w:r>
    </w:p>
    <w:p w:rsidR="00CA4048" w:rsidRDefault="00CA4048" w:rsidP="00CA4048">
      <w:pPr>
        <w:pStyle w:val="LTUeberschrRessort"/>
      </w:pPr>
      <w:r>
        <w:lastRenderedPageBreak/>
        <w:t>Geschäftsbereich des Staatsministeriums für Wissenschaft und Kunst</w:t>
      </w:r>
      <w:r>
        <w:fldChar w:fldCharType="begin"/>
      </w:r>
      <w:r>
        <w:instrText xml:space="preserve"> TC </w:instrText>
      </w:r>
      <w:r w:rsidR="00C244B3">
        <w:instrText>„</w:instrText>
      </w:r>
      <w:bookmarkStart w:id="29" w:name="_Toc511895447"/>
      <w:r>
        <w:instrText>Geschäftsbereich des Staatsministeriums für Wissenschaft und Kunst</w:instrText>
      </w:r>
      <w:bookmarkEnd w:id="29"/>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Kerstin</w:t>
            </w:r>
            <w:r w:rsidRPr="00CA4048">
              <w:rPr>
                <w:b/>
              </w:rPr>
              <w:br/>
              <w:t>Celina</w:t>
            </w:r>
            <w:r w:rsidRPr="00CA4048">
              <w:rPr>
                <w:b/>
              </w:rPr>
              <w:br/>
            </w:r>
            <w:r w:rsidRPr="00CA4048">
              <w:t>(BÜNDNIS 90/DIE GRÜNEN)</w:t>
            </w:r>
            <w:r>
              <w:fldChar w:fldCharType="begin"/>
            </w:r>
            <w:r>
              <w:instrText xml:space="preserve"> TC </w:instrText>
            </w:r>
            <w:r w:rsidR="00C244B3">
              <w:instrText>„</w:instrText>
            </w:r>
            <w:bookmarkStart w:id="30" w:name="_Toc511895448"/>
            <w:r>
              <w:instrText>Celina, Kerstin (BÜNDNIS 90/DIE GRÜNEN)</w:instrText>
            </w:r>
            <w:r>
              <w:br/>
              <w:instrText>Kosten für den Archivneubau in Kitzingen</w:instrText>
            </w:r>
            <w:bookmarkEnd w:id="30"/>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Nachdem im Rahmen der Heimatstrategie, durch das Kabinett am 04.03.2015 beschlossen, die Entscheidung für die Verlagerung des Staatsarchivs Würzburg nach Kitzingen getroffen und nach einer erfolglosen Prüfung mehrerer Standorte mit Gebäudebestand durch die Immobilien Freistaat Bayern (IMBY) auf die erforderliche Beschaffenheit für die komplexen Anforderungen für ein Archivgebäude letztendlich ein Neubau in Kitzingen beschlossen wurde, frage ich die Staatsregierung nach dem aktuellen Stand der Planung für den Archivneubau (Zeitplan, Fachgutachten etc.), mit welchen Kosten die Staatsregierung aktuell bei der Umsetzung der Maßnahmen für den Archivneubau in Kitzingen rechnet (bitte die geplante Finanzierung sowie die einzelnen Maßnahmen auflisten) und welche Maßnahmen oder sonstigen Gründe die Abweichung der aktuell veranschlagten Kosten von der ursprünglichen Kostenplanung rechtfertigen?</w:t>
            </w:r>
          </w:p>
          <w:p w:rsidR="00CA4048" w:rsidRDefault="00CA4048" w:rsidP="00CA4048">
            <w:pPr>
              <w:pStyle w:val="LTAnfrageText"/>
            </w:pPr>
          </w:p>
        </w:tc>
      </w:tr>
    </w:tbl>
    <w:p w:rsidR="00CA4048" w:rsidRDefault="00CA4048" w:rsidP="00CA4048">
      <w:pPr>
        <w:pStyle w:val="LTUeberschrAntwortRessort"/>
      </w:pPr>
      <w:r>
        <w:t>Antwort des Staatsministeriums für Wissenschaft und Kunst</w:t>
      </w:r>
    </w:p>
    <w:p w:rsidR="00CA4048" w:rsidRDefault="00CA4048" w:rsidP="00CA4048">
      <w:pPr>
        <w:pStyle w:val="LTAntwortRessortText"/>
      </w:pPr>
      <w:r>
        <w:t>Für den Neubau des Staatsarchivs wurde am 25.07.2017, nach Zustimmung des Ausschusses für Staatshaushalt und Finanzfragen, ein Grundstück in Kitzingen (Deuster-Grundstück) erworben. Das Grundstück zeichnet sich insbesondere durch seine zentrale Lage in Kitzingen aus.</w:t>
      </w:r>
    </w:p>
    <w:p w:rsidR="00CA4048" w:rsidRDefault="00CA4048" w:rsidP="00E24F96">
      <w:pPr>
        <w:pStyle w:val="LTAntwortRessortText"/>
      </w:pPr>
      <w:r>
        <w:t>Die Generaldirektion der S</w:t>
      </w:r>
      <w:r w:rsidR="00E24F96">
        <w:t>taatlichen Archive Bayerns hat in Zusammenarbeit mit dem Staatlichen Bauamt Würzburg</w:t>
      </w:r>
      <w:r>
        <w:t xml:space="preserve"> für den Neu</w:t>
      </w:r>
      <w:r w:rsidR="00E24F96">
        <w:t>bau eines Verwaltungs- und Maga</w:t>
      </w:r>
      <w:r>
        <w:t>zingebäudes einen Bauantrag für eine große Ba</w:t>
      </w:r>
      <w:r w:rsidR="00E24F96">
        <w:t>umaßnahme erarbeitet und zur Ge</w:t>
      </w:r>
      <w:r>
        <w:t xml:space="preserve">nehmigung vorgelegt. Das Gebäude in Kitzingen </w:t>
      </w:r>
      <w:r w:rsidR="00E24F96">
        <w:t>wird den neuesten Standards hin</w:t>
      </w:r>
      <w:r>
        <w:t>sichtlich Klimatisierung, Deckentraglast etc. entsprechen sowie attraktive Bereiche für die Öffentlichkeit mit Lesesaal, Ausstellungsflä</w:t>
      </w:r>
      <w:r w:rsidR="00E24F96">
        <w:t xml:space="preserve">che und Vortragsraum erhalten. </w:t>
      </w:r>
    </w:p>
    <w:p w:rsidR="00CA4048" w:rsidRDefault="00CA4048" w:rsidP="00CA4048">
      <w:pPr>
        <w:pStyle w:val="LTAntwortRessortText"/>
      </w:pPr>
      <w:r>
        <w:t>Das Staatsministerium für Wissenschaft und Kunst bittet das Staatsministerium der Finanzen, für Landesentwicklung und Heimat sowi</w:t>
      </w:r>
      <w:r w:rsidR="00E24F96">
        <w:t>e das Staatsministerium für Woh</w:t>
      </w:r>
      <w:r>
        <w:t>nen, Bau und Verkehr derzeit im Umlaufverfahren um</w:t>
      </w:r>
      <w:r w:rsidR="00E24F96">
        <w:t xml:space="preserve"> die Genehmigung des Bauan</w:t>
      </w:r>
      <w:r>
        <w:t>trags und um Zustimmung zur Erteilung eines entsprechenden Planungsauftrags. Die Kostenfestsetzung wird im Rahmen der Erstellung d</w:t>
      </w:r>
      <w:r w:rsidR="00E24F96">
        <w:t>er Haushaltsunterlage Bau erfol</w:t>
      </w:r>
      <w:r>
        <w:t>gen.</w:t>
      </w:r>
    </w:p>
    <w:p w:rsidR="00826E56" w:rsidRDefault="00826E56"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Jürgen</w:t>
            </w:r>
            <w:r w:rsidRPr="00CA4048">
              <w:rPr>
                <w:b/>
              </w:rPr>
              <w:br/>
              <w:t>Mistol</w:t>
            </w:r>
            <w:r w:rsidRPr="00CA4048">
              <w:rPr>
                <w:b/>
              </w:rPr>
              <w:br/>
            </w:r>
            <w:r w:rsidRPr="00CA4048">
              <w:t>(BÜNDNIS 90/DIE GRÜNEN)</w:t>
            </w:r>
            <w:r>
              <w:fldChar w:fldCharType="begin"/>
            </w:r>
            <w:r>
              <w:instrText xml:space="preserve"> TC </w:instrText>
            </w:r>
            <w:r w:rsidR="00C244B3">
              <w:instrText>„</w:instrText>
            </w:r>
            <w:bookmarkStart w:id="31" w:name="_Toc511895449"/>
            <w:r>
              <w:instrText>Mistol, Jürgen (BÜNDNIS 90/DIE GRÜNEN)</w:instrText>
            </w:r>
            <w:r>
              <w:br/>
              <w:instrText>Keramik-Museum Weiden</w:instrText>
            </w:r>
            <w:bookmarkEnd w:id="31"/>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welchen Stand haben die Verhandlungen zwischen der Staatsregierung und der Stadt Weiden in der Oberpfalz mit dem Ziel, den Betrieb des Internationalen Keramik-Museums </w:t>
            </w:r>
            <w:r w:rsidR="0092337C">
              <w:t>–</w:t>
            </w:r>
            <w:r>
              <w:t xml:space="preserve"> ein Zweigmuseum der Neuen Sammlung München </w:t>
            </w:r>
            <w:r w:rsidR="0092337C">
              <w:t>–</w:t>
            </w:r>
            <w:r>
              <w:t xml:space="preserve"> fortzuführen?</w:t>
            </w:r>
          </w:p>
          <w:p w:rsidR="00CA4048" w:rsidRDefault="00CA4048" w:rsidP="00CA4048">
            <w:pPr>
              <w:pStyle w:val="LTAnfrageText"/>
            </w:pPr>
          </w:p>
        </w:tc>
      </w:tr>
    </w:tbl>
    <w:p w:rsidR="00CA4048" w:rsidRDefault="00CA4048" w:rsidP="00CA4048">
      <w:pPr>
        <w:pStyle w:val="LTUeberschrAntwortRessort"/>
      </w:pPr>
      <w:r>
        <w:lastRenderedPageBreak/>
        <w:t>Antwort des Staatsministeriums für Wissenschaft und Kunst</w:t>
      </w:r>
    </w:p>
    <w:p w:rsidR="00CA4048" w:rsidRDefault="00CA4048" w:rsidP="00CA4048">
      <w:pPr>
        <w:pStyle w:val="LTAntwortRessortText"/>
      </w:pPr>
      <w:r>
        <w:t>Mit Schreiben vom 29.08.2016 wurde seitens der Stadt der am 08.03.1985 zwischen dem Freistaat Bayern und der Stadt Weiden i.</w:t>
      </w:r>
      <w:r w:rsidR="0092337C">
        <w:t xml:space="preserve"> </w:t>
      </w:r>
      <w:r>
        <w:t>d.</w:t>
      </w:r>
      <w:r w:rsidR="0092337C">
        <w:t xml:space="preserve"> Oberpfalz</w:t>
      </w:r>
      <w:r>
        <w:t xml:space="preserve"> geschlossene Vertrag über die Errichtung des staatlichen Zweigmuseums </w:t>
      </w:r>
      <w:r w:rsidR="00C244B3">
        <w:t>„</w:t>
      </w:r>
      <w:r>
        <w:t>Internationales Keramik</w:t>
      </w:r>
      <w:r w:rsidR="00B028B8">
        <w:t>-M</w:t>
      </w:r>
      <w:r>
        <w:t>useum</w:t>
      </w:r>
      <w:r w:rsidR="00C244B3">
        <w:t>“</w:t>
      </w:r>
      <w:r>
        <w:t xml:space="preserve"> zum August 2019 gekündigt. </w:t>
      </w:r>
    </w:p>
    <w:p w:rsidR="00CA4048" w:rsidRDefault="00CA4048" w:rsidP="00CA4048">
      <w:pPr>
        <w:pStyle w:val="LTAntwortRessortText"/>
      </w:pPr>
      <w:r>
        <w:t>Das damalige Staatsministerium für Bildung und Ku</w:t>
      </w:r>
      <w:r w:rsidR="0092337C">
        <w:t>ltus, Wissenschaft und Kunst be</w:t>
      </w:r>
      <w:r>
        <w:t xml:space="preserve">stätigte mit Schreiben vom 07.10.2016 an Herrn Oberbürgermeister </w:t>
      </w:r>
      <w:r w:rsidR="0092337C">
        <w:t xml:space="preserve">Kurt </w:t>
      </w:r>
      <w:r>
        <w:t>Seggewiß den Eingang der Kündigung. Sollte die Stadt Weiden M</w:t>
      </w:r>
      <w:r w:rsidR="0092337C">
        <w:t>öglichkeiten finden, den Fortbe</w:t>
      </w:r>
      <w:r>
        <w:t>stand des Internationalen Keramik-Museums zu ge</w:t>
      </w:r>
      <w:r w:rsidR="0092337C">
        <w:t>währleisten, steht das Staatsmi</w:t>
      </w:r>
      <w:r>
        <w:t>nisterium</w:t>
      </w:r>
      <w:r w:rsidR="0092337C">
        <w:t xml:space="preserve"> für </w:t>
      </w:r>
      <w:r w:rsidR="00B028B8">
        <w:t>Wissenschaft und Kunst (StMWK</w:t>
      </w:r>
      <w:r w:rsidR="0092337C">
        <w:t>)</w:t>
      </w:r>
      <w:r>
        <w:t xml:space="preserve"> für Verhandlungen über</w:t>
      </w:r>
      <w:r w:rsidR="000D67EF">
        <w:t xml:space="preserve"> einen Neuabschluss des Vertrag</w:t>
      </w:r>
      <w:r>
        <w:t>s zur Verfügung.</w:t>
      </w:r>
    </w:p>
    <w:p w:rsidR="00CA4048" w:rsidRDefault="00CA4048" w:rsidP="00CA4048">
      <w:pPr>
        <w:pStyle w:val="LTAntwortRessortText"/>
      </w:pPr>
      <w:r>
        <w:t xml:space="preserve">Bisher hat das </w:t>
      </w:r>
      <w:r w:rsidR="00B028B8">
        <w:t>StMW</w:t>
      </w:r>
      <w:r w:rsidR="0092337C">
        <w:t>K</w:t>
      </w:r>
      <w:r>
        <w:t xml:space="preserve"> aber keine Anfr</w:t>
      </w:r>
      <w:r w:rsidR="0092337C">
        <w:t>age der Stadt Weiden zur Aufnah</w:t>
      </w:r>
      <w:r>
        <w:t>me von Verhandlungen über einen neuen Zweigmuseumsvertrag erhalten. Die Stadt Weiden wurde über die bestehenden Fördermöglichkeiten für nichtstaatliche Museen informiert.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Helga</w:t>
            </w:r>
            <w:r w:rsidRPr="00CA4048">
              <w:rPr>
                <w:b/>
              </w:rPr>
              <w:br/>
              <w:t>Schmitt-Bussinger</w:t>
            </w:r>
            <w:r w:rsidRPr="00CA4048">
              <w:rPr>
                <w:b/>
              </w:rPr>
              <w:br/>
            </w:r>
            <w:r w:rsidRPr="00CA4048">
              <w:t>(SPD)</w:t>
            </w:r>
            <w:r>
              <w:fldChar w:fldCharType="begin"/>
            </w:r>
            <w:r>
              <w:instrText xml:space="preserve"> TC </w:instrText>
            </w:r>
            <w:r w:rsidR="00C244B3">
              <w:instrText>„</w:instrText>
            </w:r>
            <w:bookmarkStart w:id="32" w:name="_Toc511895450"/>
            <w:r>
              <w:instrText>Schmitt-Bussinger, Helga (SPD)</w:instrText>
            </w:r>
            <w:r>
              <w:br/>
              <w:instrText>Sanierung der Universität Erlangen-Nürnberg</w:instrText>
            </w:r>
            <w:bookmarkEnd w:id="32"/>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welche Bausanierungen der Friedrich-Alexander-Universität Erlangen-Nürnberg sind für die nächsten zehn Jahre notwendig, wie sind jeweils die Kosten und wann werden die Sanierungen jeweils durchgeführt?</w:t>
            </w:r>
          </w:p>
          <w:p w:rsidR="00CA4048" w:rsidRDefault="00CA4048" w:rsidP="00CA4048">
            <w:pPr>
              <w:pStyle w:val="LTAnfrageText"/>
            </w:pPr>
          </w:p>
        </w:tc>
      </w:tr>
    </w:tbl>
    <w:p w:rsidR="00CA4048" w:rsidRDefault="00CA4048" w:rsidP="00CA4048">
      <w:pPr>
        <w:pStyle w:val="LTUeberschrAntwortRessort"/>
      </w:pPr>
      <w:r>
        <w:t>Antwort des Staatsministeriums für Wissenschaft und Kunst</w:t>
      </w:r>
    </w:p>
    <w:p w:rsidR="00CA4048" w:rsidRDefault="00A61A12" w:rsidP="00CA4048">
      <w:pPr>
        <w:pStyle w:val="LTAntwortRessortText"/>
      </w:pPr>
      <w:r>
        <w:t>In der Anlage S zum Einze</w:t>
      </w:r>
      <w:r w:rsidR="00826E56">
        <w:t>l</w:t>
      </w:r>
      <w:r>
        <w:t>plan</w:t>
      </w:r>
      <w:r w:rsidR="00CA4048">
        <w:t xml:space="preserve"> 15, </w:t>
      </w:r>
      <w:r w:rsidR="00B028B8">
        <w:t>Kap.</w:t>
      </w:r>
      <w:r w:rsidR="00CA4048">
        <w:t xml:space="preserve"> 15</w:t>
      </w:r>
      <w:r w:rsidR="00B028B8">
        <w:t> </w:t>
      </w:r>
      <w:r w:rsidR="00CA4048">
        <w:t xml:space="preserve">19 im </w:t>
      </w:r>
      <w:r>
        <w:t>Doppelhaushalt</w:t>
      </w:r>
      <w:r w:rsidR="00CA4048">
        <w:t xml:space="preserve"> 2017/</w:t>
      </w:r>
      <w:r>
        <w:t>20</w:t>
      </w:r>
      <w:r w:rsidR="00CA4048">
        <w:t>18 sind wesentliche</w:t>
      </w:r>
      <w:r>
        <w:t xml:space="preserve"> Sanie</w:t>
      </w:r>
      <w:r w:rsidR="00CA4048">
        <w:t xml:space="preserve">rungs- und Baumaßnahmen für die bestehenden Bedarfe und Entwicklungen der </w:t>
      </w:r>
      <w:r>
        <w:t>Friedrich-Alexander-Universität Erlangen-Nürnberg (</w:t>
      </w:r>
      <w:r w:rsidR="00CA4048">
        <w:t>FAU</w:t>
      </w:r>
      <w:r>
        <w:t>)</w:t>
      </w:r>
      <w:r w:rsidR="00CA4048">
        <w:t xml:space="preserve"> berücksichtigt. Im Jahr 2017 betrugen die Ausgaben für große Baumaßnahmen der FAU (einschließlich des </w:t>
      </w:r>
      <w:r>
        <w:t xml:space="preserve">Universitätsklinikums Erlangen – </w:t>
      </w:r>
      <w:r>
        <w:br/>
        <w:t>UKER</w:t>
      </w:r>
      <w:r w:rsidR="00CA4048">
        <w:t xml:space="preserve">) über 60 Mio. </w:t>
      </w:r>
      <w:r w:rsidR="00C244B3">
        <w:t>Euro</w:t>
      </w:r>
      <w:r w:rsidR="00CA4048">
        <w:t xml:space="preserve">. Die festgesetzten Gesamtkosten aller derzeit in Bau befindlichen großen Neubau-, Umbau- und Erweiterungsmaßnahmen für die FAU beträgt rund 200 Mio. </w:t>
      </w:r>
      <w:r w:rsidR="00C244B3">
        <w:t>Euro</w:t>
      </w:r>
      <w:r w:rsidR="00CA4048">
        <w:t xml:space="preserve"> und zu</w:t>
      </w:r>
      <w:r w:rsidR="00826E56">
        <w:t>s</w:t>
      </w:r>
      <w:r w:rsidR="00CA4048">
        <w:t xml:space="preserve">ätzlich rund 180 Mio. </w:t>
      </w:r>
      <w:r w:rsidR="00C244B3">
        <w:t>Euro</w:t>
      </w:r>
      <w:r w:rsidR="00CA4048">
        <w:t xml:space="preserve"> für das UKER. Für weitere große Hochbaumaßnahmen der FAU für insgesamt rund 70 Mio. </w:t>
      </w:r>
      <w:r w:rsidR="00C244B3">
        <w:t>Euro</w:t>
      </w:r>
      <w:r w:rsidR="00CA4048">
        <w:t xml:space="preserve"> werden derzeit die konkreten HU-Bau-Planungen </w:t>
      </w:r>
      <w:r>
        <w:t xml:space="preserve">(HU = Haushaltsunterlage) </w:t>
      </w:r>
      <w:r w:rsidR="00CA4048">
        <w:t>erstellt.</w:t>
      </w:r>
    </w:p>
    <w:p w:rsidR="00CA4048" w:rsidRDefault="00CA4048" w:rsidP="00CA4048">
      <w:pPr>
        <w:pStyle w:val="LTAntwortRessortText"/>
      </w:pPr>
      <w:r>
        <w:t>Darüber hinaus sind zahlreiche Sanierungs- u</w:t>
      </w:r>
      <w:r w:rsidR="00A61A12">
        <w:t>nd Neubaumaßnahmen in der Bauan</w:t>
      </w:r>
      <w:r>
        <w:t>tragsphase. Dazu zählen beispielsweise für die Tec</w:t>
      </w:r>
      <w:r w:rsidR="00A61A12">
        <w:t>hnische und Naturwissenschaftli</w:t>
      </w:r>
      <w:r>
        <w:t xml:space="preserve">che Fakultät der </w:t>
      </w:r>
      <w:r w:rsidR="00A61A12">
        <w:t>zweite</w:t>
      </w:r>
      <w:r>
        <w:t xml:space="preserve"> Bauabschnitt des Chemikums und der Neubau für die Technische Chemie auf dem Südgelände-Campus und für die </w:t>
      </w:r>
      <w:r w:rsidR="00A61A12">
        <w:t>Philosophische Fakultät der Auf</w:t>
      </w:r>
      <w:r>
        <w:t>bau des Geisteswissenschaftlichen Zentrums im Umgriff des sog. Himbeerpalastes. Ferner steht mittelfristig die Zusammenführung u</w:t>
      </w:r>
      <w:r w:rsidR="00A61A12">
        <w:t>nd Weiterentwicklung der Techni</w:t>
      </w:r>
      <w:r>
        <w:t>schen Fakultät auf dem Erlanger Südgelände und Teilen des Siemens-Campus an.</w:t>
      </w:r>
    </w:p>
    <w:p w:rsidR="00CA4048" w:rsidRDefault="00CA4048" w:rsidP="00CA4048">
      <w:pPr>
        <w:pStyle w:val="LTAntwortRessortText"/>
      </w:pPr>
      <w:r>
        <w:t>Die Realisierung dieser und weiterer Maßnahmen a</w:t>
      </w:r>
      <w:r w:rsidR="00A61A12">
        <w:t>n der FAU wird von der Staatsre</w:t>
      </w:r>
      <w:r>
        <w:t xml:space="preserve">gierung auch künftig mit hoher Priorität verfolgt. Welche konkreten Haushaltsmittel für die Sanierungsbedarfe der FAU eingesetzt werden können, ist im Zuge der Haushaltsaufstellung in Zusammenschau mit den Bedarfen aller Einrichtungen im Geschäftsbereichs des </w:t>
      </w:r>
      <w:r w:rsidR="000D67EF">
        <w:t>Staatsministeriums für Wissenschaft und Kunst</w:t>
      </w:r>
      <w:r>
        <w:t xml:space="preserve"> zu entscheiden und hängt von der Frage ab, in welchem Umfang in den kommenden Jahren insgesamt Mittel für</w:t>
      </w:r>
      <w:r w:rsidR="00A61A12">
        <w:t xml:space="preserve"> den staatlichen Hochbau im Einze</w:t>
      </w:r>
      <w:r w:rsidR="008A310F">
        <w:t>l</w:t>
      </w:r>
      <w:r w:rsidR="00A61A12">
        <w:t>plan</w:t>
      </w:r>
      <w:r>
        <w:t xml:space="preserve"> 15 zur Verfügung stehen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lastRenderedPageBreak/>
              <w:t>Abgeordneter</w:t>
            </w:r>
            <w:r w:rsidRPr="00CA4048">
              <w:br/>
            </w:r>
            <w:r w:rsidRPr="00CA4048">
              <w:rPr>
                <w:b/>
              </w:rPr>
              <w:t>Florian</w:t>
            </w:r>
            <w:r w:rsidRPr="00CA4048">
              <w:rPr>
                <w:b/>
              </w:rPr>
              <w:br/>
              <w:t>Streibl</w:t>
            </w:r>
            <w:r w:rsidRPr="00CA4048">
              <w:rPr>
                <w:b/>
              </w:rPr>
              <w:br/>
            </w:r>
            <w:r w:rsidRPr="00CA4048">
              <w:t>(FREIE WÄHLER)</w:t>
            </w:r>
            <w:r>
              <w:fldChar w:fldCharType="begin"/>
            </w:r>
            <w:r>
              <w:instrText xml:space="preserve"> TC </w:instrText>
            </w:r>
            <w:r w:rsidR="00C244B3">
              <w:instrText>„</w:instrText>
            </w:r>
            <w:bookmarkStart w:id="33" w:name="_Toc511895451"/>
            <w:r>
              <w:instrText>Streibl, Florian (FREIE WÄHLER)</w:instrText>
            </w:r>
            <w:r>
              <w:br/>
              <w:instrText>Richard-Strauss-Festival</w:instrText>
            </w:r>
            <w:bookmarkEnd w:id="33"/>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zu welchem Ergebnis kamen die seit Anfang 2016 bis jetzt geführten Verhandlungen (bitte Zeitpunkt der entsprechenden Verhandlungen sowie alle Teilnehmerinnen und Teilnehmer nennen) der Staatsregierung mit den Verantwortlichen des Richard-Strauss-Festivals in Garmisch-Partenkirchen hinsichtlich der künftigen Förderung des bislang vom Freistaat Bayern unterfinanzierten Festivals (bitte die zu erwartende Höhe sowie die inhaltlichen Ziele der künftigen Förderung angeben)?</w:t>
            </w:r>
          </w:p>
          <w:p w:rsidR="00CA4048" w:rsidRDefault="00CA4048" w:rsidP="00CA4048">
            <w:pPr>
              <w:pStyle w:val="LTAnfrageText"/>
            </w:pPr>
          </w:p>
        </w:tc>
      </w:tr>
    </w:tbl>
    <w:p w:rsidR="00CA4048" w:rsidRDefault="00CA4048" w:rsidP="00CA4048">
      <w:pPr>
        <w:pStyle w:val="LTUeberschrAntwortRessort"/>
      </w:pPr>
      <w:r>
        <w:t>Antwort des Staatsministeriums für Wissenschaft und Kunst</w:t>
      </w:r>
    </w:p>
    <w:p w:rsidR="00CA4048" w:rsidRDefault="00CA4048" w:rsidP="00CA4048">
      <w:pPr>
        <w:pStyle w:val="LTAntwortRessortText"/>
      </w:pPr>
      <w:r>
        <w:t>In der Angelegenheit des Richard-Strauss-Festivals fanden in den letzten Jahren zahlreiche Gespräche mit der Staatsregierung statt. Ohn</w:t>
      </w:r>
      <w:r w:rsidR="00A23261">
        <w:t xml:space="preserve">e Anspruch auf Vollständigkeit </w:t>
      </w:r>
      <w:r>
        <w:t xml:space="preserve">seien hier im fraglichen Zeitraum folgende größere Gespräche genannt: </w:t>
      </w:r>
    </w:p>
    <w:p w:rsidR="00CA4048" w:rsidRDefault="00A23261" w:rsidP="00A23261">
      <w:pPr>
        <w:pStyle w:val="LTAntwortRessortText"/>
        <w:numPr>
          <w:ilvl w:val="1"/>
          <w:numId w:val="27"/>
        </w:numPr>
        <w:spacing w:before="120"/>
        <w:ind w:left="992" w:hanging="425"/>
      </w:pPr>
      <w:r>
        <w:t>0</w:t>
      </w:r>
      <w:r w:rsidR="00CA4048">
        <w:t xml:space="preserve">1.02.2016: Gespräch der Verantwortlichen des Marktes bei </w:t>
      </w:r>
      <w:r>
        <w:t xml:space="preserve">dem damaligen </w:t>
      </w:r>
      <w:r w:rsidR="00CA4048">
        <w:t>Staatssekretär</w:t>
      </w:r>
      <w:r>
        <w:t xml:space="preserve"> für Bildung und Kultus, Wissenschaft und Kunst, Bernd</w:t>
      </w:r>
      <w:r w:rsidR="00CA4048">
        <w:t xml:space="preserve"> Sibler</w:t>
      </w:r>
      <w:r w:rsidR="00B028B8">
        <w:t>;</w:t>
      </w:r>
    </w:p>
    <w:p w:rsidR="00CA4048" w:rsidRDefault="00CA4048" w:rsidP="00A23261">
      <w:pPr>
        <w:pStyle w:val="LTAntwortRessortText"/>
        <w:numPr>
          <w:ilvl w:val="1"/>
          <w:numId w:val="27"/>
        </w:numPr>
        <w:spacing w:before="120"/>
        <w:ind w:left="992" w:hanging="425"/>
      </w:pPr>
      <w:r>
        <w:t>26.04.2016: Gespräch d</w:t>
      </w:r>
      <w:r w:rsidR="00E11362">
        <w:t xml:space="preserve">er Leiterin der Kunstabteilung </w:t>
      </w:r>
      <w:r>
        <w:t>mit Ver</w:t>
      </w:r>
      <w:r w:rsidR="00E11362">
        <w:t>antwortlichen des Marktes in Garmisch-Partenkirchen</w:t>
      </w:r>
      <w:r w:rsidR="00B028B8">
        <w:t>;</w:t>
      </w:r>
    </w:p>
    <w:p w:rsidR="00CA4048" w:rsidRDefault="00CA4048" w:rsidP="00A23261">
      <w:pPr>
        <w:pStyle w:val="LTAntwortRessortText"/>
        <w:numPr>
          <w:ilvl w:val="1"/>
          <w:numId w:val="27"/>
        </w:numPr>
        <w:spacing w:before="120"/>
        <w:ind w:left="992" w:hanging="425"/>
      </w:pPr>
      <w:r>
        <w:t xml:space="preserve">17.06.2016: Kuratorium des Richard-Strauss-Festivals (Vertretung durch den Leiter des </w:t>
      </w:r>
      <w:r w:rsidR="00E11362">
        <w:t>Musik- und Heimatpflegereferats</w:t>
      </w:r>
      <w:r>
        <w:t>)</w:t>
      </w:r>
      <w:r w:rsidR="00B028B8">
        <w:t>;</w:t>
      </w:r>
    </w:p>
    <w:p w:rsidR="00CA4048" w:rsidRDefault="00CA4048" w:rsidP="00A23261">
      <w:pPr>
        <w:pStyle w:val="LTAntwortRessortText"/>
        <w:numPr>
          <w:ilvl w:val="1"/>
          <w:numId w:val="27"/>
        </w:numPr>
        <w:spacing w:before="120"/>
        <w:ind w:left="992" w:hanging="425"/>
      </w:pPr>
      <w:r>
        <w:t xml:space="preserve">28.07.2016: Gespräch der Verantwortlichen des Marktes über Neukonzept bei </w:t>
      </w:r>
      <w:r w:rsidR="00E11362">
        <w:t>der Leiterin der Kunstabteilung</w:t>
      </w:r>
      <w:r w:rsidR="00B028B8">
        <w:t>;</w:t>
      </w:r>
    </w:p>
    <w:p w:rsidR="00CA4048" w:rsidRDefault="00CA4048" w:rsidP="00A23261">
      <w:pPr>
        <w:pStyle w:val="LTAntwortRessortText"/>
        <w:numPr>
          <w:ilvl w:val="1"/>
          <w:numId w:val="27"/>
        </w:numPr>
        <w:spacing w:before="120"/>
        <w:ind w:left="992" w:hanging="425"/>
      </w:pPr>
      <w:r>
        <w:t xml:space="preserve">28.09.2016: Gespräch von </w:t>
      </w:r>
      <w:r w:rsidR="00E11362">
        <w:t xml:space="preserve">Herrn </w:t>
      </w:r>
      <w:r>
        <w:t xml:space="preserve">Alexander Liebreich bei dem Leiter des Musik- </w:t>
      </w:r>
      <w:r w:rsidR="00E11362">
        <w:t>und Heimatpflegereferats</w:t>
      </w:r>
      <w:r w:rsidR="00B028B8">
        <w:t>;</w:t>
      </w:r>
    </w:p>
    <w:p w:rsidR="00CA4048" w:rsidRDefault="00CA4048" w:rsidP="00A23261">
      <w:pPr>
        <w:pStyle w:val="LTAntwortRessortText"/>
        <w:numPr>
          <w:ilvl w:val="1"/>
          <w:numId w:val="27"/>
        </w:numPr>
        <w:spacing w:before="120"/>
        <w:ind w:left="992" w:hanging="425"/>
      </w:pPr>
      <w:r>
        <w:t xml:space="preserve">16.01.2017: Gespräch der Verantwortlichen des Marktes über Neukonzept bei </w:t>
      </w:r>
      <w:r w:rsidR="00E11362">
        <w:t xml:space="preserve">dem damaligen </w:t>
      </w:r>
      <w:r>
        <w:t>Staatsminister</w:t>
      </w:r>
      <w:r w:rsidR="00E11362">
        <w:t xml:space="preserve"> für Bildung und Kultus, Wissenschaft und Kunst,</w:t>
      </w:r>
      <w:r>
        <w:t xml:space="preserve"> Dr. </w:t>
      </w:r>
      <w:r w:rsidR="00E11362">
        <w:t xml:space="preserve">Ludwig </w:t>
      </w:r>
      <w:r>
        <w:t>Spaenle</w:t>
      </w:r>
      <w:r w:rsidR="00B028B8">
        <w:t>;</w:t>
      </w:r>
    </w:p>
    <w:p w:rsidR="00CA4048" w:rsidRDefault="00CA4048" w:rsidP="00A23261">
      <w:pPr>
        <w:pStyle w:val="LTAntwortRessortText"/>
        <w:numPr>
          <w:ilvl w:val="1"/>
          <w:numId w:val="27"/>
        </w:numPr>
        <w:spacing w:before="120"/>
        <w:ind w:left="992" w:hanging="425"/>
      </w:pPr>
      <w:r>
        <w:t>28.06.2017: Kuratorium des Richard-Strauss-Festivals (Vertretung durch den Leiter des Musik- und Heimatpflegereferats)</w:t>
      </w:r>
      <w:r w:rsidR="00B028B8">
        <w:t>;</w:t>
      </w:r>
    </w:p>
    <w:p w:rsidR="00CA4048" w:rsidRDefault="00CA4048" w:rsidP="00A23261">
      <w:pPr>
        <w:pStyle w:val="LTAntwortRessortText"/>
        <w:numPr>
          <w:ilvl w:val="1"/>
          <w:numId w:val="27"/>
        </w:numPr>
        <w:spacing w:before="120"/>
        <w:ind w:left="992" w:hanging="425"/>
      </w:pPr>
      <w:r>
        <w:t>10.08.2017: Gespräch vom Richard-Strauss-Institut beim Leiter des Musik- und Heimatpflegereferats</w:t>
      </w:r>
      <w:r w:rsidR="00B028B8">
        <w:t>;</w:t>
      </w:r>
    </w:p>
    <w:p w:rsidR="00CA4048" w:rsidRDefault="00CA4048" w:rsidP="00A23261">
      <w:pPr>
        <w:pStyle w:val="LTAntwortRessortText"/>
        <w:numPr>
          <w:ilvl w:val="1"/>
          <w:numId w:val="27"/>
        </w:numPr>
        <w:spacing w:before="120"/>
        <w:ind w:left="992" w:hanging="425"/>
      </w:pPr>
      <w:r>
        <w:t>08.12.2</w:t>
      </w:r>
      <w:r w:rsidR="00E11362">
        <w:t>017: Vorstellung des Neukonzept</w:t>
      </w:r>
      <w:r>
        <w:t xml:space="preserve">s des Festivals durch die neue künstlerische Leitung </w:t>
      </w:r>
      <w:r w:rsidR="00E11362">
        <w:t xml:space="preserve">Herrn </w:t>
      </w:r>
      <w:r>
        <w:t>Alexander Liebreich (Vertretung durch den Leiter des Musik- und Heimatpflegereferats)</w:t>
      </w:r>
      <w:r w:rsidR="00B028B8">
        <w:t>;</w:t>
      </w:r>
    </w:p>
    <w:p w:rsidR="00CA4048" w:rsidRDefault="00CA4048" w:rsidP="0033341B">
      <w:pPr>
        <w:pStyle w:val="LTAntwortRessortText"/>
        <w:numPr>
          <w:ilvl w:val="1"/>
          <w:numId w:val="27"/>
        </w:numPr>
        <w:spacing w:before="120"/>
        <w:ind w:left="992" w:hanging="425"/>
      </w:pPr>
      <w:r>
        <w:t>08.02.2018: Kuratorium des Richard-Strauss-</w:t>
      </w:r>
      <w:r w:rsidR="00E11362">
        <w:t xml:space="preserve">Festivals (Vertretung durch den </w:t>
      </w:r>
      <w:r>
        <w:t>Leiter des Musik- und Heimatpflegereferats)</w:t>
      </w:r>
      <w:r w:rsidR="00B028B8">
        <w:t>;</w:t>
      </w:r>
    </w:p>
    <w:p w:rsidR="00CA4048" w:rsidRDefault="00CA4048" w:rsidP="00A23261">
      <w:pPr>
        <w:pStyle w:val="LTAntwortRessortText"/>
        <w:numPr>
          <w:ilvl w:val="1"/>
          <w:numId w:val="27"/>
        </w:numPr>
        <w:spacing w:before="120"/>
        <w:ind w:left="992" w:hanging="425"/>
      </w:pPr>
      <w:r>
        <w:t xml:space="preserve">14.03.2018: Gespräch beim Musikratspräsidenten </w:t>
      </w:r>
      <w:r w:rsidR="00E11362">
        <w:t xml:space="preserve">Herrn </w:t>
      </w:r>
      <w:r>
        <w:t xml:space="preserve">Dr. </w:t>
      </w:r>
      <w:r w:rsidR="00E11362">
        <w:t xml:space="preserve">Thomas </w:t>
      </w:r>
      <w:r>
        <w:t xml:space="preserve">Goppel (Vertretung hier durch die Leiterin der Kunstabteilung und den Leiter des Musik- und Heimatpflegereferats). </w:t>
      </w:r>
    </w:p>
    <w:p w:rsidR="00CA4048" w:rsidRDefault="00CA4048" w:rsidP="00CA4048">
      <w:pPr>
        <w:pStyle w:val="LTAntwortRessortText"/>
      </w:pPr>
      <w:r>
        <w:t xml:space="preserve">Aus Sicht der Staatsregierung ist das Festival nicht grundsätzlich </w:t>
      </w:r>
      <w:r w:rsidR="00C244B3">
        <w:t>„</w:t>
      </w:r>
      <w:r>
        <w:t>unterfinanziert</w:t>
      </w:r>
      <w:r w:rsidR="00C244B3">
        <w:t>“</w:t>
      </w:r>
      <w:r>
        <w:t>. Die staatliche Förderung für 2017 erfolgte, wie auch in den letzten Jahren, aus den Förderansätzen der künstleri</w:t>
      </w:r>
      <w:r>
        <w:lastRenderedPageBreak/>
        <w:t>schen Musikpflege (Kap</w:t>
      </w:r>
      <w:r w:rsidR="00B028B8">
        <w:t>.</w:t>
      </w:r>
      <w:r>
        <w:t xml:space="preserve"> 15 05 TG 75) und betrug hier antragsgemäß 70.000 </w:t>
      </w:r>
      <w:r w:rsidR="00C244B3">
        <w:t>Euro</w:t>
      </w:r>
      <w:r>
        <w:t xml:space="preserve">. Die staatliche Förderung ist damit seit 2014 (25.000 </w:t>
      </w:r>
      <w:r w:rsidR="00C244B3">
        <w:t>Euro</w:t>
      </w:r>
      <w:r>
        <w:t xml:space="preserve">) um rund 180 </w:t>
      </w:r>
      <w:r w:rsidR="00C244B3">
        <w:t>Prozent</w:t>
      </w:r>
      <w:r>
        <w:t xml:space="preserve"> gestiegen.</w:t>
      </w:r>
    </w:p>
    <w:p w:rsidR="00CA4048" w:rsidRDefault="00CA4048" w:rsidP="00CA4048">
      <w:pPr>
        <w:pStyle w:val="LTAntwortRessortText"/>
      </w:pPr>
      <w:r>
        <w:t xml:space="preserve">Die Neukonzeption des Festivals unter der künstlerischen Leitung von </w:t>
      </w:r>
      <w:r w:rsidR="00E11362">
        <w:t xml:space="preserve">Herrn </w:t>
      </w:r>
      <w:r>
        <w:t>Alexander Liebreich sieht eine erhebliche Ausweitung des Festivals in räumlicher und programmatischer Hinsicht ab 2018 vor. Hierzu haben (s.</w:t>
      </w:r>
      <w:r w:rsidR="00E11362">
        <w:t> </w:t>
      </w:r>
      <w:r>
        <w:t>o.) auch zahlreiche Gespräche mit der Staatsregierung stattgefunden. Im Ergebnis haben die Verantwortlichen für das Festival 2018 eine A</w:t>
      </w:r>
      <w:r w:rsidR="00E11362">
        <w:t xml:space="preserve">nschubfinanzierung über den </w:t>
      </w:r>
      <w:r>
        <w:t xml:space="preserve">Kulturfonds beantragt. Dieser Antrag wird grundsätzlich für aussichtsreich angesehen; die finale Entscheidung über den Zuschuss kann nach den Regularien des Kulturfonds (nach den Entscheidungen im Ministerrat und im Landtag) aber erst Mitte Juni </w:t>
      </w:r>
      <w:r w:rsidR="00E11362">
        <w:t xml:space="preserve">2018 </w:t>
      </w:r>
      <w:r>
        <w:t xml:space="preserve">fallen. </w:t>
      </w:r>
    </w:p>
    <w:p w:rsidR="00CA4048" w:rsidRDefault="00CA4048" w:rsidP="00CA4048">
      <w:pPr>
        <w:pStyle w:val="LTAntwortRessortText"/>
      </w:pPr>
      <w:r>
        <w:t>Ziel der neuen Festivalskonzeption ist es dabei, die künstlerische Attraktivität noch zu erhöhen sowie die überregionale Ausstrahlung einerseits wie die Verankerung des Komponisten Richard Strauss in der Region andererseits weiter zu stärken und zu profilieren.</w:t>
      </w:r>
    </w:p>
    <w:p w:rsidR="00826E56" w:rsidRDefault="00826E56"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Isabell</w:t>
            </w:r>
            <w:r w:rsidRPr="00CA4048">
              <w:rPr>
                <w:b/>
              </w:rPr>
              <w:br/>
              <w:t>Zacharias</w:t>
            </w:r>
            <w:r w:rsidRPr="00CA4048">
              <w:rPr>
                <w:b/>
              </w:rPr>
              <w:br/>
            </w:r>
            <w:r w:rsidRPr="00CA4048">
              <w:t>(SPD)</w:t>
            </w:r>
            <w:r>
              <w:fldChar w:fldCharType="begin"/>
            </w:r>
            <w:r>
              <w:instrText xml:space="preserve"> TC </w:instrText>
            </w:r>
            <w:r w:rsidR="00C244B3">
              <w:instrText>„</w:instrText>
            </w:r>
            <w:bookmarkStart w:id="34" w:name="_Toc511895452"/>
            <w:r>
              <w:instrText>Zacharias, Isabell (SPD)</w:instrText>
            </w:r>
            <w:r>
              <w:br/>
              <w:instrText>Physiotherapieräume in Wasserburg</w:instrText>
            </w:r>
            <w:bookmarkEnd w:id="34"/>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Da aufgrund des Klinikneubaus Anfang der 2020er Jahre die Pachtverträge der Hochschule Rosenheim für die Physiotherapieräume in Wasserburg auslaufen, frage ich die Staatsregierung, ob bereits eine Lösung für den Standort Wasserburg und den Bedarf an Physiotherapieräumen gefunden wurde, und wenn ja, wie diese aussieht?</w:t>
            </w:r>
          </w:p>
          <w:p w:rsidR="00CA4048" w:rsidRDefault="00CA4048" w:rsidP="00CA4048">
            <w:pPr>
              <w:pStyle w:val="LTAnfrageText"/>
            </w:pPr>
          </w:p>
        </w:tc>
      </w:tr>
    </w:tbl>
    <w:p w:rsidR="00CA4048" w:rsidRDefault="00CA4048" w:rsidP="00826E56">
      <w:pPr>
        <w:pStyle w:val="LTUeberschrAntwortRessort"/>
        <w:spacing w:before="960"/>
      </w:pPr>
      <w:r>
        <w:t>Antwort des Staatsministeriums für Wissenschaft und Kunst</w:t>
      </w:r>
    </w:p>
    <w:p w:rsidR="00CA4048" w:rsidRDefault="00CA4048" w:rsidP="00CA4048">
      <w:pPr>
        <w:pStyle w:val="LTAntwortRessortText"/>
      </w:pPr>
      <w:r>
        <w:t xml:space="preserve">Es gibt keinen Pachtvertrag zwischen der Hochschule </w:t>
      </w:r>
      <w:r w:rsidR="000166F9">
        <w:t xml:space="preserve">Rosenheim </w:t>
      </w:r>
      <w:r>
        <w:t xml:space="preserve">und </w:t>
      </w:r>
      <w:r w:rsidR="00B028B8">
        <w:t>RoMed</w:t>
      </w:r>
      <w:r w:rsidR="000166F9">
        <w:t xml:space="preserve"> </w:t>
      </w:r>
      <w:r>
        <w:t>bezogen auf die Räumlichkeiten der Berufsfachschule in Wasserburg.</w:t>
      </w:r>
    </w:p>
    <w:p w:rsidR="00CA4048" w:rsidRDefault="00CA4048" w:rsidP="00CA4048">
      <w:pPr>
        <w:pStyle w:val="LTAntwortRessortText"/>
      </w:pPr>
      <w:r>
        <w:t xml:space="preserve">Es gibt eine Kooperationsvereinbarung zwischen der Hochschule </w:t>
      </w:r>
      <w:r w:rsidR="000166F9">
        <w:t xml:space="preserve">Rosenheim </w:t>
      </w:r>
      <w:r>
        <w:t>und RoMed vom März 2012. Darin verpflichtet sich RoMed als Träger der Fachschule sicher</w:t>
      </w:r>
      <w:r w:rsidR="000166F9">
        <w:t>zu</w:t>
      </w:r>
      <w:r>
        <w:t>stellen, dass die für den Studiengang Physiotherapie benötigten Räumlichkeiten in Wasserburg zu</w:t>
      </w:r>
      <w:r w:rsidR="000166F9">
        <w:t xml:space="preserve">r Verfügung stehen und von der </w:t>
      </w:r>
      <w:r>
        <w:t xml:space="preserve">Hochschule </w:t>
      </w:r>
      <w:r w:rsidR="000166F9">
        <w:t xml:space="preserve">Rosenheim </w:t>
      </w:r>
      <w:r>
        <w:t xml:space="preserve">unentgeltlich genutzt werden können. Die Kooperationsvereinbarung ist unbefristet; sie kann mit einer Frist von sechs Monaten zum Semesterende gekündigt werden; erstmals zum 30.09.2020. </w:t>
      </w:r>
    </w:p>
    <w:p w:rsidR="00CA4048" w:rsidRDefault="00CA4048" w:rsidP="00CA4048">
      <w:pPr>
        <w:pStyle w:val="LTAntwortRessortText"/>
      </w:pPr>
      <w:r>
        <w:t xml:space="preserve">Der Modellstudiengang Physiotherapie wird 2020/2021 letztmalig evaluiert. Grundlage der Evaluation sind die Richtlinien des Bundesministeriums für Gesundheit über die wissenschaftliche Begleitung und Auswertung von Modellvorhaben nach § 9 </w:t>
      </w:r>
      <w:r w:rsidR="000166F9">
        <w:t>Abs.</w:t>
      </w:r>
      <w:r>
        <w:t xml:space="preserve"> 3 Satz 3 Masseu</w:t>
      </w:r>
      <w:r w:rsidR="000166F9">
        <w:t>r- und Physiotherapeutengesetz</w:t>
      </w:r>
      <w:r>
        <w:t xml:space="preserve"> </w:t>
      </w:r>
      <w:r w:rsidR="000166F9">
        <w:t xml:space="preserve">(MPhG) </w:t>
      </w:r>
      <w:r>
        <w:t>vom 16. November 2009; erst nach Abschluss des Evaluationsverfahrens wird abschließend feststehen, wie sich die Zukunft des Studiengangs Physiotherapie konkret gestaltet. E</w:t>
      </w:r>
      <w:r w:rsidR="008A310F">
        <w:t>ine Fortführung des Studiengang</w:t>
      </w:r>
      <w:r>
        <w:t xml:space="preserve">s setzt dabei zwingend die langfristige Nutzbarkeit entsprechender Räumlichkeiten wie an der Berufsfachschule in Wasserburg voraus. Hierzu laufen bereits Gespräche zwischen der Hochschule </w:t>
      </w:r>
      <w:r w:rsidR="000166F9">
        <w:t xml:space="preserve">Rosenheim </w:t>
      </w:r>
      <w:r>
        <w:t>und RoMed.</w:t>
      </w:r>
    </w:p>
    <w:p w:rsidR="00826E56" w:rsidRDefault="00826E56">
      <w:pPr>
        <w:rPr>
          <w:rFonts w:cs="Arial"/>
          <w:b/>
          <w:sz w:val="22"/>
          <w:szCs w:val="22"/>
        </w:rPr>
      </w:pPr>
      <w:r>
        <w:br w:type="page"/>
      </w:r>
    </w:p>
    <w:p w:rsidR="00CA4048" w:rsidRDefault="00CA4048" w:rsidP="00CA4048">
      <w:pPr>
        <w:pStyle w:val="LTUeberschrRessort"/>
      </w:pPr>
      <w:r>
        <w:lastRenderedPageBreak/>
        <w:t>Geschäftsbereich des Staatsministeriums der Finanzen, für Landesentwicklung und Heimat</w:t>
      </w:r>
      <w:r>
        <w:fldChar w:fldCharType="begin"/>
      </w:r>
      <w:r>
        <w:instrText xml:space="preserve"> TC </w:instrText>
      </w:r>
      <w:r w:rsidR="00C244B3">
        <w:instrText>„</w:instrText>
      </w:r>
      <w:bookmarkStart w:id="35" w:name="_Toc511895453"/>
      <w:r>
        <w:instrText>Geschäftsbereich des Staatsministeriums der Finanzen, für Landesentwicklung und Heimat</w:instrText>
      </w:r>
      <w:bookmarkEnd w:id="35"/>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Klaus</w:t>
            </w:r>
            <w:r w:rsidRPr="00CA4048">
              <w:rPr>
                <w:b/>
              </w:rPr>
              <w:br/>
              <w:t>Adelt</w:t>
            </w:r>
            <w:r w:rsidRPr="00CA4048">
              <w:rPr>
                <w:b/>
              </w:rPr>
              <w:br/>
            </w:r>
            <w:r w:rsidRPr="00CA4048">
              <w:t>(SPD)</w:t>
            </w:r>
            <w:r>
              <w:fldChar w:fldCharType="begin"/>
            </w:r>
            <w:r>
              <w:instrText xml:space="preserve"> TC </w:instrText>
            </w:r>
            <w:r w:rsidR="00C244B3">
              <w:instrText>„</w:instrText>
            </w:r>
            <w:bookmarkStart w:id="36" w:name="_Toc511895454"/>
            <w:r>
              <w:instrText>Adelt, Klaus (SPD)</w:instrText>
            </w:r>
            <w:r>
              <w:br/>
              <w:instrText>Hochschule Hof - Wohnheimplätze</w:instrText>
            </w:r>
            <w:bookmarkEnd w:id="36"/>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ob es stimmt, dass trotz der bisherigen Bemühungen, neue Unterkünfte für die Studierenden der</w:t>
            </w:r>
            <w:r w:rsidR="00C244B3">
              <w:t xml:space="preserve"> </w:t>
            </w:r>
            <w:r>
              <w:t xml:space="preserve">Hochschule für den öffentlichen Dienst in Bayern in Hof zu schaffen, diese mit Blick auf das Wintersemester 2018/2019 nach wie vor nicht ausreichend sind, ist der Bau weiterer Unterkünfte in der Stadt oder auf dem Campus in Planung, wieso wird ausgerechnet den angehenden Verwaltungsinformatikern der Zugang zu den Unterkünften der Hochschule für den öffentlichen Dienst in Bayern wie auch zu den Unterkünften der Hochschule für angewandte Wissenschaften respektive des Studentenwerkes Oberfranken verwehrt, wenn es Willen der Staatsregierung im Rahmen des Masterplans </w:t>
            </w:r>
            <w:r w:rsidRPr="003035D2">
              <w:rPr>
                <w:caps/>
              </w:rPr>
              <w:t>Bayern Digital</w:t>
            </w:r>
            <w:r>
              <w:t xml:space="preserve"> II ist, den Studiengang auszubauen und attraktiver zu gestalten?</w:t>
            </w:r>
          </w:p>
          <w:p w:rsidR="00CA4048" w:rsidRDefault="00CA4048" w:rsidP="00CA4048">
            <w:pPr>
              <w:pStyle w:val="LTAnfrageText"/>
            </w:pPr>
          </w:p>
        </w:tc>
      </w:tr>
    </w:tbl>
    <w:p w:rsidR="00CA4048" w:rsidRDefault="00CA4048" w:rsidP="00CA4048">
      <w:pPr>
        <w:pStyle w:val="LTUeberschrAntwortRessort"/>
      </w:pPr>
      <w:r>
        <w:t>Antwort des Staatsministeriums der Finanzen, für Landesentwicklung und Heimat</w:t>
      </w:r>
    </w:p>
    <w:p w:rsidR="00CA4048" w:rsidRDefault="00CA4048" w:rsidP="00CA4048">
      <w:pPr>
        <w:pStyle w:val="LTAntwortRessortText"/>
      </w:pPr>
      <w:r>
        <w:t>Der Freistaat Bayern hat den Standort Hof d</w:t>
      </w:r>
      <w:r w:rsidR="003035D2">
        <w:t>er Hochschule für den öffentli</w:t>
      </w:r>
      <w:r>
        <w:t>chen Dienst in Bayern in den letzten beiden Jahren massiv ausgebaut. So wurden ein neues Wohnheim mit 280 zusät</w:t>
      </w:r>
      <w:r w:rsidR="003035D2">
        <w:t>zlichen Unterkünften sowie ins</w:t>
      </w:r>
      <w:r>
        <w:t xml:space="preserve">gesamt </w:t>
      </w:r>
      <w:r w:rsidR="003035D2">
        <w:t xml:space="preserve">sechs </w:t>
      </w:r>
      <w:r>
        <w:t>zusätzliche Lehrsäle geschaffen.</w:t>
      </w:r>
    </w:p>
    <w:p w:rsidR="00CA4048" w:rsidRDefault="00CA4048" w:rsidP="00CA4048">
      <w:pPr>
        <w:pStyle w:val="LTAntwortRessortText"/>
      </w:pPr>
      <w:r>
        <w:t>Darüber hinaus hat die Staatsregierung</w:t>
      </w:r>
      <w:r w:rsidR="003035D2">
        <w:t xml:space="preserve"> im Rahmen des Masterplans </w:t>
      </w:r>
      <w:r w:rsidR="003035D2" w:rsidRPr="003035D2">
        <w:rPr>
          <w:caps/>
        </w:rPr>
        <w:t>Bay</w:t>
      </w:r>
      <w:r w:rsidRPr="003035D2">
        <w:rPr>
          <w:caps/>
        </w:rPr>
        <w:t>ern Digital</w:t>
      </w:r>
      <w:r>
        <w:t xml:space="preserve"> II beschlossen, den Studiengang Verwaltungsinformatik weiter auszubauen. Um den Studiengang noch attraktiver zu gestalten, wurde im Rahmen des Maßnahmenpakets zur Stärkung der Attraktivität im IT-Bereich ferner beschlossen, den Anwärterinnen und Anwär</w:t>
      </w:r>
      <w:r w:rsidR="003035D2">
        <w:t>tern im Studiengang Ver</w:t>
      </w:r>
      <w:r>
        <w:t xml:space="preserve">waltungsinformatik </w:t>
      </w:r>
      <w:r w:rsidR="003035D2">
        <w:t>–</w:t>
      </w:r>
      <w:r>
        <w:t xml:space="preserve"> wie den Anwärterinnen und Anwärtern im Studiengang nichttechnischer Verwaltungsdienst auch </w:t>
      </w:r>
      <w:r w:rsidR="003035D2">
        <w:t>–</w:t>
      </w:r>
      <w:r>
        <w:t xml:space="preserve"> künftig Unterkünfte unentgeltlich zu überlassen; die entsprechenden haushaltsrechtlichen Voraussetzungen wurden mit dem Nachtragshaushalt 201</w:t>
      </w:r>
      <w:r w:rsidR="003035D2">
        <w:t>8 geschaffen und werden mit Be</w:t>
      </w:r>
      <w:r>
        <w:t xml:space="preserve">ginn des fachtheoretischen Studiums Ende September 2018 in Kraft treten. Die konkrete Form der Unterbringung am Fachbereich wird auf Grundlage eines Flächenmanagementverfahrens geklärt. Übergangsweise ist </w:t>
      </w:r>
      <w:r w:rsidR="003035D2">
        <w:t>–</w:t>
      </w:r>
      <w:r>
        <w:t xml:space="preserve"> soweit die Unterkünfte zu diesem Zeitpunkt noch nicht zur Verfügung stehen </w:t>
      </w:r>
      <w:r w:rsidR="003035D2">
        <w:t>–</w:t>
      </w:r>
      <w:r>
        <w:t xml:space="preserve"> die Zahlung eines Mietkostenzuschusses möglich.</w:t>
      </w:r>
    </w:p>
    <w:p w:rsidR="00826E56" w:rsidRDefault="00826E56"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Thomas</w:t>
            </w:r>
            <w:r w:rsidRPr="00CA4048">
              <w:rPr>
                <w:b/>
              </w:rPr>
              <w:br/>
              <w:t>Mütze</w:t>
            </w:r>
            <w:r w:rsidRPr="00CA4048">
              <w:rPr>
                <w:b/>
              </w:rPr>
              <w:br/>
            </w:r>
            <w:r w:rsidRPr="00CA4048">
              <w:t>(BÜNDNIS 90/DIE GRÜNEN)</w:t>
            </w:r>
            <w:r>
              <w:fldChar w:fldCharType="begin"/>
            </w:r>
            <w:r>
              <w:instrText xml:space="preserve"> TC </w:instrText>
            </w:r>
            <w:r w:rsidR="00C244B3">
              <w:instrText>„</w:instrText>
            </w:r>
            <w:bookmarkStart w:id="37" w:name="_Toc511895455"/>
            <w:r>
              <w:instrText>Mütze, Thomas (BÜNDNIS 90/DIE GRÜNEN)</w:instrText>
            </w:r>
            <w:r>
              <w:br/>
              <w:instrText>Rückzahlungsplan der BayernLB</w:instrText>
            </w:r>
            <w:bookmarkEnd w:id="37"/>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Nachdem der Vorstandsvorsitzende der BayernLB während der Pressekonferenz zur Bilanz des Jahres 2017 angekündigt hatte, weitere 5 Mrd. Euro aus den Hilfen des Freistaates Bayern für die BayernLB an Staat zu erstatten, frage ich die Staatsregierung, ob es einen Rückzahlungsplan über diese 5</w:t>
            </w:r>
            <w:r w:rsidR="005D0004">
              <w:t> </w:t>
            </w:r>
            <w:r>
              <w:t>Mrd. Euro gibt, wenn ja, wie dieser im Einzelnen aussieht und wenn nein, in welchem Zeitraum die Staatsregierung weitere Rückzahlungen erwartet?</w:t>
            </w:r>
          </w:p>
          <w:p w:rsidR="00CA4048" w:rsidRDefault="00CA4048" w:rsidP="00CA4048">
            <w:pPr>
              <w:pStyle w:val="LTAnfrageText"/>
            </w:pPr>
          </w:p>
        </w:tc>
      </w:tr>
    </w:tbl>
    <w:p w:rsidR="00CA4048" w:rsidRDefault="00CA4048" w:rsidP="00CA4048">
      <w:pPr>
        <w:pStyle w:val="LTUeberschrAntwortRessort"/>
      </w:pPr>
      <w:r>
        <w:lastRenderedPageBreak/>
        <w:t>Antwort des Staatsministeriums der Finanzen, für Landesentwicklung und Heimat</w:t>
      </w:r>
    </w:p>
    <w:p w:rsidR="00CA4048" w:rsidRDefault="00CA4048" w:rsidP="00CA4048">
      <w:pPr>
        <w:pStyle w:val="LTAntwortRessortText"/>
      </w:pPr>
      <w:r>
        <w:t>Die Bayerische Landesbank</w:t>
      </w:r>
      <w:r w:rsidR="005D0004">
        <w:t xml:space="preserve"> (BayernLB)</w:t>
      </w:r>
      <w:r>
        <w:t xml:space="preserve"> hat seit den Stabilisierungsmaßnahmen des Freistaat</w:t>
      </w:r>
      <w:r w:rsidR="005D0004">
        <w:t>e</w:t>
      </w:r>
      <w:r>
        <w:t xml:space="preserve">s Bayern Zahlungen in Höhe von rd. 5,6 Mrd. </w:t>
      </w:r>
      <w:r w:rsidR="005D0004">
        <w:t xml:space="preserve">Euro </w:t>
      </w:r>
      <w:r>
        <w:t>an den Freistaat Bayern geleistet. Das ist das Ergebnis einer s</w:t>
      </w:r>
      <w:r w:rsidR="005D0004">
        <w:t>ehr erfolgreichen Restrukturie</w:t>
      </w:r>
      <w:r>
        <w:t>rung der Bank im Zuge der Umsetzung der EU-Bei</w:t>
      </w:r>
      <w:r w:rsidR="00FB58A0">
        <w:softHyphen/>
      </w:r>
      <w:r>
        <w:t>hilfe</w:t>
      </w:r>
      <w:r w:rsidR="00FB58A0">
        <w:softHyphen/>
      </w:r>
      <w:r>
        <w:t>entscheidung vom 5. Februar 2013. Der EU-Rückzahlungsplan wurde zum 30.06.2017 vollständig erfüllt.</w:t>
      </w:r>
    </w:p>
    <w:p w:rsidR="00CA4048" w:rsidRDefault="00CA4048" w:rsidP="00CA4048">
      <w:pPr>
        <w:pStyle w:val="LTAntwortRessortText"/>
      </w:pPr>
      <w:r>
        <w:t xml:space="preserve">Die </w:t>
      </w:r>
      <w:r w:rsidR="005D0004">
        <w:t>BayernLB</w:t>
      </w:r>
      <w:r>
        <w:t xml:space="preserve"> wird weiter mit Nachdruck daran arbeiten, in den nächsten Jahren weitere Zahlungen an die Eigentümer i</w:t>
      </w:r>
      <w:r w:rsidR="005D0004">
        <w:t>n Form von Di</w:t>
      </w:r>
      <w:r>
        <w:t>videnden zu leisten. Die seit der Krise erstm</w:t>
      </w:r>
      <w:r w:rsidR="005D0004">
        <w:t>als wieder erfolgte Dividenden</w:t>
      </w:r>
      <w:r>
        <w:t>zahlung der BayernLB für das Geschäftsjahr 2017 zeigt, dass die BayernLB hier auf einem guten Weg ist. Dividendenzahlungen sind stets abhängig von den volkswirtschaftlichen Rahmenbedingun</w:t>
      </w:r>
      <w:r w:rsidR="005D0004">
        <w:t>gen, wie zum Beispiel dem wirtschaftlichen bzw.</w:t>
      </w:r>
      <w:r>
        <w:t xml:space="preserve"> konjunkturellen Umfeld der Bank, der Wettbewerbssituation und den aufsichtsrechtlichen Eigenkapitalanforderungen. Eine über die jeweiligen Haushaltspläne des Freistaat</w:t>
      </w:r>
      <w:r w:rsidR="005D0004">
        <w:t>e</w:t>
      </w:r>
      <w:r>
        <w:t xml:space="preserve">s </w:t>
      </w:r>
      <w:r w:rsidR="005D0004">
        <w:t xml:space="preserve">Bayern </w:t>
      </w:r>
      <w:r>
        <w:t>hinausgehende Planung künftiger Dividendenzahlungen der BayernLB wäre da</w:t>
      </w:r>
      <w:r w:rsidR="005D0004">
        <w:t>her weder sinnvoll noch belast</w:t>
      </w:r>
      <w:r>
        <w:t>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Kathi</w:t>
            </w:r>
            <w:r w:rsidRPr="00CA4048">
              <w:rPr>
                <w:b/>
              </w:rPr>
              <w:br/>
              <w:t>Petersen</w:t>
            </w:r>
            <w:r w:rsidRPr="00CA4048">
              <w:rPr>
                <w:b/>
              </w:rPr>
              <w:br/>
            </w:r>
            <w:r w:rsidRPr="00CA4048">
              <w:t>(SPD)</w:t>
            </w:r>
            <w:r>
              <w:fldChar w:fldCharType="begin"/>
            </w:r>
            <w:r>
              <w:instrText xml:space="preserve"> TC </w:instrText>
            </w:r>
            <w:r w:rsidR="00C244B3">
              <w:instrText>„</w:instrText>
            </w:r>
            <w:bookmarkStart w:id="38" w:name="_Toc511895456"/>
            <w:r>
              <w:instrText>Petersen, Kathi (SPD)</w:instrText>
            </w:r>
            <w:r>
              <w:br/>
              <w:instrText>Maßnahmen gegen das Schwimmbad-Sterben im Regierungsbezirk Unterfranken</w:instrText>
            </w:r>
            <w:bookmarkEnd w:id="38"/>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Vor dem Hintergrund des anhaltende</w:t>
            </w:r>
            <w:r w:rsidR="0007223B">
              <w:t>n Schwimmbads</w:t>
            </w:r>
            <w:r>
              <w:t>terbens im Regierungsbezirk Unterfranken frage ich die Staatsregierung, welche Maßnahmen sie ergreift, damit finanzschwache Kommunen ihre aktuell von Schließung bedrohten Schwimmbäder offen halten können, wann konkrete Ergebnisse der Arbeitsgruppe, die Möglichkeiten staatlicher Förderung für betroffene Kommunen eruieren soll, vorliegen werden und in welchen unterfränkischen Kommunen derzeit nicht die erforderliche Mindestanzahl an Schulklassen das Schwimmbad benutzt, um die staatliche Förderung von 90 Prozent zu erhalten?</w:t>
            </w:r>
          </w:p>
          <w:p w:rsidR="00CA4048" w:rsidRDefault="00CA4048" w:rsidP="00CA4048">
            <w:pPr>
              <w:pStyle w:val="LTAnfrageText"/>
            </w:pPr>
          </w:p>
        </w:tc>
      </w:tr>
    </w:tbl>
    <w:p w:rsidR="00CA4048" w:rsidRDefault="00CA4048" w:rsidP="00CA4048">
      <w:pPr>
        <w:pStyle w:val="LTUeberschrAntwortRessort"/>
      </w:pPr>
      <w:r>
        <w:t>Antwort des Staatsministeriums der Finanzen, für Landesentwicklung und Heimat</w:t>
      </w:r>
    </w:p>
    <w:p w:rsidR="00CA4048" w:rsidRDefault="00CA4048" w:rsidP="00CA4048">
      <w:pPr>
        <w:pStyle w:val="LTAntwortRessortText"/>
      </w:pPr>
      <w:r>
        <w:t xml:space="preserve">Bau und Unterhalt öffentlicher Schwimmbäder gehören zu den freiwilligen Aufgaben im eigenen Wirkungskreis der Gemeinden. Der Freistaat </w:t>
      </w:r>
      <w:r w:rsidR="00177B42">
        <w:t>Bayern unter</w:t>
      </w:r>
      <w:r>
        <w:t xml:space="preserve">stützt seine Kommunen jedoch tatkräftig mit Zuweisungen nach Art. 10 </w:t>
      </w:r>
      <w:r w:rsidR="00177B42">
        <w:t>Bayerisches Finanzausgleichsgesetz (</w:t>
      </w:r>
      <w:r>
        <w:t>BayFAG</w:t>
      </w:r>
      <w:r w:rsidR="00177B42">
        <w:t>)</w:t>
      </w:r>
      <w:r>
        <w:t xml:space="preserve"> u.</w:t>
      </w:r>
      <w:r w:rsidR="00177B42">
        <w:t> </w:t>
      </w:r>
      <w:r>
        <w:t>a. bei Bauinvestitionen für schul</w:t>
      </w:r>
      <w:r w:rsidR="00177B42">
        <w:t>isch genutzte Hallenbäder. För</w:t>
      </w:r>
      <w:r>
        <w:t>derfähig sind die Ausgaben für Neu-, Um- und Erweiterungsbauten sowie Generalsanierungen. Die Förderung bezieht sich ausschließlich auf den schulisch genutzten Anteil und bedarf ein</w:t>
      </w:r>
      <w:r w:rsidR="00177B42">
        <w:t>er schulaufsichtlichen Genehmi</w:t>
      </w:r>
      <w:r>
        <w:t>gung von mindestens 60 Sportklassen.</w:t>
      </w:r>
    </w:p>
    <w:p w:rsidR="00CA4048" w:rsidRDefault="00CA4048" w:rsidP="00CA4048">
      <w:pPr>
        <w:pStyle w:val="LTAntwortRessortText"/>
      </w:pPr>
      <w:r>
        <w:t>Bei der Anerkennung des schulischen Bedarfs werden auch Sportklassen anderer öffentlicher Schulen in kommunaler Sachaufwandsträgerschaft im Einzugsbereich einbezogen, wenn sie das S</w:t>
      </w:r>
      <w:r w:rsidR="00177B42">
        <w:t>chulschwimmbad langfristig nut</w:t>
      </w:r>
      <w:r>
        <w:t>zen. Ein entsprechendes interkommunale</w:t>
      </w:r>
      <w:r w:rsidR="00177B42">
        <w:t>s Zusammenwirken ist für Kommu</w:t>
      </w:r>
      <w:r>
        <w:t>nen eine sinnvolle Option, um einerseits die Fördervoraussetzung eines schulischen Bedarfs zu erfüllen und anderersei</w:t>
      </w:r>
      <w:r w:rsidR="00177B42">
        <w:t>ts die in der Regel nicht uner</w:t>
      </w:r>
      <w:r>
        <w:t>heblichen Betriebskosten auf mehrere Schultern zu verteilen.</w:t>
      </w:r>
    </w:p>
    <w:p w:rsidR="00CA4048" w:rsidRDefault="00CA4048" w:rsidP="00177B42">
      <w:pPr>
        <w:pStyle w:val="LTAntwortRessortText"/>
      </w:pPr>
      <w:r>
        <w:t xml:space="preserve">Der Förderrahmen nach Art. 10 BayFAG beträgt 0 bis 80 </w:t>
      </w:r>
      <w:r w:rsidR="00C244B3">
        <w:t>Prozent</w:t>
      </w:r>
      <w:r w:rsidR="00177B42">
        <w:t>. Finanzschwa</w:t>
      </w:r>
      <w:r>
        <w:t>che Kommunen, die von der demografischen Entwicklun</w:t>
      </w:r>
      <w:r w:rsidR="00177B42">
        <w:t>g besonders nega</w:t>
      </w:r>
      <w:r>
        <w:t xml:space="preserve">tiv belastet sind, können in begründeten Einzelfällen sogar eine Förderquote von bis zu 90 </w:t>
      </w:r>
      <w:r w:rsidR="00C244B3">
        <w:t>Prozent</w:t>
      </w:r>
      <w:r>
        <w:t xml:space="preserve"> erhalten. Für Kommunen, </w:t>
      </w:r>
      <w:r w:rsidR="00177B42">
        <w:t>deren finanzielle Lage dem Lan</w:t>
      </w:r>
      <w:r>
        <w:t xml:space="preserve">desdurchschnitt vergleichbarer Kommunen entspricht, wird seit August 2016 ein um zehn Prozentpunkte auf nunmehr 50 </w:t>
      </w:r>
      <w:r w:rsidR="00C244B3">
        <w:t>Prozent</w:t>
      </w:r>
      <w:r w:rsidR="00177B42">
        <w:t xml:space="preserve"> angehobener Fördersatz-Orientierungswert zug</w:t>
      </w:r>
      <w:r>
        <w:t xml:space="preserve">runde </w:t>
      </w:r>
      <w:r>
        <w:lastRenderedPageBreak/>
        <w:t>gelegt. Diese Kommunen können so die Hälfte der zuweisungsfähigen Ausgaben f</w:t>
      </w:r>
      <w:r w:rsidR="00177B42">
        <w:t>ür Baumaßnahmen an ihren Schul</w:t>
      </w:r>
      <w:r>
        <w:t>schwimmbädern durch staatliche Förderung refinanzieren.</w:t>
      </w:r>
    </w:p>
    <w:p w:rsidR="00CA4048" w:rsidRDefault="00CA4048" w:rsidP="00177B42">
      <w:pPr>
        <w:pStyle w:val="LTAntwortRessortText"/>
      </w:pPr>
      <w:r>
        <w:t>Für die Erleichterung von Generalsanier</w:t>
      </w:r>
      <w:r w:rsidR="00177B42">
        <w:t>ungen bestehender Schulschwimm</w:t>
      </w:r>
      <w:r>
        <w:t>bäder, die über den aktuellen schulische</w:t>
      </w:r>
      <w:r w:rsidR="00177B42">
        <w:t>n Bedarf hinausgehen, wurde be</w:t>
      </w:r>
      <w:r>
        <w:t>reits 2013 eine erweiterte Bestandsschutzregelung eingeführt. Diese kommt vor allem Kommunen im ländlichen Raum zugute, die von zurückgehenden Schülerzahlen betroffen sind. Danach kann bereits ab 40 Sportklassen schulischer Bedarf anerkannt werden, sof</w:t>
      </w:r>
      <w:r w:rsidR="00177B42">
        <w:t>ern bei Errichtung des Schwimmbad</w:t>
      </w:r>
      <w:r>
        <w:t>s schulischer Bedarf bestand, der Neubau daher nach Art. 10 BayFAG gefördert wurde und der Freistaat insow</w:t>
      </w:r>
      <w:r w:rsidR="00177B42">
        <w:t>eit einen entsprechenden kommu</w:t>
      </w:r>
      <w:r>
        <w:t>nalen Bedarf anerkannt hat. Die Förderung er</w:t>
      </w:r>
      <w:r w:rsidR="00177B42">
        <w:t>folgt hierbei im Umfang der ur</w:t>
      </w:r>
      <w:r>
        <w:t>sprünglich geförderten Neuerrichtung, sofern es sich bei den Fördermitteln um an die Kommune ausgereichte Landes</w:t>
      </w:r>
      <w:r w:rsidR="00177B42">
        <w:t>mittel handelte.</w:t>
      </w:r>
    </w:p>
    <w:p w:rsidR="00CA4048" w:rsidRDefault="00CA4048" w:rsidP="00177B42">
      <w:pPr>
        <w:pStyle w:val="LTAntwortRessortText"/>
      </w:pPr>
      <w:r>
        <w:t>Im Übrigen werden im Rahmen des kommunalen Finanzausgleichs an die Kommunen neben den projektbezogenen Zuweisungen auch allgemeine Deckungsmittel ausgereicht (z.</w:t>
      </w:r>
      <w:r w:rsidR="00177B42">
        <w:t> </w:t>
      </w:r>
      <w:r>
        <w:t>B. Schlüsse</w:t>
      </w:r>
      <w:r w:rsidR="00177B42">
        <w:t>lzuweisungen oder Investitions</w:t>
      </w:r>
      <w:r>
        <w:t>pauschalen). Diese bieten den Kommunen</w:t>
      </w:r>
      <w:r w:rsidR="00177B42">
        <w:t xml:space="preserve"> viel Spielraum bei der Verwen</w:t>
      </w:r>
      <w:r>
        <w:t>dung, u.a. auch für Investitionen, und stä</w:t>
      </w:r>
      <w:r w:rsidR="00177B42">
        <w:t>rken die kommunale Eigenverantwortung.</w:t>
      </w:r>
    </w:p>
    <w:p w:rsidR="00CA4048" w:rsidRDefault="00CA4048" w:rsidP="00CA4048">
      <w:pPr>
        <w:pStyle w:val="LTAntwortRessortText"/>
      </w:pPr>
      <w:r>
        <w:t xml:space="preserve">Derzeit erarbeitet eine staatlich-kommunale Arbeitsgruppe mit Vertretern des </w:t>
      </w:r>
      <w:r w:rsidR="00177B42">
        <w:t>Staatsministeriums für Wohnen, Bau und Verkehr</w:t>
      </w:r>
      <w:r>
        <w:t xml:space="preserve">, </w:t>
      </w:r>
      <w:r w:rsidR="00177B42">
        <w:t>des Staatsministeriums des Innern und für Integration</w:t>
      </w:r>
      <w:r>
        <w:t xml:space="preserve">, </w:t>
      </w:r>
      <w:r w:rsidR="00177B42">
        <w:t>des Staatsministeriums der Finanzen, für Landesentwicklung und Heimat</w:t>
      </w:r>
      <w:r>
        <w:t xml:space="preserve"> und den kommunalen Spitzenverbänden Mö</w:t>
      </w:r>
      <w:r w:rsidR="00177B42">
        <w:t>g</w:t>
      </w:r>
      <w:r>
        <w:t>lichkeiten einer Förderung kommunaler Schwimmbäder. Arbeitsauftrag der Arbeitsgruppe ist die Ermittlung des ko</w:t>
      </w:r>
      <w:r w:rsidR="00177B42">
        <w:t>nkret bestehenden Sanierungsbe</w:t>
      </w:r>
      <w:r>
        <w:t xml:space="preserve">darfs und die anschließende Prüfung von </w:t>
      </w:r>
      <w:r w:rsidR="00177B42">
        <w:t>Fördermöglichkeiten. Die Ergeb</w:t>
      </w:r>
      <w:r>
        <w:t xml:space="preserve">nisse sollen bis zum </w:t>
      </w:r>
      <w:r w:rsidR="00177B42">
        <w:t>Doppelhaushalt</w:t>
      </w:r>
      <w:r>
        <w:t xml:space="preserve"> 2019/2020 vorliegen.</w:t>
      </w:r>
    </w:p>
    <w:p w:rsidR="00CA4048" w:rsidRDefault="00CA4048" w:rsidP="00CA4048">
      <w:pPr>
        <w:pStyle w:val="LTAntwortRessortText"/>
      </w:pPr>
      <w:r>
        <w:t xml:space="preserve">Der Staatsregierung liegen, wie auch in der Antwort vom </w:t>
      </w:r>
      <w:r w:rsidR="00177B42">
        <w:t>31.05.</w:t>
      </w:r>
      <w:r>
        <w:t xml:space="preserve">2017 zu den Fragen 47 f. der Interpellation der Fraktion FREIE WÄHLER </w:t>
      </w:r>
      <w:r w:rsidR="00C244B3">
        <w:t>„</w:t>
      </w:r>
      <w:r>
        <w:t>Bewegtes Lernen 2020</w:t>
      </w:r>
      <w:r w:rsidR="00C244B3">
        <w:t>“</w:t>
      </w:r>
      <w:r>
        <w:t xml:space="preserve"> (Drs.-Nr. 17/17207) ausgeführt, keine Kenntnisse darüber vor, in welchen Kommunen nicht die erforderli</w:t>
      </w:r>
      <w:r w:rsidR="00177B42">
        <w:t>che Mindestanzahl an Sportklas</w:t>
      </w:r>
      <w:r>
        <w:t>sen erreicht wird. Das Vorhalten kommunaler Schwimmbäder liegt in der kommunalen Eigenverantwortung. Im Rahmen ihrer Aufgabenwahrnehmung als schulische Sachaufwandsträger sind</w:t>
      </w:r>
      <w:r w:rsidR="00177B42">
        <w:t xml:space="preserve"> die Kommunen gehalten</w:t>
      </w:r>
      <w:r w:rsidR="0007223B">
        <w:t>,</w:t>
      </w:r>
      <w:r w:rsidR="00177B42">
        <w:t xml:space="preserve"> den Schu</w:t>
      </w:r>
      <w:r>
        <w:t>len die Erteilung von Schwimmunterricht entsprechend den Fachlehrplänen Sport zu ermöglichen, z.</w:t>
      </w:r>
      <w:r w:rsidR="00177B42">
        <w:t> </w:t>
      </w:r>
      <w:r>
        <w:t>B. auch durch die Übernahme der Kosten für die Anmietung von Schwimmzeiten in nahe ge</w:t>
      </w:r>
      <w:r w:rsidR="00177B42">
        <w:t>legenen Bädern sowie der Trans</w:t>
      </w:r>
      <w:r>
        <w:t>portkosten auf dem Unterrichtsweg.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Angelika</w:t>
            </w:r>
            <w:r w:rsidRPr="00CA4048">
              <w:rPr>
                <w:b/>
              </w:rPr>
              <w:br/>
              <w:t>Weikert</w:t>
            </w:r>
            <w:r w:rsidRPr="00CA4048">
              <w:rPr>
                <w:b/>
              </w:rPr>
              <w:br/>
            </w:r>
            <w:r w:rsidRPr="00CA4048">
              <w:t>(SPD)</w:t>
            </w:r>
            <w:r>
              <w:fldChar w:fldCharType="begin"/>
            </w:r>
            <w:r>
              <w:instrText xml:space="preserve"> TC </w:instrText>
            </w:r>
            <w:r w:rsidR="00C244B3">
              <w:instrText>„</w:instrText>
            </w:r>
            <w:bookmarkStart w:id="39" w:name="_Toc511895457"/>
            <w:r>
              <w:instrText>Weikert, Angelika (SPD)</w:instrText>
            </w:r>
            <w:r>
              <w:br/>
              <w:instrText>Befristete Beschäftigungsverhältnisse in den Staatsministerien</w:instrText>
            </w:r>
            <w:bookmarkEnd w:id="39"/>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wie hoch ist der Anteil an befristeten Beschäftigungsverhältnissen in den Staatsministerien (bitte nach Sachgrund ausdifferenzieren), wie viele davon sind sachgrundlos befristet und wie haben sich diese Zahlen in den vergangenen zehn Jahren entwickelt?</w:t>
            </w:r>
          </w:p>
          <w:p w:rsidR="00CA4048" w:rsidRDefault="00CA4048" w:rsidP="00CA4048">
            <w:pPr>
              <w:pStyle w:val="LTAnfrageText"/>
            </w:pPr>
          </w:p>
        </w:tc>
      </w:tr>
    </w:tbl>
    <w:p w:rsidR="00CA4048" w:rsidRDefault="00CA4048" w:rsidP="00CA4048">
      <w:pPr>
        <w:pStyle w:val="LTUeberschrAntwortRessort"/>
      </w:pPr>
      <w:r>
        <w:t>Antwort des Staatsministeriums der Finanzen, für Landesentwicklung und Heimat</w:t>
      </w:r>
    </w:p>
    <w:p w:rsidR="00CA4048" w:rsidRDefault="00CA4048" w:rsidP="00CA4048">
      <w:pPr>
        <w:pStyle w:val="LTAntwortRessortText"/>
      </w:pPr>
      <w:r>
        <w:t>Der Freistaat Bayern würde gerne allen A</w:t>
      </w:r>
      <w:r w:rsidR="00177B42">
        <w:t>rbeitnehmerinnen und Arbeitneh</w:t>
      </w:r>
      <w:r>
        <w:t xml:space="preserve">mern eine Beschäftigung auf unbestimmte Zeit anbieten. Es gibt jedoch Konstellationen, in denen dies objektiv nicht </w:t>
      </w:r>
      <w:r w:rsidR="00177B42">
        <w:t>möglich ist. Dies ist insbeson</w:t>
      </w:r>
      <w:r>
        <w:t>dere der Fall bei</w:t>
      </w:r>
    </w:p>
    <w:p w:rsidR="00CA4048" w:rsidRDefault="00CA4048" w:rsidP="00177B42">
      <w:pPr>
        <w:pStyle w:val="LTAntwortRessortText"/>
        <w:numPr>
          <w:ilvl w:val="1"/>
          <w:numId w:val="27"/>
        </w:numPr>
        <w:spacing w:before="120"/>
        <w:ind w:left="992" w:hanging="425"/>
      </w:pPr>
      <w:r>
        <w:t>der Vertretung von Beschäftigten in Mutt</w:t>
      </w:r>
      <w:r w:rsidR="00177B42">
        <w:t>erschutz, Elternzeit, wäh</w:t>
      </w:r>
      <w:r>
        <w:t>rend Beurlaubung aus familiären und anderen Gründen, Ruhen des Arbeitsverhältnisses wegen</w:t>
      </w:r>
      <w:r w:rsidR="00177B42">
        <w:t xml:space="preserve"> Bezugs einer Rente wegen teilweiser Erwerbsminderung;</w:t>
      </w:r>
    </w:p>
    <w:p w:rsidR="00CA4048" w:rsidRDefault="00CA4048" w:rsidP="00177B42">
      <w:pPr>
        <w:pStyle w:val="LTAntwortRessortText"/>
        <w:numPr>
          <w:ilvl w:val="1"/>
          <w:numId w:val="27"/>
        </w:numPr>
        <w:spacing w:before="120"/>
        <w:ind w:left="992" w:hanging="425"/>
      </w:pPr>
      <w:r>
        <w:lastRenderedPageBreak/>
        <w:t>einem vorübergehenden Arbeitskrä</w:t>
      </w:r>
      <w:r w:rsidR="00177B42">
        <w:t>ftebedarf (z. B. Projektbefris</w:t>
      </w:r>
      <w:r>
        <w:t>tungen; Saisonar</w:t>
      </w:r>
      <w:r w:rsidR="00177B42">
        <w:t>beit);</w:t>
      </w:r>
    </w:p>
    <w:p w:rsidR="00CA4048" w:rsidRDefault="00CA4048" w:rsidP="00177B42">
      <w:pPr>
        <w:pStyle w:val="LTAntwortRessortText"/>
        <w:numPr>
          <w:ilvl w:val="1"/>
          <w:numId w:val="27"/>
        </w:numPr>
        <w:spacing w:before="120"/>
        <w:ind w:left="992" w:hanging="425"/>
      </w:pPr>
      <w:r>
        <w:t>Qualifizierung nach Wissenschaftszeitvertragsgesetz.</w:t>
      </w:r>
    </w:p>
    <w:p w:rsidR="00CA4048" w:rsidRDefault="00CA4048" w:rsidP="00CA4048">
      <w:pPr>
        <w:pStyle w:val="LTAntwortRessortText"/>
      </w:pPr>
      <w:r>
        <w:t>Dem Staatsministerium der Finanzen, für Landesentwicklung und Heimat ist der Anteil der befristeten Arbeit</w:t>
      </w:r>
      <w:r w:rsidR="00177B42">
        <w:t>sverhältnisse in den einzelnen Staatsm</w:t>
      </w:r>
      <w:r>
        <w:t xml:space="preserve">inisterien nicht bekannt; gleiches gilt für die einzelnen Sachgründe und den Anteil der sachgrundlosen Befristungen. Entsprechende Datensätze sind </w:t>
      </w:r>
      <w:r w:rsidR="00177B42">
        <w:t>maschinell nicht hinterlegt, so</w:t>
      </w:r>
      <w:r>
        <w:t>dass insoweit eine ress</w:t>
      </w:r>
      <w:r w:rsidR="00177B42">
        <w:t>ortweite Auswertung nicht mögl</w:t>
      </w:r>
      <w:r>
        <w:t>ich ist.</w:t>
      </w:r>
    </w:p>
    <w:p w:rsidR="00CA4048" w:rsidRDefault="00CA4048" w:rsidP="00CA4048">
      <w:pPr>
        <w:pStyle w:val="LTAntwortRessortText"/>
      </w:pPr>
      <w:r>
        <w:t>Im Zuge der Beantwortung der Schriftlichen Anfrage des Abgeordnete</w:t>
      </w:r>
      <w:r w:rsidR="00177B42">
        <w:t>n Mar</w:t>
      </w:r>
      <w:r>
        <w:t xml:space="preserve">kus Ganserer vom </w:t>
      </w:r>
      <w:r w:rsidR="00177B42">
        <w:t>13.04.</w:t>
      </w:r>
      <w:r>
        <w:t xml:space="preserve">2016 </w:t>
      </w:r>
      <w:r w:rsidR="006533EA">
        <w:t>betreffend „</w:t>
      </w:r>
      <w:r w:rsidR="006533EA" w:rsidRPr="006533EA">
        <w:t>Befristet Beschäftigte im öffentlichen Dienst</w:t>
      </w:r>
      <w:r w:rsidR="006533EA">
        <w:t>“</w:t>
      </w:r>
      <w:r w:rsidR="006533EA" w:rsidRPr="006533EA">
        <w:t xml:space="preserve"> </w:t>
      </w:r>
      <w:r>
        <w:t>(Drs. 17/</w:t>
      </w:r>
      <w:r w:rsidR="00177B42">
        <w:t>12103) wurde der Anteil der be</w:t>
      </w:r>
      <w:r>
        <w:t>fristeten Arbeitsverhältnisse für die Jahre 2012, 2013 und 2014 (jeweils zum</w:t>
      </w:r>
      <w:r w:rsidR="00177B42">
        <w:t xml:space="preserve"> </w:t>
      </w:r>
      <w:r>
        <w:t>31. Dezember) erhoben. Auf die Antworten zu den Fragen 1a bis 1c wird verwiesen. Diese Zahlen beziehen sich auf</w:t>
      </w:r>
      <w:r w:rsidR="00177B42">
        <w:t xml:space="preserve"> die jeweiligen Geschäftsberei</w:t>
      </w:r>
      <w:r>
        <w:t>che</w:t>
      </w:r>
      <w:r w:rsidR="00177B42">
        <w:t xml:space="preserve"> und beinhalten die Zahlen der Staatsm</w:t>
      </w:r>
      <w:r>
        <w:t>inisterien.</w:t>
      </w:r>
    </w:p>
    <w:p w:rsidR="001D6DCC" w:rsidRDefault="001D6DCC">
      <w:pPr>
        <w:rPr>
          <w:rFonts w:cs="Arial"/>
          <w:b/>
          <w:sz w:val="22"/>
          <w:szCs w:val="22"/>
        </w:rPr>
      </w:pPr>
      <w:r>
        <w:br w:type="page"/>
      </w:r>
    </w:p>
    <w:p w:rsidR="00CA4048" w:rsidRDefault="00CA4048" w:rsidP="00CA4048">
      <w:pPr>
        <w:pStyle w:val="LTUeberschrRessort"/>
      </w:pPr>
      <w:r>
        <w:lastRenderedPageBreak/>
        <w:t>Geschäftsbereich des Staatsministeriums für Umwelt und Verbraucherschutz</w:t>
      </w:r>
      <w:r>
        <w:fldChar w:fldCharType="begin"/>
      </w:r>
      <w:r>
        <w:instrText xml:space="preserve"> TC </w:instrText>
      </w:r>
      <w:r w:rsidR="00C244B3">
        <w:instrText>„</w:instrText>
      </w:r>
      <w:bookmarkStart w:id="40" w:name="_Toc511895458"/>
      <w:r>
        <w:instrText>Geschäftsbereich des Staatsministeriums für Umwelt und Verbraucherschutz</w:instrText>
      </w:r>
      <w:bookmarkEnd w:id="40"/>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Hubert</w:t>
            </w:r>
            <w:r w:rsidRPr="00CA4048">
              <w:rPr>
                <w:b/>
              </w:rPr>
              <w:br/>
              <w:t>Aiwanger</w:t>
            </w:r>
            <w:r w:rsidRPr="00CA4048">
              <w:rPr>
                <w:b/>
              </w:rPr>
              <w:br/>
            </w:r>
            <w:r w:rsidRPr="00CA4048">
              <w:t>(FREIE WÄHLER)</w:t>
            </w:r>
            <w:r>
              <w:fldChar w:fldCharType="begin"/>
            </w:r>
            <w:r>
              <w:instrText xml:space="preserve"> TC </w:instrText>
            </w:r>
            <w:r w:rsidR="00C244B3">
              <w:instrText>„</w:instrText>
            </w:r>
            <w:bookmarkStart w:id="41" w:name="_Toc511895459"/>
            <w:r>
              <w:instrText>Aiwanger, Hubert (FREIE WÄHLER)</w:instrText>
            </w:r>
            <w:r>
              <w:br/>
              <w:instrText>Kommunale Wasserversorgung bzw. Abwasserentsorgung</w:instrText>
            </w:r>
            <w:bookmarkEnd w:id="41"/>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Da die Sanierung der kommunalen Wasserversorgung und Abwasserentsorgung in den nächsten Jahren große Belastungen für Bürger und Kommunen bringen wird und sich das derzeitige Fördersystem des Freistaates Bayern nur auf Härtefälle beschränkt, frage ich die Staatsregierung, mit wie viel kommunalen Investitionen sie in dem Bereich Wasserversorgung und Abwasserentsorgung in den nächsten drei Jahren rechnet, wann die für Anfang 2018 angekündigte Evaluierung der Richtlinien für Zuwendungen zu wasserwirtschaftlichen Vorhaben (RZWas 2016</w:t>
            </w:r>
            <w:r w:rsidR="00BE53A9">
              <w:t>)</w:t>
            </w:r>
            <w:r>
              <w:t xml:space="preserve"> veröffentlicht wird und ob die Staatsregierung nicht auch die Notwendigkeit sieht, die Sanierung der Wasserversorgung und Abwasserentsorgung bayernweit flächendeckend (und nicht nur in Härtefällen) zu fördern, um Kommunen und Bürgerinnen bzw. Bürger vor tickenden finanziellen Zeitbomben zu schützen?</w:t>
            </w:r>
          </w:p>
          <w:p w:rsidR="00CA4048" w:rsidRDefault="00CA4048" w:rsidP="00CA4048">
            <w:pPr>
              <w:pStyle w:val="LTAnfrageText"/>
            </w:pPr>
          </w:p>
        </w:tc>
      </w:tr>
    </w:tbl>
    <w:p w:rsidR="00CA4048" w:rsidRDefault="00CA4048" w:rsidP="00826E56">
      <w:pPr>
        <w:pStyle w:val="LTUeberschrAntwortRessort"/>
        <w:spacing w:before="960"/>
      </w:pPr>
      <w:r>
        <w:t>Antwort des Staatsministeriums für Umwelt und Verbraucherschutz</w:t>
      </w:r>
    </w:p>
    <w:p w:rsidR="00CA4048" w:rsidRDefault="00CA4048" w:rsidP="00826E56">
      <w:pPr>
        <w:pStyle w:val="LTAntwortRessortText"/>
        <w:spacing w:before="360"/>
      </w:pPr>
      <w:r>
        <w:t xml:space="preserve">Zuständig für den Betrieb und Erhalt der öffentlichen Wasserversorgung und Abwasseranlagen sind die Kommunen. Die Ersterschließung von Wasserver- und Abwasserentsorgungsanlagen wurde in Bayern durch staatliche Zuwendungen in Höhe von rund 12 </w:t>
      </w:r>
      <w:r w:rsidR="00260956">
        <w:t>Mrd.</w:t>
      </w:r>
      <w:r>
        <w:t xml:space="preserve"> Euro unterstützt. Um unzumutbare finanzielle Belastungen von Bürgern und Kommunen bei der Sanierung der Anlagen zu vermeiden, hat das </w:t>
      </w:r>
      <w:r w:rsidR="00D953C9">
        <w:t>Staatsministeriums für Umwelt und Verbraucherschutz (StMUV)</w:t>
      </w:r>
      <w:r>
        <w:t xml:space="preserve"> 2016 ein Förderprogramm für Härtefälle aufgelegt. Für das Programm stehen jährlich bis zu 70 </w:t>
      </w:r>
      <w:r w:rsidR="00260956">
        <w:t>Mio.</w:t>
      </w:r>
      <w:r>
        <w:t xml:space="preserve"> Euro für Sanierungen von Trink- und Abwasseranlagen zur Verfügung.</w:t>
      </w:r>
    </w:p>
    <w:p w:rsidR="00CA4048" w:rsidRDefault="00CA4048" w:rsidP="00826E56">
      <w:pPr>
        <w:pStyle w:val="LTAntwortRessortText"/>
        <w:spacing w:before="360"/>
      </w:pPr>
      <w:r>
        <w:t>Nach einem Bericht der T</w:t>
      </w:r>
      <w:r w:rsidR="00260956">
        <w:t xml:space="preserve">echnischen </w:t>
      </w:r>
      <w:r>
        <w:t>U</w:t>
      </w:r>
      <w:r w:rsidR="00260956">
        <w:t>niversität</w:t>
      </w:r>
      <w:r>
        <w:t xml:space="preserve"> München zum Zustand der öffentlichen Kanalisationen in Bayern (Stand 2012) haben ca. 15 </w:t>
      </w:r>
      <w:r w:rsidR="00C244B3">
        <w:t>Prozent</w:t>
      </w:r>
      <w:r>
        <w:t xml:space="preserve"> der Kanäle in Bayern einen kurz- bis mittelfristigen Sanierungsbedarf. Der Sanierungsbedarf wird als bewältigbar beschreiben. Für die Wasserversorgung liegt der Sanierungsbedarf beispielsweise bei bayernweit etwa 300 Mio. Euro im Jahr.</w:t>
      </w:r>
    </w:p>
    <w:p w:rsidR="00CA4048" w:rsidRDefault="00CA4048" w:rsidP="00826E56">
      <w:pPr>
        <w:pStyle w:val="LTAntwortRessortText"/>
        <w:spacing w:before="360"/>
      </w:pPr>
      <w:r>
        <w:t xml:space="preserve">Der Bericht des </w:t>
      </w:r>
      <w:r w:rsidR="00D953C9">
        <w:t xml:space="preserve">StMUV </w:t>
      </w:r>
      <w:r>
        <w:t xml:space="preserve">über die Ergebnisse der Evaluierung </w:t>
      </w:r>
      <w:r w:rsidR="00BE53A9">
        <w:t>RZWas</w:t>
      </w:r>
      <w:r>
        <w:t xml:space="preserve"> 2016 ist noch in Fertigstellung und geht anschließend an den Landtag.</w:t>
      </w:r>
    </w:p>
    <w:p w:rsidR="00CA4048" w:rsidRDefault="00CA4048" w:rsidP="00826E56">
      <w:pPr>
        <w:pStyle w:val="LTAntwortRessortText"/>
        <w:spacing w:before="360"/>
      </w:pPr>
      <w:r>
        <w:t>Die Anlagen der kommunalen Wasserversorgung und Abwasserentsorgung sind gemäß Kommunalabgabengesetz als kostendeckende Einrichtungen zu betreiben. Die Kommunen legen die Kosten der Sanierung über einmalige Beiträge und laufende Gebühren auf die Abwasserverursacher um. Diese Kostenumlage ist grundsätzlich zumutbar. Nur wenn die Kostenumlage nachgewiesen zu unzumutbaren Belastungen der Bürgerinnen und Bürger sowie der Kommunen führt, greift die Härtefallförderung. Nach Abschluss der Förderung der Ersterschließung der Kommunen und der Abwasserentsorgung (Ende 2015) war mit der Nutzung der RZWas nunmehr eine Förderung im Härtefall vorgesehen und keine flächenhafte Förderung.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15A73">
            <w:pPr>
              <w:pStyle w:val="LTNumAnfrageIni1"/>
            </w:pPr>
            <w:r w:rsidRPr="00CA4048">
              <w:lastRenderedPageBreak/>
              <w:t>Abgeordneter</w:t>
            </w:r>
            <w:r w:rsidRPr="00CA4048">
              <w:br/>
            </w:r>
            <w:r w:rsidRPr="00CA4048">
              <w:rPr>
                <w:b/>
              </w:rPr>
              <w:t>Florian</w:t>
            </w:r>
            <w:r w:rsidR="00C15A73">
              <w:rPr>
                <w:b/>
              </w:rPr>
              <w:t xml:space="preserve"> von </w:t>
            </w:r>
            <w:r w:rsidRPr="00CA4048">
              <w:rPr>
                <w:b/>
              </w:rPr>
              <w:t>Brunn</w:t>
            </w:r>
            <w:r w:rsidRPr="00CA4048">
              <w:rPr>
                <w:b/>
              </w:rPr>
              <w:br/>
            </w:r>
            <w:r w:rsidRPr="00CA4048">
              <w:t>(SPD)</w:t>
            </w:r>
            <w:r>
              <w:fldChar w:fldCharType="begin"/>
            </w:r>
            <w:r>
              <w:instrText xml:space="preserve"> TC </w:instrText>
            </w:r>
            <w:bookmarkStart w:id="42" w:name="_Toc511895460"/>
            <w:r w:rsidR="00C15A73">
              <w:instrText xml:space="preserve"> von </w:instrText>
            </w:r>
            <w:r>
              <w:instrText>Brunn, Florian (SPD)</w:instrText>
            </w:r>
            <w:r>
              <w:br/>
              <w:instrText>Weitergehende Untersuchungen zu Umweltgiften (PFC) in Nahrungsmitteln und Wasser in Bayern</w:instrText>
            </w:r>
            <w:bookmarkEnd w:id="42"/>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Nachdem Anfragen zum Plenum der SPD-Fraktion (Drs. 17/20695) ergeben haben, dass es an zahlreichen Orten in Bayern Belastungen mit per- oder polyfluorierten Chemikalien (PFC) gibt, die teilweise erheblich die Leit- oder Grenzwerte übersteigen, frage ich die Staatsregierung, in welchen Gebieten mit PFC-Belastung, vor allem auch in solchen mit Leit- oder Grenzüberschreitungen, Untersuchungen von Trinkwasser, Nahrungsmitteln und landwirtschaftlichen Produkten durchgeführt wurden (unter Angabe des Datums), welche Nahrungsmittel und landwirtschaftlichen Produkte dabei genau untersucht wurden (unter Angabe von Art der Untersuchung sowie Datum) und wie untersucht wurde, ob PFC in Grundwasser und Boden auch in Fließgewässer und Oberflächengewässer gelangen können (unter Angabe von Ort, Art der Untersuchung sowie Datum)?</w:t>
            </w:r>
          </w:p>
          <w:p w:rsidR="00CA4048" w:rsidRDefault="00CA4048" w:rsidP="00CA4048">
            <w:pPr>
              <w:pStyle w:val="LTAnfrageText"/>
            </w:pPr>
          </w:p>
        </w:tc>
      </w:tr>
    </w:tbl>
    <w:p w:rsidR="00CA4048" w:rsidRDefault="00CA4048" w:rsidP="00CE2ECE">
      <w:pPr>
        <w:pStyle w:val="LTUeberschrAntwortRessort"/>
      </w:pPr>
      <w:r>
        <w:t>Antwort des Staatsministeriums für Umwelt und Verbraucherschutz</w:t>
      </w:r>
      <w:r w:rsidR="00CE2ECE">
        <w:t xml:space="preserve"> im Einvernehmen mit dem Staatsministerium für</w:t>
      </w:r>
      <w:r>
        <w:t xml:space="preserve"> Gesundheit und Pflege</w:t>
      </w:r>
    </w:p>
    <w:p w:rsidR="00CA4048" w:rsidRDefault="00CA4048" w:rsidP="00CA4048">
      <w:pPr>
        <w:pStyle w:val="LTAntwortRessortText"/>
      </w:pPr>
      <w:r>
        <w:t>PFC-Altlasten bzw. schädliche Bodenveränderungen im Sinne des Bundes-Bodenschutzgesetzes (BBodSchG) sind in Bayern u. a. auf den Einsatz f</w:t>
      </w:r>
      <w:r w:rsidR="00CE2ECE">
        <w:t xml:space="preserve">luorhaltiger Schaumlöschmittel </w:t>
      </w:r>
      <w:r>
        <w:t xml:space="preserve">bei Löschübungen oder Brandeinsätzen zurückzuführen. Als Hauptkontaminanten treten Perfluoroktansulfonsäure (PFOS) und Perfluorhexansulfonsäure (PFHxS) auf. PFOS-haltige Feuerlöschschäume durften nur bis </w:t>
      </w:r>
      <w:r w:rsidR="00CE2ECE">
        <w:t>27.06.</w:t>
      </w:r>
      <w:r>
        <w:t>2011 verwendet werden. Der Einsatz von PFC im industriellen Bereich wurde zudem in den letzten Jahren durch entsprechende Änderungen des Chemikalienrechts deutlich beschränkt.</w:t>
      </w:r>
    </w:p>
    <w:p w:rsidR="00CA4048" w:rsidRPr="00CE2ECE" w:rsidRDefault="00CA4048" w:rsidP="00CA4048">
      <w:pPr>
        <w:pStyle w:val="LTAntwortRessortText"/>
        <w:rPr>
          <w:u w:val="single"/>
        </w:rPr>
      </w:pPr>
      <w:r w:rsidRPr="00CE2ECE">
        <w:rPr>
          <w:u w:val="single"/>
        </w:rPr>
        <w:t>Nahrungsmittel und landwirtschaftliche Produkte:</w:t>
      </w:r>
    </w:p>
    <w:p w:rsidR="00CA4048" w:rsidRDefault="00CA4048" w:rsidP="00CE2ECE">
      <w:pPr>
        <w:pStyle w:val="LTAntwortRessortText"/>
        <w:spacing w:before="120"/>
      </w:pPr>
      <w:r>
        <w:t xml:space="preserve">Derzeit existieren auf Bundes- und europäischer Ebene keine Grenzwerte für Nahrungsmittel. Aus allen der in der </w:t>
      </w:r>
      <w:r w:rsidR="00CE2ECE">
        <w:t>Drs.</w:t>
      </w:r>
      <w:r>
        <w:t xml:space="preserve"> 17/20695 genannten Landkreisen und kreisfreien Städten wurden durch das </w:t>
      </w:r>
      <w:r w:rsidR="00CE2ECE">
        <w:rPr>
          <w:rStyle w:val="st"/>
        </w:rPr>
        <w:t xml:space="preserve">Landesamt für Gesundheit und Lebensmittelsicherheit </w:t>
      </w:r>
      <w:r w:rsidR="005450AB">
        <w:rPr>
          <w:rStyle w:val="st"/>
        </w:rPr>
        <w:t xml:space="preserve">(LGL) </w:t>
      </w:r>
      <w:r>
        <w:t>Proben untersucht. Erhöhte Gehalte an PFC wurden in folgen</w:t>
      </w:r>
      <w:r w:rsidR="00CE2ECE">
        <w:t>den Einzelfällen festgestellt (i</w:t>
      </w:r>
      <w:r>
        <w:t>n Klammern ist das Jahr oder sind die Jahre der Untersuchung und die Substanz angegeben, die hauptsächlich in der Probe vorhanden war):</w:t>
      </w:r>
    </w:p>
    <w:p w:rsidR="00CA4048" w:rsidRDefault="00CA4048" w:rsidP="005450AB">
      <w:pPr>
        <w:pStyle w:val="LTAntwortRessortText"/>
        <w:numPr>
          <w:ilvl w:val="1"/>
          <w:numId w:val="27"/>
        </w:numPr>
        <w:spacing w:before="120"/>
        <w:ind w:left="992" w:hanging="425"/>
      </w:pPr>
      <w:r>
        <w:t>Lkr. Pfaffenhofen a. D. Ilm, Gemeinde Manching: Fische aus Gewässern (2015, PFOS)</w:t>
      </w:r>
      <w:r w:rsidR="00666CAD">
        <w:t>;</w:t>
      </w:r>
    </w:p>
    <w:p w:rsidR="00CA4048" w:rsidRDefault="00CA4048" w:rsidP="005450AB">
      <w:pPr>
        <w:pStyle w:val="LTAntwortRessortText"/>
        <w:numPr>
          <w:ilvl w:val="1"/>
          <w:numId w:val="27"/>
        </w:numPr>
        <w:spacing w:before="120"/>
        <w:ind w:left="992" w:hanging="425"/>
      </w:pPr>
      <w:r>
        <w:t>Lkr. Landsberg am Lech, Gemeinde Epfenhausen: Fische aus Gewässern (2013, PFOS)</w:t>
      </w:r>
      <w:r w:rsidR="00666CAD">
        <w:t>;</w:t>
      </w:r>
    </w:p>
    <w:p w:rsidR="00CA4048" w:rsidRDefault="00CA4048" w:rsidP="005450AB">
      <w:pPr>
        <w:pStyle w:val="LTAntwortRessortText"/>
        <w:numPr>
          <w:ilvl w:val="1"/>
          <w:numId w:val="27"/>
        </w:numPr>
        <w:spacing w:before="120"/>
        <w:ind w:left="992" w:hanging="425"/>
      </w:pPr>
      <w:r>
        <w:t>Lkr. Altötting, Gemeinden um den Industriepark Gendorf: hauptsä</w:t>
      </w:r>
      <w:r w:rsidR="005450AB">
        <w:t xml:space="preserve">chlich Fische aus der Alz (2006 bis </w:t>
      </w:r>
      <w:r>
        <w:t>2018, PFO</w:t>
      </w:r>
      <w:r w:rsidR="005450AB">
        <w:t xml:space="preserve">A, abnehmend), Hühnereier (2007 bis </w:t>
      </w:r>
      <w:r>
        <w:t>2018, PFOA, abnehmend), Wildschweinfleisch</w:t>
      </w:r>
      <w:r w:rsidR="0014545A">
        <w:t xml:space="preserve"> und vor allem -innereien (2010 bis </w:t>
      </w:r>
      <w:r>
        <w:t>2018, PFOA und PF</w:t>
      </w:r>
      <w:r w:rsidR="005450AB">
        <w:t>OS, keine Tendenz), Enten (2008 bis 2011, PFOA); z</w:t>
      </w:r>
      <w:r>
        <w:t>ahlreiche weitere Lebensmit</w:t>
      </w:r>
      <w:r w:rsidR="005450AB">
        <w:t>tel wurden ebenfalls untersucht</w:t>
      </w:r>
      <w:r w:rsidR="00666CAD">
        <w:t>;</w:t>
      </w:r>
    </w:p>
    <w:p w:rsidR="00CA4048" w:rsidRDefault="00CA4048" w:rsidP="005450AB">
      <w:pPr>
        <w:pStyle w:val="LTAntwortRessortText"/>
        <w:numPr>
          <w:ilvl w:val="1"/>
          <w:numId w:val="27"/>
        </w:numPr>
        <w:spacing w:before="120"/>
        <w:ind w:left="992" w:hanging="425"/>
      </w:pPr>
      <w:r>
        <w:t>Lkr. Kelheim, Gemeinde Neustadt a. d. Donau, Mauern: Fische (2010, PFOS) und Hühnereier (2011, PFOA und PFOS)</w:t>
      </w:r>
      <w:r w:rsidR="00666CAD">
        <w:t>;</w:t>
      </w:r>
    </w:p>
    <w:p w:rsidR="00CA4048" w:rsidRDefault="005450AB" w:rsidP="005450AB">
      <w:pPr>
        <w:pStyle w:val="LTAntwortRessortText"/>
        <w:numPr>
          <w:ilvl w:val="1"/>
          <w:numId w:val="27"/>
        </w:numPr>
        <w:spacing w:before="120"/>
        <w:ind w:left="992" w:hanging="425"/>
      </w:pPr>
      <w:r>
        <w:t xml:space="preserve">kreisfreie Stadt </w:t>
      </w:r>
      <w:r w:rsidR="00CA4048">
        <w:t>An</w:t>
      </w:r>
      <w:r>
        <w:t>sbach: Fische aus Gewässern (2015 bis2016, PFOS), Hühnereier</w:t>
      </w:r>
      <w:r w:rsidR="00CA4048">
        <w:t xml:space="preserve"> (2014, PFOS), Rindfleisch und -leber (2014, PFOA und PFOS)</w:t>
      </w:r>
      <w:r w:rsidR="00666CAD">
        <w:t>;</w:t>
      </w:r>
    </w:p>
    <w:p w:rsidR="00CA4048" w:rsidRDefault="00CA4048" w:rsidP="005450AB">
      <w:pPr>
        <w:pStyle w:val="LTAntwortRessortText"/>
        <w:numPr>
          <w:ilvl w:val="1"/>
          <w:numId w:val="27"/>
        </w:numPr>
        <w:spacing w:before="120"/>
        <w:ind w:left="992" w:hanging="425"/>
      </w:pPr>
      <w:r>
        <w:t>kreisfreie Stadt Nürnberg und Umland: Fische aus Gewässern (2011, PFOS)</w:t>
      </w:r>
      <w:r w:rsidR="00666CAD">
        <w:t>;</w:t>
      </w:r>
    </w:p>
    <w:p w:rsidR="00CA4048" w:rsidRDefault="00666CAD" w:rsidP="005450AB">
      <w:pPr>
        <w:pStyle w:val="LTAntwortRessortText"/>
        <w:numPr>
          <w:ilvl w:val="1"/>
          <w:numId w:val="27"/>
        </w:numPr>
        <w:spacing w:before="120"/>
        <w:ind w:left="992" w:hanging="425"/>
      </w:pPr>
      <w:r>
        <w:t xml:space="preserve">Lkr. </w:t>
      </w:r>
      <w:r w:rsidR="005450AB">
        <w:t xml:space="preserve">Nürnberger Land, Gemeinde Leinburg: Fische </w:t>
      </w:r>
      <w:r w:rsidR="00CA4048">
        <w:t>au</w:t>
      </w:r>
      <w:r w:rsidR="005450AB">
        <w:t xml:space="preserve">s Gewässern (2013 bis 2017, PFOS), Wildschweine (2014 bis  </w:t>
      </w:r>
      <w:r w:rsidR="00CA4048">
        <w:t>2017, PFOA und PFOS)</w:t>
      </w:r>
      <w:r>
        <w:t>.</w:t>
      </w:r>
    </w:p>
    <w:p w:rsidR="00CA4048" w:rsidRDefault="00CA4048" w:rsidP="00CA4048">
      <w:pPr>
        <w:pStyle w:val="LTAntwortRessortText"/>
      </w:pPr>
      <w:r>
        <w:lastRenderedPageBreak/>
        <w:t xml:space="preserve">Das LGL berichtete über die Ergebnisse der PFC-Analysen kontinuierlich und </w:t>
      </w:r>
      <w:r w:rsidR="005450AB">
        <w:t>über verschiedene Kanäle</w:t>
      </w:r>
      <w:r w:rsidR="00666CAD">
        <w:t>,</w:t>
      </w:r>
      <w:r w:rsidR="005450AB">
        <w:t xml:space="preserve"> wie z. </w:t>
      </w:r>
      <w:r>
        <w:t>B. dem LGL-Jahresbericht und Beiträgen auf der Homepage des LGL. Die entsprechenden Verweise teilte das LGL dem Anfragesteller bereits im Rahmen früherer Anfragen mit. Im Zentrum der Berichterstattung stand für das LGL die Vergleichbarkeit der Daten und die verständliche Vermittlung von Zusammenhängen.</w:t>
      </w:r>
    </w:p>
    <w:p w:rsidR="00CA4048" w:rsidRPr="005450AB" w:rsidRDefault="00CA4048" w:rsidP="00CA4048">
      <w:pPr>
        <w:pStyle w:val="LTAntwortRessortText"/>
        <w:rPr>
          <w:u w:val="single"/>
        </w:rPr>
      </w:pPr>
      <w:r w:rsidRPr="005450AB">
        <w:rPr>
          <w:u w:val="single"/>
        </w:rPr>
        <w:t>Trinkwasser:</w:t>
      </w:r>
    </w:p>
    <w:p w:rsidR="00CA4048" w:rsidRDefault="00CA4048" w:rsidP="005450AB">
      <w:pPr>
        <w:pStyle w:val="LTAntwortRessortText"/>
        <w:spacing w:before="120"/>
      </w:pPr>
      <w:r>
        <w:t>Im Falle einer Betroffenheit des Grundwassers resultiert eine Belastung des Trinkwassers nur dann, wenn die betreffende Trinkwassergewinnung aus den gleichen Grundwasserleitern gespeist wird. Außer dem Fall im Bereich Altötting, der bereits in der Beantwortung mehrerer Landtagsanfragen ausführlich beschrieben wurde, ist von den derzeit ca. 20 betroffenen Arealen nur im Bereich Landsberg eine Belastung des Trinkwassers mit PFC im Jahre 2013 bekannt. Dort wurde für PFOS ein Wert von 0,58 µg/l festgestellt. Da eine vollständige Ersatzversorgung möglich war, wurde die Einspeisung durch die betroffenen Brunnen sofort am 08.03.2013 eingestellt. Die Bevölkerung wurde umgehend vom zuständigen Landratsamt per Pressemitteilung informiert.</w:t>
      </w:r>
    </w:p>
    <w:p w:rsidR="00CA4048" w:rsidRPr="005450AB" w:rsidRDefault="00CA4048" w:rsidP="005450AB">
      <w:pPr>
        <w:pStyle w:val="LTAntwortRessortText"/>
        <w:spacing w:before="360"/>
        <w:rPr>
          <w:u w:val="single"/>
        </w:rPr>
      </w:pPr>
      <w:r w:rsidRPr="005450AB">
        <w:rPr>
          <w:u w:val="single"/>
        </w:rPr>
        <w:t>Untersuchungen in Grundwasser und Boden sowie in Oberflächengewässern (Fließgewässer und Seen):</w:t>
      </w:r>
    </w:p>
    <w:p w:rsidR="00CA4048" w:rsidRPr="005450AB" w:rsidRDefault="00CA4048" w:rsidP="005450AB">
      <w:pPr>
        <w:pStyle w:val="LTAntwortRessortText"/>
        <w:spacing w:before="120" w:after="120"/>
        <w:rPr>
          <w:b/>
        </w:rPr>
      </w:pPr>
      <w:r w:rsidRPr="005450AB">
        <w:rPr>
          <w:b/>
        </w:rPr>
        <w:t>Grundwasser</w:t>
      </w:r>
      <w:r w:rsidR="005450AB">
        <w:rPr>
          <w:b/>
        </w:rPr>
        <w:t>:</w:t>
      </w:r>
    </w:p>
    <w:p w:rsidR="00CA4048" w:rsidRDefault="00CA4048" w:rsidP="005450AB">
      <w:pPr>
        <w:pStyle w:val="LTAntwortRessortText"/>
        <w:spacing w:before="120"/>
      </w:pPr>
      <w:r>
        <w:t>2007 wurden für ein erstes Überblicksmonitoring insgesamt 51 Grundwässer in Bayern auf PFC untersucht. In 14 der 51 Grundwässer konnten perfluorierte Verbindungen nachgewiesen werden. Die festgestellten Konzentrationen lagen für PFOS im Bereich &lt;1 bis maximal 20 ng/l und für PFOA im Bereich von 0,6 bis maximal 4,1 ng/l. Sie liegen damit deutlich unter dem Trinkwasser-Leitwert von 100 ng/l. Die meisten Befunde wurden in uferfiltratbeeinflussten Messstellen erhalten. Aufgrund der 2007 zunächst flächendeckend durchgeführten Grundwasseruntersuchungen, die in der Fläche nur eine sehr geringe bis gar keine Belastung zeigten, wurde in der Folge ein risikobasiertes Grundwassermonitoring durchgeführt, bei dem gezielt im Bereich potenzieller Kontaminationen (Flughäfen, Raffinerien, Großindust</w:t>
      </w:r>
      <w:r w:rsidR="005450AB">
        <w:t>rie etc.) untersucht wurde (siehe unten).</w:t>
      </w:r>
    </w:p>
    <w:p w:rsidR="00CA4048" w:rsidRPr="005450AB" w:rsidRDefault="00CA4048" w:rsidP="00CA4048">
      <w:pPr>
        <w:pStyle w:val="LTAntwortRessortText"/>
        <w:rPr>
          <w:b/>
        </w:rPr>
      </w:pPr>
      <w:r w:rsidRPr="005450AB">
        <w:rPr>
          <w:b/>
        </w:rPr>
        <w:t>Altlasten</w:t>
      </w:r>
      <w:r w:rsidR="005450AB">
        <w:rPr>
          <w:b/>
        </w:rPr>
        <w:t>:</w:t>
      </w:r>
    </w:p>
    <w:p w:rsidR="00CA4048" w:rsidRDefault="00CA4048" w:rsidP="005450AB">
      <w:pPr>
        <w:pStyle w:val="LTAntwortRessortText"/>
        <w:spacing w:before="120"/>
      </w:pPr>
      <w:r>
        <w:t xml:space="preserve">Derzeit werden in Bayern rund 20 Industriestandorte und Flugplätze im Hinblick auf Altlasten oder schädliche Bodenveränderungen mit PFC nach den Vorgaben des Bodenschutzrechts intensiv untersucht oder es werden bereits, wo erforderlich, Maßnahmen ergriffen. Die Untersuchung der Ausbreitungsmöglichkeiten von Schadstoffen (z. B. vom Boden in das Grundwasser oder in Fließ- und Oberflächengewässer) ist nach § 2 Nr. 4 Bundes-Bodenschutz- und Altlastenverordnung zwingender Bestandteil einer Detailuntersuchung. Die Standorte wurden bereits mit den Anfragen zum Plenum </w:t>
      </w:r>
      <w:r w:rsidR="005450AB">
        <w:t xml:space="preserve">(Drs. 17/20695) </w:t>
      </w:r>
      <w:r>
        <w:t>vom 05.02.2018 übermittelt.</w:t>
      </w:r>
    </w:p>
    <w:p w:rsidR="00CA4048" w:rsidRPr="005450AB" w:rsidRDefault="00CA4048" w:rsidP="00CA4048">
      <w:pPr>
        <w:pStyle w:val="LTAntwortRessortText"/>
        <w:rPr>
          <w:b/>
        </w:rPr>
      </w:pPr>
      <w:r w:rsidRPr="005450AB">
        <w:rPr>
          <w:b/>
        </w:rPr>
        <w:t>Oberflächengewässer</w:t>
      </w:r>
      <w:r w:rsidR="005450AB">
        <w:rPr>
          <w:b/>
        </w:rPr>
        <w:t>:</w:t>
      </w:r>
    </w:p>
    <w:p w:rsidR="00CA4048" w:rsidRDefault="00CA4048" w:rsidP="005450AB">
      <w:pPr>
        <w:pStyle w:val="LTAntwortRessortText"/>
        <w:spacing w:before="120"/>
      </w:pPr>
      <w:r>
        <w:t>Seit 2015 werden die 38 Überblicksmessstellen (ÜMS) an den Flie</w:t>
      </w:r>
      <w:r w:rsidR="005450AB">
        <w:t xml:space="preserve">ßgewässern </w:t>
      </w:r>
      <w:r w:rsidR="0014545A">
        <w:t>viertel</w:t>
      </w:r>
      <w:r w:rsidR="005450AB">
        <w:t>jährlich und im Drei</w:t>
      </w:r>
      <w:r>
        <w:t>-Jahres-Zyklus auf PFC beprobt. An 33 Messstellen liegen bisher Ergebnisse zu PFOS in Wasser und/oder Biota vor. An 26 Messst</w:t>
      </w:r>
      <w:r w:rsidR="00666CAD">
        <w:t>ellen war</w:t>
      </w:r>
      <w:r>
        <w:t xml:space="preserve"> die Umweltqualitätsnorm (UQN) der </w:t>
      </w:r>
      <w:r w:rsidR="005450AB">
        <w:t>Oberflächengewässerverordnung für die Wasserphase von 0,65 ng/l überschritten, davon an fünf</w:t>
      </w:r>
      <w:r>
        <w:t xml:space="preserve"> Messstellen auch die UQN für Biota.</w:t>
      </w:r>
    </w:p>
    <w:p w:rsidR="00CA4048" w:rsidRDefault="00CA4048" w:rsidP="00CA4048">
      <w:pPr>
        <w:pStyle w:val="LTAntwortRessortText"/>
      </w:pPr>
      <w:r>
        <w:t>Darüber hinaus werden im Rahmen des Umweltmonitorings nach Wasserrahmenrichtlinie eine Vielzahl von Stoffen in Oberflächengewässern untersucht, u.</w:t>
      </w:r>
      <w:r w:rsidR="005450AB">
        <w:t> </w:t>
      </w:r>
      <w:r>
        <w:t xml:space="preserve">a. auch PFC. Das Programm wurde Anfang 2018 gestartet und läuft </w:t>
      </w:r>
      <w:r w:rsidR="005450AB">
        <w:t>sechs</w:t>
      </w:r>
      <w:r>
        <w:t xml:space="preserve"> Jahre. Bei positiven Befunden wird im Rahmen eines Monitor</w:t>
      </w:r>
      <w:r w:rsidR="005450AB">
        <w:t>ings zu Ermittlungszwecken der Verursacher gesucht</w:t>
      </w:r>
      <w:r>
        <w:t xml:space="preserve"> und ggf. werden entsprechende Maßnahmen eingeleitet.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3A16FB">
            <w:pPr>
              <w:pStyle w:val="LTNumAnfrageIni1"/>
            </w:pPr>
            <w:r w:rsidRPr="00CA4048">
              <w:lastRenderedPageBreak/>
              <w:t>Abgeordneter</w:t>
            </w:r>
            <w:r w:rsidRPr="00CA4048">
              <w:br/>
            </w:r>
            <w:r w:rsidRPr="00CA4048">
              <w:rPr>
                <w:b/>
              </w:rPr>
              <w:t>Günther</w:t>
            </w:r>
            <w:r w:rsidRPr="00CA4048">
              <w:rPr>
                <w:b/>
              </w:rPr>
              <w:br/>
              <w:t>Felbinger</w:t>
            </w:r>
            <w:r w:rsidRPr="00CA4048">
              <w:rPr>
                <w:b/>
              </w:rPr>
              <w:br/>
            </w:r>
            <w:r w:rsidRPr="00CA4048">
              <w:t>(</w:t>
            </w:r>
            <w:r w:rsidR="003A16FB">
              <w:t>f</w:t>
            </w:r>
            <w:r w:rsidRPr="00CA4048">
              <w:t>raktionslos)</w:t>
            </w:r>
            <w:r>
              <w:fldChar w:fldCharType="begin"/>
            </w:r>
            <w:r>
              <w:instrText xml:space="preserve"> TC </w:instrText>
            </w:r>
            <w:r w:rsidR="00C244B3">
              <w:instrText>„</w:instrText>
            </w:r>
            <w:bookmarkStart w:id="43" w:name="_Toc511895461"/>
            <w:r>
              <w:instrText>Felbinger, Günther (Fraktionslos)</w:instrText>
            </w:r>
            <w:r>
              <w:br/>
              <w:instrText>Dritter Nationalpark in Bayern</w:instrText>
            </w:r>
            <w:bookmarkEnd w:id="43"/>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bis wann wird die Entscheidung für oder gegen einen dritten Nationalpark in Bayern fallen, welche Alternativen für eine Stärkung der Belange des Naturschutzes in Bayern sieht die Staatsregierung bei einer negativen Entscheidung und welche Regionen würden dafür in Betracht kommen?</w:t>
            </w:r>
          </w:p>
          <w:p w:rsidR="00CA4048" w:rsidRDefault="00CA4048" w:rsidP="00CA4048">
            <w:pPr>
              <w:pStyle w:val="LTAnfrageText"/>
            </w:pPr>
          </w:p>
        </w:tc>
      </w:tr>
    </w:tbl>
    <w:p w:rsidR="00CA4048" w:rsidRDefault="00CA4048" w:rsidP="00826E56">
      <w:pPr>
        <w:pStyle w:val="LTUeberschrAntwortRessort"/>
        <w:spacing w:before="960"/>
      </w:pPr>
      <w:r>
        <w:t>Antwort des Staatsministeriums für Umwelt und Verbraucherschutz</w:t>
      </w:r>
    </w:p>
    <w:p w:rsidR="00CA4048" w:rsidRDefault="00CA4048" w:rsidP="00CA4048">
      <w:pPr>
        <w:pStyle w:val="LTAntwortRessortText"/>
      </w:pPr>
      <w:r>
        <w:t xml:space="preserve">Ministerpräsident </w:t>
      </w:r>
      <w:r w:rsidR="00F45229">
        <w:t>Dr. Markus Söder</w:t>
      </w:r>
      <w:r w:rsidR="00826E56">
        <w:t xml:space="preserve"> </w:t>
      </w:r>
      <w:r>
        <w:t>beabsichtigt, eine grundsätzliche Entscheidung zum Thema dritter Nationalpark in seiner Regierungserklärung am 18.04.2018 mitzuteilen.</w:t>
      </w:r>
    </w:p>
    <w:p w:rsidR="00826E56" w:rsidRDefault="00826E56"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Dr. Leopold</w:t>
            </w:r>
            <w:r w:rsidRPr="00CA4048">
              <w:rPr>
                <w:b/>
              </w:rPr>
              <w:br/>
              <w:t>Herz</w:t>
            </w:r>
            <w:r w:rsidRPr="00CA4048">
              <w:rPr>
                <w:b/>
              </w:rPr>
              <w:br/>
            </w:r>
            <w:r w:rsidRPr="00CA4048">
              <w:t>(FREIE WÄHLER)</w:t>
            </w:r>
            <w:r>
              <w:fldChar w:fldCharType="begin"/>
            </w:r>
            <w:r>
              <w:instrText xml:space="preserve"> TC </w:instrText>
            </w:r>
            <w:r w:rsidR="00C244B3">
              <w:instrText>„</w:instrText>
            </w:r>
            <w:bookmarkStart w:id="44" w:name="_Toc511895462"/>
            <w:r>
              <w:instrText>Dr. Herz, Leopold (FREIE WÄHLER)</w:instrText>
            </w:r>
            <w:r>
              <w:br/>
              <w:instrText>24-Stunden-Vorankündigung von Cross-Compliance</w:instrText>
            </w:r>
            <w:bookmarkEnd w:id="44"/>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auf welche rechtliche Grundlage stützt sich die Ankündigung der ehemaligen Staatsministerin für Umwelt und Verbraucherschutz, Ulrike Scharf, dass zukünftig bei Nebenerwerbslandwirten Kontrollen 24 Stunden vorher angemeldet werden, welche rechtliche Grundlage begründet, dass diese Regelung bei Vollerwerbsbetrieben nicht angewendet werden kann und ist die Staatsregierung nicht der Ansicht, dass dies eine Diskriminierung von Haupterwerbsbetrieben darstellt?</w:t>
            </w:r>
          </w:p>
          <w:p w:rsidR="00CA4048" w:rsidRDefault="00CA4048" w:rsidP="00CA4048">
            <w:pPr>
              <w:pStyle w:val="LTAnfrageText"/>
            </w:pPr>
          </w:p>
        </w:tc>
      </w:tr>
    </w:tbl>
    <w:p w:rsidR="00CA4048" w:rsidRDefault="00CA4048" w:rsidP="00CA4048">
      <w:pPr>
        <w:pStyle w:val="LTUeberschrAntwortRessort"/>
      </w:pPr>
      <w:r>
        <w:t>Antwort des Staatsministeriums für Umwelt und Verbraucherschutz</w:t>
      </w:r>
    </w:p>
    <w:p w:rsidR="00CA4048" w:rsidRDefault="00CA4048" w:rsidP="00CA4048">
      <w:pPr>
        <w:pStyle w:val="LTAntwortRessortText"/>
      </w:pPr>
      <w:r>
        <w:t>Nach EU-Fachrecht müssen alle amtlichen Kontrollen in Betrieben, die Verantwortung für den gesundheitlichen Verbraucherschutz tragen, grundsätzlich unangekündigt durchgeführt werden.</w:t>
      </w:r>
    </w:p>
    <w:p w:rsidR="00CA4048" w:rsidRDefault="00CA4048" w:rsidP="00CA4048">
      <w:pPr>
        <w:pStyle w:val="LTAntwortRessortText"/>
      </w:pPr>
      <w:r>
        <w:t xml:space="preserve">Eine Vorankündigung der </w:t>
      </w:r>
      <w:r w:rsidR="00F45229">
        <w:t>Cross-Compliance</w:t>
      </w:r>
      <w:r>
        <w:t xml:space="preserve">-Kontrolle kann in hinreichend begründeten Einzelfällen und grundsätzlich nicht mehr als 48 Stunden im Voraus erfolgen. Dabei hat die Kontrollbehörde im Einzelfall zu prüfen, ob nach EU-Recht eine Ankündigung der Kontrolle zulässig ist. Auf Nachfrage des </w:t>
      </w:r>
      <w:r w:rsidR="00F45229">
        <w:rPr>
          <w:rStyle w:val="st"/>
        </w:rPr>
        <w:t xml:space="preserve">Bundesministeriums für Ernährung und Landwirtschaft </w:t>
      </w:r>
      <w:r>
        <w:t xml:space="preserve">und der Bundesländer hatte die </w:t>
      </w:r>
      <w:r w:rsidR="00F45229">
        <w:t>EU-Kommission</w:t>
      </w:r>
      <w:r>
        <w:t xml:space="preserve"> in ihrem Schreiben vom 11.01.2018 bestätigt, dass </w:t>
      </w:r>
      <w:r w:rsidR="00C244B3">
        <w:t>„</w:t>
      </w:r>
      <w:r>
        <w:t>eine Situation die eines Nebenerwerbslandwirts sein könnte, der ohne einer Vorankündigung niemals während der Bürozeiten anzutreffen wäre</w:t>
      </w:r>
      <w:r w:rsidR="00C244B3">
        <w:t>“</w:t>
      </w:r>
      <w:r>
        <w:t>. Der Prüfzweck der Kontrolle darf dabei allerdings nicht gefährdet sein. Die Einzelfallprüfung in Bezug auf die Vorankündigung von Kontrollen ist nicht auf bestimmte Landwirte beschränkt, allerdings sind die Ausnahmemöglichkeiten bei Vollerwerbslandwirten naturgemäß seltener, da diese in der Regel auf dem Betrieb anzutreffen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lastRenderedPageBreak/>
              <w:t>Abgeordneter</w:t>
            </w:r>
            <w:r w:rsidRPr="00CA4048">
              <w:br/>
            </w:r>
            <w:r w:rsidRPr="00CA4048">
              <w:rPr>
                <w:b/>
              </w:rPr>
              <w:t>Nikolaus</w:t>
            </w:r>
            <w:r w:rsidRPr="00CA4048">
              <w:rPr>
                <w:b/>
              </w:rPr>
              <w:br/>
              <w:t>Kraus</w:t>
            </w:r>
            <w:r w:rsidRPr="00CA4048">
              <w:rPr>
                <w:b/>
              </w:rPr>
              <w:br/>
            </w:r>
            <w:r w:rsidRPr="00CA4048">
              <w:t>(FREIE WÄHLER)</w:t>
            </w:r>
            <w:r>
              <w:fldChar w:fldCharType="begin"/>
            </w:r>
            <w:r>
              <w:instrText xml:space="preserve"> TC </w:instrText>
            </w:r>
            <w:r w:rsidR="00C244B3">
              <w:instrText>„</w:instrText>
            </w:r>
            <w:bookmarkStart w:id="45" w:name="_Toc511895463"/>
            <w:r>
              <w:instrText>Kraus, Nikolaus (FREIE WÄHLER)</w:instrText>
            </w:r>
            <w:r>
              <w:br/>
              <w:instrText>Auswirkungen der Beweidung in Wasserschutzgebieten</w:instrText>
            </w:r>
            <w:bookmarkEnd w:id="45"/>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ist ihr bekannt, dass aufgrund weiterer Neuerlasse von Wasserschutzgebietsverordnungen und dem damit einhergehendem Verbot der Beweidung in der engeren Schutzzone (Zone II) diese Neuregelung für (Bio-)Landwirte ein massives Problem darstellt, da ihnen Weideflächen fehlen und neue Pachtflächen aufgrund der angespannten Pachtsituation nur schwer bzw. teuer zu pachten sind, gedenkt die Staatsregierung die betroffenen (Bio-)Landwirten zu unterstützten und wenn ja, in welcher Form?</w:t>
            </w:r>
          </w:p>
          <w:p w:rsidR="00CA4048" w:rsidRDefault="00CA4048" w:rsidP="00CA4048">
            <w:pPr>
              <w:pStyle w:val="LTAnfrageText"/>
            </w:pPr>
          </w:p>
        </w:tc>
      </w:tr>
    </w:tbl>
    <w:p w:rsidR="00CA4048" w:rsidRDefault="00CA4048" w:rsidP="00CA4048">
      <w:pPr>
        <w:pStyle w:val="LTUeberschrAntwortRessort"/>
      </w:pPr>
      <w:r>
        <w:t>Antwort des Staatsministeriums für Umwelt und Verbraucherschutz</w:t>
      </w:r>
    </w:p>
    <w:p w:rsidR="00CA4048" w:rsidRDefault="00CA4048" w:rsidP="00CA4048">
      <w:pPr>
        <w:pStyle w:val="LTAntwortRessortText"/>
      </w:pPr>
      <w:r>
        <w:t>Aus Gründen des Trinkwasserschutzes besteht bereits seit Jahrzehnten ein Beweidungsverbot in der Engeren Schutzzone (Zone II) der neueren Schutzgebietsverordnungen. Seit 2012 läuft ein Aktionsprogramm zur Überprüfung und Anpassung der bestehenden Schutzgebietsverordnungen im Hinblick auf derartige Verbote. Biolandwirtschaft ist grundsätzlich eine sehr grundwasserverträgliche Bewirtschaftungsform.</w:t>
      </w:r>
    </w:p>
    <w:p w:rsidR="00CA4048" w:rsidRDefault="00CA4048" w:rsidP="00CA4048">
      <w:pPr>
        <w:pStyle w:val="LTAntwortRessortText"/>
      </w:pPr>
      <w:r>
        <w:t xml:space="preserve">Zunächst ist der Betreiber der Wasserversorgungsanlage im Rahmen seiner Möglichkeiten gefordert, bei der Suche und Bereitstellung entsprechender Ersatzflächen behilflich zu sein. Die entstehenden Mehrkosten sind im Rahmen der gesetzlichen Regelungen nach § 52 </w:t>
      </w:r>
      <w:r w:rsidR="00F45229">
        <w:t>Wasserhaushaltsgesetz (</w:t>
      </w:r>
      <w:r>
        <w:t>WHG</w:t>
      </w:r>
      <w:r w:rsidR="00F45229">
        <w:t>)</w:t>
      </w:r>
      <w:r>
        <w:t xml:space="preserve"> i.</w:t>
      </w:r>
      <w:r w:rsidR="00F45229">
        <w:t> </w:t>
      </w:r>
      <w:r>
        <w:t>V.</w:t>
      </w:r>
      <w:r w:rsidR="00F45229">
        <w:t> </w:t>
      </w:r>
      <w:r>
        <w:t xml:space="preserve">m. Art. 32 </w:t>
      </w:r>
      <w:r w:rsidR="00F45229">
        <w:t>Bayerisches Wassergesetz (</w:t>
      </w:r>
      <w:r>
        <w:t>BayWG</w:t>
      </w:r>
      <w:r w:rsidR="00F45229">
        <w:t>)</w:t>
      </w:r>
      <w:r>
        <w:t xml:space="preserve"> ausgleichsfähig. Entsprechende Regelungen sind im Einzelfall mit der Landwirtschaftsverwaltung und der zuständigen Kreisverwaltungsbehörde zu erarbeiten. Sollten im Einzelfall extreme Härten auftreten (z. B. entfernt liegende Ersatzpachtflächen oder dergleichen) muss der Wasserversorger versuchen, auch mit unkonventionellen Methoden </w:t>
      </w:r>
      <w:r w:rsidR="00F45229">
        <w:t>–</w:t>
      </w:r>
      <w:r>
        <w:t xml:space="preserve"> z. B. großräumiger Flächentausch </w:t>
      </w:r>
      <w:r w:rsidR="00F45229">
        <w:t>–</w:t>
      </w:r>
      <w:r>
        <w:t xml:space="preserve"> Lösungen für die betroffenen Landwirte zu finden. Die am Verfahren beteiligten Fachbehörden unterstützen die Lösungssuche zum Beispiel durch Detailprüfung der notwendigen Auflagen und ggf. Unterteilung der Zone II in Zone IIa und IIb bei entsprechend günstigen Untergrundverhältnissen, um so im Einzelfall eine Beweidung in Zone</w:t>
      </w:r>
      <w:r w:rsidR="00826E56">
        <w:t> </w:t>
      </w:r>
      <w:r>
        <w:t>IIb zu ermöglichen.</w:t>
      </w:r>
    </w:p>
    <w:p w:rsidR="00F45229" w:rsidRDefault="00F45229">
      <w:pPr>
        <w:rPr>
          <w:rFonts w:cs="Arial"/>
          <w:b/>
          <w:sz w:val="22"/>
          <w:szCs w:val="22"/>
        </w:rPr>
      </w:pPr>
      <w:r>
        <w:br w:type="page"/>
      </w:r>
    </w:p>
    <w:p w:rsidR="00CA4048" w:rsidRDefault="00CA4048" w:rsidP="00CA4048">
      <w:pPr>
        <w:pStyle w:val="LTUeberschrRessort"/>
      </w:pPr>
      <w:r>
        <w:lastRenderedPageBreak/>
        <w:t>Geschäftsbereich des Staatsministeriums für Ernährung, Landwirtschaft und Forsten</w:t>
      </w:r>
      <w:r>
        <w:fldChar w:fldCharType="begin"/>
      </w:r>
      <w:r>
        <w:instrText xml:space="preserve"> TC </w:instrText>
      </w:r>
      <w:r w:rsidR="00C244B3">
        <w:instrText>„</w:instrText>
      </w:r>
      <w:bookmarkStart w:id="46" w:name="_Toc511895464"/>
      <w:r>
        <w:instrText>Geschäftsbereich des Staatsministeriums für Ernährung, Landwirtschaft und Forsten</w:instrText>
      </w:r>
      <w:bookmarkEnd w:id="46"/>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Gisela</w:t>
            </w:r>
            <w:r w:rsidRPr="00CA4048">
              <w:rPr>
                <w:b/>
              </w:rPr>
              <w:br/>
              <w:t>Sengl</w:t>
            </w:r>
            <w:r w:rsidRPr="00CA4048">
              <w:rPr>
                <w:b/>
              </w:rPr>
              <w:br/>
            </w:r>
            <w:r w:rsidRPr="00CA4048">
              <w:t>(BÜNDNIS 90/DIE GRÜNEN)</w:t>
            </w:r>
            <w:r>
              <w:fldChar w:fldCharType="begin"/>
            </w:r>
            <w:r>
              <w:instrText xml:space="preserve"> TC </w:instrText>
            </w:r>
            <w:r w:rsidR="00C244B3">
              <w:instrText>„</w:instrText>
            </w:r>
            <w:bookmarkStart w:id="47" w:name="_Toc511895465"/>
            <w:r>
              <w:instrText>Sengl, Gisela (BÜNDNIS 90/DIE GRÜNEN)</w:instrText>
            </w:r>
            <w:r>
              <w:br/>
              <w:instrText xml:space="preserve">Dauergrünland, Ackerstatus und die Betroffenheit der Wasserversorger im Hinblick auf die Vereinfachungen der Gemeinsamen </w:instrText>
            </w:r>
            <w:bookmarkEnd w:id="47"/>
            <w:r w:rsidR="00F13622">
              <w:instrText>Agrarpolitik</w:instrText>
            </w:r>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inwieweit das geplante Inkrafttreten der Änderungen über die sog. Omnibus-Verordnung/Vereinfachungen der Gemeinsamen Agrarpolitik (GAP) zum 1. Januar 2018 auch in Bayern die Sicherung des Ackerstatus auch nach fünf Jahren Grünlandnutzung gewährleisten, welche Handlungsempfehlungen an Landwirtinnen und Landwirte, die vor der Entscheidung stehen, ihr Grünland zum Erhalt des Ackerstatus umzubrechen, von der Staatsregierung gegeben </w:t>
            </w:r>
            <w:r w:rsidR="00F13622">
              <w:t>werden</w:t>
            </w:r>
            <w:r>
              <w:t xml:space="preserve"> und welche Informationen an die bayerischen Wasserversorger bezüglich des Problems des Umbrechens solcher Grünlandflächen, damit sie nicht als Dauergrünland gelten</w:t>
            </w:r>
            <w:r w:rsidR="00F13622">
              <w:t>,</w:t>
            </w:r>
            <w:r>
              <w:t xml:space="preserve"> und des daraus resultierenden messbaren Nitratanstiegs, aktuell gegeben werden?</w:t>
            </w:r>
            <w:r w:rsidR="00C244B3">
              <w:t xml:space="preserve"> </w:t>
            </w:r>
          </w:p>
          <w:p w:rsidR="00CA4048" w:rsidRDefault="00CA4048" w:rsidP="00CA4048">
            <w:pPr>
              <w:pStyle w:val="LTAnfrageText"/>
            </w:pPr>
          </w:p>
        </w:tc>
      </w:tr>
    </w:tbl>
    <w:p w:rsidR="00CA4048" w:rsidRDefault="00CA4048" w:rsidP="00CA4048">
      <w:pPr>
        <w:pStyle w:val="LTUeberschrAntwortRessort"/>
      </w:pPr>
      <w:r>
        <w:t>Antwort des Staatsministeriums für Ernährung, Landwirtschaft und Forsten</w:t>
      </w:r>
    </w:p>
    <w:p w:rsidR="00CA4048" w:rsidRDefault="00CA4048" w:rsidP="00CA4048">
      <w:pPr>
        <w:pStyle w:val="LTAntwortRessortText"/>
      </w:pPr>
      <w:r>
        <w:t>Mit der sog. Omnibus-Verordnung (V</w:t>
      </w:r>
      <w:r w:rsidR="0033341B">
        <w:t>O (EU) 2017/2393) wurde den Mit</w:t>
      </w:r>
      <w:r>
        <w:t xml:space="preserve">gliedstaaten die Möglichkeit eröffnet, ab </w:t>
      </w:r>
      <w:r w:rsidR="0033341B">
        <w:t>2018 bei der Definition von Dau</w:t>
      </w:r>
      <w:r>
        <w:t>ergrünland (DG) die sog. Pflugregelung anzuwenden. Davon hat Deutschland mit der Dritten Verordnun</w:t>
      </w:r>
      <w:r w:rsidR="0033341B">
        <w:t>g zur Änderung der Direktzahlun</w:t>
      </w:r>
      <w:r>
        <w:t>gen-Durchführungsverordnung und der InVeKoS-Verordnung Gebrauch gemacht, die am 30. März 2018 in Kraft getreten ist. Damit wird die bisherige Definition für DG (B</w:t>
      </w:r>
      <w:r w:rsidR="0033341B">
        <w:t xml:space="preserve">ewuchs mit Gras bzw. </w:t>
      </w:r>
      <w:r>
        <w:t>Grünfutter, seit mindestens fünf Jahren nicht in der Fruchtfolge) dahingehend ergänzt, dass als DG nur Flächen gelten, die zusätzlich zu den bisherigen Bedingungen mindestens fünf Jahre lang nicht umgepflügt worden sind.</w:t>
      </w:r>
    </w:p>
    <w:p w:rsidR="00CA4048" w:rsidRDefault="00CA4048" w:rsidP="0033341B">
      <w:pPr>
        <w:pStyle w:val="LTAntwortRessortText"/>
      </w:pPr>
      <w:r>
        <w:t>Die Entstehung von DG auf Ackerflächen, die mit Gras bzw. Grünfutter oder als Brache genutzt wurden, kann durch Anwendung einer Pflugfu</w:t>
      </w:r>
      <w:r w:rsidR="0033341B">
        <w:t xml:space="preserve">rche künftig vermieden werden. </w:t>
      </w:r>
      <w:r>
        <w:t>Dabei ist unter Umpflügen nach Auslegung der EU-Kommission eine Bodenbearbeitung zu verstehen, die die Grün-landdecke zerstört oder verändert, z. B. wenn der Boden gewendet wird und/oder eine tiefe Bodenbearbeitung erfolgt. Dabei muss nicht unbedingt der Pflug zur Anwendung kommen. Auch andere Bodenbearbeitungsgeräte (z. B. Grubber) können eine tiefgründige Bode</w:t>
      </w:r>
      <w:r w:rsidR="0033341B">
        <w:t xml:space="preserve">nbearbeitung bewirken. </w:t>
      </w:r>
    </w:p>
    <w:p w:rsidR="00CA4048" w:rsidRDefault="00CA4048" w:rsidP="0033341B">
      <w:pPr>
        <w:pStyle w:val="LTAntwortRessortText"/>
      </w:pPr>
      <w:r>
        <w:t>Darüber hinaus kann durch Ausweisung von Ackerbrachen oder Kleegras bzw. Klee</w:t>
      </w:r>
      <w:r w:rsidR="00F13622">
        <w:t>- bzw. Luzernegras-Gemisch als ö</w:t>
      </w:r>
      <w:r>
        <w:t>kologische Vorrangflächen (ÖVF) im Rahmen des Greenings die Fünfjahre</w:t>
      </w:r>
      <w:r w:rsidR="0033341B">
        <w:t>sfrist zur Entstehung von DG un</w:t>
      </w:r>
      <w:r>
        <w:t>terbrochen und damit zumindest im jeweiligen Jahr der Beantragung als ÖVF die Ents</w:t>
      </w:r>
      <w:r w:rsidR="0033341B">
        <w:t>tehung von DG vermieden werden.</w:t>
      </w:r>
    </w:p>
    <w:p w:rsidR="00CA4048" w:rsidRDefault="00CA4048" w:rsidP="0033341B">
      <w:pPr>
        <w:pStyle w:val="LTAntwortRessortText"/>
      </w:pPr>
      <w:r>
        <w:t>Auch bei Beantragung bestimmter</w:t>
      </w:r>
      <w:r w:rsidR="0033341B">
        <w:t xml:space="preserve"> Agrarumweltmaßnahmen (z. B. Um</w:t>
      </w:r>
      <w:r>
        <w:t xml:space="preserve">wandlung von Acker in Grünland) kommt es wie bei den o. g. ÖVF zur Unterbrechung der DG-Entstehung, </w:t>
      </w:r>
      <w:r w:rsidR="0033341B">
        <w:t>zumindest während des Verpflich</w:t>
      </w:r>
      <w:r>
        <w:t>tungszeitraums.</w:t>
      </w:r>
    </w:p>
    <w:p w:rsidR="00CA4048" w:rsidRDefault="00CA4048" w:rsidP="0033341B">
      <w:pPr>
        <w:pStyle w:val="LTAntwortRessortText"/>
      </w:pPr>
      <w:r>
        <w:t>Die Notwendigkeit für Landwirte, vor Ablauf des Fünfjahreszeitraums zur DG-Entstehung eine Ackerfutterfläche noch umzubrechen mit den negativen Auswirkungen gerade in Wasserschutzgebieten, ist auch deshalb nicht gegeben, da für ab 2015 neu entstand</w:t>
      </w:r>
      <w:r w:rsidR="0033341B">
        <w:t>enes bzw. entstehendes DG grund</w:t>
      </w:r>
      <w:r>
        <w:t>sätzlich eine Umwandlungsgenehmigung auch ohne Pflicht zur DG-Neuanlage an anderer Stelle erteilt wird, sofern keine fachrec</w:t>
      </w:r>
      <w:r w:rsidR="0033341B">
        <w:t>htlichen Gründe dagegenstehen.</w:t>
      </w:r>
    </w:p>
    <w:p w:rsidR="00CA4048" w:rsidRDefault="00CA4048" w:rsidP="00CA4048">
      <w:pPr>
        <w:pStyle w:val="LTAntwortRessortText"/>
      </w:pPr>
      <w:r>
        <w:t xml:space="preserve">Der aus dem Grünlandumbruch oftmals </w:t>
      </w:r>
      <w:r w:rsidR="0033341B">
        <w:t>resultierende messbare Nitratan</w:t>
      </w:r>
      <w:r>
        <w:t>stieg be</w:t>
      </w:r>
      <w:r w:rsidR="0033341B">
        <w:t>i nachfolgender Ackerkultur, z. </w:t>
      </w:r>
      <w:r>
        <w:t>B. Silomais, ist bei direkter Wiederansaat von Grünfutterpflanzen im Rahmen der Pflugregelung nicht zu erwarten. Insbesondere in Wasserschutz- und Wassereinzugsgebieten lau</w:t>
      </w:r>
      <w:r>
        <w:lastRenderedPageBreak/>
        <w:t xml:space="preserve">tet die Handlungsempfehlung deshalb grundsätzlich </w:t>
      </w:r>
      <w:r w:rsidR="0033341B">
        <w:t>–</w:t>
      </w:r>
      <w:r>
        <w:t xml:space="preserve"> wo es möglich ist </w:t>
      </w:r>
      <w:r w:rsidR="0033341B">
        <w:t>–</w:t>
      </w:r>
      <w:r>
        <w:t xml:space="preserve"> Grünlandumbruch zu vermeiden un</w:t>
      </w:r>
      <w:r w:rsidR="0033341B">
        <w:t>d in Fällen, bei denen der Grün</w:t>
      </w:r>
      <w:r>
        <w:t xml:space="preserve">landumbruch unvermeidbar ist, unmittelbar wiederum Grünland anzulegen. </w:t>
      </w:r>
    </w:p>
    <w:p w:rsidR="00CA4048" w:rsidRDefault="00CA4048" w:rsidP="00CA4048">
      <w:pPr>
        <w:pStyle w:val="LTAntwortRessortText"/>
      </w:pPr>
      <w:r>
        <w:t>Über die o. g. Möglichkeiten werden die Antragsteller jährlich durch die Merkblätter zur Mehrfachantragstellung ausführlich informiert, die im Internet und damit auch den Wasserversorgern zur Verfügung stehen. Zudem wurden zu dieser Thematik schon</w:t>
      </w:r>
      <w:r w:rsidR="0033341B">
        <w:t xml:space="preserve"> mehrfach Besprechungen mit Ver</w:t>
      </w:r>
      <w:r>
        <w:t>tretern der Wasserversorger durchgeführt.</w:t>
      </w:r>
    </w:p>
    <w:p w:rsidR="0033341B" w:rsidRDefault="0033341B">
      <w:pPr>
        <w:rPr>
          <w:rFonts w:cs="Arial"/>
          <w:b/>
          <w:sz w:val="22"/>
          <w:szCs w:val="22"/>
        </w:rPr>
      </w:pPr>
      <w:r>
        <w:br w:type="page"/>
      </w:r>
    </w:p>
    <w:p w:rsidR="00CA4048" w:rsidRDefault="00CA4048" w:rsidP="00CA4048">
      <w:pPr>
        <w:pStyle w:val="LTUeberschrRessort"/>
      </w:pPr>
      <w:r>
        <w:lastRenderedPageBreak/>
        <w:t>Geschäftsbereich des Staatsministeriums für Familie, Arbeit und Soziales</w:t>
      </w:r>
      <w:r>
        <w:fldChar w:fldCharType="begin"/>
      </w:r>
      <w:r>
        <w:instrText xml:space="preserve"> TC </w:instrText>
      </w:r>
      <w:r w:rsidR="00C244B3">
        <w:instrText>„</w:instrText>
      </w:r>
      <w:bookmarkStart w:id="48" w:name="_Toc511895466"/>
      <w:r>
        <w:instrText>Geschäftsbereich des Staatsministeriums für Familie, Arbeit und Soziales</w:instrText>
      </w:r>
      <w:bookmarkEnd w:id="48"/>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Ilona</w:t>
            </w:r>
            <w:r w:rsidRPr="00CA4048">
              <w:rPr>
                <w:b/>
              </w:rPr>
              <w:br/>
              <w:t>Deckwerth</w:t>
            </w:r>
            <w:r w:rsidRPr="00CA4048">
              <w:rPr>
                <w:b/>
              </w:rPr>
              <w:br/>
            </w:r>
            <w:r w:rsidRPr="00CA4048">
              <w:t>(SPD)</w:t>
            </w:r>
            <w:r>
              <w:fldChar w:fldCharType="begin"/>
            </w:r>
            <w:r>
              <w:instrText xml:space="preserve"> TC </w:instrText>
            </w:r>
            <w:r w:rsidR="00C244B3">
              <w:instrText>„</w:instrText>
            </w:r>
            <w:bookmarkStart w:id="49" w:name="_Toc511895467"/>
            <w:r>
              <w:instrText>Deckwerth, Ilona (SPD)</w:instrText>
            </w:r>
            <w:r>
              <w:br/>
              <w:instrText>Arbeitslosigkeit und Erwerbstätigkeit von Menschen mit Behinderung</w:instrText>
            </w:r>
            <w:bookmarkEnd w:id="49"/>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wie hoch ist aktuell der Anteil der Arbeitslosen mit (Schwer-)Behinderung an allen (schwer-)behinderten Menschen im erwerbsfähigen Alter in Bayern und </w:t>
            </w:r>
            <w:r w:rsidR="0033341B">
              <w:t>–</w:t>
            </w:r>
            <w:r>
              <w:t xml:space="preserve"> falls bekannt </w:t>
            </w:r>
            <w:r w:rsidR="0033341B">
              <w:t>–</w:t>
            </w:r>
            <w:r>
              <w:t xml:space="preserve"> Deutschland (bitte nach Geschlecht ausdifferenzieren), wie hoch ist der Anteil der Arbeitslosen mit (Schwer-)Behinderung an allen Arbeitslosen in Bayern und </w:t>
            </w:r>
            <w:r w:rsidR="0033341B">
              <w:t xml:space="preserve">– </w:t>
            </w:r>
            <w:r>
              <w:t xml:space="preserve">falls bekannt </w:t>
            </w:r>
            <w:r w:rsidR="0033341B">
              <w:t>–</w:t>
            </w:r>
            <w:r>
              <w:t xml:space="preserve"> Deutschland (bitte nach Geschlecht ausdifferenzieren) und wie viel Prozent aller Arbeitsplätze in Bayern und </w:t>
            </w:r>
            <w:r w:rsidR="0033341B">
              <w:t>–</w:t>
            </w:r>
            <w:r>
              <w:t xml:space="preserve"> falls bekannt </w:t>
            </w:r>
            <w:r w:rsidR="0033341B">
              <w:t>–</w:t>
            </w:r>
            <w:r>
              <w:t xml:space="preserve"> Deutschland sind (ausdifferenziert nach öffentlichen und privaten Arbeitgebern) im Rahmen der Beschäftigungspflicht mit (schwer-)behinderten Beschäftigten besetzt (in sämtlichen Fällen bitte Entwicklung der vergangenen fünf Jahre angeben)?</w:t>
            </w:r>
          </w:p>
          <w:p w:rsidR="00CA4048" w:rsidRDefault="00CA4048" w:rsidP="00CA4048">
            <w:pPr>
              <w:pStyle w:val="LTAnfrageText"/>
            </w:pPr>
          </w:p>
        </w:tc>
      </w:tr>
    </w:tbl>
    <w:p w:rsidR="00CA4048" w:rsidRDefault="00CA4048" w:rsidP="00CA4048">
      <w:pPr>
        <w:pStyle w:val="LTUeberschrAntwortRessort"/>
      </w:pPr>
      <w:r>
        <w:t>Antwort des Staatsministeriums für Familie, Arbeit und Soziales</w:t>
      </w:r>
    </w:p>
    <w:p w:rsidR="00CA4048" w:rsidRDefault="00CA4048" w:rsidP="0033341B">
      <w:pPr>
        <w:pStyle w:val="LTAntwortRessortText"/>
      </w:pPr>
      <w:r>
        <w:t>Daten zur Arbeitslosigkeit und Erwerb</w:t>
      </w:r>
      <w:r w:rsidR="0033341B">
        <w:t>sfähigkeit von Menschen mit Be</w:t>
      </w:r>
      <w:r>
        <w:t>hinderung differenziert nach Geschlecht liegen der Staatsregierung nicht vor. Ebenso liegen keine Daten über Arbeitslose mit einem Grad der Behinderung von unter 50 (al</w:t>
      </w:r>
      <w:r w:rsidR="0033341B">
        <w:t>so ohne Schwerbehinderung) vor.</w:t>
      </w:r>
    </w:p>
    <w:p w:rsidR="00CA4048" w:rsidRDefault="00CA4048" w:rsidP="00CA4048">
      <w:pPr>
        <w:pStyle w:val="LTAntwortRessortText"/>
      </w:pPr>
      <w:r>
        <w:t>Im März 2018 waren 21.102 schwerbehinderte Menschen in Bayern arbeitslos, in Deutschland insgesamt 159.477. Im Jahr 2016 (letzte verfügbare Daten) waren 513.184 schwerbehinderte Menschen in Bayern im erwerbsfähigen Alter. Der Anteil der Arbeitslosen mit Schwerbehinderung an allen schwerbehinderten Menschen im erwerbsfähigen Alter in Bayern beträgt demnach näherungsweise 4,1</w:t>
      </w:r>
      <w:r w:rsidR="0033341B">
        <w:t xml:space="preserve"> </w:t>
      </w:r>
      <w:r w:rsidR="00C244B3">
        <w:t>Prozent</w:t>
      </w:r>
      <w:r>
        <w:t>.</w:t>
      </w:r>
    </w:p>
    <w:p w:rsidR="00CA4048" w:rsidRDefault="00CA4048" w:rsidP="00CA4048">
      <w:pPr>
        <w:pStyle w:val="LTAntwortRessortText"/>
      </w:pPr>
    </w:p>
    <w:tbl>
      <w:tblPr>
        <w:tblStyle w:val="TableNormal"/>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27"/>
        <w:gridCol w:w="2409"/>
      </w:tblGrid>
      <w:tr w:rsidR="0033341B" w:rsidRPr="0033341B" w:rsidTr="0033341B">
        <w:trPr>
          <w:trHeight w:hRule="exact" w:val="483"/>
        </w:trPr>
        <w:tc>
          <w:tcPr>
            <w:tcW w:w="1275" w:type="dxa"/>
          </w:tcPr>
          <w:p w:rsidR="0033341B" w:rsidRPr="0033341B" w:rsidRDefault="0033341B" w:rsidP="0033341B">
            <w:pPr>
              <w:rPr>
                <w:sz w:val="20"/>
                <w:szCs w:val="20"/>
              </w:rPr>
            </w:pPr>
          </w:p>
        </w:tc>
        <w:tc>
          <w:tcPr>
            <w:tcW w:w="2127" w:type="dxa"/>
            <w:vAlign w:val="center"/>
          </w:tcPr>
          <w:p w:rsidR="0033341B" w:rsidRPr="0033341B" w:rsidRDefault="0033341B" w:rsidP="0033341B">
            <w:pPr>
              <w:pStyle w:val="TableParagraph"/>
              <w:spacing w:before="65"/>
              <w:jc w:val="center"/>
              <w:rPr>
                <w:rFonts w:ascii="Arial" w:eastAsia="Arial" w:hAnsi="Arial" w:cs="Arial"/>
                <w:b/>
                <w:sz w:val="20"/>
                <w:szCs w:val="20"/>
              </w:rPr>
            </w:pPr>
            <w:r w:rsidRPr="0033341B">
              <w:rPr>
                <w:rFonts w:ascii="Arial"/>
                <w:b/>
                <w:spacing w:val="-1"/>
                <w:sz w:val="20"/>
                <w:szCs w:val="20"/>
              </w:rPr>
              <w:t>Bayern</w:t>
            </w:r>
          </w:p>
        </w:tc>
        <w:tc>
          <w:tcPr>
            <w:tcW w:w="2409" w:type="dxa"/>
            <w:vAlign w:val="center"/>
          </w:tcPr>
          <w:p w:rsidR="0033341B" w:rsidRPr="0033341B" w:rsidRDefault="0033341B" w:rsidP="0033341B">
            <w:pPr>
              <w:pStyle w:val="TableParagraph"/>
              <w:spacing w:before="65"/>
              <w:jc w:val="center"/>
              <w:rPr>
                <w:rFonts w:ascii="Arial"/>
                <w:b/>
                <w:spacing w:val="-1"/>
                <w:sz w:val="20"/>
                <w:szCs w:val="20"/>
              </w:rPr>
            </w:pPr>
            <w:r w:rsidRPr="0033341B">
              <w:rPr>
                <w:rFonts w:ascii="Arial"/>
                <w:b/>
                <w:spacing w:val="-1"/>
                <w:sz w:val="20"/>
                <w:szCs w:val="20"/>
              </w:rPr>
              <w:t>Deutschland</w:t>
            </w:r>
          </w:p>
        </w:tc>
      </w:tr>
      <w:tr w:rsidR="0033341B" w:rsidRPr="0033341B" w:rsidTr="00826E56">
        <w:trPr>
          <w:trHeight w:hRule="exact" w:val="484"/>
        </w:trPr>
        <w:tc>
          <w:tcPr>
            <w:tcW w:w="1275" w:type="dxa"/>
            <w:vAlign w:val="center"/>
          </w:tcPr>
          <w:p w:rsidR="0033341B" w:rsidRPr="0033341B" w:rsidRDefault="0033341B" w:rsidP="00826E56">
            <w:pPr>
              <w:pStyle w:val="TableParagraph"/>
              <w:spacing w:before="67"/>
              <w:ind w:left="55"/>
              <w:jc w:val="center"/>
              <w:rPr>
                <w:rFonts w:ascii="Arial" w:eastAsia="Arial" w:hAnsi="Arial" w:cs="Arial"/>
                <w:b/>
                <w:sz w:val="20"/>
                <w:szCs w:val="20"/>
              </w:rPr>
            </w:pPr>
            <w:r w:rsidRPr="0033341B">
              <w:rPr>
                <w:rFonts w:ascii="Arial"/>
                <w:b/>
                <w:spacing w:val="-1"/>
                <w:sz w:val="20"/>
                <w:szCs w:val="20"/>
              </w:rPr>
              <w:t>2016</w:t>
            </w:r>
          </w:p>
        </w:tc>
        <w:tc>
          <w:tcPr>
            <w:tcW w:w="2127" w:type="dxa"/>
            <w:vAlign w:val="center"/>
          </w:tcPr>
          <w:p w:rsidR="0033341B" w:rsidRPr="0033341B" w:rsidRDefault="0033341B" w:rsidP="0033341B">
            <w:pPr>
              <w:pStyle w:val="TableParagraph"/>
              <w:spacing w:before="67"/>
              <w:jc w:val="center"/>
              <w:rPr>
                <w:rFonts w:ascii="Arial" w:eastAsia="Arial" w:hAnsi="Arial" w:cs="Arial"/>
                <w:sz w:val="20"/>
                <w:szCs w:val="20"/>
              </w:rPr>
            </w:pPr>
            <w:r w:rsidRPr="0033341B">
              <w:rPr>
                <w:rFonts w:ascii="Arial"/>
                <w:sz w:val="20"/>
                <w:szCs w:val="20"/>
              </w:rPr>
              <w:t>4,2</w:t>
            </w:r>
            <w:r>
              <w:rPr>
                <w:rFonts w:ascii="Arial"/>
                <w:sz w:val="20"/>
                <w:szCs w:val="20"/>
              </w:rPr>
              <w:t xml:space="preserve"> </w:t>
            </w:r>
            <w:r w:rsidRPr="0033341B">
              <w:rPr>
                <w:rFonts w:ascii="Arial"/>
                <w:sz w:val="20"/>
                <w:szCs w:val="20"/>
              </w:rPr>
              <w:t>%</w:t>
            </w:r>
          </w:p>
        </w:tc>
        <w:tc>
          <w:tcPr>
            <w:tcW w:w="2409" w:type="dxa"/>
            <w:vAlign w:val="center"/>
          </w:tcPr>
          <w:p w:rsidR="0033341B" w:rsidRPr="0033341B" w:rsidRDefault="0033341B" w:rsidP="0033341B">
            <w:pPr>
              <w:pStyle w:val="TableParagraph"/>
              <w:spacing w:before="67"/>
              <w:ind w:right="55"/>
              <w:jc w:val="center"/>
              <w:rPr>
                <w:rFonts w:ascii="Arial" w:eastAsia="Arial" w:hAnsi="Arial" w:cs="Arial"/>
                <w:sz w:val="20"/>
                <w:szCs w:val="20"/>
              </w:rPr>
            </w:pPr>
            <w:r w:rsidRPr="0033341B">
              <w:rPr>
                <w:rFonts w:ascii="Arial"/>
                <w:spacing w:val="-1"/>
                <w:sz w:val="20"/>
                <w:szCs w:val="20"/>
              </w:rPr>
              <w:t>na</w:t>
            </w:r>
          </w:p>
        </w:tc>
      </w:tr>
      <w:tr w:rsidR="0033341B" w:rsidRPr="0033341B" w:rsidTr="00826E56">
        <w:trPr>
          <w:trHeight w:hRule="exact" w:val="482"/>
        </w:trPr>
        <w:tc>
          <w:tcPr>
            <w:tcW w:w="1275" w:type="dxa"/>
            <w:vAlign w:val="center"/>
          </w:tcPr>
          <w:p w:rsidR="0033341B" w:rsidRPr="0033341B" w:rsidRDefault="0033341B" w:rsidP="00826E56">
            <w:pPr>
              <w:pStyle w:val="TableParagraph"/>
              <w:spacing w:before="65"/>
              <w:ind w:left="55"/>
              <w:jc w:val="center"/>
              <w:rPr>
                <w:rFonts w:ascii="Arial" w:eastAsia="Arial" w:hAnsi="Arial" w:cs="Arial"/>
                <w:b/>
                <w:sz w:val="20"/>
                <w:szCs w:val="20"/>
              </w:rPr>
            </w:pPr>
            <w:r w:rsidRPr="0033341B">
              <w:rPr>
                <w:rFonts w:ascii="Arial"/>
                <w:b/>
                <w:spacing w:val="-1"/>
                <w:sz w:val="20"/>
                <w:szCs w:val="20"/>
              </w:rPr>
              <w:t>2015</w:t>
            </w:r>
          </w:p>
        </w:tc>
        <w:tc>
          <w:tcPr>
            <w:tcW w:w="2127" w:type="dxa"/>
            <w:vAlign w:val="center"/>
          </w:tcPr>
          <w:p w:rsidR="0033341B" w:rsidRPr="0033341B" w:rsidRDefault="0033341B" w:rsidP="0033341B">
            <w:pPr>
              <w:pStyle w:val="TableParagraph"/>
              <w:spacing w:before="65"/>
              <w:jc w:val="center"/>
              <w:rPr>
                <w:rFonts w:ascii="Arial" w:eastAsia="Arial" w:hAnsi="Arial" w:cs="Arial"/>
                <w:sz w:val="20"/>
                <w:szCs w:val="20"/>
              </w:rPr>
            </w:pPr>
            <w:r w:rsidRPr="0033341B">
              <w:rPr>
                <w:rFonts w:ascii="Arial"/>
                <w:sz w:val="20"/>
                <w:szCs w:val="20"/>
              </w:rPr>
              <w:t>4,5</w:t>
            </w:r>
            <w:r>
              <w:rPr>
                <w:rFonts w:ascii="Arial"/>
                <w:sz w:val="20"/>
                <w:szCs w:val="20"/>
              </w:rPr>
              <w:t xml:space="preserve"> </w:t>
            </w:r>
            <w:r w:rsidRPr="0033341B">
              <w:rPr>
                <w:rFonts w:ascii="Arial"/>
                <w:sz w:val="20"/>
                <w:szCs w:val="20"/>
              </w:rPr>
              <w:t>%</w:t>
            </w:r>
          </w:p>
        </w:tc>
        <w:tc>
          <w:tcPr>
            <w:tcW w:w="2409" w:type="dxa"/>
            <w:vAlign w:val="center"/>
          </w:tcPr>
          <w:p w:rsidR="0033341B" w:rsidRPr="0033341B" w:rsidRDefault="0033341B" w:rsidP="0033341B">
            <w:pPr>
              <w:pStyle w:val="TableParagraph"/>
              <w:spacing w:before="65"/>
              <w:ind w:right="53"/>
              <w:jc w:val="center"/>
              <w:rPr>
                <w:rFonts w:ascii="Arial" w:eastAsia="Arial" w:hAnsi="Arial" w:cs="Arial"/>
                <w:sz w:val="20"/>
                <w:szCs w:val="20"/>
              </w:rPr>
            </w:pPr>
            <w:r w:rsidRPr="0033341B">
              <w:rPr>
                <w:rFonts w:ascii="Arial"/>
                <w:sz w:val="20"/>
                <w:szCs w:val="20"/>
              </w:rPr>
              <w:t>5,3</w:t>
            </w:r>
            <w:r>
              <w:rPr>
                <w:rFonts w:ascii="Arial"/>
                <w:sz w:val="20"/>
                <w:szCs w:val="20"/>
              </w:rPr>
              <w:t xml:space="preserve"> </w:t>
            </w:r>
            <w:r w:rsidRPr="0033341B">
              <w:rPr>
                <w:rFonts w:ascii="Arial"/>
                <w:sz w:val="20"/>
                <w:szCs w:val="20"/>
              </w:rPr>
              <w:t>%</w:t>
            </w:r>
          </w:p>
        </w:tc>
      </w:tr>
      <w:tr w:rsidR="0033341B" w:rsidRPr="0033341B" w:rsidTr="00826E56">
        <w:trPr>
          <w:trHeight w:hRule="exact" w:val="482"/>
        </w:trPr>
        <w:tc>
          <w:tcPr>
            <w:tcW w:w="1275" w:type="dxa"/>
            <w:vAlign w:val="center"/>
          </w:tcPr>
          <w:p w:rsidR="0033341B" w:rsidRPr="0033341B" w:rsidRDefault="0033341B" w:rsidP="00826E56">
            <w:pPr>
              <w:pStyle w:val="TableParagraph"/>
              <w:spacing w:before="65"/>
              <w:ind w:left="55"/>
              <w:jc w:val="center"/>
              <w:rPr>
                <w:rFonts w:ascii="Arial" w:eastAsia="Arial" w:hAnsi="Arial" w:cs="Arial"/>
                <w:b/>
                <w:sz w:val="20"/>
                <w:szCs w:val="20"/>
              </w:rPr>
            </w:pPr>
            <w:r w:rsidRPr="0033341B">
              <w:rPr>
                <w:rFonts w:ascii="Arial"/>
                <w:b/>
                <w:spacing w:val="-1"/>
                <w:sz w:val="20"/>
                <w:szCs w:val="20"/>
              </w:rPr>
              <w:t>2013</w:t>
            </w:r>
          </w:p>
        </w:tc>
        <w:tc>
          <w:tcPr>
            <w:tcW w:w="2127" w:type="dxa"/>
            <w:vAlign w:val="center"/>
          </w:tcPr>
          <w:p w:rsidR="0033341B" w:rsidRPr="0033341B" w:rsidRDefault="0033341B" w:rsidP="0033341B">
            <w:pPr>
              <w:pStyle w:val="TableParagraph"/>
              <w:spacing w:before="65"/>
              <w:jc w:val="center"/>
              <w:rPr>
                <w:rFonts w:ascii="Arial" w:eastAsia="Arial" w:hAnsi="Arial" w:cs="Arial"/>
                <w:sz w:val="20"/>
                <w:szCs w:val="20"/>
              </w:rPr>
            </w:pPr>
            <w:r w:rsidRPr="0033341B">
              <w:rPr>
                <w:rFonts w:ascii="Arial"/>
                <w:sz w:val="20"/>
                <w:szCs w:val="20"/>
              </w:rPr>
              <w:t>4,6</w:t>
            </w:r>
            <w:r>
              <w:rPr>
                <w:rFonts w:ascii="Arial"/>
                <w:sz w:val="20"/>
                <w:szCs w:val="20"/>
              </w:rPr>
              <w:t xml:space="preserve"> </w:t>
            </w:r>
            <w:r w:rsidRPr="0033341B">
              <w:rPr>
                <w:rFonts w:ascii="Arial"/>
                <w:sz w:val="20"/>
                <w:szCs w:val="20"/>
              </w:rPr>
              <w:t>%</w:t>
            </w:r>
          </w:p>
        </w:tc>
        <w:tc>
          <w:tcPr>
            <w:tcW w:w="2409" w:type="dxa"/>
            <w:vAlign w:val="center"/>
          </w:tcPr>
          <w:p w:rsidR="0033341B" w:rsidRPr="0033341B" w:rsidRDefault="0033341B" w:rsidP="0033341B">
            <w:pPr>
              <w:pStyle w:val="TableParagraph"/>
              <w:spacing w:before="65"/>
              <w:ind w:right="53"/>
              <w:jc w:val="center"/>
              <w:rPr>
                <w:rFonts w:ascii="Arial" w:eastAsia="Arial" w:hAnsi="Arial" w:cs="Arial"/>
                <w:sz w:val="20"/>
                <w:szCs w:val="20"/>
              </w:rPr>
            </w:pPr>
            <w:r w:rsidRPr="0033341B">
              <w:rPr>
                <w:rFonts w:ascii="Arial"/>
                <w:sz w:val="20"/>
                <w:szCs w:val="20"/>
              </w:rPr>
              <w:t>5,4</w:t>
            </w:r>
            <w:r>
              <w:rPr>
                <w:rFonts w:ascii="Arial"/>
                <w:sz w:val="20"/>
                <w:szCs w:val="20"/>
              </w:rPr>
              <w:t xml:space="preserve"> </w:t>
            </w:r>
            <w:r w:rsidRPr="0033341B">
              <w:rPr>
                <w:rFonts w:ascii="Arial"/>
                <w:sz w:val="20"/>
                <w:szCs w:val="20"/>
              </w:rPr>
              <w:t>%</w:t>
            </w:r>
          </w:p>
        </w:tc>
      </w:tr>
    </w:tbl>
    <w:p w:rsidR="00CA4048" w:rsidRDefault="00CA4048" w:rsidP="00CA4048">
      <w:pPr>
        <w:pStyle w:val="LTAntwortRessortText"/>
      </w:pPr>
      <w:r>
        <w:t>Daten zu Menschen mit Behinderung im erwerbsfähigen Alter für Deutschland liegen nur zum Jahresende 2015 vor. Vergleichsweise lässt sich jedoch feststellen, dass im März 2018 lediglich 13,3</w:t>
      </w:r>
      <w:r w:rsidR="00202C5F">
        <w:t> </w:t>
      </w:r>
      <w:r w:rsidR="00C244B3">
        <w:t>Prozent</w:t>
      </w:r>
      <w:r>
        <w:t xml:space="preserve"> der schwerbehinderten Arbeitslosen Deutschlands in Bayern registriert wurden, während zum Jahresende 2016 rd. 15,9 </w:t>
      </w:r>
      <w:r w:rsidR="00C244B3">
        <w:t>Prozent</w:t>
      </w:r>
      <w:r>
        <w:t xml:space="preserve"> der Bevölkerung im erwerbsfähigen Alter in Bayern lebten.</w:t>
      </w:r>
    </w:p>
    <w:p w:rsidR="00CA4048" w:rsidRDefault="00CA4048" w:rsidP="00CA4048">
      <w:pPr>
        <w:pStyle w:val="LTAntwortRessortText"/>
      </w:pPr>
      <w:r>
        <w:t xml:space="preserve">Der Anteil der Arbeitslosen mit Schwerbehinderung an allen Arbeitslosen (jeweils im Jahresdurchschnitt) in Bayern und in Deutschland findet sich in nachfolgender Tabelle. Die höheren Anteile in Bayern beruhen auf einer geringeren Bezugsgröße bzw. allgemeinen Arbeitslosigkeit (Hinweis: bei einer Arbeitslosenquote im Jahresdurchschnitt 2017 von 3,2 </w:t>
      </w:r>
      <w:r w:rsidR="00C244B3">
        <w:t>Prozent</w:t>
      </w:r>
      <w:r>
        <w:t xml:space="preserve"> in Bayern und 5,7</w:t>
      </w:r>
      <w:r w:rsidR="00202C5F">
        <w:t xml:space="preserve"> </w:t>
      </w:r>
      <w:r w:rsidR="00C244B3">
        <w:t>Prozent</w:t>
      </w:r>
      <w:r>
        <w:t xml:space="preserve"> in Deutschland fällt die Bezugsgröße in Bayern rd. 44</w:t>
      </w:r>
      <w:r w:rsidR="00202C5F">
        <w:t xml:space="preserve"> </w:t>
      </w:r>
      <w:r w:rsidR="00C244B3">
        <w:t>Prozent</w:t>
      </w:r>
      <w:r>
        <w:t xml:space="preserve"> geringer aus).</w:t>
      </w:r>
    </w:p>
    <w:p w:rsidR="00CA4048" w:rsidRDefault="00CA4048" w:rsidP="00CA4048">
      <w:pPr>
        <w:pStyle w:val="LTAntwortRessortText"/>
      </w:pPr>
    </w:p>
    <w:tbl>
      <w:tblPr>
        <w:tblStyle w:val="TableNormal"/>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27"/>
        <w:gridCol w:w="2409"/>
      </w:tblGrid>
      <w:tr w:rsidR="0033341B" w:rsidRPr="0033341B" w:rsidTr="0033341B">
        <w:trPr>
          <w:trHeight w:hRule="exact" w:val="482"/>
        </w:trPr>
        <w:tc>
          <w:tcPr>
            <w:tcW w:w="1275" w:type="dxa"/>
          </w:tcPr>
          <w:p w:rsidR="0033341B" w:rsidRPr="0033341B" w:rsidRDefault="0033341B" w:rsidP="0033341B">
            <w:pPr>
              <w:rPr>
                <w:sz w:val="20"/>
                <w:szCs w:val="20"/>
              </w:rPr>
            </w:pPr>
          </w:p>
        </w:tc>
        <w:tc>
          <w:tcPr>
            <w:tcW w:w="2127" w:type="dxa"/>
            <w:vAlign w:val="center"/>
          </w:tcPr>
          <w:p w:rsidR="0033341B" w:rsidRPr="0033341B" w:rsidRDefault="0033341B" w:rsidP="0033341B">
            <w:pPr>
              <w:pStyle w:val="TableParagraph"/>
              <w:spacing w:before="65"/>
              <w:jc w:val="center"/>
              <w:rPr>
                <w:rFonts w:ascii="Arial"/>
                <w:b/>
                <w:spacing w:val="-1"/>
                <w:sz w:val="20"/>
                <w:szCs w:val="20"/>
              </w:rPr>
            </w:pPr>
            <w:r w:rsidRPr="0033341B">
              <w:rPr>
                <w:rFonts w:ascii="Arial"/>
                <w:b/>
                <w:spacing w:val="-1"/>
                <w:sz w:val="20"/>
                <w:szCs w:val="20"/>
              </w:rPr>
              <w:t>Bayern</w:t>
            </w:r>
          </w:p>
        </w:tc>
        <w:tc>
          <w:tcPr>
            <w:tcW w:w="2409" w:type="dxa"/>
            <w:vAlign w:val="center"/>
          </w:tcPr>
          <w:p w:rsidR="0033341B" w:rsidRPr="0033341B" w:rsidRDefault="0033341B" w:rsidP="0033341B">
            <w:pPr>
              <w:pStyle w:val="TableParagraph"/>
              <w:spacing w:before="65"/>
              <w:ind w:left="637"/>
              <w:rPr>
                <w:rFonts w:ascii="Arial" w:eastAsia="Arial" w:hAnsi="Arial" w:cs="Arial"/>
                <w:b/>
                <w:sz w:val="20"/>
                <w:szCs w:val="20"/>
              </w:rPr>
            </w:pPr>
            <w:r w:rsidRPr="0033341B">
              <w:rPr>
                <w:rFonts w:ascii="Arial"/>
                <w:b/>
                <w:spacing w:val="-1"/>
                <w:sz w:val="20"/>
                <w:szCs w:val="20"/>
              </w:rPr>
              <w:t>Deutschland</w:t>
            </w:r>
          </w:p>
        </w:tc>
      </w:tr>
      <w:tr w:rsidR="0033341B" w:rsidRPr="0033341B" w:rsidTr="00826E56">
        <w:trPr>
          <w:trHeight w:hRule="exact" w:val="482"/>
        </w:trPr>
        <w:tc>
          <w:tcPr>
            <w:tcW w:w="1275" w:type="dxa"/>
            <w:vAlign w:val="center"/>
          </w:tcPr>
          <w:p w:rsidR="0033341B" w:rsidRPr="0033341B" w:rsidRDefault="0033341B" w:rsidP="00826E56">
            <w:pPr>
              <w:pStyle w:val="TableParagraph"/>
              <w:spacing w:before="65"/>
              <w:ind w:left="55"/>
              <w:jc w:val="center"/>
              <w:rPr>
                <w:rFonts w:ascii="Arial" w:eastAsia="Arial" w:hAnsi="Arial" w:cs="Arial"/>
                <w:b/>
                <w:sz w:val="20"/>
                <w:szCs w:val="20"/>
              </w:rPr>
            </w:pPr>
            <w:r w:rsidRPr="0033341B">
              <w:rPr>
                <w:rFonts w:ascii="Arial"/>
                <w:b/>
                <w:spacing w:val="-1"/>
                <w:sz w:val="20"/>
                <w:szCs w:val="20"/>
              </w:rPr>
              <w:t>2017</w:t>
            </w:r>
          </w:p>
        </w:tc>
        <w:tc>
          <w:tcPr>
            <w:tcW w:w="2127" w:type="dxa"/>
          </w:tcPr>
          <w:p w:rsidR="0033341B" w:rsidRPr="0033341B" w:rsidRDefault="0033341B" w:rsidP="0033341B">
            <w:pPr>
              <w:pStyle w:val="TableParagraph"/>
              <w:spacing w:before="67"/>
              <w:jc w:val="center"/>
              <w:rPr>
                <w:rFonts w:ascii="Arial"/>
                <w:sz w:val="20"/>
                <w:szCs w:val="20"/>
              </w:rPr>
            </w:pPr>
            <w:r w:rsidRPr="0033341B">
              <w:rPr>
                <w:rFonts w:ascii="Arial"/>
                <w:sz w:val="20"/>
                <w:szCs w:val="20"/>
              </w:rPr>
              <w:t>9,2</w:t>
            </w:r>
            <w:r>
              <w:rPr>
                <w:rFonts w:ascii="Arial"/>
                <w:sz w:val="20"/>
                <w:szCs w:val="20"/>
              </w:rPr>
              <w:t xml:space="preserve"> </w:t>
            </w:r>
            <w:r w:rsidRPr="0033341B">
              <w:rPr>
                <w:rFonts w:ascii="Arial"/>
                <w:sz w:val="20"/>
                <w:szCs w:val="20"/>
              </w:rPr>
              <w:t>%</w:t>
            </w:r>
          </w:p>
        </w:tc>
        <w:tc>
          <w:tcPr>
            <w:tcW w:w="2409" w:type="dxa"/>
          </w:tcPr>
          <w:p w:rsidR="0033341B" w:rsidRPr="0033341B" w:rsidRDefault="0033341B" w:rsidP="0033341B">
            <w:pPr>
              <w:pStyle w:val="TableParagraph"/>
              <w:spacing w:before="67"/>
              <w:ind w:right="55"/>
              <w:jc w:val="center"/>
              <w:rPr>
                <w:rFonts w:ascii="Arial"/>
                <w:spacing w:val="-1"/>
                <w:sz w:val="20"/>
                <w:szCs w:val="20"/>
              </w:rPr>
            </w:pPr>
            <w:r w:rsidRPr="0033341B">
              <w:rPr>
                <w:rFonts w:ascii="Arial"/>
                <w:spacing w:val="-1"/>
                <w:sz w:val="20"/>
                <w:szCs w:val="20"/>
              </w:rPr>
              <w:t>6,4</w:t>
            </w:r>
            <w:r>
              <w:rPr>
                <w:rFonts w:ascii="Arial"/>
                <w:spacing w:val="-1"/>
                <w:sz w:val="20"/>
                <w:szCs w:val="20"/>
              </w:rPr>
              <w:t xml:space="preserve"> </w:t>
            </w:r>
            <w:r w:rsidRPr="0033341B">
              <w:rPr>
                <w:rFonts w:ascii="Arial"/>
                <w:spacing w:val="-1"/>
                <w:sz w:val="20"/>
                <w:szCs w:val="20"/>
              </w:rPr>
              <w:t>%</w:t>
            </w:r>
          </w:p>
        </w:tc>
      </w:tr>
      <w:tr w:rsidR="0033341B" w:rsidRPr="0033341B" w:rsidTr="00826E56">
        <w:trPr>
          <w:trHeight w:hRule="exact" w:val="483"/>
        </w:trPr>
        <w:tc>
          <w:tcPr>
            <w:tcW w:w="1275" w:type="dxa"/>
            <w:vAlign w:val="center"/>
          </w:tcPr>
          <w:p w:rsidR="0033341B" w:rsidRPr="0033341B" w:rsidRDefault="0033341B" w:rsidP="00826E56">
            <w:pPr>
              <w:pStyle w:val="TableParagraph"/>
              <w:spacing w:before="65"/>
              <w:ind w:left="55"/>
              <w:jc w:val="center"/>
              <w:rPr>
                <w:rFonts w:ascii="Arial" w:eastAsia="Arial" w:hAnsi="Arial" w:cs="Arial"/>
                <w:b/>
                <w:sz w:val="20"/>
                <w:szCs w:val="20"/>
              </w:rPr>
            </w:pPr>
            <w:r w:rsidRPr="0033341B">
              <w:rPr>
                <w:rFonts w:ascii="Arial"/>
                <w:b/>
                <w:spacing w:val="-1"/>
                <w:sz w:val="20"/>
                <w:szCs w:val="20"/>
              </w:rPr>
              <w:t>2016</w:t>
            </w:r>
          </w:p>
        </w:tc>
        <w:tc>
          <w:tcPr>
            <w:tcW w:w="2127" w:type="dxa"/>
          </w:tcPr>
          <w:p w:rsidR="0033341B" w:rsidRPr="0033341B" w:rsidRDefault="0033341B" w:rsidP="0033341B">
            <w:pPr>
              <w:pStyle w:val="TableParagraph"/>
              <w:spacing w:before="67"/>
              <w:jc w:val="center"/>
              <w:rPr>
                <w:rFonts w:ascii="Arial"/>
                <w:sz w:val="20"/>
                <w:szCs w:val="20"/>
              </w:rPr>
            </w:pPr>
            <w:r w:rsidRPr="0033341B">
              <w:rPr>
                <w:rFonts w:ascii="Arial"/>
                <w:sz w:val="20"/>
                <w:szCs w:val="20"/>
              </w:rPr>
              <w:t>8,9</w:t>
            </w:r>
            <w:r>
              <w:rPr>
                <w:rFonts w:ascii="Arial"/>
                <w:sz w:val="20"/>
                <w:szCs w:val="20"/>
              </w:rPr>
              <w:t xml:space="preserve"> </w:t>
            </w:r>
            <w:r w:rsidRPr="0033341B">
              <w:rPr>
                <w:rFonts w:ascii="Arial"/>
                <w:sz w:val="20"/>
                <w:szCs w:val="20"/>
              </w:rPr>
              <w:t>%</w:t>
            </w:r>
          </w:p>
        </w:tc>
        <w:tc>
          <w:tcPr>
            <w:tcW w:w="2409" w:type="dxa"/>
          </w:tcPr>
          <w:p w:rsidR="0033341B" w:rsidRPr="0033341B" w:rsidRDefault="0033341B" w:rsidP="0033341B">
            <w:pPr>
              <w:pStyle w:val="TableParagraph"/>
              <w:spacing w:before="67"/>
              <w:ind w:right="55"/>
              <w:jc w:val="center"/>
              <w:rPr>
                <w:rFonts w:ascii="Arial"/>
                <w:spacing w:val="-1"/>
                <w:sz w:val="20"/>
                <w:szCs w:val="20"/>
              </w:rPr>
            </w:pPr>
            <w:r w:rsidRPr="0033341B">
              <w:rPr>
                <w:rFonts w:ascii="Arial"/>
                <w:spacing w:val="-1"/>
                <w:sz w:val="20"/>
                <w:szCs w:val="20"/>
              </w:rPr>
              <w:t>6,3</w:t>
            </w:r>
            <w:r>
              <w:rPr>
                <w:rFonts w:ascii="Arial"/>
                <w:spacing w:val="-1"/>
                <w:sz w:val="20"/>
                <w:szCs w:val="20"/>
              </w:rPr>
              <w:t xml:space="preserve"> </w:t>
            </w:r>
            <w:r w:rsidRPr="0033341B">
              <w:rPr>
                <w:rFonts w:ascii="Arial"/>
                <w:spacing w:val="-1"/>
                <w:sz w:val="20"/>
                <w:szCs w:val="20"/>
              </w:rPr>
              <w:t>%</w:t>
            </w:r>
          </w:p>
        </w:tc>
      </w:tr>
      <w:tr w:rsidR="0033341B" w:rsidRPr="0033341B" w:rsidTr="00826E56">
        <w:trPr>
          <w:trHeight w:hRule="exact" w:val="484"/>
        </w:trPr>
        <w:tc>
          <w:tcPr>
            <w:tcW w:w="1275" w:type="dxa"/>
            <w:vAlign w:val="center"/>
          </w:tcPr>
          <w:p w:rsidR="0033341B" w:rsidRPr="0033341B" w:rsidRDefault="0033341B" w:rsidP="00826E56">
            <w:pPr>
              <w:pStyle w:val="TableParagraph"/>
              <w:spacing w:before="66"/>
              <w:ind w:left="55"/>
              <w:jc w:val="center"/>
              <w:rPr>
                <w:rFonts w:ascii="Arial" w:eastAsia="Arial" w:hAnsi="Arial" w:cs="Arial"/>
                <w:b/>
                <w:sz w:val="20"/>
                <w:szCs w:val="20"/>
              </w:rPr>
            </w:pPr>
            <w:r w:rsidRPr="0033341B">
              <w:rPr>
                <w:rFonts w:ascii="Arial"/>
                <w:b/>
                <w:spacing w:val="-1"/>
                <w:sz w:val="20"/>
                <w:szCs w:val="20"/>
              </w:rPr>
              <w:t>2015</w:t>
            </w:r>
          </w:p>
        </w:tc>
        <w:tc>
          <w:tcPr>
            <w:tcW w:w="2127" w:type="dxa"/>
          </w:tcPr>
          <w:p w:rsidR="0033341B" w:rsidRPr="0033341B" w:rsidRDefault="0033341B" w:rsidP="0033341B">
            <w:pPr>
              <w:pStyle w:val="TableParagraph"/>
              <w:spacing w:before="67"/>
              <w:jc w:val="center"/>
              <w:rPr>
                <w:rFonts w:ascii="Arial"/>
                <w:sz w:val="20"/>
                <w:szCs w:val="20"/>
              </w:rPr>
            </w:pPr>
            <w:r w:rsidRPr="0033341B">
              <w:rPr>
                <w:rFonts w:ascii="Arial"/>
                <w:sz w:val="20"/>
                <w:szCs w:val="20"/>
              </w:rPr>
              <w:t>8,9</w:t>
            </w:r>
            <w:r>
              <w:rPr>
                <w:rFonts w:ascii="Arial"/>
                <w:sz w:val="20"/>
                <w:szCs w:val="20"/>
              </w:rPr>
              <w:t xml:space="preserve"> </w:t>
            </w:r>
            <w:r w:rsidRPr="0033341B">
              <w:rPr>
                <w:rFonts w:ascii="Arial"/>
                <w:sz w:val="20"/>
                <w:szCs w:val="20"/>
              </w:rPr>
              <w:t>%</w:t>
            </w:r>
          </w:p>
        </w:tc>
        <w:tc>
          <w:tcPr>
            <w:tcW w:w="2409" w:type="dxa"/>
          </w:tcPr>
          <w:p w:rsidR="0033341B" w:rsidRPr="0033341B" w:rsidRDefault="0033341B" w:rsidP="0033341B">
            <w:pPr>
              <w:pStyle w:val="TableParagraph"/>
              <w:spacing w:before="67"/>
              <w:ind w:right="55"/>
              <w:jc w:val="center"/>
              <w:rPr>
                <w:rFonts w:ascii="Arial"/>
                <w:spacing w:val="-1"/>
                <w:sz w:val="20"/>
                <w:szCs w:val="20"/>
              </w:rPr>
            </w:pPr>
            <w:r w:rsidRPr="0033341B">
              <w:rPr>
                <w:rFonts w:ascii="Arial"/>
                <w:spacing w:val="-1"/>
                <w:sz w:val="20"/>
                <w:szCs w:val="20"/>
              </w:rPr>
              <w:t>6,4</w:t>
            </w:r>
            <w:r>
              <w:rPr>
                <w:rFonts w:ascii="Arial"/>
                <w:spacing w:val="-1"/>
                <w:sz w:val="20"/>
                <w:szCs w:val="20"/>
              </w:rPr>
              <w:t xml:space="preserve"> </w:t>
            </w:r>
            <w:r w:rsidRPr="0033341B">
              <w:rPr>
                <w:rFonts w:ascii="Arial"/>
                <w:spacing w:val="-1"/>
                <w:sz w:val="20"/>
                <w:szCs w:val="20"/>
              </w:rPr>
              <w:t>%</w:t>
            </w:r>
          </w:p>
        </w:tc>
      </w:tr>
      <w:tr w:rsidR="0033341B" w:rsidRPr="0033341B" w:rsidTr="00826E56">
        <w:trPr>
          <w:trHeight w:hRule="exact" w:val="484"/>
        </w:trPr>
        <w:tc>
          <w:tcPr>
            <w:tcW w:w="1275" w:type="dxa"/>
            <w:vAlign w:val="center"/>
          </w:tcPr>
          <w:p w:rsidR="0033341B" w:rsidRPr="0033341B" w:rsidRDefault="0033341B" w:rsidP="00826E56">
            <w:pPr>
              <w:pStyle w:val="TableParagraph"/>
              <w:spacing w:before="67"/>
              <w:ind w:left="55"/>
              <w:jc w:val="center"/>
              <w:rPr>
                <w:rFonts w:ascii="Arial" w:eastAsia="Arial" w:hAnsi="Arial" w:cs="Arial"/>
                <w:b/>
                <w:sz w:val="20"/>
                <w:szCs w:val="20"/>
              </w:rPr>
            </w:pPr>
            <w:r w:rsidRPr="0033341B">
              <w:rPr>
                <w:rFonts w:ascii="Arial"/>
                <w:b/>
                <w:spacing w:val="-1"/>
                <w:sz w:val="20"/>
                <w:szCs w:val="20"/>
              </w:rPr>
              <w:t>2014</w:t>
            </w:r>
          </w:p>
        </w:tc>
        <w:tc>
          <w:tcPr>
            <w:tcW w:w="2127" w:type="dxa"/>
          </w:tcPr>
          <w:p w:rsidR="0033341B" w:rsidRPr="0033341B" w:rsidRDefault="0033341B" w:rsidP="0033341B">
            <w:pPr>
              <w:pStyle w:val="TableParagraph"/>
              <w:spacing w:before="67"/>
              <w:jc w:val="center"/>
              <w:rPr>
                <w:rFonts w:ascii="Arial"/>
                <w:sz w:val="20"/>
                <w:szCs w:val="20"/>
              </w:rPr>
            </w:pPr>
            <w:r w:rsidRPr="0033341B">
              <w:rPr>
                <w:rFonts w:ascii="Arial"/>
                <w:sz w:val="20"/>
                <w:szCs w:val="20"/>
              </w:rPr>
              <w:t>8,9</w:t>
            </w:r>
            <w:r>
              <w:rPr>
                <w:rFonts w:ascii="Arial"/>
                <w:sz w:val="20"/>
                <w:szCs w:val="20"/>
              </w:rPr>
              <w:t xml:space="preserve"> </w:t>
            </w:r>
            <w:r w:rsidRPr="0033341B">
              <w:rPr>
                <w:rFonts w:ascii="Arial"/>
                <w:sz w:val="20"/>
                <w:szCs w:val="20"/>
              </w:rPr>
              <w:t>%</w:t>
            </w:r>
          </w:p>
        </w:tc>
        <w:tc>
          <w:tcPr>
            <w:tcW w:w="2409" w:type="dxa"/>
          </w:tcPr>
          <w:p w:rsidR="0033341B" w:rsidRPr="0033341B" w:rsidRDefault="0033341B" w:rsidP="0033341B">
            <w:pPr>
              <w:pStyle w:val="TableParagraph"/>
              <w:spacing w:before="67"/>
              <w:ind w:right="55"/>
              <w:jc w:val="center"/>
              <w:rPr>
                <w:rFonts w:ascii="Arial"/>
                <w:spacing w:val="-1"/>
                <w:sz w:val="20"/>
                <w:szCs w:val="20"/>
              </w:rPr>
            </w:pPr>
            <w:r w:rsidRPr="0033341B">
              <w:rPr>
                <w:rFonts w:ascii="Arial"/>
                <w:spacing w:val="-1"/>
                <w:sz w:val="20"/>
                <w:szCs w:val="20"/>
              </w:rPr>
              <w:t>6,2%</w:t>
            </w:r>
          </w:p>
        </w:tc>
      </w:tr>
      <w:tr w:rsidR="0033341B" w:rsidRPr="0033341B" w:rsidTr="00826E56">
        <w:trPr>
          <w:trHeight w:hRule="exact" w:val="482"/>
        </w:trPr>
        <w:tc>
          <w:tcPr>
            <w:tcW w:w="1275" w:type="dxa"/>
            <w:vAlign w:val="center"/>
          </w:tcPr>
          <w:p w:rsidR="0033341B" w:rsidRPr="0033341B" w:rsidRDefault="0033341B" w:rsidP="00826E56">
            <w:pPr>
              <w:pStyle w:val="TableParagraph"/>
              <w:spacing w:before="65"/>
              <w:ind w:left="55"/>
              <w:jc w:val="center"/>
              <w:rPr>
                <w:rFonts w:ascii="Arial" w:eastAsia="Arial" w:hAnsi="Arial" w:cs="Arial"/>
                <w:b/>
                <w:sz w:val="20"/>
                <w:szCs w:val="20"/>
              </w:rPr>
            </w:pPr>
            <w:r w:rsidRPr="0033341B">
              <w:rPr>
                <w:rFonts w:ascii="Arial"/>
                <w:b/>
                <w:spacing w:val="-1"/>
                <w:sz w:val="20"/>
                <w:szCs w:val="20"/>
              </w:rPr>
              <w:t>2013</w:t>
            </w:r>
          </w:p>
        </w:tc>
        <w:tc>
          <w:tcPr>
            <w:tcW w:w="2127" w:type="dxa"/>
          </w:tcPr>
          <w:p w:rsidR="0033341B" w:rsidRPr="0033341B" w:rsidRDefault="0033341B" w:rsidP="0033341B">
            <w:pPr>
              <w:pStyle w:val="TableParagraph"/>
              <w:spacing w:before="67"/>
              <w:jc w:val="center"/>
              <w:rPr>
                <w:rFonts w:ascii="Arial"/>
                <w:sz w:val="20"/>
                <w:szCs w:val="20"/>
              </w:rPr>
            </w:pPr>
            <w:r w:rsidRPr="0033341B">
              <w:rPr>
                <w:rFonts w:ascii="Arial"/>
                <w:sz w:val="20"/>
                <w:szCs w:val="20"/>
              </w:rPr>
              <w:t>8,7%</w:t>
            </w:r>
          </w:p>
        </w:tc>
        <w:tc>
          <w:tcPr>
            <w:tcW w:w="2409" w:type="dxa"/>
          </w:tcPr>
          <w:p w:rsidR="0033341B" w:rsidRPr="0033341B" w:rsidRDefault="0033341B" w:rsidP="0033341B">
            <w:pPr>
              <w:pStyle w:val="TableParagraph"/>
              <w:spacing w:before="67"/>
              <w:ind w:right="55"/>
              <w:jc w:val="center"/>
              <w:rPr>
                <w:rFonts w:ascii="Arial"/>
                <w:spacing w:val="-1"/>
                <w:sz w:val="20"/>
                <w:szCs w:val="20"/>
              </w:rPr>
            </w:pPr>
            <w:r w:rsidRPr="0033341B">
              <w:rPr>
                <w:rFonts w:ascii="Arial"/>
                <w:spacing w:val="-1"/>
                <w:sz w:val="20"/>
                <w:szCs w:val="20"/>
              </w:rPr>
              <w:t>6, 1%</w:t>
            </w:r>
          </w:p>
        </w:tc>
      </w:tr>
    </w:tbl>
    <w:p w:rsidR="00CA4048" w:rsidRDefault="00CA4048" w:rsidP="00CA4048">
      <w:pPr>
        <w:pStyle w:val="LTAntwortRessortText"/>
      </w:pPr>
      <w:r>
        <w:t>Daten zum prozentualen Anteil aller Arbeitsplätze in Bayern und in Deutschland, der im Rahmen der Besc</w:t>
      </w:r>
      <w:r w:rsidR="00202C5F">
        <w:t>häftigungspflicht mit schwerbe</w:t>
      </w:r>
      <w:r>
        <w:t xml:space="preserve">hinderten Beschäftigten besetzt ist, waren in der Kürze der </w:t>
      </w:r>
      <w:r w:rsidR="00202C5F">
        <w:t xml:space="preserve">zur Beantwortung einer Anfrage zum Plenum zur Verfügung stehenden </w:t>
      </w:r>
      <w:r>
        <w:t>Zeit von der zuständigen Regionaldirektion Bayern der Bundesagentur für Arbeit nicht zu erhalten.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Ulrike</w:t>
            </w:r>
            <w:r w:rsidRPr="00CA4048">
              <w:rPr>
                <w:b/>
              </w:rPr>
              <w:br/>
              <w:t>Gote</w:t>
            </w:r>
            <w:r w:rsidRPr="00CA4048">
              <w:rPr>
                <w:b/>
              </w:rPr>
              <w:br/>
            </w:r>
            <w:r w:rsidRPr="00CA4048">
              <w:t>(BÜNDNIS 90/DIE GRÜNEN)</w:t>
            </w:r>
            <w:r>
              <w:fldChar w:fldCharType="begin"/>
            </w:r>
            <w:r>
              <w:instrText xml:space="preserve"> TC </w:instrText>
            </w:r>
            <w:r w:rsidR="00C244B3">
              <w:instrText>„</w:instrText>
            </w:r>
            <w:bookmarkStart w:id="50" w:name="_Toc511895468"/>
            <w:r>
              <w:instrText>Gote, Ulrike (BÜNDNIS 90/DIE GRÜNEN)</w:instrText>
            </w:r>
            <w:r>
              <w:br/>
              <w:instrText>Berichtspflicht für freie Träger</w:instrText>
            </w:r>
            <w:bookmarkEnd w:id="50"/>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auf welcher Grundlage</w:t>
            </w:r>
            <w:r w:rsidR="00C244B3">
              <w:t xml:space="preserve"> </w:t>
            </w:r>
            <w:r>
              <w:t>die zuständige Kreisgeschäftsführerin der AWO dem damaligen Staatsministerium für Arbeit und Soziales, Familie und Integration gegenüber eine Stellungnahme über ihre Arbeit und Projekte</w:t>
            </w:r>
            <w:r w:rsidR="00C244B3">
              <w:t xml:space="preserve"> </w:t>
            </w:r>
            <w:r>
              <w:t xml:space="preserve">zu Ostern und dem St.-Patricks-Day in einer Kindertageseinrichtung in Markt Schwaben (siehe </w:t>
            </w:r>
            <w:r w:rsidR="00C244B3">
              <w:t>„</w:t>
            </w:r>
            <w:r>
              <w:t>Süddeutsche Zeitung</w:t>
            </w:r>
            <w:r w:rsidR="00C244B3">
              <w:t>“</w:t>
            </w:r>
            <w:r>
              <w:t xml:space="preserve"> Online-Artikel vom 11.04.2018) abgeben musste, ob es für Kindertageseinrichtungen in freier Trägerschaft Vorgaben oder Richtlinien bezüglich der zu behandelnden</w:t>
            </w:r>
            <w:r w:rsidR="00C244B3">
              <w:t xml:space="preserve"> </w:t>
            </w:r>
            <w:r>
              <w:t>Feiertage und/oder deren Ausgestaltung gibt, die über den Inhalt des Bayerischen Kinderbildungs- und -betreuungsgesetz (BayKiBiG) und des Bayerischen Bildungs- und Erziehungsplans hinausgehen und ob Feiertage anderer Länder und Kulturen in bayerischen Kitas aus Sicht der Staatsregierung</w:t>
            </w:r>
            <w:r w:rsidR="00C244B3">
              <w:t xml:space="preserve"> </w:t>
            </w:r>
            <w:r>
              <w:t>grundsätzlich nicht thematisiert</w:t>
            </w:r>
            <w:r w:rsidR="00C244B3">
              <w:t xml:space="preserve"> </w:t>
            </w:r>
            <w:r>
              <w:t>werden sollen oder dürfen?</w:t>
            </w:r>
          </w:p>
          <w:p w:rsidR="00CA4048" w:rsidRDefault="00CA4048" w:rsidP="00CA4048">
            <w:pPr>
              <w:pStyle w:val="LTAnfrageText"/>
            </w:pPr>
          </w:p>
        </w:tc>
      </w:tr>
    </w:tbl>
    <w:p w:rsidR="00CA4048" w:rsidRDefault="00CA4048" w:rsidP="00826E56">
      <w:pPr>
        <w:pStyle w:val="LTUeberschrAntwortRessort"/>
        <w:spacing w:before="0"/>
      </w:pPr>
      <w:r>
        <w:t>Antwort des Staatsministeriums für Familie, Arbeit und Soziales</w:t>
      </w:r>
    </w:p>
    <w:p w:rsidR="00CA4048" w:rsidRPr="006D7AC2" w:rsidRDefault="00CA4048" w:rsidP="00826E56">
      <w:pPr>
        <w:pStyle w:val="LTAntwortRessortText"/>
        <w:spacing w:before="120"/>
        <w:rPr>
          <w:spacing w:val="-2"/>
        </w:rPr>
      </w:pPr>
      <w:r w:rsidRPr="006D7AC2">
        <w:rPr>
          <w:spacing w:val="-2"/>
        </w:rPr>
        <w:t xml:space="preserve">Die Staatsregierung hat am 23.03.2018 eine Stellungnahme zur fachlichen Einordnung und Bewertung der Presseberichterstattung, wie z. B. in der </w:t>
      </w:r>
      <w:r w:rsidR="006D7AC2" w:rsidRPr="006D7AC2">
        <w:rPr>
          <w:spacing w:val="-2"/>
        </w:rPr>
        <w:t>„</w:t>
      </w:r>
      <w:r w:rsidRPr="006D7AC2">
        <w:rPr>
          <w:spacing w:val="-2"/>
        </w:rPr>
        <w:t>Süddeutschen Zeitung</w:t>
      </w:r>
      <w:r w:rsidR="006D7AC2" w:rsidRPr="006D7AC2">
        <w:rPr>
          <w:spacing w:val="-2"/>
        </w:rPr>
        <w:t>“</w:t>
      </w:r>
      <w:r w:rsidRPr="006D7AC2">
        <w:rPr>
          <w:spacing w:val="-2"/>
        </w:rPr>
        <w:t xml:space="preserve"> vom 21.03.2018 </w:t>
      </w:r>
      <w:r w:rsidR="00C244B3" w:rsidRPr="006D7AC2">
        <w:rPr>
          <w:spacing w:val="-2"/>
        </w:rPr>
        <w:t>„</w:t>
      </w:r>
      <w:r w:rsidRPr="006D7AC2">
        <w:rPr>
          <w:spacing w:val="-2"/>
        </w:rPr>
        <w:t>Kita ersetzt Osterfrühstück durch St-Patricks-Brunch</w:t>
      </w:r>
      <w:r w:rsidR="00C244B3" w:rsidRPr="006D7AC2">
        <w:rPr>
          <w:spacing w:val="-2"/>
        </w:rPr>
        <w:t>“</w:t>
      </w:r>
      <w:r w:rsidR="006D7AC2" w:rsidRPr="006D7AC2">
        <w:rPr>
          <w:spacing w:val="-2"/>
        </w:rPr>
        <w:t xml:space="preserve"> </w:t>
      </w:r>
      <w:hyperlink r:id="rId16" w:history="1">
        <w:r w:rsidR="006D7AC2" w:rsidRPr="006D7AC2">
          <w:rPr>
            <w:rStyle w:val="Hyperlink"/>
            <w:spacing w:val="-2"/>
            <w:w w:val="95"/>
          </w:rPr>
          <w:t>http://www.sueddeutsche.de/muenchen/ebersberg/markt-schwaben-kita-ersetzt-osterfruehstueck-</w:t>
        </w:r>
        <w:r w:rsidR="006D7AC2" w:rsidRPr="006D7AC2">
          <w:rPr>
            <w:rStyle w:val="Hyperlink"/>
            <w:spacing w:val="-2"/>
          </w:rPr>
          <w:t>durch-st-patricks-brunch-1.3914378</w:t>
        </w:r>
      </w:hyperlink>
      <w:r w:rsidRPr="006D7AC2">
        <w:rPr>
          <w:spacing w:val="-2"/>
        </w:rPr>
        <w:t xml:space="preserve">, </w:t>
      </w:r>
      <w:r w:rsidR="00297233">
        <w:rPr>
          <w:rFonts w:cs="Arial"/>
          <w:spacing w:val="-2"/>
        </w:rPr>
        <w:t xml:space="preserve">[Zugriff am 23.03.2018] </w:t>
      </w:r>
      <w:r w:rsidRPr="006D7AC2">
        <w:rPr>
          <w:spacing w:val="-2"/>
        </w:rPr>
        <w:t xml:space="preserve">beim betroffenen Kreisverband der Arbeiterwohlfahrt Ebersberg e.V. erbeten. Hintergrund ist, dass sich staatlich geförderte Kindertageseinrichtungen zur Erfüllung ihrer Bildungs- und Erziehungsaufgaben an den Inhalten u. a. des </w:t>
      </w:r>
      <w:r w:rsidR="00297233">
        <w:rPr>
          <w:spacing w:val="-2"/>
        </w:rPr>
        <w:t xml:space="preserve">Bayerischen </w:t>
      </w:r>
      <w:r w:rsidRPr="006D7AC2">
        <w:rPr>
          <w:spacing w:val="-2"/>
        </w:rPr>
        <w:t>Bildungs- und Erziehungsplans zu orientieren haben.</w:t>
      </w:r>
    </w:p>
    <w:p w:rsidR="00CA4048" w:rsidRPr="00CA0C46" w:rsidRDefault="00CA4048" w:rsidP="00826E56">
      <w:pPr>
        <w:pStyle w:val="LTAntwortRessortText"/>
        <w:spacing w:before="120"/>
        <w:rPr>
          <w:spacing w:val="-2"/>
        </w:rPr>
      </w:pPr>
      <w:r w:rsidRPr="00CA0C46">
        <w:rPr>
          <w:spacing w:val="-2"/>
        </w:rPr>
        <w:t>Die in der Stellungnahme des Kreisverbands der Arbeiterwohlfahrt Ebersberg aufgeführte Argumentation und Darstellung ergibt aus Sicht</w:t>
      </w:r>
      <w:r w:rsidR="006D7AC2" w:rsidRPr="00CA0C46">
        <w:rPr>
          <w:spacing w:val="-2"/>
        </w:rPr>
        <w:t xml:space="preserve"> </w:t>
      </w:r>
      <w:r w:rsidRPr="00CA0C46">
        <w:rPr>
          <w:spacing w:val="-2"/>
        </w:rPr>
        <w:t xml:space="preserve">der Staatsregierung kein Hinweis auf eine Missachtung der Bildungs- und Erziehungsziele des Bayerischen Kinderbildungs- und -betreuungsgesetzes </w:t>
      </w:r>
      <w:r w:rsidR="006D7AC2" w:rsidRPr="00CA0C46">
        <w:rPr>
          <w:spacing w:val="-2"/>
        </w:rPr>
        <w:t xml:space="preserve">(BayKiBiG) </w:t>
      </w:r>
      <w:r w:rsidRPr="00CA0C46">
        <w:rPr>
          <w:spacing w:val="-2"/>
        </w:rPr>
        <w:t>oder des B</w:t>
      </w:r>
      <w:r w:rsidR="002E2E02" w:rsidRPr="00CA0C46">
        <w:rPr>
          <w:spacing w:val="-2"/>
        </w:rPr>
        <w:t>ayerischen Bildungs- und Erzie</w:t>
      </w:r>
      <w:r w:rsidRPr="00CA0C46">
        <w:rPr>
          <w:spacing w:val="-2"/>
        </w:rPr>
        <w:t>hungsplans.</w:t>
      </w:r>
    </w:p>
    <w:p w:rsidR="00CA4048" w:rsidRDefault="00CA4048" w:rsidP="00826E56">
      <w:pPr>
        <w:pStyle w:val="LTAntwortRessortText"/>
        <w:spacing w:before="120"/>
      </w:pPr>
      <w:r>
        <w:t xml:space="preserve">Grundsätzlich gibt es keine Vorgaben oder Richtlinien, die über den </w:t>
      </w:r>
      <w:r w:rsidR="00297233">
        <w:t xml:space="preserve">Bayerischen </w:t>
      </w:r>
      <w:r>
        <w:t>Bildungs- und Erziehungsplan hinausgehen. Feiertage anderer Länder und Kulturen können in Einklang mit der übrigen pädagogischen Arbeit jederzeit thematisiert werden. Dazu g</w:t>
      </w:r>
      <w:r w:rsidR="007D7F87">
        <w:t>ehört auch die Erläuterung dar</w:t>
      </w:r>
      <w:r>
        <w:t>über, dass die Art, wie manche Festivitäten praktiziert und zelebriert werden, nicht in jedem Fall mit Sinn und Ursprung der jeweiligen Feiertage übereinstimmen. Daneben sollen auch die die Kultur Bayerns prägenden ch</w:t>
      </w:r>
      <w:r w:rsidR="007D7F87">
        <w:t>ristlichen Feste angemessen mit</w:t>
      </w:r>
      <w:r>
        <w:t>berücksichtigt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9E08CB">
            <w:pPr>
              <w:pStyle w:val="LTNumAnfrageIni1"/>
              <w:spacing w:before="360"/>
            </w:pPr>
            <w:r w:rsidRPr="00CA4048">
              <w:lastRenderedPageBreak/>
              <w:t>Abgeordneter</w:t>
            </w:r>
            <w:r w:rsidRPr="00CA4048">
              <w:br/>
            </w:r>
            <w:r w:rsidRPr="00CA4048">
              <w:rPr>
                <w:b/>
              </w:rPr>
              <w:t>Hans-Ulrich</w:t>
            </w:r>
            <w:r w:rsidRPr="00CA4048">
              <w:rPr>
                <w:b/>
              </w:rPr>
              <w:br/>
              <w:t>Pfaffmann</w:t>
            </w:r>
            <w:r w:rsidRPr="00CA4048">
              <w:rPr>
                <w:b/>
              </w:rPr>
              <w:br/>
            </w:r>
            <w:r w:rsidRPr="00CA4048">
              <w:t>(SPD)</w:t>
            </w:r>
            <w:r>
              <w:fldChar w:fldCharType="begin"/>
            </w:r>
            <w:r>
              <w:instrText xml:space="preserve"> TC </w:instrText>
            </w:r>
            <w:r w:rsidR="00C244B3">
              <w:instrText>„</w:instrText>
            </w:r>
            <w:bookmarkStart w:id="51" w:name="_Toc511895469"/>
            <w:r>
              <w:instrText>Pfaffmann, Hans-Ulrich (SPD)</w:instrText>
            </w:r>
            <w:r>
              <w:br/>
              <w:instrText>Grenzüberschreitender Arbeitsmarkt zwischen Bayern und Tschechien</w:instrText>
            </w:r>
            <w:bookmarkEnd w:id="51"/>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9E08CB">
            <w:pPr>
              <w:pStyle w:val="LTAnfrageText"/>
              <w:spacing w:before="360"/>
            </w:pPr>
            <w:r>
              <w:t>Ich frage die Staatsregierung, wie hat sich die Zahl der tschechischen Arbeitnehmerinnen und Arbeitnehmer, die in Bayern beschäftigt sind, seit 2011 (Einführung der Arbeitnehmerfreizügigkeit) entwickelt, wie hat sich umgekehrt die Zahl der bayerischen Arbeitnehmerinnen und Arbeitnehmer, die in Tschechien beschäftigt sind, in diesem Zeitraum entwickelt (bitte in beiden Fällen nach Branchen ausdifferenzieren), und welche Programme, Projekte und Konzepte zur Etablierung und Weiterentwicklung eines grenzüberschreitenden Arbeitsmarkts zwischen Bayern und Tschechien (auch bezogen auf die Sicherstellung von Arbeitnehmerrechten) sind seitdem entstanden?</w:t>
            </w:r>
          </w:p>
          <w:p w:rsidR="00CA4048" w:rsidRDefault="00CA4048" w:rsidP="009E08CB">
            <w:pPr>
              <w:pStyle w:val="LTAnfrageText"/>
              <w:spacing w:before="240"/>
            </w:pPr>
          </w:p>
        </w:tc>
      </w:tr>
    </w:tbl>
    <w:p w:rsidR="00CA4048" w:rsidRDefault="00CA4048" w:rsidP="00826E56">
      <w:pPr>
        <w:pStyle w:val="LTUeberschrAntwortRessort"/>
        <w:spacing w:before="0"/>
      </w:pPr>
      <w:r>
        <w:t>Antwort des Staatsministeriums für Familie, Arbeit und Soziales</w:t>
      </w:r>
    </w:p>
    <w:p w:rsidR="00CA4048" w:rsidRDefault="00CA4048" w:rsidP="00826E56">
      <w:pPr>
        <w:pStyle w:val="LTAntwortRessortText"/>
        <w:spacing w:before="120"/>
      </w:pPr>
      <w:r>
        <w:t>Der Staatsregierung liegen keine eigenen Statistikdaten zur Beantwortung der Anfrage</w:t>
      </w:r>
      <w:r w:rsidR="007B577D">
        <w:t xml:space="preserve"> zum Plenum</w:t>
      </w:r>
      <w:r>
        <w:t xml:space="preserve"> vor. Über die Regionaldirektion Bayern konnten kurzfristig jedoch Angaben aus der Be</w:t>
      </w:r>
      <w:r w:rsidR="007B577D">
        <w:t>schäftigungsstatistik der Bunde</w:t>
      </w:r>
      <w:r>
        <w:t xml:space="preserve">sagentur für Arbeit zur Entwicklung der Zahl der tschechischen Arbeitnehmerinnen und Arbeitnehmer in Bayern seit 2011 erfragt werden. </w:t>
      </w:r>
    </w:p>
    <w:p w:rsidR="00CA4048" w:rsidRDefault="007B577D" w:rsidP="00CA4048">
      <w:pPr>
        <w:pStyle w:val="LTAntwortRessortText"/>
      </w:pPr>
      <w:r w:rsidRPr="00CF146D">
        <w:rPr>
          <w:noProof/>
        </w:rPr>
        <w:drawing>
          <wp:inline distT="0" distB="0" distL="0" distR="0" wp14:anchorId="35B902D6" wp14:editId="15AEAA88">
            <wp:extent cx="5831840" cy="54468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1840" cy="5446853"/>
                    </a:xfrm>
                    <a:prstGeom prst="rect">
                      <a:avLst/>
                    </a:prstGeom>
                    <a:noFill/>
                    <a:ln>
                      <a:noFill/>
                    </a:ln>
                  </pic:spPr>
                </pic:pic>
              </a:graphicData>
            </a:graphic>
          </wp:inline>
        </w:drawing>
      </w:r>
    </w:p>
    <w:p w:rsidR="00CA4048" w:rsidRDefault="00CA4048" w:rsidP="00CA4048">
      <w:pPr>
        <w:pStyle w:val="LTAntwortRessortText"/>
      </w:pPr>
      <w:r>
        <w:lastRenderedPageBreak/>
        <w:t xml:space="preserve">Zur Zahl der bayerischen Arbeitnehmerinnen und Arbeitnehmer, die in Tschechien beschäftigt sind liegen der Staatsregierung keine statistischen Daten vor. </w:t>
      </w:r>
    </w:p>
    <w:p w:rsidR="00CA4048" w:rsidRDefault="00CA4048" w:rsidP="00CA4048">
      <w:pPr>
        <w:pStyle w:val="LTAntwortRessortText"/>
      </w:pPr>
      <w:r>
        <w:t>Die originäre Zuständigkeit für Programme, Projekte und Konzepte zur Etablierung und Weiterentwicklung eine</w:t>
      </w:r>
      <w:r w:rsidR="007B577D">
        <w:t>s grenzüberschreitenden Arbeitsmarkt</w:t>
      </w:r>
      <w:r>
        <w:t xml:space="preserve">s zwischen Bayern und Tschechien liegt bei der Bundesagentur für Arbeit. </w:t>
      </w:r>
    </w:p>
    <w:p w:rsidR="00CA4048" w:rsidRDefault="00CA4048" w:rsidP="00CA4048">
      <w:pPr>
        <w:pStyle w:val="LTAntwortRessortText"/>
      </w:pPr>
      <w:r>
        <w:t>Seit Einführung der Arbeitnehmerfreizügigkeit am 01.05.2011 hat die Zahl tschechischer Arbeitnehmer im bayerischen Grenzraum stark zugenommen. Auch in der Gegenrichtung findet Beschäftigung statt. Die Zahl der deutschen Arbeitnehmer</w:t>
      </w:r>
      <w:r w:rsidR="007B577D">
        <w:t>innen und Arbeitnehmer</w:t>
      </w:r>
      <w:r>
        <w:t xml:space="preserve"> in der Tschechischen Republik ist jedoch deutlich geringer als umgekehrt. </w:t>
      </w:r>
    </w:p>
    <w:p w:rsidR="00CA4048" w:rsidRDefault="00CA4048" w:rsidP="00297233">
      <w:pPr>
        <w:pStyle w:val="LTAntwortRessortText"/>
        <w:spacing w:before="0"/>
      </w:pPr>
      <w:r>
        <w:t xml:space="preserve">Der gemeinsame Arbeitsmarkt wird durch Aktivitäten der beiden Arbeitsverwaltungen gefördert. Ein Netz von EURES-Beratern </w:t>
      </w:r>
      <w:r w:rsidR="00297233">
        <w:t xml:space="preserve">(EURES = </w:t>
      </w:r>
      <w:r w:rsidR="00297233">
        <w:rPr>
          <w:bCs/>
        </w:rPr>
        <w:t>Eur</w:t>
      </w:r>
      <w:r w:rsidR="00297233">
        <w:t xml:space="preserve">opean </w:t>
      </w:r>
      <w:r w:rsidR="00297233" w:rsidRPr="007B577D">
        <w:rPr>
          <w:bCs/>
        </w:rPr>
        <w:t>E</w:t>
      </w:r>
      <w:r w:rsidR="00297233">
        <w:t xml:space="preserve">mployment </w:t>
      </w:r>
      <w:r w:rsidR="00297233" w:rsidRPr="007B577D">
        <w:rPr>
          <w:bCs/>
        </w:rPr>
        <w:t>S</w:t>
      </w:r>
      <w:r w:rsidR="00297233">
        <w:t xml:space="preserve">ervices) </w:t>
      </w:r>
      <w:r>
        <w:t>unterstützt bei der Arbeitssuche und hilft bei der Orientierung im Nachbarland. Die im Oktober 2005 gegründete Partnerschaft EURES</w:t>
      </w:r>
      <w:r w:rsidR="00DD5223">
        <w:t xml:space="preserve"> </w:t>
      </w:r>
      <w:r>
        <w:t>Bayern</w:t>
      </w:r>
      <w:r w:rsidR="007B577D">
        <w:t xml:space="preserve"> –</w:t>
      </w:r>
      <w:r>
        <w:t xml:space="preserve"> Tschechien ist die erste Partnerschaft zwischen </w:t>
      </w:r>
      <w:r w:rsidR="007B577D">
        <w:t>einem neuen und einem alten Mitglied</w:t>
      </w:r>
      <w:r w:rsidR="00DD5223">
        <w:t>staat der EU. Die EURES-</w:t>
      </w:r>
      <w:r>
        <w:t xml:space="preserve">Partnerschaft Bayern </w:t>
      </w:r>
      <w:r w:rsidR="007B577D">
        <w:t>–</w:t>
      </w:r>
      <w:r>
        <w:t xml:space="preserve"> Tschechien umfasst die deutschen Agenturbezirke Bayreuth-Hof, Weiden, Schwandorf, Deggendorf, Passau und die tschechischen Städte Pilsen und Karlsbad.</w:t>
      </w:r>
    </w:p>
    <w:p w:rsidR="00CA4048" w:rsidRDefault="00CA4048" w:rsidP="00CA4048">
      <w:pPr>
        <w:pStyle w:val="LTAntwortRessortText"/>
      </w:pPr>
      <w:r>
        <w:t>Umfassendes Ziel der Partnerschaft ist es, die Mobilität im Grenzgebiet zu erhöhen, Mobilitätshindernisse abzubauen und wichtige Informationen über die Lebens- und Arbeitsbedingungen bereitzustellen. Dadurch sollen etwaige durch die Grenze bedingte Nachteile für die Bevölkerung und die Wirtschaft abgebaut werden. Die Aktivitäten der Partner erstrecken sich auf die Beratung und Unterstützung vo</w:t>
      </w:r>
      <w:r w:rsidR="007B577D">
        <w:t>n Arbeitgebern und Arbeitnehmerinnen bzw. Arbeitsnehmern</w:t>
      </w:r>
      <w:r>
        <w:t xml:space="preserve"> der Region. Aufgabe der Agenturen für Arbeit ist es darüber hinaus interessierte Bewerber in Arbeit zu vermitteln.</w:t>
      </w:r>
    </w:p>
    <w:p w:rsidR="00CA4048" w:rsidRDefault="00CA4048" w:rsidP="00CA4048">
      <w:pPr>
        <w:pStyle w:val="LTAntwortRessortText"/>
      </w:pPr>
      <w:r>
        <w:t>Den Angaben der Generaldirektion Z</w:t>
      </w:r>
      <w:r w:rsidR="007B577D">
        <w:t>oll zufolge hat das Bundes</w:t>
      </w:r>
      <w:r>
        <w:t>ministerium</w:t>
      </w:r>
      <w:r w:rsidR="007B577D">
        <w:t xml:space="preserve"> der Finanzen</w:t>
      </w:r>
      <w:r>
        <w:t xml:space="preserve"> als Aufsicht der Bundesbehörde Zoll mit verschiedenen europäischen Ländern bilaterale </w:t>
      </w:r>
      <w:r w:rsidR="007B577D">
        <w:t>Zusammenarbeitsübereinkommen ge</w:t>
      </w:r>
      <w:r>
        <w:t>schlossen; neben Frankreich, Bulgarien, Österreich und den Niederlanden auch seit 2009 mit der Tschechischen Republik. Ziel dieser Vereinbarungen ist, die Zusammenarbe</w:t>
      </w:r>
      <w:r w:rsidR="007B577D">
        <w:t>it bei der Bekämpfung des grenz</w:t>
      </w:r>
      <w:r>
        <w:t>überschreitenden Missbrauchs bei Leistungen und Beiträgen zur sozialen Sicherheit durch Erwerbstätigkei</w:t>
      </w:r>
      <w:r w:rsidR="007B577D">
        <w:t>t und von nicht angemeldeter Er</w:t>
      </w:r>
      <w:r>
        <w:t>werbstätigkeit sowie bei illegaler grenzüberschreitender Leiharbeit zu intensivieren.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Johanna</w:t>
            </w:r>
            <w:r w:rsidRPr="00CA4048">
              <w:rPr>
                <w:b/>
              </w:rPr>
              <w:br/>
              <w:t>Werner-Muggendorfer</w:t>
            </w:r>
            <w:r w:rsidRPr="00CA4048">
              <w:rPr>
                <w:b/>
              </w:rPr>
              <w:br/>
            </w:r>
            <w:r w:rsidRPr="00CA4048">
              <w:t>(SPD)</w:t>
            </w:r>
            <w:r>
              <w:fldChar w:fldCharType="begin"/>
            </w:r>
            <w:r>
              <w:instrText xml:space="preserve"> TC </w:instrText>
            </w:r>
            <w:r w:rsidR="00C244B3">
              <w:instrText>„</w:instrText>
            </w:r>
            <w:bookmarkStart w:id="52" w:name="_Toc511895470"/>
            <w:r>
              <w:instrText>Werner-Muggendorfer, Johanna (SPD)</w:instrText>
            </w:r>
            <w:r>
              <w:br/>
              <w:instrText>Auszeichnung \</w:instrText>
            </w:r>
            <w:r w:rsidR="00C244B3">
              <w:instrText>“</w:instrText>
            </w:r>
            <w:r>
              <w:instrText>Bayern barrierefrei\</w:instrText>
            </w:r>
            <w:bookmarkEnd w:id="52"/>
            <w:r w:rsidR="00C244B3">
              <w:instrText>“</w:instrText>
            </w:r>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 xml:space="preserve">Ich frage die Staatsregierung, wie bekommen Unternehmen die Auszeichnung </w:t>
            </w:r>
            <w:r w:rsidR="00C244B3">
              <w:t>„</w:t>
            </w:r>
            <w:r>
              <w:t>Bayern barrierefrei</w:t>
            </w:r>
            <w:r w:rsidR="00C244B3">
              <w:t>“</w:t>
            </w:r>
            <w:r>
              <w:t>, wie wird das Einhalten der Kriterien überprüft und wie lange darf die Bezeichnung geführt werden?</w:t>
            </w:r>
          </w:p>
          <w:p w:rsidR="00CA4048" w:rsidRDefault="00CA4048" w:rsidP="00CA4048">
            <w:pPr>
              <w:pStyle w:val="LTAnfrageText"/>
            </w:pPr>
          </w:p>
        </w:tc>
      </w:tr>
    </w:tbl>
    <w:p w:rsidR="00CA4048" w:rsidRDefault="00CA4048" w:rsidP="00CA4048">
      <w:pPr>
        <w:pStyle w:val="LTUeberschrAntwortRessort"/>
      </w:pPr>
      <w:r>
        <w:t>Antwort des Staatsministeriums für Familie, Arbeit und Soziales</w:t>
      </w:r>
    </w:p>
    <w:p w:rsidR="00CA4048" w:rsidRDefault="00CA4048" w:rsidP="00CA4048">
      <w:pPr>
        <w:pStyle w:val="LTAntwortRessortText"/>
      </w:pPr>
      <w:r>
        <w:t xml:space="preserve">Das Signet </w:t>
      </w:r>
      <w:r w:rsidR="00C244B3">
        <w:t>„</w:t>
      </w:r>
      <w:r>
        <w:t>Bayern barrierefrei</w:t>
      </w:r>
      <w:r w:rsidR="00C244B3">
        <w:t>“</w:t>
      </w:r>
      <w:r>
        <w:t xml:space="preserve"> ist Teil der breiten Informationsarbeit im Rahmen des Programms </w:t>
      </w:r>
      <w:r w:rsidR="00C244B3">
        <w:t>„</w:t>
      </w:r>
      <w:r>
        <w:t>Bayern barrierefrei</w:t>
      </w:r>
      <w:r w:rsidR="00C244B3">
        <w:t>“</w:t>
      </w:r>
      <w:r>
        <w:t>, die der Bewusstseinsbildung für die Bedeutung von Barri</w:t>
      </w:r>
      <w:r w:rsidR="00306652">
        <w:t>erefreiheit dient und alle Ver</w:t>
      </w:r>
      <w:r>
        <w:t>antwortungsträger in der Gesellschaft zum Mitwirken bewegen soll.</w:t>
      </w:r>
    </w:p>
    <w:p w:rsidR="00CA4048" w:rsidRDefault="00CA4048" w:rsidP="00CA4048">
      <w:pPr>
        <w:pStyle w:val="LTAntwortRessortText"/>
      </w:pPr>
      <w:r>
        <w:t>Denn Barrierefreiheit gelingt nur mit starken Partnern, die sich vor Ort engagieren und nachhaltig für Barrierefreiheit einsetzen. Das Signet will Engagement, das einen konkreten, beachtlichen Beitrag zur Barrierefreiheit leistet, auszeichnen und gleichzeitig dazu anspornen, noch mehr für Barrierefreiheit zu tun.</w:t>
      </w:r>
    </w:p>
    <w:p w:rsidR="00CA4048" w:rsidRPr="00306652" w:rsidRDefault="00CA4048" w:rsidP="00CA4048">
      <w:pPr>
        <w:pStyle w:val="LTAntwortRessortText"/>
        <w:rPr>
          <w:spacing w:val="-4"/>
        </w:rPr>
      </w:pPr>
      <w:r w:rsidRPr="00306652">
        <w:rPr>
          <w:spacing w:val="-4"/>
        </w:rPr>
        <w:lastRenderedPageBreak/>
        <w:t xml:space="preserve">Das Signet </w:t>
      </w:r>
      <w:r w:rsidR="00C244B3" w:rsidRPr="00306652">
        <w:rPr>
          <w:spacing w:val="-4"/>
        </w:rPr>
        <w:t>„</w:t>
      </w:r>
      <w:r w:rsidRPr="00306652">
        <w:rPr>
          <w:spacing w:val="-4"/>
        </w:rPr>
        <w:t>Bayern barrierefrei</w:t>
      </w:r>
      <w:r w:rsidR="00C244B3" w:rsidRPr="00306652">
        <w:rPr>
          <w:spacing w:val="-4"/>
        </w:rPr>
        <w:t>“</w:t>
      </w:r>
      <w:r w:rsidRPr="00306652">
        <w:rPr>
          <w:spacing w:val="-4"/>
        </w:rPr>
        <w:t xml:space="preserve"> kann entweder durch ein Unternehmen selbst oder durch Dritte (z.</w:t>
      </w:r>
      <w:r w:rsidR="00306652" w:rsidRPr="00306652">
        <w:rPr>
          <w:spacing w:val="-4"/>
        </w:rPr>
        <w:t> </w:t>
      </w:r>
      <w:r w:rsidRPr="00306652">
        <w:rPr>
          <w:spacing w:val="-4"/>
        </w:rPr>
        <w:t xml:space="preserve">B. örtliche Behindertenbeauftragte) beantragt werden, formlos oder mithilfe eines Bewerbungsbogens. Alle Informationen zum Signet sowie der Bewerbungsbogen können im Portal der Staatsregierung zur Barrierefreiheit abgerufen werden, unter </w:t>
      </w:r>
      <w:hyperlink r:id="rId18" w:history="1">
        <w:r w:rsidR="00306652" w:rsidRPr="00306652">
          <w:rPr>
            <w:rStyle w:val="Hyperlink"/>
            <w:spacing w:val="-4"/>
          </w:rPr>
          <w:t>https://www.barrierefrei.bayern.de/fakten/zeichen_setzen/index.php</w:t>
        </w:r>
      </w:hyperlink>
      <w:r w:rsidRPr="00306652">
        <w:rPr>
          <w:spacing w:val="-4"/>
        </w:rPr>
        <w:t>.</w:t>
      </w:r>
    </w:p>
    <w:p w:rsidR="00CA4048" w:rsidRDefault="00CA4048" w:rsidP="00CA4048">
      <w:pPr>
        <w:pStyle w:val="LTAntwortRessortText"/>
      </w:pPr>
      <w:r>
        <w:t>Das Staatsministerium für Familie, Arbeit und Soziales prüft einzelfallbezogen, ob ein konkreter, beachtlicher Beitrag zur Barrierefreiheit vorliegt. So vielgestaltig wie die Anforderungen an eine barrierefreie Umwelt sind, so vielfältig sind die Beiträge, die dazu geleistet werden. Bei einem konkreten und beachtlichen Beitrag zur Barrierefreiheit kann es sich um umfassende bauliche Maßnahmen handeln, ebenso wie um erhebliche Beiträge zur Bewusstseinsbildung oder die konsequente Berücksichtigung der Barrierefreiheit bei Planungsprozessen. Maßgeblich ist, dass Einzelmaßnahmen nicht ausreichen, vielmehr müssen Beiträge geleistet worden sein, die die Barrierefreiheit in dem jeweiligen Umfeld wesentlich und nachhaltig verbessern. Die Führung der Bezeichnung ist unbegrenzt möglich.</w:t>
      </w:r>
    </w:p>
    <w:p w:rsidR="00306652" w:rsidRDefault="00306652">
      <w:pPr>
        <w:rPr>
          <w:rFonts w:cs="Arial"/>
          <w:b/>
          <w:sz w:val="22"/>
          <w:szCs w:val="22"/>
        </w:rPr>
      </w:pPr>
      <w:r>
        <w:br w:type="page"/>
      </w:r>
    </w:p>
    <w:p w:rsidR="00CA4048" w:rsidRDefault="00CA4048" w:rsidP="00CA4048">
      <w:pPr>
        <w:pStyle w:val="LTUeberschrRessort"/>
      </w:pPr>
      <w:r>
        <w:lastRenderedPageBreak/>
        <w:t>Geschäftsbereich des Staatsministeriums für Gesundheit und Pflege</w:t>
      </w:r>
      <w:r>
        <w:fldChar w:fldCharType="begin"/>
      </w:r>
      <w:r>
        <w:instrText xml:space="preserve"> TC </w:instrText>
      </w:r>
      <w:r w:rsidR="00C244B3">
        <w:instrText>„</w:instrText>
      </w:r>
      <w:bookmarkStart w:id="53" w:name="_Toc511895471"/>
      <w:r>
        <w:instrText>Geschäftsbereich des Staatsministeriums für Gesundheit und Pflege</w:instrText>
      </w:r>
      <w:bookmarkEnd w:id="53"/>
      <w:r w:rsidR="00C244B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Abgeordneter</w:t>
            </w:r>
            <w:r w:rsidRPr="00CA4048">
              <w:br/>
            </w:r>
            <w:r w:rsidRPr="00CA4048">
              <w:rPr>
                <w:b/>
              </w:rPr>
              <w:t>Prof. (Univ. Lima) Dr. Peter</w:t>
            </w:r>
            <w:r w:rsidRPr="00CA4048">
              <w:rPr>
                <w:b/>
              </w:rPr>
              <w:br/>
              <w:t>Bauer</w:t>
            </w:r>
            <w:r w:rsidRPr="00CA4048">
              <w:rPr>
                <w:b/>
              </w:rPr>
              <w:br/>
            </w:r>
            <w:r w:rsidRPr="00CA4048">
              <w:t>(FREIE WÄHLER)</w:t>
            </w:r>
            <w:r>
              <w:fldChar w:fldCharType="begin"/>
            </w:r>
            <w:r>
              <w:instrText xml:space="preserve"> TC </w:instrText>
            </w:r>
            <w:r w:rsidR="00C244B3">
              <w:instrText>„</w:instrText>
            </w:r>
            <w:bookmarkStart w:id="54" w:name="_Toc511895472"/>
            <w:r>
              <w:instrText>Prof. (Univ. Lima) Dr. Bauer, Peter (FREIE WÄHLER)</w:instrText>
            </w:r>
            <w:r>
              <w:br/>
              <w:instrText>Überversorgung im stationären Bereich</w:instrText>
            </w:r>
            <w:bookmarkEnd w:id="54"/>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CA4048">
            <w:pPr>
              <w:pStyle w:val="LTAnfrageText"/>
            </w:pPr>
            <w:r>
              <w:t>Ich frage die Staatsregierung, teilt</w:t>
            </w:r>
            <w:r w:rsidR="00C244B3">
              <w:t xml:space="preserve"> </w:t>
            </w:r>
            <w:r>
              <w:t xml:space="preserve">sie die Meinung der AOK Bayern (Bericht in der </w:t>
            </w:r>
            <w:r w:rsidR="00C244B3">
              <w:t>„</w:t>
            </w:r>
            <w:r>
              <w:t>Augsburger Allgemeinen</w:t>
            </w:r>
            <w:r w:rsidR="00C244B3">
              <w:t>“</w:t>
            </w:r>
            <w:r>
              <w:t xml:space="preserve"> vom 15.02.2018 </w:t>
            </w:r>
            <w:r w:rsidR="00E2637E">
              <w:t>–</w:t>
            </w:r>
            <w:r>
              <w:t xml:space="preserve"> Zitat des ehemaligen Chefs der AOK-Bayern Dr. Helmut Platzer), dass es eine </w:t>
            </w:r>
            <w:r w:rsidR="00C244B3">
              <w:t>„</w:t>
            </w:r>
            <w:r>
              <w:t>massive Überversorgung im stationären Bereich</w:t>
            </w:r>
            <w:r w:rsidR="00C244B3">
              <w:t>“</w:t>
            </w:r>
            <w:r>
              <w:t xml:space="preserve"> der klinischen Krankenversorgung in Bayern gibt, wie hoch ist die Zahl der </w:t>
            </w:r>
            <w:r w:rsidR="00C244B3">
              <w:t>„</w:t>
            </w:r>
            <w:r>
              <w:t>überversorgten Klinikbetten</w:t>
            </w:r>
            <w:r w:rsidR="00C244B3">
              <w:t>“</w:t>
            </w:r>
            <w:r>
              <w:t xml:space="preserve"> in Bayern und was plant die Staatsregierung, um diese Überversorgung abzubauen?</w:t>
            </w:r>
          </w:p>
          <w:p w:rsidR="00CA4048" w:rsidRDefault="00CA4048" w:rsidP="00CA4048">
            <w:pPr>
              <w:pStyle w:val="LTAnfrageText"/>
            </w:pPr>
          </w:p>
        </w:tc>
      </w:tr>
    </w:tbl>
    <w:p w:rsidR="00CA4048" w:rsidRDefault="00CA4048" w:rsidP="00CA4048">
      <w:pPr>
        <w:pStyle w:val="LTUeberschrAntwortRessort"/>
      </w:pPr>
      <w:r>
        <w:t>Antwort des Staatsministeriums für Gesundheit und Pflege</w:t>
      </w:r>
    </w:p>
    <w:p w:rsidR="00CA4048" w:rsidRDefault="00CA4048" w:rsidP="00CA4048">
      <w:pPr>
        <w:pStyle w:val="LTAntwortRessortText"/>
      </w:pPr>
      <w:r>
        <w:t xml:space="preserve">Die Anfrage </w:t>
      </w:r>
      <w:r w:rsidR="00E2637E">
        <w:t xml:space="preserve">zum Plenum </w:t>
      </w:r>
      <w:r>
        <w:t>wurde in leicht abgewandelter Form bereits am 26.02.2018 von Herrn Abgeordneten Nikolaus Kraus zum Pl</w:t>
      </w:r>
      <w:r w:rsidR="00E2637E">
        <w:t>enum am 27.02.2018 gestellt (</w:t>
      </w:r>
      <w:r>
        <w:t>Drs. 17/21024).</w:t>
      </w:r>
    </w:p>
    <w:p w:rsidR="00CA4048" w:rsidRDefault="00CA4048" w:rsidP="00CA4048">
      <w:pPr>
        <w:pStyle w:val="LTAntwortRessortText"/>
      </w:pPr>
      <w:r>
        <w:t xml:space="preserve">Die durchschnittliche Auslastung der bayerischen Krankenhäuser lag im Jahr 2016 (Zahlen des Jahres 2017 liegen noch nicht vor) bei 78,1 </w:t>
      </w:r>
      <w:r w:rsidR="00C244B3">
        <w:t>Prozent</w:t>
      </w:r>
      <w:r>
        <w:t xml:space="preserve">, was bei einem anzustrebenden Bettennutzungsrichtwert von 80 </w:t>
      </w:r>
      <w:r w:rsidR="00C244B3">
        <w:t>Prozent</w:t>
      </w:r>
      <w:r>
        <w:t xml:space="preserve"> einen nahezu idealen Wert darstellt. Seit dem Jahr 2010 ist die durchschnittliche Auslastung dabei um 1,1 Prozentpunkte gestiegen.</w:t>
      </w:r>
    </w:p>
    <w:p w:rsidR="00CA4048" w:rsidRDefault="00CA4048" w:rsidP="00E2637E">
      <w:pPr>
        <w:pStyle w:val="LTAntwortRessortText"/>
      </w:pPr>
      <w:r>
        <w:t>Sicherlich gibt es im Einzelfall immer wieder Anlass zu Bettenkürzungen, wenn der anzustrebende Bettennutzungsrichtwert bei Krankenhäusern nachhaltig unterschritten wird. Gleichzeitig gibt es an anderen Stellen Bedarf nach Ausweitung von Kapazitäten. Diese Aufgaben werden von der Krankenhausplanungsbehörde unter Beachtung der Erfordernisse des jeweiligen Einzelfalls kontinuierlich wahrgenommen. Bei allen mit Kapazitätserweiterungen verbundenen krankenhausplanerischen Entscheidungen wird im Übrigen der Krankenhausplanungsausschuss des Freistaats Bayern eingebunden, in dem i</w:t>
      </w:r>
      <w:r w:rsidR="00E2637E">
        <w:t xml:space="preserve">nsbesondere die AOK Bayern als </w:t>
      </w:r>
      <w:r>
        <w:t>prominentes Mitglied der Arbeitsgemeinschaft der Krankenkassenverbände in Bayern vertreten ist. In aller Regel ergehen die</w:t>
      </w:r>
      <w:r w:rsidR="00E2637E">
        <w:t xml:space="preserve"> Entscheidungen einvernehmlich.</w:t>
      </w:r>
    </w:p>
    <w:p w:rsidR="00CA4048" w:rsidRDefault="00CA4048" w:rsidP="00CA4048">
      <w:pPr>
        <w:pStyle w:val="LTAntwortRessortText"/>
      </w:pPr>
      <w:r>
        <w:t>Insgesamt hält die Staatsregierung die stationäre Versorgung für flächendeckend und auf hohem Niveau sichergestellt. Ein pauschales Überangebot an Betten wird aufgrund der o. g. durchschnittlichen Auslastungswerte nicht gesehen. Schließlich muss die Krankenhausversorgung auch für Spitzenbelegungen</w:t>
      </w:r>
      <w:r w:rsidR="00DD5223">
        <w:t>,</w:t>
      </w:r>
      <w:r>
        <w:t xml:space="preserve"> wie etwa während Grippewellen</w:t>
      </w:r>
      <w:r w:rsidR="00DD5223">
        <w:t>,</w:t>
      </w:r>
      <w:r>
        <w:t xml:space="preserve"> gerüstet sein.</w:t>
      </w:r>
    </w:p>
    <w:p w:rsidR="00AE692A" w:rsidRDefault="00AE692A" w:rsidP="00CA4048">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CA4048" w:rsidTr="00CA4048">
        <w:tc>
          <w:tcPr>
            <w:tcW w:w="2050" w:type="dxa"/>
            <w:shd w:val="clear" w:color="auto" w:fill="auto"/>
          </w:tcPr>
          <w:p w:rsidR="00CA4048" w:rsidRPr="00CA4048" w:rsidRDefault="00CA4048" w:rsidP="00CA4048">
            <w:pPr>
              <w:pStyle w:val="LTNumAnfrageIni1"/>
            </w:pPr>
            <w:r w:rsidRPr="00CA4048">
              <w:t>Abgeordnete</w:t>
            </w:r>
            <w:r w:rsidRPr="00CA4048">
              <w:br/>
            </w:r>
            <w:r w:rsidRPr="00CA4048">
              <w:rPr>
                <w:b/>
              </w:rPr>
              <w:t>Kathrin</w:t>
            </w:r>
            <w:r w:rsidRPr="00CA4048">
              <w:rPr>
                <w:b/>
              </w:rPr>
              <w:br/>
              <w:t>Sonnenholzner</w:t>
            </w:r>
            <w:r w:rsidRPr="00CA4048">
              <w:rPr>
                <w:b/>
              </w:rPr>
              <w:br/>
            </w:r>
            <w:r w:rsidRPr="00CA4048">
              <w:t>(SPD)</w:t>
            </w:r>
            <w:r>
              <w:fldChar w:fldCharType="begin"/>
            </w:r>
            <w:r>
              <w:instrText xml:space="preserve"> TC </w:instrText>
            </w:r>
            <w:r w:rsidR="00C244B3">
              <w:instrText>„</w:instrText>
            </w:r>
            <w:bookmarkStart w:id="55" w:name="_Toc511895473"/>
            <w:r>
              <w:instrText>Sonnenholzner, Kathrin (SPD)</w:instrText>
            </w:r>
            <w:r>
              <w:br/>
              <w:instrText>Beschäftigungsverbot für schwangere Ärztinnen in Facharztweiterbildung</w:instrText>
            </w:r>
            <w:bookmarkEnd w:id="55"/>
            <w:r>
              <w:instrText xml:space="preserve"> </w:instrText>
            </w:r>
            <w:r w:rsidR="00C244B3">
              <w:instrText>„</w:instrText>
            </w:r>
            <w:r>
              <w:instrText xml:space="preserve"> \l 2 </w:instrText>
            </w:r>
            <w:r>
              <w:fldChar w:fldCharType="end"/>
            </w:r>
          </w:p>
        </w:tc>
        <w:tc>
          <w:tcPr>
            <w:tcW w:w="7200" w:type="dxa"/>
            <w:shd w:val="clear" w:color="auto" w:fill="auto"/>
          </w:tcPr>
          <w:p w:rsidR="00CA4048" w:rsidRDefault="00CA4048" w:rsidP="00AE692A">
            <w:pPr>
              <w:pStyle w:val="LTAnfrageText"/>
            </w:pPr>
            <w:r>
              <w:t xml:space="preserve">Weil Ärztinnen, die während ihrer Facharztweiterbildung schwanger werden, sehr häufig durch ihren Arbeitgeber ein betriebliches Beschäftigungsverbot auferlegt wird, obwohl eine Gefährdung von Mutter und Kind nicht gegeben ist </w:t>
            </w:r>
            <w:r w:rsidR="00E2637E">
              <w:t>–</w:t>
            </w:r>
            <w:r>
              <w:t xml:space="preserve"> wie vom Gesetzgeber vorgeschrieben </w:t>
            </w:r>
            <w:r w:rsidR="00E2637E">
              <w:t>–</w:t>
            </w:r>
            <w:r>
              <w:t xml:space="preserve"> frage ich die Staatsregierung, ob ihr der beschriebene Sachverhalt bekannt ist und wie sie die Problematik einschätzt, vor allem vor dem Hintergrund, dass die Zeit des Beschäftigungsverbots von der Weiterbildungszeit abgezogen wird?</w:t>
            </w:r>
          </w:p>
        </w:tc>
      </w:tr>
    </w:tbl>
    <w:p w:rsidR="00AE692A" w:rsidRDefault="00AE692A" w:rsidP="00CA4048">
      <w:pPr>
        <w:pStyle w:val="LTUeberschrAntwortRessort"/>
      </w:pPr>
    </w:p>
    <w:p w:rsidR="00CA4048" w:rsidRDefault="00CA4048" w:rsidP="00CA4048">
      <w:pPr>
        <w:pStyle w:val="LTUeberschrAntwortRessort"/>
      </w:pPr>
      <w:r>
        <w:lastRenderedPageBreak/>
        <w:t>Antwort des Staatsministeriums für Gesundheit und Pflege</w:t>
      </w:r>
    </w:p>
    <w:p w:rsidR="00CA4048" w:rsidRDefault="00CA4048" w:rsidP="00CA4048">
      <w:pPr>
        <w:pStyle w:val="LTAntwortRessortText"/>
      </w:pPr>
      <w:r>
        <w:t>Der Staatsregierung ist der beschriebene Sachverhalt nicht bekannt.</w:t>
      </w:r>
    </w:p>
    <w:p w:rsidR="00CA4048" w:rsidRDefault="00CA4048" w:rsidP="00CA4048">
      <w:pPr>
        <w:pStyle w:val="LTAntwortRessortText"/>
      </w:pPr>
      <w:r>
        <w:t xml:space="preserve">Das Gesetz zum Schutz von Müttern bei der Arbeit, in der Ausbildung und im Studium (Mutterschutzgesetz </w:t>
      </w:r>
      <w:r w:rsidR="00E2637E">
        <w:t>–</w:t>
      </w:r>
      <w:r>
        <w:t xml:space="preserve"> MuSchG) enthält (partielle) Beschäftigungsverbote in den §§ 3 bis 6, 10 Abs. 3, 13 Abs. 1 Nr. 3 und § 16 MuSchG.</w:t>
      </w:r>
    </w:p>
    <w:p w:rsidR="00CA4048" w:rsidRDefault="00CA4048" w:rsidP="00E2637E">
      <w:pPr>
        <w:pStyle w:val="LTAntwortRessortText"/>
      </w:pPr>
      <w:r>
        <w:t>Gemäß § 10 Abs. 3 MuSchG darf der Arbeitgeber eine schwangere oder stillende Frau nur diejenigen Tätigkeiten ausüben lassen, für die er die erforderlichen Schutzmaßnahmen nach § 10 Abs. 2 Satz 1 MuSchG getroffen hat. Gemäß § 10 Abs. 2 Satz 1 MuSchG hat der Arbeitgeber, sobald eine Frau ihm mitgeteilt hat, dass sie schwanger ist oder stillt, unverzüglich die nach Maßgabe der Gefährdungsbeurteilung nach § 10 Abs. 1 MuSchG erforderlichen Schutzmaßnahmen festzulegen. Aus § 10 Abs. 3 MuSchG kann resultieren, dass eine schwangere Ärztin in Weiterbildung entsprechend der in jedem Einzelfall durchzuführenden Gefährdungsbeurteilung für verschiedene Tätigkeiten nicht mehr herangezogen werden darf. Dies kann sich vor allem in den operativen Fächern stärker auswirken. In der Regel wird dies aber nicht zu einem vollumfänglichen Beschäftigungsverbot führen, da die schwangere Ärztin für eine ganze Reihe (ausbildungsrelevanter) Tätigkei</w:t>
      </w:r>
      <w:r w:rsidR="00E2637E">
        <w:t>ten weiterhin eingesetzt werden</w:t>
      </w:r>
      <w:r w:rsidR="0090434B">
        <w:t xml:space="preserve"> kann. </w:t>
      </w:r>
      <w:r>
        <w:t xml:space="preserve">Die vorgeschriebenen Zeiten für die verschiedenen Facharztausbildungen sind ausreichend lange, sodass in der Schwangerschaft </w:t>
      </w:r>
      <w:r w:rsidR="00C244B3">
        <w:t>„</w:t>
      </w:r>
      <w:r>
        <w:t>verbotene</w:t>
      </w:r>
      <w:r w:rsidR="00C244B3">
        <w:t>“</w:t>
      </w:r>
      <w:r>
        <w:t xml:space="preserve"> Tätigkeiten (z. B. für den OP-Katalog) späte</w:t>
      </w:r>
      <w:r w:rsidR="00E2637E">
        <w:t>r nachgeholt werden können.</w:t>
      </w:r>
    </w:p>
    <w:p w:rsidR="00CA4048" w:rsidRDefault="00E2637E" w:rsidP="00CA4048">
      <w:pPr>
        <w:pStyle w:val="LTAntwortRessortText"/>
      </w:pPr>
      <w:r>
        <w:t>Die</w:t>
      </w:r>
      <w:r>
        <w:tab/>
        <w:t>Weiterbildungsordnung</w:t>
      </w:r>
      <w:r>
        <w:tab/>
        <w:t xml:space="preserve">für die Ärzte Bayerns, die eine Satzung der </w:t>
      </w:r>
      <w:r w:rsidR="00CA4048">
        <w:t xml:space="preserve">Landesärztekammer (BLÄK) darstellt und gemäß Art. 35 Abs. 1 </w:t>
      </w:r>
      <w:r w:rsidR="00DD5223">
        <w:t>Heilberufe-Kammergesetz</w:t>
      </w:r>
      <w:r>
        <w:t xml:space="preserve"> (HKaG) </w:t>
      </w:r>
      <w:r w:rsidR="00CA4048">
        <w:t xml:space="preserve">der Genehmigung durch das Staatsministerium für Gesundheit und Pflege </w:t>
      </w:r>
      <w:r>
        <w:t xml:space="preserve">(StMGP) </w:t>
      </w:r>
      <w:r w:rsidR="00CA4048">
        <w:t xml:space="preserve">bedarf, sieht lediglich in § 4 Abs. 4 Satz 3 vor, dass eine (vollumfängliche) Unterbrechung der Weiterbildung wegen Schwangerschaft nicht als Weiterbildungszeit angerechnet werden kann. Das </w:t>
      </w:r>
      <w:r>
        <w:t>StMGP</w:t>
      </w:r>
      <w:r w:rsidR="00CA4048">
        <w:t xml:space="preserve"> übt die Rechtsaufsicht über die BLÄK aus und kann im Rahmen des Genehmigungsverfahrens hinsichtlich der Weiterbildungsordnung nur Vorschriften beanstanden, die gegen höherrangiges Recht verstoßen. Dies ist im Hinblick auf § 4 Abs. 4 Satz 3 Weiterbildungsordnung nicht ersichtlich.</w:t>
      </w:r>
    </w:p>
    <w:p w:rsidR="00CA4048" w:rsidRDefault="00CA4048" w:rsidP="00E2637E">
      <w:pPr>
        <w:pStyle w:val="LTAntwortRessortText"/>
      </w:pPr>
      <w:r>
        <w:t>Wenn Ärztinnen, die während ihrer Facharztweiterbildung schwanger werden, durch ihren Arbeitgeber ein betriebliches Beschäftigungsverbot auferlegt werden sollte, obwohl tatsächlich eine Gefährdung von Mutter und Kind nicht gegeben ist, so würde dies eine das individuelle privatrechtliche Arbeitsverhältnis betreffende Rechtsfrage darstellen. In einem solchen Fall wäre gemäß §</w:t>
      </w:r>
      <w:r w:rsidR="00E2637E">
        <w:t xml:space="preserve"> 2 Abs. 1 Nr. 3 Buchstabe a Arbeitsgerichtsgesetz</w:t>
      </w:r>
      <w:r>
        <w:t xml:space="preserve"> </w:t>
      </w:r>
      <w:r w:rsidR="00E2637E">
        <w:t xml:space="preserve">(ArbGG) </w:t>
      </w:r>
      <w:r>
        <w:t>der Rechtsweg zu den Arbeitsgerichten eröffnet. Der Staatsregierung kommt insoweit keine Einflussmöglichkeit zu.</w:t>
      </w:r>
    </w:p>
    <w:p w:rsidR="00E2637E" w:rsidRDefault="00E2637E" w:rsidP="00E2637E">
      <w:pPr>
        <w:pStyle w:val="LTAntwortRessortText"/>
      </w:pPr>
    </w:p>
    <w:sectPr w:rsidR="00E2637E" w:rsidSect="001579D6">
      <w:headerReference w:type="even" r:id="rId19"/>
      <w:headerReference w:type="default" r:id="rId20"/>
      <w:footerReference w:type="default" r:id="rId21"/>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33" w:rsidRDefault="00297233">
      <w:r>
        <w:separator/>
      </w:r>
    </w:p>
  </w:endnote>
  <w:endnote w:type="continuationSeparator" w:id="0">
    <w:p w:rsidR="00297233" w:rsidRDefault="0029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Pr="009C32BE" w:rsidRDefault="00297233"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Default="002972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Pr="00311533" w:rsidRDefault="00297233"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33" w:rsidRDefault="00297233">
      <w:r>
        <w:separator/>
      </w:r>
    </w:p>
  </w:footnote>
  <w:footnote w:type="continuationSeparator" w:id="0">
    <w:p w:rsidR="00297233" w:rsidRDefault="00297233">
      <w:r>
        <w:continuationSeparator/>
      </w:r>
    </w:p>
  </w:footnote>
  <w:footnote w:id="1">
    <w:p w:rsidR="00297233" w:rsidRPr="00576BE7" w:rsidRDefault="00297233" w:rsidP="00576BE7">
      <w:pPr>
        <w:rPr>
          <w:sz w:val="16"/>
          <w:szCs w:val="16"/>
        </w:rPr>
      </w:pPr>
      <w:r>
        <w:rPr>
          <w:rStyle w:val="Funotenzeichen"/>
        </w:rPr>
        <w:footnoteRef/>
      </w:r>
      <w:r>
        <w:t xml:space="preserve"> </w:t>
      </w:r>
      <w:r w:rsidRPr="00576BE7">
        <w:rPr>
          <w:sz w:val="16"/>
          <w:szCs w:val="16"/>
        </w:rPr>
        <w:t>Die In-Kraft-Setzung des LehrplanPLUS Realschule hat mit dem Schuljahr 2017/18, beginnend mit der Jahrgangsstufe 5, begonnen und wird mit jedem Schuljahr eine Jahrgangsstufe sukzessive aufwachsen.</w:t>
      </w:r>
    </w:p>
    <w:p w:rsidR="00297233" w:rsidRDefault="00297233" w:rsidP="00576BE7">
      <w:pPr>
        <w:pStyle w:val="LTAntwortRessortText"/>
        <w:spacing w:before="0"/>
        <w:ind w:left="0"/>
      </w:pPr>
      <w:r w:rsidRPr="00F85602">
        <w:rPr>
          <w:sz w:val="16"/>
          <w:szCs w:val="16"/>
        </w:rPr>
        <w:t xml:space="preserve">Der LehrplanPLUS hat derzeit Gültigkeit für Jahrgangsstufe 5; allerdings ist aufgrund des modularisierten Stundenplans in Informationstechnologie für die flexibilisierte Stundentafel bereits in Jahrgangsstufe 5 IT-Unterricht möglich. Das Fach Informationstechnologie wird in einer modularen Form angeboten und beginnt mit einem für alle Schülerinnen und Schüler verbindlichen Anfangsunterricht, der aus acht Modulen zu je 14 Unterrichtsstunden besteht. An den für alle Schülerinnen und Schüler verbindlichen Anfangsunterricht schließt der Aufbauunterricht an. Dieser orientiert sich an den Wahlpflichtfächergruppen der Realschule und ist deshalb mit unterschiedlichen Stundenzahlen ausgestattet. Für jede Wahlpflichtfächergruppe sind, je nach fachlicher Ausrichtung, verbindliche Module vorgesehen. Darüber hinaus entscheiden sich die Schulen, je nach Profil, für einen Teil der Wahlmodule, die der Lehrplan ebenso zur Verfügung stellt. In jeder Wahlpflichtfächergruppe muss in der Jahrgangsstufe 9 Unterricht im Fach Informationstechnologie stattfinden.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Default="00297233"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857AB1">
      <w:fldChar w:fldCharType="begin"/>
    </w:r>
    <w:r w:rsidR="00857AB1">
      <w:instrText xml:space="preserve"> DOCVARIABLE  "Wp" \* MERGEFORMAT </w:instrText>
    </w:r>
    <w:r w:rsidR="00857AB1">
      <w:fldChar w:fldCharType="separate"/>
    </w:r>
    <w:r w:rsidR="00EA6096">
      <w:t>17</w:t>
    </w:r>
    <w:r w:rsidR="00857AB1">
      <w:fldChar w:fldCharType="end"/>
    </w:r>
    <w:r w:rsidRPr="00CA6785">
      <w:t>/</w:t>
    </w:r>
    <w:r>
      <w:rPr>
        <w:b/>
      </w:rPr>
      <w:fldChar w:fldCharType="begin"/>
    </w:r>
    <w:r>
      <w:rPr>
        <w:b/>
      </w:rPr>
      <w:instrText xml:space="preserve"> DOCVARIABLE  "Drsnr" \* MERGEFORMAT </w:instrText>
    </w:r>
    <w:r>
      <w:rPr>
        <w:b/>
      </w:rPr>
      <w:fldChar w:fldCharType="separate"/>
    </w:r>
    <w:r w:rsidR="00EA6096">
      <w:rPr>
        <w:b/>
      </w:rPr>
      <w:t>21823</w:t>
    </w:r>
    <w:r>
      <w:rPr>
        <w:b/>
      </w:rPr>
      <w:fldChar w:fldCharType="end"/>
    </w:r>
    <w:r>
      <w:tab/>
    </w:r>
    <w:r>
      <w:tab/>
    </w:r>
    <w:r w:rsidRPr="009A2D8C">
      <w:t>Bayerischer Landtag</w:t>
    </w:r>
    <w:r>
      <w:t xml:space="preserve"> -</w:t>
    </w:r>
    <w:r w:rsidR="00857AB1">
      <w:fldChar w:fldCharType="begin"/>
    </w:r>
    <w:r w:rsidR="00857AB1">
      <w:instrText xml:space="preserve"> DOCVARIABLE  "Wp" \* MERGEFORMAT </w:instrText>
    </w:r>
    <w:r w:rsidR="00857AB1">
      <w:fldChar w:fldCharType="separate"/>
    </w:r>
    <w:r w:rsidR="00EA6096">
      <w:t>17</w:t>
    </w:r>
    <w:r w:rsidR="00857AB1">
      <w:fldChar w:fldCharType="end"/>
    </w:r>
    <w:r>
      <w:t>. Wahlperiode</w:t>
    </w:r>
  </w:p>
  <w:p w:rsidR="00297233" w:rsidRDefault="00297233"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Default="00297233"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857AB1">
      <w:fldChar w:fldCharType="begin"/>
    </w:r>
    <w:r w:rsidR="00857AB1">
      <w:instrText xml:space="preserve"> DOCVARIABLE  "Wp" \* MERGEFORMAT </w:instrText>
    </w:r>
    <w:r w:rsidR="00857AB1">
      <w:fldChar w:fldCharType="separate"/>
    </w:r>
    <w:r w:rsidR="00EA6096">
      <w:t>17</w:t>
    </w:r>
    <w:r w:rsidR="00857AB1">
      <w:fldChar w:fldCharType="end"/>
    </w:r>
    <w:r>
      <w:t>. Wahlperiode</w:t>
    </w:r>
    <w:r>
      <w:tab/>
    </w:r>
    <w:r>
      <w:tab/>
    </w:r>
    <w:r w:rsidRPr="009A2D8C">
      <w:rPr>
        <w:b/>
      </w:rPr>
      <w:t>Drucksache</w:t>
    </w:r>
    <w:r>
      <w:rPr>
        <w:b/>
      </w:rPr>
      <w:t xml:space="preserve"> </w:t>
    </w:r>
    <w:r w:rsidR="00857AB1">
      <w:fldChar w:fldCharType="begin"/>
    </w:r>
    <w:r w:rsidR="00857AB1">
      <w:instrText xml:space="preserve"> DOCVAR</w:instrText>
    </w:r>
    <w:r w:rsidR="00857AB1">
      <w:instrText xml:space="preserve">IABLE  "Wp" \* MERGEFORMAT </w:instrText>
    </w:r>
    <w:r w:rsidR="00857AB1">
      <w:fldChar w:fldCharType="separate"/>
    </w:r>
    <w:r w:rsidR="00EA6096">
      <w:t>17</w:t>
    </w:r>
    <w:r w:rsidR="00857AB1">
      <w:fldChar w:fldCharType="end"/>
    </w:r>
    <w:r w:rsidRPr="00CA6785">
      <w:t>/</w:t>
    </w:r>
    <w:r>
      <w:rPr>
        <w:b/>
      </w:rPr>
      <w:fldChar w:fldCharType="begin"/>
    </w:r>
    <w:r>
      <w:rPr>
        <w:b/>
      </w:rPr>
      <w:instrText xml:space="preserve"> DOCVARIABLE  "Drsnr" \* MERGEFORMAT </w:instrText>
    </w:r>
    <w:r>
      <w:rPr>
        <w:b/>
      </w:rPr>
      <w:fldChar w:fldCharType="separate"/>
    </w:r>
    <w:r w:rsidR="00EA6096">
      <w:rPr>
        <w:b/>
      </w:rPr>
      <w:t>21823</w:t>
    </w:r>
    <w:r>
      <w:rPr>
        <w:b/>
      </w:rPr>
      <w:fldChar w:fldCharType="end"/>
    </w:r>
  </w:p>
  <w:p w:rsidR="00297233" w:rsidRPr="00C127DA" w:rsidRDefault="00297233"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Default="00297233"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3717A8" w:rsidRPr="003717A8">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3717A8">
      <w:rPr>
        <w:sz w:val="22"/>
        <w:szCs w:val="22"/>
      </w:rPr>
      <w:t>19.04.2018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3717A8" w:rsidRPr="003717A8">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3717A8" w:rsidRPr="003717A8">
      <w:rPr>
        <w:b/>
        <w:bCs/>
        <w:sz w:val="42"/>
        <w:szCs w:val="42"/>
      </w:rPr>
      <w:t>21823</w:t>
    </w:r>
    <w:r w:rsidRPr="00853926">
      <w:rPr>
        <w:b/>
        <w:sz w:val="42"/>
        <w:szCs w:val="42"/>
      </w:rPr>
      <w:fldChar w:fldCharType="end"/>
    </w:r>
  </w:p>
  <w:p w:rsidR="00297233" w:rsidRPr="00812558" w:rsidRDefault="00297233"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Default="00297233"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A60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A6096">
      <w:rPr>
        <w:b/>
        <w:szCs w:val="20"/>
      </w:rPr>
      <w:t>21823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A609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57AB1">
      <w:rPr>
        <w:rStyle w:val="Seitenzahl"/>
        <w:noProof/>
        <w:szCs w:val="20"/>
      </w:rPr>
      <w:t>II</w:t>
    </w:r>
    <w:r w:rsidRPr="00DE5B17">
      <w:rPr>
        <w:rStyle w:val="Seitenzahl"/>
        <w:szCs w:val="20"/>
      </w:rPr>
      <w:fldChar w:fldCharType="end"/>
    </w:r>
  </w:p>
  <w:p w:rsidR="00297233" w:rsidRPr="00861320" w:rsidRDefault="00297233"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Pr="00A44F63" w:rsidRDefault="00297233"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A6096">
      <w:rPr>
        <w:rStyle w:val="Seitenzahl"/>
        <w:noProof/>
        <w:szCs w:val="20"/>
      </w:rPr>
      <w:t>III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A60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A6096">
      <w:rPr>
        <w:b/>
        <w:szCs w:val="20"/>
      </w:rPr>
      <w:t>21823</w:t>
    </w:r>
    <w:r w:rsidRPr="00A44F63">
      <w:rPr>
        <w:b/>
        <w:szCs w:val="20"/>
      </w:rPr>
      <w:fldChar w:fldCharType="end"/>
    </w:r>
  </w:p>
  <w:p w:rsidR="00297233" w:rsidRPr="004B2185" w:rsidRDefault="00297233"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Pr="00A44F63" w:rsidRDefault="00297233"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A6096">
      <w:rPr>
        <w:rStyle w:val="Seitenzahl"/>
        <w:noProof/>
        <w:szCs w:val="20"/>
      </w:rPr>
      <w:t>44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A6096">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A60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A6096">
      <w:rPr>
        <w:b/>
        <w:szCs w:val="20"/>
      </w:rPr>
      <w:t>21823</w:t>
    </w:r>
    <w:r w:rsidRPr="00A44F63">
      <w:rPr>
        <w:b/>
        <w:szCs w:val="20"/>
      </w:rPr>
      <w:fldChar w:fldCharType="end"/>
    </w:r>
  </w:p>
  <w:p w:rsidR="00297233" w:rsidRPr="00861320" w:rsidRDefault="00297233"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33" w:rsidRPr="00DE5B17" w:rsidRDefault="00297233"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A60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A6096">
      <w:rPr>
        <w:b/>
        <w:szCs w:val="20"/>
      </w:rPr>
      <w:t>21823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A609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A6096">
      <w:rPr>
        <w:rStyle w:val="Seitenzahl"/>
        <w:noProof/>
        <w:szCs w:val="20"/>
      </w:rPr>
      <w:t>44</w:t>
    </w:r>
    <w:r w:rsidRPr="00DE5B17">
      <w:rPr>
        <w:rStyle w:val="Seitenzahl"/>
        <w:szCs w:val="20"/>
      </w:rPr>
      <w:fldChar w:fldCharType="end"/>
    </w:r>
  </w:p>
  <w:p w:rsidR="00297233" w:rsidRPr="00601929" w:rsidRDefault="00297233"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C254B"/>
    <w:multiLevelType w:val="hybridMultilevel"/>
    <w:tmpl w:val="B4F4794C"/>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7C7FB8"/>
    <w:multiLevelType w:val="hybridMultilevel"/>
    <w:tmpl w:val="F7CE3D2C"/>
    <w:lvl w:ilvl="0" w:tplc="9C34DF2A">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4D2213"/>
    <w:multiLevelType w:val="hybridMultilevel"/>
    <w:tmpl w:val="DC0C4D9A"/>
    <w:lvl w:ilvl="0" w:tplc="1B1C7CCE">
      <w:start w:val="1"/>
      <w:numFmt w:val="bullet"/>
      <w:lvlText w:val=""/>
      <w:lvlJc w:val="left"/>
      <w:pPr>
        <w:ind w:left="1060" w:hanging="360"/>
      </w:pPr>
      <w:rPr>
        <w:rFonts w:ascii="Symbol" w:hAnsi="Symbol" w:hint="default"/>
      </w:rPr>
    </w:lvl>
    <w:lvl w:ilvl="1" w:tplc="7A466192">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78E70B8"/>
    <w:multiLevelType w:val="hybridMultilevel"/>
    <w:tmpl w:val="3B84B5FA"/>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13"/>
  </w:num>
  <w:num w:numId="3">
    <w:abstractNumId w:val="19"/>
  </w:num>
  <w:num w:numId="4">
    <w:abstractNumId w:val="22"/>
  </w:num>
  <w:num w:numId="5">
    <w:abstractNumId w:val="20"/>
  </w:num>
  <w:num w:numId="6">
    <w:abstractNumId w:val="18"/>
  </w:num>
  <w:num w:numId="7">
    <w:abstractNumId w:val="11"/>
  </w:num>
  <w:num w:numId="8">
    <w:abstractNumId w:val="12"/>
  </w:num>
  <w:num w:numId="9">
    <w:abstractNumId w:val="2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aRkxiZPBQcgVZh/05jvJMEnw0mKSmNXzhHju3autrMnEtA+yjIRK4pRPEht6lFP9+5lf7GPHBKSBCfbg74kLxw==" w:salt="v+9JtLHxwSfRBay2rSiDCA=="/>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1823"/>
    <w:docVar w:name="Eingangsdatum" w:val="19.04.2018"/>
    <w:docVar w:name="Wochendatum" w:val="16. April 2018"/>
    <w:docVar w:name="Wp" w:val="17"/>
  </w:docVars>
  <w:rsids>
    <w:rsidRoot w:val="00CA4048"/>
    <w:rsid w:val="00002517"/>
    <w:rsid w:val="00006292"/>
    <w:rsid w:val="000166F9"/>
    <w:rsid w:val="000371B5"/>
    <w:rsid w:val="00043B70"/>
    <w:rsid w:val="000614E0"/>
    <w:rsid w:val="00061EB3"/>
    <w:rsid w:val="0007223B"/>
    <w:rsid w:val="000779F7"/>
    <w:rsid w:val="00083D54"/>
    <w:rsid w:val="00087472"/>
    <w:rsid w:val="000B3ECE"/>
    <w:rsid w:val="000B764D"/>
    <w:rsid w:val="000C480A"/>
    <w:rsid w:val="000C71A5"/>
    <w:rsid w:val="000C72A9"/>
    <w:rsid w:val="000C7D5A"/>
    <w:rsid w:val="000D67EF"/>
    <w:rsid w:val="000E73CC"/>
    <w:rsid w:val="000F109F"/>
    <w:rsid w:val="00101EE9"/>
    <w:rsid w:val="00135D97"/>
    <w:rsid w:val="00136D38"/>
    <w:rsid w:val="0014545A"/>
    <w:rsid w:val="00154F5F"/>
    <w:rsid w:val="001576CA"/>
    <w:rsid w:val="001579D6"/>
    <w:rsid w:val="00163927"/>
    <w:rsid w:val="001676F2"/>
    <w:rsid w:val="00171CDA"/>
    <w:rsid w:val="00177B42"/>
    <w:rsid w:val="00191F51"/>
    <w:rsid w:val="001C6FB3"/>
    <w:rsid w:val="001D6DCC"/>
    <w:rsid w:val="001E3461"/>
    <w:rsid w:val="001E5F3E"/>
    <w:rsid w:val="001F240A"/>
    <w:rsid w:val="00202C5F"/>
    <w:rsid w:val="00206975"/>
    <w:rsid w:val="00215CAA"/>
    <w:rsid w:val="002212E9"/>
    <w:rsid w:val="00226E30"/>
    <w:rsid w:val="00231278"/>
    <w:rsid w:val="0023365B"/>
    <w:rsid w:val="002375B2"/>
    <w:rsid w:val="00246DE7"/>
    <w:rsid w:val="00260956"/>
    <w:rsid w:val="00283D88"/>
    <w:rsid w:val="0028470E"/>
    <w:rsid w:val="00284AA1"/>
    <w:rsid w:val="00297233"/>
    <w:rsid w:val="002B27E5"/>
    <w:rsid w:val="002D53C0"/>
    <w:rsid w:val="002D5E77"/>
    <w:rsid w:val="002E2E02"/>
    <w:rsid w:val="002F699C"/>
    <w:rsid w:val="00301E9A"/>
    <w:rsid w:val="003035D2"/>
    <w:rsid w:val="00306652"/>
    <w:rsid w:val="00311533"/>
    <w:rsid w:val="0031185F"/>
    <w:rsid w:val="003220C1"/>
    <w:rsid w:val="00323C4A"/>
    <w:rsid w:val="003317ED"/>
    <w:rsid w:val="0033341B"/>
    <w:rsid w:val="00333F9A"/>
    <w:rsid w:val="003343E3"/>
    <w:rsid w:val="00354E4E"/>
    <w:rsid w:val="00356CB4"/>
    <w:rsid w:val="003571B7"/>
    <w:rsid w:val="0036081C"/>
    <w:rsid w:val="003717A8"/>
    <w:rsid w:val="00384BCC"/>
    <w:rsid w:val="003865DE"/>
    <w:rsid w:val="00390B65"/>
    <w:rsid w:val="003A0B46"/>
    <w:rsid w:val="003A16FB"/>
    <w:rsid w:val="003A6DDF"/>
    <w:rsid w:val="003B10EA"/>
    <w:rsid w:val="003B21D3"/>
    <w:rsid w:val="003B4646"/>
    <w:rsid w:val="003B7D59"/>
    <w:rsid w:val="003C2F14"/>
    <w:rsid w:val="003C4151"/>
    <w:rsid w:val="003D34BE"/>
    <w:rsid w:val="003E107C"/>
    <w:rsid w:val="003E2DEE"/>
    <w:rsid w:val="003E36C6"/>
    <w:rsid w:val="003E7E4B"/>
    <w:rsid w:val="003F467B"/>
    <w:rsid w:val="003F764D"/>
    <w:rsid w:val="004104B6"/>
    <w:rsid w:val="004148C6"/>
    <w:rsid w:val="00431F16"/>
    <w:rsid w:val="004374E4"/>
    <w:rsid w:val="00440892"/>
    <w:rsid w:val="0045402F"/>
    <w:rsid w:val="00465F83"/>
    <w:rsid w:val="00476B56"/>
    <w:rsid w:val="004A0B31"/>
    <w:rsid w:val="004B184E"/>
    <w:rsid w:val="004B5A87"/>
    <w:rsid w:val="004B6EB7"/>
    <w:rsid w:val="004C1BA3"/>
    <w:rsid w:val="004D4829"/>
    <w:rsid w:val="004E1031"/>
    <w:rsid w:val="004E1035"/>
    <w:rsid w:val="004F2277"/>
    <w:rsid w:val="004F2494"/>
    <w:rsid w:val="004F7A9B"/>
    <w:rsid w:val="00503F3C"/>
    <w:rsid w:val="005040C2"/>
    <w:rsid w:val="0053309B"/>
    <w:rsid w:val="00544156"/>
    <w:rsid w:val="005450AB"/>
    <w:rsid w:val="005517B2"/>
    <w:rsid w:val="0057046C"/>
    <w:rsid w:val="0057191B"/>
    <w:rsid w:val="00572482"/>
    <w:rsid w:val="00576BE7"/>
    <w:rsid w:val="005779E3"/>
    <w:rsid w:val="005833DD"/>
    <w:rsid w:val="005834A1"/>
    <w:rsid w:val="00593818"/>
    <w:rsid w:val="005A0EEC"/>
    <w:rsid w:val="005A79EC"/>
    <w:rsid w:val="005C275B"/>
    <w:rsid w:val="005C5701"/>
    <w:rsid w:val="005D0004"/>
    <w:rsid w:val="005D0F29"/>
    <w:rsid w:val="005D3C42"/>
    <w:rsid w:val="005F0435"/>
    <w:rsid w:val="005F371F"/>
    <w:rsid w:val="00601929"/>
    <w:rsid w:val="006076A5"/>
    <w:rsid w:val="00610EFD"/>
    <w:rsid w:val="0062036D"/>
    <w:rsid w:val="00620B1D"/>
    <w:rsid w:val="00622BF4"/>
    <w:rsid w:val="006513D2"/>
    <w:rsid w:val="00651968"/>
    <w:rsid w:val="00652EDF"/>
    <w:rsid w:val="006533EA"/>
    <w:rsid w:val="00653E6D"/>
    <w:rsid w:val="00666CAD"/>
    <w:rsid w:val="006A31DE"/>
    <w:rsid w:val="006B1709"/>
    <w:rsid w:val="006B76D0"/>
    <w:rsid w:val="006C4DB6"/>
    <w:rsid w:val="006C5C31"/>
    <w:rsid w:val="006D2E83"/>
    <w:rsid w:val="006D7AC2"/>
    <w:rsid w:val="006E0274"/>
    <w:rsid w:val="006E5B9D"/>
    <w:rsid w:val="006F0AB3"/>
    <w:rsid w:val="00703C5A"/>
    <w:rsid w:val="007061D4"/>
    <w:rsid w:val="00714C18"/>
    <w:rsid w:val="00717184"/>
    <w:rsid w:val="007213E9"/>
    <w:rsid w:val="00746CBD"/>
    <w:rsid w:val="0075012C"/>
    <w:rsid w:val="0075769E"/>
    <w:rsid w:val="00761779"/>
    <w:rsid w:val="007649D6"/>
    <w:rsid w:val="00764C64"/>
    <w:rsid w:val="0077709E"/>
    <w:rsid w:val="00781FB1"/>
    <w:rsid w:val="007868AE"/>
    <w:rsid w:val="007B577D"/>
    <w:rsid w:val="007D7F87"/>
    <w:rsid w:val="008062A0"/>
    <w:rsid w:val="00806E1D"/>
    <w:rsid w:val="00816C6F"/>
    <w:rsid w:val="00826E56"/>
    <w:rsid w:val="00844005"/>
    <w:rsid w:val="00846D02"/>
    <w:rsid w:val="008540E3"/>
    <w:rsid w:val="00857AB1"/>
    <w:rsid w:val="008606C1"/>
    <w:rsid w:val="00862A81"/>
    <w:rsid w:val="00863A28"/>
    <w:rsid w:val="008769AC"/>
    <w:rsid w:val="00880170"/>
    <w:rsid w:val="008803A9"/>
    <w:rsid w:val="00881163"/>
    <w:rsid w:val="00891E24"/>
    <w:rsid w:val="008930C0"/>
    <w:rsid w:val="00897172"/>
    <w:rsid w:val="008A310F"/>
    <w:rsid w:val="008A671A"/>
    <w:rsid w:val="008B37AA"/>
    <w:rsid w:val="008C6176"/>
    <w:rsid w:val="008D02E5"/>
    <w:rsid w:val="008D2301"/>
    <w:rsid w:val="008E2258"/>
    <w:rsid w:val="008E3C99"/>
    <w:rsid w:val="008E7B3B"/>
    <w:rsid w:val="0090434B"/>
    <w:rsid w:val="0091136E"/>
    <w:rsid w:val="00911F24"/>
    <w:rsid w:val="009149D4"/>
    <w:rsid w:val="009229F8"/>
    <w:rsid w:val="0092337C"/>
    <w:rsid w:val="009234BF"/>
    <w:rsid w:val="00923CC2"/>
    <w:rsid w:val="009250EA"/>
    <w:rsid w:val="0092602C"/>
    <w:rsid w:val="009310B8"/>
    <w:rsid w:val="00932D27"/>
    <w:rsid w:val="0094024A"/>
    <w:rsid w:val="00947CCC"/>
    <w:rsid w:val="0095379B"/>
    <w:rsid w:val="00953FE4"/>
    <w:rsid w:val="00962732"/>
    <w:rsid w:val="00966E35"/>
    <w:rsid w:val="00971120"/>
    <w:rsid w:val="00977682"/>
    <w:rsid w:val="009924CE"/>
    <w:rsid w:val="00994D5A"/>
    <w:rsid w:val="00995D8F"/>
    <w:rsid w:val="009A2D8C"/>
    <w:rsid w:val="009A5A06"/>
    <w:rsid w:val="009B3DA8"/>
    <w:rsid w:val="009B7205"/>
    <w:rsid w:val="009C1AC7"/>
    <w:rsid w:val="009C32BE"/>
    <w:rsid w:val="009D5962"/>
    <w:rsid w:val="009E08CB"/>
    <w:rsid w:val="009E1D9E"/>
    <w:rsid w:val="009E41B6"/>
    <w:rsid w:val="009E6DDB"/>
    <w:rsid w:val="009F6B94"/>
    <w:rsid w:val="00A17038"/>
    <w:rsid w:val="00A2276D"/>
    <w:rsid w:val="00A23261"/>
    <w:rsid w:val="00A25D7C"/>
    <w:rsid w:val="00A265DC"/>
    <w:rsid w:val="00A306E8"/>
    <w:rsid w:val="00A3195E"/>
    <w:rsid w:val="00A3336A"/>
    <w:rsid w:val="00A42EAA"/>
    <w:rsid w:val="00A44F63"/>
    <w:rsid w:val="00A47020"/>
    <w:rsid w:val="00A5482B"/>
    <w:rsid w:val="00A603C5"/>
    <w:rsid w:val="00A61A12"/>
    <w:rsid w:val="00A76D72"/>
    <w:rsid w:val="00A84172"/>
    <w:rsid w:val="00AA3478"/>
    <w:rsid w:val="00AA7233"/>
    <w:rsid w:val="00AB386D"/>
    <w:rsid w:val="00AC2CC1"/>
    <w:rsid w:val="00AC4FC6"/>
    <w:rsid w:val="00AC7756"/>
    <w:rsid w:val="00AE1029"/>
    <w:rsid w:val="00AE692A"/>
    <w:rsid w:val="00B02816"/>
    <w:rsid w:val="00B028B8"/>
    <w:rsid w:val="00B246BA"/>
    <w:rsid w:val="00B3698E"/>
    <w:rsid w:val="00B45132"/>
    <w:rsid w:val="00B57DE6"/>
    <w:rsid w:val="00B753A4"/>
    <w:rsid w:val="00B82BE0"/>
    <w:rsid w:val="00B8377D"/>
    <w:rsid w:val="00B902FE"/>
    <w:rsid w:val="00B91015"/>
    <w:rsid w:val="00B9456C"/>
    <w:rsid w:val="00BA1E9B"/>
    <w:rsid w:val="00BA7AAC"/>
    <w:rsid w:val="00BB117A"/>
    <w:rsid w:val="00BB3E7A"/>
    <w:rsid w:val="00BB6019"/>
    <w:rsid w:val="00BC1C8F"/>
    <w:rsid w:val="00BC4D4B"/>
    <w:rsid w:val="00BC7BFD"/>
    <w:rsid w:val="00BD7DB0"/>
    <w:rsid w:val="00BE0A75"/>
    <w:rsid w:val="00BE252B"/>
    <w:rsid w:val="00BE53A9"/>
    <w:rsid w:val="00BF1570"/>
    <w:rsid w:val="00C06F43"/>
    <w:rsid w:val="00C127DA"/>
    <w:rsid w:val="00C15A73"/>
    <w:rsid w:val="00C20D25"/>
    <w:rsid w:val="00C21D50"/>
    <w:rsid w:val="00C244B3"/>
    <w:rsid w:val="00C54C38"/>
    <w:rsid w:val="00C64946"/>
    <w:rsid w:val="00C67283"/>
    <w:rsid w:val="00C7616D"/>
    <w:rsid w:val="00C83A7D"/>
    <w:rsid w:val="00C841E1"/>
    <w:rsid w:val="00C84F6F"/>
    <w:rsid w:val="00CA0C46"/>
    <w:rsid w:val="00CA4048"/>
    <w:rsid w:val="00CA46E4"/>
    <w:rsid w:val="00CB1499"/>
    <w:rsid w:val="00CC03A4"/>
    <w:rsid w:val="00CC20C5"/>
    <w:rsid w:val="00CC3498"/>
    <w:rsid w:val="00CC43A0"/>
    <w:rsid w:val="00CC4428"/>
    <w:rsid w:val="00CC6B36"/>
    <w:rsid w:val="00CC77D8"/>
    <w:rsid w:val="00CC7D0D"/>
    <w:rsid w:val="00CE2154"/>
    <w:rsid w:val="00CE2ECE"/>
    <w:rsid w:val="00CE5E4F"/>
    <w:rsid w:val="00CF2A14"/>
    <w:rsid w:val="00CF4049"/>
    <w:rsid w:val="00CF5AA4"/>
    <w:rsid w:val="00CF5AC4"/>
    <w:rsid w:val="00CF77F6"/>
    <w:rsid w:val="00D0623A"/>
    <w:rsid w:val="00D07F06"/>
    <w:rsid w:val="00D14AC7"/>
    <w:rsid w:val="00D33D48"/>
    <w:rsid w:val="00D3404D"/>
    <w:rsid w:val="00D45EB8"/>
    <w:rsid w:val="00D54D2D"/>
    <w:rsid w:val="00D705B5"/>
    <w:rsid w:val="00D83DC5"/>
    <w:rsid w:val="00D953C9"/>
    <w:rsid w:val="00DA1063"/>
    <w:rsid w:val="00DA5D42"/>
    <w:rsid w:val="00DA74F1"/>
    <w:rsid w:val="00DB29C5"/>
    <w:rsid w:val="00DC6F57"/>
    <w:rsid w:val="00DD48D5"/>
    <w:rsid w:val="00DD5223"/>
    <w:rsid w:val="00DE5B17"/>
    <w:rsid w:val="00DE5F42"/>
    <w:rsid w:val="00E11362"/>
    <w:rsid w:val="00E175A9"/>
    <w:rsid w:val="00E2431C"/>
    <w:rsid w:val="00E24F96"/>
    <w:rsid w:val="00E2637E"/>
    <w:rsid w:val="00E27646"/>
    <w:rsid w:val="00E3270E"/>
    <w:rsid w:val="00E331E1"/>
    <w:rsid w:val="00E6572C"/>
    <w:rsid w:val="00EA6096"/>
    <w:rsid w:val="00EB6C16"/>
    <w:rsid w:val="00EC1D38"/>
    <w:rsid w:val="00EC2C1B"/>
    <w:rsid w:val="00ED4839"/>
    <w:rsid w:val="00EF116E"/>
    <w:rsid w:val="00EF398E"/>
    <w:rsid w:val="00EF67A7"/>
    <w:rsid w:val="00F0047B"/>
    <w:rsid w:val="00F04D0F"/>
    <w:rsid w:val="00F13622"/>
    <w:rsid w:val="00F4512E"/>
    <w:rsid w:val="00F45229"/>
    <w:rsid w:val="00F5556E"/>
    <w:rsid w:val="00F769C0"/>
    <w:rsid w:val="00F76B51"/>
    <w:rsid w:val="00F85602"/>
    <w:rsid w:val="00FA222B"/>
    <w:rsid w:val="00FA64C1"/>
    <w:rsid w:val="00FB269D"/>
    <w:rsid w:val="00FB58A0"/>
    <w:rsid w:val="00FB64A8"/>
    <w:rsid w:val="00FD5C44"/>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A4970D9-A170-45A9-BDD2-4AB9FAF7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703C5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3C5A"/>
    <w:pPr>
      <w:widowControl w:val="0"/>
    </w:pPr>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uiPriority w:val="99"/>
    <w:unhideWhenUsed/>
    <w:rsid w:val="005C275B"/>
    <w:rPr>
      <w:rFonts w:eastAsia="Calibri" w:cs="Arial"/>
      <w:szCs w:val="20"/>
      <w:lang w:eastAsia="en-US"/>
    </w:rPr>
  </w:style>
  <w:style w:type="character" w:customStyle="1" w:styleId="FunotentextZchn">
    <w:name w:val="Fußnotentext Zchn"/>
    <w:basedOn w:val="Absatz-Standardschriftart"/>
    <w:link w:val="Funotentext"/>
    <w:uiPriority w:val="99"/>
    <w:rsid w:val="005C275B"/>
    <w:rPr>
      <w:rFonts w:ascii="Arial" w:eastAsia="Calibri" w:hAnsi="Arial" w:cs="Arial"/>
      <w:lang w:eastAsia="en-US"/>
    </w:rPr>
  </w:style>
  <w:style w:type="character" w:customStyle="1" w:styleId="st">
    <w:name w:val="st"/>
    <w:basedOn w:val="Absatz-Standardschriftart"/>
    <w:rsid w:val="00CE2ECE"/>
  </w:style>
  <w:style w:type="character" w:styleId="BesuchterLink">
    <w:name w:val="FollowedHyperlink"/>
    <w:basedOn w:val="Absatz-Standardschriftart"/>
    <w:semiHidden/>
    <w:unhideWhenUsed/>
    <w:rsid w:val="006D7AC2"/>
    <w:rPr>
      <w:color w:val="800080" w:themeColor="followedHyperlink"/>
      <w:u w:val="single"/>
    </w:rPr>
  </w:style>
  <w:style w:type="character" w:styleId="Funotenzeichen">
    <w:name w:val="footnote reference"/>
    <w:basedOn w:val="Absatz-Standardschriftart"/>
    <w:semiHidden/>
    <w:unhideWhenUsed/>
    <w:rsid w:val="00F85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www.barrierefrei.bayern.de/fakten/zeichen_setzen/index.ph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sueddeutsche.de/muenchen/ebersberg/markt-schwaben-kita-ersetzt-osterfruehstueck-durch-st-patricks-brunch-1.3914378"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yern.landtag.de/www/ElanTextAblage_WP17/Drucksachen/Basisdrucksachen/0000014500/0000014566_Hartmann_Anlage.pdf"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ECC7-C85A-4ADA-A46D-0788F864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14682</Words>
  <Characters>99594</Characters>
  <Application>Microsoft Office Word</Application>
  <DocSecurity>8</DocSecurity>
  <Lines>2420</Lines>
  <Paragraphs>1023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17/21823</dc:title>
  <dc:creator>Ströhlein, Gabriele (LTA)</dc:creator>
  <cp:lastModifiedBy>Ströhlein, Gabriele (LTA)</cp:lastModifiedBy>
  <cp:revision>4</cp:revision>
  <cp:lastPrinted>2006-11-23T10:15:00Z</cp:lastPrinted>
  <dcterms:created xsi:type="dcterms:W3CDTF">2018-04-24T11:10:00Z</dcterms:created>
  <dcterms:modified xsi:type="dcterms:W3CDTF">2018-04-24T11:10:00Z</dcterms:modified>
</cp:coreProperties>
</file>